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40" w:rsidRPr="00A7194B" w:rsidRDefault="004A7340" w:rsidP="00A7194B">
      <w:pPr>
        <w:spacing w:after="0" w:line="360" w:lineRule="auto"/>
        <w:jc w:val="both"/>
        <w:rPr>
          <w:rFonts w:ascii="Book Antiqua" w:hAnsi="Book Antiqua"/>
          <w:b/>
          <w:sz w:val="24"/>
          <w:szCs w:val="24"/>
        </w:rPr>
      </w:pPr>
      <w:r w:rsidRPr="00A7194B">
        <w:rPr>
          <w:rFonts w:ascii="Book Antiqua" w:hAnsi="Book Antiqua"/>
          <w:b/>
          <w:sz w:val="24"/>
          <w:szCs w:val="24"/>
        </w:rPr>
        <w:t>Name of Journal:</w:t>
      </w:r>
      <w:r w:rsidRPr="00A7194B">
        <w:rPr>
          <w:rFonts w:ascii="Book Antiqua" w:hAnsi="Book Antiqua"/>
          <w:b/>
          <w:i/>
          <w:sz w:val="24"/>
          <w:szCs w:val="24"/>
        </w:rPr>
        <w:t xml:space="preserve"> </w:t>
      </w:r>
      <w:r w:rsidRPr="00A7194B">
        <w:rPr>
          <w:rFonts w:ascii="Book Antiqua" w:hAnsi="Book Antiqua" w:cs="Tahoma"/>
          <w:b/>
          <w:i/>
          <w:sz w:val="24"/>
          <w:szCs w:val="24"/>
        </w:rPr>
        <w:t>World Journal of Gastrointestinal Endoscopy</w:t>
      </w:r>
    </w:p>
    <w:p w:rsidR="004A7340" w:rsidRPr="00A7194B" w:rsidRDefault="004A7340" w:rsidP="00A7194B">
      <w:pPr>
        <w:spacing w:after="0" w:line="360" w:lineRule="auto"/>
        <w:jc w:val="both"/>
        <w:rPr>
          <w:rFonts w:ascii="Book Antiqua" w:hAnsi="Book Antiqua"/>
          <w:b/>
          <w:sz w:val="24"/>
          <w:szCs w:val="24"/>
          <w:lang w:eastAsia="zh-CN"/>
        </w:rPr>
      </w:pPr>
      <w:r w:rsidRPr="00A7194B">
        <w:rPr>
          <w:rFonts w:ascii="Book Antiqua" w:hAnsi="Book Antiqua"/>
          <w:b/>
          <w:sz w:val="24"/>
          <w:szCs w:val="24"/>
        </w:rPr>
        <w:t xml:space="preserve">ESPS Manuscript NO: </w:t>
      </w:r>
      <w:r w:rsidRPr="00A7194B">
        <w:rPr>
          <w:rFonts w:ascii="Book Antiqua" w:hAnsi="Book Antiqua"/>
          <w:b/>
          <w:sz w:val="24"/>
          <w:szCs w:val="24"/>
          <w:lang w:eastAsia="zh-CN"/>
        </w:rPr>
        <w:t>20809</w:t>
      </w:r>
    </w:p>
    <w:p w:rsidR="004A7340" w:rsidRPr="00A7194B" w:rsidRDefault="004A7340" w:rsidP="00A7194B">
      <w:pPr>
        <w:suppressLineNumbers/>
        <w:spacing w:after="0" w:line="360" w:lineRule="auto"/>
        <w:jc w:val="both"/>
        <w:rPr>
          <w:rFonts w:ascii="Book Antiqua" w:hAnsi="Book Antiqua"/>
          <w:b/>
          <w:sz w:val="24"/>
          <w:szCs w:val="24"/>
          <w:lang w:eastAsia="zh-CN"/>
        </w:rPr>
      </w:pPr>
      <w:r w:rsidRPr="00A7194B">
        <w:rPr>
          <w:rFonts w:ascii="Book Antiqua" w:hAnsi="Book Antiqua"/>
          <w:b/>
          <w:sz w:val="24"/>
          <w:szCs w:val="24"/>
        </w:rPr>
        <w:t>Manuscript Type: REVIEW</w:t>
      </w:r>
    </w:p>
    <w:p w:rsidR="004A7340" w:rsidRPr="00A7194B" w:rsidRDefault="004A7340" w:rsidP="00A7194B">
      <w:pPr>
        <w:suppressLineNumbers/>
        <w:spacing w:after="0" w:line="360" w:lineRule="auto"/>
        <w:jc w:val="both"/>
        <w:rPr>
          <w:rFonts w:ascii="Book Antiqua" w:hAnsi="Book Antiqua"/>
          <w:sz w:val="24"/>
          <w:szCs w:val="24"/>
          <w:lang w:eastAsia="zh-CN"/>
        </w:rPr>
      </w:pPr>
    </w:p>
    <w:p w:rsidR="00486EA2" w:rsidRPr="00A7194B" w:rsidRDefault="00903238" w:rsidP="00A7194B">
      <w:pPr>
        <w:suppressLineNumbers/>
        <w:spacing w:after="0" w:line="360" w:lineRule="auto"/>
        <w:jc w:val="both"/>
        <w:rPr>
          <w:rFonts w:ascii="Book Antiqua" w:hAnsi="Book Antiqua"/>
          <w:sz w:val="24"/>
          <w:szCs w:val="24"/>
          <w:lang w:eastAsia="zh-CN"/>
        </w:rPr>
      </w:pPr>
      <w:r w:rsidRPr="00A7194B">
        <w:rPr>
          <w:rFonts w:ascii="Book Antiqua" w:hAnsi="Book Antiqua"/>
          <w:b/>
          <w:sz w:val="24"/>
          <w:szCs w:val="24"/>
        </w:rPr>
        <w:t xml:space="preserve">Bowel </w:t>
      </w:r>
      <w:r w:rsidR="004A7340" w:rsidRPr="00A7194B">
        <w:rPr>
          <w:rFonts w:ascii="Book Antiqua" w:hAnsi="Book Antiqua"/>
          <w:b/>
          <w:sz w:val="24"/>
          <w:szCs w:val="24"/>
        </w:rPr>
        <w:t>cleansing before colo</w:t>
      </w:r>
      <w:r w:rsidRPr="00A7194B">
        <w:rPr>
          <w:rFonts w:ascii="Book Antiqua" w:hAnsi="Book Antiqua"/>
          <w:b/>
          <w:sz w:val="24"/>
          <w:szCs w:val="24"/>
        </w:rPr>
        <w:t xml:space="preserve">noscopy: Balancing </w:t>
      </w:r>
      <w:r w:rsidR="004A7340" w:rsidRPr="00A7194B">
        <w:rPr>
          <w:rFonts w:ascii="Book Antiqua" w:hAnsi="Book Antiqua"/>
          <w:b/>
          <w:sz w:val="24"/>
          <w:szCs w:val="24"/>
        </w:rPr>
        <w:t>efficacy, safety, cost and patient tolerance</w:t>
      </w:r>
    </w:p>
    <w:p w:rsidR="00903238" w:rsidRPr="00A7194B" w:rsidRDefault="00903238" w:rsidP="00A7194B">
      <w:pPr>
        <w:pStyle w:val="PlainText"/>
        <w:suppressLineNumbers/>
        <w:spacing w:line="360" w:lineRule="auto"/>
        <w:jc w:val="both"/>
        <w:rPr>
          <w:rFonts w:ascii="Book Antiqua" w:hAnsi="Book Antiqua"/>
          <w:sz w:val="24"/>
          <w:szCs w:val="24"/>
        </w:rPr>
      </w:pPr>
    </w:p>
    <w:p w:rsidR="00903238" w:rsidRPr="00A7194B" w:rsidRDefault="00457289"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 xml:space="preserve">Harrison NM </w:t>
      </w:r>
      <w:r w:rsidRPr="00A7194B">
        <w:rPr>
          <w:rFonts w:ascii="Book Antiqua" w:hAnsi="Book Antiqua"/>
          <w:i/>
          <w:sz w:val="24"/>
          <w:szCs w:val="24"/>
        </w:rPr>
        <w:t>et al.</w:t>
      </w:r>
      <w:r w:rsidRPr="00A7194B">
        <w:rPr>
          <w:rFonts w:ascii="Book Antiqua" w:hAnsi="Book Antiqua"/>
          <w:sz w:val="24"/>
          <w:szCs w:val="24"/>
        </w:rPr>
        <w:t xml:space="preserve"> Bowel </w:t>
      </w:r>
      <w:r w:rsidR="00A7194B" w:rsidRPr="00A7194B">
        <w:rPr>
          <w:rFonts w:ascii="Book Antiqua" w:hAnsi="Book Antiqua"/>
          <w:sz w:val="24"/>
          <w:szCs w:val="24"/>
        </w:rPr>
        <w:t>cleansing before colon</w:t>
      </w:r>
      <w:r w:rsidRPr="00A7194B">
        <w:rPr>
          <w:rFonts w:ascii="Book Antiqua" w:hAnsi="Book Antiqua"/>
          <w:sz w:val="24"/>
          <w:szCs w:val="24"/>
        </w:rPr>
        <w:t>oscopy</w:t>
      </w:r>
    </w:p>
    <w:p w:rsidR="00457289" w:rsidRPr="00A7194B" w:rsidRDefault="00457289" w:rsidP="00A7194B">
      <w:pPr>
        <w:pStyle w:val="PlainText"/>
        <w:suppressLineNumbers/>
        <w:spacing w:line="360" w:lineRule="auto"/>
        <w:jc w:val="both"/>
        <w:rPr>
          <w:rFonts w:ascii="Book Antiqua" w:hAnsi="Book Antiqua"/>
          <w:sz w:val="24"/>
          <w:szCs w:val="24"/>
        </w:rPr>
      </w:pPr>
    </w:p>
    <w:p w:rsidR="00457289" w:rsidRPr="00A7194B" w:rsidRDefault="00457289" w:rsidP="00A7194B">
      <w:pPr>
        <w:pStyle w:val="PlainText"/>
        <w:suppressLineNumbers/>
        <w:spacing w:line="360" w:lineRule="auto"/>
        <w:jc w:val="both"/>
        <w:rPr>
          <w:rFonts w:ascii="Book Antiqua" w:hAnsi="Book Antiqua"/>
          <w:b/>
          <w:sz w:val="24"/>
          <w:szCs w:val="24"/>
        </w:rPr>
      </w:pPr>
      <w:r w:rsidRPr="00A7194B">
        <w:rPr>
          <w:rFonts w:ascii="Book Antiqua" w:hAnsi="Book Antiqua"/>
          <w:b/>
          <w:sz w:val="24"/>
          <w:szCs w:val="24"/>
        </w:rPr>
        <w:t>Nicole M Harrison, Michael C Hjelkrem</w:t>
      </w:r>
    </w:p>
    <w:p w:rsidR="00457289" w:rsidRPr="00A7194B" w:rsidRDefault="00457289" w:rsidP="00A7194B">
      <w:pPr>
        <w:pStyle w:val="PlainText"/>
        <w:suppressLineNumbers/>
        <w:spacing w:line="360" w:lineRule="auto"/>
        <w:jc w:val="both"/>
        <w:rPr>
          <w:rFonts w:ascii="Book Antiqua" w:hAnsi="Book Antiqua"/>
          <w:sz w:val="24"/>
          <w:szCs w:val="24"/>
        </w:rPr>
      </w:pPr>
    </w:p>
    <w:p w:rsidR="00457289" w:rsidRPr="00A7194B" w:rsidRDefault="00457289" w:rsidP="00A7194B">
      <w:pPr>
        <w:pStyle w:val="PlainText"/>
        <w:suppressLineNumbers/>
        <w:spacing w:line="360" w:lineRule="auto"/>
        <w:jc w:val="both"/>
        <w:rPr>
          <w:rFonts w:ascii="Book Antiqua" w:hAnsi="Book Antiqua"/>
          <w:sz w:val="24"/>
          <w:szCs w:val="24"/>
          <w:lang w:eastAsia="zh-CN"/>
        </w:rPr>
      </w:pPr>
      <w:r w:rsidRPr="00A7194B">
        <w:rPr>
          <w:rFonts w:ascii="Book Antiqua" w:hAnsi="Book Antiqua"/>
          <w:b/>
          <w:sz w:val="24"/>
          <w:szCs w:val="24"/>
        </w:rPr>
        <w:t>Nicole M Harrison</w:t>
      </w:r>
      <w:r w:rsidRPr="00A7194B">
        <w:rPr>
          <w:rFonts w:ascii="Book Antiqua" w:hAnsi="Book Antiqua"/>
          <w:sz w:val="24"/>
          <w:szCs w:val="24"/>
        </w:rPr>
        <w:t>, Department of Medicine</w:t>
      </w:r>
      <w:r w:rsidR="00991A26" w:rsidRPr="00A7194B">
        <w:rPr>
          <w:rFonts w:ascii="Book Antiqua" w:hAnsi="Book Antiqua"/>
          <w:sz w:val="24"/>
          <w:szCs w:val="24"/>
        </w:rPr>
        <w:t>, Fort Belvoir Community Hospital, Fort Belvoir, V</w:t>
      </w:r>
      <w:r w:rsidR="000C159D" w:rsidRPr="00A7194B">
        <w:rPr>
          <w:rFonts w:ascii="Book Antiqua" w:hAnsi="Book Antiqua"/>
          <w:sz w:val="24"/>
          <w:szCs w:val="24"/>
          <w:lang w:eastAsia="zh-CN"/>
        </w:rPr>
        <w:t>A</w:t>
      </w:r>
      <w:r w:rsidR="00991A26" w:rsidRPr="00A7194B">
        <w:rPr>
          <w:rFonts w:ascii="Book Antiqua" w:hAnsi="Book Antiqua"/>
          <w:sz w:val="24"/>
          <w:szCs w:val="24"/>
        </w:rPr>
        <w:t xml:space="preserve"> 22060</w:t>
      </w:r>
      <w:r w:rsidR="00A16C6E" w:rsidRPr="00A7194B">
        <w:rPr>
          <w:rFonts w:ascii="Book Antiqua" w:hAnsi="Book Antiqua"/>
          <w:sz w:val="24"/>
          <w:szCs w:val="24"/>
        </w:rPr>
        <w:t>, United States</w:t>
      </w:r>
    </w:p>
    <w:p w:rsidR="000C159D" w:rsidRPr="00A7194B" w:rsidRDefault="000C159D" w:rsidP="00A7194B">
      <w:pPr>
        <w:pStyle w:val="PlainText"/>
        <w:suppressLineNumbers/>
        <w:spacing w:line="360" w:lineRule="auto"/>
        <w:jc w:val="both"/>
        <w:rPr>
          <w:rFonts w:ascii="Book Antiqua" w:hAnsi="Book Antiqua"/>
          <w:sz w:val="24"/>
          <w:szCs w:val="24"/>
          <w:lang w:eastAsia="zh-CN"/>
        </w:rPr>
      </w:pPr>
    </w:p>
    <w:p w:rsidR="00457289" w:rsidRPr="00A7194B" w:rsidRDefault="00457289" w:rsidP="00A7194B">
      <w:pPr>
        <w:pStyle w:val="PlainText"/>
        <w:suppressLineNumbers/>
        <w:spacing w:line="360" w:lineRule="auto"/>
        <w:jc w:val="both"/>
        <w:rPr>
          <w:rFonts w:ascii="Book Antiqua" w:hAnsi="Book Antiqua"/>
          <w:sz w:val="24"/>
          <w:szCs w:val="24"/>
        </w:rPr>
      </w:pPr>
      <w:r w:rsidRPr="00A7194B">
        <w:rPr>
          <w:rFonts w:ascii="Book Antiqua" w:hAnsi="Book Antiqua"/>
          <w:b/>
          <w:sz w:val="24"/>
          <w:szCs w:val="24"/>
        </w:rPr>
        <w:t>Michael C Hjelkrem</w:t>
      </w:r>
      <w:r w:rsidR="00991A26" w:rsidRPr="00A7194B">
        <w:rPr>
          <w:rFonts w:ascii="Book Antiqua" w:hAnsi="Book Antiqua"/>
          <w:sz w:val="24"/>
          <w:szCs w:val="24"/>
        </w:rPr>
        <w:t>, Department of Gastroenterology, Fort Belvoir Community Hospital, Fort Belvoir, V</w:t>
      </w:r>
      <w:r w:rsidR="000C159D" w:rsidRPr="00A7194B">
        <w:rPr>
          <w:rFonts w:ascii="Book Antiqua" w:hAnsi="Book Antiqua"/>
          <w:sz w:val="24"/>
          <w:szCs w:val="24"/>
          <w:lang w:eastAsia="zh-CN"/>
        </w:rPr>
        <w:t>A</w:t>
      </w:r>
      <w:r w:rsidR="00991A26" w:rsidRPr="00A7194B">
        <w:rPr>
          <w:rFonts w:ascii="Book Antiqua" w:hAnsi="Book Antiqua"/>
          <w:sz w:val="24"/>
          <w:szCs w:val="24"/>
        </w:rPr>
        <w:t xml:space="preserve"> 22060</w:t>
      </w:r>
      <w:r w:rsidR="00A16C6E" w:rsidRPr="00A7194B">
        <w:rPr>
          <w:rFonts w:ascii="Book Antiqua" w:hAnsi="Book Antiqua"/>
          <w:sz w:val="24"/>
          <w:szCs w:val="24"/>
        </w:rPr>
        <w:t>, United States</w:t>
      </w:r>
    </w:p>
    <w:p w:rsidR="00A16C6E" w:rsidRPr="00A7194B" w:rsidRDefault="00A16C6E" w:rsidP="00A7194B">
      <w:pPr>
        <w:pStyle w:val="PlainText"/>
        <w:suppressLineNumbers/>
        <w:spacing w:line="360" w:lineRule="auto"/>
        <w:jc w:val="both"/>
        <w:rPr>
          <w:rFonts w:ascii="Book Antiqua" w:hAnsi="Book Antiqua"/>
          <w:sz w:val="24"/>
          <w:szCs w:val="24"/>
        </w:rPr>
      </w:pPr>
    </w:p>
    <w:p w:rsidR="00A16C6E" w:rsidRPr="00A7194B" w:rsidRDefault="000C159D" w:rsidP="00A7194B">
      <w:pPr>
        <w:pStyle w:val="PlainText"/>
        <w:suppressLineNumbers/>
        <w:spacing w:line="360" w:lineRule="auto"/>
        <w:jc w:val="both"/>
        <w:rPr>
          <w:rFonts w:ascii="Book Antiqua" w:hAnsi="Book Antiqua"/>
          <w:sz w:val="24"/>
          <w:szCs w:val="24"/>
        </w:rPr>
      </w:pPr>
      <w:r w:rsidRPr="00A7194B">
        <w:rPr>
          <w:rFonts w:ascii="Book Antiqua" w:hAnsi="Book Antiqua"/>
          <w:b/>
          <w:sz w:val="24"/>
          <w:szCs w:val="24"/>
        </w:rPr>
        <w:t>Author contributions:</w:t>
      </w:r>
      <w:r w:rsidRPr="00A7194B">
        <w:rPr>
          <w:rFonts w:ascii="Book Antiqua" w:hAnsi="Book Antiqua"/>
          <w:b/>
          <w:sz w:val="24"/>
          <w:szCs w:val="24"/>
          <w:lang w:eastAsia="zh-CN"/>
        </w:rPr>
        <w:t xml:space="preserve"> </w:t>
      </w:r>
      <w:r w:rsidR="00A16C6E" w:rsidRPr="00A7194B">
        <w:rPr>
          <w:rFonts w:ascii="Book Antiqua" w:hAnsi="Book Antiqua"/>
          <w:sz w:val="24"/>
          <w:szCs w:val="24"/>
        </w:rPr>
        <w:t xml:space="preserve">Harrison NM and Hjelkrem MC contributed </w:t>
      </w:r>
      <w:r w:rsidR="00686F98" w:rsidRPr="00A7194B">
        <w:rPr>
          <w:rFonts w:ascii="Book Antiqua" w:hAnsi="Book Antiqua"/>
          <w:sz w:val="24"/>
          <w:szCs w:val="24"/>
        </w:rPr>
        <w:t>solely</w:t>
      </w:r>
      <w:r w:rsidR="00A16C6E" w:rsidRPr="00A7194B">
        <w:rPr>
          <w:rFonts w:ascii="Book Antiqua" w:hAnsi="Book Antiqua"/>
          <w:sz w:val="24"/>
          <w:szCs w:val="24"/>
        </w:rPr>
        <w:t xml:space="preserve"> to this paper.</w:t>
      </w:r>
    </w:p>
    <w:p w:rsidR="0029225D" w:rsidRPr="00A7194B" w:rsidRDefault="0029225D" w:rsidP="00A7194B">
      <w:pPr>
        <w:pStyle w:val="PlainText"/>
        <w:suppressLineNumbers/>
        <w:spacing w:line="360" w:lineRule="auto"/>
        <w:jc w:val="both"/>
        <w:rPr>
          <w:rFonts w:ascii="Book Antiqua" w:hAnsi="Book Antiqua"/>
          <w:sz w:val="24"/>
          <w:szCs w:val="24"/>
          <w:lang w:eastAsia="zh-CN"/>
        </w:rPr>
      </w:pPr>
    </w:p>
    <w:p w:rsidR="000C159D" w:rsidRPr="00A7194B" w:rsidRDefault="000C159D" w:rsidP="00A7194B">
      <w:pPr>
        <w:suppressLineNumbers/>
        <w:autoSpaceDE w:val="0"/>
        <w:autoSpaceDN w:val="0"/>
        <w:adjustRightInd w:val="0"/>
        <w:spacing w:after="0" w:line="360" w:lineRule="auto"/>
        <w:jc w:val="both"/>
        <w:rPr>
          <w:rFonts w:ascii="Book Antiqua" w:hAnsi="Book Antiqua"/>
          <w:sz w:val="24"/>
          <w:szCs w:val="24"/>
        </w:rPr>
      </w:pPr>
      <w:r w:rsidRPr="00A7194B">
        <w:rPr>
          <w:rFonts w:ascii="Book Antiqua" w:hAnsi="Book Antiqua" w:cs="TimesNewRomanPS-BoldItalicMT"/>
          <w:b/>
          <w:bCs/>
          <w:iCs/>
          <w:sz w:val="24"/>
          <w:szCs w:val="24"/>
        </w:rPr>
        <w:t>Conflict-of-interest</w:t>
      </w:r>
      <w:r w:rsidRPr="00A7194B">
        <w:rPr>
          <w:rFonts w:ascii="Book Antiqua" w:hAnsi="Book Antiqua"/>
          <w:sz w:val="24"/>
          <w:szCs w:val="24"/>
        </w:rPr>
        <w:t xml:space="preserve"> </w:t>
      </w:r>
      <w:r w:rsidRPr="00A7194B">
        <w:rPr>
          <w:rFonts w:ascii="Book Antiqua" w:hAnsi="Book Antiqua" w:cs="TimesNewRomanPS-BoldItalicMT"/>
          <w:b/>
          <w:bCs/>
          <w:iCs/>
          <w:sz w:val="24"/>
          <w:szCs w:val="24"/>
        </w:rPr>
        <w:t xml:space="preserve">statement: </w:t>
      </w:r>
      <w:r w:rsidRPr="00A7194B">
        <w:rPr>
          <w:rFonts w:ascii="Book Antiqua" w:hAnsi="Book Antiqua" w:cs="TrebuchetMS"/>
          <w:sz w:val="24"/>
          <w:szCs w:val="24"/>
        </w:rPr>
        <w:t>The authors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rsidR="000C159D" w:rsidRPr="00A7194B" w:rsidRDefault="000C159D" w:rsidP="00A7194B">
      <w:pPr>
        <w:spacing w:after="0" w:line="360" w:lineRule="auto"/>
        <w:jc w:val="both"/>
        <w:rPr>
          <w:rFonts w:ascii="Book Antiqua" w:hAnsi="Book Antiqua" w:cs="Garamond"/>
          <w:sz w:val="24"/>
          <w:szCs w:val="24"/>
          <w:lang w:eastAsia="zh-CN"/>
        </w:rPr>
      </w:pPr>
    </w:p>
    <w:p w:rsidR="000C159D" w:rsidRPr="00A7194B" w:rsidRDefault="000C159D" w:rsidP="00A7194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7194B">
        <w:rPr>
          <w:rFonts w:ascii="Book Antiqua" w:hAnsi="Book Antiqua"/>
          <w:b/>
          <w:sz w:val="24"/>
          <w:szCs w:val="24"/>
        </w:rPr>
        <w:t xml:space="preserve">Open-Access: </w:t>
      </w:r>
      <w:r w:rsidRPr="00A7194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A7194B">
        <w:rPr>
          <w:rFonts w:ascii="Book Antiqua" w:hAnsi="Book Antiqua"/>
          <w:sz w:val="24"/>
          <w:szCs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7194B">
          <w:rPr>
            <w:rStyle w:val="Hyperlink"/>
            <w:rFonts w:ascii="Book Antiqua" w:hAnsi="Book Antiqua"/>
            <w:color w:val="auto"/>
            <w:sz w:val="24"/>
            <w:szCs w:val="24"/>
            <w:u w:val="none"/>
          </w:rPr>
          <w:t>http://creativecommons.org/licenses/by-nc/4.0/</w:t>
        </w:r>
      </w:hyperlink>
      <w:bookmarkEnd w:id="0"/>
      <w:bookmarkEnd w:id="1"/>
      <w:bookmarkEnd w:id="2"/>
      <w:bookmarkEnd w:id="3"/>
    </w:p>
    <w:p w:rsidR="000C159D" w:rsidRPr="00A7194B" w:rsidRDefault="000C159D" w:rsidP="00A7194B">
      <w:pPr>
        <w:pStyle w:val="PlainText"/>
        <w:suppressLineNumbers/>
        <w:spacing w:line="360" w:lineRule="auto"/>
        <w:jc w:val="both"/>
        <w:rPr>
          <w:rFonts w:ascii="Book Antiqua" w:hAnsi="Book Antiqua"/>
          <w:sz w:val="24"/>
          <w:szCs w:val="24"/>
          <w:lang w:eastAsia="zh-CN"/>
        </w:rPr>
      </w:pPr>
    </w:p>
    <w:p w:rsidR="000C159D" w:rsidRPr="00A7194B" w:rsidRDefault="000C159D" w:rsidP="00A7194B">
      <w:pPr>
        <w:pStyle w:val="PlainText"/>
        <w:suppressLineNumbers/>
        <w:spacing w:line="360" w:lineRule="auto"/>
        <w:jc w:val="both"/>
        <w:rPr>
          <w:rFonts w:ascii="Book Antiqua" w:hAnsi="Book Antiqua"/>
          <w:b/>
          <w:sz w:val="24"/>
          <w:szCs w:val="24"/>
          <w:lang w:eastAsia="zh-CN"/>
        </w:rPr>
      </w:pPr>
      <w:r w:rsidRPr="00A7194B">
        <w:rPr>
          <w:rFonts w:ascii="Book Antiqua" w:hAnsi="Book Antiqua"/>
          <w:b/>
          <w:sz w:val="24"/>
          <w:szCs w:val="24"/>
        </w:rPr>
        <w:t>Correspondence to:</w:t>
      </w:r>
      <w:r w:rsidR="00A16C6E" w:rsidRPr="00A7194B">
        <w:rPr>
          <w:rFonts w:ascii="Book Antiqua" w:hAnsi="Book Antiqua"/>
          <w:sz w:val="24"/>
          <w:szCs w:val="24"/>
        </w:rPr>
        <w:t xml:space="preserve"> </w:t>
      </w:r>
      <w:r w:rsidR="00A16C6E" w:rsidRPr="00986E75">
        <w:rPr>
          <w:rFonts w:ascii="Book Antiqua" w:hAnsi="Book Antiqua"/>
          <w:b/>
          <w:sz w:val="24"/>
          <w:szCs w:val="24"/>
        </w:rPr>
        <w:t xml:space="preserve">Michael C Hjelkrem, MD, </w:t>
      </w:r>
      <w:r w:rsidRPr="00A7194B">
        <w:rPr>
          <w:rFonts w:ascii="Book Antiqua" w:hAnsi="Book Antiqua"/>
          <w:sz w:val="24"/>
          <w:szCs w:val="24"/>
        </w:rPr>
        <w:t>Department of Gastroenterology, Fort Belvoir Community Hospital, 9300 DeWitt Loop,</w:t>
      </w:r>
      <w:r w:rsidRPr="00A7194B">
        <w:rPr>
          <w:rFonts w:ascii="Book Antiqua" w:hAnsi="Book Antiqua"/>
          <w:sz w:val="24"/>
          <w:szCs w:val="24"/>
          <w:lang w:eastAsia="zh-CN"/>
        </w:rPr>
        <w:t xml:space="preserve"> </w:t>
      </w:r>
      <w:r w:rsidRPr="00A7194B">
        <w:rPr>
          <w:rFonts w:ascii="Book Antiqua" w:hAnsi="Book Antiqua"/>
          <w:sz w:val="24"/>
          <w:szCs w:val="24"/>
        </w:rPr>
        <w:t>Fort Belvoir, V</w:t>
      </w:r>
      <w:r w:rsidRPr="00A7194B">
        <w:rPr>
          <w:rFonts w:ascii="Book Antiqua" w:hAnsi="Book Antiqua"/>
          <w:sz w:val="24"/>
          <w:szCs w:val="24"/>
          <w:lang w:eastAsia="zh-CN"/>
        </w:rPr>
        <w:t>A</w:t>
      </w:r>
      <w:r w:rsidRPr="00A7194B">
        <w:rPr>
          <w:rFonts w:ascii="Book Antiqua" w:hAnsi="Book Antiqua"/>
          <w:sz w:val="24"/>
          <w:szCs w:val="24"/>
        </w:rPr>
        <w:t xml:space="preserve"> 22060, United States</w:t>
      </w:r>
      <w:r w:rsidRPr="00A7194B">
        <w:rPr>
          <w:rFonts w:ascii="Book Antiqua" w:hAnsi="Book Antiqua"/>
          <w:sz w:val="24"/>
          <w:szCs w:val="24"/>
          <w:lang w:eastAsia="zh-CN"/>
        </w:rPr>
        <w:t xml:space="preserve">. </w:t>
      </w:r>
      <w:hyperlink r:id="rId10" w:history="1">
        <w:r w:rsidRPr="00A7194B">
          <w:rPr>
            <w:rStyle w:val="Hyperlink"/>
            <w:rFonts w:ascii="Book Antiqua" w:hAnsi="Book Antiqua"/>
            <w:color w:val="auto"/>
            <w:sz w:val="24"/>
            <w:szCs w:val="24"/>
            <w:u w:val="none"/>
          </w:rPr>
          <w:t>mhjelkrem@yahoo.com</w:t>
        </w:r>
      </w:hyperlink>
    </w:p>
    <w:p w:rsidR="009220BD" w:rsidRPr="00A7194B" w:rsidRDefault="009220BD" w:rsidP="00A7194B">
      <w:pPr>
        <w:pStyle w:val="PlainText"/>
        <w:suppressLineNumbers/>
        <w:spacing w:line="360" w:lineRule="auto"/>
        <w:jc w:val="both"/>
        <w:rPr>
          <w:rFonts w:ascii="Book Antiqua" w:hAnsi="Book Antiqua"/>
          <w:sz w:val="24"/>
          <w:szCs w:val="24"/>
        </w:rPr>
      </w:pPr>
      <w:r w:rsidRPr="00A7194B">
        <w:rPr>
          <w:rFonts w:ascii="Book Antiqua" w:hAnsi="Book Antiqua"/>
          <w:b/>
          <w:sz w:val="24"/>
          <w:szCs w:val="24"/>
        </w:rPr>
        <w:t xml:space="preserve">Telephone: </w:t>
      </w:r>
      <w:r w:rsidR="000C159D" w:rsidRPr="00A7194B">
        <w:rPr>
          <w:rFonts w:ascii="Book Antiqua" w:hAnsi="Book Antiqua"/>
          <w:sz w:val="24"/>
          <w:szCs w:val="24"/>
          <w:lang w:eastAsia="zh-CN"/>
        </w:rPr>
        <w:t>+1-</w:t>
      </w:r>
      <w:r w:rsidR="000C159D" w:rsidRPr="00A7194B">
        <w:rPr>
          <w:rFonts w:ascii="Book Antiqua" w:hAnsi="Book Antiqua"/>
          <w:sz w:val="24"/>
          <w:szCs w:val="24"/>
        </w:rPr>
        <w:t>571-231</w:t>
      </w:r>
      <w:r w:rsidR="001C429B" w:rsidRPr="00A7194B">
        <w:rPr>
          <w:rFonts w:ascii="Book Antiqua" w:hAnsi="Book Antiqua"/>
          <w:sz w:val="24"/>
          <w:szCs w:val="24"/>
        </w:rPr>
        <w:t>2014</w:t>
      </w:r>
      <w:r w:rsidRPr="00A7194B">
        <w:rPr>
          <w:rFonts w:ascii="Book Antiqua" w:hAnsi="Book Antiqua"/>
          <w:sz w:val="24"/>
          <w:szCs w:val="24"/>
        </w:rPr>
        <w:tab/>
      </w:r>
      <w:r w:rsidRPr="00A7194B">
        <w:rPr>
          <w:rFonts w:ascii="Book Antiqua" w:hAnsi="Book Antiqua"/>
          <w:sz w:val="24"/>
          <w:szCs w:val="24"/>
        </w:rPr>
        <w:tab/>
      </w:r>
    </w:p>
    <w:p w:rsidR="000C159D" w:rsidRPr="00A7194B" w:rsidRDefault="000C159D" w:rsidP="00A7194B">
      <w:pPr>
        <w:suppressLineNumbers/>
        <w:spacing w:after="0" w:line="360" w:lineRule="auto"/>
        <w:jc w:val="both"/>
        <w:rPr>
          <w:rFonts w:ascii="Book Antiqua" w:hAnsi="Book Antiqua"/>
          <w:sz w:val="24"/>
          <w:szCs w:val="24"/>
          <w:lang w:eastAsia="zh-CN"/>
        </w:rPr>
      </w:pPr>
    </w:p>
    <w:p w:rsidR="000C159D" w:rsidRPr="00A7194B" w:rsidRDefault="000C159D" w:rsidP="00A7194B">
      <w:pPr>
        <w:spacing w:after="0" w:line="360" w:lineRule="auto"/>
        <w:jc w:val="both"/>
        <w:rPr>
          <w:rFonts w:ascii="Book Antiqua" w:hAnsi="Book Antiqua"/>
          <w:b/>
          <w:sz w:val="24"/>
          <w:szCs w:val="24"/>
        </w:rPr>
      </w:pPr>
      <w:r w:rsidRPr="00A7194B">
        <w:rPr>
          <w:rFonts w:ascii="Book Antiqua" w:hAnsi="Book Antiqua"/>
          <w:b/>
          <w:sz w:val="24"/>
          <w:szCs w:val="24"/>
        </w:rPr>
        <w:t xml:space="preserve">Received: </w:t>
      </w:r>
      <w:r w:rsidRPr="00A7194B">
        <w:rPr>
          <w:rFonts w:ascii="Book Antiqua" w:hAnsi="Book Antiqua"/>
          <w:sz w:val="24"/>
          <w:szCs w:val="24"/>
          <w:lang w:eastAsia="zh-CN"/>
        </w:rPr>
        <w:t>June 23, 2015</w:t>
      </w:r>
      <w:r w:rsidRPr="00A7194B">
        <w:rPr>
          <w:rFonts w:ascii="Book Antiqua" w:hAnsi="Book Antiqua"/>
          <w:sz w:val="24"/>
          <w:szCs w:val="24"/>
        </w:rPr>
        <w:t xml:space="preserve">  </w:t>
      </w:r>
    </w:p>
    <w:p w:rsidR="000C159D" w:rsidRPr="00A7194B" w:rsidRDefault="000C159D" w:rsidP="00A7194B">
      <w:pPr>
        <w:spacing w:after="0" w:line="360" w:lineRule="auto"/>
        <w:jc w:val="both"/>
        <w:rPr>
          <w:rFonts w:ascii="Book Antiqua" w:hAnsi="Book Antiqua"/>
          <w:b/>
          <w:sz w:val="24"/>
          <w:szCs w:val="24"/>
        </w:rPr>
      </w:pPr>
      <w:r w:rsidRPr="00A7194B">
        <w:rPr>
          <w:rFonts w:ascii="Book Antiqua" w:hAnsi="Book Antiqua"/>
          <w:b/>
          <w:sz w:val="24"/>
          <w:szCs w:val="24"/>
        </w:rPr>
        <w:t>Peer-review started:</w:t>
      </w:r>
      <w:r w:rsidRPr="00A7194B">
        <w:rPr>
          <w:rFonts w:ascii="Book Antiqua" w:hAnsi="Book Antiqua"/>
          <w:sz w:val="24"/>
          <w:szCs w:val="24"/>
          <w:lang w:eastAsia="zh-CN"/>
        </w:rPr>
        <w:t xml:space="preserve"> June 24, 2015</w:t>
      </w:r>
      <w:r w:rsidRPr="00A7194B">
        <w:rPr>
          <w:rFonts w:ascii="Book Antiqua" w:hAnsi="Book Antiqua"/>
          <w:sz w:val="24"/>
          <w:szCs w:val="24"/>
        </w:rPr>
        <w:t xml:space="preserve">  </w:t>
      </w:r>
    </w:p>
    <w:p w:rsidR="000C159D" w:rsidRPr="00A7194B" w:rsidRDefault="000C159D" w:rsidP="00A7194B">
      <w:pPr>
        <w:spacing w:after="0" w:line="360" w:lineRule="auto"/>
        <w:jc w:val="both"/>
        <w:rPr>
          <w:rFonts w:ascii="Book Antiqua" w:hAnsi="Book Antiqua"/>
          <w:b/>
          <w:sz w:val="24"/>
          <w:szCs w:val="24"/>
          <w:lang w:eastAsia="zh-CN"/>
        </w:rPr>
      </w:pPr>
      <w:r w:rsidRPr="00A7194B">
        <w:rPr>
          <w:rFonts w:ascii="Book Antiqua" w:hAnsi="Book Antiqua"/>
          <w:b/>
          <w:sz w:val="24"/>
          <w:szCs w:val="24"/>
        </w:rPr>
        <w:t>First decision:</w:t>
      </w:r>
      <w:r w:rsidRPr="00A7194B">
        <w:rPr>
          <w:rFonts w:ascii="Book Antiqua" w:hAnsi="Book Antiqua"/>
          <w:b/>
          <w:sz w:val="24"/>
          <w:szCs w:val="24"/>
          <w:lang w:eastAsia="zh-CN"/>
        </w:rPr>
        <w:t xml:space="preserve"> </w:t>
      </w:r>
      <w:r w:rsidRPr="00A7194B">
        <w:rPr>
          <w:rFonts w:ascii="Book Antiqua" w:hAnsi="Book Antiqua"/>
          <w:sz w:val="24"/>
          <w:szCs w:val="24"/>
          <w:lang w:eastAsia="zh-CN"/>
        </w:rPr>
        <w:t>August 25, 2015</w:t>
      </w:r>
    </w:p>
    <w:p w:rsidR="000C159D" w:rsidRPr="00A7194B" w:rsidRDefault="000C159D" w:rsidP="00A7194B">
      <w:pPr>
        <w:spacing w:after="0" w:line="360" w:lineRule="auto"/>
        <w:jc w:val="both"/>
        <w:rPr>
          <w:rFonts w:ascii="Book Antiqua" w:hAnsi="Book Antiqua"/>
          <w:b/>
          <w:sz w:val="24"/>
          <w:szCs w:val="24"/>
        </w:rPr>
      </w:pPr>
      <w:r w:rsidRPr="00A7194B">
        <w:rPr>
          <w:rFonts w:ascii="Book Antiqua" w:hAnsi="Book Antiqua"/>
          <w:b/>
          <w:sz w:val="24"/>
          <w:szCs w:val="24"/>
        </w:rPr>
        <w:t>Revised:</w:t>
      </w:r>
      <w:r w:rsidRPr="00A7194B">
        <w:rPr>
          <w:rFonts w:ascii="Book Antiqua" w:hAnsi="Book Antiqua"/>
          <w:sz w:val="24"/>
          <w:szCs w:val="24"/>
          <w:lang w:eastAsia="zh-CN"/>
        </w:rPr>
        <w:t xml:space="preserve"> September 15, 2015</w:t>
      </w:r>
      <w:r w:rsidRPr="00A7194B">
        <w:rPr>
          <w:rFonts w:ascii="Book Antiqua" w:hAnsi="Book Antiqua"/>
          <w:b/>
          <w:sz w:val="24"/>
          <w:szCs w:val="24"/>
        </w:rPr>
        <w:t xml:space="preserve"> </w:t>
      </w:r>
    </w:p>
    <w:p w:rsidR="000C159D" w:rsidRPr="00235DD4" w:rsidRDefault="000C159D" w:rsidP="00235DD4">
      <w:pPr>
        <w:rPr>
          <w:rFonts w:ascii="Book Antiqua" w:hAnsi="Book Antiqua"/>
          <w:iCs/>
          <w:sz w:val="24"/>
        </w:rPr>
      </w:pPr>
      <w:r w:rsidRPr="00A7194B">
        <w:rPr>
          <w:rFonts w:ascii="Book Antiqua" w:hAnsi="Book Antiqua"/>
          <w:b/>
          <w:sz w:val="24"/>
          <w:szCs w:val="24"/>
        </w:rPr>
        <w:t>Accepted:</w:t>
      </w:r>
      <w:r w:rsidR="00235DD4" w:rsidRPr="00235DD4">
        <w:rPr>
          <w:rStyle w:val="Emphasis"/>
        </w:rPr>
        <w:t xml:space="preserve"> </w:t>
      </w:r>
      <w:r w:rsidR="00235DD4">
        <w:rPr>
          <w:rStyle w:val="Emphasis"/>
        </w:rPr>
        <w:t>November 10</w:t>
      </w:r>
      <w:r w:rsidR="00235DD4" w:rsidRPr="00235CD4">
        <w:rPr>
          <w:rStyle w:val="Emphasis"/>
        </w:rPr>
        <w:t>, 2015</w:t>
      </w:r>
      <w:r w:rsidRPr="00A7194B">
        <w:rPr>
          <w:rFonts w:ascii="Book Antiqua" w:hAnsi="Book Antiqua"/>
          <w:b/>
          <w:sz w:val="24"/>
          <w:szCs w:val="24"/>
        </w:rPr>
        <w:t xml:space="preserve">  </w:t>
      </w:r>
    </w:p>
    <w:p w:rsidR="000C159D" w:rsidRPr="00A7194B" w:rsidRDefault="000C159D" w:rsidP="00A7194B">
      <w:pPr>
        <w:spacing w:after="0" w:line="360" w:lineRule="auto"/>
        <w:jc w:val="both"/>
        <w:rPr>
          <w:rFonts w:ascii="Book Antiqua" w:hAnsi="Book Antiqua"/>
          <w:b/>
          <w:sz w:val="24"/>
          <w:szCs w:val="24"/>
        </w:rPr>
      </w:pPr>
      <w:r w:rsidRPr="00A7194B">
        <w:rPr>
          <w:rFonts w:ascii="Book Antiqua" w:hAnsi="Book Antiqua"/>
          <w:b/>
          <w:sz w:val="24"/>
          <w:szCs w:val="24"/>
        </w:rPr>
        <w:t>Article in press:</w:t>
      </w:r>
      <w:r w:rsidRPr="00A7194B">
        <w:rPr>
          <w:rFonts w:ascii="Book Antiqua" w:hAnsi="Book Antiqua"/>
          <w:sz w:val="24"/>
          <w:szCs w:val="24"/>
        </w:rPr>
        <w:t xml:space="preserve">    </w:t>
      </w:r>
    </w:p>
    <w:p w:rsidR="000C159D" w:rsidRPr="00A7194B" w:rsidRDefault="000C159D" w:rsidP="00A7194B">
      <w:pPr>
        <w:suppressLineNumbers/>
        <w:spacing w:after="0" w:line="360" w:lineRule="auto"/>
        <w:jc w:val="both"/>
        <w:rPr>
          <w:rFonts w:ascii="Book Antiqua" w:hAnsi="Book Antiqua"/>
          <w:b/>
          <w:sz w:val="24"/>
          <w:szCs w:val="24"/>
          <w:lang w:eastAsia="zh-CN"/>
        </w:rPr>
      </w:pPr>
      <w:r w:rsidRPr="00A7194B">
        <w:rPr>
          <w:rFonts w:ascii="Book Antiqua" w:hAnsi="Book Antiqua"/>
          <w:b/>
          <w:sz w:val="24"/>
          <w:szCs w:val="24"/>
        </w:rPr>
        <w:t>Published online:</w:t>
      </w:r>
    </w:p>
    <w:p w:rsidR="000C159D" w:rsidRPr="00A7194B" w:rsidRDefault="000C159D" w:rsidP="00A7194B">
      <w:pPr>
        <w:suppressLineNumbers/>
        <w:spacing w:after="0" w:line="360" w:lineRule="auto"/>
        <w:jc w:val="both"/>
        <w:rPr>
          <w:rFonts w:ascii="Book Antiqua" w:hAnsi="Book Antiqua"/>
          <w:b/>
          <w:sz w:val="24"/>
          <w:szCs w:val="24"/>
          <w:lang w:eastAsia="zh-CN"/>
        </w:rPr>
      </w:pPr>
    </w:p>
    <w:p w:rsidR="000C159D" w:rsidRPr="00A7194B" w:rsidRDefault="000C159D" w:rsidP="00A7194B">
      <w:pPr>
        <w:spacing w:after="0" w:line="360" w:lineRule="auto"/>
        <w:jc w:val="both"/>
        <w:rPr>
          <w:rFonts w:ascii="Book Antiqua" w:hAnsi="Book Antiqua"/>
          <w:b/>
          <w:sz w:val="24"/>
          <w:szCs w:val="24"/>
        </w:rPr>
      </w:pPr>
      <w:r w:rsidRPr="00A7194B">
        <w:rPr>
          <w:rFonts w:ascii="Book Antiqua" w:hAnsi="Book Antiqua"/>
          <w:b/>
          <w:sz w:val="24"/>
          <w:szCs w:val="24"/>
        </w:rPr>
        <w:br w:type="page"/>
      </w:r>
    </w:p>
    <w:p w:rsidR="009220BD" w:rsidRPr="00A7194B" w:rsidRDefault="004A7340" w:rsidP="00A7194B">
      <w:pPr>
        <w:suppressLineNumbers/>
        <w:spacing w:after="0" w:line="360" w:lineRule="auto"/>
        <w:jc w:val="both"/>
        <w:rPr>
          <w:rFonts w:ascii="Book Antiqua" w:hAnsi="Book Antiqua"/>
          <w:b/>
          <w:sz w:val="24"/>
          <w:szCs w:val="24"/>
          <w:lang w:eastAsia="zh-CN"/>
        </w:rPr>
      </w:pPr>
      <w:r w:rsidRPr="00A7194B">
        <w:rPr>
          <w:rFonts w:ascii="Book Antiqua" w:hAnsi="Book Antiqua"/>
          <w:b/>
          <w:sz w:val="24"/>
          <w:szCs w:val="24"/>
        </w:rPr>
        <w:lastRenderedPageBreak/>
        <w:t>Abstract</w:t>
      </w:r>
    </w:p>
    <w:p w:rsidR="009220BD" w:rsidRPr="00A7194B" w:rsidRDefault="00BA454B" w:rsidP="00A7194B">
      <w:pPr>
        <w:suppressLineNumbers/>
        <w:spacing w:after="0" w:line="360" w:lineRule="auto"/>
        <w:jc w:val="both"/>
        <w:rPr>
          <w:rFonts w:ascii="Book Antiqua" w:hAnsi="Book Antiqua"/>
          <w:sz w:val="24"/>
          <w:szCs w:val="24"/>
        </w:rPr>
      </w:pPr>
      <w:r w:rsidRPr="00A7194B">
        <w:rPr>
          <w:rFonts w:ascii="Book Antiqua" w:hAnsi="Book Antiqua"/>
          <w:sz w:val="24"/>
          <w:szCs w:val="24"/>
        </w:rPr>
        <w:t xml:space="preserve">Effective colorectal cancer screening relies </w:t>
      </w:r>
      <w:r w:rsidR="001C429B" w:rsidRPr="00A7194B">
        <w:rPr>
          <w:rFonts w:ascii="Book Antiqua" w:hAnsi="Book Antiqua"/>
          <w:sz w:val="24"/>
          <w:szCs w:val="24"/>
        </w:rPr>
        <w:t xml:space="preserve">on </w:t>
      </w:r>
      <w:r w:rsidR="00BF6D43" w:rsidRPr="00A7194B">
        <w:rPr>
          <w:rFonts w:ascii="Book Antiqua" w:hAnsi="Book Antiqua"/>
          <w:sz w:val="24"/>
          <w:szCs w:val="24"/>
        </w:rPr>
        <w:t>reliable</w:t>
      </w:r>
      <w:r w:rsidRPr="00A7194B">
        <w:rPr>
          <w:rFonts w:ascii="Book Antiqua" w:hAnsi="Book Antiqua"/>
          <w:sz w:val="24"/>
          <w:szCs w:val="24"/>
        </w:rPr>
        <w:t xml:space="preserve"> colonoscopy</w:t>
      </w:r>
      <w:r w:rsidR="00BF6D43" w:rsidRPr="00A7194B">
        <w:rPr>
          <w:rFonts w:ascii="Book Antiqua" w:hAnsi="Book Antiqua"/>
          <w:sz w:val="24"/>
          <w:szCs w:val="24"/>
        </w:rPr>
        <w:t xml:space="preserve"> </w:t>
      </w:r>
      <w:proofErr w:type="gramStart"/>
      <w:r w:rsidR="00BF6D43" w:rsidRPr="00A7194B">
        <w:rPr>
          <w:rFonts w:ascii="Book Antiqua" w:hAnsi="Book Antiqua"/>
          <w:sz w:val="24"/>
          <w:szCs w:val="24"/>
        </w:rPr>
        <w:t>findings which</w:t>
      </w:r>
      <w:proofErr w:type="gramEnd"/>
      <w:r w:rsidR="00BF6D43" w:rsidRPr="00A7194B">
        <w:rPr>
          <w:rFonts w:ascii="Book Antiqua" w:hAnsi="Book Antiqua"/>
          <w:sz w:val="24"/>
          <w:szCs w:val="24"/>
        </w:rPr>
        <w:t xml:space="preserve"> are themselves dependent on adequate bowel cleansing. Re</w:t>
      </w:r>
      <w:r w:rsidRPr="00A7194B">
        <w:rPr>
          <w:rFonts w:ascii="Book Antiqua" w:hAnsi="Book Antiqua"/>
          <w:sz w:val="24"/>
          <w:szCs w:val="24"/>
        </w:rPr>
        <w:t>search has consistently demonstrated that inadequate bowel preparation adversely affects</w:t>
      </w:r>
      <w:r w:rsidR="003468F8" w:rsidRPr="00A7194B">
        <w:rPr>
          <w:rFonts w:ascii="Book Antiqua" w:hAnsi="Book Antiqua"/>
          <w:sz w:val="24"/>
          <w:szCs w:val="24"/>
        </w:rPr>
        <w:t xml:space="preserve"> the adenoma detection rate and leads gastroenterologists to recommend earlier follow up than is consistent with </w:t>
      </w:r>
      <w:r w:rsidR="00084F46" w:rsidRPr="00A7194B">
        <w:rPr>
          <w:rFonts w:ascii="Book Antiqua" w:hAnsi="Book Antiqua"/>
          <w:sz w:val="24"/>
          <w:szCs w:val="24"/>
        </w:rPr>
        <w:t xml:space="preserve">published guidelines. </w:t>
      </w:r>
      <w:r w:rsidR="009A3A7D" w:rsidRPr="00A7194B">
        <w:rPr>
          <w:rFonts w:ascii="Book Antiqua" w:hAnsi="Book Antiqua"/>
          <w:sz w:val="24"/>
          <w:szCs w:val="24"/>
        </w:rPr>
        <w:t>Poor preparation affects as many as 30% of colonoscopies and contributes to</w:t>
      </w:r>
      <w:r w:rsidR="00BF6D43" w:rsidRPr="00A7194B">
        <w:rPr>
          <w:rFonts w:ascii="Book Antiqua" w:hAnsi="Book Antiqua"/>
          <w:sz w:val="24"/>
          <w:szCs w:val="24"/>
        </w:rPr>
        <w:t xml:space="preserve"> an</w:t>
      </w:r>
      <w:r w:rsidR="009A3A7D" w:rsidRPr="00A7194B">
        <w:rPr>
          <w:rFonts w:ascii="Book Antiqua" w:hAnsi="Book Antiqua"/>
          <w:sz w:val="24"/>
          <w:szCs w:val="24"/>
        </w:rPr>
        <w:t xml:space="preserve"> increased cost of colonoscopies. Patient tolerability is strongly affected by the preparation chosen and manner in which it is administered. </w:t>
      </w:r>
      <w:r w:rsidR="003D16B8" w:rsidRPr="00A7194B">
        <w:rPr>
          <w:rFonts w:ascii="Book Antiqua" w:hAnsi="Book Antiqua"/>
          <w:sz w:val="24"/>
          <w:szCs w:val="24"/>
        </w:rPr>
        <w:t>Poor tolerability is, in turn, associated with lo</w:t>
      </w:r>
      <w:r w:rsidR="00BF6D43" w:rsidRPr="00A7194B">
        <w:rPr>
          <w:rFonts w:ascii="Book Antiqua" w:hAnsi="Book Antiqua"/>
          <w:sz w:val="24"/>
          <w:szCs w:val="24"/>
        </w:rPr>
        <w:t xml:space="preserve">wer quality bowel preparations. Recently, several new developments in both agents being used for bowel preparation and in the timing of administration have brought </w:t>
      </w:r>
      <w:proofErr w:type="spellStart"/>
      <w:r w:rsidR="00BF6D43" w:rsidRPr="00A7194B">
        <w:rPr>
          <w:rFonts w:ascii="Book Antiqua" w:hAnsi="Book Antiqua"/>
          <w:sz w:val="24"/>
          <w:szCs w:val="24"/>
        </w:rPr>
        <w:t>endoscopists</w:t>
      </w:r>
      <w:proofErr w:type="spellEnd"/>
      <w:r w:rsidR="00BF6D43" w:rsidRPr="00A7194B">
        <w:rPr>
          <w:rFonts w:ascii="Book Antiqua" w:hAnsi="Book Antiqua"/>
          <w:sz w:val="24"/>
          <w:szCs w:val="24"/>
        </w:rPr>
        <w:t xml:space="preserve"> closer to achieving the goal of effective, reliable, safe, and tolerable regimens. Historically, large volume preparations given in a single dose were administered to patients in order to achieve adequate bowel cleansing. These were poorly tolerated, and the unpleasant taste of and significant side effects produced by these large volume regimens contributed significantly to patients’ inability to reliably complete the  preparation and to a reluctance to repeat the procedure. Smaller volumes, including preparations </w:t>
      </w:r>
      <w:r w:rsidR="00A7194B" w:rsidRPr="00A7194B">
        <w:rPr>
          <w:rFonts w:ascii="Book Antiqua" w:hAnsi="Book Antiqua"/>
          <w:sz w:val="24"/>
          <w:szCs w:val="24"/>
          <w:lang w:eastAsia="zh-CN"/>
        </w:rPr>
        <w:t>that</w:t>
      </w:r>
      <w:r w:rsidR="00BF6D43" w:rsidRPr="00A7194B">
        <w:rPr>
          <w:rFonts w:ascii="Book Antiqua" w:hAnsi="Book Antiqua"/>
          <w:sz w:val="24"/>
          <w:szCs w:val="24"/>
        </w:rPr>
        <w:t xml:space="preserve"> are administered as tablets to be consumed with water, given as split doses have significantly improved both the patient experience and efficacy, and an appreciation of the importance of the preparation to colonoscopy interval h</w:t>
      </w:r>
      <w:r w:rsidR="00A7194B" w:rsidRPr="00A7194B">
        <w:rPr>
          <w:rFonts w:ascii="Book Antiqua" w:hAnsi="Book Antiqua"/>
          <w:sz w:val="24"/>
          <w:szCs w:val="24"/>
          <w:lang w:eastAsia="zh-CN"/>
        </w:rPr>
        <w:t>ave</w:t>
      </w:r>
      <w:r w:rsidR="00BF6D43" w:rsidRPr="00A7194B">
        <w:rPr>
          <w:rFonts w:ascii="Book Antiqua" w:hAnsi="Book Antiqua"/>
          <w:sz w:val="24"/>
          <w:szCs w:val="24"/>
        </w:rPr>
        <w:t xml:space="preserve"> produced additional cleansing. </w:t>
      </w:r>
    </w:p>
    <w:p w:rsidR="00BF6D43" w:rsidRPr="00A7194B" w:rsidRDefault="00BF6D43" w:rsidP="00A7194B">
      <w:pPr>
        <w:suppressLineNumbers/>
        <w:spacing w:after="0" w:line="360" w:lineRule="auto"/>
        <w:jc w:val="both"/>
        <w:rPr>
          <w:rFonts w:ascii="Book Antiqua" w:hAnsi="Book Antiqua"/>
          <w:sz w:val="24"/>
          <w:szCs w:val="24"/>
        </w:rPr>
      </w:pPr>
    </w:p>
    <w:p w:rsidR="009220BD" w:rsidRPr="00A7194B" w:rsidRDefault="009220BD" w:rsidP="00A7194B">
      <w:pPr>
        <w:suppressLineNumbers/>
        <w:spacing w:after="0" w:line="360" w:lineRule="auto"/>
        <w:jc w:val="both"/>
        <w:rPr>
          <w:rFonts w:ascii="Book Antiqua" w:hAnsi="Book Antiqua"/>
          <w:sz w:val="24"/>
          <w:szCs w:val="24"/>
        </w:rPr>
      </w:pPr>
      <w:r w:rsidRPr="00A7194B">
        <w:rPr>
          <w:rFonts w:ascii="Book Antiqua" w:hAnsi="Book Antiqua"/>
          <w:b/>
          <w:sz w:val="24"/>
          <w:szCs w:val="24"/>
        </w:rPr>
        <w:t>Key words:</w:t>
      </w:r>
      <w:r w:rsidRPr="00A7194B">
        <w:rPr>
          <w:rFonts w:ascii="Book Antiqua" w:hAnsi="Book Antiqua"/>
          <w:sz w:val="24"/>
          <w:szCs w:val="24"/>
        </w:rPr>
        <w:tab/>
        <w:t>Bowel preparation</w:t>
      </w:r>
      <w:r w:rsidR="00A7194B" w:rsidRPr="00A7194B">
        <w:rPr>
          <w:rFonts w:ascii="Book Antiqua" w:hAnsi="Book Antiqua"/>
          <w:sz w:val="24"/>
          <w:szCs w:val="24"/>
          <w:lang w:eastAsia="zh-CN"/>
        </w:rPr>
        <w:t>;</w:t>
      </w:r>
      <w:r w:rsidRPr="00A7194B">
        <w:rPr>
          <w:rFonts w:ascii="Book Antiqua" w:hAnsi="Book Antiqua"/>
          <w:sz w:val="24"/>
          <w:szCs w:val="24"/>
        </w:rPr>
        <w:t xml:space="preserve"> Colonoscopy</w:t>
      </w:r>
      <w:r w:rsidR="00A7194B" w:rsidRPr="00A7194B">
        <w:rPr>
          <w:rFonts w:ascii="Book Antiqua" w:hAnsi="Book Antiqua"/>
          <w:sz w:val="24"/>
          <w:szCs w:val="24"/>
          <w:lang w:eastAsia="zh-CN"/>
        </w:rPr>
        <w:t>;</w:t>
      </w:r>
      <w:r w:rsidRPr="00A7194B">
        <w:rPr>
          <w:rFonts w:ascii="Book Antiqua" w:hAnsi="Book Antiqua"/>
          <w:sz w:val="24"/>
          <w:szCs w:val="24"/>
        </w:rPr>
        <w:t xml:space="preserve"> </w:t>
      </w:r>
      <w:r w:rsidR="00A7194B" w:rsidRPr="00A7194B">
        <w:rPr>
          <w:rFonts w:ascii="Book Antiqua" w:hAnsi="Book Antiqua"/>
          <w:sz w:val="24"/>
          <w:szCs w:val="24"/>
        </w:rPr>
        <w:t>A</w:t>
      </w:r>
      <w:r w:rsidRPr="00A7194B">
        <w:rPr>
          <w:rFonts w:ascii="Book Antiqua" w:hAnsi="Book Antiqua"/>
          <w:sz w:val="24"/>
          <w:szCs w:val="24"/>
        </w:rPr>
        <w:t>denoma detection rate</w:t>
      </w:r>
      <w:r w:rsidR="00A7194B" w:rsidRPr="00A7194B">
        <w:rPr>
          <w:rFonts w:ascii="Book Antiqua" w:hAnsi="Book Antiqua"/>
          <w:sz w:val="24"/>
          <w:szCs w:val="24"/>
          <w:lang w:eastAsia="zh-CN"/>
        </w:rPr>
        <w:t>;</w:t>
      </w:r>
      <w:r w:rsidRPr="00A7194B">
        <w:rPr>
          <w:rFonts w:ascii="Book Antiqua" w:hAnsi="Book Antiqua"/>
          <w:sz w:val="24"/>
          <w:szCs w:val="24"/>
        </w:rPr>
        <w:t xml:space="preserve"> </w:t>
      </w:r>
      <w:proofErr w:type="spellStart"/>
      <w:r w:rsidRPr="00A7194B">
        <w:rPr>
          <w:rFonts w:ascii="Book Antiqua" w:hAnsi="Book Antiqua"/>
          <w:sz w:val="24"/>
          <w:szCs w:val="24"/>
        </w:rPr>
        <w:t>MiraLAX</w:t>
      </w:r>
      <w:proofErr w:type="spellEnd"/>
      <w:r w:rsidR="00A7194B" w:rsidRPr="00A7194B">
        <w:rPr>
          <w:rFonts w:ascii="Book Antiqua" w:hAnsi="Book Antiqua"/>
          <w:sz w:val="24"/>
          <w:szCs w:val="24"/>
          <w:lang w:eastAsia="zh-CN"/>
        </w:rPr>
        <w:t xml:space="preserve">; </w:t>
      </w:r>
      <w:r w:rsidR="00A7194B" w:rsidRPr="00A7194B">
        <w:rPr>
          <w:rFonts w:ascii="Book Antiqua" w:hAnsi="Book Antiqua"/>
          <w:sz w:val="24"/>
          <w:szCs w:val="24"/>
        </w:rPr>
        <w:t>P</w:t>
      </w:r>
      <w:r w:rsidRPr="00A7194B">
        <w:rPr>
          <w:rFonts w:ascii="Book Antiqua" w:hAnsi="Book Antiqua"/>
          <w:sz w:val="24"/>
          <w:szCs w:val="24"/>
        </w:rPr>
        <w:t>olyethylene glycol</w:t>
      </w:r>
      <w:r w:rsidR="00A7194B" w:rsidRPr="00A7194B">
        <w:rPr>
          <w:rFonts w:ascii="Book Antiqua" w:hAnsi="Book Antiqua"/>
          <w:sz w:val="24"/>
          <w:szCs w:val="24"/>
          <w:lang w:eastAsia="zh-CN"/>
        </w:rPr>
        <w:t>;</w:t>
      </w:r>
      <w:r w:rsidRPr="00A7194B">
        <w:rPr>
          <w:rFonts w:ascii="Book Antiqua" w:hAnsi="Book Antiqua"/>
          <w:sz w:val="24"/>
          <w:szCs w:val="24"/>
        </w:rPr>
        <w:t xml:space="preserve"> </w:t>
      </w:r>
      <w:r w:rsidR="00A7194B" w:rsidRPr="00A7194B">
        <w:rPr>
          <w:rFonts w:ascii="Book Antiqua" w:hAnsi="Book Antiqua"/>
          <w:sz w:val="24"/>
          <w:szCs w:val="24"/>
        </w:rPr>
        <w:t>S</w:t>
      </w:r>
      <w:r w:rsidRPr="00A7194B">
        <w:rPr>
          <w:rFonts w:ascii="Book Antiqua" w:hAnsi="Book Antiqua"/>
          <w:sz w:val="24"/>
          <w:szCs w:val="24"/>
        </w:rPr>
        <w:t xml:space="preserve">odium </w:t>
      </w:r>
      <w:proofErr w:type="spellStart"/>
      <w:r w:rsidRPr="00A7194B">
        <w:rPr>
          <w:rFonts w:ascii="Book Antiqua" w:hAnsi="Book Antiqua"/>
          <w:sz w:val="24"/>
          <w:szCs w:val="24"/>
        </w:rPr>
        <w:t>picosulfate</w:t>
      </w:r>
      <w:proofErr w:type="spellEnd"/>
      <w:r w:rsidR="00A7194B" w:rsidRPr="00A7194B">
        <w:rPr>
          <w:rFonts w:ascii="Book Antiqua" w:hAnsi="Book Antiqua"/>
          <w:sz w:val="24"/>
          <w:szCs w:val="24"/>
          <w:lang w:eastAsia="zh-CN"/>
        </w:rPr>
        <w:t>;</w:t>
      </w:r>
      <w:r w:rsidRPr="00A7194B">
        <w:rPr>
          <w:rFonts w:ascii="Book Antiqua" w:hAnsi="Book Antiqua"/>
          <w:sz w:val="24"/>
          <w:szCs w:val="24"/>
        </w:rPr>
        <w:t xml:space="preserve"> </w:t>
      </w:r>
      <w:r w:rsidR="00A7194B" w:rsidRPr="00A7194B">
        <w:rPr>
          <w:rFonts w:ascii="Book Antiqua" w:hAnsi="Book Antiqua"/>
          <w:sz w:val="24"/>
          <w:szCs w:val="24"/>
        </w:rPr>
        <w:t>O</w:t>
      </w:r>
      <w:r w:rsidRPr="00A7194B">
        <w:rPr>
          <w:rFonts w:ascii="Book Antiqua" w:hAnsi="Book Antiqua"/>
          <w:sz w:val="24"/>
          <w:szCs w:val="24"/>
        </w:rPr>
        <w:t>ral sulfate solution</w:t>
      </w:r>
    </w:p>
    <w:p w:rsidR="009220BD" w:rsidRPr="00A7194B" w:rsidRDefault="009220BD" w:rsidP="00A7194B">
      <w:pPr>
        <w:suppressLineNumbers/>
        <w:spacing w:after="0" w:line="360" w:lineRule="auto"/>
        <w:jc w:val="both"/>
        <w:rPr>
          <w:rFonts w:ascii="Book Antiqua" w:hAnsi="Book Antiqua"/>
          <w:sz w:val="24"/>
          <w:szCs w:val="24"/>
          <w:lang w:eastAsia="zh-CN"/>
        </w:rPr>
      </w:pPr>
    </w:p>
    <w:p w:rsidR="00A7194B" w:rsidRPr="00A7194B" w:rsidRDefault="00A7194B" w:rsidP="00A7194B">
      <w:pPr>
        <w:spacing w:after="0" w:line="360" w:lineRule="auto"/>
        <w:jc w:val="both"/>
        <w:rPr>
          <w:rFonts w:ascii="Book Antiqua" w:hAnsi="Book Antiqua" w:cs="Arial"/>
          <w:sz w:val="24"/>
          <w:szCs w:val="24"/>
        </w:rPr>
      </w:pPr>
      <w:proofErr w:type="gramStart"/>
      <w:r w:rsidRPr="00A7194B">
        <w:rPr>
          <w:rFonts w:ascii="Book Antiqua" w:hAnsi="Book Antiqua"/>
          <w:b/>
          <w:sz w:val="24"/>
          <w:szCs w:val="24"/>
        </w:rPr>
        <w:t xml:space="preserve">© </w:t>
      </w:r>
      <w:r w:rsidRPr="00A7194B">
        <w:rPr>
          <w:rFonts w:ascii="Book Antiqua" w:hAnsi="Book Antiqua" w:cs="Arial"/>
          <w:b/>
          <w:sz w:val="24"/>
          <w:szCs w:val="24"/>
        </w:rPr>
        <w:t>The Author(s) 2015.</w:t>
      </w:r>
      <w:proofErr w:type="gramEnd"/>
      <w:r w:rsidRPr="00A7194B">
        <w:rPr>
          <w:rFonts w:ascii="Book Antiqua" w:hAnsi="Book Antiqua" w:cs="Arial"/>
          <w:sz w:val="24"/>
          <w:szCs w:val="24"/>
        </w:rPr>
        <w:t xml:space="preserve"> Published by </w:t>
      </w:r>
      <w:proofErr w:type="spellStart"/>
      <w:r w:rsidRPr="00A7194B">
        <w:rPr>
          <w:rFonts w:ascii="Book Antiqua" w:hAnsi="Book Antiqua" w:cs="Arial"/>
          <w:sz w:val="24"/>
          <w:szCs w:val="24"/>
        </w:rPr>
        <w:t>Baishideng</w:t>
      </w:r>
      <w:proofErr w:type="spellEnd"/>
      <w:r w:rsidRPr="00A7194B">
        <w:rPr>
          <w:rFonts w:ascii="Book Antiqua" w:hAnsi="Book Antiqua" w:cs="Arial"/>
          <w:sz w:val="24"/>
          <w:szCs w:val="24"/>
        </w:rPr>
        <w:t xml:space="preserve"> Publishing Group Inc. All rights reserved.</w:t>
      </w:r>
    </w:p>
    <w:p w:rsidR="00A7194B" w:rsidRPr="00A7194B" w:rsidRDefault="00A7194B" w:rsidP="00A7194B">
      <w:pPr>
        <w:suppressLineNumbers/>
        <w:spacing w:after="0" w:line="360" w:lineRule="auto"/>
        <w:jc w:val="both"/>
        <w:rPr>
          <w:rFonts w:ascii="Book Antiqua" w:hAnsi="Book Antiqua"/>
          <w:sz w:val="24"/>
          <w:szCs w:val="24"/>
          <w:lang w:eastAsia="zh-CN"/>
        </w:rPr>
      </w:pPr>
    </w:p>
    <w:p w:rsidR="00BA454B" w:rsidRPr="00A7194B" w:rsidRDefault="00BA454B" w:rsidP="00A7194B">
      <w:pPr>
        <w:suppressLineNumbers/>
        <w:spacing w:after="0" w:line="360" w:lineRule="auto"/>
        <w:jc w:val="both"/>
        <w:rPr>
          <w:rFonts w:ascii="Book Antiqua" w:hAnsi="Book Antiqua"/>
          <w:b/>
          <w:sz w:val="24"/>
          <w:szCs w:val="24"/>
        </w:rPr>
      </w:pPr>
      <w:r w:rsidRPr="00A7194B">
        <w:rPr>
          <w:rFonts w:ascii="Book Antiqua" w:hAnsi="Book Antiqua"/>
          <w:b/>
          <w:sz w:val="24"/>
          <w:szCs w:val="24"/>
        </w:rPr>
        <w:t>Core tip:</w:t>
      </w:r>
      <w:r w:rsidR="00A7194B" w:rsidRPr="00A7194B">
        <w:rPr>
          <w:rFonts w:ascii="Book Antiqua" w:hAnsi="Book Antiqua"/>
          <w:b/>
          <w:sz w:val="24"/>
          <w:szCs w:val="24"/>
          <w:lang w:eastAsia="zh-CN"/>
        </w:rPr>
        <w:t xml:space="preserve"> </w:t>
      </w:r>
      <w:r w:rsidRPr="00A7194B">
        <w:rPr>
          <w:rFonts w:ascii="Book Antiqua" w:hAnsi="Book Antiqua"/>
          <w:sz w:val="24"/>
          <w:szCs w:val="24"/>
        </w:rPr>
        <w:t xml:space="preserve">Improvements in efficacy and tolerability of bowel preparation include new formulations that are more tolerable to patients without sacrificing efficacy or safety, and a better understanding of the ideal timing of bowel preparation administration. </w:t>
      </w:r>
    </w:p>
    <w:p w:rsidR="00A7194B" w:rsidRPr="00A7194B" w:rsidRDefault="00A7194B" w:rsidP="00A7194B">
      <w:pPr>
        <w:pStyle w:val="PlainText"/>
        <w:suppressLineNumbers/>
        <w:spacing w:line="360" w:lineRule="auto"/>
        <w:jc w:val="both"/>
        <w:rPr>
          <w:rFonts w:ascii="Book Antiqua" w:hAnsi="Book Antiqua"/>
          <w:sz w:val="24"/>
          <w:szCs w:val="24"/>
          <w:lang w:eastAsia="zh-CN"/>
        </w:rPr>
      </w:pPr>
    </w:p>
    <w:p w:rsidR="00A7194B" w:rsidRPr="00A7194B" w:rsidRDefault="00A7194B" w:rsidP="00A7194B">
      <w:pPr>
        <w:suppressLineNumbers/>
        <w:spacing w:after="0" w:line="360" w:lineRule="auto"/>
        <w:jc w:val="both"/>
        <w:rPr>
          <w:rFonts w:ascii="Book Antiqua" w:hAnsi="Book Antiqua"/>
          <w:sz w:val="24"/>
          <w:szCs w:val="24"/>
          <w:lang w:eastAsia="zh-CN"/>
        </w:rPr>
      </w:pPr>
      <w:r w:rsidRPr="00A7194B">
        <w:rPr>
          <w:rFonts w:ascii="Book Antiqua" w:hAnsi="Book Antiqua"/>
          <w:sz w:val="24"/>
          <w:szCs w:val="24"/>
        </w:rPr>
        <w:t>Harrison</w:t>
      </w:r>
      <w:r w:rsidRPr="00A7194B">
        <w:rPr>
          <w:rFonts w:ascii="Book Antiqua" w:hAnsi="Book Antiqua"/>
          <w:sz w:val="24"/>
          <w:szCs w:val="24"/>
          <w:lang w:eastAsia="zh-CN"/>
        </w:rPr>
        <w:t xml:space="preserve"> NM</w:t>
      </w:r>
      <w:r w:rsidRPr="00A7194B">
        <w:rPr>
          <w:rFonts w:ascii="Book Antiqua" w:hAnsi="Book Antiqua"/>
          <w:sz w:val="24"/>
          <w:szCs w:val="24"/>
        </w:rPr>
        <w:t>, Hjelkrem</w:t>
      </w:r>
      <w:r w:rsidRPr="00A7194B">
        <w:rPr>
          <w:rFonts w:ascii="Book Antiqua" w:hAnsi="Book Antiqua"/>
          <w:sz w:val="24"/>
          <w:szCs w:val="24"/>
          <w:lang w:eastAsia="zh-CN"/>
        </w:rPr>
        <w:t xml:space="preserve"> MC.</w:t>
      </w:r>
      <w:r w:rsidRPr="00A7194B">
        <w:rPr>
          <w:rFonts w:ascii="Book Antiqua" w:hAnsi="Book Antiqua"/>
          <w:sz w:val="24"/>
          <w:szCs w:val="24"/>
        </w:rPr>
        <w:t xml:space="preserve"> Bowel cleansing before colonoscopy: Balancing efficacy, safety, cost and patient tolerance</w:t>
      </w:r>
      <w:r w:rsidRPr="00A7194B">
        <w:rPr>
          <w:rFonts w:ascii="Book Antiqua" w:hAnsi="Book Antiqua"/>
          <w:sz w:val="24"/>
          <w:szCs w:val="24"/>
          <w:lang w:eastAsia="zh-CN"/>
        </w:rPr>
        <w:t xml:space="preserve">. </w:t>
      </w:r>
      <w:r w:rsidRPr="00A7194B">
        <w:rPr>
          <w:rFonts w:ascii="Book Antiqua" w:hAnsi="Book Antiqua"/>
          <w:i/>
          <w:iCs/>
          <w:sz w:val="24"/>
          <w:szCs w:val="24"/>
        </w:rPr>
        <w:t xml:space="preserve">World J </w:t>
      </w:r>
      <w:proofErr w:type="spellStart"/>
      <w:r w:rsidRPr="00A7194B">
        <w:rPr>
          <w:rFonts w:ascii="Book Antiqua" w:hAnsi="Book Antiqua"/>
          <w:i/>
          <w:iCs/>
          <w:sz w:val="24"/>
          <w:szCs w:val="24"/>
        </w:rPr>
        <w:t>Gastrointest</w:t>
      </w:r>
      <w:proofErr w:type="spellEnd"/>
      <w:r w:rsidRPr="00A7194B">
        <w:rPr>
          <w:rFonts w:ascii="Book Antiqua" w:hAnsi="Book Antiqua"/>
          <w:i/>
          <w:iCs/>
          <w:sz w:val="24"/>
          <w:szCs w:val="24"/>
        </w:rPr>
        <w:t xml:space="preserve"> </w:t>
      </w:r>
      <w:proofErr w:type="spellStart"/>
      <w:r w:rsidRPr="00A7194B">
        <w:rPr>
          <w:rFonts w:ascii="Book Antiqua" w:hAnsi="Book Antiqua"/>
          <w:i/>
          <w:iCs/>
          <w:sz w:val="24"/>
          <w:szCs w:val="24"/>
        </w:rPr>
        <w:t>Endosc</w:t>
      </w:r>
      <w:proofErr w:type="spellEnd"/>
      <w:r w:rsidRPr="00A7194B">
        <w:rPr>
          <w:rFonts w:ascii="Book Antiqua" w:hAnsi="Book Antiqua"/>
          <w:i/>
          <w:iCs/>
          <w:sz w:val="24"/>
          <w:szCs w:val="24"/>
          <w:lang w:eastAsia="zh-CN"/>
        </w:rPr>
        <w:t xml:space="preserve"> </w:t>
      </w:r>
      <w:r w:rsidRPr="00A7194B">
        <w:rPr>
          <w:rFonts w:ascii="Book Antiqua" w:hAnsi="Book Antiqua"/>
          <w:iCs/>
          <w:sz w:val="24"/>
          <w:szCs w:val="24"/>
          <w:lang w:eastAsia="zh-CN"/>
        </w:rPr>
        <w:t xml:space="preserve">2015; </w:t>
      </w:r>
      <w:proofErr w:type="gramStart"/>
      <w:r w:rsidRPr="00A7194B">
        <w:rPr>
          <w:rFonts w:ascii="Book Antiqua" w:hAnsi="Book Antiqua"/>
          <w:iCs/>
          <w:sz w:val="24"/>
          <w:szCs w:val="24"/>
          <w:lang w:eastAsia="zh-CN"/>
        </w:rPr>
        <w:t>In</w:t>
      </w:r>
      <w:proofErr w:type="gramEnd"/>
      <w:r w:rsidRPr="00A7194B">
        <w:rPr>
          <w:rFonts w:ascii="Book Antiqua" w:hAnsi="Book Antiqua"/>
          <w:iCs/>
          <w:sz w:val="24"/>
          <w:szCs w:val="24"/>
          <w:lang w:eastAsia="zh-CN"/>
        </w:rPr>
        <w:t xml:space="preserve"> press</w:t>
      </w:r>
    </w:p>
    <w:p w:rsidR="00A7194B" w:rsidRPr="00A7194B" w:rsidRDefault="00A7194B" w:rsidP="00A7194B">
      <w:pPr>
        <w:spacing w:after="0" w:line="360" w:lineRule="auto"/>
        <w:jc w:val="both"/>
        <w:rPr>
          <w:rFonts w:ascii="Book Antiqua" w:hAnsi="Book Antiqua"/>
          <w:sz w:val="24"/>
          <w:szCs w:val="24"/>
          <w:lang w:eastAsia="zh-CN"/>
        </w:rPr>
      </w:pPr>
      <w:r w:rsidRPr="00A7194B">
        <w:rPr>
          <w:rFonts w:ascii="Book Antiqua" w:hAnsi="Book Antiqua"/>
          <w:sz w:val="24"/>
          <w:szCs w:val="24"/>
          <w:lang w:eastAsia="zh-CN"/>
        </w:rPr>
        <w:br w:type="page"/>
      </w:r>
    </w:p>
    <w:p w:rsidR="00486EA2" w:rsidRPr="00A7194B" w:rsidRDefault="00486EA2"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lastRenderedPageBreak/>
        <w:t>Many patients describe the bowel preparation prior to colonoscopy as the most unpleasant part of the whole procedure and the biggest deterrent to repeating it. Unfortunately, in addition to being the most loathed aspect, the bowel preparation is one of the most critical components of effective screening for colon cancer. The ideal bowel preparation, though this has not yet been developed, is one that is safe, highly effective and reliable, convenient, and tolerable enough that patients are not deterred from repeating the procedure.</w:t>
      </w:r>
    </w:p>
    <w:p w:rsidR="00486EA2" w:rsidRPr="00A7194B" w:rsidRDefault="00903238" w:rsidP="00986E75">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I</w:t>
      </w:r>
      <w:r w:rsidR="00486EA2" w:rsidRPr="00A7194B">
        <w:rPr>
          <w:rFonts w:ascii="Book Antiqua" w:hAnsi="Book Antiqua"/>
          <w:sz w:val="24"/>
          <w:szCs w:val="24"/>
        </w:rPr>
        <w:t xml:space="preserve">nadequate </w:t>
      </w:r>
      <w:r w:rsidR="00C770B3" w:rsidRPr="00A7194B">
        <w:rPr>
          <w:rFonts w:ascii="Book Antiqua" w:hAnsi="Book Antiqua"/>
          <w:sz w:val="24"/>
          <w:szCs w:val="24"/>
        </w:rPr>
        <w:t xml:space="preserve">bowel </w:t>
      </w:r>
      <w:r w:rsidR="00486EA2" w:rsidRPr="00A7194B">
        <w:rPr>
          <w:rFonts w:ascii="Book Antiqua" w:hAnsi="Book Antiqua"/>
          <w:sz w:val="24"/>
          <w:szCs w:val="24"/>
        </w:rPr>
        <w:t>prep</w:t>
      </w:r>
      <w:r w:rsidRPr="00A7194B">
        <w:rPr>
          <w:rFonts w:ascii="Book Antiqua" w:hAnsi="Book Antiqua"/>
          <w:sz w:val="24"/>
          <w:szCs w:val="24"/>
        </w:rPr>
        <w:t>arations lead to</w:t>
      </w:r>
      <w:r w:rsidR="00486EA2" w:rsidRPr="00A7194B">
        <w:rPr>
          <w:rFonts w:ascii="Book Antiqua" w:hAnsi="Book Antiqua"/>
          <w:sz w:val="24"/>
          <w:szCs w:val="24"/>
        </w:rPr>
        <w:t xml:space="preserve"> lower adenoma detection rate</w:t>
      </w:r>
      <w:r w:rsidR="00C770B3" w:rsidRPr="00A7194B">
        <w:rPr>
          <w:rFonts w:ascii="Book Antiqua" w:hAnsi="Book Antiqua"/>
          <w:sz w:val="24"/>
          <w:szCs w:val="24"/>
        </w:rPr>
        <w:t>s</w:t>
      </w:r>
      <w:r w:rsidR="00486EA2" w:rsidRPr="00A7194B">
        <w:rPr>
          <w:rFonts w:ascii="Book Antiqua" w:hAnsi="Book Antiqua"/>
          <w:sz w:val="24"/>
          <w:szCs w:val="24"/>
        </w:rPr>
        <w:t xml:space="preserve"> and </w:t>
      </w:r>
      <w:r w:rsidRPr="00A7194B">
        <w:rPr>
          <w:rFonts w:ascii="Book Antiqua" w:hAnsi="Book Antiqua"/>
          <w:sz w:val="24"/>
          <w:szCs w:val="24"/>
        </w:rPr>
        <w:t xml:space="preserve">more frequent follow up intervals </w:t>
      </w:r>
      <w:r w:rsidR="00486EA2" w:rsidRPr="00A7194B">
        <w:rPr>
          <w:rFonts w:ascii="Book Antiqua" w:hAnsi="Book Antiqua"/>
          <w:sz w:val="24"/>
          <w:szCs w:val="24"/>
        </w:rPr>
        <w:t>than would otherwise be recommend</w:t>
      </w:r>
      <w:r w:rsidRPr="00A7194B">
        <w:rPr>
          <w:rFonts w:ascii="Book Antiqua" w:hAnsi="Book Antiqua"/>
          <w:sz w:val="24"/>
          <w:szCs w:val="24"/>
        </w:rPr>
        <w:t xml:space="preserve">ed by guidelines based on </w:t>
      </w:r>
      <w:r w:rsidR="00486EA2" w:rsidRPr="00A7194B">
        <w:rPr>
          <w:rFonts w:ascii="Book Antiqua" w:hAnsi="Book Antiqua"/>
          <w:sz w:val="24"/>
          <w:szCs w:val="24"/>
        </w:rPr>
        <w:t>colonoscopy findings. The European Panel of Appropriateness of Gastrointestinal Endoscopy found that polyp detection was related to</w:t>
      </w:r>
      <w:r w:rsidR="00552B68" w:rsidRPr="00A7194B">
        <w:rPr>
          <w:rFonts w:ascii="Book Antiqua" w:hAnsi="Book Antiqua"/>
          <w:sz w:val="24"/>
          <w:szCs w:val="24"/>
        </w:rPr>
        <w:t xml:space="preserve"> the quality of bowel </w:t>
      </w:r>
      <w:proofErr w:type="gramStart"/>
      <w:r w:rsidR="00552B68" w:rsidRPr="00A7194B">
        <w:rPr>
          <w:rFonts w:ascii="Book Antiqua" w:hAnsi="Book Antiqua"/>
          <w:sz w:val="24"/>
          <w:szCs w:val="24"/>
        </w:rPr>
        <w:t>cleansing</w:t>
      </w:r>
      <w:r w:rsidR="00486EA2" w:rsidRPr="00A7194B">
        <w:rPr>
          <w:rFonts w:ascii="Book Antiqua" w:hAnsi="Book Antiqua"/>
          <w:sz w:val="24"/>
          <w:szCs w:val="24"/>
          <w:vertAlign w:val="superscript"/>
        </w:rPr>
        <w:t>[</w:t>
      </w:r>
      <w:proofErr w:type="gramEnd"/>
      <w:r w:rsidR="008435FE" w:rsidRPr="00A7194B">
        <w:rPr>
          <w:rFonts w:ascii="Book Antiqua" w:hAnsi="Book Antiqua"/>
          <w:sz w:val="24"/>
          <w:szCs w:val="24"/>
          <w:vertAlign w:val="superscript"/>
        </w:rPr>
        <w:t>1</w:t>
      </w:r>
      <w:r w:rsidR="00486EA2" w:rsidRPr="00A7194B">
        <w:rPr>
          <w:rFonts w:ascii="Book Antiqua" w:hAnsi="Book Antiqua"/>
          <w:sz w:val="24"/>
          <w:szCs w:val="24"/>
          <w:vertAlign w:val="superscript"/>
        </w:rPr>
        <w:t>]</w:t>
      </w:r>
      <w:r w:rsidR="00552B68" w:rsidRPr="00A7194B">
        <w:rPr>
          <w:rFonts w:ascii="Book Antiqua" w:hAnsi="Book Antiqua"/>
          <w:sz w:val="24"/>
          <w:szCs w:val="24"/>
        </w:rPr>
        <w:t>.</w:t>
      </w:r>
      <w:r w:rsidR="00486EA2" w:rsidRPr="00A7194B">
        <w:rPr>
          <w:rFonts w:ascii="Book Antiqua" w:hAnsi="Book Antiqua"/>
          <w:sz w:val="24"/>
          <w:szCs w:val="24"/>
        </w:rPr>
        <w:t xml:space="preserve"> Relative to a low quality preparation, a high quality or intermediate quality preparation produced a 1.</w:t>
      </w:r>
      <w:r w:rsidR="00CA066A" w:rsidRPr="00A7194B">
        <w:rPr>
          <w:rFonts w:ascii="Book Antiqua" w:hAnsi="Book Antiqua"/>
          <w:sz w:val="24"/>
          <w:szCs w:val="24"/>
        </w:rPr>
        <w:t>46</w:t>
      </w:r>
      <w:r w:rsidR="00486EA2" w:rsidRPr="00A7194B">
        <w:rPr>
          <w:rFonts w:ascii="Book Antiqua" w:hAnsi="Book Antiqua"/>
          <w:sz w:val="24"/>
          <w:szCs w:val="24"/>
        </w:rPr>
        <w:t xml:space="preserve"> and 1.</w:t>
      </w:r>
      <w:r w:rsidR="00CA066A" w:rsidRPr="00A7194B">
        <w:rPr>
          <w:rFonts w:ascii="Book Antiqua" w:hAnsi="Book Antiqua"/>
          <w:sz w:val="24"/>
          <w:szCs w:val="24"/>
        </w:rPr>
        <w:t>73</w:t>
      </w:r>
      <w:r w:rsidR="00552B68" w:rsidRPr="00A7194B">
        <w:rPr>
          <w:rFonts w:ascii="Book Antiqua" w:hAnsi="Book Antiqua"/>
          <w:sz w:val="24"/>
          <w:szCs w:val="24"/>
        </w:rPr>
        <w:t xml:space="preserve"> odds ratio </w:t>
      </w:r>
      <w:r w:rsidR="00986E75">
        <w:rPr>
          <w:rFonts w:ascii="Book Antiqua" w:hAnsi="Book Antiqua" w:hint="eastAsia"/>
          <w:sz w:val="24"/>
          <w:szCs w:val="24"/>
          <w:lang w:eastAsia="zh-CN"/>
        </w:rPr>
        <w:t xml:space="preserve">(OR) </w:t>
      </w:r>
      <w:r w:rsidR="00552B68" w:rsidRPr="00A7194B">
        <w:rPr>
          <w:rFonts w:ascii="Book Antiqua" w:hAnsi="Book Antiqua"/>
          <w:sz w:val="24"/>
          <w:szCs w:val="24"/>
        </w:rPr>
        <w:t xml:space="preserve">of polyp </w:t>
      </w:r>
      <w:proofErr w:type="gramStart"/>
      <w:r w:rsidR="00552B68" w:rsidRPr="00A7194B">
        <w:rPr>
          <w:rFonts w:ascii="Book Antiqua" w:hAnsi="Book Antiqua"/>
          <w:sz w:val="24"/>
          <w:szCs w:val="24"/>
        </w:rPr>
        <w:t>detection</w:t>
      </w:r>
      <w:r w:rsidR="00486EA2" w:rsidRPr="00A7194B">
        <w:rPr>
          <w:rFonts w:ascii="Book Antiqua" w:hAnsi="Book Antiqua"/>
          <w:sz w:val="24"/>
          <w:szCs w:val="24"/>
          <w:vertAlign w:val="superscript"/>
        </w:rPr>
        <w:t>[</w:t>
      </w:r>
      <w:proofErr w:type="gramEnd"/>
      <w:r w:rsidR="00033BC5" w:rsidRPr="00A7194B">
        <w:rPr>
          <w:rFonts w:ascii="Book Antiqua" w:hAnsi="Book Antiqua"/>
          <w:sz w:val="24"/>
          <w:szCs w:val="24"/>
          <w:vertAlign w:val="superscript"/>
        </w:rPr>
        <w:t>1</w:t>
      </w:r>
      <w:r w:rsidR="00486EA2" w:rsidRPr="00A7194B">
        <w:rPr>
          <w:rFonts w:ascii="Book Antiqua" w:hAnsi="Book Antiqua"/>
          <w:sz w:val="24"/>
          <w:szCs w:val="24"/>
          <w:vertAlign w:val="superscript"/>
        </w:rPr>
        <w:t>]</w:t>
      </w:r>
      <w:r w:rsidR="00552B68" w:rsidRPr="00A7194B">
        <w:rPr>
          <w:rFonts w:ascii="Book Antiqua" w:hAnsi="Book Antiqua"/>
          <w:sz w:val="24"/>
          <w:szCs w:val="24"/>
        </w:rPr>
        <w:t xml:space="preserve">. </w:t>
      </w:r>
      <w:proofErr w:type="spellStart"/>
      <w:r w:rsidR="00486EA2" w:rsidRPr="00A7194B">
        <w:rPr>
          <w:rFonts w:ascii="Book Antiqua" w:hAnsi="Book Antiqua"/>
          <w:sz w:val="24"/>
          <w:szCs w:val="24"/>
        </w:rPr>
        <w:t>Sherer</w:t>
      </w:r>
      <w:proofErr w:type="spellEnd"/>
      <w:r w:rsidR="00486EA2" w:rsidRPr="00A7194B">
        <w:rPr>
          <w:rFonts w:ascii="Book Antiqua" w:hAnsi="Book Antiqua"/>
          <w:sz w:val="24"/>
          <w:szCs w:val="24"/>
        </w:rPr>
        <w:t xml:space="preserve"> </w:t>
      </w:r>
      <w:r w:rsidR="00486EA2" w:rsidRPr="00986E75">
        <w:rPr>
          <w:rFonts w:ascii="Book Antiqua" w:hAnsi="Book Antiqua"/>
          <w:i/>
          <w:sz w:val="24"/>
          <w:szCs w:val="24"/>
        </w:rPr>
        <w:t xml:space="preserve">et </w:t>
      </w:r>
      <w:proofErr w:type="gramStart"/>
      <w:r w:rsidR="00486EA2" w:rsidRPr="00986E75">
        <w:rPr>
          <w:rFonts w:ascii="Book Antiqua" w:hAnsi="Book Antiqua"/>
          <w:i/>
          <w:sz w:val="24"/>
          <w:szCs w:val="24"/>
        </w:rPr>
        <w:t>al</w:t>
      </w:r>
      <w:r w:rsidR="00986E75" w:rsidRPr="00A7194B">
        <w:rPr>
          <w:rFonts w:ascii="Book Antiqua" w:hAnsi="Book Antiqua"/>
          <w:sz w:val="24"/>
          <w:szCs w:val="24"/>
          <w:vertAlign w:val="superscript"/>
        </w:rPr>
        <w:t>[</w:t>
      </w:r>
      <w:proofErr w:type="gramEnd"/>
      <w:r w:rsidR="00986E75" w:rsidRPr="00A7194B">
        <w:rPr>
          <w:rFonts w:ascii="Book Antiqua" w:hAnsi="Book Antiqua"/>
          <w:sz w:val="24"/>
          <w:szCs w:val="24"/>
          <w:vertAlign w:val="superscript"/>
        </w:rPr>
        <w:t>2]</w:t>
      </w:r>
      <w:r w:rsidR="00486EA2" w:rsidRPr="00A7194B">
        <w:rPr>
          <w:rFonts w:ascii="Book Antiqua" w:hAnsi="Book Antiqua"/>
          <w:sz w:val="24"/>
          <w:szCs w:val="24"/>
        </w:rPr>
        <w:t xml:space="preserve"> found a lower detection rate of advanced </w:t>
      </w:r>
      <w:r w:rsidR="00CA066A" w:rsidRPr="00A7194B">
        <w:rPr>
          <w:rFonts w:ascii="Book Antiqua" w:hAnsi="Book Antiqua"/>
          <w:sz w:val="24"/>
          <w:szCs w:val="24"/>
        </w:rPr>
        <w:t>histology in the setting of poor preparation, though the number of polyps 6-9</w:t>
      </w:r>
      <w:r w:rsidR="00986E75">
        <w:rPr>
          <w:rFonts w:ascii="Book Antiqua" w:hAnsi="Book Antiqua" w:hint="eastAsia"/>
          <w:sz w:val="24"/>
          <w:szCs w:val="24"/>
          <w:lang w:eastAsia="zh-CN"/>
        </w:rPr>
        <w:t xml:space="preserve"> </w:t>
      </w:r>
      <w:r w:rsidR="00CA066A" w:rsidRPr="00A7194B">
        <w:rPr>
          <w:rFonts w:ascii="Book Antiqua" w:hAnsi="Book Antiqua"/>
          <w:sz w:val="24"/>
          <w:szCs w:val="24"/>
        </w:rPr>
        <w:t>mm detected was not different</w:t>
      </w:r>
      <w:r w:rsidR="00552B68" w:rsidRPr="00A7194B">
        <w:rPr>
          <w:rFonts w:ascii="Book Antiqua" w:hAnsi="Book Antiqua"/>
          <w:sz w:val="24"/>
          <w:szCs w:val="24"/>
        </w:rPr>
        <w:t>.</w:t>
      </w:r>
      <w:r w:rsidR="00486EA2" w:rsidRPr="00A7194B">
        <w:rPr>
          <w:rFonts w:ascii="Book Antiqua" w:hAnsi="Book Antiqua"/>
          <w:sz w:val="24"/>
          <w:szCs w:val="24"/>
        </w:rPr>
        <w:t> In studies that have looked at early repeat colonoscopy following a suboptimal preparation, the quality of preparation is strongly associated with incidence</w:t>
      </w:r>
      <w:r w:rsidR="00552B68" w:rsidRPr="00A7194B">
        <w:rPr>
          <w:rFonts w:ascii="Book Antiqua" w:hAnsi="Book Antiqua"/>
          <w:sz w:val="24"/>
          <w:szCs w:val="24"/>
        </w:rPr>
        <w:t xml:space="preserve"> of missed polyps and </w:t>
      </w:r>
      <w:proofErr w:type="gramStart"/>
      <w:r w:rsidR="00552B68" w:rsidRPr="00A7194B">
        <w:rPr>
          <w:rFonts w:ascii="Book Antiqua" w:hAnsi="Book Antiqua"/>
          <w:sz w:val="24"/>
          <w:szCs w:val="24"/>
        </w:rPr>
        <w:t>adenomas</w:t>
      </w:r>
      <w:r w:rsidR="00486EA2" w:rsidRPr="00A7194B">
        <w:rPr>
          <w:rFonts w:ascii="Book Antiqua" w:hAnsi="Book Antiqua"/>
          <w:sz w:val="24"/>
          <w:szCs w:val="24"/>
          <w:vertAlign w:val="superscript"/>
        </w:rPr>
        <w:t>[</w:t>
      </w:r>
      <w:proofErr w:type="gramEnd"/>
      <w:r w:rsidR="00486EA2" w:rsidRPr="00A7194B">
        <w:rPr>
          <w:rFonts w:ascii="Book Antiqua" w:hAnsi="Book Antiqua"/>
          <w:sz w:val="24"/>
          <w:szCs w:val="24"/>
          <w:vertAlign w:val="superscript"/>
        </w:rPr>
        <w:t>3</w:t>
      </w:r>
      <w:r w:rsidR="00552B68" w:rsidRPr="00A7194B">
        <w:rPr>
          <w:rFonts w:ascii="Book Antiqua" w:hAnsi="Book Antiqua"/>
          <w:sz w:val="24"/>
          <w:szCs w:val="24"/>
          <w:vertAlign w:val="superscript"/>
        </w:rPr>
        <w:t>-</w:t>
      </w:r>
      <w:r w:rsidR="00486EA2" w:rsidRPr="00A7194B">
        <w:rPr>
          <w:rFonts w:ascii="Book Antiqua" w:hAnsi="Book Antiqua"/>
          <w:sz w:val="24"/>
          <w:szCs w:val="24"/>
          <w:vertAlign w:val="superscript"/>
        </w:rPr>
        <w:t>5]</w:t>
      </w:r>
      <w:r w:rsidR="00552B68" w:rsidRPr="00A7194B">
        <w:rPr>
          <w:rFonts w:ascii="Book Antiqua" w:hAnsi="Book Antiqua"/>
          <w:sz w:val="24"/>
          <w:szCs w:val="24"/>
        </w:rPr>
        <w:t>.</w:t>
      </w:r>
      <w:r w:rsidR="00486EA2" w:rsidRPr="00A7194B">
        <w:rPr>
          <w:rFonts w:ascii="Book Antiqua" w:hAnsi="Book Antiqua"/>
          <w:sz w:val="24"/>
          <w:szCs w:val="24"/>
        </w:rPr>
        <w:t xml:space="preserve"> </w:t>
      </w:r>
      <w:proofErr w:type="spellStart"/>
      <w:r w:rsidR="00486EA2" w:rsidRPr="00A7194B">
        <w:rPr>
          <w:rFonts w:ascii="Book Antiqua" w:hAnsi="Book Antiqua"/>
          <w:sz w:val="24"/>
          <w:szCs w:val="24"/>
        </w:rPr>
        <w:t>Lebwohl</w:t>
      </w:r>
      <w:proofErr w:type="spellEnd"/>
      <w:r w:rsidR="00486EA2" w:rsidRPr="00A7194B">
        <w:rPr>
          <w:rFonts w:ascii="Book Antiqua" w:hAnsi="Book Antiqua"/>
          <w:sz w:val="24"/>
          <w:szCs w:val="24"/>
        </w:rPr>
        <w:t xml:space="preserve"> </w:t>
      </w:r>
      <w:r w:rsidR="00486EA2" w:rsidRPr="00A01200">
        <w:rPr>
          <w:rFonts w:ascii="Book Antiqua" w:hAnsi="Book Antiqua"/>
          <w:i/>
          <w:sz w:val="24"/>
          <w:szCs w:val="24"/>
        </w:rPr>
        <w:t xml:space="preserve">et </w:t>
      </w:r>
      <w:proofErr w:type="gramStart"/>
      <w:r w:rsidR="00486EA2" w:rsidRPr="00A01200">
        <w:rPr>
          <w:rFonts w:ascii="Book Antiqua" w:hAnsi="Book Antiqua"/>
          <w:i/>
          <w:sz w:val="24"/>
          <w:szCs w:val="24"/>
        </w:rPr>
        <w:t>al</w:t>
      </w:r>
      <w:r w:rsidR="00A01200" w:rsidRPr="00A7194B">
        <w:rPr>
          <w:rFonts w:ascii="Book Antiqua" w:hAnsi="Book Antiqua"/>
          <w:sz w:val="24"/>
          <w:szCs w:val="24"/>
          <w:vertAlign w:val="superscript"/>
        </w:rPr>
        <w:t>[</w:t>
      </w:r>
      <w:proofErr w:type="gramEnd"/>
      <w:r w:rsidR="00A01200" w:rsidRPr="00A7194B">
        <w:rPr>
          <w:rFonts w:ascii="Book Antiqua" w:hAnsi="Book Antiqua"/>
          <w:sz w:val="24"/>
          <w:szCs w:val="24"/>
          <w:vertAlign w:val="superscript"/>
        </w:rPr>
        <w:t>3]</w:t>
      </w:r>
      <w:r w:rsidR="00486EA2" w:rsidRPr="00A7194B">
        <w:rPr>
          <w:rFonts w:ascii="Book Antiqua" w:hAnsi="Book Antiqua"/>
          <w:sz w:val="24"/>
          <w:szCs w:val="24"/>
        </w:rPr>
        <w:t xml:space="preserve"> found a 42% overall miss rate after inadequate bowel prep with a 47% miss rate for adenomas </w:t>
      </w:r>
      <w:r w:rsidRPr="00A7194B">
        <w:rPr>
          <w:rFonts w:ascii="Book Antiqua" w:hAnsi="Book Antiqua"/>
          <w:sz w:val="24"/>
          <w:szCs w:val="24"/>
        </w:rPr>
        <w:t xml:space="preserve">less than </w:t>
      </w:r>
      <w:r w:rsidR="00486EA2" w:rsidRPr="00A7194B">
        <w:rPr>
          <w:rFonts w:ascii="Book Antiqua" w:hAnsi="Book Antiqua"/>
          <w:sz w:val="24"/>
          <w:szCs w:val="24"/>
        </w:rPr>
        <w:t>10</w:t>
      </w:r>
      <w:r w:rsidR="005F5AE9">
        <w:rPr>
          <w:rFonts w:ascii="Book Antiqua" w:hAnsi="Book Antiqua" w:hint="eastAsia"/>
          <w:sz w:val="24"/>
          <w:szCs w:val="24"/>
          <w:lang w:eastAsia="zh-CN"/>
        </w:rPr>
        <w:t xml:space="preserve"> </w:t>
      </w:r>
      <w:r w:rsidR="00486EA2" w:rsidRPr="00A7194B">
        <w:rPr>
          <w:rFonts w:ascii="Book Antiqua" w:hAnsi="Book Antiqua"/>
          <w:sz w:val="24"/>
          <w:szCs w:val="24"/>
        </w:rPr>
        <w:t>mm and 27% mis</w:t>
      </w:r>
      <w:r w:rsidR="001E141F" w:rsidRPr="00A7194B">
        <w:rPr>
          <w:rFonts w:ascii="Book Antiqua" w:hAnsi="Book Antiqua"/>
          <w:sz w:val="24"/>
          <w:szCs w:val="24"/>
        </w:rPr>
        <w:t xml:space="preserve">s rate for adenomas </w:t>
      </w:r>
      <w:r w:rsidRPr="00A7194B">
        <w:rPr>
          <w:rFonts w:ascii="Book Antiqua" w:hAnsi="Book Antiqua"/>
          <w:sz w:val="24"/>
          <w:szCs w:val="24"/>
        </w:rPr>
        <w:t>greater or equal to</w:t>
      </w:r>
      <w:r w:rsidR="007955E8" w:rsidRPr="00A7194B">
        <w:rPr>
          <w:rFonts w:ascii="Book Antiqua" w:hAnsi="Book Antiqua"/>
          <w:sz w:val="24"/>
          <w:szCs w:val="24"/>
        </w:rPr>
        <w:t xml:space="preserve"> 10</w:t>
      </w:r>
      <w:r w:rsidR="00A01200">
        <w:rPr>
          <w:rFonts w:ascii="Book Antiqua" w:hAnsi="Book Antiqua" w:hint="eastAsia"/>
          <w:sz w:val="24"/>
          <w:szCs w:val="24"/>
          <w:lang w:eastAsia="zh-CN"/>
        </w:rPr>
        <w:t xml:space="preserve"> </w:t>
      </w:r>
      <w:r w:rsidR="007955E8" w:rsidRPr="00A7194B">
        <w:rPr>
          <w:rFonts w:ascii="Book Antiqua" w:hAnsi="Book Antiqua"/>
          <w:sz w:val="24"/>
          <w:szCs w:val="24"/>
        </w:rPr>
        <w:t>mm.</w:t>
      </w:r>
      <w:r w:rsidR="00486EA2" w:rsidRPr="00A7194B">
        <w:rPr>
          <w:rFonts w:ascii="Book Antiqua" w:hAnsi="Book Antiqua"/>
          <w:sz w:val="24"/>
          <w:szCs w:val="24"/>
        </w:rPr>
        <w:t xml:space="preserve"> Hong</w:t>
      </w:r>
      <w:r w:rsidR="00486EA2" w:rsidRPr="00A01200">
        <w:rPr>
          <w:rFonts w:ascii="Book Antiqua" w:hAnsi="Book Antiqua"/>
          <w:i/>
          <w:sz w:val="24"/>
          <w:szCs w:val="24"/>
        </w:rPr>
        <w:t xml:space="preserve"> et al</w:t>
      </w:r>
      <w:r w:rsidR="00A01200" w:rsidRPr="00A7194B">
        <w:rPr>
          <w:rFonts w:ascii="Book Antiqua" w:hAnsi="Book Antiqua"/>
          <w:sz w:val="24"/>
          <w:szCs w:val="24"/>
          <w:vertAlign w:val="superscript"/>
        </w:rPr>
        <w:t>[4]</w:t>
      </w:r>
      <w:r w:rsidR="00486EA2" w:rsidRPr="00A7194B">
        <w:rPr>
          <w:rFonts w:ascii="Book Antiqua" w:hAnsi="Book Antiqua"/>
          <w:sz w:val="24"/>
          <w:szCs w:val="24"/>
        </w:rPr>
        <w:t xml:space="preserve"> found that the adenoma detection rate decreased as the quality of bowel prep decreased with a precipitous drop off seen as the quality</w:t>
      </w:r>
      <w:r w:rsidR="007955E8" w:rsidRPr="00A7194B">
        <w:rPr>
          <w:rFonts w:ascii="Book Antiqua" w:hAnsi="Book Antiqua"/>
          <w:sz w:val="24"/>
          <w:szCs w:val="24"/>
        </w:rPr>
        <w:t xml:space="preserve"> decreased from fair to poor.</w:t>
      </w:r>
      <w:r w:rsidR="00486EA2" w:rsidRPr="00A7194B">
        <w:rPr>
          <w:rFonts w:ascii="Book Antiqua" w:hAnsi="Book Antiqua"/>
          <w:sz w:val="24"/>
          <w:szCs w:val="24"/>
        </w:rPr>
        <w:t xml:space="preserve"> Ultimately, the adenoma detection rate was associated with patient tolerability with an </w:t>
      </w:r>
      <w:r w:rsidR="00986E75">
        <w:rPr>
          <w:rFonts w:ascii="Book Antiqua" w:hAnsi="Book Antiqua" w:hint="eastAsia"/>
          <w:sz w:val="24"/>
          <w:szCs w:val="24"/>
          <w:lang w:eastAsia="zh-CN"/>
        </w:rPr>
        <w:t>OR</w:t>
      </w:r>
      <w:r w:rsidR="00486EA2" w:rsidRPr="00A7194B">
        <w:rPr>
          <w:rFonts w:ascii="Book Antiqua" w:hAnsi="Book Antiqua"/>
          <w:sz w:val="24"/>
          <w:szCs w:val="24"/>
        </w:rPr>
        <w:t xml:space="preserve"> of 0.39 in the setting of poorly tolerated </w:t>
      </w:r>
      <w:proofErr w:type="gramStart"/>
      <w:r w:rsidR="00486EA2" w:rsidRPr="00A7194B">
        <w:rPr>
          <w:rFonts w:ascii="Book Antiqua" w:hAnsi="Book Antiqua"/>
          <w:sz w:val="24"/>
          <w:szCs w:val="24"/>
        </w:rPr>
        <w:t>prep</w:t>
      </w:r>
      <w:r w:rsidRPr="00A7194B">
        <w:rPr>
          <w:rFonts w:ascii="Book Antiqua" w:hAnsi="Book Antiqua"/>
          <w:sz w:val="24"/>
          <w:szCs w:val="24"/>
        </w:rPr>
        <w:t>arations</w:t>
      </w:r>
      <w:r w:rsidR="00552B68" w:rsidRPr="00A7194B">
        <w:rPr>
          <w:rFonts w:ascii="Book Antiqua" w:hAnsi="Book Antiqua"/>
          <w:sz w:val="24"/>
          <w:szCs w:val="24"/>
          <w:vertAlign w:val="superscript"/>
        </w:rPr>
        <w:t>[</w:t>
      </w:r>
      <w:proofErr w:type="gramEnd"/>
      <w:r w:rsidR="00552B68" w:rsidRPr="00A7194B">
        <w:rPr>
          <w:rFonts w:ascii="Book Antiqua" w:hAnsi="Book Antiqua"/>
          <w:sz w:val="24"/>
          <w:szCs w:val="24"/>
          <w:vertAlign w:val="superscript"/>
        </w:rPr>
        <w:t>6]</w:t>
      </w:r>
      <w:r w:rsidR="007955E8" w:rsidRPr="00A7194B">
        <w:rPr>
          <w:rFonts w:ascii="Book Antiqua" w:hAnsi="Book Antiqua"/>
          <w:sz w:val="24"/>
          <w:szCs w:val="24"/>
        </w:rPr>
        <w:t>.</w:t>
      </w:r>
      <w:r w:rsidR="00486EA2" w:rsidRPr="00A7194B">
        <w:rPr>
          <w:rFonts w:ascii="Book Antiqua" w:hAnsi="Book Antiqua"/>
          <w:sz w:val="24"/>
          <w:szCs w:val="24"/>
        </w:rPr>
        <w:t xml:space="preserve"> </w:t>
      </w:r>
    </w:p>
    <w:p w:rsidR="00486EA2" w:rsidRPr="00A7194B" w:rsidRDefault="00F3432D" w:rsidP="005F5AE9">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 xml:space="preserve">The evidence for the benefit of bowel preparation prior to colorectal surgery is less convincing. While it remains the overwhelming practice of surgeons to prescribe a mechanical bowel preparation, studies have not convincingly showed that it reduces the incidence of mortality, skin and soft tissue infections, or peritonitis as compared to no </w:t>
      </w:r>
      <w:proofErr w:type="gramStart"/>
      <w:r w:rsidRPr="00A7194B">
        <w:rPr>
          <w:rFonts w:ascii="Book Antiqua" w:hAnsi="Book Antiqua"/>
          <w:sz w:val="24"/>
          <w:szCs w:val="24"/>
        </w:rPr>
        <w:t>preparation</w:t>
      </w:r>
      <w:r w:rsidR="005F5AE9" w:rsidRPr="00A7194B">
        <w:rPr>
          <w:rFonts w:ascii="Book Antiqua" w:hAnsi="Book Antiqua"/>
          <w:sz w:val="24"/>
          <w:szCs w:val="24"/>
          <w:vertAlign w:val="superscript"/>
        </w:rPr>
        <w:t>[</w:t>
      </w:r>
      <w:proofErr w:type="gramEnd"/>
      <w:r w:rsidR="005F5AE9" w:rsidRPr="00A7194B">
        <w:rPr>
          <w:rFonts w:ascii="Book Antiqua" w:hAnsi="Book Antiqua"/>
          <w:sz w:val="24"/>
          <w:szCs w:val="24"/>
          <w:vertAlign w:val="superscript"/>
        </w:rPr>
        <w:t>7]</w:t>
      </w:r>
      <w:r w:rsidRPr="00A7194B">
        <w:rPr>
          <w:rFonts w:ascii="Book Antiqua" w:hAnsi="Book Antiqua"/>
          <w:sz w:val="24"/>
          <w:szCs w:val="24"/>
        </w:rPr>
        <w:t xml:space="preserve">. Recent studies have supported the use of oral and parenteral </w:t>
      </w:r>
      <w:r w:rsidRPr="00A7194B">
        <w:rPr>
          <w:rFonts w:ascii="Book Antiqua" w:hAnsi="Book Antiqua"/>
          <w:sz w:val="24"/>
          <w:szCs w:val="24"/>
        </w:rPr>
        <w:lastRenderedPageBreak/>
        <w:t>antibiotics prior to procedure. As with the preparation for endoscopy, there is no clear superiority of one regimen over another.</w:t>
      </w:r>
    </w:p>
    <w:p w:rsidR="00486EA2" w:rsidRPr="00A7194B" w:rsidRDefault="00486EA2" w:rsidP="005F5AE9">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Poor preparation is not an uncommon occurrence. Rates of inadequate bowel preparation are estimated to be as high as 30.2% with as many as 10% being so poor as to p</w:t>
      </w:r>
      <w:r w:rsidR="007955E8" w:rsidRPr="00A7194B">
        <w:rPr>
          <w:rFonts w:ascii="Book Antiqua" w:hAnsi="Book Antiqua"/>
          <w:sz w:val="24"/>
          <w:szCs w:val="24"/>
        </w:rPr>
        <w:t xml:space="preserve">reclude any further </w:t>
      </w:r>
      <w:proofErr w:type="gramStart"/>
      <w:r w:rsidR="007955E8" w:rsidRPr="00A7194B">
        <w:rPr>
          <w:rFonts w:ascii="Book Antiqua" w:hAnsi="Book Antiqua"/>
          <w:sz w:val="24"/>
          <w:szCs w:val="24"/>
        </w:rPr>
        <w:t>evaluation</w:t>
      </w:r>
      <w:r w:rsidR="007B3DC8" w:rsidRPr="00A7194B">
        <w:rPr>
          <w:rFonts w:ascii="Book Antiqua" w:hAnsi="Book Antiqua"/>
          <w:sz w:val="24"/>
          <w:szCs w:val="24"/>
          <w:vertAlign w:val="superscript"/>
        </w:rPr>
        <w:t>[</w:t>
      </w:r>
      <w:proofErr w:type="gramEnd"/>
      <w:r w:rsidR="007B3DC8" w:rsidRPr="00A7194B">
        <w:rPr>
          <w:rFonts w:ascii="Book Antiqua" w:hAnsi="Book Antiqua"/>
          <w:sz w:val="24"/>
          <w:szCs w:val="24"/>
          <w:vertAlign w:val="superscript"/>
        </w:rPr>
        <w:t>8</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Due to the increased risk of missed polyps and decreased efficacy of screening in the face of a poor bowel prep, research has found that, in patients with a poor bowel prep, gastroenterologists are less likely to adhere to recommended screening intervals and more frequently recommend closer follow up than would otherwise be appropriate based on intr</w:t>
      </w:r>
      <w:r w:rsidR="005B2817" w:rsidRPr="00A7194B">
        <w:rPr>
          <w:rFonts w:ascii="Book Antiqua" w:hAnsi="Book Antiqua"/>
          <w:sz w:val="24"/>
          <w:szCs w:val="24"/>
        </w:rPr>
        <w:t>a-proc</w:t>
      </w:r>
      <w:r w:rsidR="007955E8" w:rsidRPr="00A7194B">
        <w:rPr>
          <w:rFonts w:ascii="Book Antiqua" w:hAnsi="Book Antiqua"/>
          <w:sz w:val="24"/>
          <w:szCs w:val="24"/>
        </w:rPr>
        <w:t>edure findings</w:t>
      </w:r>
      <w:r w:rsidR="00552B68" w:rsidRPr="00A7194B">
        <w:rPr>
          <w:rFonts w:ascii="Book Antiqua" w:hAnsi="Book Antiqua"/>
          <w:sz w:val="24"/>
          <w:szCs w:val="24"/>
          <w:vertAlign w:val="superscript"/>
        </w:rPr>
        <w:t>[</w:t>
      </w:r>
      <w:r w:rsidR="007B3DC8" w:rsidRPr="00A7194B">
        <w:rPr>
          <w:rFonts w:ascii="Book Antiqua" w:hAnsi="Book Antiqua"/>
          <w:sz w:val="24"/>
          <w:szCs w:val="24"/>
          <w:vertAlign w:val="superscript"/>
        </w:rPr>
        <w:t>9-11</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Shortened follow up intervals translate into increased screening costs, estimated to be as much as a 12</w:t>
      </w:r>
      <w:r w:rsidR="005F5AE9">
        <w:rPr>
          <w:rFonts w:ascii="Book Antiqua" w:hAnsi="Book Antiqua" w:hint="eastAsia"/>
          <w:sz w:val="24"/>
          <w:szCs w:val="24"/>
          <w:lang w:eastAsia="zh-CN"/>
        </w:rPr>
        <w:t>%</w:t>
      </w:r>
      <w:r w:rsidRPr="00A7194B">
        <w:rPr>
          <w:rFonts w:ascii="Book Antiqua" w:hAnsi="Book Antiqua"/>
          <w:sz w:val="24"/>
          <w:szCs w:val="24"/>
        </w:rPr>
        <w:t xml:space="preserve"> to 22% increase, and gre</w:t>
      </w:r>
      <w:r w:rsidR="007955E8" w:rsidRPr="00A7194B">
        <w:rPr>
          <w:rFonts w:ascii="Book Antiqua" w:hAnsi="Book Antiqua"/>
          <w:sz w:val="24"/>
          <w:szCs w:val="24"/>
        </w:rPr>
        <w:t xml:space="preserve">ater inconvenience to </w:t>
      </w:r>
      <w:proofErr w:type="gramStart"/>
      <w:r w:rsidR="007955E8" w:rsidRPr="00A7194B">
        <w:rPr>
          <w:rFonts w:ascii="Book Antiqua" w:hAnsi="Book Antiqua"/>
          <w:sz w:val="24"/>
          <w:szCs w:val="24"/>
        </w:rPr>
        <w:t>patients</w:t>
      </w:r>
      <w:r w:rsidR="007B3DC8" w:rsidRPr="00A7194B">
        <w:rPr>
          <w:rFonts w:ascii="Book Antiqua" w:hAnsi="Book Antiqua"/>
          <w:sz w:val="24"/>
          <w:szCs w:val="24"/>
          <w:vertAlign w:val="superscript"/>
        </w:rPr>
        <w:t>[</w:t>
      </w:r>
      <w:proofErr w:type="gramEnd"/>
      <w:r w:rsidR="007B3DC8" w:rsidRPr="00A7194B">
        <w:rPr>
          <w:rFonts w:ascii="Book Antiqua" w:hAnsi="Book Antiqua"/>
          <w:sz w:val="24"/>
          <w:szCs w:val="24"/>
          <w:vertAlign w:val="superscript"/>
        </w:rPr>
        <w:t>12</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w:t>
      </w:r>
    </w:p>
    <w:p w:rsidR="00486EA2" w:rsidRPr="00A7194B" w:rsidRDefault="00486EA2" w:rsidP="005F5AE9">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A 4</w:t>
      </w:r>
      <w:r w:rsidR="005F5AE9">
        <w:rPr>
          <w:rFonts w:ascii="Book Antiqua" w:hAnsi="Book Antiqua" w:hint="eastAsia"/>
          <w:sz w:val="24"/>
          <w:szCs w:val="24"/>
          <w:lang w:eastAsia="zh-CN"/>
        </w:rPr>
        <w:t xml:space="preserve"> </w:t>
      </w:r>
      <w:r w:rsidRPr="00A7194B">
        <w:rPr>
          <w:rFonts w:ascii="Book Antiqua" w:hAnsi="Book Antiqua"/>
          <w:sz w:val="24"/>
          <w:szCs w:val="24"/>
        </w:rPr>
        <w:t xml:space="preserve">L preparation of </w:t>
      </w:r>
      <w:r w:rsidR="005F5AE9" w:rsidRPr="00A7194B">
        <w:rPr>
          <w:rFonts w:ascii="Book Antiqua" w:hAnsi="Book Antiqua"/>
          <w:sz w:val="24"/>
          <w:szCs w:val="24"/>
        </w:rPr>
        <w:t xml:space="preserve">polyethylene glycol </w:t>
      </w:r>
      <w:r w:rsidR="005F5AE9">
        <w:rPr>
          <w:rFonts w:ascii="Book Antiqua" w:hAnsi="Book Antiqua" w:hint="eastAsia"/>
          <w:sz w:val="24"/>
          <w:szCs w:val="24"/>
          <w:lang w:eastAsia="zh-CN"/>
        </w:rPr>
        <w:t>(</w:t>
      </w:r>
      <w:r w:rsidRPr="00A7194B">
        <w:rPr>
          <w:rFonts w:ascii="Book Antiqua" w:hAnsi="Book Antiqua"/>
          <w:sz w:val="24"/>
          <w:szCs w:val="24"/>
        </w:rPr>
        <w:t>PEG</w:t>
      </w:r>
      <w:r w:rsidR="005F5AE9">
        <w:rPr>
          <w:rFonts w:ascii="Book Antiqua" w:hAnsi="Book Antiqua" w:hint="eastAsia"/>
          <w:sz w:val="24"/>
          <w:szCs w:val="24"/>
          <w:lang w:eastAsia="zh-CN"/>
        </w:rPr>
        <w:t>)</w:t>
      </w:r>
      <w:r w:rsidRPr="00A7194B">
        <w:rPr>
          <w:rFonts w:ascii="Book Antiqua" w:hAnsi="Book Antiqua"/>
          <w:sz w:val="24"/>
          <w:szCs w:val="24"/>
        </w:rPr>
        <w:t xml:space="preserve"> has been considered the gold standard in terms of prep efficacy but is </w:t>
      </w:r>
      <w:r w:rsidR="00C770B3" w:rsidRPr="00A7194B">
        <w:rPr>
          <w:rFonts w:ascii="Book Antiqua" w:hAnsi="Book Antiqua"/>
          <w:sz w:val="24"/>
          <w:szCs w:val="24"/>
        </w:rPr>
        <w:t>reviled</w:t>
      </w:r>
      <w:r w:rsidRPr="00A7194B">
        <w:rPr>
          <w:rFonts w:ascii="Book Antiqua" w:hAnsi="Book Antiqua"/>
          <w:sz w:val="24"/>
          <w:szCs w:val="24"/>
        </w:rPr>
        <w:t xml:space="preserve"> by patients due to its </w:t>
      </w:r>
      <w:r w:rsidR="00C770B3" w:rsidRPr="00A7194B">
        <w:rPr>
          <w:rFonts w:ascii="Book Antiqua" w:hAnsi="Book Antiqua"/>
          <w:sz w:val="24"/>
          <w:szCs w:val="24"/>
        </w:rPr>
        <w:t>poor taste</w:t>
      </w:r>
      <w:r w:rsidRPr="00A7194B">
        <w:rPr>
          <w:rFonts w:ascii="Book Antiqua" w:hAnsi="Book Antiqua"/>
          <w:sz w:val="24"/>
          <w:szCs w:val="24"/>
        </w:rPr>
        <w:t xml:space="preserve"> and discomfort associated with the large</w:t>
      </w:r>
      <w:r w:rsidR="00903238" w:rsidRPr="00A7194B">
        <w:rPr>
          <w:rFonts w:ascii="Book Antiqua" w:hAnsi="Book Antiqua"/>
          <w:sz w:val="24"/>
          <w:szCs w:val="24"/>
        </w:rPr>
        <w:t>r</w:t>
      </w:r>
      <w:r w:rsidRPr="00A7194B">
        <w:rPr>
          <w:rFonts w:ascii="Book Antiqua" w:hAnsi="Book Antiqua"/>
          <w:sz w:val="24"/>
          <w:szCs w:val="24"/>
        </w:rPr>
        <w:t xml:space="preserve"> volumes. Alternate formulations have been developed, but these have had other drawbacks in terms of safety, tolerability, or efficacy. Recently, new options have received </w:t>
      </w:r>
      <w:r w:rsidR="00DB715A" w:rsidRPr="00DB715A">
        <w:rPr>
          <w:rFonts w:ascii="Book Antiqua" w:hAnsi="Book Antiqua"/>
          <w:sz w:val="24"/>
          <w:szCs w:val="24"/>
        </w:rPr>
        <w:t>Food and Drug Administration</w:t>
      </w:r>
      <w:r w:rsidR="00DB715A" w:rsidRPr="00A7194B">
        <w:rPr>
          <w:rFonts w:ascii="Book Antiqua" w:hAnsi="Book Antiqua"/>
          <w:sz w:val="24"/>
          <w:szCs w:val="24"/>
        </w:rPr>
        <w:t xml:space="preserve"> </w:t>
      </w:r>
      <w:r w:rsidR="00DB715A">
        <w:rPr>
          <w:rFonts w:ascii="Book Antiqua" w:hAnsi="Book Antiqua" w:hint="eastAsia"/>
          <w:sz w:val="24"/>
          <w:szCs w:val="24"/>
        </w:rPr>
        <w:t>(</w:t>
      </w:r>
      <w:r w:rsidRPr="00A7194B">
        <w:rPr>
          <w:rFonts w:ascii="Book Antiqua" w:hAnsi="Book Antiqua"/>
          <w:sz w:val="24"/>
          <w:szCs w:val="24"/>
        </w:rPr>
        <w:t>FDA</w:t>
      </w:r>
      <w:r w:rsidR="00DB715A">
        <w:rPr>
          <w:rFonts w:ascii="Book Antiqua" w:hAnsi="Book Antiqua" w:hint="eastAsia"/>
          <w:sz w:val="24"/>
          <w:szCs w:val="24"/>
        </w:rPr>
        <w:t>)</w:t>
      </w:r>
      <w:r w:rsidRPr="00A7194B">
        <w:rPr>
          <w:rFonts w:ascii="Book Antiqua" w:hAnsi="Book Antiqua"/>
          <w:sz w:val="24"/>
          <w:szCs w:val="24"/>
        </w:rPr>
        <w:t xml:space="preserve"> approval and these may offer improved tolerability without sacrificing efficacy</w:t>
      </w:r>
      <w:r w:rsidR="00EC0472" w:rsidRPr="00EC0472">
        <w:rPr>
          <w:rFonts w:ascii="Book Antiqua" w:hAnsi="Book Antiqua" w:hint="eastAsia"/>
          <w:sz w:val="24"/>
          <w:szCs w:val="24"/>
          <w:lang w:eastAsia="zh-CN"/>
        </w:rPr>
        <w:t xml:space="preserve"> (</w:t>
      </w:r>
      <w:r w:rsidR="00EC0472" w:rsidRPr="00EC0472">
        <w:rPr>
          <w:rFonts w:ascii="Book Antiqua" w:hAnsi="Book Antiqua"/>
          <w:sz w:val="24"/>
          <w:szCs w:val="24"/>
        </w:rPr>
        <w:t>Table 1</w:t>
      </w:r>
      <w:r w:rsidR="00EC0472" w:rsidRPr="00EC0472">
        <w:rPr>
          <w:rFonts w:ascii="Book Antiqua" w:hAnsi="Book Antiqua" w:hint="eastAsia"/>
          <w:sz w:val="24"/>
          <w:szCs w:val="24"/>
          <w:lang w:eastAsia="zh-CN"/>
        </w:rPr>
        <w:t>)</w:t>
      </w:r>
      <w:r w:rsidRPr="00EC0472">
        <w:rPr>
          <w:rFonts w:ascii="Book Antiqua" w:hAnsi="Book Antiqua"/>
          <w:sz w:val="24"/>
          <w:szCs w:val="24"/>
        </w:rPr>
        <w:t>.</w:t>
      </w:r>
    </w:p>
    <w:p w:rsidR="00F52B2F" w:rsidRPr="005F5AE9" w:rsidRDefault="00F52B2F" w:rsidP="00A7194B">
      <w:pPr>
        <w:pStyle w:val="PlainText"/>
        <w:suppressLineNumbers/>
        <w:spacing w:line="360" w:lineRule="auto"/>
        <w:jc w:val="both"/>
        <w:rPr>
          <w:rFonts w:ascii="Book Antiqua" w:hAnsi="Book Antiqua"/>
          <w:b/>
          <w:sz w:val="24"/>
          <w:szCs w:val="24"/>
          <w:lang w:eastAsia="zh-CN"/>
        </w:rPr>
      </w:pPr>
    </w:p>
    <w:p w:rsidR="00486EA2" w:rsidRPr="005F5AE9" w:rsidRDefault="005F5AE9" w:rsidP="00A7194B">
      <w:pPr>
        <w:pStyle w:val="PlainText"/>
        <w:suppressLineNumbers/>
        <w:spacing w:line="360" w:lineRule="auto"/>
        <w:jc w:val="both"/>
        <w:rPr>
          <w:rFonts w:ascii="Book Antiqua" w:hAnsi="Book Antiqua"/>
          <w:b/>
          <w:sz w:val="24"/>
          <w:szCs w:val="24"/>
          <w:lang w:eastAsia="zh-CN"/>
        </w:rPr>
      </w:pPr>
      <w:r w:rsidRPr="005F5AE9">
        <w:rPr>
          <w:rFonts w:ascii="Book Antiqua" w:hAnsi="Book Antiqua"/>
          <w:b/>
          <w:sz w:val="24"/>
          <w:szCs w:val="24"/>
        </w:rPr>
        <w:t>POLYETHELENE GLYCOL</w:t>
      </w:r>
    </w:p>
    <w:p w:rsidR="00486EA2" w:rsidRPr="00A7194B" w:rsidRDefault="00DB715A" w:rsidP="00A7194B">
      <w:pPr>
        <w:pStyle w:val="PlainText"/>
        <w:suppressLineNumbers/>
        <w:spacing w:line="360" w:lineRule="auto"/>
        <w:jc w:val="both"/>
        <w:rPr>
          <w:rFonts w:ascii="Book Antiqua" w:hAnsi="Book Antiqua"/>
          <w:sz w:val="24"/>
          <w:szCs w:val="24"/>
        </w:rPr>
      </w:pPr>
      <w:r w:rsidRPr="00DB715A">
        <w:rPr>
          <w:rFonts w:ascii="Book Antiqua" w:hAnsi="Book Antiqua"/>
          <w:sz w:val="24"/>
          <w:szCs w:val="24"/>
        </w:rPr>
        <w:t>Four liters</w:t>
      </w:r>
      <w:r w:rsidR="00486EA2" w:rsidRPr="00A7194B">
        <w:rPr>
          <w:rFonts w:ascii="Book Antiqua" w:hAnsi="Book Antiqua"/>
          <w:sz w:val="24"/>
          <w:szCs w:val="24"/>
        </w:rPr>
        <w:t xml:space="preserve"> PEG-ELS </w:t>
      </w:r>
      <w:r w:rsidR="005F5AE9">
        <w:rPr>
          <w:rFonts w:ascii="Book Antiqua" w:hAnsi="Book Antiqua" w:hint="eastAsia"/>
          <w:sz w:val="24"/>
          <w:szCs w:val="24"/>
        </w:rPr>
        <w:t>(</w:t>
      </w:r>
      <w:r w:rsidR="005F5AE9" w:rsidRPr="00DB715A">
        <w:rPr>
          <w:rFonts w:ascii="Book Antiqua" w:hAnsi="Book Antiqua"/>
          <w:sz w:val="24"/>
          <w:szCs w:val="24"/>
        </w:rPr>
        <w:t>electrolyte lavage solution</w:t>
      </w:r>
      <w:r w:rsidR="005F5AE9" w:rsidRPr="00DB715A">
        <w:rPr>
          <w:rFonts w:ascii="Book Antiqua" w:hAnsi="Book Antiqua" w:hint="eastAsia"/>
          <w:sz w:val="24"/>
          <w:szCs w:val="24"/>
        </w:rPr>
        <w:t>)</w:t>
      </w:r>
      <w:r w:rsidR="005F5AE9" w:rsidRPr="00A7194B">
        <w:rPr>
          <w:rFonts w:ascii="Book Antiqua" w:hAnsi="Book Antiqua"/>
          <w:sz w:val="24"/>
          <w:szCs w:val="24"/>
        </w:rPr>
        <w:t xml:space="preserve"> </w:t>
      </w:r>
      <w:r w:rsidR="00486EA2" w:rsidRPr="00A7194B">
        <w:rPr>
          <w:rFonts w:ascii="Book Antiqua" w:hAnsi="Book Antiqua"/>
          <w:sz w:val="24"/>
          <w:szCs w:val="24"/>
        </w:rPr>
        <w:t>administe</w:t>
      </w:r>
      <w:r w:rsidR="00974297" w:rsidRPr="00A7194B">
        <w:rPr>
          <w:rFonts w:ascii="Book Antiqua" w:hAnsi="Book Antiqua"/>
          <w:sz w:val="24"/>
          <w:szCs w:val="24"/>
        </w:rPr>
        <w:t>re</w:t>
      </w:r>
      <w:r w:rsidR="00486EA2" w:rsidRPr="00A7194B">
        <w:rPr>
          <w:rFonts w:ascii="Book Antiqua" w:hAnsi="Book Antiqua"/>
          <w:sz w:val="24"/>
          <w:szCs w:val="24"/>
        </w:rPr>
        <w:t xml:space="preserve">d in split doses is considered </w:t>
      </w:r>
      <w:r w:rsidR="0020083E" w:rsidRPr="00A7194B">
        <w:rPr>
          <w:rFonts w:ascii="Book Antiqua" w:hAnsi="Book Antiqua"/>
          <w:sz w:val="24"/>
          <w:szCs w:val="24"/>
        </w:rPr>
        <w:t xml:space="preserve">by most </w:t>
      </w:r>
      <w:r w:rsidR="00486EA2" w:rsidRPr="00A7194B">
        <w:rPr>
          <w:rFonts w:ascii="Book Antiqua" w:hAnsi="Book Antiqua"/>
          <w:sz w:val="24"/>
          <w:szCs w:val="24"/>
        </w:rPr>
        <w:t>to be the standard against which all other bowe</w:t>
      </w:r>
      <w:r w:rsidR="007955E8" w:rsidRPr="00A7194B">
        <w:rPr>
          <w:rFonts w:ascii="Book Antiqua" w:hAnsi="Book Antiqua"/>
          <w:sz w:val="24"/>
          <w:szCs w:val="24"/>
        </w:rPr>
        <w:t xml:space="preserve">l preparations are </w:t>
      </w:r>
      <w:proofErr w:type="gramStart"/>
      <w:r w:rsidR="007955E8" w:rsidRPr="00A7194B">
        <w:rPr>
          <w:rFonts w:ascii="Book Antiqua" w:hAnsi="Book Antiqua"/>
          <w:sz w:val="24"/>
          <w:szCs w:val="24"/>
        </w:rPr>
        <w:t>judged</w:t>
      </w:r>
      <w:r w:rsidR="007B3DC8" w:rsidRPr="00A7194B">
        <w:rPr>
          <w:rFonts w:ascii="Book Antiqua" w:hAnsi="Book Antiqua"/>
          <w:sz w:val="24"/>
          <w:szCs w:val="24"/>
          <w:vertAlign w:val="superscript"/>
        </w:rPr>
        <w:t>[</w:t>
      </w:r>
      <w:proofErr w:type="gramEnd"/>
      <w:r w:rsidR="007B3DC8" w:rsidRPr="00A7194B">
        <w:rPr>
          <w:rFonts w:ascii="Book Antiqua" w:hAnsi="Book Antiqua"/>
          <w:sz w:val="24"/>
          <w:szCs w:val="24"/>
          <w:vertAlign w:val="superscript"/>
        </w:rPr>
        <w:t>13]</w:t>
      </w:r>
      <w:r w:rsidR="007955E8" w:rsidRPr="00A7194B">
        <w:rPr>
          <w:rFonts w:ascii="Book Antiqua" w:hAnsi="Book Antiqua"/>
          <w:sz w:val="24"/>
          <w:szCs w:val="24"/>
        </w:rPr>
        <w:t>.</w:t>
      </w:r>
      <w:r w:rsidR="00486EA2" w:rsidRPr="00A7194B">
        <w:rPr>
          <w:rFonts w:ascii="Book Antiqua" w:hAnsi="Book Antiqua"/>
          <w:sz w:val="24"/>
          <w:szCs w:val="24"/>
        </w:rPr>
        <w:t xml:space="preserve"> A systemic review and meta-analysis by </w:t>
      </w:r>
      <w:proofErr w:type="spellStart"/>
      <w:r w:rsidR="00486EA2" w:rsidRPr="00A7194B">
        <w:rPr>
          <w:rFonts w:ascii="Book Antiqua" w:hAnsi="Book Antiqua"/>
          <w:sz w:val="24"/>
          <w:szCs w:val="24"/>
        </w:rPr>
        <w:t>Enestvedt</w:t>
      </w:r>
      <w:proofErr w:type="spellEnd"/>
      <w:r w:rsidR="003D1852" w:rsidRPr="00A7194B">
        <w:rPr>
          <w:rFonts w:ascii="Book Antiqua" w:hAnsi="Book Antiqua"/>
          <w:sz w:val="24"/>
          <w:szCs w:val="24"/>
        </w:rPr>
        <w:t> </w:t>
      </w:r>
      <w:r w:rsidR="003D1852" w:rsidRPr="00DB715A">
        <w:rPr>
          <w:rFonts w:ascii="Book Antiqua" w:hAnsi="Book Antiqua"/>
          <w:i/>
          <w:sz w:val="24"/>
          <w:szCs w:val="24"/>
        </w:rPr>
        <w:t>et </w:t>
      </w:r>
      <w:proofErr w:type="gramStart"/>
      <w:r w:rsidR="003D1852" w:rsidRPr="00DB715A">
        <w:rPr>
          <w:rFonts w:ascii="Book Antiqua" w:hAnsi="Book Antiqua"/>
          <w:i/>
          <w:sz w:val="24"/>
          <w:szCs w:val="24"/>
        </w:rPr>
        <w:t>a</w:t>
      </w:r>
      <w:r w:rsidR="00486EA2" w:rsidRPr="00DB715A">
        <w:rPr>
          <w:rFonts w:ascii="Book Antiqua" w:hAnsi="Book Antiqua"/>
          <w:i/>
          <w:sz w:val="24"/>
          <w:szCs w:val="24"/>
        </w:rPr>
        <w:t>l</w:t>
      </w:r>
      <w:r w:rsidRPr="00A7194B">
        <w:rPr>
          <w:rFonts w:ascii="Book Antiqua" w:hAnsi="Book Antiqua"/>
          <w:sz w:val="24"/>
          <w:szCs w:val="24"/>
          <w:vertAlign w:val="superscript"/>
        </w:rPr>
        <w:t>[</w:t>
      </w:r>
      <w:proofErr w:type="gramEnd"/>
      <w:r w:rsidRPr="00A7194B">
        <w:rPr>
          <w:rFonts w:ascii="Book Antiqua" w:hAnsi="Book Antiqua"/>
          <w:sz w:val="24"/>
          <w:szCs w:val="24"/>
          <w:vertAlign w:val="superscript"/>
        </w:rPr>
        <w:t>13]</w:t>
      </w:r>
      <w:r w:rsidRPr="00A7194B">
        <w:rPr>
          <w:rFonts w:ascii="Book Antiqua" w:hAnsi="Book Antiqua"/>
          <w:sz w:val="24"/>
          <w:szCs w:val="24"/>
        </w:rPr>
        <w:t>.</w:t>
      </w:r>
      <w:r w:rsidR="00486EA2" w:rsidRPr="00A7194B">
        <w:rPr>
          <w:rFonts w:ascii="Book Antiqua" w:hAnsi="Book Antiqua"/>
          <w:sz w:val="24"/>
          <w:szCs w:val="24"/>
        </w:rPr>
        <w:t xml:space="preserve"> found an </w:t>
      </w:r>
      <w:r w:rsidR="00986E75">
        <w:rPr>
          <w:rFonts w:ascii="Book Antiqua" w:hAnsi="Book Antiqua" w:hint="eastAsia"/>
          <w:sz w:val="24"/>
          <w:szCs w:val="24"/>
          <w:lang w:eastAsia="zh-CN"/>
        </w:rPr>
        <w:t>OR</w:t>
      </w:r>
      <w:r w:rsidR="00486EA2" w:rsidRPr="00A7194B">
        <w:rPr>
          <w:rFonts w:ascii="Book Antiqua" w:hAnsi="Book Antiqua"/>
          <w:sz w:val="24"/>
          <w:szCs w:val="24"/>
        </w:rPr>
        <w:t xml:space="preserve"> of 3.46 that a split dose 4</w:t>
      </w:r>
      <w:r>
        <w:rPr>
          <w:rFonts w:ascii="Book Antiqua" w:hAnsi="Book Antiqua" w:hint="eastAsia"/>
          <w:sz w:val="24"/>
          <w:szCs w:val="24"/>
          <w:lang w:eastAsia="zh-CN"/>
        </w:rPr>
        <w:t xml:space="preserve"> </w:t>
      </w:r>
      <w:r w:rsidR="00486EA2" w:rsidRPr="00A7194B">
        <w:rPr>
          <w:rFonts w:ascii="Book Antiqua" w:hAnsi="Book Antiqua"/>
          <w:sz w:val="24"/>
          <w:szCs w:val="24"/>
        </w:rPr>
        <w:t>L PEG-ELS preparation would produce a good or excellent bowel preparation compared with other methods The pooled analysis did not reveal any other significant differences in performance measures such as overall experience or willingness of patients to repeat the procedure, or in side effects such as nausea.</w:t>
      </w:r>
      <w:r w:rsidR="007955E8" w:rsidRPr="00A7194B">
        <w:rPr>
          <w:rFonts w:ascii="Book Antiqua" w:hAnsi="Book Antiqua"/>
          <w:sz w:val="24"/>
          <w:szCs w:val="24"/>
        </w:rPr>
        <w:t xml:space="preserve"> </w:t>
      </w:r>
    </w:p>
    <w:p w:rsidR="00486EA2" w:rsidRPr="00A7194B" w:rsidRDefault="00486EA2" w:rsidP="00DB715A">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 xml:space="preserve">Nonetheless, </w:t>
      </w:r>
      <w:r w:rsidR="0020083E" w:rsidRPr="00A7194B">
        <w:rPr>
          <w:rFonts w:ascii="Book Antiqua" w:hAnsi="Book Antiqua"/>
          <w:sz w:val="24"/>
          <w:szCs w:val="24"/>
        </w:rPr>
        <w:t>many studies conclude</w:t>
      </w:r>
      <w:r w:rsidRPr="00A7194B">
        <w:rPr>
          <w:rFonts w:ascii="Book Antiqua" w:hAnsi="Book Antiqua"/>
          <w:sz w:val="24"/>
          <w:szCs w:val="24"/>
        </w:rPr>
        <w:t xml:space="preserve"> that patients prefer lower volume preparations to the full 4</w:t>
      </w:r>
      <w:r w:rsidR="00DB715A">
        <w:rPr>
          <w:rFonts w:ascii="Book Antiqua" w:hAnsi="Book Antiqua" w:hint="eastAsia"/>
          <w:sz w:val="24"/>
          <w:szCs w:val="24"/>
          <w:lang w:eastAsia="zh-CN"/>
        </w:rPr>
        <w:t xml:space="preserve"> </w:t>
      </w:r>
      <w:r w:rsidRPr="00A7194B">
        <w:rPr>
          <w:rFonts w:ascii="Book Antiqua" w:hAnsi="Book Antiqua"/>
          <w:sz w:val="24"/>
          <w:szCs w:val="24"/>
        </w:rPr>
        <w:t>L PEG. </w:t>
      </w:r>
      <w:r w:rsidR="0020083E" w:rsidRPr="00A7194B">
        <w:rPr>
          <w:rFonts w:ascii="Book Antiqua" w:hAnsi="Book Antiqua"/>
          <w:sz w:val="24"/>
          <w:szCs w:val="24"/>
        </w:rPr>
        <w:t>Often</w:t>
      </w:r>
      <w:r w:rsidRPr="00A7194B">
        <w:rPr>
          <w:rFonts w:ascii="Book Antiqua" w:hAnsi="Book Antiqua"/>
          <w:sz w:val="24"/>
          <w:szCs w:val="24"/>
        </w:rPr>
        <w:t xml:space="preserve"> preceded by a stimulant laxative such as </w:t>
      </w:r>
      <w:proofErr w:type="spellStart"/>
      <w:r w:rsidRPr="00A7194B">
        <w:rPr>
          <w:rFonts w:ascii="Book Antiqua" w:hAnsi="Book Antiqua"/>
          <w:sz w:val="24"/>
          <w:szCs w:val="24"/>
        </w:rPr>
        <w:t>bisacodyl</w:t>
      </w:r>
      <w:proofErr w:type="spellEnd"/>
      <w:r w:rsidRPr="00A7194B">
        <w:rPr>
          <w:rFonts w:ascii="Book Antiqua" w:hAnsi="Book Antiqua"/>
          <w:sz w:val="24"/>
          <w:szCs w:val="24"/>
        </w:rPr>
        <w:t> or magnesium citrate, 2</w:t>
      </w:r>
      <w:r w:rsidR="00DB715A">
        <w:rPr>
          <w:rFonts w:ascii="Book Antiqua" w:hAnsi="Book Antiqua" w:hint="eastAsia"/>
          <w:sz w:val="24"/>
          <w:szCs w:val="24"/>
          <w:lang w:eastAsia="zh-CN"/>
        </w:rPr>
        <w:t xml:space="preserve"> </w:t>
      </w:r>
      <w:r w:rsidRPr="00A7194B">
        <w:rPr>
          <w:rFonts w:ascii="Book Antiqua" w:hAnsi="Book Antiqua"/>
          <w:sz w:val="24"/>
          <w:szCs w:val="24"/>
        </w:rPr>
        <w:t xml:space="preserve">L PEG preparations have been found to achieve equivalent levels </w:t>
      </w:r>
      <w:r w:rsidRPr="00A7194B">
        <w:rPr>
          <w:rFonts w:ascii="Book Antiqua" w:hAnsi="Book Antiqua"/>
          <w:sz w:val="24"/>
          <w:szCs w:val="24"/>
        </w:rPr>
        <w:lastRenderedPageBreak/>
        <w:t>of bowel cleansing with enh</w:t>
      </w:r>
      <w:r w:rsidR="007955E8" w:rsidRPr="00A7194B">
        <w:rPr>
          <w:rFonts w:ascii="Book Antiqua" w:hAnsi="Book Antiqua"/>
          <w:sz w:val="24"/>
          <w:szCs w:val="24"/>
        </w:rPr>
        <w:t xml:space="preserve">anced patient </w:t>
      </w:r>
      <w:proofErr w:type="gramStart"/>
      <w:r w:rsidR="007955E8" w:rsidRPr="00A7194B">
        <w:rPr>
          <w:rFonts w:ascii="Book Antiqua" w:hAnsi="Book Antiqua"/>
          <w:sz w:val="24"/>
          <w:szCs w:val="24"/>
        </w:rPr>
        <w:t>experience</w:t>
      </w:r>
      <w:r w:rsidR="007B3DC8" w:rsidRPr="00A7194B">
        <w:rPr>
          <w:rFonts w:ascii="Book Antiqua" w:hAnsi="Book Antiqua"/>
          <w:sz w:val="24"/>
          <w:szCs w:val="24"/>
          <w:vertAlign w:val="superscript"/>
        </w:rPr>
        <w:t>[</w:t>
      </w:r>
      <w:proofErr w:type="gramEnd"/>
      <w:r w:rsidR="007B3DC8" w:rsidRPr="00A7194B">
        <w:rPr>
          <w:rFonts w:ascii="Book Antiqua" w:hAnsi="Book Antiqua"/>
          <w:sz w:val="24"/>
          <w:szCs w:val="24"/>
          <w:vertAlign w:val="superscript"/>
        </w:rPr>
        <w:t>14</w:t>
      </w:r>
      <w:r w:rsidR="00552B68" w:rsidRPr="00A7194B">
        <w:rPr>
          <w:rFonts w:ascii="Book Antiqua" w:hAnsi="Book Antiqua"/>
          <w:sz w:val="24"/>
          <w:szCs w:val="24"/>
          <w:vertAlign w:val="superscript"/>
        </w:rPr>
        <w:t>-1</w:t>
      </w:r>
      <w:r w:rsidR="007B3DC8" w:rsidRPr="00A7194B">
        <w:rPr>
          <w:rFonts w:ascii="Book Antiqua" w:hAnsi="Book Antiqua"/>
          <w:sz w:val="24"/>
          <w:szCs w:val="24"/>
          <w:vertAlign w:val="superscript"/>
        </w:rPr>
        <w:t>9</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A 1994 study comparing single dose preparations of 4</w:t>
      </w:r>
      <w:r w:rsidR="00DB715A">
        <w:rPr>
          <w:rFonts w:ascii="Book Antiqua" w:hAnsi="Book Antiqua" w:hint="eastAsia"/>
          <w:sz w:val="24"/>
          <w:szCs w:val="24"/>
          <w:lang w:eastAsia="zh-CN"/>
        </w:rPr>
        <w:t xml:space="preserve"> </w:t>
      </w:r>
      <w:r w:rsidRPr="00A7194B">
        <w:rPr>
          <w:rFonts w:ascii="Book Antiqua" w:hAnsi="Book Antiqua"/>
          <w:sz w:val="24"/>
          <w:szCs w:val="24"/>
        </w:rPr>
        <w:t>L PEG-ELS with 2</w:t>
      </w:r>
      <w:r w:rsidR="00DB715A">
        <w:rPr>
          <w:rFonts w:ascii="Book Antiqua" w:hAnsi="Book Antiqua" w:hint="eastAsia"/>
          <w:sz w:val="24"/>
          <w:szCs w:val="24"/>
          <w:lang w:eastAsia="zh-CN"/>
        </w:rPr>
        <w:t xml:space="preserve"> </w:t>
      </w:r>
      <w:r w:rsidRPr="00A7194B">
        <w:rPr>
          <w:rFonts w:ascii="Book Antiqua" w:hAnsi="Book Antiqua"/>
          <w:sz w:val="24"/>
          <w:szCs w:val="24"/>
        </w:rPr>
        <w:t xml:space="preserve">L PEG-ELS preceded by </w:t>
      </w:r>
      <w:proofErr w:type="spellStart"/>
      <w:r w:rsidRPr="00A7194B">
        <w:rPr>
          <w:rFonts w:ascii="Book Antiqua" w:hAnsi="Book Antiqua"/>
          <w:sz w:val="24"/>
          <w:szCs w:val="24"/>
        </w:rPr>
        <w:t>bisacodyl</w:t>
      </w:r>
      <w:proofErr w:type="spellEnd"/>
      <w:r w:rsidRPr="00A7194B">
        <w:rPr>
          <w:rFonts w:ascii="Book Antiqua" w:hAnsi="Book Antiqua"/>
          <w:sz w:val="24"/>
          <w:szCs w:val="24"/>
        </w:rPr>
        <w:t xml:space="preserve"> found </w:t>
      </w:r>
      <w:r w:rsidR="007955E8" w:rsidRPr="00A7194B">
        <w:rPr>
          <w:rFonts w:ascii="Book Antiqua" w:hAnsi="Book Antiqua"/>
          <w:sz w:val="24"/>
          <w:szCs w:val="24"/>
        </w:rPr>
        <w:t xml:space="preserve">comparable </w:t>
      </w:r>
      <w:proofErr w:type="gramStart"/>
      <w:r w:rsidR="007955E8" w:rsidRPr="00A7194B">
        <w:rPr>
          <w:rFonts w:ascii="Book Antiqua" w:hAnsi="Book Antiqua"/>
          <w:sz w:val="24"/>
          <w:szCs w:val="24"/>
        </w:rPr>
        <w:t>cleansing</w:t>
      </w:r>
      <w:r w:rsidR="007B3DC8" w:rsidRPr="00A7194B">
        <w:rPr>
          <w:rFonts w:ascii="Book Antiqua" w:hAnsi="Book Antiqua"/>
          <w:sz w:val="24"/>
          <w:szCs w:val="24"/>
          <w:vertAlign w:val="superscript"/>
        </w:rPr>
        <w:t>[</w:t>
      </w:r>
      <w:proofErr w:type="gramEnd"/>
      <w:r w:rsidR="007B3DC8" w:rsidRPr="00A7194B">
        <w:rPr>
          <w:rFonts w:ascii="Book Antiqua" w:hAnsi="Book Antiqua"/>
          <w:sz w:val="24"/>
          <w:szCs w:val="24"/>
          <w:vertAlign w:val="superscript"/>
        </w:rPr>
        <w:t>14</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The subjects in the 2</w:t>
      </w:r>
      <w:r w:rsidR="00DB715A">
        <w:rPr>
          <w:rFonts w:ascii="Book Antiqua" w:hAnsi="Book Antiqua" w:hint="eastAsia"/>
          <w:sz w:val="24"/>
          <w:szCs w:val="24"/>
          <w:lang w:eastAsia="zh-CN"/>
        </w:rPr>
        <w:t xml:space="preserve"> </w:t>
      </w:r>
      <w:r w:rsidRPr="00A7194B">
        <w:rPr>
          <w:rFonts w:ascii="Book Antiqua" w:hAnsi="Book Antiqua"/>
          <w:sz w:val="24"/>
          <w:szCs w:val="24"/>
        </w:rPr>
        <w:t>L PEG-ELS group rated the preparation more tolerable and more</w:t>
      </w:r>
      <w:r w:rsidR="0020083E" w:rsidRPr="00A7194B">
        <w:rPr>
          <w:rFonts w:ascii="Book Antiqua" w:hAnsi="Book Antiqua"/>
          <w:sz w:val="24"/>
          <w:szCs w:val="24"/>
        </w:rPr>
        <w:t xml:space="preserve"> patients</w:t>
      </w:r>
      <w:r w:rsidRPr="00A7194B">
        <w:rPr>
          <w:rFonts w:ascii="Book Antiqua" w:hAnsi="Book Antiqua"/>
          <w:sz w:val="24"/>
          <w:szCs w:val="24"/>
        </w:rPr>
        <w:t xml:space="preserve"> were able to complete the preparation than in the 4</w:t>
      </w:r>
      <w:r w:rsidR="00DB715A">
        <w:rPr>
          <w:rFonts w:ascii="Book Antiqua" w:hAnsi="Book Antiqua" w:hint="eastAsia"/>
          <w:sz w:val="24"/>
          <w:szCs w:val="24"/>
          <w:lang w:eastAsia="zh-CN"/>
        </w:rPr>
        <w:t xml:space="preserve"> </w:t>
      </w:r>
      <w:r w:rsidRPr="00A7194B">
        <w:rPr>
          <w:rFonts w:ascii="Book Antiqua" w:hAnsi="Book Antiqua"/>
          <w:sz w:val="24"/>
          <w:szCs w:val="24"/>
        </w:rPr>
        <w:t xml:space="preserve">L group (93% </w:t>
      </w:r>
      <w:r w:rsidRPr="00DB715A">
        <w:rPr>
          <w:rFonts w:ascii="Book Antiqua" w:hAnsi="Book Antiqua"/>
          <w:i/>
          <w:sz w:val="24"/>
          <w:szCs w:val="24"/>
        </w:rPr>
        <w:t>vs</w:t>
      </w:r>
      <w:r w:rsidRPr="00A7194B">
        <w:rPr>
          <w:rFonts w:ascii="Book Antiqua" w:hAnsi="Book Antiqua"/>
          <w:sz w:val="24"/>
          <w:szCs w:val="24"/>
        </w:rPr>
        <w:t xml:space="preserve"> 66%</w:t>
      </w:r>
      <w:r w:rsidR="00577C5D" w:rsidRPr="00A7194B">
        <w:rPr>
          <w:rFonts w:ascii="Book Antiqua" w:hAnsi="Book Antiqua"/>
          <w:sz w:val="24"/>
          <w:szCs w:val="24"/>
        </w:rPr>
        <w:t>)</w:t>
      </w:r>
      <w:r w:rsidR="00DB715A">
        <w:rPr>
          <w:rFonts w:ascii="Book Antiqua" w:hAnsi="Book Antiqua" w:hint="eastAsia"/>
          <w:sz w:val="24"/>
          <w:szCs w:val="24"/>
          <w:lang w:eastAsia="zh-CN"/>
        </w:rPr>
        <w:t>.</w:t>
      </w:r>
      <w:r w:rsidRPr="00A7194B">
        <w:rPr>
          <w:rFonts w:ascii="Book Antiqua" w:hAnsi="Book Antiqua"/>
          <w:sz w:val="24"/>
          <w:szCs w:val="24"/>
        </w:rPr>
        <w:t xml:space="preserve"> Sharma </w:t>
      </w:r>
      <w:r w:rsidRPr="00A72075">
        <w:rPr>
          <w:rFonts w:ascii="Book Antiqua" w:hAnsi="Book Antiqua"/>
          <w:i/>
          <w:sz w:val="24"/>
          <w:szCs w:val="24"/>
        </w:rPr>
        <w:t xml:space="preserve">et </w:t>
      </w:r>
      <w:proofErr w:type="gramStart"/>
      <w:r w:rsidRPr="00A72075">
        <w:rPr>
          <w:rFonts w:ascii="Book Antiqua" w:hAnsi="Book Antiqua"/>
          <w:i/>
          <w:sz w:val="24"/>
          <w:szCs w:val="24"/>
        </w:rPr>
        <w:t>al</w:t>
      </w:r>
      <w:r w:rsidR="00A72075" w:rsidRPr="00A7194B">
        <w:rPr>
          <w:rFonts w:ascii="Book Antiqua" w:hAnsi="Book Antiqua"/>
          <w:sz w:val="24"/>
          <w:szCs w:val="24"/>
          <w:vertAlign w:val="superscript"/>
        </w:rPr>
        <w:t>[</w:t>
      </w:r>
      <w:proofErr w:type="gramEnd"/>
      <w:r w:rsidR="00A72075" w:rsidRPr="00A7194B">
        <w:rPr>
          <w:rFonts w:ascii="Book Antiqua" w:hAnsi="Book Antiqua"/>
          <w:sz w:val="24"/>
          <w:szCs w:val="24"/>
          <w:vertAlign w:val="superscript"/>
        </w:rPr>
        <w:t>15]</w:t>
      </w:r>
      <w:r w:rsidRPr="00A7194B">
        <w:rPr>
          <w:rFonts w:ascii="Book Antiqua" w:hAnsi="Book Antiqua"/>
          <w:sz w:val="24"/>
          <w:szCs w:val="24"/>
        </w:rPr>
        <w:t xml:space="preserve"> found similar results in a trial comparing 4</w:t>
      </w:r>
      <w:r w:rsidR="00DB715A">
        <w:rPr>
          <w:rFonts w:ascii="Book Antiqua" w:hAnsi="Book Antiqua" w:hint="eastAsia"/>
          <w:sz w:val="24"/>
          <w:szCs w:val="24"/>
          <w:lang w:eastAsia="zh-CN"/>
        </w:rPr>
        <w:t xml:space="preserve"> </w:t>
      </w:r>
      <w:r w:rsidRPr="00A7194B">
        <w:rPr>
          <w:rFonts w:ascii="Book Antiqua" w:hAnsi="Book Antiqua"/>
          <w:sz w:val="24"/>
          <w:szCs w:val="24"/>
        </w:rPr>
        <w:t>L PEG-ELS with 2</w:t>
      </w:r>
      <w:r w:rsidR="00A72075">
        <w:rPr>
          <w:rFonts w:ascii="Book Antiqua" w:hAnsi="Book Antiqua" w:hint="eastAsia"/>
          <w:sz w:val="24"/>
          <w:szCs w:val="24"/>
          <w:lang w:eastAsia="zh-CN"/>
        </w:rPr>
        <w:t xml:space="preserve"> </w:t>
      </w:r>
      <w:r w:rsidRPr="00A7194B">
        <w:rPr>
          <w:rFonts w:ascii="Book Antiqua" w:hAnsi="Book Antiqua"/>
          <w:sz w:val="24"/>
          <w:szCs w:val="24"/>
        </w:rPr>
        <w:t>L PEG-ELS with </w:t>
      </w:r>
      <w:proofErr w:type="spellStart"/>
      <w:r w:rsidR="007955E8" w:rsidRPr="00A7194B">
        <w:rPr>
          <w:rFonts w:ascii="Book Antiqua" w:hAnsi="Book Antiqua"/>
          <w:sz w:val="24"/>
          <w:szCs w:val="24"/>
        </w:rPr>
        <w:t>bisacodyl</w:t>
      </w:r>
      <w:proofErr w:type="spellEnd"/>
      <w:r w:rsidR="007955E8" w:rsidRPr="00A7194B">
        <w:rPr>
          <w:rFonts w:ascii="Book Antiqua" w:hAnsi="Book Antiqua"/>
          <w:sz w:val="24"/>
          <w:szCs w:val="24"/>
        </w:rPr>
        <w:t> or magnesium citrate.</w:t>
      </w:r>
      <w:r w:rsidRPr="00A7194B">
        <w:rPr>
          <w:rFonts w:ascii="Book Antiqua" w:hAnsi="Book Antiqua"/>
          <w:sz w:val="24"/>
          <w:szCs w:val="24"/>
        </w:rPr>
        <w:t xml:space="preserve"> The quality of preparation was rated better with 2</w:t>
      </w:r>
      <w:r w:rsidR="00A72075">
        <w:rPr>
          <w:rFonts w:ascii="Book Antiqua" w:hAnsi="Book Antiqua" w:hint="eastAsia"/>
          <w:sz w:val="24"/>
          <w:szCs w:val="24"/>
          <w:lang w:eastAsia="zh-CN"/>
        </w:rPr>
        <w:t xml:space="preserve"> </w:t>
      </w:r>
      <w:r w:rsidRPr="00A7194B">
        <w:rPr>
          <w:rFonts w:ascii="Book Antiqua" w:hAnsi="Book Antiqua"/>
          <w:sz w:val="24"/>
          <w:szCs w:val="24"/>
        </w:rPr>
        <w:t>L PEG-ELS with </w:t>
      </w:r>
      <w:proofErr w:type="spellStart"/>
      <w:r w:rsidRPr="00A7194B">
        <w:rPr>
          <w:rFonts w:ascii="Book Antiqua" w:hAnsi="Book Antiqua"/>
          <w:sz w:val="24"/>
          <w:szCs w:val="24"/>
        </w:rPr>
        <w:t>bisacodyl</w:t>
      </w:r>
      <w:proofErr w:type="spellEnd"/>
      <w:r w:rsidRPr="00A7194B">
        <w:rPr>
          <w:rFonts w:ascii="Book Antiqua" w:hAnsi="Book Antiqua"/>
          <w:sz w:val="24"/>
          <w:szCs w:val="24"/>
        </w:rPr>
        <w:t> or magnesium citrate than with 4</w:t>
      </w:r>
      <w:r w:rsidR="00A72075">
        <w:rPr>
          <w:rFonts w:ascii="Book Antiqua" w:hAnsi="Book Antiqua" w:hint="eastAsia"/>
          <w:sz w:val="24"/>
          <w:szCs w:val="24"/>
          <w:lang w:eastAsia="zh-CN"/>
        </w:rPr>
        <w:t xml:space="preserve"> </w:t>
      </w:r>
      <w:r w:rsidRPr="00A7194B">
        <w:rPr>
          <w:rFonts w:ascii="Book Antiqua" w:hAnsi="Book Antiqua"/>
          <w:sz w:val="24"/>
          <w:szCs w:val="24"/>
        </w:rPr>
        <w:t xml:space="preserve">L PEG-ELS (8.1 </w:t>
      </w:r>
      <w:r w:rsidRPr="00A72075">
        <w:rPr>
          <w:rFonts w:ascii="Book Antiqua" w:hAnsi="Book Antiqua"/>
          <w:i/>
          <w:sz w:val="24"/>
          <w:szCs w:val="24"/>
        </w:rPr>
        <w:t>vs</w:t>
      </w:r>
      <w:r w:rsidRPr="00A7194B">
        <w:rPr>
          <w:rFonts w:ascii="Book Antiqua" w:hAnsi="Book Antiqua"/>
          <w:sz w:val="24"/>
          <w:szCs w:val="24"/>
        </w:rPr>
        <w:t xml:space="preserve"> 7.8</w:t>
      </w:r>
      <w:r w:rsidRPr="00A72075">
        <w:rPr>
          <w:rFonts w:ascii="Book Antiqua" w:hAnsi="Book Antiqua"/>
          <w:i/>
          <w:sz w:val="24"/>
          <w:szCs w:val="24"/>
        </w:rPr>
        <w:t xml:space="preserve"> vs</w:t>
      </w:r>
      <w:r w:rsidRPr="00A7194B">
        <w:rPr>
          <w:rFonts w:ascii="Book Antiqua" w:hAnsi="Book Antiqua"/>
          <w:sz w:val="24"/>
          <w:szCs w:val="24"/>
        </w:rPr>
        <w:t xml:space="preserve"> 7.3</w:t>
      </w:r>
      <w:r w:rsidR="00577C5D" w:rsidRPr="00A7194B">
        <w:rPr>
          <w:rFonts w:ascii="Book Antiqua" w:hAnsi="Book Antiqua"/>
          <w:sz w:val="24"/>
          <w:szCs w:val="24"/>
        </w:rPr>
        <w:t>)</w:t>
      </w:r>
      <w:r w:rsidR="00A72075">
        <w:rPr>
          <w:rFonts w:ascii="Book Antiqua" w:hAnsi="Book Antiqua" w:hint="eastAsia"/>
          <w:sz w:val="24"/>
          <w:szCs w:val="24"/>
          <w:lang w:eastAsia="zh-CN"/>
        </w:rPr>
        <w:t>.</w:t>
      </w:r>
      <w:r w:rsidRPr="00A7194B">
        <w:rPr>
          <w:rFonts w:ascii="Book Antiqua" w:hAnsi="Book Antiqua"/>
          <w:sz w:val="24"/>
          <w:szCs w:val="24"/>
        </w:rPr>
        <w:t xml:space="preserve"> This was coupled with lower procedure times and higher patient satisfaction scores. Of 24 subjects who had a previous bowel prep with 4</w:t>
      </w:r>
      <w:r w:rsidR="00A72075">
        <w:rPr>
          <w:rFonts w:ascii="Book Antiqua" w:hAnsi="Book Antiqua" w:hint="eastAsia"/>
          <w:sz w:val="24"/>
          <w:szCs w:val="24"/>
          <w:lang w:eastAsia="zh-CN"/>
        </w:rPr>
        <w:t xml:space="preserve"> </w:t>
      </w:r>
      <w:r w:rsidRPr="00A7194B">
        <w:rPr>
          <w:rFonts w:ascii="Book Antiqua" w:hAnsi="Book Antiqua"/>
          <w:sz w:val="24"/>
          <w:szCs w:val="24"/>
        </w:rPr>
        <w:t>L PEG-ELS, 88% of those in the 2</w:t>
      </w:r>
      <w:r w:rsidR="00A72075">
        <w:rPr>
          <w:rFonts w:ascii="Book Antiqua" w:hAnsi="Book Antiqua" w:hint="eastAsia"/>
          <w:sz w:val="24"/>
          <w:szCs w:val="24"/>
          <w:lang w:eastAsia="zh-CN"/>
        </w:rPr>
        <w:t xml:space="preserve"> </w:t>
      </w:r>
      <w:r w:rsidRPr="00A7194B">
        <w:rPr>
          <w:rFonts w:ascii="Book Antiqua" w:hAnsi="Book Antiqua"/>
          <w:sz w:val="24"/>
          <w:szCs w:val="24"/>
        </w:rPr>
        <w:t>L PEG-ELS plus magnesium citrate and 56% of those in the 2</w:t>
      </w:r>
      <w:r w:rsidR="00A72075">
        <w:rPr>
          <w:rFonts w:ascii="Book Antiqua" w:hAnsi="Book Antiqua" w:hint="eastAsia"/>
          <w:sz w:val="24"/>
          <w:szCs w:val="24"/>
          <w:lang w:eastAsia="zh-CN"/>
        </w:rPr>
        <w:t xml:space="preserve"> </w:t>
      </w:r>
      <w:r w:rsidRPr="00A7194B">
        <w:rPr>
          <w:rFonts w:ascii="Book Antiqua" w:hAnsi="Book Antiqua"/>
          <w:sz w:val="24"/>
          <w:szCs w:val="24"/>
        </w:rPr>
        <w:t>L PEG-ELS plus </w:t>
      </w:r>
      <w:proofErr w:type="spellStart"/>
      <w:r w:rsidRPr="00A7194B">
        <w:rPr>
          <w:rFonts w:ascii="Book Antiqua" w:hAnsi="Book Antiqua"/>
          <w:sz w:val="24"/>
          <w:szCs w:val="24"/>
        </w:rPr>
        <w:t>bisacodyl</w:t>
      </w:r>
      <w:proofErr w:type="spellEnd"/>
      <w:r w:rsidRPr="00A7194B">
        <w:rPr>
          <w:rFonts w:ascii="Book Antiqua" w:hAnsi="Book Antiqua"/>
          <w:sz w:val="24"/>
          <w:szCs w:val="24"/>
        </w:rPr>
        <w:t> preferred the low volume preparation. A follow up study by the same group found small, likely clinically insignificant serum electrolyte changes following low dose PEG-ELS wit</w:t>
      </w:r>
      <w:r w:rsidR="007955E8" w:rsidRPr="00A7194B">
        <w:rPr>
          <w:rFonts w:ascii="Book Antiqua" w:hAnsi="Book Antiqua"/>
          <w:sz w:val="24"/>
          <w:szCs w:val="24"/>
        </w:rPr>
        <w:t xml:space="preserve">h stimulant </w:t>
      </w:r>
      <w:proofErr w:type="gramStart"/>
      <w:r w:rsidR="007955E8" w:rsidRPr="00A7194B">
        <w:rPr>
          <w:rFonts w:ascii="Book Antiqua" w:hAnsi="Book Antiqua"/>
          <w:sz w:val="24"/>
          <w:szCs w:val="24"/>
        </w:rPr>
        <w:t>laxatives</w:t>
      </w:r>
      <w:r w:rsidR="007B3DC8" w:rsidRPr="00A7194B">
        <w:rPr>
          <w:rFonts w:ascii="Book Antiqua" w:hAnsi="Book Antiqua"/>
          <w:sz w:val="24"/>
          <w:szCs w:val="24"/>
          <w:vertAlign w:val="superscript"/>
        </w:rPr>
        <w:t>[</w:t>
      </w:r>
      <w:proofErr w:type="gramEnd"/>
      <w:r w:rsidR="007B3DC8" w:rsidRPr="00A7194B">
        <w:rPr>
          <w:rFonts w:ascii="Book Antiqua" w:hAnsi="Book Antiqua"/>
          <w:sz w:val="24"/>
          <w:szCs w:val="24"/>
          <w:vertAlign w:val="superscript"/>
        </w:rPr>
        <w:t>20</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A low volume PEG plus ascorbic acid in comparison with 4</w:t>
      </w:r>
      <w:r w:rsidR="00A01200">
        <w:rPr>
          <w:rFonts w:ascii="Book Antiqua" w:hAnsi="Book Antiqua" w:hint="eastAsia"/>
          <w:sz w:val="24"/>
          <w:szCs w:val="24"/>
          <w:lang w:eastAsia="zh-CN"/>
        </w:rPr>
        <w:t xml:space="preserve"> </w:t>
      </w:r>
      <w:r w:rsidRPr="00A7194B">
        <w:rPr>
          <w:rFonts w:ascii="Book Antiqua" w:hAnsi="Book Antiqua"/>
          <w:sz w:val="24"/>
          <w:szCs w:val="24"/>
        </w:rPr>
        <w:t xml:space="preserve">L PEG-ELS produced an equivalent number of adequate bowel preps (94.6% </w:t>
      </w:r>
      <w:r w:rsidRPr="00A72075">
        <w:rPr>
          <w:rFonts w:ascii="Book Antiqua" w:hAnsi="Book Antiqua"/>
          <w:i/>
          <w:sz w:val="24"/>
          <w:szCs w:val="24"/>
        </w:rPr>
        <w:t>vs</w:t>
      </w:r>
      <w:r w:rsidRPr="00A7194B">
        <w:rPr>
          <w:rFonts w:ascii="Book Antiqua" w:hAnsi="Book Antiqua"/>
          <w:sz w:val="24"/>
          <w:szCs w:val="24"/>
        </w:rPr>
        <w:t xml:space="preserve"> 90%), was better tolerated and produced fewer adverse e</w:t>
      </w:r>
      <w:r w:rsidR="007955E8" w:rsidRPr="00A7194B">
        <w:rPr>
          <w:rFonts w:ascii="Book Antiqua" w:hAnsi="Book Antiqua"/>
          <w:sz w:val="24"/>
          <w:szCs w:val="24"/>
        </w:rPr>
        <w:t xml:space="preserve">vents (80.2% </w:t>
      </w:r>
      <w:r w:rsidR="007955E8" w:rsidRPr="00A72075">
        <w:rPr>
          <w:rFonts w:ascii="Book Antiqua" w:hAnsi="Book Antiqua"/>
          <w:i/>
          <w:sz w:val="24"/>
          <w:szCs w:val="24"/>
        </w:rPr>
        <w:t>vs</w:t>
      </w:r>
      <w:r w:rsidR="007955E8" w:rsidRPr="00A7194B">
        <w:rPr>
          <w:rFonts w:ascii="Book Antiqua" w:hAnsi="Book Antiqua"/>
          <w:sz w:val="24"/>
          <w:szCs w:val="24"/>
        </w:rPr>
        <w:t xml:space="preserve"> 89.9%</w:t>
      </w:r>
      <w:r w:rsidR="00577C5D" w:rsidRPr="00A7194B">
        <w:rPr>
          <w:rFonts w:ascii="Book Antiqua" w:hAnsi="Book Antiqua"/>
          <w:sz w:val="24"/>
          <w:szCs w:val="24"/>
        </w:rPr>
        <w:t>)</w:t>
      </w:r>
      <w:r w:rsidR="007B3DC8" w:rsidRPr="00A7194B">
        <w:rPr>
          <w:rFonts w:ascii="Book Antiqua" w:hAnsi="Book Antiqua"/>
          <w:sz w:val="24"/>
          <w:szCs w:val="24"/>
          <w:vertAlign w:val="superscript"/>
        </w:rPr>
        <w:t>[21</w:t>
      </w:r>
      <w:r w:rsidR="00552B68" w:rsidRPr="00A7194B">
        <w:rPr>
          <w:rFonts w:ascii="Book Antiqua" w:hAnsi="Book Antiqua"/>
          <w:sz w:val="24"/>
          <w:szCs w:val="24"/>
          <w:vertAlign w:val="superscript"/>
        </w:rPr>
        <w:t>]</w:t>
      </w:r>
      <w:r w:rsidR="00552B68" w:rsidRPr="00A7194B">
        <w:rPr>
          <w:rFonts w:ascii="Book Antiqua" w:hAnsi="Book Antiqua"/>
          <w:sz w:val="24"/>
          <w:szCs w:val="24"/>
        </w:rPr>
        <w:t>.</w:t>
      </w:r>
      <w:r w:rsidRPr="00A7194B">
        <w:rPr>
          <w:rFonts w:ascii="Book Antiqua" w:hAnsi="Book Antiqua"/>
          <w:sz w:val="24"/>
          <w:szCs w:val="24"/>
        </w:rPr>
        <w:t xml:space="preserve"> Similar results have been obtained in other studies though some have shown that cleansing in the right colon was superi</w:t>
      </w:r>
      <w:r w:rsidR="007955E8" w:rsidRPr="00A7194B">
        <w:rPr>
          <w:rFonts w:ascii="Book Antiqua" w:hAnsi="Book Antiqua"/>
          <w:sz w:val="24"/>
          <w:szCs w:val="24"/>
        </w:rPr>
        <w:t>or with the 4</w:t>
      </w:r>
      <w:r w:rsidR="00A72075">
        <w:rPr>
          <w:rFonts w:ascii="Book Antiqua" w:hAnsi="Book Antiqua" w:hint="eastAsia"/>
          <w:sz w:val="24"/>
          <w:szCs w:val="24"/>
          <w:lang w:eastAsia="zh-CN"/>
        </w:rPr>
        <w:t xml:space="preserve"> </w:t>
      </w:r>
      <w:r w:rsidR="007955E8" w:rsidRPr="00A7194B">
        <w:rPr>
          <w:rFonts w:ascii="Book Antiqua" w:hAnsi="Book Antiqua"/>
          <w:sz w:val="24"/>
          <w:szCs w:val="24"/>
        </w:rPr>
        <w:t xml:space="preserve">L PEG </w:t>
      </w:r>
      <w:proofErr w:type="gramStart"/>
      <w:r w:rsidR="007955E8" w:rsidRPr="00A7194B">
        <w:rPr>
          <w:rFonts w:ascii="Book Antiqua" w:hAnsi="Book Antiqua"/>
          <w:sz w:val="24"/>
          <w:szCs w:val="24"/>
        </w:rPr>
        <w:t>preparation</w:t>
      </w:r>
      <w:r w:rsidR="00A01200">
        <w:rPr>
          <w:rFonts w:ascii="Book Antiqua" w:hAnsi="Book Antiqua"/>
          <w:sz w:val="24"/>
          <w:szCs w:val="24"/>
          <w:vertAlign w:val="superscript"/>
        </w:rPr>
        <w:t>[</w:t>
      </w:r>
      <w:proofErr w:type="gramEnd"/>
      <w:r w:rsidR="00A01200">
        <w:rPr>
          <w:rFonts w:ascii="Book Antiqua" w:hAnsi="Book Antiqua"/>
          <w:sz w:val="24"/>
          <w:szCs w:val="24"/>
          <w:vertAlign w:val="superscript"/>
        </w:rPr>
        <w:t>22,</w:t>
      </w:r>
      <w:r w:rsidR="007B3DC8" w:rsidRPr="00A7194B">
        <w:rPr>
          <w:rFonts w:ascii="Book Antiqua" w:hAnsi="Book Antiqua"/>
          <w:sz w:val="24"/>
          <w:szCs w:val="24"/>
          <w:vertAlign w:val="superscript"/>
        </w:rPr>
        <w:t>23</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w:t>
      </w:r>
    </w:p>
    <w:p w:rsidR="00486EA2" w:rsidRPr="00A7194B" w:rsidRDefault="00486EA2" w:rsidP="00A72075">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The relative efficacy of the 2</w:t>
      </w:r>
      <w:r w:rsidR="00A72075">
        <w:rPr>
          <w:rFonts w:ascii="Book Antiqua" w:hAnsi="Book Antiqua" w:hint="eastAsia"/>
          <w:sz w:val="24"/>
          <w:szCs w:val="24"/>
          <w:lang w:eastAsia="zh-CN"/>
        </w:rPr>
        <w:t xml:space="preserve"> </w:t>
      </w:r>
      <w:r w:rsidRPr="00A7194B">
        <w:rPr>
          <w:rFonts w:ascii="Book Antiqua" w:hAnsi="Book Antiqua"/>
          <w:sz w:val="24"/>
          <w:szCs w:val="24"/>
        </w:rPr>
        <w:t>L PEG preparations is undiminished when it is a</w:t>
      </w:r>
      <w:r w:rsidR="007955E8" w:rsidRPr="00A7194B">
        <w:rPr>
          <w:rFonts w:ascii="Book Antiqua" w:hAnsi="Book Antiqua"/>
          <w:sz w:val="24"/>
          <w:szCs w:val="24"/>
        </w:rPr>
        <w:t xml:space="preserve">dministered as a split </w:t>
      </w:r>
      <w:proofErr w:type="gramStart"/>
      <w:r w:rsidR="007955E8" w:rsidRPr="00A7194B">
        <w:rPr>
          <w:rFonts w:ascii="Book Antiqua" w:hAnsi="Book Antiqua"/>
          <w:sz w:val="24"/>
          <w:szCs w:val="24"/>
        </w:rPr>
        <w:t>dose</w:t>
      </w:r>
      <w:r w:rsidR="00A72075">
        <w:rPr>
          <w:rFonts w:ascii="Book Antiqua" w:hAnsi="Book Antiqua"/>
          <w:sz w:val="24"/>
          <w:szCs w:val="24"/>
          <w:vertAlign w:val="superscript"/>
        </w:rPr>
        <w:t>[</w:t>
      </w:r>
      <w:proofErr w:type="gramEnd"/>
      <w:r w:rsidR="00A72075">
        <w:rPr>
          <w:rFonts w:ascii="Book Antiqua" w:hAnsi="Book Antiqua"/>
          <w:sz w:val="24"/>
          <w:szCs w:val="24"/>
          <w:vertAlign w:val="superscript"/>
        </w:rPr>
        <w:t>24,</w:t>
      </w:r>
      <w:r w:rsidR="007B3DC8" w:rsidRPr="00A7194B">
        <w:rPr>
          <w:rFonts w:ascii="Book Antiqua" w:hAnsi="Book Antiqua"/>
          <w:sz w:val="24"/>
          <w:szCs w:val="24"/>
          <w:vertAlign w:val="superscript"/>
        </w:rPr>
        <w:t>25</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A 2013 study of </w:t>
      </w:r>
      <w:proofErr w:type="spellStart"/>
      <w:r w:rsidRPr="00A7194B">
        <w:rPr>
          <w:rFonts w:ascii="Book Antiqua" w:hAnsi="Book Antiqua"/>
          <w:sz w:val="24"/>
          <w:szCs w:val="24"/>
        </w:rPr>
        <w:t>of</w:t>
      </w:r>
      <w:proofErr w:type="spellEnd"/>
      <w:r w:rsidRPr="00A7194B">
        <w:rPr>
          <w:rFonts w:ascii="Book Antiqua" w:hAnsi="Book Antiqua"/>
          <w:sz w:val="24"/>
          <w:szCs w:val="24"/>
        </w:rPr>
        <w:t xml:space="preserve"> 2</w:t>
      </w:r>
      <w:r w:rsidR="00A72075">
        <w:rPr>
          <w:rFonts w:ascii="Book Antiqua" w:hAnsi="Book Antiqua" w:hint="eastAsia"/>
          <w:sz w:val="24"/>
          <w:szCs w:val="24"/>
          <w:lang w:eastAsia="zh-CN"/>
        </w:rPr>
        <w:t xml:space="preserve"> </w:t>
      </w:r>
      <w:r w:rsidRPr="00A7194B">
        <w:rPr>
          <w:rFonts w:ascii="Book Antiqua" w:hAnsi="Book Antiqua"/>
          <w:sz w:val="24"/>
          <w:szCs w:val="24"/>
        </w:rPr>
        <w:t xml:space="preserve">L PEG-citrate plus </w:t>
      </w:r>
      <w:proofErr w:type="spellStart"/>
      <w:r w:rsidRPr="00A7194B">
        <w:rPr>
          <w:rFonts w:ascii="Book Antiqua" w:hAnsi="Book Antiqua"/>
          <w:sz w:val="24"/>
          <w:szCs w:val="24"/>
        </w:rPr>
        <w:t>bisacodyl</w:t>
      </w:r>
      <w:proofErr w:type="spellEnd"/>
      <w:r w:rsidRPr="00A7194B">
        <w:rPr>
          <w:rFonts w:ascii="Book Antiqua" w:hAnsi="Book Antiqua"/>
          <w:sz w:val="24"/>
          <w:szCs w:val="24"/>
        </w:rPr>
        <w:t xml:space="preserve"> and </w:t>
      </w:r>
      <w:proofErr w:type="spellStart"/>
      <w:r w:rsidRPr="00A7194B">
        <w:rPr>
          <w:rFonts w:ascii="Book Antiqua" w:hAnsi="Book Antiqua"/>
          <w:sz w:val="24"/>
          <w:szCs w:val="24"/>
        </w:rPr>
        <w:t>simethicone</w:t>
      </w:r>
      <w:proofErr w:type="spellEnd"/>
      <w:r w:rsidRPr="00A7194B">
        <w:rPr>
          <w:rFonts w:ascii="Book Antiqua" w:hAnsi="Book Antiqua"/>
          <w:sz w:val="24"/>
          <w:szCs w:val="24"/>
        </w:rPr>
        <w:t xml:space="preserve"> found that successful preps were achieved in 92.8% </w:t>
      </w:r>
      <w:r w:rsidRPr="00A72075">
        <w:rPr>
          <w:rFonts w:ascii="Book Antiqua" w:hAnsi="Book Antiqua"/>
          <w:i/>
          <w:sz w:val="24"/>
          <w:szCs w:val="24"/>
        </w:rPr>
        <w:t>vs</w:t>
      </w:r>
      <w:r w:rsidRPr="00A7194B">
        <w:rPr>
          <w:rFonts w:ascii="Book Antiqua" w:hAnsi="Book Antiqua"/>
          <w:sz w:val="24"/>
          <w:szCs w:val="24"/>
        </w:rPr>
        <w:t xml:space="preserve"> 92.1% of patients using the 2</w:t>
      </w:r>
      <w:r w:rsidR="00A72075">
        <w:rPr>
          <w:rFonts w:ascii="Book Antiqua" w:hAnsi="Book Antiqua" w:hint="eastAsia"/>
          <w:sz w:val="24"/>
          <w:szCs w:val="24"/>
          <w:lang w:eastAsia="zh-CN"/>
        </w:rPr>
        <w:t xml:space="preserve"> </w:t>
      </w:r>
      <w:r w:rsidRPr="00A7194B">
        <w:rPr>
          <w:rFonts w:ascii="Book Antiqua" w:hAnsi="Book Antiqua"/>
          <w:sz w:val="24"/>
          <w:szCs w:val="24"/>
        </w:rPr>
        <w:t xml:space="preserve">L </w:t>
      </w:r>
      <w:r w:rsidR="007955E8" w:rsidRPr="00A7194B">
        <w:rPr>
          <w:rFonts w:ascii="Book Antiqua" w:hAnsi="Book Antiqua"/>
          <w:sz w:val="24"/>
          <w:szCs w:val="24"/>
        </w:rPr>
        <w:t>PEG and 4</w:t>
      </w:r>
      <w:r w:rsidR="00A72075">
        <w:rPr>
          <w:rFonts w:ascii="Book Antiqua" w:hAnsi="Book Antiqua" w:hint="eastAsia"/>
          <w:sz w:val="24"/>
          <w:szCs w:val="24"/>
          <w:lang w:eastAsia="zh-CN"/>
        </w:rPr>
        <w:t xml:space="preserve"> </w:t>
      </w:r>
      <w:r w:rsidR="007955E8" w:rsidRPr="00A7194B">
        <w:rPr>
          <w:rFonts w:ascii="Book Antiqua" w:hAnsi="Book Antiqua"/>
          <w:sz w:val="24"/>
          <w:szCs w:val="24"/>
        </w:rPr>
        <w:t>L PEG respectively</w:t>
      </w:r>
      <w:r w:rsidR="007B3DC8" w:rsidRPr="00A7194B">
        <w:rPr>
          <w:rFonts w:ascii="Book Antiqua" w:hAnsi="Book Antiqua"/>
          <w:sz w:val="24"/>
          <w:szCs w:val="24"/>
          <w:vertAlign w:val="superscript"/>
        </w:rPr>
        <w:t>[24</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A higher percentage of excellent right colon preps were observed in the 4</w:t>
      </w:r>
      <w:r w:rsidR="00A01200">
        <w:rPr>
          <w:rFonts w:ascii="Book Antiqua" w:hAnsi="Book Antiqua" w:hint="eastAsia"/>
          <w:sz w:val="24"/>
          <w:szCs w:val="24"/>
          <w:lang w:eastAsia="zh-CN"/>
        </w:rPr>
        <w:t xml:space="preserve"> </w:t>
      </w:r>
      <w:r w:rsidRPr="00A7194B">
        <w:rPr>
          <w:rFonts w:ascii="Book Antiqua" w:hAnsi="Book Antiqua"/>
          <w:sz w:val="24"/>
          <w:szCs w:val="24"/>
        </w:rPr>
        <w:t>L PEG group. The 2</w:t>
      </w:r>
      <w:r w:rsidR="00A01200">
        <w:rPr>
          <w:rFonts w:ascii="Book Antiqua" w:hAnsi="Book Antiqua" w:hint="eastAsia"/>
          <w:sz w:val="24"/>
          <w:szCs w:val="24"/>
          <w:lang w:eastAsia="zh-CN"/>
        </w:rPr>
        <w:t xml:space="preserve"> </w:t>
      </w:r>
      <w:r w:rsidRPr="00A7194B">
        <w:rPr>
          <w:rFonts w:ascii="Book Antiqua" w:hAnsi="Book Antiqua"/>
          <w:sz w:val="24"/>
          <w:szCs w:val="24"/>
        </w:rPr>
        <w:t xml:space="preserve">L PEG prep was better tolerated (31.6% reporting symptoms </w:t>
      </w:r>
      <w:r w:rsidRPr="00A72075">
        <w:rPr>
          <w:rFonts w:ascii="Book Antiqua" w:hAnsi="Book Antiqua"/>
          <w:i/>
          <w:sz w:val="24"/>
          <w:szCs w:val="24"/>
        </w:rPr>
        <w:t>vs</w:t>
      </w:r>
      <w:r w:rsidRPr="00A7194B">
        <w:rPr>
          <w:rFonts w:ascii="Book Antiqua" w:hAnsi="Book Antiqua"/>
          <w:sz w:val="24"/>
          <w:szCs w:val="24"/>
        </w:rPr>
        <w:t xml:space="preserve"> 45.2%) and more patients expressed willingness to repeat the same procedure in the future (90.6% </w:t>
      </w:r>
      <w:r w:rsidRPr="00A72075">
        <w:rPr>
          <w:rFonts w:ascii="Book Antiqua" w:hAnsi="Book Antiqua"/>
          <w:i/>
          <w:sz w:val="24"/>
          <w:szCs w:val="24"/>
        </w:rPr>
        <w:t xml:space="preserve">vs </w:t>
      </w:r>
      <w:r w:rsidRPr="00A7194B">
        <w:rPr>
          <w:rFonts w:ascii="Book Antiqua" w:hAnsi="Book Antiqua"/>
          <w:sz w:val="24"/>
          <w:szCs w:val="24"/>
        </w:rPr>
        <w:t>77%</w:t>
      </w:r>
      <w:r w:rsidR="00577C5D" w:rsidRPr="00A7194B">
        <w:rPr>
          <w:rFonts w:ascii="Book Antiqua" w:hAnsi="Book Antiqua"/>
          <w:sz w:val="24"/>
          <w:szCs w:val="24"/>
        </w:rPr>
        <w:t>)</w:t>
      </w:r>
      <w:r w:rsidR="00A01200">
        <w:rPr>
          <w:rFonts w:ascii="Book Antiqua" w:hAnsi="Book Antiqua" w:hint="eastAsia"/>
          <w:sz w:val="24"/>
          <w:szCs w:val="24"/>
          <w:lang w:eastAsia="zh-CN"/>
        </w:rPr>
        <w:t>.</w:t>
      </w:r>
      <w:r w:rsidRPr="00A7194B">
        <w:rPr>
          <w:rFonts w:ascii="Book Antiqua" w:hAnsi="Book Antiqua"/>
          <w:sz w:val="24"/>
          <w:szCs w:val="24"/>
        </w:rPr>
        <w:t xml:space="preserve"> Similar results were obtained using split dose</w:t>
      </w:r>
      <w:r w:rsidR="00064726" w:rsidRPr="00A7194B">
        <w:rPr>
          <w:rFonts w:ascii="Book Antiqua" w:hAnsi="Book Antiqua"/>
          <w:sz w:val="24"/>
          <w:szCs w:val="24"/>
        </w:rPr>
        <w:t xml:space="preserve"> 2</w:t>
      </w:r>
      <w:r w:rsidR="00A72075">
        <w:rPr>
          <w:rFonts w:ascii="Book Antiqua" w:hAnsi="Book Antiqua" w:hint="eastAsia"/>
          <w:sz w:val="24"/>
          <w:szCs w:val="24"/>
          <w:lang w:eastAsia="zh-CN"/>
        </w:rPr>
        <w:t xml:space="preserve"> </w:t>
      </w:r>
      <w:r w:rsidR="00064726" w:rsidRPr="00A7194B">
        <w:rPr>
          <w:rFonts w:ascii="Book Antiqua" w:hAnsi="Book Antiqua"/>
          <w:sz w:val="24"/>
          <w:szCs w:val="24"/>
        </w:rPr>
        <w:t xml:space="preserve">L PEG-ascorbic acid </w:t>
      </w:r>
      <w:proofErr w:type="gramStart"/>
      <w:r w:rsidR="007955E8" w:rsidRPr="00A7194B">
        <w:rPr>
          <w:rFonts w:ascii="Book Antiqua" w:hAnsi="Book Antiqua"/>
          <w:sz w:val="24"/>
          <w:szCs w:val="24"/>
        </w:rPr>
        <w:t>alone</w:t>
      </w:r>
      <w:r w:rsidR="007B3DC8" w:rsidRPr="00A7194B">
        <w:rPr>
          <w:rFonts w:ascii="Book Antiqua" w:hAnsi="Book Antiqua"/>
          <w:sz w:val="24"/>
          <w:szCs w:val="24"/>
          <w:vertAlign w:val="superscript"/>
        </w:rPr>
        <w:t>[</w:t>
      </w:r>
      <w:proofErr w:type="gramEnd"/>
      <w:r w:rsidR="007B3DC8" w:rsidRPr="00A7194B">
        <w:rPr>
          <w:rFonts w:ascii="Book Antiqua" w:hAnsi="Book Antiqua"/>
          <w:sz w:val="24"/>
          <w:szCs w:val="24"/>
          <w:vertAlign w:val="superscript"/>
        </w:rPr>
        <w:t>25</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There was no significant difference in the quality of bowel prep or number of patients achieving an adequate bowel prep in 2</w:t>
      </w:r>
      <w:r w:rsidR="00AF34E6">
        <w:rPr>
          <w:rFonts w:ascii="Book Antiqua" w:hAnsi="Book Antiqua" w:hint="eastAsia"/>
          <w:sz w:val="24"/>
          <w:szCs w:val="24"/>
          <w:lang w:eastAsia="zh-CN"/>
        </w:rPr>
        <w:t xml:space="preserve"> </w:t>
      </w:r>
      <w:r w:rsidRPr="00A7194B">
        <w:rPr>
          <w:rFonts w:ascii="Book Antiqua" w:hAnsi="Book Antiqua"/>
          <w:sz w:val="24"/>
          <w:szCs w:val="24"/>
        </w:rPr>
        <w:t xml:space="preserve">L </w:t>
      </w:r>
      <w:proofErr w:type="spellStart"/>
      <w:r w:rsidRPr="00EC0472">
        <w:rPr>
          <w:rFonts w:ascii="Book Antiqua" w:hAnsi="Book Antiqua"/>
          <w:i/>
          <w:sz w:val="24"/>
          <w:szCs w:val="24"/>
        </w:rPr>
        <w:t>vs</w:t>
      </w:r>
      <w:proofErr w:type="spellEnd"/>
      <w:r w:rsidRPr="00A7194B">
        <w:rPr>
          <w:rFonts w:ascii="Book Antiqua" w:hAnsi="Book Antiqua"/>
          <w:sz w:val="24"/>
          <w:szCs w:val="24"/>
        </w:rPr>
        <w:t xml:space="preserve"> 4</w:t>
      </w:r>
      <w:r w:rsidR="00AF34E6">
        <w:rPr>
          <w:rFonts w:ascii="Book Antiqua" w:hAnsi="Book Antiqua" w:hint="eastAsia"/>
          <w:sz w:val="24"/>
          <w:szCs w:val="24"/>
          <w:lang w:eastAsia="zh-CN"/>
        </w:rPr>
        <w:t xml:space="preserve"> </w:t>
      </w:r>
      <w:r w:rsidRPr="00A7194B">
        <w:rPr>
          <w:rFonts w:ascii="Book Antiqua" w:hAnsi="Book Antiqua"/>
          <w:sz w:val="24"/>
          <w:szCs w:val="24"/>
        </w:rPr>
        <w:t xml:space="preserve">L groups (7.0 </w:t>
      </w:r>
      <w:r w:rsidR="00AF34E6" w:rsidRPr="00A03C60">
        <w:rPr>
          <w:rFonts w:ascii="Book Antiqua" w:hAnsi="Book Antiqua" w:cs="Arial"/>
          <w:color w:val="000000"/>
          <w:sz w:val="24"/>
          <w:szCs w:val="24"/>
        </w:rPr>
        <w:t>±</w:t>
      </w:r>
      <w:r w:rsidRPr="00A7194B">
        <w:rPr>
          <w:rFonts w:ascii="Book Antiqua" w:hAnsi="Book Antiqua"/>
          <w:sz w:val="24"/>
          <w:szCs w:val="24"/>
        </w:rPr>
        <w:t xml:space="preserve"> 2.1 </w:t>
      </w:r>
      <w:proofErr w:type="spellStart"/>
      <w:r w:rsidRPr="00AF34E6">
        <w:rPr>
          <w:rFonts w:ascii="Book Antiqua" w:hAnsi="Book Antiqua"/>
          <w:i/>
          <w:sz w:val="24"/>
          <w:szCs w:val="24"/>
        </w:rPr>
        <w:t>vs</w:t>
      </w:r>
      <w:proofErr w:type="spellEnd"/>
      <w:r w:rsidRPr="00A7194B">
        <w:rPr>
          <w:rFonts w:ascii="Book Antiqua" w:hAnsi="Book Antiqua"/>
          <w:sz w:val="24"/>
          <w:szCs w:val="24"/>
        </w:rPr>
        <w:t xml:space="preserve"> 7.1 </w:t>
      </w:r>
      <w:r w:rsidR="00AF34E6" w:rsidRPr="00A03C60">
        <w:rPr>
          <w:rFonts w:ascii="Book Antiqua" w:hAnsi="Book Antiqua" w:cs="Arial"/>
          <w:color w:val="000000"/>
          <w:sz w:val="24"/>
          <w:szCs w:val="24"/>
        </w:rPr>
        <w:t>±</w:t>
      </w:r>
      <w:r w:rsidR="007955E8" w:rsidRPr="00A7194B">
        <w:rPr>
          <w:rFonts w:ascii="Book Antiqua" w:hAnsi="Book Antiqua"/>
          <w:sz w:val="24"/>
          <w:szCs w:val="24"/>
        </w:rPr>
        <w:t xml:space="preserve"> 2.0 and 73.2% </w:t>
      </w:r>
      <w:r w:rsidR="007955E8" w:rsidRPr="00AF34E6">
        <w:rPr>
          <w:rFonts w:ascii="Book Antiqua" w:hAnsi="Book Antiqua"/>
          <w:i/>
          <w:sz w:val="24"/>
          <w:szCs w:val="24"/>
        </w:rPr>
        <w:t>vs</w:t>
      </w:r>
      <w:r w:rsidR="007955E8" w:rsidRPr="00A7194B">
        <w:rPr>
          <w:rFonts w:ascii="Book Antiqua" w:hAnsi="Book Antiqua"/>
          <w:sz w:val="24"/>
          <w:szCs w:val="24"/>
        </w:rPr>
        <w:t xml:space="preserve"> 76.3%</w:t>
      </w:r>
      <w:r w:rsidR="00577C5D" w:rsidRPr="00A7194B">
        <w:rPr>
          <w:rFonts w:ascii="Book Antiqua" w:hAnsi="Book Antiqua"/>
          <w:sz w:val="24"/>
          <w:szCs w:val="24"/>
        </w:rPr>
        <w:t>)</w:t>
      </w:r>
      <w:r w:rsidR="007B3DC8" w:rsidRPr="00A7194B">
        <w:rPr>
          <w:rFonts w:ascii="Book Antiqua" w:hAnsi="Book Antiqua"/>
          <w:sz w:val="24"/>
          <w:szCs w:val="24"/>
          <w:vertAlign w:val="superscript"/>
        </w:rPr>
        <w:t>[25</w:t>
      </w:r>
      <w:r w:rsidRPr="00A7194B">
        <w:rPr>
          <w:rFonts w:ascii="Book Antiqua" w:hAnsi="Book Antiqua"/>
          <w:sz w:val="24"/>
          <w:szCs w:val="24"/>
          <w:vertAlign w:val="superscript"/>
        </w:rPr>
        <w:t>]</w:t>
      </w:r>
      <w:r w:rsidR="00552B68" w:rsidRPr="00A7194B">
        <w:rPr>
          <w:rFonts w:ascii="Book Antiqua" w:hAnsi="Book Antiqua"/>
          <w:sz w:val="24"/>
          <w:szCs w:val="24"/>
        </w:rPr>
        <w:t>.</w:t>
      </w:r>
      <w:r w:rsidRPr="00A7194B">
        <w:rPr>
          <w:rFonts w:ascii="Book Antiqua" w:hAnsi="Book Antiqua"/>
          <w:sz w:val="24"/>
          <w:szCs w:val="24"/>
        </w:rPr>
        <w:t xml:space="preserve"> The low volume preparation was rated significantly more tolerable with 14.3% of subjects reporting difficulty in taking the preparation </w:t>
      </w:r>
      <w:r w:rsidRPr="00AF34E6">
        <w:rPr>
          <w:rFonts w:ascii="Book Antiqua" w:hAnsi="Book Antiqua"/>
          <w:i/>
          <w:sz w:val="24"/>
          <w:szCs w:val="24"/>
        </w:rPr>
        <w:t>vs</w:t>
      </w:r>
      <w:r w:rsidRPr="00A7194B">
        <w:rPr>
          <w:rFonts w:ascii="Book Antiqua" w:hAnsi="Book Antiqua"/>
          <w:sz w:val="24"/>
          <w:szCs w:val="24"/>
        </w:rPr>
        <w:t xml:space="preserve"> 30.7% with the 4</w:t>
      </w:r>
      <w:r w:rsidR="00AF34E6">
        <w:rPr>
          <w:rFonts w:ascii="Book Antiqua" w:hAnsi="Book Antiqua" w:hint="eastAsia"/>
          <w:sz w:val="24"/>
          <w:szCs w:val="24"/>
          <w:lang w:eastAsia="zh-CN"/>
        </w:rPr>
        <w:t xml:space="preserve"> </w:t>
      </w:r>
      <w:r w:rsidRPr="00A7194B">
        <w:rPr>
          <w:rFonts w:ascii="Book Antiqua" w:hAnsi="Book Antiqua"/>
          <w:sz w:val="24"/>
          <w:szCs w:val="24"/>
        </w:rPr>
        <w:t>L</w:t>
      </w:r>
      <w:r w:rsidR="007955E8" w:rsidRPr="00A7194B">
        <w:rPr>
          <w:rFonts w:ascii="Book Antiqua" w:hAnsi="Book Antiqua"/>
          <w:sz w:val="24"/>
          <w:szCs w:val="24"/>
        </w:rPr>
        <w:t xml:space="preserve"> PEG </w:t>
      </w:r>
      <w:proofErr w:type="gramStart"/>
      <w:r w:rsidR="007955E8" w:rsidRPr="00A7194B">
        <w:rPr>
          <w:rFonts w:ascii="Book Antiqua" w:hAnsi="Book Antiqua"/>
          <w:sz w:val="24"/>
          <w:szCs w:val="24"/>
        </w:rPr>
        <w:t>preparation</w:t>
      </w:r>
      <w:r w:rsidR="007B3DC8" w:rsidRPr="00A7194B">
        <w:rPr>
          <w:rFonts w:ascii="Book Antiqua" w:hAnsi="Book Antiqua"/>
          <w:sz w:val="24"/>
          <w:szCs w:val="24"/>
          <w:vertAlign w:val="superscript"/>
        </w:rPr>
        <w:t>[</w:t>
      </w:r>
      <w:proofErr w:type="gramEnd"/>
      <w:r w:rsidR="007B3DC8" w:rsidRPr="00A7194B">
        <w:rPr>
          <w:rFonts w:ascii="Book Antiqua" w:hAnsi="Book Antiqua"/>
          <w:sz w:val="24"/>
          <w:szCs w:val="24"/>
          <w:vertAlign w:val="superscript"/>
        </w:rPr>
        <w:t>25</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w:t>
      </w:r>
    </w:p>
    <w:p w:rsidR="00486EA2" w:rsidRPr="00A7194B" w:rsidRDefault="00486EA2" w:rsidP="00A7194B">
      <w:pPr>
        <w:pStyle w:val="PlainText"/>
        <w:suppressLineNumbers/>
        <w:spacing w:line="360" w:lineRule="auto"/>
        <w:jc w:val="both"/>
        <w:rPr>
          <w:rFonts w:ascii="Book Antiqua" w:hAnsi="Book Antiqua"/>
          <w:sz w:val="24"/>
          <w:szCs w:val="24"/>
        </w:rPr>
      </w:pPr>
    </w:p>
    <w:p w:rsidR="00486EA2" w:rsidRPr="00AF34E6" w:rsidRDefault="002C5840" w:rsidP="00A7194B">
      <w:pPr>
        <w:pStyle w:val="PlainText"/>
        <w:suppressLineNumbers/>
        <w:spacing w:line="360" w:lineRule="auto"/>
        <w:jc w:val="both"/>
        <w:rPr>
          <w:rFonts w:ascii="Book Antiqua" w:hAnsi="Book Antiqua"/>
          <w:b/>
          <w:sz w:val="24"/>
          <w:szCs w:val="24"/>
          <w:lang w:eastAsia="zh-CN"/>
        </w:rPr>
      </w:pPr>
      <w:r w:rsidRPr="00AF34E6">
        <w:rPr>
          <w:rFonts w:ascii="Book Antiqua" w:hAnsi="Book Antiqua"/>
          <w:b/>
          <w:sz w:val="24"/>
          <w:szCs w:val="24"/>
        </w:rPr>
        <w:t>MIRALAX</w:t>
      </w:r>
    </w:p>
    <w:p w:rsidR="00486EA2" w:rsidRPr="00A7194B" w:rsidRDefault="00486EA2"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 xml:space="preserve">Though it has not been FDA approved for the purpose, </w:t>
      </w:r>
      <w:proofErr w:type="spellStart"/>
      <w:r w:rsidR="002C5840" w:rsidRPr="00A7194B">
        <w:rPr>
          <w:rFonts w:ascii="Book Antiqua" w:hAnsi="Book Antiqua"/>
          <w:sz w:val="24"/>
          <w:szCs w:val="24"/>
        </w:rPr>
        <w:t>MiraLAX</w:t>
      </w:r>
      <w:proofErr w:type="spellEnd"/>
      <w:r w:rsidR="00B41494" w:rsidRPr="00A7194B">
        <w:rPr>
          <w:rFonts w:ascii="Book Antiqua" w:hAnsi="Book Antiqua"/>
          <w:sz w:val="24"/>
          <w:szCs w:val="24"/>
        </w:rPr>
        <w:t xml:space="preserve"> (Bayer Healthcare, Leverkusen, Germany)</w:t>
      </w:r>
      <w:r w:rsidRPr="00A7194B">
        <w:rPr>
          <w:rFonts w:ascii="Book Antiqua" w:hAnsi="Book Antiqua"/>
          <w:sz w:val="24"/>
          <w:szCs w:val="24"/>
        </w:rPr>
        <w:t xml:space="preserve"> has come into widespread use as a bowel prep agent in spite of equivocal evidence supporting its efficacy as compared to FDA approved alternatives</w:t>
      </w:r>
      <w:r w:rsidR="0020083E" w:rsidRPr="00A7194B">
        <w:rPr>
          <w:rFonts w:ascii="Book Antiqua" w:hAnsi="Book Antiqua"/>
          <w:sz w:val="24"/>
          <w:szCs w:val="24"/>
        </w:rPr>
        <w:t xml:space="preserve"> due to the convenience of using an over the counter product and superior palatability. </w:t>
      </w:r>
      <w:r w:rsidRPr="00A7194B">
        <w:rPr>
          <w:rFonts w:ascii="Book Antiqua" w:hAnsi="Book Antiqua"/>
          <w:sz w:val="24"/>
          <w:szCs w:val="24"/>
        </w:rPr>
        <w:t xml:space="preserve">A recent survey of practicing gastroenterologists found that one third regularly recommend some sort of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based bowel prep to their patients with rates as high as 50% in suburban practices and a positive correlation between the number of colonoscopies performed and the likelihood of recommending a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based bowel prep</w:t>
      </w:r>
      <w:r w:rsidR="007B3DC8" w:rsidRPr="00A7194B">
        <w:rPr>
          <w:rFonts w:ascii="Book Antiqua" w:hAnsi="Book Antiqua"/>
          <w:sz w:val="24"/>
          <w:szCs w:val="24"/>
          <w:vertAlign w:val="superscript"/>
        </w:rPr>
        <w:t>[26</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based bowel preps, typically 238</w:t>
      </w:r>
      <w:r w:rsidR="00831064">
        <w:rPr>
          <w:rFonts w:ascii="Book Antiqua" w:hAnsi="Book Antiqua" w:hint="eastAsia"/>
          <w:sz w:val="24"/>
          <w:szCs w:val="24"/>
          <w:lang w:eastAsia="zh-CN"/>
        </w:rPr>
        <w:t xml:space="preserve"> </w:t>
      </w:r>
      <w:r w:rsidRPr="00A7194B">
        <w:rPr>
          <w:rFonts w:ascii="Book Antiqua" w:hAnsi="Book Antiqua"/>
          <w:sz w:val="24"/>
          <w:szCs w:val="24"/>
        </w:rPr>
        <w:t xml:space="preserve">mg of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in 64oz of Gatorade, has generally, though not universally, been found to</w:t>
      </w:r>
      <w:r w:rsidR="007955E8" w:rsidRPr="00A7194B">
        <w:rPr>
          <w:rFonts w:ascii="Book Antiqua" w:hAnsi="Book Antiqua"/>
          <w:sz w:val="24"/>
          <w:szCs w:val="24"/>
        </w:rPr>
        <w:t xml:space="preserve"> be more tolerable to patients</w:t>
      </w:r>
      <w:r w:rsidR="00552B68" w:rsidRPr="00A7194B">
        <w:rPr>
          <w:rFonts w:ascii="Book Antiqua" w:hAnsi="Book Antiqua"/>
          <w:sz w:val="24"/>
          <w:szCs w:val="24"/>
          <w:vertAlign w:val="superscript"/>
        </w:rPr>
        <w:t>[</w:t>
      </w:r>
      <w:r w:rsidR="007B3DC8" w:rsidRPr="00A7194B">
        <w:rPr>
          <w:rFonts w:ascii="Book Antiqua" w:hAnsi="Book Antiqua"/>
          <w:sz w:val="24"/>
          <w:szCs w:val="24"/>
          <w:vertAlign w:val="superscript"/>
        </w:rPr>
        <w:t>27</w:t>
      </w:r>
      <w:r w:rsidR="00552B68" w:rsidRPr="00A7194B">
        <w:rPr>
          <w:rFonts w:ascii="Book Antiqua" w:hAnsi="Book Antiqua"/>
          <w:sz w:val="24"/>
          <w:szCs w:val="24"/>
          <w:vertAlign w:val="superscript"/>
        </w:rPr>
        <w:t>-</w:t>
      </w:r>
      <w:r w:rsidR="007B3DC8" w:rsidRPr="00A7194B">
        <w:rPr>
          <w:rFonts w:ascii="Book Antiqua" w:hAnsi="Book Antiqua"/>
          <w:sz w:val="24"/>
          <w:szCs w:val="24"/>
          <w:vertAlign w:val="superscript"/>
        </w:rPr>
        <w:t>30</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Pr="00A7194B">
        <w:rPr>
          <w:rFonts w:ascii="Book Antiqua" w:hAnsi="Book Antiqua"/>
          <w:sz w:val="24"/>
          <w:szCs w:val="24"/>
        </w:rPr>
        <w:t xml:space="preserve"> </w:t>
      </w:r>
    </w:p>
    <w:p w:rsidR="00486EA2" w:rsidRPr="00A7194B" w:rsidRDefault="00486EA2" w:rsidP="00831064">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 xml:space="preserve">The data regarding the cleansing achieved with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is more mixed. McKenna</w:t>
      </w:r>
      <w:r w:rsidRPr="00831064">
        <w:rPr>
          <w:rFonts w:ascii="Book Antiqua" w:hAnsi="Book Antiqua"/>
          <w:i/>
          <w:sz w:val="24"/>
          <w:szCs w:val="24"/>
        </w:rPr>
        <w:t xml:space="preserve"> et </w:t>
      </w:r>
      <w:proofErr w:type="gramStart"/>
      <w:r w:rsidRPr="00831064">
        <w:rPr>
          <w:rFonts w:ascii="Book Antiqua" w:hAnsi="Book Antiqua"/>
          <w:i/>
          <w:sz w:val="24"/>
          <w:szCs w:val="24"/>
        </w:rPr>
        <w:t>al</w:t>
      </w:r>
      <w:r w:rsidR="00831064" w:rsidRPr="00A7194B">
        <w:rPr>
          <w:rFonts w:ascii="Book Antiqua" w:hAnsi="Book Antiqua"/>
          <w:sz w:val="24"/>
          <w:szCs w:val="24"/>
          <w:vertAlign w:val="superscript"/>
        </w:rPr>
        <w:t>[</w:t>
      </w:r>
      <w:proofErr w:type="gramEnd"/>
      <w:r w:rsidR="00831064" w:rsidRPr="00A7194B">
        <w:rPr>
          <w:rFonts w:ascii="Book Antiqua" w:hAnsi="Book Antiqua"/>
          <w:sz w:val="24"/>
          <w:szCs w:val="24"/>
          <w:vertAlign w:val="superscript"/>
        </w:rPr>
        <w:t>30]</w:t>
      </w:r>
      <w:r w:rsidRPr="00A7194B">
        <w:rPr>
          <w:rFonts w:ascii="Book Antiqua" w:hAnsi="Book Antiqua"/>
          <w:sz w:val="24"/>
          <w:szCs w:val="24"/>
        </w:rPr>
        <w:t xml:space="preserve"> found that single dose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was </w:t>
      </w:r>
      <w:proofErr w:type="spellStart"/>
      <w:r w:rsidRPr="00A7194B">
        <w:rPr>
          <w:rFonts w:ascii="Book Antiqua" w:hAnsi="Book Antiqua"/>
          <w:sz w:val="24"/>
          <w:szCs w:val="24"/>
        </w:rPr>
        <w:t>noninferior</w:t>
      </w:r>
      <w:proofErr w:type="spellEnd"/>
      <w:r w:rsidRPr="00A7194B">
        <w:rPr>
          <w:rFonts w:ascii="Book Antiqua" w:hAnsi="Book Antiqua"/>
          <w:sz w:val="24"/>
          <w:szCs w:val="24"/>
        </w:rPr>
        <w:t xml:space="preserve"> compared to 4</w:t>
      </w:r>
      <w:r w:rsidR="00A01200">
        <w:rPr>
          <w:rFonts w:ascii="Book Antiqua" w:hAnsi="Book Antiqua" w:hint="eastAsia"/>
          <w:sz w:val="24"/>
          <w:szCs w:val="24"/>
          <w:lang w:eastAsia="zh-CN"/>
        </w:rPr>
        <w:t xml:space="preserve"> </w:t>
      </w:r>
      <w:r w:rsidRPr="00A7194B">
        <w:rPr>
          <w:rFonts w:ascii="Book Antiqua" w:hAnsi="Book Antiqua"/>
          <w:sz w:val="24"/>
          <w:szCs w:val="24"/>
        </w:rPr>
        <w:t xml:space="preserve">L of PEG-ELS, both taken the </w:t>
      </w:r>
      <w:r w:rsidR="007955E8" w:rsidRPr="00A7194B">
        <w:rPr>
          <w:rFonts w:ascii="Book Antiqua" w:hAnsi="Book Antiqua"/>
          <w:sz w:val="24"/>
          <w:szCs w:val="24"/>
        </w:rPr>
        <w:t>night before procedure.</w:t>
      </w:r>
      <w:r w:rsidRPr="00A7194B">
        <w:rPr>
          <w:rFonts w:ascii="Book Antiqua" w:hAnsi="Book Antiqua"/>
          <w:sz w:val="24"/>
          <w:szCs w:val="24"/>
        </w:rPr>
        <w:t xml:space="preserve"> Both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and PEG-ELS produced equivalent BBPS (7.0</w:t>
      </w:r>
      <w:r w:rsidRPr="00831064">
        <w:rPr>
          <w:rFonts w:ascii="Book Antiqua" w:hAnsi="Book Antiqua"/>
          <w:i/>
          <w:sz w:val="24"/>
          <w:szCs w:val="24"/>
        </w:rPr>
        <w:t xml:space="preserve"> vs</w:t>
      </w:r>
      <w:r w:rsidRPr="00A7194B">
        <w:rPr>
          <w:rFonts w:ascii="Book Antiqua" w:hAnsi="Book Antiqua"/>
          <w:sz w:val="24"/>
          <w:szCs w:val="24"/>
        </w:rPr>
        <w:t xml:space="preserve"> 7.2) and had similar percentages of patients achieving adequate bowl preps (BBPS</w:t>
      </w:r>
      <w:r w:rsidR="00831064">
        <w:rPr>
          <w:rFonts w:ascii="Book Antiqua" w:hAnsi="Book Antiqua" w:hint="eastAsia"/>
          <w:sz w:val="24"/>
          <w:szCs w:val="24"/>
          <w:lang w:eastAsia="zh-CN"/>
        </w:rPr>
        <w:t xml:space="preserve"> </w:t>
      </w:r>
      <w:r w:rsidR="00831064" w:rsidRPr="004E1F0C">
        <w:rPr>
          <w:rFonts w:ascii="Book Antiqua" w:eastAsia="Arial Unicode MS" w:hAnsi="Book Antiqua" w:cs="Arial Unicode MS"/>
          <w:sz w:val="24"/>
          <w:szCs w:val="24"/>
        </w:rPr>
        <w:t>≥</w:t>
      </w:r>
      <w:r w:rsidRPr="00A7194B">
        <w:rPr>
          <w:rFonts w:ascii="Book Antiqua" w:hAnsi="Book Antiqua"/>
          <w:sz w:val="24"/>
          <w:szCs w:val="24"/>
        </w:rPr>
        <w:t xml:space="preserve"> 6, 81.3%</w:t>
      </w:r>
      <w:r w:rsidRPr="00831064">
        <w:rPr>
          <w:rFonts w:ascii="Book Antiqua" w:hAnsi="Book Antiqua"/>
          <w:i/>
          <w:sz w:val="24"/>
          <w:szCs w:val="24"/>
        </w:rPr>
        <w:t xml:space="preserve"> vs</w:t>
      </w:r>
      <w:r w:rsidRPr="00A7194B">
        <w:rPr>
          <w:rFonts w:ascii="Book Antiqua" w:hAnsi="Book Antiqua"/>
          <w:sz w:val="24"/>
          <w:szCs w:val="24"/>
        </w:rPr>
        <w:t xml:space="preserve"> 84.3%.) The authors found no difference in time to</w:t>
      </w:r>
      <w:r w:rsidR="007939DE" w:rsidRPr="00A7194B">
        <w:rPr>
          <w:rFonts w:ascii="Book Antiqua" w:hAnsi="Book Antiqua"/>
          <w:sz w:val="24"/>
          <w:szCs w:val="24"/>
        </w:rPr>
        <w:t xml:space="preserve"> </w:t>
      </w:r>
      <w:proofErr w:type="spellStart"/>
      <w:r w:rsidRPr="00A7194B">
        <w:rPr>
          <w:rFonts w:ascii="Book Antiqua" w:hAnsi="Book Antiqua"/>
          <w:sz w:val="24"/>
          <w:szCs w:val="24"/>
        </w:rPr>
        <w:t>cecal</w:t>
      </w:r>
      <w:proofErr w:type="spellEnd"/>
      <w:r w:rsidRPr="00A7194B">
        <w:rPr>
          <w:rFonts w:ascii="Book Antiqua" w:hAnsi="Book Antiqua"/>
          <w:sz w:val="24"/>
          <w:szCs w:val="24"/>
        </w:rPr>
        <w:t xml:space="preserve"> intubation or withdrawal time.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was preferred by study subjects. Similar results were obtained in a study by </w:t>
      </w:r>
      <w:proofErr w:type="spellStart"/>
      <w:r w:rsidRPr="00A7194B">
        <w:rPr>
          <w:rFonts w:ascii="Book Antiqua" w:hAnsi="Book Antiqua"/>
          <w:sz w:val="24"/>
          <w:szCs w:val="24"/>
        </w:rPr>
        <w:t>Samarasena</w:t>
      </w:r>
      <w:proofErr w:type="spellEnd"/>
      <w:r w:rsidRPr="00A7194B">
        <w:rPr>
          <w:rFonts w:ascii="Book Antiqua" w:hAnsi="Book Antiqua"/>
          <w:sz w:val="24"/>
          <w:szCs w:val="24"/>
        </w:rPr>
        <w:t xml:space="preserve"> </w:t>
      </w:r>
      <w:r w:rsidRPr="00A01200">
        <w:rPr>
          <w:rFonts w:ascii="Book Antiqua" w:hAnsi="Book Antiqua"/>
          <w:i/>
          <w:sz w:val="24"/>
          <w:szCs w:val="24"/>
        </w:rPr>
        <w:t xml:space="preserve">et </w:t>
      </w:r>
      <w:proofErr w:type="gramStart"/>
      <w:r w:rsidRPr="00A01200">
        <w:rPr>
          <w:rFonts w:ascii="Book Antiqua" w:hAnsi="Book Antiqua"/>
          <w:i/>
          <w:sz w:val="24"/>
          <w:szCs w:val="24"/>
        </w:rPr>
        <w:t>al</w:t>
      </w:r>
      <w:r w:rsidR="00A01200" w:rsidRPr="00A7194B">
        <w:rPr>
          <w:rFonts w:ascii="Book Antiqua" w:hAnsi="Book Antiqua"/>
          <w:sz w:val="24"/>
          <w:szCs w:val="24"/>
          <w:vertAlign w:val="superscript"/>
        </w:rPr>
        <w:t>[</w:t>
      </w:r>
      <w:proofErr w:type="gramEnd"/>
      <w:r w:rsidR="00A01200" w:rsidRPr="00A7194B">
        <w:rPr>
          <w:rFonts w:ascii="Book Antiqua" w:hAnsi="Book Antiqua"/>
          <w:sz w:val="24"/>
          <w:szCs w:val="24"/>
          <w:vertAlign w:val="superscript"/>
        </w:rPr>
        <w:t>28]</w:t>
      </w:r>
      <w:r w:rsidRPr="00A7194B">
        <w:rPr>
          <w:rFonts w:ascii="Book Antiqua" w:hAnsi="Book Antiqua"/>
          <w:sz w:val="24"/>
          <w:szCs w:val="24"/>
        </w:rPr>
        <w:t xml:space="preserve"> comparing split dose </w:t>
      </w:r>
      <w:proofErr w:type="spellStart"/>
      <w:r w:rsidR="002C5840" w:rsidRPr="00A7194B">
        <w:rPr>
          <w:rFonts w:ascii="Book Antiqua" w:hAnsi="Book Antiqua"/>
          <w:sz w:val="24"/>
          <w:szCs w:val="24"/>
        </w:rPr>
        <w:t>MiraLAX</w:t>
      </w:r>
      <w:proofErr w:type="spellEnd"/>
      <w:r w:rsidR="007955E8" w:rsidRPr="00A7194B">
        <w:rPr>
          <w:rFonts w:ascii="Book Antiqua" w:hAnsi="Book Antiqua"/>
          <w:sz w:val="24"/>
          <w:szCs w:val="24"/>
        </w:rPr>
        <w:t xml:space="preserve"> with split dose PEG-ELS.</w:t>
      </w:r>
      <w:r w:rsidRPr="00A7194B">
        <w:rPr>
          <w:rFonts w:ascii="Book Antiqua" w:hAnsi="Book Antiqua"/>
          <w:sz w:val="24"/>
          <w:szCs w:val="24"/>
        </w:rPr>
        <w:t xml:space="preserve"> Again, no significant difference in BBPS (8.01</w:t>
      </w:r>
      <w:r w:rsidRPr="00831064">
        <w:rPr>
          <w:rFonts w:ascii="Book Antiqua" w:hAnsi="Book Antiqua"/>
          <w:i/>
          <w:sz w:val="24"/>
          <w:szCs w:val="24"/>
        </w:rPr>
        <w:t xml:space="preserve"> vs </w:t>
      </w:r>
      <w:r w:rsidRPr="00A7194B">
        <w:rPr>
          <w:rFonts w:ascii="Book Antiqua" w:hAnsi="Book Antiqua"/>
          <w:sz w:val="24"/>
          <w:szCs w:val="24"/>
        </w:rPr>
        <w:t xml:space="preserve">8.33) was observed and the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based prep was given significantly better ratings in terms of taste and tolerability with 96.8%</w:t>
      </w:r>
      <w:r w:rsidRPr="00831064">
        <w:rPr>
          <w:rFonts w:ascii="Book Antiqua" w:hAnsi="Book Antiqua"/>
          <w:i/>
          <w:sz w:val="24"/>
          <w:szCs w:val="24"/>
        </w:rPr>
        <w:t xml:space="preserve"> vs</w:t>
      </w:r>
      <w:r w:rsidRPr="00A7194B">
        <w:rPr>
          <w:rFonts w:ascii="Book Antiqua" w:hAnsi="Book Antiqua"/>
          <w:sz w:val="24"/>
          <w:szCs w:val="24"/>
        </w:rPr>
        <w:t xml:space="preserve"> 75% of subjects willing t</w:t>
      </w:r>
      <w:r w:rsidR="00337ED4" w:rsidRPr="00A7194B">
        <w:rPr>
          <w:rFonts w:ascii="Book Antiqua" w:hAnsi="Book Antiqua"/>
          <w:sz w:val="24"/>
          <w:szCs w:val="24"/>
        </w:rPr>
        <w:t xml:space="preserve">o repeat the prep in the future. A comparison of </w:t>
      </w:r>
      <w:proofErr w:type="spellStart"/>
      <w:r w:rsidR="00337ED4" w:rsidRPr="00A7194B">
        <w:rPr>
          <w:rFonts w:ascii="Book Antiqua" w:hAnsi="Book Antiqua"/>
          <w:sz w:val="24"/>
          <w:szCs w:val="24"/>
        </w:rPr>
        <w:t>MiraLAX</w:t>
      </w:r>
      <w:proofErr w:type="spellEnd"/>
      <w:r w:rsidR="00337ED4" w:rsidRPr="00A7194B">
        <w:rPr>
          <w:rFonts w:ascii="Book Antiqua" w:hAnsi="Book Antiqua"/>
          <w:sz w:val="24"/>
          <w:szCs w:val="24"/>
        </w:rPr>
        <w:t xml:space="preserve"> in Gatorade plus </w:t>
      </w:r>
      <w:proofErr w:type="spellStart"/>
      <w:r w:rsidR="00337ED4" w:rsidRPr="00A7194B">
        <w:rPr>
          <w:rFonts w:ascii="Book Antiqua" w:hAnsi="Book Antiqua"/>
          <w:sz w:val="24"/>
          <w:szCs w:val="24"/>
        </w:rPr>
        <w:t>bisacodyl</w:t>
      </w:r>
      <w:proofErr w:type="spellEnd"/>
      <w:r w:rsidR="00337ED4" w:rsidRPr="00A7194B">
        <w:rPr>
          <w:rFonts w:ascii="Book Antiqua" w:hAnsi="Book Antiqua"/>
          <w:sz w:val="24"/>
          <w:szCs w:val="24"/>
        </w:rPr>
        <w:t xml:space="preserve"> with 4</w:t>
      </w:r>
      <w:r w:rsidR="00A01200">
        <w:rPr>
          <w:rFonts w:ascii="Book Antiqua" w:hAnsi="Book Antiqua" w:hint="eastAsia"/>
          <w:sz w:val="24"/>
          <w:szCs w:val="24"/>
          <w:lang w:eastAsia="zh-CN"/>
        </w:rPr>
        <w:t xml:space="preserve"> </w:t>
      </w:r>
      <w:r w:rsidR="00337ED4" w:rsidRPr="00A7194B">
        <w:rPr>
          <w:rFonts w:ascii="Book Antiqua" w:hAnsi="Book Antiqua"/>
          <w:sz w:val="24"/>
          <w:szCs w:val="24"/>
        </w:rPr>
        <w:t xml:space="preserve">L PEG-ELS found superior results overall (93.3% </w:t>
      </w:r>
      <w:r w:rsidR="00337ED4" w:rsidRPr="00831064">
        <w:rPr>
          <w:rFonts w:ascii="Book Antiqua" w:hAnsi="Book Antiqua"/>
          <w:i/>
          <w:sz w:val="24"/>
          <w:szCs w:val="24"/>
        </w:rPr>
        <w:t>vs</w:t>
      </w:r>
      <w:r w:rsidR="00337ED4" w:rsidRPr="00A7194B">
        <w:rPr>
          <w:rFonts w:ascii="Book Antiqua" w:hAnsi="Book Antiqua"/>
          <w:sz w:val="24"/>
          <w:szCs w:val="24"/>
        </w:rPr>
        <w:t xml:space="preserve"> 89.3% with excellent/good cleansing) and equivalent results when the analysis was limited to only ASA </w:t>
      </w:r>
      <w:r w:rsidR="00831064" w:rsidRPr="00A7194B">
        <w:rPr>
          <w:rFonts w:ascii="Book Antiqua" w:hAnsi="Book Antiqua"/>
          <w:sz w:val="24"/>
          <w:szCs w:val="24"/>
        </w:rPr>
        <w:t>c</w:t>
      </w:r>
      <w:r w:rsidR="00337ED4" w:rsidRPr="00A7194B">
        <w:rPr>
          <w:rFonts w:ascii="Book Antiqua" w:hAnsi="Book Antiqua"/>
          <w:sz w:val="24"/>
          <w:szCs w:val="24"/>
        </w:rPr>
        <w:t>lass 1 patients of which there wer</w:t>
      </w:r>
      <w:r w:rsidR="007955E8" w:rsidRPr="00A7194B">
        <w:rPr>
          <w:rFonts w:ascii="Book Antiqua" w:hAnsi="Book Antiqua"/>
          <w:sz w:val="24"/>
          <w:szCs w:val="24"/>
        </w:rPr>
        <w:t>e more in the 4</w:t>
      </w:r>
      <w:r w:rsidR="00831064">
        <w:rPr>
          <w:rFonts w:ascii="Book Antiqua" w:hAnsi="Book Antiqua" w:hint="eastAsia"/>
          <w:sz w:val="24"/>
          <w:szCs w:val="24"/>
          <w:lang w:eastAsia="zh-CN"/>
        </w:rPr>
        <w:t xml:space="preserve"> </w:t>
      </w:r>
      <w:r w:rsidR="007955E8" w:rsidRPr="00A7194B">
        <w:rPr>
          <w:rFonts w:ascii="Book Antiqua" w:hAnsi="Book Antiqua"/>
          <w:sz w:val="24"/>
          <w:szCs w:val="24"/>
        </w:rPr>
        <w:t>L PEG-ELS group</w:t>
      </w:r>
      <w:r w:rsidR="00317810" w:rsidRPr="00A7194B">
        <w:rPr>
          <w:rFonts w:ascii="Book Antiqua" w:hAnsi="Book Antiqua"/>
          <w:sz w:val="24"/>
          <w:szCs w:val="24"/>
          <w:vertAlign w:val="superscript"/>
        </w:rPr>
        <w:t>[31</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00337ED4" w:rsidRPr="00A7194B">
        <w:rPr>
          <w:rFonts w:ascii="Book Antiqua" w:hAnsi="Book Antiqua"/>
          <w:sz w:val="24"/>
          <w:szCs w:val="24"/>
        </w:rPr>
        <w:t xml:space="preserve"> The authors noted that the </w:t>
      </w:r>
      <w:r w:rsidR="001C698B" w:rsidRPr="00A7194B">
        <w:rPr>
          <w:rFonts w:ascii="Book Antiqua" w:hAnsi="Book Antiqua"/>
          <w:sz w:val="24"/>
          <w:szCs w:val="24"/>
        </w:rPr>
        <w:t xml:space="preserve">increased rate of adequate preparations derived primarily from more frequent good and less frequent fair preparations. </w:t>
      </w:r>
    </w:p>
    <w:p w:rsidR="00486EA2" w:rsidRPr="00A7194B" w:rsidRDefault="00486EA2" w:rsidP="00831064">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 xml:space="preserve">Other researchers have found inferior bowel prep with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based regimens compared with PEG-ELS. Hjelkrem </w:t>
      </w:r>
      <w:r w:rsidRPr="00831064">
        <w:rPr>
          <w:rFonts w:ascii="Book Antiqua" w:hAnsi="Book Antiqua"/>
          <w:i/>
          <w:sz w:val="24"/>
          <w:szCs w:val="24"/>
        </w:rPr>
        <w:t xml:space="preserve">et </w:t>
      </w:r>
      <w:proofErr w:type="gramStart"/>
      <w:r w:rsidRPr="00831064">
        <w:rPr>
          <w:rFonts w:ascii="Book Antiqua" w:hAnsi="Book Antiqua"/>
          <w:i/>
          <w:sz w:val="24"/>
          <w:szCs w:val="24"/>
        </w:rPr>
        <w:t>al</w:t>
      </w:r>
      <w:r w:rsidR="00831064" w:rsidRPr="00A7194B">
        <w:rPr>
          <w:rFonts w:ascii="Book Antiqua" w:hAnsi="Book Antiqua"/>
          <w:sz w:val="24"/>
          <w:szCs w:val="24"/>
          <w:vertAlign w:val="superscript"/>
        </w:rPr>
        <w:t>[</w:t>
      </w:r>
      <w:proofErr w:type="gramEnd"/>
      <w:r w:rsidR="00831064" w:rsidRPr="00A7194B">
        <w:rPr>
          <w:rFonts w:ascii="Book Antiqua" w:hAnsi="Book Antiqua"/>
          <w:sz w:val="24"/>
          <w:szCs w:val="24"/>
          <w:vertAlign w:val="superscript"/>
        </w:rPr>
        <w:t>27]</w:t>
      </w:r>
      <w:r w:rsidRPr="00A7194B">
        <w:rPr>
          <w:rFonts w:ascii="Book Antiqua" w:hAnsi="Book Antiqua"/>
          <w:sz w:val="24"/>
          <w:szCs w:val="24"/>
        </w:rPr>
        <w:t xml:space="preserve"> compared split doses of 4</w:t>
      </w:r>
      <w:r w:rsidR="00A01200">
        <w:rPr>
          <w:rFonts w:ascii="Book Antiqua" w:hAnsi="Book Antiqua" w:hint="eastAsia"/>
          <w:sz w:val="24"/>
          <w:szCs w:val="24"/>
          <w:lang w:eastAsia="zh-CN"/>
        </w:rPr>
        <w:t xml:space="preserve"> </w:t>
      </w:r>
      <w:r w:rsidRPr="00A7194B">
        <w:rPr>
          <w:rFonts w:ascii="Book Antiqua" w:hAnsi="Book Antiqua"/>
          <w:sz w:val="24"/>
          <w:szCs w:val="24"/>
        </w:rPr>
        <w:t xml:space="preserve">L PEG-ELS with </w:t>
      </w:r>
      <w:proofErr w:type="spellStart"/>
      <w:r w:rsidR="002C5840" w:rsidRPr="00A7194B">
        <w:rPr>
          <w:rFonts w:ascii="Book Antiqua" w:hAnsi="Book Antiqua"/>
          <w:sz w:val="24"/>
          <w:szCs w:val="24"/>
        </w:rPr>
        <w:lastRenderedPageBreak/>
        <w:t>MiraLAX</w:t>
      </w:r>
      <w:proofErr w:type="spellEnd"/>
      <w:r w:rsidRPr="00A7194B">
        <w:rPr>
          <w:rFonts w:ascii="Book Antiqua" w:hAnsi="Book Antiqua"/>
          <w:sz w:val="24"/>
          <w:szCs w:val="24"/>
        </w:rPr>
        <w:t xml:space="preserve"> (alone and with either </w:t>
      </w:r>
      <w:proofErr w:type="spellStart"/>
      <w:r w:rsidRPr="00A7194B">
        <w:rPr>
          <w:rFonts w:ascii="Book Antiqua" w:hAnsi="Book Antiqua"/>
          <w:sz w:val="24"/>
          <w:szCs w:val="24"/>
        </w:rPr>
        <w:t>bisacodyl</w:t>
      </w:r>
      <w:proofErr w:type="spellEnd"/>
      <w:r w:rsidRPr="00A7194B">
        <w:rPr>
          <w:rFonts w:ascii="Book Antiqua" w:hAnsi="Book Antiqua"/>
          <w:sz w:val="24"/>
          <w:szCs w:val="24"/>
        </w:rPr>
        <w:t xml:space="preserve"> or</w:t>
      </w:r>
      <w:r w:rsidR="00D159EC" w:rsidRPr="00A7194B">
        <w:rPr>
          <w:rFonts w:ascii="Book Antiqua" w:hAnsi="Book Antiqua"/>
          <w:sz w:val="24"/>
          <w:szCs w:val="24"/>
        </w:rPr>
        <w:t xml:space="preserve"> </w:t>
      </w:r>
      <w:proofErr w:type="spellStart"/>
      <w:r w:rsidRPr="00A7194B">
        <w:rPr>
          <w:rFonts w:ascii="Book Antiqua" w:hAnsi="Book Antiqua"/>
          <w:sz w:val="24"/>
          <w:szCs w:val="24"/>
        </w:rPr>
        <w:t>lubriprostone</w:t>
      </w:r>
      <w:proofErr w:type="spellEnd"/>
      <w:r w:rsidRPr="00A7194B">
        <w:rPr>
          <w:rFonts w:ascii="Book Antiqua" w:hAnsi="Book Antiqua"/>
          <w:sz w:val="24"/>
          <w:szCs w:val="24"/>
        </w:rPr>
        <w:t xml:space="preserve">) and demonstrated inferior preps with all of the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based preps (Ottawa score of 5.1 </w:t>
      </w:r>
      <w:r w:rsidRPr="00831064">
        <w:rPr>
          <w:rFonts w:ascii="Book Antiqua" w:hAnsi="Book Antiqua"/>
          <w:i/>
          <w:sz w:val="24"/>
          <w:szCs w:val="24"/>
        </w:rPr>
        <w:t>vs</w:t>
      </w:r>
      <w:r w:rsidRPr="00A7194B">
        <w:rPr>
          <w:rFonts w:ascii="Book Antiqua" w:hAnsi="Book Antiqua"/>
          <w:sz w:val="24"/>
          <w:szCs w:val="24"/>
        </w:rPr>
        <w:t xml:space="preserve"> 6.9, 6.3, a</w:t>
      </w:r>
      <w:r w:rsidR="007955E8" w:rsidRPr="00A7194B">
        <w:rPr>
          <w:rFonts w:ascii="Book Antiqua" w:hAnsi="Book Antiqua"/>
          <w:sz w:val="24"/>
          <w:szCs w:val="24"/>
        </w:rPr>
        <w:t>nd 6.8</w:t>
      </w:r>
      <w:r w:rsidR="00577C5D" w:rsidRPr="00A7194B">
        <w:rPr>
          <w:rFonts w:ascii="Book Antiqua" w:hAnsi="Book Antiqua"/>
          <w:sz w:val="24"/>
          <w:szCs w:val="24"/>
        </w:rPr>
        <w:t>)</w:t>
      </w:r>
      <w:r w:rsidR="00552B68" w:rsidRPr="00A7194B">
        <w:rPr>
          <w:rFonts w:ascii="Book Antiqua" w:hAnsi="Book Antiqua"/>
          <w:sz w:val="24"/>
          <w:szCs w:val="24"/>
        </w:rPr>
        <w:t>.</w:t>
      </w:r>
      <w:r w:rsidRPr="00A7194B">
        <w:rPr>
          <w:rFonts w:ascii="Book Antiqua" w:hAnsi="Book Antiqua"/>
          <w:sz w:val="24"/>
          <w:szCs w:val="24"/>
        </w:rPr>
        <w:t xml:space="preserve"> Cleansing was adequate with all preps, but there was a higher incidence of excellent preps in the </w:t>
      </w:r>
      <w:proofErr w:type="spellStart"/>
      <w:r w:rsidRPr="00A7194B">
        <w:rPr>
          <w:rFonts w:ascii="Book Antiqua" w:hAnsi="Book Antiqua"/>
          <w:sz w:val="24"/>
          <w:szCs w:val="24"/>
        </w:rPr>
        <w:t>Golytely</w:t>
      </w:r>
      <w:proofErr w:type="spellEnd"/>
      <w:r w:rsidRPr="00A7194B">
        <w:rPr>
          <w:rFonts w:ascii="Book Antiqua" w:hAnsi="Book Antiqua"/>
          <w:sz w:val="24"/>
          <w:szCs w:val="24"/>
        </w:rPr>
        <w:t xml:space="preserve"> arm (49% </w:t>
      </w:r>
      <w:proofErr w:type="spellStart"/>
      <w:r w:rsidRPr="00831064">
        <w:rPr>
          <w:rFonts w:ascii="Book Antiqua" w:hAnsi="Book Antiqua"/>
          <w:i/>
          <w:sz w:val="24"/>
          <w:szCs w:val="24"/>
        </w:rPr>
        <w:t>vs</w:t>
      </w:r>
      <w:proofErr w:type="spellEnd"/>
      <w:r w:rsidR="00DF5C5C">
        <w:rPr>
          <w:rFonts w:ascii="Book Antiqua" w:hAnsi="Book Antiqua"/>
          <w:sz w:val="24"/>
          <w:szCs w:val="24"/>
        </w:rPr>
        <w:t xml:space="preserve"> 15%, 20%, and 19%</w:t>
      </w:r>
      <w:r w:rsidRPr="00A7194B">
        <w:rPr>
          <w:rFonts w:ascii="Book Antiqua" w:hAnsi="Book Antiqua"/>
          <w:sz w:val="24"/>
          <w:szCs w:val="24"/>
        </w:rPr>
        <w:t>)</w:t>
      </w:r>
      <w:r w:rsidR="00DF5C5C">
        <w:rPr>
          <w:rFonts w:ascii="Book Antiqua" w:hAnsi="Book Antiqua" w:hint="eastAsia"/>
          <w:sz w:val="24"/>
          <w:szCs w:val="24"/>
          <w:lang w:eastAsia="zh-CN"/>
        </w:rPr>
        <w:t>.</w:t>
      </w:r>
      <w:r w:rsidRPr="00A7194B">
        <w:rPr>
          <w:rFonts w:ascii="Book Antiqua" w:hAnsi="Book Antiqua"/>
          <w:sz w:val="24"/>
          <w:szCs w:val="24"/>
        </w:rPr>
        <w:t xml:space="preserve"> No difference in adenoma detection rates was observed. A lower rate of excellent prep and overall inferior BBPS was also observed by </w:t>
      </w:r>
      <w:proofErr w:type="spellStart"/>
      <w:r w:rsidRPr="00A7194B">
        <w:rPr>
          <w:rFonts w:ascii="Book Antiqua" w:hAnsi="Book Antiqua"/>
          <w:sz w:val="24"/>
          <w:szCs w:val="24"/>
        </w:rPr>
        <w:t>Enesvedt</w:t>
      </w:r>
      <w:proofErr w:type="spellEnd"/>
      <w:r w:rsidRPr="00A7194B">
        <w:rPr>
          <w:rFonts w:ascii="Book Antiqua" w:hAnsi="Book Antiqua"/>
          <w:sz w:val="24"/>
          <w:szCs w:val="24"/>
        </w:rPr>
        <w:t xml:space="preserve"> </w:t>
      </w:r>
      <w:r w:rsidRPr="00831064">
        <w:rPr>
          <w:rFonts w:ascii="Book Antiqua" w:hAnsi="Book Antiqua"/>
          <w:i/>
          <w:sz w:val="24"/>
          <w:szCs w:val="24"/>
        </w:rPr>
        <w:t>et al</w:t>
      </w:r>
      <w:r w:rsidR="00831064" w:rsidRPr="00A7194B">
        <w:rPr>
          <w:rFonts w:ascii="Book Antiqua" w:hAnsi="Book Antiqua"/>
          <w:sz w:val="24"/>
          <w:szCs w:val="24"/>
          <w:vertAlign w:val="superscript"/>
        </w:rPr>
        <w:t>[29]</w:t>
      </w:r>
      <w:r w:rsidRPr="00A7194B">
        <w:rPr>
          <w:rFonts w:ascii="Book Antiqua" w:hAnsi="Book Antiqua"/>
          <w:sz w:val="24"/>
          <w:szCs w:val="24"/>
        </w:rPr>
        <w:t xml:space="preserve"> when comparing </w:t>
      </w:r>
      <w:proofErr w:type="spellStart"/>
      <w:r w:rsidR="002C5840" w:rsidRPr="00A7194B">
        <w:rPr>
          <w:rFonts w:ascii="Book Antiqua" w:hAnsi="Book Antiqua"/>
          <w:sz w:val="24"/>
          <w:szCs w:val="24"/>
        </w:rPr>
        <w:t>MiraLAX</w:t>
      </w:r>
      <w:proofErr w:type="spellEnd"/>
      <w:r w:rsidR="007955E8" w:rsidRPr="00A7194B">
        <w:rPr>
          <w:rFonts w:ascii="Book Antiqua" w:hAnsi="Book Antiqua"/>
          <w:sz w:val="24"/>
          <w:szCs w:val="24"/>
        </w:rPr>
        <w:t xml:space="preserve"> with 4</w:t>
      </w:r>
      <w:r w:rsidR="00831064">
        <w:rPr>
          <w:rFonts w:ascii="Book Antiqua" w:hAnsi="Book Antiqua" w:hint="eastAsia"/>
          <w:sz w:val="24"/>
          <w:szCs w:val="24"/>
          <w:lang w:eastAsia="zh-CN"/>
        </w:rPr>
        <w:t xml:space="preserve"> </w:t>
      </w:r>
      <w:r w:rsidR="007955E8" w:rsidRPr="00A7194B">
        <w:rPr>
          <w:rFonts w:ascii="Book Antiqua" w:hAnsi="Book Antiqua"/>
          <w:sz w:val="24"/>
          <w:szCs w:val="24"/>
        </w:rPr>
        <w:t>L PEG-ELS.</w:t>
      </w:r>
      <w:r w:rsidRPr="00A7194B">
        <w:rPr>
          <w:rFonts w:ascii="Book Antiqua" w:hAnsi="Book Antiqua"/>
          <w:sz w:val="24"/>
          <w:szCs w:val="24"/>
        </w:rPr>
        <w:t xml:space="preserve"> PEG-ELS produced a mean BBPS of 9</w:t>
      </w:r>
      <w:r w:rsidR="00831064">
        <w:rPr>
          <w:rFonts w:ascii="Book Antiqua" w:hAnsi="Book Antiqua" w:hint="eastAsia"/>
          <w:sz w:val="24"/>
          <w:szCs w:val="24"/>
          <w:lang w:eastAsia="zh-CN"/>
        </w:rPr>
        <w:t>%</w:t>
      </w:r>
      <w:r w:rsidRPr="00A7194B">
        <w:rPr>
          <w:rFonts w:ascii="Book Antiqua" w:hAnsi="Book Antiqua"/>
          <w:sz w:val="24"/>
          <w:szCs w:val="24"/>
        </w:rPr>
        <w:t xml:space="preserve"> and 70% of preps were rated excellent which was superior to a mean BBPS of 8</w:t>
      </w:r>
      <w:r w:rsidR="00831064">
        <w:rPr>
          <w:rFonts w:ascii="Book Antiqua" w:hAnsi="Book Antiqua" w:hint="eastAsia"/>
          <w:sz w:val="24"/>
          <w:szCs w:val="24"/>
          <w:lang w:eastAsia="zh-CN"/>
        </w:rPr>
        <w:t>%</w:t>
      </w:r>
      <w:r w:rsidRPr="00A7194B">
        <w:rPr>
          <w:rFonts w:ascii="Book Antiqua" w:hAnsi="Book Antiqua"/>
          <w:sz w:val="24"/>
          <w:szCs w:val="24"/>
        </w:rPr>
        <w:t xml:space="preserve"> and 55% of preps rated excellent for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A follow up study by </w:t>
      </w:r>
      <w:proofErr w:type="spellStart"/>
      <w:r w:rsidR="00A01200" w:rsidRPr="00A01200">
        <w:rPr>
          <w:rFonts w:ascii="Book Antiqua" w:hAnsi="Book Antiqua"/>
          <w:sz w:val="24"/>
          <w:szCs w:val="24"/>
        </w:rPr>
        <w:t>Enestvedt</w:t>
      </w:r>
      <w:proofErr w:type="spellEnd"/>
      <w:r w:rsidRPr="00A01200">
        <w:rPr>
          <w:rFonts w:ascii="Book Antiqua" w:hAnsi="Book Antiqua"/>
          <w:sz w:val="24"/>
          <w:szCs w:val="24"/>
        </w:rPr>
        <w:t xml:space="preserve"> </w:t>
      </w:r>
      <w:r w:rsidRPr="00A01200">
        <w:rPr>
          <w:rFonts w:ascii="Book Antiqua" w:hAnsi="Book Antiqua"/>
          <w:i/>
          <w:sz w:val="24"/>
          <w:szCs w:val="24"/>
        </w:rPr>
        <w:t>et al</w:t>
      </w:r>
      <w:r w:rsidR="00A01200" w:rsidRPr="00A7194B">
        <w:rPr>
          <w:rFonts w:ascii="Book Antiqua" w:hAnsi="Book Antiqua"/>
          <w:sz w:val="24"/>
          <w:szCs w:val="24"/>
          <w:vertAlign w:val="superscript"/>
        </w:rPr>
        <w:t>[32]</w:t>
      </w:r>
      <w:r w:rsidRPr="00A7194B">
        <w:rPr>
          <w:rFonts w:ascii="Book Antiqua" w:hAnsi="Book Antiqua"/>
          <w:sz w:val="24"/>
          <w:szCs w:val="24"/>
        </w:rPr>
        <w:t xml:space="preserve"> comparing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with PEG-ELS showed that, in addition to less frequently achieving a BBPS</w:t>
      </w:r>
      <w:r w:rsidR="00974297" w:rsidRPr="00A7194B">
        <w:rPr>
          <w:rFonts w:ascii="Book Antiqua" w:hAnsi="Book Antiqua"/>
          <w:sz w:val="24"/>
          <w:szCs w:val="24"/>
        </w:rPr>
        <w:t xml:space="preserve"> greater than or equal to </w:t>
      </w:r>
      <w:r w:rsidRPr="00A7194B">
        <w:rPr>
          <w:rFonts w:ascii="Book Antiqua" w:hAnsi="Book Antiqua"/>
          <w:sz w:val="24"/>
          <w:szCs w:val="24"/>
        </w:rPr>
        <w:t xml:space="preserve">7, </w:t>
      </w:r>
      <w:proofErr w:type="spellStart"/>
      <w:r w:rsidR="002C5840" w:rsidRPr="00A7194B">
        <w:rPr>
          <w:rFonts w:ascii="Book Antiqua" w:hAnsi="Book Antiqua"/>
          <w:sz w:val="24"/>
          <w:szCs w:val="24"/>
        </w:rPr>
        <w:t>MiraLAX</w:t>
      </w:r>
      <w:proofErr w:type="spellEnd"/>
      <w:r w:rsidRPr="00A7194B">
        <w:rPr>
          <w:rFonts w:ascii="Book Antiqua" w:hAnsi="Book Antiqua"/>
          <w:sz w:val="24"/>
          <w:szCs w:val="24"/>
        </w:rPr>
        <w:t xml:space="preserve"> was associated with a lower adenoma detection rate</w:t>
      </w:r>
      <w:r w:rsidR="00B91E7B" w:rsidRPr="00A7194B">
        <w:rPr>
          <w:rFonts w:ascii="Book Antiqua" w:hAnsi="Book Antiqua"/>
          <w:sz w:val="24"/>
          <w:szCs w:val="24"/>
        </w:rPr>
        <w:t xml:space="preserve"> </w:t>
      </w:r>
      <w:r w:rsidRPr="00A7194B">
        <w:rPr>
          <w:rFonts w:ascii="Book Antiqua" w:hAnsi="Book Antiqua"/>
          <w:sz w:val="24"/>
          <w:szCs w:val="24"/>
        </w:rPr>
        <w:t>(16.</w:t>
      </w:r>
      <w:r w:rsidR="007955E8" w:rsidRPr="00A7194B">
        <w:rPr>
          <w:rFonts w:ascii="Book Antiqua" w:hAnsi="Book Antiqua"/>
          <w:sz w:val="24"/>
          <w:szCs w:val="24"/>
        </w:rPr>
        <w:t xml:space="preserve">1% </w:t>
      </w:r>
      <w:r w:rsidR="007955E8" w:rsidRPr="00831064">
        <w:rPr>
          <w:rFonts w:ascii="Book Antiqua" w:hAnsi="Book Antiqua"/>
          <w:i/>
          <w:sz w:val="24"/>
          <w:szCs w:val="24"/>
        </w:rPr>
        <w:t>vs</w:t>
      </w:r>
      <w:r w:rsidR="007955E8" w:rsidRPr="00A7194B">
        <w:rPr>
          <w:rFonts w:ascii="Book Antiqua" w:hAnsi="Book Antiqua"/>
          <w:sz w:val="24"/>
          <w:szCs w:val="24"/>
        </w:rPr>
        <w:t xml:space="preserve"> 26.2% with PEG-ELS</w:t>
      </w:r>
      <w:r w:rsidR="00577C5D" w:rsidRPr="00A7194B">
        <w:rPr>
          <w:rFonts w:ascii="Book Antiqua" w:hAnsi="Book Antiqua"/>
          <w:sz w:val="24"/>
          <w:szCs w:val="24"/>
        </w:rPr>
        <w:t>)</w:t>
      </w:r>
      <w:r w:rsidR="00552B68" w:rsidRPr="00A7194B">
        <w:rPr>
          <w:rFonts w:ascii="Book Antiqua" w:hAnsi="Book Antiqua"/>
          <w:sz w:val="24"/>
          <w:szCs w:val="24"/>
        </w:rPr>
        <w:t>.</w:t>
      </w:r>
      <w:r w:rsidRPr="00A7194B">
        <w:rPr>
          <w:rFonts w:ascii="Book Antiqua" w:hAnsi="Book Antiqua"/>
          <w:sz w:val="24"/>
          <w:szCs w:val="24"/>
        </w:rPr>
        <w:t xml:space="preserve"> </w:t>
      </w:r>
    </w:p>
    <w:p w:rsidR="000445B7" w:rsidRPr="00A7194B" w:rsidRDefault="002C5840" w:rsidP="00831064">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 xml:space="preserve">There have been concerns about the safety of </w:t>
      </w:r>
      <w:proofErr w:type="spellStart"/>
      <w:r w:rsidRPr="00A7194B">
        <w:rPr>
          <w:rFonts w:ascii="Book Antiqua" w:hAnsi="Book Antiqua"/>
          <w:sz w:val="24"/>
          <w:szCs w:val="24"/>
        </w:rPr>
        <w:t>MiraLAX</w:t>
      </w:r>
      <w:proofErr w:type="spellEnd"/>
      <w:r w:rsidR="00420B28" w:rsidRPr="00A7194B">
        <w:rPr>
          <w:rFonts w:ascii="Book Antiqua" w:hAnsi="Book Antiqua"/>
          <w:sz w:val="24"/>
          <w:szCs w:val="24"/>
        </w:rPr>
        <w:t xml:space="preserve"> for bowel preparation</w:t>
      </w:r>
      <w:r w:rsidRPr="00A7194B">
        <w:rPr>
          <w:rFonts w:ascii="Book Antiqua" w:hAnsi="Book Antiqua"/>
          <w:sz w:val="24"/>
          <w:szCs w:val="24"/>
        </w:rPr>
        <w:t xml:space="preserve"> after</w:t>
      </w:r>
      <w:r w:rsidR="00420B28" w:rsidRPr="00A7194B">
        <w:rPr>
          <w:rFonts w:ascii="Book Antiqua" w:hAnsi="Book Antiqua"/>
          <w:sz w:val="24"/>
          <w:szCs w:val="24"/>
        </w:rPr>
        <w:t xml:space="preserve"> repor</w:t>
      </w:r>
      <w:r w:rsidR="007955E8" w:rsidRPr="00A7194B">
        <w:rPr>
          <w:rFonts w:ascii="Book Antiqua" w:hAnsi="Book Antiqua"/>
          <w:sz w:val="24"/>
          <w:szCs w:val="24"/>
        </w:rPr>
        <w:t xml:space="preserve">ts of severe </w:t>
      </w:r>
      <w:proofErr w:type="gramStart"/>
      <w:r w:rsidR="007955E8" w:rsidRPr="00A7194B">
        <w:rPr>
          <w:rFonts w:ascii="Book Antiqua" w:hAnsi="Book Antiqua"/>
          <w:sz w:val="24"/>
          <w:szCs w:val="24"/>
        </w:rPr>
        <w:t>hyponatremia</w:t>
      </w:r>
      <w:r w:rsidR="007B49BB" w:rsidRPr="00A7194B">
        <w:rPr>
          <w:rFonts w:ascii="Book Antiqua" w:hAnsi="Book Antiqua"/>
          <w:sz w:val="24"/>
          <w:szCs w:val="24"/>
          <w:vertAlign w:val="superscript"/>
        </w:rPr>
        <w:t>[</w:t>
      </w:r>
      <w:proofErr w:type="gramEnd"/>
      <w:r w:rsidR="007B49BB" w:rsidRPr="00A7194B">
        <w:rPr>
          <w:rFonts w:ascii="Book Antiqua" w:hAnsi="Book Antiqua"/>
          <w:sz w:val="24"/>
          <w:szCs w:val="24"/>
          <w:vertAlign w:val="superscript"/>
        </w:rPr>
        <w:t>33</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00420B28" w:rsidRPr="00A7194B">
        <w:rPr>
          <w:rFonts w:ascii="Book Antiqua" w:hAnsi="Book Antiqua"/>
          <w:sz w:val="24"/>
          <w:szCs w:val="24"/>
        </w:rPr>
        <w:t xml:space="preserve"> Unlike the electrolyte solutions used for prescription bowel preps, the sports drink (typically Gatorade) is not osmotically balanced and is relatively hypotonic. </w:t>
      </w:r>
      <w:r w:rsidR="007939DE" w:rsidRPr="00A7194B">
        <w:rPr>
          <w:rFonts w:ascii="Book Antiqua" w:hAnsi="Book Antiqua"/>
          <w:sz w:val="24"/>
          <w:szCs w:val="24"/>
        </w:rPr>
        <w:t>Two randomized controlled trials have since demonstrated comparable safety with standard 4</w:t>
      </w:r>
      <w:r w:rsidR="00A01200">
        <w:rPr>
          <w:rFonts w:ascii="Book Antiqua" w:hAnsi="Book Antiqua" w:hint="eastAsia"/>
          <w:sz w:val="24"/>
          <w:szCs w:val="24"/>
          <w:lang w:eastAsia="zh-CN"/>
        </w:rPr>
        <w:t xml:space="preserve"> </w:t>
      </w:r>
      <w:r w:rsidR="007939DE" w:rsidRPr="00A7194B">
        <w:rPr>
          <w:rFonts w:ascii="Book Antiqua" w:hAnsi="Book Antiqua"/>
          <w:sz w:val="24"/>
          <w:szCs w:val="24"/>
        </w:rPr>
        <w:t>L PE</w:t>
      </w:r>
      <w:r w:rsidR="007955E8" w:rsidRPr="00A7194B">
        <w:rPr>
          <w:rFonts w:ascii="Book Antiqua" w:hAnsi="Book Antiqua"/>
          <w:sz w:val="24"/>
          <w:szCs w:val="24"/>
        </w:rPr>
        <w:t xml:space="preserve">G </w:t>
      </w:r>
      <w:proofErr w:type="gramStart"/>
      <w:r w:rsidR="007955E8" w:rsidRPr="00A7194B">
        <w:rPr>
          <w:rFonts w:ascii="Book Antiqua" w:hAnsi="Book Antiqua"/>
          <w:sz w:val="24"/>
          <w:szCs w:val="24"/>
        </w:rPr>
        <w:t>preparations</w:t>
      </w:r>
      <w:r w:rsidR="007B49BB" w:rsidRPr="00A7194B">
        <w:rPr>
          <w:rFonts w:ascii="Book Antiqua" w:hAnsi="Book Antiqua"/>
          <w:sz w:val="24"/>
          <w:szCs w:val="24"/>
          <w:vertAlign w:val="superscript"/>
        </w:rPr>
        <w:t>[</w:t>
      </w:r>
      <w:proofErr w:type="gramEnd"/>
      <w:r w:rsidR="007B49BB" w:rsidRPr="00A7194B">
        <w:rPr>
          <w:rFonts w:ascii="Book Antiqua" w:hAnsi="Book Antiqua"/>
          <w:sz w:val="24"/>
          <w:szCs w:val="24"/>
          <w:vertAlign w:val="superscript"/>
        </w:rPr>
        <w:t>28</w:t>
      </w:r>
      <w:r w:rsidR="00831064">
        <w:rPr>
          <w:rFonts w:ascii="Book Antiqua" w:hAnsi="Book Antiqua"/>
          <w:sz w:val="24"/>
          <w:szCs w:val="24"/>
          <w:vertAlign w:val="superscript"/>
        </w:rPr>
        <w:t>,</w:t>
      </w:r>
      <w:r w:rsidR="007B49BB" w:rsidRPr="00A7194B">
        <w:rPr>
          <w:rFonts w:ascii="Book Antiqua" w:hAnsi="Book Antiqua"/>
          <w:sz w:val="24"/>
          <w:szCs w:val="24"/>
          <w:vertAlign w:val="superscript"/>
        </w:rPr>
        <w:t>30</w:t>
      </w:r>
      <w:r w:rsidR="00552B68" w:rsidRPr="00A7194B">
        <w:rPr>
          <w:rFonts w:ascii="Book Antiqua" w:hAnsi="Book Antiqua"/>
          <w:sz w:val="24"/>
          <w:szCs w:val="24"/>
          <w:vertAlign w:val="superscript"/>
        </w:rPr>
        <w:t>]</w:t>
      </w:r>
      <w:r w:rsidR="007955E8" w:rsidRPr="00A7194B">
        <w:rPr>
          <w:rFonts w:ascii="Book Antiqua" w:hAnsi="Book Antiqua"/>
          <w:sz w:val="24"/>
          <w:szCs w:val="24"/>
        </w:rPr>
        <w:t>.</w:t>
      </w:r>
      <w:r w:rsidR="007939DE" w:rsidRPr="00A7194B">
        <w:rPr>
          <w:rFonts w:ascii="Book Antiqua" w:hAnsi="Book Antiqua"/>
          <w:sz w:val="24"/>
          <w:szCs w:val="24"/>
        </w:rPr>
        <w:t xml:space="preserve"> Neither trial detected a clinically or statistically significant di</w:t>
      </w:r>
      <w:r w:rsidR="001C698B" w:rsidRPr="00A7194B">
        <w:rPr>
          <w:rFonts w:ascii="Book Antiqua" w:hAnsi="Book Antiqua"/>
          <w:sz w:val="24"/>
          <w:szCs w:val="24"/>
        </w:rPr>
        <w:t>fference in serum electrolytes. Though, the study populations were relatively small and may not detect very infrequent adverse events, it is reassuring that not even a trend toward greater electrolyte abnormalities was observed.</w:t>
      </w:r>
    </w:p>
    <w:p w:rsidR="00420B28" w:rsidRPr="00A7194B" w:rsidRDefault="00420B28" w:rsidP="00A7194B">
      <w:pPr>
        <w:pStyle w:val="PlainText"/>
        <w:suppressLineNumbers/>
        <w:spacing w:line="360" w:lineRule="auto"/>
        <w:jc w:val="both"/>
        <w:rPr>
          <w:rFonts w:ascii="Book Antiqua" w:hAnsi="Book Antiqua"/>
          <w:sz w:val="24"/>
          <w:szCs w:val="24"/>
        </w:rPr>
      </w:pPr>
    </w:p>
    <w:p w:rsidR="00486EA2" w:rsidRPr="00831064" w:rsidRDefault="00831064" w:rsidP="00A7194B">
      <w:pPr>
        <w:pStyle w:val="PlainText"/>
        <w:suppressLineNumbers/>
        <w:spacing w:line="360" w:lineRule="auto"/>
        <w:jc w:val="both"/>
        <w:rPr>
          <w:rFonts w:ascii="Book Antiqua" w:hAnsi="Book Antiqua"/>
          <w:b/>
          <w:sz w:val="24"/>
          <w:szCs w:val="24"/>
          <w:lang w:eastAsia="zh-CN"/>
        </w:rPr>
      </w:pPr>
      <w:r w:rsidRPr="00831064">
        <w:rPr>
          <w:rFonts w:ascii="Book Antiqua" w:hAnsi="Book Antiqua"/>
          <w:b/>
          <w:sz w:val="24"/>
          <w:szCs w:val="24"/>
        </w:rPr>
        <w:t>SODIUM PHOSPHATE</w:t>
      </w:r>
    </w:p>
    <w:p w:rsidR="00486EA2" w:rsidRPr="00A7194B" w:rsidRDefault="00486EA2"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Sodium phosphate (</w:t>
      </w:r>
      <w:proofErr w:type="spellStart"/>
      <w:r w:rsidRPr="00A7194B">
        <w:rPr>
          <w:rFonts w:ascii="Book Antiqua" w:hAnsi="Book Antiqua"/>
          <w:sz w:val="24"/>
          <w:szCs w:val="24"/>
        </w:rPr>
        <w:t>NaP</w:t>
      </w:r>
      <w:proofErr w:type="spellEnd"/>
      <w:r w:rsidRPr="00A7194B">
        <w:rPr>
          <w:rFonts w:ascii="Book Antiqua" w:hAnsi="Book Antiqua"/>
          <w:sz w:val="24"/>
          <w:szCs w:val="24"/>
        </w:rPr>
        <w:t>) is an osmotic laxative that was initiall</w:t>
      </w:r>
      <w:r w:rsidR="00974297" w:rsidRPr="00A7194B">
        <w:rPr>
          <w:rFonts w:ascii="Book Antiqua" w:hAnsi="Book Antiqua"/>
          <w:sz w:val="24"/>
          <w:szCs w:val="24"/>
        </w:rPr>
        <w:t>y prescribed as</w:t>
      </w:r>
      <w:r w:rsidRPr="00A7194B">
        <w:rPr>
          <w:rFonts w:ascii="Book Antiqua" w:hAnsi="Book Antiqua"/>
          <w:sz w:val="24"/>
          <w:szCs w:val="24"/>
        </w:rPr>
        <w:t xml:space="preserve"> a more tolerable alternative to whole gut lavage with PEG preparations. It was widely used and well tolerated by patients as a much smaller volume of fluid was required for successful prep; however, concerns about safety and confounding mucosal changes have limited the use of this agent more recently. Because of concerns of significant electrolyte disturbances and even acute renal failure, the use of sodium phosphate preps is not recommended in multiple populations including patients over the age of 55, patients taking certain medications such as </w:t>
      </w:r>
      <w:proofErr w:type="spellStart"/>
      <w:r w:rsidRPr="00A7194B">
        <w:rPr>
          <w:rFonts w:ascii="Book Antiqua" w:hAnsi="Book Antiqua"/>
          <w:sz w:val="24"/>
          <w:szCs w:val="24"/>
        </w:rPr>
        <w:t>ACEi</w:t>
      </w:r>
      <w:proofErr w:type="spellEnd"/>
      <w:r w:rsidRPr="00A7194B">
        <w:rPr>
          <w:rFonts w:ascii="Book Antiqua" w:hAnsi="Book Antiqua"/>
          <w:sz w:val="24"/>
          <w:szCs w:val="24"/>
        </w:rPr>
        <w:t xml:space="preserve">, and those with pre-existing renal </w:t>
      </w:r>
      <w:r w:rsidRPr="00A7194B">
        <w:rPr>
          <w:rFonts w:ascii="Book Antiqua" w:hAnsi="Book Antiqua"/>
          <w:sz w:val="24"/>
          <w:szCs w:val="24"/>
        </w:rPr>
        <w:lastRenderedPageBreak/>
        <w:t>disease, heart failure, and liver disease</w:t>
      </w:r>
      <w:r w:rsidR="00974297" w:rsidRPr="00A7194B">
        <w:rPr>
          <w:rFonts w:ascii="Book Antiqua" w:hAnsi="Book Antiqua"/>
          <w:sz w:val="24"/>
          <w:szCs w:val="24"/>
        </w:rPr>
        <w:t>.  S</w:t>
      </w:r>
      <w:r w:rsidRPr="00A7194B">
        <w:rPr>
          <w:rFonts w:ascii="Book Antiqua" w:hAnsi="Book Antiqua"/>
          <w:sz w:val="24"/>
          <w:szCs w:val="24"/>
        </w:rPr>
        <w:t>odium phosphate carries a black box warning regarding the risk of acute phosphate nephropathy.</w:t>
      </w:r>
    </w:p>
    <w:p w:rsidR="00486EA2" w:rsidRPr="00A7194B" w:rsidRDefault="00486EA2" w:rsidP="00394CEE">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In comparison to single dose 4</w:t>
      </w:r>
      <w:r w:rsidR="00394CEE">
        <w:rPr>
          <w:rFonts w:ascii="Book Antiqua" w:hAnsi="Book Antiqua" w:hint="eastAsia"/>
          <w:sz w:val="24"/>
          <w:szCs w:val="24"/>
          <w:lang w:eastAsia="zh-CN"/>
        </w:rPr>
        <w:t xml:space="preserve"> </w:t>
      </w:r>
      <w:r w:rsidRPr="00A7194B">
        <w:rPr>
          <w:rFonts w:ascii="Book Antiqua" w:hAnsi="Book Antiqua"/>
          <w:sz w:val="24"/>
          <w:szCs w:val="24"/>
        </w:rPr>
        <w:t xml:space="preserve">L PEG-ELS,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produced equivalent to superior bowel cleansing with impr</w:t>
      </w:r>
      <w:r w:rsidR="00577C5D" w:rsidRPr="00A7194B">
        <w:rPr>
          <w:rFonts w:ascii="Book Antiqua" w:hAnsi="Book Antiqua"/>
          <w:sz w:val="24"/>
          <w:szCs w:val="24"/>
        </w:rPr>
        <w:t xml:space="preserve">oved patient </w:t>
      </w:r>
      <w:proofErr w:type="gramStart"/>
      <w:r w:rsidR="00577C5D" w:rsidRPr="00A7194B">
        <w:rPr>
          <w:rFonts w:ascii="Book Antiqua" w:hAnsi="Book Antiqua"/>
          <w:sz w:val="24"/>
          <w:szCs w:val="24"/>
        </w:rPr>
        <w:t>tolerability</w:t>
      </w:r>
      <w:r w:rsidR="00E132EC" w:rsidRPr="00A7194B">
        <w:rPr>
          <w:rFonts w:ascii="Book Antiqua" w:hAnsi="Book Antiqua"/>
          <w:sz w:val="24"/>
          <w:szCs w:val="24"/>
          <w:vertAlign w:val="superscript"/>
        </w:rPr>
        <w:t>[</w:t>
      </w:r>
      <w:proofErr w:type="gramEnd"/>
      <w:r w:rsidR="00E132EC" w:rsidRPr="00A7194B">
        <w:rPr>
          <w:rFonts w:ascii="Book Antiqua" w:hAnsi="Book Antiqua"/>
          <w:sz w:val="24"/>
          <w:szCs w:val="24"/>
          <w:vertAlign w:val="superscript"/>
        </w:rPr>
        <w:t>34</w:t>
      </w:r>
      <w:r w:rsidR="00552B68" w:rsidRPr="00A7194B">
        <w:rPr>
          <w:rFonts w:ascii="Book Antiqua" w:hAnsi="Book Antiqua"/>
          <w:sz w:val="24"/>
          <w:szCs w:val="24"/>
          <w:vertAlign w:val="superscript"/>
        </w:rPr>
        <w:t>-</w:t>
      </w:r>
      <w:r w:rsidR="00E132EC" w:rsidRPr="00A7194B">
        <w:rPr>
          <w:rFonts w:ascii="Book Antiqua" w:hAnsi="Book Antiqua"/>
          <w:sz w:val="24"/>
          <w:szCs w:val="24"/>
          <w:vertAlign w:val="superscript"/>
        </w:rPr>
        <w:t>38</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0020083E" w:rsidRPr="00A7194B">
        <w:rPr>
          <w:rFonts w:ascii="Book Antiqua" w:hAnsi="Book Antiqua"/>
          <w:sz w:val="24"/>
          <w:szCs w:val="24"/>
        </w:rPr>
        <w:t xml:space="preserve"> </w:t>
      </w:r>
      <w:r w:rsidRPr="00A7194B">
        <w:rPr>
          <w:rFonts w:ascii="Book Antiqua" w:hAnsi="Book Antiqua"/>
          <w:sz w:val="24"/>
          <w:szCs w:val="24"/>
        </w:rPr>
        <w:t xml:space="preserve">The greater tolerability of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as compared to PEG prepara</w:t>
      </w:r>
      <w:r w:rsidR="00577C5D" w:rsidRPr="00A7194B">
        <w:rPr>
          <w:rFonts w:ascii="Book Antiqua" w:hAnsi="Book Antiqua"/>
          <w:sz w:val="24"/>
          <w:szCs w:val="24"/>
        </w:rPr>
        <w:t xml:space="preserve">tion has been nearly </w:t>
      </w:r>
      <w:proofErr w:type="gramStart"/>
      <w:r w:rsidR="00577C5D" w:rsidRPr="00A7194B">
        <w:rPr>
          <w:rFonts w:ascii="Book Antiqua" w:hAnsi="Book Antiqua"/>
          <w:sz w:val="24"/>
          <w:szCs w:val="24"/>
        </w:rPr>
        <w:t>universal</w:t>
      </w:r>
      <w:r w:rsidR="00E132EC" w:rsidRPr="00A7194B">
        <w:rPr>
          <w:rFonts w:ascii="Book Antiqua" w:hAnsi="Book Antiqua"/>
          <w:sz w:val="24"/>
          <w:szCs w:val="24"/>
          <w:vertAlign w:val="superscript"/>
        </w:rPr>
        <w:t>[</w:t>
      </w:r>
      <w:proofErr w:type="gramEnd"/>
      <w:r w:rsidR="00E132EC" w:rsidRPr="00A7194B">
        <w:rPr>
          <w:rFonts w:ascii="Book Antiqua" w:hAnsi="Book Antiqua"/>
          <w:sz w:val="24"/>
          <w:szCs w:val="24"/>
          <w:vertAlign w:val="superscript"/>
        </w:rPr>
        <w:t>35</w:t>
      </w:r>
      <w:r w:rsidR="00552B68" w:rsidRPr="00A7194B">
        <w:rPr>
          <w:rFonts w:ascii="Book Antiqua" w:hAnsi="Book Antiqua"/>
          <w:sz w:val="24"/>
          <w:szCs w:val="24"/>
          <w:vertAlign w:val="superscript"/>
        </w:rPr>
        <w:t>-</w:t>
      </w:r>
      <w:r w:rsidR="00E132EC" w:rsidRPr="00A7194B">
        <w:rPr>
          <w:rFonts w:ascii="Book Antiqua" w:hAnsi="Book Antiqua"/>
          <w:sz w:val="24"/>
          <w:szCs w:val="24"/>
          <w:vertAlign w:val="superscript"/>
        </w:rPr>
        <w:t>38</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Subjects, including 37 who had been prepped with PEG for prior colonoscopy, rated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easier to c</w:t>
      </w:r>
      <w:r w:rsidR="00577C5D" w:rsidRPr="00A7194B">
        <w:rPr>
          <w:rFonts w:ascii="Book Antiqua" w:hAnsi="Book Antiqua"/>
          <w:sz w:val="24"/>
          <w:szCs w:val="24"/>
        </w:rPr>
        <w:t xml:space="preserve">omplete and less </w:t>
      </w:r>
      <w:proofErr w:type="gramStart"/>
      <w:r w:rsidR="00577C5D" w:rsidRPr="00A7194B">
        <w:rPr>
          <w:rFonts w:ascii="Book Antiqua" w:hAnsi="Book Antiqua"/>
          <w:sz w:val="24"/>
          <w:szCs w:val="24"/>
        </w:rPr>
        <w:t>uncomfortable</w:t>
      </w:r>
      <w:r w:rsidR="00E132EC" w:rsidRPr="00A7194B">
        <w:rPr>
          <w:rFonts w:ascii="Book Antiqua" w:hAnsi="Book Antiqua"/>
          <w:sz w:val="24"/>
          <w:szCs w:val="24"/>
          <w:vertAlign w:val="superscript"/>
        </w:rPr>
        <w:t>[</w:t>
      </w:r>
      <w:proofErr w:type="gramEnd"/>
      <w:r w:rsidR="00E132EC" w:rsidRPr="00A7194B">
        <w:rPr>
          <w:rFonts w:ascii="Book Antiqua" w:hAnsi="Book Antiqua"/>
          <w:sz w:val="24"/>
          <w:szCs w:val="24"/>
          <w:vertAlign w:val="superscript"/>
        </w:rPr>
        <w:t>35</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w:t>
      </w:r>
    </w:p>
    <w:p w:rsidR="00486EA2" w:rsidRPr="00A7194B" w:rsidRDefault="00486EA2" w:rsidP="00394CEE">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 xml:space="preserve">Unfortunately, in spite of its superior tolerability,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is not without si</w:t>
      </w:r>
      <w:r w:rsidR="00577C5D" w:rsidRPr="00A7194B">
        <w:rPr>
          <w:rFonts w:ascii="Book Antiqua" w:hAnsi="Book Antiqua"/>
          <w:sz w:val="24"/>
          <w:szCs w:val="24"/>
        </w:rPr>
        <w:t xml:space="preserve">gnificant adverse side </w:t>
      </w:r>
      <w:proofErr w:type="gramStart"/>
      <w:r w:rsidR="00577C5D" w:rsidRPr="00A7194B">
        <w:rPr>
          <w:rFonts w:ascii="Book Antiqua" w:hAnsi="Book Antiqua"/>
          <w:sz w:val="24"/>
          <w:szCs w:val="24"/>
        </w:rPr>
        <w:t>effects</w:t>
      </w:r>
      <w:r w:rsidR="00E132EC" w:rsidRPr="00A7194B">
        <w:rPr>
          <w:rFonts w:ascii="Book Antiqua" w:hAnsi="Book Antiqua"/>
          <w:sz w:val="24"/>
          <w:szCs w:val="24"/>
          <w:vertAlign w:val="superscript"/>
        </w:rPr>
        <w:t>[</w:t>
      </w:r>
      <w:proofErr w:type="gramEnd"/>
      <w:r w:rsidR="00E132EC" w:rsidRPr="00A7194B">
        <w:rPr>
          <w:rFonts w:ascii="Book Antiqua" w:hAnsi="Book Antiqua"/>
          <w:sz w:val="24"/>
          <w:szCs w:val="24"/>
          <w:vertAlign w:val="superscript"/>
        </w:rPr>
        <w:t>39</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w:t>
      </w:r>
      <w:proofErr w:type="spellStart"/>
      <w:r w:rsidRPr="00A7194B">
        <w:rPr>
          <w:rFonts w:ascii="Book Antiqua" w:hAnsi="Book Antiqua"/>
          <w:sz w:val="24"/>
          <w:szCs w:val="24"/>
        </w:rPr>
        <w:t>Hyperphosphatemia</w:t>
      </w:r>
      <w:proofErr w:type="spellEnd"/>
      <w:r w:rsidRPr="00A7194B">
        <w:rPr>
          <w:rFonts w:ascii="Book Antiqua" w:hAnsi="Book Antiqua"/>
          <w:sz w:val="24"/>
          <w:szCs w:val="24"/>
        </w:rPr>
        <w:t xml:space="preserve"> following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has been well documented in patients with both normal and impaired renal function and has bee</w:t>
      </w:r>
      <w:r w:rsidR="00577C5D" w:rsidRPr="00A7194B">
        <w:rPr>
          <w:rFonts w:ascii="Book Antiqua" w:hAnsi="Book Antiqua"/>
          <w:sz w:val="24"/>
          <w:szCs w:val="24"/>
        </w:rPr>
        <w:t>n associated with hypocalcemia.</w:t>
      </w:r>
      <w:r w:rsidRPr="00A7194B">
        <w:rPr>
          <w:rFonts w:ascii="Book Antiqua" w:hAnsi="Book Antiqua"/>
          <w:sz w:val="24"/>
          <w:szCs w:val="24"/>
        </w:rPr>
        <w:t xml:space="preserve"> Cases of acute phosphate nephropathy have largely occurred in patients with pre-existing renal disease, but have also occurred in setting of dehydration in patients with o</w:t>
      </w:r>
      <w:r w:rsidR="00577C5D" w:rsidRPr="00A7194B">
        <w:rPr>
          <w:rFonts w:ascii="Book Antiqua" w:hAnsi="Book Antiqua"/>
          <w:sz w:val="24"/>
          <w:szCs w:val="24"/>
        </w:rPr>
        <w:t xml:space="preserve">therwise normal renal </w:t>
      </w:r>
      <w:proofErr w:type="gramStart"/>
      <w:r w:rsidR="00577C5D" w:rsidRPr="00A7194B">
        <w:rPr>
          <w:rFonts w:ascii="Book Antiqua" w:hAnsi="Book Antiqua"/>
          <w:sz w:val="24"/>
          <w:szCs w:val="24"/>
        </w:rPr>
        <w:t>function</w:t>
      </w:r>
      <w:r w:rsidR="00E132EC" w:rsidRPr="00A7194B">
        <w:rPr>
          <w:rFonts w:ascii="Book Antiqua" w:hAnsi="Book Antiqua"/>
          <w:sz w:val="24"/>
          <w:szCs w:val="24"/>
          <w:vertAlign w:val="superscript"/>
        </w:rPr>
        <w:t>[</w:t>
      </w:r>
      <w:proofErr w:type="gramEnd"/>
      <w:r w:rsidR="00E132EC" w:rsidRPr="00A7194B">
        <w:rPr>
          <w:rFonts w:ascii="Book Antiqua" w:hAnsi="Book Antiqua"/>
          <w:sz w:val="24"/>
          <w:szCs w:val="24"/>
          <w:vertAlign w:val="superscript"/>
        </w:rPr>
        <w:t>40</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is thought to cause renal injury by precipitating </w:t>
      </w:r>
      <w:proofErr w:type="spellStart"/>
      <w:proofErr w:type="gramStart"/>
      <w:r w:rsidR="00577C5D" w:rsidRPr="00A7194B">
        <w:rPr>
          <w:rFonts w:ascii="Book Antiqua" w:hAnsi="Book Antiqua"/>
          <w:sz w:val="24"/>
          <w:szCs w:val="24"/>
        </w:rPr>
        <w:t>nephrocalcinosis</w:t>
      </w:r>
      <w:proofErr w:type="spellEnd"/>
      <w:r w:rsidR="00394CEE">
        <w:rPr>
          <w:rFonts w:ascii="Book Antiqua" w:hAnsi="Book Antiqua"/>
          <w:sz w:val="24"/>
          <w:szCs w:val="24"/>
          <w:vertAlign w:val="superscript"/>
        </w:rPr>
        <w:t>[</w:t>
      </w:r>
      <w:proofErr w:type="gramEnd"/>
      <w:r w:rsidR="00394CEE">
        <w:rPr>
          <w:rFonts w:ascii="Book Antiqua" w:hAnsi="Book Antiqua"/>
          <w:sz w:val="24"/>
          <w:szCs w:val="24"/>
          <w:vertAlign w:val="superscript"/>
        </w:rPr>
        <w:t>39,</w:t>
      </w:r>
      <w:r w:rsidR="00E132EC" w:rsidRPr="00A7194B">
        <w:rPr>
          <w:rFonts w:ascii="Book Antiqua" w:hAnsi="Book Antiqua"/>
          <w:sz w:val="24"/>
          <w:szCs w:val="24"/>
          <w:vertAlign w:val="superscript"/>
        </w:rPr>
        <w:t>40</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The risk of adverse events is increased patients taking angiotensin converting enzyme inhibitors (</w:t>
      </w:r>
      <w:proofErr w:type="spellStart"/>
      <w:r w:rsidRPr="00A7194B">
        <w:rPr>
          <w:rFonts w:ascii="Book Antiqua" w:hAnsi="Book Antiqua"/>
          <w:sz w:val="24"/>
          <w:szCs w:val="24"/>
        </w:rPr>
        <w:t>ACEi</w:t>
      </w:r>
      <w:proofErr w:type="spellEnd"/>
      <w:r w:rsidRPr="00A7194B">
        <w:rPr>
          <w:rFonts w:ascii="Book Antiqua" w:hAnsi="Book Antiqua"/>
          <w:sz w:val="24"/>
          <w:szCs w:val="24"/>
        </w:rPr>
        <w:t>) or angiotensin receptor blockers (ARB</w:t>
      </w:r>
      <w:r w:rsidR="00577C5D" w:rsidRPr="00A7194B">
        <w:rPr>
          <w:rFonts w:ascii="Book Antiqua" w:hAnsi="Book Antiqua"/>
          <w:sz w:val="24"/>
          <w:szCs w:val="24"/>
        </w:rPr>
        <w:t xml:space="preserve">s) and who are of advanced </w:t>
      </w:r>
      <w:proofErr w:type="gramStart"/>
      <w:r w:rsidR="00577C5D" w:rsidRPr="00A7194B">
        <w:rPr>
          <w:rFonts w:ascii="Book Antiqua" w:hAnsi="Book Antiqua"/>
          <w:sz w:val="24"/>
          <w:szCs w:val="24"/>
        </w:rPr>
        <w:t>age</w:t>
      </w:r>
      <w:r w:rsidR="00E132EC" w:rsidRPr="00A7194B">
        <w:rPr>
          <w:rFonts w:ascii="Book Antiqua" w:hAnsi="Book Antiqua"/>
          <w:sz w:val="24"/>
          <w:szCs w:val="24"/>
          <w:vertAlign w:val="superscript"/>
        </w:rPr>
        <w:t>[</w:t>
      </w:r>
      <w:proofErr w:type="gramEnd"/>
      <w:r w:rsidR="00E132EC" w:rsidRPr="00A7194B">
        <w:rPr>
          <w:rFonts w:ascii="Book Antiqua" w:hAnsi="Book Antiqua"/>
          <w:sz w:val="24"/>
          <w:szCs w:val="24"/>
          <w:vertAlign w:val="superscript"/>
        </w:rPr>
        <w:t>39</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Additional suspected risk factors include existing renal disease, female gender, volume depletio</w:t>
      </w:r>
      <w:r w:rsidR="00577C5D" w:rsidRPr="00A7194B">
        <w:rPr>
          <w:rFonts w:ascii="Book Antiqua" w:hAnsi="Book Antiqua"/>
          <w:sz w:val="24"/>
          <w:szCs w:val="24"/>
        </w:rPr>
        <w:t xml:space="preserve">n, and abnormal bowel </w:t>
      </w:r>
      <w:proofErr w:type="gramStart"/>
      <w:r w:rsidR="00577C5D" w:rsidRPr="00A7194B">
        <w:rPr>
          <w:rFonts w:ascii="Book Antiqua" w:hAnsi="Book Antiqua"/>
          <w:sz w:val="24"/>
          <w:szCs w:val="24"/>
        </w:rPr>
        <w:t>motility</w:t>
      </w:r>
      <w:r w:rsidR="00E132EC" w:rsidRPr="00A7194B">
        <w:rPr>
          <w:rFonts w:ascii="Book Antiqua" w:hAnsi="Book Antiqua"/>
          <w:sz w:val="24"/>
          <w:szCs w:val="24"/>
          <w:vertAlign w:val="superscript"/>
        </w:rPr>
        <w:t>[</w:t>
      </w:r>
      <w:proofErr w:type="gramEnd"/>
      <w:r w:rsidR="00E132EC" w:rsidRPr="00A7194B">
        <w:rPr>
          <w:rFonts w:ascii="Book Antiqua" w:hAnsi="Book Antiqua"/>
          <w:sz w:val="24"/>
          <w:szCs w:val="24"/>
          <w:vertAlign w:val="superscript"/>
        </w:rPr>
        <w:t>39</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p>
    <w:p w:rsidR="00486EA2" w:rsidRPr="00A7194B" w:rsidRDefault="00486EA2" w:rsidP="00394CEE">
      <w:pPr>
        <w:pStyle w:val="PlainText"/>
        <w:suppressLineNumbers/>
        <w:spacing w:line="360" w:lineRule="auto"/>
        <w:ind w:firstLineChars="100" w:firstLine="240"/>
        <w:jc w:val="both"/>
        <w:rPr>
          <w:rFonts w:ascii="Book Antiqua" w:hAnsi="Book Antiqua"/>
          <w:sz w:val="24"/>
          <w:szCs w:val="24"/>
        </w:rPr>
      </w:pP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has also been reported to cause mucosal inflammation and ulcerations that give the appearance of inflammatory bowel disease. A randomized control trial compared patients receiving PEG-ELS with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and found an associat</w:t>
      </w:r>
      <w:r w:rsidR="007B4647" w:rsidRPr="00A7194B">
        <w:rPr>
          <w:rFonts w:ascii="Book Antiqua" w:hAnsi="Book Antiqua"/>
          <w:sz w:val="24"/>
          <w:szCs w:val="24"/>
        </w:rPr>
        <w:t>ion</w:t>
      </w:r>
      <w:r w:rsidRPr="00A7194B">
        <w:rPr>
          <w:rFonts w:ascii="Book Antiqua" w:hAnsi="Book Antiqua"/>
          <w:sz w:val="24"/>
          <w:szCs w:val="24"/>
        </w:rPr>
        <w:t xml:space="preserve"> between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use and the presence of nonspecific</w:t>
      </w:r>
      <w:r w:rsidR="00577C5D" w:rsidRPr="00A7194B">
        <w:rPr>
          <w:rFonts w:ascii="Book Antiqua" w:hAnsi="Book Antiqua"/>
          <w:sz w:val="24"/>
          <w:szCs w:val="24"/>
        </w:rPr>
        <w:t xml:space="preserve"> </w:t>
      </w:r>
      <w:proofErr w:type="spellStart"/>
      <w:r w:rsidR="00577C5D" w:rsidRPr="00A7194B">
        <w:rPr>
          <w:rFonts w:ascii="Book Antiqua" w:hAnsi="Book Antiqua"/>
          <w:sz w:val="24"/>
          <w:szCs w:val="24"/>
        </w:rPr>
        <w:t>aphthoid</w:t>
      </w:r>
      <w:proofErr w:type="spellEnd"/>
      <w:r w:rsidR="00577C5D" w:rsidRPr="00A7194B">
        <w:rPr>
          <w:rFonts w:ascii="Book Antiqua" w:hAnsi="Book Antiqua"/>
          <w:sz w:val="24"/>
          <w:szCs w:val="24"/>
        </w:rPr>
        <w:t xml:space="preserve"> like mucosal </w:t>
      </w:r>
      <w:proofErr w:type="gramStart"/>
      <w:r w:rsidR="00577C5D" w:rsidRPr="00A7194B">
        <w:rPr>
          <w:rFonts w:ascii="Book Antiqua" w:hAnsi="Book Antiqua"/>
          <w:sz w:val="24"/>
          <w:szCs w:val="24"/>
        </w:rPr>
        <w:t>lesions</w:t>
      </w:r>
      <w:r w:rsidR="00E132EC" w:rsidRPr="00A7194B">
        <w:rPr>
          <w:rFonts w:ascii="Book Antiqua" w:hAnsi="Book Antiqua"/>
          <w:sz w:val="24"/>
          <w:szCs w:val="24"/>
          <w:vertAlign w:val="superscript"/>
        </w:rPr>
        <w:t>[</w:t>
      </w:r>
      <w:proofErr w:type="gramEnd"/>
      <w:r w:rsidR="00E132EC" w:rsidRPr="00A7194B">
        <w:rPr>
          <w:rFonts w:ascii="Book Antiqua" w:hAnsi="Book Antiqua"/>
          <w:sz w:val="24"/>
          <w:szCs w:val="24"/>
          <w:vertAlign w:val="superscript"/>
        </w:rPr>
        <w:t>41</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Lesions were present in 24.5% of subjects receiving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w:t>
      </w:r>
      <w:proofErr w:type="spellStart"/>
      <w:r w:rsidRPr="00394CEE">
        <w:rPr>
          <w:rFonts w:ascii="Book Antiqua" w:hAnsi="Book Antiqua"/>
          <w:i/>
          <w:sz w:val="24"/>
          <w:szCs w:val="24"/>
        </w:rPr>
        <w:t>vs</w:t>
      </w:r>
      <w:proofErr w:type="spellEnd"/>
      <w:r w:rsidRPr="00A7194B">
        <w:rPr>
          <w:rFonts w:ascii="Book Antiqua" w:hAnsi="Book Antiqua"/>
          <w:sz w:val="24"/>
          <w:szCs w:val="24"/>
        </w:rPr>
        <w:t xml:space="preserve"> 2.3% of those receiving PEG. Though pathological evaluation of the lesions was not consistent with IBD, the authors reported that they were endoscopically similar to those seen in Crohn</w:t>
      </w:r>
      <w:r w:rsidR="00394CEE">
        <w:rPr>
          <w:rFonts w:ascii="Book Antiqua" w:hAnsi="Book Antiqua"/>
          <w:sz w:val="24"/>
          <w:szCs w:val="24"/>
          <w:lang w:eastAsia="zh-CN"/>
        </w:rPr>
        <w:t>’</w:t>
      </w:r>
      <w:r w:rsidRPr="00A7194B">
        <w:rPr>
          <w:rFonts w:ascii="Book Antiqua" w:hAnsi="Book Antiqua"/>
          <w:sz w:val="24"/>
          <w:szCs w:val="24"/>
        </w:rPr>
        <w:t xml:space="preserve">s disease. This association was substantiated in a larger observational trial of 730 patients who were administered a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bowel prep and followed f</w:t>
      </w:r>
      <w:r w:rsidR="00577C5D" w:rsidRPr="00A7194B">
        <w:rPr>
          <w:rFonts w:ascii="Book Antiqua" w:hAnsi="Book Antiqua"/>
          <w:sz w:val="24"/>
          <w:szCs w:val="24"/>
        </w:rPr>
        <w:t xml:space="preserve">or 3 years after the </w:t>
      </w:r>
      <w:proofErr w:type="gramStart"/>
      <w:r w:rsidR="00577C5D" w:rsidRPr="00A7194B">
        <w:rPr>
          <w:rFonts w:ascii="Book Antiqua" w:hAnsi="Book Antiqua"/>
          <w:sz w:val="24"/>
          <w:szCs w:val="24"/>
        </w:rPr>
        <w:t>procedure</w:t>
      </w:r>
      <w:r w:rsidR="00E132EC" w:rsidRPr="00A7194B">
        <w:rPr>
          <w:rFonts w:ascii="Book Antiqua" w:hAnsi="Book Antiqua"/>
          <w:sz w:val="24"/>
          <w:szCs w:val="24"/>
          <w:vertAlign w:val="superscript"/>
        </w:rPr>
        <w:t>[</w:t>
      </w:r>
      <w:proofErr w:type="gramEnd"/>
      <w:r w:rsidR="00E132EC" w:rsidRPr="00A7194B">
        <w:rPr>
          <w:rFonts w:ascii="Book Antiqua" w:hAnsi="Book Antiqua"/>
          <w:sz w:val="24"/>
          <w:szCs w:val="24"/>
          <w:vertAlign w:val="superscript"/>
        </w:rPr>
        <w:t>42</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In this study, only 3.3% of patients exposed to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demonstrated mucosal lesions on endoscopy, but these lesions were of the type seen in anti-inflammatory drug induced injury and in IBD. As a </w:t>
      </w:r>
      <w:r w:rsidRPr="00A7194B">
        <w:rPr>
          <w:rFonts w:ascii="Book Antiqua" w:hAnsi="Book Antiqua"/>
          <w:sz w:val="24"/>
          <w:szCs w:val="24"/>
        </w:rPr>
        <w:lastRenderedPageBreak/>
        <w:t xml:space="preserve">result of these observations,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w:t>
      </w:r>
      <w:r w:rsidR="0020083E" w:rsidRPr="00A7194B">
        <w:rPr>
          <w:rFonts w:ascii="Book Antiqua" w:hAnsi="Book Antiqua"/>
          <w:sz w:val="24"/>
          <w:szCs w:val="24"/>
        </w:rPr>
        <w:t xml:space="preserve">is not </w:t>
      </w:r>
      <w:r w:rsidRPr="00A7194B">
        <w:rPr>
          <w:rFonts w:ascii="Book Antiqua" w:hAnsi="Book Antiqua"/>
          <w:sz w:val="24"/>
          <w:szCs w:val="24"/>
        </w:rPr>
        <w:t>recommended in patients undergoing colonoscopy</w:t>
      </w:r>
      <w:r w:rsidR="00577C5D" w:rsidRPr="00A7194B">
        <w:rPr>
          <w:rFonts w:ascii="Book Antiqua" w:hAnsi="Book Antiqua"/>
          <w:sz w:val="24"/>
          <w:szCs w:val="24"/>
        </w:rPr>
        <w:t xml:space="preserve"> to evaluate for suspected </w:t>
      </w:r>
      <w:proofErr w:type="gramStart"/>
      <w:r w:rsidR="00577C5D" w:rsidRPr="00A7194B">
        <w:rPr>
          <w:rFonts w:ascii="Book Antiqua" w:hAnsi="Book Antiqua"/>
          <w:sz w:val="24"/>
          <w:szCs w:val="24"/>
        </w:rPr>
        <w:t>IBD</w:t>
      </w:r>
      <w:r w:rsidR="00394CEE">
        <w:rPr>
          <w:rFonts w:ascii="Book Antiqua" w:hAnsi="Book Antiqua"/>
          <w:sz w:val="24"/>
          <w:szCs w:val="24"/>
          <w:vertAlign w:val="superscript"/>
        </w:rPr>
        <w:t>[</w:t>
      </w:r>
      <w:proofErr w:type="gramEnd"/>
      <w:r w:rsidR="00394CEE">
        <w:rPr>
          <w:rFonts w:ascii="Book Antiqua" w:hAnsi="Book Antiqua"/>
          <w:sz w:val="24"/>
          <w:szCs w:val="24"/>
          <w:vertAlign w:val="superscript"/>
        </w:rPr>
        <w:t>41,</w:t>
      </w:r>
      <w:r w:rsidR="00E132EC" w:rsidRPr="00A7194B">
        <w:rPr>
          <w:rFonts w:ascii="Book Antiqua" w:hAnsi="Book Antiqua"/>
          <w:sz w:val="24"/>
          <w:szCs w:val="24"/>
          <w:vertAlign w:val="superscript"/>
        </w:rPr>
        <w:t>42</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w:t>
      </w:r>
    </w:p>
    <w:p w:rsidR="00486EA2" w:rsidRPr="00A7194B" w:rsidRDefault="00486EA2" w:rsidP="00A7194B">
      <w:pPr>
        <w:pStyle w:val="PlainText"/>
        <w:suppressLineNumbers/>
        <w:spacing w:line="360" w:lineRule="auto"/>
        <w:jc w:val="both"/>
        <w:rPr>
          <w:rFonts w:ascii="Book Antiqua" w:hAnsi="Book Antiqua"/>
          <w:sz w:val="24"/>
          <w:szCs w:val="24"/>
        </w:rPr>
      </w:pPr>
    </w:p>
    <w:p w:rsidR="00486EA2" w:rsidRPr="00394CEE" w:rsidRDefault="00394CEE" w:rsidP="00A7194B">
      <w:pPr>
        <w:pStyle w:val="PlainText"/>
        <w:suppressLineNumbers/>
        <w:spacing w:line="360" w:lineRule="auto"/>
        <w:jc w:val="both"/>
        <w:rPr>
          <w:rFonts w:ascii="Book Antiqua" w:hAnsi="Book Antiqua"/>
          <w:b/>
          <w:sz w:val="24"/>
          <w:szCs w:val="24"/>
          <w:lang w:eastAsia="zh-CN"/>
        </w:rPr>
      </w:pPr>
      <w:r w:rsidRPr="00394CEE">
        <w:rPr>
          <w:rFonts w:ascii="Book Antiqua" w:hAnsi="Book Antiqua"/>
          <w:b/>
          <w:sz w:val="24"/>
          <w:szCs w:val="24"/>
        </w:rPr>
        <w:t>ORAL SULFATE SOLUTION</w:t>
      </w:r>
    </w:p>
    <w:p w:rsidR="00486EA2" w:rsidRPr="00A7194B" w:rsidRDefault="00486EA2" w:rsidP="00A7194B">
      <w:pPr>
        <w:pStyle w:val="PlainText"/>
        <w:suppressLineNumbers/>
        <w:spacing w:line="360" w:lineRule="auto"/>
        <w:jc w:val="both"/>
        <w:rPr>
          <w:rFonts w:ascii="Book Antiqua" w:hAnsi="Book Antiqua"/>
          <w:sz w:val="24"/>
          <w:szCs w:val="24"/>
          <w:lang w:eastAsia="zh-CN"/>
        </w:rPr>
      </w:pPr>
      <w:r w:rsidRPr="00A7194B">
        <w:rPr>
          <w:rFonts w:ascii="Book Antiqua" w:hAnsi="Book Antiqua"/>
          <w:sz w:val="24"/>
          <w:szCs w:val="24"/>
        </w:rPr>
        <w:t>Sulfate is a poorly absorbed anion that does not cause significa</w:t>
      </w:r>
      <w:r w:rsidR="00577C5D" w:rsidRPr="00A7194B">
        <w:rPr>
          <w:rFonts w:ascii="Book Antiqua" w:hAnsi="Book Antiqua"/>
          <w:sz w:val="24"/>
          <w:szCs w:val="24"/>
        </w:rPr>
        <w:t xml:space="preserve">nt fluid or electrolyte </w:t>
      </w:r>
      <w:proofErr w:type="gramStart"/>
      <w:r w:rsidR="00577C5D" w:rsidRPr="00A7194B">
        <w:rPr>
          <w:rFonts w:ascii="Book Antiqua" w:hAnsi="Book Antiqua"/>
          <w:sz w:val="24"/>
          <w:szCs w:val="24"/>
        </w:rPr>
        <w:t>shifts</w:t>
      </w:r>
      <w:r w:rsidR="00394CEE">
        <w:rPr>
          <w:rFonts w:ascii="Book Antiqua" w:hAnsi="Book Antiqua"/>
          <w:sz w:val="24"/>
          <w:szCs w:val="24"/>
          <w:vertAlign w:val="superscript"/>
        </w:rPr>
        <w:t>[</w:t>
      </w:r>
      <w:proofErr w:type="gramEnd"/>
      <w:r w:rsidR="00394CEE">
        <w:rPr>
          <w:rFonts w:ascii="Book Antiqua" w:hAnsi="Book Antiqua"/>
          <w:sz w:val="24"/>
          <w:szCs w:val="24"/>
          <w:vertAlign w:val="superscript"/>
        </w:rPr>
        <w:t>43,</w:t>
      </w:r>
      <w:r w:rsidR="00E132EC" w:rsidRPr="00A7194B">
        <w:rPr>
          <w:rFonts w:ascii="Book Antiqua" w:hAnsi="Book Antiqua"/>
          <w:sz w:val="24"/>
          <w:szCs w:val="24"/>
          <w:vertAlign w:val="superscript"/>
        </w:rPr>
        <w:t>44</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In comparison with sodium phosphate, sodium sulfate produced more liquid stool and, unlike phosphate, did not increase the propensity for calcium t</w:t>
      </w:r>
      <w:r w:rsidR="00577C5D" w:rsidRPr="00A7194B">
        <w:rPr>
          <w:rFonts w:ascii="Book Antiqua" w:hAnsi="Book Antiqua"/>
          <w:sz w:val="24"/>
          <w:szCs w:val="24"/>
        </w:rPr>
        <w:t xml:space="preserve">o precipitate in renal </w:t>
      </w:r>
      <w:proofErr w:type="gramStart"/>
      <w:r w:rsidR="00577C5D" w:rsidRPr="00A7194B">
        <w:rPr>
          <w:rFonts w:ascii="Book Antiqua" w:hAnsi="Book Antiqua"/>
          <w:sz w:val="24"/>
          <w:szCs w:val="24"/>
        </w:rPr>
        <w:t>tubules</w:t>
      </w:r>
      <w:r w:rsidR="00E132EC" w:rsidRPr="00A7194B">
        <w:rPr>
          <w:rFonts w:ascii="Book Antiqua" w:hAnsi="Book Antiqua"/>
          <w:sz w:val="24"/>
          <w:szCs w:val="24"/>
          <w:vertAlign w:val="superscript"/>
        </w:rPr>
        <w:t>[</w:t>
      </w:r>
      <w:proofErr w:type="gramEnd"/>
      <w:r w:rsidR="00E132EC" w:rsidRPr="00A7194B">
        <w:rPr>
          <w:rFonts w:ascii="Book Antiqua" w:hAnsi="Book Antiqua"/>
          <w:sz w:val="24"/>
          <w:szCs w:val="24"/>
          <w:vertAlign w:val="superscript"/>
        </w:rPr>
        <w:t>43</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Oral sulfate solution (OSS) is available in two formulations: </w:t>
      </w:r>
      <w:proofErr w:type="spellStart"/>
      <w:r w:rsidRPr="00A7194B">
        <w:rPr>
          <w:rFonts w:ascii="Book Antiqua" w:hAnsi="Book Antiqua"/>
          <w:sz w:val="24"/>
          <w:szCs w:val="24"/>
        </w:rPr>
        <w:t>SuPrep</w:t>
      </w:r>
      <w:proofErr w:type="spellEnd"/>
      <w:r w:rsidRPr="00A7194B">
        <w:rPr>
          <w:rFonts w:ascii="Book Antiqua" w:hAnsi="Book Antiqua"/>
          <w:sz w:val="24"/>
          <w:szCs w:val="24"/>
        </w:rPr>
        <w:t xml:space="preserve"> </w:t>
      </w:r>
      <w:r w:rsidR="00394CEE">
        <w:rPr>
          <w:rFonts w:ascii="Book Antiqua" w:hAnsi="Book Antiqua" w:hint="eastAsia"/>
          <w:sz w:val="24"/>
          <w:szCs w:val="24"/>
          <w:lang w:eastAsia="zh-CN"/>
        </w:rPr>
        <w:t>(</w:t>
      </w:r>
      <w:r w:rsidRPr="00A7194B">
        <w:rPr>
          <w:rFonts w:ascii="Book Antiqua" w:hAnsi="Book Antiqua"/>
          <w:sz w:val="24"/>
          <w:szCs w:val="24"/>
        </w:rPr>
        <w:t>two doses of sodium, phosphate, and magnesium sulfate</w:t>
      </w:r>
      <w:r w:rsidR="00B41494" w:rsidRPr="00A7194B">
        <w:rPr>
          <w:rFonts w:ascii="Book Antiqua" w:hAnsi="Book Antiqua"/>
          <w:sz w:val="24"/>
          <w:szCs w:val="24"/>
        </w:rPr>
        <w:t>; Braintree Laboratories, Braintree, MA</w:t>
      </w:r>
      <w:r w:rsidR="00394CEE">
        <w:rPr>
          <w:rFonts w:ascii="Book Antiqua" w:hAnsi="Book Antiqua" w:hint="eastAsia"/>
          <w:sz w:val="24"/>
          <w:szCs w:val="24"/>
          <w:lang w:eastAsia="zh-CN"/>
        </w:rPr>
        <w:t>)</w:t>
      </w:r>
      <w:r w:rsidRPr="00A7194B">
        <w:rPr>
          <w:rFonts w:ascii="Book Antiqua" w:hAnsi="Book Antiqua"/>
          <w:sz w:val="24"/>
          <w:szCs w:val="24"/>
        </w:rPr>
        <w:t xml:space="preserve"> and </w:t>
      </w:r>
      <w:proofErr w:type="spellStart"/>
      <w:r w:rsidRPr="00A7194B">
        <w:rPr>
          <w:rFonts w:ascii="Book Antiqua" w:hAnsi="Book Antiqua"/>
          <w:sz w:val="24"/>
          <w:szCs w:val="24"/>
        </w:rPr>
        <w:t>Suclear</w:t>
      </w:r>
      <w:proofErr w:type="spellEnd"/>
      <w:r w:rsidRPr="00A7194B">
        <w:rPr>
          <w:rFonts w:ascii="Book Antiqua" w:hAnsi="Book Antiqua"/>
          <w:sz w:val="24"/>
          <w:szCs w:val="24"/>
        </w:rPr>
        <w:t xml:space="preserve"> </w:t>
      </w:r>
      <w:r w:rsidR="00394CEE">
        <w:rPr>
          <w:rFonts w:ascii="Book Antiqua" w:hAnsi="Book Antiqua" w:hint="eastAsia"/>
          <w:sz w:val="24"/>
          <w:szCs w:val="24"/>
          <w:lang w:eastAsia="zh-CN"/>
        </w:rPr>
        <w:t>(</w:t>
      </w:r>
      <w:r w:rsidRPr="00A7194B">
        <w:rPr>
          <w:rFonts w:ascii="Book Antiqua" w:hAnsi="Book Antiqua"/>
          <w:sz w:val="24"/>
          <w:szCs w:val="24"/>
        </w:rPr>
        <w:t>one dose of sodium, phosphate, and magnesium sulfate followed by a second dose of PEG 3350 in 2</w:t>
      </w:r>
      <w:r w:rsidR="00394CEE">
        <w:rPr>
          <w:rFonts w:ascii="Book Antiqua" w:hAnsi="Book Antiqua" w:hint="eastAsia"/>
          <w:sz w:val="24"/>
          <w:szCs w:val="24"/>
          <w:lang w:eastAsia="zh-CN"/>
        </w:rPr>
        <w:t xml:space="preserve"> </w:t>
      </w:r>
      <w:r w:rsidRPr="00A7194B">
        <w:rPr>
          <w:rFonts w:ascii="Book Antiqua" w:hAnsi="Book Antiqua"/>
          <w:sz w:val="24"/>
          <w:szCs w:val="24"/>
        </w:rPr>
        <w:t>L of water</w:t>
      </w:r>
      <w:r w:rsidR="00B41494" w:rsidRPr="00A7194B">
        <w:rPr>
          <w:rFonts w:ascii="Book Antiqua" w:hAnsi="Book Antiqua"/>
          <w:sz w:val="24"/>
          <w:szCs w:val="24"/>
        </w:rPr>
        <w:t>; Braintree Laboratories, Braintree, MA</w:t>
      </w:r>
      <w:r w:rsidR="00394CEE">
        <w:rPr>
          <w:rFonts w:ascii="Book Antiqua" w:hAnsi="Book Antiqua" w:hint="eastAsia"/>
          <w:sz w:val="24"/>
          <w:szCs w:val="24"/>
          <w:lang w:eastAsia="zh-CN"/>
        </w:rPr>
        <w:t>)</w:t>
      </w:r>
      <w:r w:rsidR="00394CEE">
        <w:rPr>
          <w:rFonts w:ascii="Book Antiqua" w:hAnsi="Book Antiqua"/>
          <w:sz w:val="24"/>
          <w:szCs w:val="24"/>
        </w:rPr>
        <w:t>.</w:t>
      </w:r>
    </w:p>
    <w:p w:rsidR="00486EA2" w:rsidRPr="00A7194B" w:rsidRDefault="00486EA2" w:rsidP="00394CEE">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 xml:space="preserve">A 2009 study by Di Palma </w:t>
      </w:r>
      <w:r w:rsidRPr="00394CEE">
        <w:rPr>
          <w:rFonts w:ascii="Book Antiqua" w:hAnsi="Book Antiqua"/>
          <w:i/>
          <w:sz w:val="24"/>
          <w:szCs w:val="24"/>
        </w:rPr>
        <w:t xml:space="preserve">et </w:t>
      </w:r>
      <w:proofErr w:type="gramStart"/>
      <w:r w:rsidRPr="00394CEE">
        <w:rPr>
          <w:rFonts w:ascii="Book Antiqua" w:hAnsi="Book Antiqua"/>
          <w:i/>
          <w:sz w:val="24"/>
          <w:szCs w:val="24"/>
        </w:rPr>
        <w:t>al</w:t>
      </w:r>
      <w:r w:rsidR="00394CEE" w:rsidRPr="00A7194B">
        <w:rPr>
          <w:rFonts w:ascii="Book Antiqua" w:hAnsi="Book Antiqua"/>
          <w:sz w:val="24"/>
          <w:szCs w:val="24"/>
          <w:vertAlign w:val="superscript"/>
        </w:rPr>
        <w:t>[</w:t>
      </w:r>
      <w:proofErr w:type="gramEnd"/>
      <w:r w:rsidR="00394CEE" w:rsidRPr="00A7194B">
        <w:rPr>
          <w:rFonts w:ascii="Book Antiqua" w:hAnsi="Book Antiqua"/>
          <w:sz w:val="24"/>
          <w:szCs w:val="24"/>
          <w:vertAlign w:val="superscript"/>
        </w:rPr>
        <w:t>44]</w:t>
      </w:r>
      <w:r w:rsidRPr="00A7194B">
        <w:rPr>
          <w:rFonts w:ascii="Book Antiqua" w:hAnsi="Book Antiqua"/>
          <w:sz w:val="24"/>
          <w:szCs w:val="24"/>
        </w:rPr>
        <w:t xml:space="preserve"> demonstrated equivalent bowel cleansing with OSS and 2</w:t>
      </w:r>
      <w:r w:rsidR="00394CEE">
        <w:rPr>
          <w:rFonts w:ascii="Book Antiqua" w:hAnsi="Book Antiqua" w:hint="eastAsia"/>
          <w:sz w:val="24"/>
          <w:szCs w:val="24"/>
          <w:lang w:eastAsia="zh-CN"/>
        </w:rPr>
        <w:t xml:space="preserve"> </w:t>
      </w:r>
      <w:r w:rsidRPr="00A7194B">
        <w:rPr>
          <w:rFonts w:ascii="Book Antiqua" w:hAnsi="Book Antiqua"/>
          <w:sz w:val="24"/>
          <w:szCs w:val="24"/>
        </w:rPr>
        <w:t>L PEG-ELS g</w:t>
      </w:r>
      <w:r w:rsidR="00577C5D" w:rsidRPr="00A7194B">
        <w:rPr>
          <w:rFonts w:ascii="Book Antiqua" w:hAnsi="Book Antiqua"/>
          <w:sz w:val="24"/>
          <w:szCs w:val="24"/>
        </w:rPr>
        <w:t>iven as single and split doses.</w:t>
      </w:r>
      <w:r w:rsidRPr="00A7194B">
        <w:rPr>
          <w:rFonts w:ascii="Book Antiqua" w:hAnsi="Book Antiqua"/>
          <w:sz w:val="24"/>
          <w:szCs w:val="24"/>
        </w:rPr>
        <w:t xml:space="preserve"> Split dosing was superior to single dose for both preparations (82.4% and 80.3% </w:t>
      </w:r>
      <w:r w:rsidRPr="00394CEE">
        <w:rPr>
          <w:rFonts w:ascii="Book Antiqua" w:hAnsi="Book Antiqua"/>
          <w:i/>
          <w:sz w:val="24"/>
          <w:szCs w:val="24"/>
        </w:rPr>
        <w:t>vs</w:t>
      </w:r>
      <w:r w:rsidRPr="00A7194B">
        <w:rPr>
          <w:rFonts w:ascii="Book Antiqua" w:hAnsi="Book Antiqua"/>
          <w:sz w:val="24"/>
          <w:szCs w:val="24"/>
        </w:rPr>
        <w:t xml:space="preserve"> 97.2% and 95.6% for OSS and PEG-ELS respect</w:t>
      </w:r>
      <w:r w:rsidR="00394CEE">
        <w:rPr>
          <w:rFonts w:ascii="Book Antiqua" w:hAnsi="Book Antiqua"/>
          <w:sz w:val="24"/>
          <w:szCs w:val="24"/>
        </w:rPr>
        <w:t>ively</w:t>
      </w:r>
      <w:r w:rsidRPr="00A7194B">
        <w:rPr>
          <w:rFonts w:ascii="Book Antiqua" w:hAnsi="Book Antiqua"/>
          <w:sz w:val="24"/>
          <w:szCs w:val="24"/>
        </w:rPr>
        <w:t>)</w:t>
      </w:r>
      <w:r w:rsidR="00394CEE">
        <w:rPr>
          <w:rFonts w:ascii="Book Antiqua" w:hAnsi="Book Antiqua" w:hint="eastAsia"/>
          <w:sz w:val="24"/>
          <w:szCs w:val="24"/>
          <w:lang w:eastAsia="zh-CN"/>
        </w:rPr>
        <w:t>.</w:t>
      </w:r>
      <w:r w:rsidRPr="00A7194B">
        <w:rPr>
          <w:rFonts w:ascii="Book Antiqua" w:hAnsi="Book Antiqua"/>
          <w:sz w:val="24"/>
          <w:szCs w:val="24"/>
        </w:rPr>
        <w:t xml:space="preserve"> OSS was associated with a higher frequency of excellent preparations in the split dose arm (63.3%</w:t>
      </w:r>
      <w:r w:rsidRPr="00394CEE">
        <w:rPr>
          <w:rFonts w:ascii="Book Antiqua" w:hAnsi="Book Antiqua"/>
          <w:i/>
          <w:sz w:val="24"/>
          <w:szCs w:val="24"/>
        </w:rPr>
        <w:t xml:space="preserve"> vs</w:t>
      </w:r>
      <w:r w:rsidR="00394CEE">
        <w:rPr>
          <w:rFonts w:ascii="Book Antiqua" w:hAnsi="Book Antiqua"/>
          <w:sz w:val="24"/>
          <w:szCs w:val="24"/>
        </w:rPr>
        <w:t xml:space="preserve"> 52.5%</w:t>
      </w:r>
      <w:r w:rsidRPr="00A7194B">
        <w:rPr>
          <w:rFonts w:ascii="Book Antiqua" w:hAnsi="Book Antiqua"/>
          <w:sz w:val="24"/>
          <w:szCs w:val="24"/>
        </w:rPr>
        <w:t>)</w:t>
      </w:r>
      <w:r w:rsidR="00394CEE">
        <w:rPr>
          <w:rFonts w:ascii="Book Antiqua" w:hAnsi="Book Antiqua" w:hint="eastAsia"/>
          <w:sz w:val="24"/>
          <w:szCs w:val="24"/>
          <w:lang w:eastAsia="zh-CN"/>
        </w:rPr>
        <w:t>.</w:t>
      </w:r>
      <w:r w:rsidRPr="00A7194B">
        <w:rPr>
          <w:rFonts w:ascii="Book Antiqua" w:hAnsi="Book Antiqua"/>
          <w:sz w:val="24"/>
          <w:szCs w:val="24"/>
        </w:rPr>
        <w:t xml:space="preserve"> A subsequent study by this group </w:t>
      </w:r>
      <w:r w:rsidR="00B41494" w:rsidRPr="00A7194B">
        <w:rPr>
          <w:rFonts w:ascii="Book Antiqua" w:hAnsi="Book Antiqua"/>
          <w:sz w:val="24"/>
          <w:szCs w:val="24"/>
        </w:rPr>
        <w:t xml:space="preserve">comparing split dose OSS </w:t>
      </w:r>
      <w:r w:rsidR="00394CEE">
        <w:rPr>
          <w:rFonts w:ascii="Book Antiqua" w:hAnsi="Book Antiqua" w:hint="eastAsia"/>
          <w:sz w:val="24"/>
          <w:szCs w:val="24"/>
          <w:lang w:eastAsia="zh-CN"/>
        </w:rPr>
        <w:t>(</w:t>
      </w:r>
      <w:proofErr w:type="spellStart"/>
      <w:r w:rsidR="00B41494" w:rsidRPr="00A7194B">
        <w:rPr>
          <w:rFonts w:ascii="Book Antiqua" w:hAnsi="Book Antiqua"/>
          <w:sz w:val="24"/>
          <w:szCs w:val="24"/>
        </w:rPr>
        <w:t>SuPrep</w:t>
      </w:r>
      <w:proofErr w:type="spellEnd"/>
      <w:r w:rsidR="00394CEE">
        <w:rPr>
          <w:rFonts w:ascii="Book Antiqua" w:hAnsi="Book Antiqua" w:hint="eastAsia"/>
          <w:sz w:val="24"/>
          <w:szCs w:val="24"/>
          <w:lang w:eastAsia="zh-CN"/>
        </w:rPr>
        <w:t>)</w:t>
      </w:r>
      <w:r w:rsidRPr="00A7194B">
        <w:rPr>
          <w:rFonts w:ascii="Book Antiqua" w:hAnsi="Book Antiqua"/>
          <w:sz w:val="24"/>
          <w:szCs w:val="24"/>
        </w:rPr>
        <w:t xml:space="preserve"> with single dose 4</w:t>
      </w:r>
      <w:r w:rsidR="00394CEE">
        <w:rPr>
          <w:rFonts w:ascii="Book Antiqua" w:hAnsi="Book Antiqua" w:hint="eastAsia"/>
          <w:sz w:val="24"/>
          <w:szCs w:val="24"/>
          <w:lang w:eastAsia="zh-CN"/>
        </w:rPr>
        <w:t xml:space="preserve"> </w:t>
      </w:r>
      <w:r w:rsidRPr="00A7194B">
        <w:rPr>
          <w:rFonts w:ascii="Book Antiqua" w:hAnsi="Book Antiqua"/>
          <w:sz w:val="24"/>
          <w:szCs w:val="24"/>
        </w:rPr>
        <w:t xml:space="preserve">L sulfate free PEG-ELS found a significantly higher rate of adequate and excellent preparations in the OSS group (98.4% </w:t>
      </w:r>
      <w:r w:rsidRPr="00394CEE">
        <w:rPr>
          <w:rFonts w:ascii="Book Antiqua" w:hAnsi="Book Antiqua"/>
          <w:i/>
          <w:sz w:val="24"/>
          <w:szCs w:val="24"/>
        </w:rPr>
        <w:t>v</w:t>
      </w:r>
      <w:r w:rsidR="00577C5D" w:rsidRPr="00394CEE">
        <w:rPr>
          <w:rFonts w:ascii="Book Antiqua" w:hAnsi="Book Antiqua"/>
          <w:i/>
          <w:sz w:val="24"/>
          <w:szCs w:val="24"/>
        </w:rPr>
        <w:t xml:space="preserve">s </w:t>
      </w:r>
      <w:r w:rsidR="00577C5D" w:rsidRPr="00A7194B">
        <w:rPr>
          <w:rFonts w:ascii="Book Antiqua" w:hAnsi="Book Antiqua"/>
          <w:sz w:val="24"/>
          <w:szCs w:val="24"/>
        </w:rPr>
        <w:t>89.6% and 71.4%</w:t>
      </w:r>
      <w:r w:rsidR="00577C5D" w:rsidRPr="00394CEE">
        <w:rPr>
          <w:rFonts w:ascii="Book Antiqua" w:hAnsi="Book Antiqua"/>
          <w:i/>
          <w:sz w:val="24"/>
          <w:szCs w:val="24"/>
        </w:rPr>
        <w:t xml:space="preserve"> vs </w:t>
      </w:r>
      <w:r w:rsidR="00577C5D" w:rsidRPr="00A7194B">
        <w:rPr>
          <w:rFonts w:ascii="Book Antiqua" w:hAnsi="Book Antiqua"/>
          <w:sz w:val="24"/>
          <w:szCs w:val="24"/>
        </w:rPr>
        <w:t>34.4%)</w:t>
      </w:r>
      <w:r w:rsidR="00E132EC" w:rsidRPr="00A7194B">
        <w:rPr>
          <w:rFonts w:ascii="Book Antiqua" w:hAnsi="Book Antiqua"/>
          <w:sz w:val="24"/>
          <w:szCs w:val="24"/>
          <w:vertAlign w:val="superscript"/>
        </w:rPr>
        <w:t>[45</w:t>
      </w:r>
      <w:r w:rsidRPr="00A7194B">
        <w:rPr>
          <w:rFonts w:ascii="Book Antiqua" w:hAnsi="Book Antiqua"/>
          <w:sz w:val="24"/>
          <w:szCs w:val="24"/>
          <w:vertAlign w:val="superscript"/>
        </w:rPr>
        <w:t>]</w:t>
      </w:r>
      <w:r w:rsidR="00552B68" w:rsidRPr="00A7194B">
        <w:rPr>
          <w:rFonts w:ascii="Book Antiqua" w:hAnsi="Book Antiqua"/>
          <w:sz w:val="24"/>
          <w:szCs w:val="24"/>
        </w:rPr>
        <w:t>.</w:t>
      </w:r>
      <w:r w:rsidRPr="00A7194B">
        <w:rPr>
          <w:rFonts w:ascii="Book Antiqua" w:hAnsi="Book Antiqua"/>
          <w:sz w:val="24"/>
          <w:szCs w:val="24"/>
        </w:rPr>
        <w:t xml:space="preserve"> OSS also resulted in less residual stool in the right colon. There were small changes in serum electrolytes with OSS which the authors reported as clinically insignificant. A third study by this group compared split dose OSS plus PEG-ELS </w:t>
      </w:r>
      <w:r w:rsidR="00227ACA">
        <w:rPr>
          <w:rFonts w:ascii="Book Antiqua" w:hAnsi="Book Antiqua" w:hint="eastAsia"/>
          <w:sz w:val="24"/>
          <w:szCs w:val="24"/>
          <w:lang w:eastAsia="zh-CN"/>
        </w:rPr>
        <w:t>(</w:t>
      </w:r>
      <w:proofErr w:type="spellStart"/>
      <w:r w:rsidRPr="00A7194B">
        <w:rPr>
          <w:rFonts w:ascii="Book Antiqua" w:hAnsi="Book Antiqua"/>
          <w:sz w:val="24"/>
          <w:szCs w:val="24"/>
        </w:rPr>
        <w:t>Suclear</w:t>
      </w:r>
      <w:proofErr w:type="spellEnd"/>
      <w:r w:rsidR="00227ACA">
        <w:rPr>
          <w:rFonts w:ascii="Book Antiqua" w:hAnsi="Book Antiqua" w:hint="eastAsia"/>
          <w:sz w:val="24"/>
          <w:szCs w:val="24"/>
          <w:lang w:eastAsia="zh-CN"/>
        </w:rPr>
        <w:t>)</w:t>
      </w:r>
      <w:r w:rsidRPr="00A7194B">
        <w:rPr>
          <w:rFonts w:ascii="Book Antiqua" w:hAnsi="Book Antiqua"/>
          <w:sz w:val="24"/>
          <w:szCs w:val="24"/>
        </w:rPr>
        <w:t xml:space="preserve"> with split dose 2</w:t>
      </w:r>
      <w:r w:rsidR="00227ACA">
        <w:rPr>
          <w:rFonts w:ascii="Book Antiqua" w:hAnsi="Book Antiqua" w:hint="eastAsia"/>
          <w:sz w:val="24"/>
          <w:szCs w:val="24"/>
          <w:lang w:eastAsia="zh-CN"/>
        </w:rPr>
        <w:t xml:space="preserve"> </w:t>
      </w:r>
      <w:r w:rsidRPr="00A7194B">
        <w:rPr>
          <w:rFonts w:ascii="Book Antiqua" w:hAnsi="Book Antiqua"/>
          <w:sz w:val="24"/>
          <w:szCs w:val="24"/>
        </w:rPr>
        <w:t>L PEG-ELS and OSS plus PEG-ELS given the night before procedure with 10</w:t>
      </w:r>
      <w:r w:rsidR="00227ACA">
        <w:rPr>
          <w:rFonts w:ascii="Book Antiqua" w:hAnsi="Book Antiqua" w:hint="eastAsia"/>
          <w:sz w:val="24"/>
          <w:szCs w:val="24"/>
          <w:lang w:eastAsia="zh-CN"/>
        </w:rPr>
        <w:t xml:space="preserve"> </w:t>
      </w:r>
      <w:r w:rsidRPr="00A7194B">
        <w:rPr>
          <w:rFonts w:ascii="Book Antiqua" w:hAnsi="Book Antiqua"/>
          <w:sz w:val="24"/>
          <w:szCs w:val="24"/>
        </w:rPr>
        <w:t xml:space="preserve">mg </w:t>
      </w:r>
      <w:proofErr w:type="spellStart"/>
      <w:r w:rsidRPr="00A7194B">
        <w:rPr>
          <w:rFonts w:ascii="Book Antiqua" w:hAnsi="Book Antiqua"/>
          <w:sz w:val="24"/>
          <w:szCs w:val="24"/>
        </w:rPr>
        <w:t>bisac</w:t>
      </w:r>
      <w:r w:rsidR="00577C5D" w:rsidRPr="00A7194B">
        <w:rPr>
          <w:rFonts w:ascii="Book Antiqua" w:hAnsi="Book Antiqua"/>
          <w:sz w:val="24"/>
          <w:szCs w:val="24"/>
        </w:rPr>
        <w:t>odyl</w:t>
      </w:r>
      <w:proofErr w:type="spellEnd"/>
      <w:r w:rsidR="00577C5D" w:rsidRPr="00A7194B">
        <w:rPr>
          <w:rFonts w:ascii="Book Antiqua" w:hAnsi="Book Antiqua"/>
          <w:sz w:val="24"/>
          <w:szCs w:val="24"/>
        </w:rPr>
        <w:t xml:space="preserve"> followed by 2</w:t>
      </w:r>
      <w:r w:rsidR="00227ACA">
        <w:rPr>
          <w:rFonts w:ascii="Book Antiqua" w:hAnsi="Book Antiqua" w:hint="eastAsia"/>
          <w:sz w:val="24"/>
          <w:szCs w:val="24"/>
          <w:lang w:eastAsia="zh-CN"/>
        </w:rPr>
        <w:t xml:space="preserve"> </w:t>
      </w:r>
      <w:r w:rsidR="00577C5D" w:rsidRPr="00A7194B">
        <w:rPr>
          <w:rFonts w:ascii="Book Antiqua" w:hAnsi="Book Antiqua"/>
          <w:sz w:val="24"/>
          <w:szCs w:val="24"/>
        </w:rPr>
        <w:t>L PEG-ELS</w:t>
      </w:r>
      <w:r w:rsidR="00E132EC" w:rsidRPr="00A7194B">
        <w:rPr>
          <w:rFonts w:ascii="Book Antiqua" w:hAnsi="Book Antiqua"/>
          <w:sz w:val="24"/>
          <w:szCs w:val="24"/>
          <w:vertAlign w:val="superscript"/>
        </w:rPr>
        <w:t>[46</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The split dose administration produced equivalent rates of successful prep (93.5% in both arms.) Single dose OSS with PEG-ELS was non</w:t>
      </w:r>
      <w:r w:rsidR="007B4647" w:rsidRPr="00A7194B">
        <w:rPr>
          <w:rFonts w:ascii="Book Antiqua" w:hAnsi="Book Antiqua"/>
          <w:sz w:val="24"/>
          <w:szCs w:val="24"/>
        </w:rPr>
        <w:t>-</w:t>
      </w:r>
      <w:r w:rsidRPr="00A7194B">
        <w:rPr>
          <w:rFonts w:ascii="Book Antiqua" w:hAnsi="Book Antiqua"/>
          <w:sz w:val="24"/>
          <w:szCs w:val="24"/>
        </w:rPr>
        <w:t xml:space="preserve">inferior to PEG-ELS given with </w:t>
      </w:r>
      <w:proofErr w:type="spellStart"/>
      <w:r w:rsidRPr="00A7194B">
        <w:rPr>
          <w:rFonts w:ascii="Book Antiqua" w:hAnsi="Book Antiqua"/>
          <w:sz w:val="24"/>
          <w:szCs w:val="24"/>
        </w:rPr>
        <w:t>bisacodyl</w:t>
      </w:r>
      <w:proofErr w:type="spellEnd"/>
      <w:r w:rsidRPr="00A7194B">
        <w:rPr>
          <w:rFonts w:ascii="Book Antiqua" w:hAnsi="Book Antiqua"/>
          <w:sz w:val="24"/>
          <w:szCs w:val="24"/>
        </w:rPr>
        <w:t xml:space="preserve"> (89.8% </w:t>
      </w:r>
      <w:proofErr w:type="spellStart"/>
      <w:r w:rsidRPr="00227ACA">
        <w:rPr>
          <w:rFonts w:ascii="Book Antiqua" w:hAnsi="Book Antiqua"/>
          <w:i/>
          <w:sz w:val="24"/>
          <w:szCs w:val="24"/>
        </w:rPr>
        <w:t>vs</w:t>
      </w:r>
      <w:proofErr w:type="spellEnd"/>
      <w:r w:rsidRPr="00A7194B">
        <w:rPr>
          <w:rFonts w:ascii="Book Antiqua" w:hAnsi="Book Antiqua"/>
          <w:sz w:val="24"/>
          <w:szCs w:val="24"/>
        </w:rPr>
        <w:t xml:space="preserve"> 83.5%) and associated with significantly more excellent preparations (47.7% </w:t>
      </w:r>
      <w:r w:rsidRPr="00227ACA">
        <w:rPr>
          <w:rFonts w:ascii="Book Antiqua" w:hAnsi="Book Antiqua"/>
          <w:i/>
          <w:sz w:val="24"/>
          <w:szCs w:val="24"/>
        </w:rPr>
        <w:t>vs</w:t>
      </w:r>
      <w:r w:rsidRPr="00A7194B">
        <w:rPr>
          <w:rFonts w:ascii="Book Antiqua" w:hAnsi="Book Antiqua"/>
          <w:sz w:val="24"/>
          <w:szCs w:val="24"/>
        </w:rPr>
        <w:t xml:space="preserve"> 35.6%.) In both arms of the study, OSS plus PEG-ELS was associated with a higher incidence of side effects (vomiting in the split dose arm and overall discomfort in single dose arm.) The authors looked specifically at the efficacy in the elderly (age </w:t>
      </w:r>
      <w:r w:rsidR="00227ACA" w:rsidRPr="004E1F0C">
        <w:rPr>
          <w:rFonts w:ascii="Book Antiqua" w:eastAsia="Arial Unicode MS" w:hAnsi="Book Antiqua" w:cs="Arial Unicode MS"/>
          <w:sz w:val="24"/>
          <w:szCs w:val="24"/>
        </w:rPr>
        <w:t>≥</w:t>
      </w:r>
      <w:r w:rsidRPr="00A7194B">
        <w:rPr>
          <w:rFonts w:ascii="Book Antiqua" w:hAnsi="Book Antiqua"/>
          <w:sz w:val="24"/>
          <w:szCs w:val="24"/>
        </w:rPr>
        <w:t xml:space="preserve"> 65) and </w:t>
      </w:r>
      <w:r w:rsidRPr="00A7194B">
        <w:rPr>
          <w:rFonts w:ascii="Book Antiqua" w:hAnsi="Book Antiqua"/>
          <w:sz w:val="24"/>
          <w:szCs w:val="24"/>
        </w:rPr>
        <w:lastRenderedPageBreak/>
        <w:t xml:space="preserve">found that the split dose OSS with PEG-ELS produced more successful preparations (93% </w:t>
      </w:r>
      <w:r w:rsidRPr="00227ACA">
        <w:rPr>
          <w:rFonts w:ascii="Book Antiqua" w:hAnsi="Book Antiqua"/>
          <w:i/>
          <w:sz w:val="24"/>
          <w:szCs w:val="24"/>
        </w:rPr>
        <w:t>vs</w:t>
      </w:r>
      <w:r w:rsidRPr="00A7194B">
        <w:rPr>
          <w:rFonts w:ascii="Book Antiqua" w:hAnsi="Book Antiqua"/>
          <w:sz w:val="24"/>
          <w:szCs w:val="24"/>
        </w:rPr>
        <w:t xml:space="preserve"> 86%) in this population. Patients with pre-existing comorbidities (cardiac or renal disease, diabetes, and hypertension) had similar rates of adverse events with both preps. </w:t>
      </w:r>
    </w:p>
    <w:p w:rsidR="00486EA2" w:rsidRPr="00A7194B" w:rsidRDefault="00486EA2" w:rsidP="00A7194B">
      <w:pPr>
        <w:pStyle w:val="PlainText"/>
        <w:suppressLineNumbers/>
        <w:spacing w:line="360" w:lineRule="auto"/>
        <w:jc w:val="both"/>
        <w:rPr>
          <w:rFonts w:ascii="Book Antiqua" w:hAnsi="Book Antiqua"/>
          <w:sz w:val="24"/>
          <w:szCs w:val="24"/>
        </w:rPr>
      </w:pPr>
    </w:p>
    <w:p w:rsidR="00486EA2" w:rsidRPr="00227ACA" w:rsidRDefault="00486EA2" w:rsidP="00A7194B">
      <w:pPr>
        <w:pStyle w:val="PlainText"/>
        <w:suppressLineNumbers/>
        <w:spacing w:line="360" w:lineRule="auto"/>
        <w:jc w:val="both"/>
        <w:rPr>
          <w:rFonts w:ascii="Book Antiqua" w:hAnsi="Book Antiqua"/>
          <w:b/>
          <w:sz w:val="24"/>
          <w:szCs w:val="24"/>
          <w:lang w:eastAsia="zh-CN"/>
        </w:rPr>
      </w:pPr>
      <w:r w:rsidRPr="00227ACA">
        <w:rPr>
          <w:rFonts w:ascii="Book Antiqua" w:hAnsi="Book Antiqua"/>
          <w:b/>
          <w:sz w:val="24"/>
          <w:szCs w:val="24"/>
        </w:rPr>
        <w:t>SODIUM PICO</w:t>
      </w:r>
      <w:r w:rsidR="00227ACA" w:rsidRPr="00227ACA">
        <w:rPr>
          <w:rFonts w:ascii="Book Antiqua" w:hAnsi="Book Antiqua"/>
          <w:b/>
          <w:sz w:val="24"/>
          <w:szCs w:val="24"/>
        </w:rPr>
        <w:t>-SULFATE</w:t>
      </w:r>
    </w:p>
    <w:p w:rsidR="00486EA2" w:rsidRPr="00A7194B" w:rsidRDefault="00486EA2"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 xml:space="preserve">Sodium </w:t>
      </w:r>
      <w:proofErr w:type="spellStart"/>
      <w:r w:rsidRPr="00A7194B">
        <w:rPr>
          <w:rFonts w:ascii="Book Antiqua" w:hAnsi="Book Antiqua"/>
          <w:sz w:val="24"/>
          <w:szCs w:val="24"/>
        </w:rPr>
        <w:t>picosulfate</w:t>
      </w:r>
      <w:proofErr w:type="spellEnd"/>
      <w:r w:rsidRPr="00A7194B">
        <w:rPr>
          <w:rFonts w:ascii="Book Antiqua" w:hAnsi="Book Antiqua"/>
          <w:sz w:val="24"/>
          <w:szCs w:val="24"/>
        </w:rPr>
        <w:t xml:space="preserve"> (PMC) is a stimulant laxative given in combination with an osmotic laxative component such as magnesium citrate or magnesium oxide and citric acid which combine to form magnesium citrate. PMC has been used extensively in Canada and Europe for the past 20 years, but was only recently approved for use as a bowel preparative agent in the United States. The formulation available in the United States, </w:t>
      </w:r>
      <w:proofErr w:type="spellStart"/>
      <w:r w:rsidRPr="00A7194B">
        <w:rPr>
          <w:rFonts w:ascii="Book Antiqua" w:hAnsi="Book Antiqua"/>
          <w:sz w:val="24"/>
          <w:szCs w:val="24"/>
        </w:rPr>
        <w:t>Prepopik</w:t>
      </w:r>
      <w:proofErr w:type="spellEnd"/>
      <w:r w:rsidR="00B41494" w:rsidRPr="00A7194B">
        <w:rPr>
          <w:rFonts w:ascii="Book Antiqua" w:hAnsi="Book Antiqua"/>
          <w:sz w:val="24"/>
          <w:szCs w:val="24"/>
        </w:rPr>
        <w:t xml:space="preserve"> (</w:t>
      </w:r>
      <w:proofErr w:type="spellStart"/>
      <w:r w:rsidR="00B41494" w:rsidRPr="00A7194B">
        <w:rPr>
          <w:rFonts w:ascii="Book Antiqua" w:hAnsi="Book Antiqua"/>
          <w:sz w:val="24"/>
          <w:szCs w:val="24"/>
        </w:rPr>
        <w:t>Ferring</w:t>
      </w:r>
      <w:proofErr w:type="spellEnd"/>
      <w:r w:rsidR="00B41494" w:rsidRPr="00A7194B">
        <w:rPr>
          <w:rFonts w:ascii="Book Antiqua" w:hAnsi="Book Antiqua"/>
          <w:sz w:val="24"/>
          <w:szCs w:val="24"/>
        </w:rPr>
        <w:t xml:space="preserve"> Pharmaceuticals, Parsippany, NJ)</w:t>
      </w:r>
      <w:r w:rsidR="001507E3">
        <w:rPr>
          <w:rFonts w:ascii="Book Antiqua" w:hAnsi="Book Antiqua" w:hint="eastAsia"/>
          <w:sz w:val="24"/>
          <w:szCs w:val="24"/>
          <w:lang w:eastAsia="zh-CN"/>
        </w:rPr>
        <w:t>,</w:t>
      </w:r>
      <w:r w:rsidRPr="00A7194B">
        <w:rPr>
          <w:rFonts w:ascii="Book Antiqua" w:hAnsi="Book Antiqua"/>
          <w:sz w:val="24"/>
          <w:szCs w:val="24"/>
        </w:rPr>
        <w:t xml:space="preserve"> is given as a split dose. Like sodium phosphate, this is a hyperosmolar preparation may not be suitable for patients with heart failure, renal insufficiency, end stage liver disease, or baseline electrolyte abnormalities. There have been reports of clinically significant hyponatremia following PMC bowel preparations and a retrospective cohort study by Weir </w:t>
      </w:r>
      <w:r w:rsidRPr="00A01200">
        <w:rPr>
          <w:rFonts w:ascii="Book Antiqua" w:hAnsi="Book Antiqua"/>
          <w:i/>
          <w:sz w:val="24"/>
          <w:szCs w:val="24"/>
        </w:rPr>
        <w:t xml:space="preserve">et </w:t>
      </w:r>
      <w:proofErr w:type="gramStart"/>
      <w:r w:rsidRPr="00A01200">
        <w:rPr>
          <w:rFonts w:ascii="Book Antiqua" w:hAnsi="Book Antiqua"/>
          <w:i/>
          <w:sz w:val="24"/>
          <w:szCs w:val="24"/>
        </w:rPr>
        <w:t>al</w:t>
      </w:r>
      <w:r w:rsidR="00A01200" w:rsidRPr="00A7194B">
        <w:rPr>
          <w:rFonts w:ascii="Book Antiqua" w:hAnsi="Book Antiqua"/>
          <w:sz w:val="24"/>
          <w:szCs w:val="24"/>
          <w:vertAlign w:val="superscript"/>
        </w:rPr>
        <w:t>[</w:t>
      </w:r>
      <w:proofErr w:type="gramEnd"/>
      <w:r w:rsidR="00A01200" w:rsidRPr="00A7194B">
        <w:rPr>
          <w:rFonts w:ascii="Book Antiqua" w:hAnsi="Book Antiqua"/>
          <w:sz w:val="24"/>
          <w:szCs w:val="24"/>
          <w:vertAlign w:val="superscript"/>
        </w:rPr>
        <w:t>47]</w:t>
      </w:r>
      <w:r w:rsidRPr="00A7194B">
        <w:rPr>
          <w:rFonts w:ascii="Book Antiqua" w:hAnsi="Book Antiqua"/>
          <w:sz w:val="24"/>
          <w:szCs w:val="24"/>
        </w:rPr>
        <w:t xml:space="preserve"> confirmed that use of PMC in patients older than 65 years was associated with an increased risk of 30 d hospitalization for hyponatremia, but not with increased risk of acute neur</w:t>
      </w:r>
      <w:r w:rsidR="00577C5D" w:rsidRPr="00A7194B">
        <w:rPr>
          <w:rFonts w:ascii="Book Antiqua" w:hAnsi="Book Antiqua"/>
          <w:sz w:val="24"/>
          <w:szCs w:val="24"/>
        </w:rPr>
        <w:t>ological symptoms or mortality.</w:t>
      </w:r>
      <w:r w:rsidRPr="00A7194B">
        <w:rPr>
          <w:rFonts w:ascii="Book Antiqua" w:hAnsi="Book Antiqua"/>
          <w:sz w:val="24"/>
          <w:szCs w:val="24"/>
        </w:rPr>
        <w:t xml:space="preserve"> </w:t>
      </w:r>
    </w:p>
    <w:p w:rsidR="00486EA2" w:rsidRPr="00A7194B" w:rsidRDefault="00577C5D" w:rsidP="001507E3">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Katz</w:t>
      </w:r>
      <w:r w:rsidR="00486EA2" w:rsidRPr="00A7194B">
        <w:rPr>
          <w:rFonts w:ascii="Book Antiqua" w:hAnsi="Book Antiqua"/>
          <w:sz w:val="24"/>
          <w:szCs w:val="24"/>
        </w:rPr>
        <w:t xml:space="preserve"> </w:t>
      </w:r>
      <w:r w:rsidR="00486EA2" w:rsidRPr="001507E3">
        <w:rPr>
          <w:rFonts w:ascii="Book Antiqua" w:hAnsi="Book Antiqua"/>
          <w:i/>
          <w:sz w:val="24"/>
          <w:szCs w:val="24"/>
        </w:rPr>
        <w:t xml:space="preserve">et </w:t>
      </w:r>
      <w:proofErr w:type="gramStart"/>
      <w:r w:rsidR="00486EA2" w:rsidRPr="001507E3">
        <w:rPr>
          <w:rFonts w:ascii="Book Antiqua" w:hAnsi="Book Antiqua"/>
          <w:i/>
          <w:sz w:val="24"/>
          <w:szCs w:val="24"/>
        </w:rPr>
        <w:t>al</w:t>
      </w:r>
      <w:r w:rsidR="001507E3" w:rsidRPr="00A7194B">
        <w:rPr>
          <w:rFonts w:ascii="Book Antiqua" w:hAnsi="Book Antiqua"/>
          <w:sz w:val="24"/>
          <w:szCs w:val="24"/>
          <w:vertAlign w:val="superscript"/>
        </w:rPr>
        <w:t>[</w:t>
      </w:r>
      <w:proofErr w:type="gramEnd"/>
      <w:r w:rsidR="001507E3" w:rsidRPr="00A7194B">
        <w:rPr>
          <w:rFonts w:ascii="Book Antiqua" w:hAnsi="Book Antiqua"/>
          <w:sz w:val="24"/>
          <w:szCs w:val="24"/>
          <w:vertAlign w:val="superscript"/>
        </w:rPr>
        <w:t>48]</w:t>
      </w:r>
      <w:r w:rsidR="00486EA2" w:rsidRPr="00A7194B">
        <w:rPr>
          <w:rFonts w:ascii="Book Antiqua" w:hAnsi="Book Antiqua"/>
          <w:sz w:val="24"/>
          <w:szCs w:val="24"/>
        </w:rPr>
        <w:t xml:space="preserve"> compared PMC, given as single and split doses, with single dose 2</w:t>
      </w:r>
      <w:r w:rsidR="001507E3">
        <w:rPr>
          <w:rFonts w:ascii="Book Antiqua" w:hAnsi="Book Antiqua" w:hint="eastAsia"/>
          <w:sz w:val="24"/>
          <w:szCs w:val="24"/>
          <w:lang w:eastAsia="zh-CN"/>
        </w:rPr>
        <w:t xml:space="preserve"> </w:t>
      </w:r>
      <w:r w:rsidR="00486EA2" w:rsidRPr="00A7194B">
        <w:rPr>
          <w:rFonts w:ascii="Book Antiqua" w:hAnsi="Book Antiqua"/>
          <w:sz w:val="24"/>
          <w:szCs w:val="24"/>
        </w:rPr>
        <w:t xml:space="preserve">L PEG and </w:t>
      </w:r>
      <w:proofErr w:type="spellStart"/>
      <w:r w:rsidR="00486EA2" w:rsidRPr="00A7194B">
        <w:rPr>
          <w:rFonts w:ascii="Book Antiqua" w:hAnsi="Book Antiqua"/>
          <w:sz w:val="24"/>
          <w:szCs w:val="24"/>
        </w:rPr>
        <w:t>bisacodyl</w:t>
      </w:r>
      <w:proofErr w:type="spellEnd"/>
      <w:r w:rsidR="00486EA2" w:rsidRPr="00A7194B">
        <w:rPr>
          <w:rFonts w:ascii="Book Antiqua" w:hAnsi="Book Antiqua"/>
          <w:sz w:val="24"/>
          <w:szCs w:val="24"/>
        </w:rPr>
        <w:t xml:space="preserve"> administered the day before. Single dose PMC compared favorably with single dose PEG producing successful cleansing in 83.0% </w:t>
      </w:r>
      <w:r w:rsidR="00486EA2" w:rsidRPr="001507E3">
        <w:rPr>
          <w:rFonts w:ascii="Book Antiqua" w:hAnsi="Book Antiqua"/>
          <w:i/>
          <w:sz w:val="24"/>
          <w:szCs w:val="24"/>
        </w:rPr>
        <w:t>vs</w:t>
      </w:r>
      <w:r w:rsidR="00486EA2" w:rsidRPr="00A7194B">
        <w:rPr>
          <w:rFonts w:ascii="Book Antiqua" w:hAnsi="Book Antiqua"/>
          <w:sz w:val="24"/>
          <w:szCs w:val="24"/>
        </w:rPr>
        <w:t xml:space="preserve"> 79.7% or patients and comparable cleansing seen throughout </w:t>
      </w:r>
      <w:r w:rsidRPr="00A7194B">
        <w:rPr>
          <w:rFonts w:ascii="Book Antiqua" w:hAnsi="Book Antiqua"/>
          <w:sz w:val="24"/>
          <w:szCs w:val="24"/>
        </w:rPr>
        <w:t>all segments of the colon.</w:t>
      </w:r>
      <w:r w:rsidR="00486EA2" w:rsidRPr="00A7194B">
        <w:rPr>
          <w:rFonts w:ascii="Book Antiqua" w:hAnsi="Book Antiqua"/>
          <w:sz w:val="24"/>
          <w:szCs w:val="24"/>
        </w:rPr>
        <w:t xml:space="preserve"> Adverse events were similar between the two groups, and patient acceptability was significant</w:t>
      </w:r>
      <w:r w:rsidR="007B4647" w:rsidRPr="00A7194B">
        <w:rPr>
          <w:rFonts w:ascii="Book Antiqua" w:hAnsi="Book Antiqua"/>
          <w:sz w:val="24"/>
          <w:szCs w:val="24"/>
        </w:rPr>
        <w:t>ly</w:t>
      </w:r>
      <w:r w:rsidR="00486EA2" w:rsidRPr="00A7194B">
        <w:rPr>
          <w:rFonts w:ascii="Book Antiqua" w:hAnsi="Book Antiqua"/>
          <w:sz w:val="24"/>
          <w:szCs w:val="24"/>
        </w:rPr>
        <w:t xml:space="preserve"> greater in the PMC arm. With split dose administration, PMC performed significantly better than sin</w:t>
      </w:r>
      <w:r w:rsidRPr="00A7194B">
        <w:rPr>
          <w:rFonts w:ascii="Book Antiqua" w:hAnsi="Book Antiqua"/>
          <w:sz w:val="24"/>
          <w:szCs w:val="24"/>
        </w:rPr>
        <w:t>gle dose 2</w:t>
      </w:r>
      <w:r w:rsidR="001507E3">
        <w:rPr>
          <w:rFonts w:ascii="Book Antiqua" w:hAnsi="Book Antiqua" w:hint="eastAsia"/>
          <w:sz w:val="24"/>
          <w:szCs w:val="24"/>
          <w:lang w:eastAsia="zh-CN"/>
        </w:rPr>
        <w:t xml:space="preserve"> </w:t>
      </w:r>
      <w:r w:rsidRPr="00A7194B">
        <w:rPr>
          <w:rFonts w:ascii="Book Antiqua" w:hAnsi="Book Antiqua"/>
          <w:sz w:val="24"/>
          <w:szCs w:val="24"/>
        </w:rPr>
        <w:t xml:space="preserve">L PEG with </w:t>
      </w:r>
      <w:proofErr w:type="spellStart"/>
      <w:proofErr w:type="gramStart"/>
      <w:r w:rsidRPr="00A7194B">
        <w:rPr>
          <w:rFonts w:ascii="Book Antiqua" w:hAnsi="Book Antiqua"/>
          <w:sz w:val="24"/>
          <w:szCs w:val="24"/>
        </w:rPr>
        <w:t>bisacodyl</w:t>
      </w:r>
      <w:proofErr w:type="spellEnd"/>
      <w:r w:rsidR="00B1527B" w:rsidRPr="00A7194B">
        <w:rPr>
          <w:rFonts w:ascii="Book Antiqua" w:hAnsi="Book Antiqua"/>
          <w:sz w:val="24"/>
          <w:szCs w:val="24"/>
          <w:vertAlign w:val="superscript"/>
        </w:rPr>
        <w:t>[</w:t>
      </w:r>
      <w:proofErr w:type="gramEnd"/>
      <w:r w:rsidR="00B1527B" w:rsidRPr="00A7194B">
        <w:rPr>
          <w:rFonts w:ascii="Book Antiqua" w:hAnsi="Book Antiqua"/>
          <w:sz w:val="24"/>
          <w:szCs w:val="24"/>
          <w:vertAlign w:val="superscript"/>
        </w:rPr>
        <w:t>49</w:t>
      </w:r>
      <w:r w:rsidR="00552B68" w:rsidRPr="00A7194B">
        <w:rPr>
          <w:rFonts w:ascii="Book Antiqua" w:hAnsi="Book Antiqua"/>
          <w:sz w:val="24"/>
          <w:szCs w:val="24"/>
          <w:vertAlign w:val="superscript"/>
        </w:rPr>
        <w:t>]</w:t>
      </w:r>
      <w:r w:rsidRPr="00A7194B">
        <w:rPr>
          <w:rFonts w:ascii="Book Antiqua" w:hAnsi="Book Antiqua"/>
          <w:sz w:val="24"/>
          <w:szCs w:val="24"/>
        </w:rPr>
        <w:t>.</w:t>
      </w:r>
      <w:r w:rsidR="00486EA2" w:rsidRPr="00A7194B">
        <w:rPr>
          <w:rFonts w:ascii="Book Antiqua" w:hAnsi="Book Antiqua"/>
          <w:sz w:val="24"/>
          <w:szCs w:val="24"/>
        </w:rPr>
        <w:t xml:space="preserve"> Good or excellent </w:t>
      </w:r>
      <w:proofErr w:type="spellStart"/>
      <w:r w:rsidR="00486EA2" w:rsidRPr="00A7194B">
        <w:rPr>
          <w:rFonts w:ascii="Book Antiqua" w:hAnsi="Book Antiqua"/>
          <w:sz w:val="24"/>
          <w:szCs w:val="24"/>
        </w:rPr>
        <w:t>Aronchick</w:t>
      </w:r>
      <w:proofErr w:type="spellEnd"/>
      <w:r w:rsidR="00486EA2" w:rsidRPr="00A7194B">
        <w:rPr>
          <w:rFonts w:ascii="Book Antiqua" w:hAnsi="Book Antiqua"/>
          <w:sz w:val="24"/>
          <w:szCs w:val="24"/>
        </w:rPr>
        <w:t xml:space="preserve"> scores were more frequent in the PMC arm in both the overall colon (84.2% </w:t>
      </w:r>
      <w:r w:rsidR="00486EA2" w:rsidRPr="001507E3">
        <w:rPr>
          <w:rFonts w:ascii="Book Antiqua" w:hAnsi="Book Antiqua"/>
          <w:i/>
          <w:sz w:val="24"/>
          <w:szCs w:val="24"/>
        </w:rPr>
        <w:t>vs</w:t>
      </w:r>
      <w:r w:rsidR="00486EA2" w:rsidRPr="00A7194B">
        <w:rPr>
          <w:rFonts w:ascii="Book Antiqua" w:hAnsi="Book Antiqua"/>
          <w:sz w:val="24"/>
          <w:szCs w:val="24"/>
        </w:rPr>
        <w:t xml:space="preserve"> 74.4%) and in the individual segments. Again, PMC was rated more tolerable than 2</w:t>
      </w:r>
      <w:r w:rsidR="001507E3">
        <w:rPr>
          <w:rFonts w:ascii="Book Antiqua" w:hAnsi="Book Antiqua" w:hint="eastAsia"/>
          <w:sz w:val="24"/>
          <w:szCs w:val="24"/>
          <w:lang w:eastAsia="zh-CN"/>
        </w:rPr>
        <w:t xml:space="preserve"> </w:t>
      </w:r>
      <w:r w:rsidR="00486EA2" w:rsidRPr="00A7194B">
        <w:rPr>
          <w:rFonts w:ascii="Book Antiqua" w:hAnsi="Book Antiqua"/>
          <w:sz w:val="24"/>
          <w:szCs w:val="24"/>
        </w:rPr>
        <w:t xml:space="preserve">L PEG. Similar results were observed by </w:t>
      </w:r>
      <w:proofErr w:type="spellStart"/>
      <w:r w:rsidR="00486EA2" w:rsidRPr="00A7194B">
        <w:rPr>
          <w:rFonts w:ascii="Book Antiqua" w:hAnsi="Book Antiqua"/>
          <w:sz w:val="24"/>
          <w:szCs w:val="24"/>
        </w:rPr>
        <w:t>Kojecky</w:t>
      </w:r>
      <w:proofErr w:type="spellEnd"/>
      <w:r w:rsidR="00486EA2" w:rsidRPr="00A7194B">
        <w:rPr>
          <w:rFonts w:ascii="Book Antiqua" w:hAnsi="Book Antiqua"/>
          <w:sz w:val="24"/>
          <w:szCs w:val="24"/>
        </w:rPr>
        <w:t xml:space="preserve"> </w:t>
      </w:r>
      <w:r w:rsidR="00486EA2" w:rsidRPr="001507E3">
        <w:rPr>
          <w:rFonts w:ascii="Book Antiqua" w:hAnsi="Book Antiqua"/>
          <w:i/>
          <w:sz w:val="24"/>
          <w:szCs w:val="24"/>
        </w:rPr>
        <w:t>e</w:t>
      </w:r>
      <w:r w:rsidR="007B4647" w:rsidRPr="001507E3">
        <w:rPr>
          <w:rFonts w:ascii="Book Antiqua" w:hAnsi="Book Antiqua"/>
          <w:i/>
          <w:sz w:val="24"/>
          <w:szCs w:val="24"/>
        </w:rPr>
        <w:t xml:space="preserve">t </w:t>
      </w:r>
      <w:proofErr w:type="gramStart"/>
      <w:r w:rsidR="007B4647" w:rsidRPr="001507E3">
        <w:rPr>
          <w:rFonts w:ascii="Book Antiqua" w:hAnsi="Book Antiqua"/>
          <w:i/>
          <w:sz w:val="24"/>
          <w:szCs w:val="24"/>
        </w:rPr>
        <w:t>al</w:t>
      </w:r>
      <w:r w:rsidR="001507E3" w:rsidRPr="00A7194B">
        <w:rPr>
          <w:rFonts w:ascii="Book Antiqua" w:hAnsi="Book Antiqua"/>
          <w:sz w:val="24"/>
          <w:szCs w:val="24"/>
          <w:vertAlign w:val="superscript"/>
        </w:rPr>
        <w:t>[</w:t>
      </w:r>
      <w:proofErr w:type="gramEnd"/>
      <w:r w:rsidR="001507E3" w:rsidRPr="00A7194B">
        <w:rPr>
          <w:rFonts w:ascii="Book Antiqua" w:hAnsi="Book Antiqua"/>
          <w:sz w:val="24"/>
          <w:szCs w:val="24"/>
          <w:vertAlign w:val="superscript"/>
        </w:rPr>
        <w:t>50]</w:t>
      </w:r>
      <w:r w:rsidR="007B4647" w:rsidRPr="00A7194B">
        <w:rPr>
          <w:rFonts w:ascii="Book Antiqua" w:hAnsi="Book Antiqua"/>
          <w:sz w:val="24"/>
          <w:szCs w:val="24"/>
        </w:rPr>
        <w:t xml:space="preserve"> in a comparison of PMC </w:t>
      </w:r>
      <w:r w:rsidR="00486EA2" w:rsidRPr="00A7194B">
        <w:rPr>
          <w:rFonts w:ascii="Book Antiqua" w:hAnsi="Book Antiqua"/>
          <w:sz w:val="24"/>
          <w:szCs w:val="24"/>
        </w:rPr>
        <w:t>and 4</w:t>
      </w:r>
      <w:r w:rsidR="001507E3">
        <w:rPr>
          <w:rFonts w:ascii="Book Antiqua" w:hAnsi="Book Antiqua" w:hint="eastAsia"/>
          <w:sz w:val="24"/>
          <w:szCs w:val="24"/>
          <w:lang w:eastAsia="zh-CN"/>
        </w:rPr>
        <w:t xml:space="preserve"> </w:t>
      </w:r>
      <w:r w:rsidR="00486EA2" w:rsidRPr="00A7194B">
        <w:rPr>
          <w:rFonts w:ascii="Book Antiqua" w:hAnsi="Book Antiqua"/>
          <w:sz w:val="24"/>
          <w:szCs w:val="24"/>
        </w:rPr>
        <w:t>L</w:t>
      </w:r>
      <w:r w:rsidRPr="00A7194B">
        <w:rPr>
          <w:rFonts w:ascii="Book Antiqua" w:hAnsi="Book Antiqua"/>
          <w:sz w:val="24"/>
          <w:szCs w:val="24"/>
        </w:rPr>
        <w:t xml:space="preserve"> PEG in single and split doses.</w:t>
      </w:r>
      <w:r w:rsidR="00486EA2" w:rsidRPr="00A7194B">
        <w:rPr>
          <w:rFonts w:ascii="Book Antiqua" w:hAnsi="Book Antiqua"/>
          <w:sz w:val="24"/>
          <w:szCs w:val="24"/>
        </w:rPr>
        <w:t xml:space="preserve"> Split dose regimens were preferable regardless of the agent. Single dose </w:t>
      </w:r>
      <w:r w:rsidR="00486EA2" w:rsidRPr="00A7194B">
        <w:rPr>
          <w:rFonts w:ascii="Book Antiqua" w:hAnsi="Book Antiqua"/>
          <w:sz w:val="24"/>
          <w:szCs w:val="24"/>
        </w:rPr>
        <w:lastRenderedPageBreak/>
        <w:t xml:space="preserve">PMC produced a higher percentage of acceptable preps compared to PEG (82.6% </w:t>
      </w:r>
      <w:r w:rsidR="00486EA2" w:rsidRPr="001507E3">
        <w:rPr>
          <w:rFonts w:ascii="Book Antiqua" w:hAnsi="Book Antiqua"/>
          <w:i/>
          <w:sz w:val="24"/>
          <w:szCs w:val="24"/>
        </w:rPr>
        <w:t>vs</w:t>
      </w:r>
      <w:r w:rsidR="00486EA2" w:rsidRPr="00A7194B">
        <w:rPr>
          <w:rFonts w:ascii="Book Antiqua" w:hAnsi="Book Antiqua"/>
          <w:sz w:val="24"/>
          <w:szCs w:val="24"/>
        </w:rPr>
        <w:t xml:space="preserve"> 73%</w:t>
      </w:r>
      <w:r w:rsidRPr="00A7194B">
        <w:rPr>
          <w:rFonts w:ascii="Book Antiqua" w:hAnsi="Book Antiqua"/>
          <w:sz w:val="24"/>
          <w:szCs w:val="24"/>
        </w:rPr>
        <w:t>)</w:t>
      </w:r>
      <w:r w:rsidR="001507E3">
        <w:rPr>
          <w:rFonts w:ascii="Book Antiqua" w:hAnsi="Book Antiqua" w:hint="eastAsia"/>
          <w:sz w:val="24"/>
          <w:szCs w:val="24"/>
          <w:lang w:eastAsia="zh-CN"/>
        </w:rPr>
        <w:t>.</w:t>
      </w:r>
      <w:r w:rsidR="00486EA2" w:rsidRPr="00A7194B">
        <w:rPr>
          <w:rFonts w:ascii="Book Antiqua" w:hAnsi="Book Antiqua"/>
          <w:sz w:val="24"/>
          <w:szCs w:val="24"/>
        </w:rPr>
        <w:t xml:space="preserve"> There was no significant difference in the number of subjects with adequate prep among the remaining study arms; split dose PMC (81.6%), single dose PMC (82.6%), and split dose PEG (87.3%</w:t>
      </w:r>
      <w:r w:rsidRPr="00A7194B">
        <w:rPr>
          <w:rFonts w:ascii="Book Antiqua" w:hAnsi="Book Antiqua"/>
          <w:sz w:val="24"/>
          <w:szCs w:val="24"/>
        </w:rPr>
        <w:t>)</w:t>
      </w:r>
      <w:r w:rsidR="001507E3">
        <w:rPr>
          <w:rFonts w:ascii="Book Antiqua" w:hAnsi="Book Antiqua" w:hint="eastAsia"/>
          <w:sz w:val="24"/>
          <w:szCs w:val="24"/>
          <w:lang w:eastAsia="zh-CN"/>
        </w:rPr>
        <w:t>.</w:t>
      </w:r>
      <w:r w:rsidR="00486EA2" w:rsidRPr="00A7194B">
        <w:rPr>
          <w:rFonts w:ascii="Book Antiqua" w:hAnsi="Book Antiqua"/>
          <w:sz w:val="24"/>
          <w:szCs w:val="24"/>
        </w:rPr>
        <w:t xml:space="preserve"> Both PMC based regimens were rated more tolerable than either PEG based prep. Single dose PEG was most associated with nausea and bloating. Single dose PMC had the least abdominal pain reported, but split dose PMC had the highest association with incontinence. There was a slight preference for the single dose PMC preparation among older subjects and for the split preparation in younger subjects. These findings have been replicated in other studies with PMC achieving similar percentages of adequate bowel cleansing compared with PEG while being significant</w:t>
      </w:r>
      <w:r w:rsidRPr="00A7194B">
        <w:rPr>
          <w:rFonts w:ascii="Book Antiqua" w:hAnsi="Book Antiqua"/>
          <w:sz w:val="24"/>
          <w:szCs w:val="24"/>
        </w:rPr>
        <w:t xml:space="preserve">ly preferred by study </w:t>
      </w:r>
      <w:proofErr w:type="gramStart"/>
      <w:r w:rsidRPr="00A7194B">
        <w:rPr>
          <w:rFonts w:ascii="Book Antiqua" w:hAnsi="Book Antiqua"/>
          <w:sz w:val="24"/>
          <w:szCs w:val="24"/>
        </w:rPr>
        <w:t>subjects</w:t>
      </w:r>
      <w:r w:rsidR="001507E3">
        <w:rPr>
          <w:rFonts w:ascii="Book Antiqua" w:hAnsi="Book Antiqua"/>
          <w:sz w:val="24"/>
          <w:szCs w:val="24"/>
          <w:vertAlign w:val="superscript"/>
        </w:rPr>
        <w:t>[</w:t>
      </w:r>
      <w:proofErr w:type="gramEnd"/>
      <w:r w:rsidR="001507E3">
        <w:rPr>
          <w:rFonts w:ascii="Book Antiqua" w:hAnsi="Book Antiqua"/>
          <w:sz w:val="24"/>
          <w:szCs w:val="24"/>
          <w:vertAlign w:val="superscript"/>
        </w:rPr>
        <w:t>51,</w:t>
      </w:r>
      <w:r w:rsidR="00B1527B" w:rsidRPr="00A7194B">
        <w:rPr>
          <w:rFonts w:ascii="Book Antiqua" w:hAnsi="Book Antiqua"/>
          <w:sz w:val="24"/>
          <w:szCs w:val="24"/>
          <w:vertAlign w:val="superscript"/>
        </w:rPr>
        <w:t>52</w:t>
      </w:r>
      <w:r w:rsidR="00552B68" w:rsidRPr="00A7194B">
        <w:rPr>
          <w:rFonts w:ascii="Book Antiqua" w:hAnsi="Book Antiqua"/>
          <w:sz w:val="24"/>
          <w:szCs w:val="24"/>
          <w:vertAlign w:val="superscript"/>
        </w:rPr>
        <w:t>]</w:t>
      </w:r>
      <w:r w:rsidRPr="00A7194B">
        <w:rPr>
          <w:rFonts w:ascii="Book Antiqua" w:hAnsi="Book Antiqua"/>
          <w:sz w:val="24"/>
          <w:szCs w:val="24"/>
        </w:rPr>
        <w:t>.</w:t>
      </w:r>
      <w:r w:rsidR="00486EA2" w:rsidRPr="00A7194B">
        <w:rPr>
          <w:rFonts w:ascii="Book Antiqua" w:hAnsi="Book Antiqua"/>
          <w:sz w:val="24"/>
          <w:szCs w:val="24"/>
        </w:rPr>
        <w:t xml:space="preserve"> Another study evaluated PMC alone v</w:t>
      </w:r>
      <w:r w:rsidR="00FB0E63" w:rsidRPr="00A7194B">
        <w:rPr>
          <w:rFonts w:ascii="Book Antiqua" w:hAnsi="Book Antiqua"/>
          <w:sz w:val="24"/>
          <w:szCs w:val="24"/>
        </w:rPr>
        <w:t>er</w:t>
      </w:r>
      <w:r w:rsidR="00486EA2" w:rsidRPr="00A7194B">
        <w:rPr>
          <w:rFonts w:ascii="Book Antiqua" w:hAnsi="Book Antiqua"/>
          <w:sz w:val="24"/>
          <w:szCs w:val="24"/>
        </w:rPr>
        <w:t>s</w:t>
      </w:r>
      <w:r w:rsidR="00FB0E63" w:rsidRPr="00A7194B">
        <w:rPr>
          <w:rFonts w:ascii="Book Antiqua" w:hAnsi="Book Antiqua"/>
          <w:sz w:val="24"/>
          <w:szCs w:val="24"/>
        </w:rPr>
        <w:t>e</w:t>
      </w:r>
      <w:r w:rsidR="00486EA2" w:rsidRPr="00A7194B">
        <w:rPr>
          <w:rFonts w:ascii="Book Antiqua" w:hAnsi="Book Antiqua"/>
          <w:sz w:val="24"/>
          <w:szCs w:val="24"/>
        </w:rPr>
        <w:t xml:space="preserve"> in combination with PEG found lit</w:t>
      </w:r>
      <w:r w:rsidR="00FB0E63" w:rsidRPr="00A7194B">
        <w:rPr>
          <w:rFonts w:ascii="Book Antiqua" w:hAnsi="Book Antiqua"/>
          <w:sz w:val="24"/>
          <w:szCs w:val="24"/>
        </w:rPr>
        <w:t xml:space="preserve">tle additional benefit with </w:t>
      </w:r>
      <w:proofErr w:type="gramStart"/>
      <w:r w:rsidRPr="00A7194B">
        <w:rPr>
          <w:rFonts w:ascii="Book Antiqua" w:hAnsi="Book Antiqua"/>
          <w:sz w:val="24"/>
          <w:szCs w:val="24"/>
        </w:rPr>
        <w:t>PEG</w:t>
      </w:r>
      <w:r w:rsidR="00B1527B" w:rsidRPr="00A7194B">
        <w:rPr>
          <w:rFonts w:ascii="Book Antiqua" w:hAnsi="Book Antiqua"/>
          <w:sz w:val="24"/>
          <w:szCs w:val="24"/>
          <w:vertAlign w:val="superscript"/>
        </w:rPr>
        <w:t>[</w:t>
      </w:r>
      <w:proofErr w:type="gramEnd"/>
      <w:r w:rsidR="00B1527B" w:rsidRPr="00A7194B">
        <w:rPr>
          <w:rFonts w:ascii="Book Antiqua" w:hAnsi="Book Antiqua"/>
          <w:sz w:val="24"/>
          <w:szCs w:val="24"/>
          <w:vertAlign w:val="superscript"/>
        </w:rPr>
        <w:t>53</w:t>
      </w:r>
      <w:r w:rsidR="00552B68" w:rsidRPr="00A7194B">
        <w:rPr>
          <w:rFonts w:ascii="Book Antiqua" w:hAnsi="Book Antiqua"/>
          <w:sz w:val="24"/>
          <w:szCs w:val="24"/>
          <w:vertAlign w:val="superscript"/>
        </w:rPr>
        <w:t>]</w:t>
      </w:r>
      <w:r w:rsidRPr="00A7194B">
        <w:rPr>
          <w:rFonts w:ascii="Book Antiqua" w:hAnsi="Book Antiqua"/>
          <w:sz w:val="24"/>
          <w:szCs w:val="24"/>
        </w:rPr>
        <w:t>.</w:t>
      </w:r>
      <w:r w:rsidR="00486EA2" w:rsidRPr="00A7194B">
        <w:rPr>
          <w:rFonts w:ascii="Book Antiqua" w:hAnsi="Book Antiqua"/>
          <w:sz w:val="24"/>
          <w:szCs w:val="24"/>
        </w:rPr>
        <w:t xml:space="preserve"> Only in the right colon was there a significant difference in Ottawa bowel prep scores between the PMC alone and PMC plus 2</w:t>
      </w:r>
      <w:r w:rsidR="001507E3">
        <w:rPr>
          <w:rFonts w:ascii="Book Antiqua" w:hAnsi="Book Antiqua" w:hint="eastAsia"/>
          <w:sz w:val="24"/>
          <w:szCs w:val="24"/>
          <w:lang w:eastAsia="zh-CN"/>
        </w:rPr>
        <w:t xml:space="preserve"> </w:t>
      </w:r>
      <w:r w:rsidR="00486EA2" w:rsidRPr="00A7194B">
        <w:rPr>
          <w:rFonts w:ascii="Book Antiqua" w:hAnsi="Book Antiqua"/>
          <w:sz w:val="24"/>
          <w:szCs w:val="24"/>
        </w:rPr>
        <w:t xml:space="preserve">L PEG groups (1.34 </w:t>
      </w:r>
      <w:r w:rsidR="001507E3" w:rsidRPr="00A03C60">
        <w:rPr>
          <w:rFonts w:ascii="Book Antiqua" w:hAnsi="Book Antiqua" w:cs="Arial"/>
          <w:color w:val="000000"/>
          <w:sz w:val="24"/>
          <w:szCs w:val="24"/>
        </w:rPr>
        <w:t>±</w:t>
      </w:r>
      <w:r w:rsidR="001507E3">
        <w:rPr>
          <w:rFonts w:ascii="Book Antiqua" w:hAnsi="Book Antiqua" w:cs="Arial" w:hint="eastAsia"/>
          <w:color w:val="000000"/>
          <w:sz w:val="24"/>
          <w:szCs w:val="24"/>
          <w:lang w:eastAsia="zh-CN"/>
        </w:rPr>
        <w:t xml:space="preserve"> </w:t>
      </w:r>
      <w:r w:rsidR="00486EA2" w:rsidRPr="00A7194B">
        <w:rPr>
          <w:rFonts w:ascii="Book Antiqua" w:hAnsi="Book Antiqua"/>
          <w:sz w:val="24"/>
          <w:szCs w:val="24"/>
        </w:rPr>
        <w:t xml:space="preserve">1.022 </w:t>
      </w:r>
      <w:r w:rsidR="00486EA2" w:rsidRPr="001507E3">
        <w:rPr>
          <w:rFonts w:ascii="Book Antiqua" w:hAnsi="Book Antiqua"/>
          <w:i/>
          <w:sz w:val="24"/>
          <w:szCs w:val="24"/>
        </w:rPr>
        <w:t>vs</w:t>
      </w:r>
      <w:r w:rsidR="00486EA2" w:rsidRPr="00A7194B">
        <w:rPr>
          <w:rFonts w:ascii="Book Antiqua" w:hAnsi="Book Antiqua"/>
          <w:sz w:val="24"/>
          <w:szCs w:val="24"/>
        </w:rPr>
        <w:t xml:space="preserve"> 1.11</w:t>
      </w:r>
      <w:r w:rsidR="001507E3">
        <w:rPr>
          <w:rFonts w:ascii="Book Antiqua" w:hAnsi="Book Antiqua" w:hint="eastAsia"/>
          <w:sz w:val="24"/>
          <w:szCs w:val="24"/>
          <w:lang w:eastAsia="zh-CN"/>
        </w:rPr>
        <w:t xml:space="preserve"> </w:t>
      </w:r>
      <w:r w:rsidR="001507E3" w:rsidRPr="00A03C60">
        <w:rPr>
          <w:rFonts w:ascii="Book Antiqua" w:hAnsi="Book Antiqua" w:cs="Arial"/>
          <w:color w:val="000000"/>
          <w:sz w:val="24"/>
          <w:szCs w:val="24"/>
        </w:rPr>
        <w:t>±</w:t>
      </w:r>
      <w:r w:rsidR="001507E3">
        <w:rPr>
          <w:rFonts w:ascii="Book Antiqua" w:hAnsi="Book Antiqua" w:cs="Arial" w:hint="eastAsia"/>
          <w:color w:val="000000"/>
          <w:sz w:val="24"/>
          <w:szCs w:val="24"/>
          <w:lang w:eastAsia="zh-CN"/>
        </w:rPr>
        <w:t xml:space="preserve"> </w:t>
      </w:r>
      <w:r w:rsidR="00486EA2" w:rsidRPr="00A7194B">
        <w:rPr>
          <w:rFonts w:ascii="Book Antiqua" w:hAnsi="Book Antiqua"/>
          <w:sz w:val="24"/>
          <w:szCs w:val="24"/>
        </w:rPr>
        <w:t>0.97</w:t>
      </w:r>
      <w:r w:rsidRPr="00A7194B">
        <w:rPr>
          <w:rFonts w:ascii="Book Antiqua" w:hAnsi="Book Antiqua"/>
          <w:sz w:val="24"/>
          <w:szCs w:val="24"/>
        </w:rPr>
        <w:t>)</w:t>
      </w:r>
      <w:r w:rsidR="001507E3">
        <w:rPr>
          <w:rFonts w:ascii="Book Antiqua" w:hAnsi="Book Antiqua" w:hint="eastAsia"/>
          <w:sz w:val="24"/>
          <w:szCs w:val="24"/>
          <w:lang w:eastAsia="zh-CN"/>
        </w:rPr>
        <w:t>.</w:t>
      </w:r>
      <w:r w:rsidR="00486EA2" w:rsidRPr="00A7194B">
        <w:rPr>
          <w:rFonts w:ascii="Book Antiqua" w:hAnsi="Book Antiqua"/>
          <w:sz w:val="24"/>
          <w:szCs w:val="24"/>
        </w:rPr>
        <w:t xml:space="preserve"> As in other studies, the PMC alone regimen was preferred by patients (89% </w:t>
      </w:r>
      <w:r w:rsidR="00486EA2" w:rsidRPr="001507E3">
        <w:rPr>
          <w:rFonts w:ascii="Book Antiqua" w:hAnsi="Book Antiqua"/>
          <w:i/>
          <w:sz w:val="24"/>
          <w:szCs w:val="24"/>
        </w:rPr>
        <w:t>vs</w:t>
      </w:r>
      <w:r w:rsidR="00486EA2" w:rsidRPr="00A7194B">
        <w:rPr>
          <w:rFonts w:ascii="Book Antiqua" w:hAnsi="Book Antiqua"/>
          <w:sz w:val="24"/>
          <w:szCs w:val="24"/>
        </w:rPr>
        <w:t xml:space="preserve"> 72.3%) and had less associated nausea.</w:t>
      </w:r>
    </w:p>
    <w:p w:rsidR="00486EA2" w:rsidRPr="00A7194B" w:rsidRDefault="00486EA2" w:rsidP="001507E3">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There has been only one study dire</w:t>
      </w:r>
      <w:r w:rsidR="00577C5D" w:rsidRPr="00A7194B">
        <w:rPr>
          <w:rFonts w:ascii="Book Antiqua" w:hAnsi="Book Antiqua"/>
          <w:sz w:val="24"/>
          <w:szCs w:val="24"/>
        </w:rPr>
        <w:t xml:space="preserve">ctly comparing PMC with </w:t>
      </w:r>
      <w:proofErr w:type="gramStart"/>
      <w:r w:rsidR="00577C5D" w:rsidRPr="00A7194B">
        <w:rPr>
          <w:rFonts w:ascii="Book Antiqua" w:hAnsi="Book Antiqua"/>
          <w:sz w:val="24"/>
          <w:szCs w:val="24"/>
        </w:rPr>
        <w:t>OSS</w:t>
      </w:r>
      <w:r w:rsidR="00564E5E" w:rsidRPr="00A7194B">
        <w:rPr>
          <w:rFonts w:ascii="Book Antiqua" w:hAnsi="Book Antiqua"/>
          <w:sz w:val="24"/>
          <w:szCs w:val="24"/>
          <w:vertAlign w:val="superscript"/>
        </w:rPr>
        <w:t>[</w:t>
      </w:r>
      <w:proofErr w:type="gramEnd"/>
      <w:r w:rsidR="00564E5E" w:rsidRPr="00A7194B">
        <w:rPr>
          <w:rFonts w:ascii="Book Antiqua" w:hAnsi="Book Antiqua"/>
          <w:sz w:val="24"/>
          <w:szCs w:val="24"/>
          <w:vertAlign w:val="superscript"/>
        </w:rPr>
        <w:t>54</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Rex</w:t>
      </w:r>
      <w:r w:rsidRPr="0010552A">
        <w:rPr>
          <w:rFonts w:ascii="Book Antiqua" w:hAnsi="Book Antiqua"/>
          <w:i/>
          <w:sz w:val="24"/>
          <w:szCs w:val="24"/>
        </w:rPr>
        <w:t xml:space="preserve"> et </w:t>
      </w:r>
      <w:proofErr w:type="gramStart"/>
      <w:r w:rsidRPr="0010552A">
        <w:rPr>
          <w:rFonts w:ascii="Book Antiqua" w:hAnsi="Book Antiqua"/>
          <w:i/>
          <w:sz w:val="24"/>
          <w:szCs w:val="24"/>
        </w:rPr>
        <w:t>al</w:t>
      </w:r>
      <w:r w:rsidR="0010552A" w:rsidRPr="00A7194B">
        <w:rPr>
          <w:rFonts w:ascii="Book Antiqua" w:hAnsi="Book Antiqua"/>
          <w:sz w:val="24"/>
          <w:szCs w:val="24"/>
          <w:vertAlign w:val="superscript"/>
        </w:rPr>
        <w:t>[</w:t>
      </w:r>
      <w:proofErr w:type="gramEnd"/>
      <w:r w:rsidR="0010552A" w:rsidRPr="00A7194B">
        <w:rPr>
          <w:rFonts w:ascii="Book Antiqua" w:hAnsi="Book Antiqua"/>
          <w:sz w:val="24"/>
          <w:szCs w:val="24"/>
          <w:vertAlign w:val="superscript"/>
        </w:rPr>
        <w:t>54]</w:t>
      </w:r>
      <w:r w:rsidRPr="00A7194B">
        <w:rPr>
          <w:rFonts w:ascii="Book Antiqua" w:hAnsi="Book Antiqua"/>
          <w:sz w:val="24"/>
          <w:szCs w:val="24"/>
        </w:rPr>
        <w:t xml:space="preserve"> found a higher rate of successful and excellent preparations with OSS in comparison with PMC (94.7% </w:t>
      </w:r>
      <w:r w:rsidRPr="0010552A">
        <w:rPr>
          <w:rFonts w:ascii="Book Antiqua" w:hAnsi="Book Antiqua"/>
          <w:i/>
          <w:sz w:val="24"/>
          <w:szCs w:val="24"/>
        </w:rPr>
        <w:t>vs</w:t>
      </w:r>
      <w:r w:rsidRPr="00A7194B">
        <w:rPr>
          <w:rFonts w:ascii="Book Antiqua" w:hAnsi="Book Antiqua"/>
          <w:sz w:val="24"/>
          <w:szCs w:val="24"/>
        </w:rPr>
        <w:t xml:space="preserve"> 85.7% and 54% </w:t>
      </w:r>
      <w:r w:rsidRPr="0010552A">
        <w:rPr>
          <w:rFonts w:ascii="Book Antiqua" w:hAnsi="Book Antiqua"/>
          <w:i/>
          <w:sz w:val="24"/>
          <w:szCs w:val="24"/>
        </w:rPr>
        <w:t xml:space="preserve">vs </w:t>
      </w:r>
      <w:r w:rsidRPr="00A7194B">
        <w:rPr>
          <w:rFonts w:ascii="Book Antiqua" w:hAnsi="Book Antiqua"/>
          <w:sz w:val="24"/>
          <w:szCs w:val="24"/>
        </w:rPr>
        <w:t>26%</w:t>
      </w:r>
      <w:r w:rsidR="00577C5D" w:rsidRPr="00A7194B">
        <w:rPr>
          <w:rFonts w:ascii="Book Antiqua" w:hAnsi="Book Antiqua"/>
          <w:sz w:val="24"/>
          <w:szCs w:val="24"/>
        </w:rPr>
        <w:t>)</w:t>
      </w:r>
      <w:r w:rsidR="0010552A">
        <w:rPr>
          <w:rFonts w:ascii="Book Antiqua" w:hAnsi="Book Antiqua" w:hint="eastAsia"/>
          <w:sz w:val="24"/>
          <w:szCs w:val="24"/>
          <w:lang w:eastAsia="zh-CN"/>
        </w:rPr>
        <w:t>.</w:t>
      </w:r>
      <w:r w:rsidRPr="00A7194B">
        <w:rPr>
          <w:rFonts w:ascii="Book Antiqua" w:hAnsi="Book Antiqua"/>
          <w:sz w:val="24"/>
          <w:szCs w:val="24"/>
        </w:rPr>
        <w:t xml:space="preserve"> Unlike the OSS arm, there were 4 patients in the PMC arm who required additional preparation before the procedure could be attempted and 9 patients in whom the cecum was not reached. There was no significant difference in the </w:t>
      </w:r>
      <w:r w:rsidR="003F7A95">
        <w:rPr>
          <w:rFonts w:ascii="Book Antiqua" w:hAnsi="Book Antiqua"/>
          <w:sz w:val="24"/>
          <w:szCs w:val="24"/>
        </w:rPr>
        <w:t>polyp detection rate (</w:t>
      </w:r>
      <w:r w:rsidRPr="00A7194B">
        <w:rPr>
          <w:rFonts w:ascii="Book Antiqua" w:hAnsi="Book Antiqua"/>
          <w:sz w:val="24"/>
          <w:szCs w:val="24"/>
        </w:rPr>
        <w:t>PDR</w:t>
      </w:r>
      <w:r w:rsidR="003F7A95">
        <w:rPr>
          <w:rFonts w:ascii="Book Antiqua" w:hAnsi="Book Antiqua"/>
          <w:sz w:val="24"/>
          <w:szCs w:val="24"/>
        </w:rPr>
        <w:t>)</w:t>
      </w:r>
      <w:r w:rsidRPr="00A7194B">
        <w:rPr>
          <w:rFonts w:ascii="Book Antiqua" w:hAnsi="Book Antiqua"/>
          <w:sz w:val="24"/>
          <w:szCs w:val="24"/>
        </w:rPr>
        <w:t xml:space="preserve"> (50.9% </w:t>
      </w:r>
      <w:proofErr w:type="spellStart"/>
      <w:r w:rsidRPr="0010552A">
        <w:rPr>
          <w:rFonts w:ascii="Book Antiqua" w:hAnsi="Book Antiqua"/>
          <w:i/>
          <w:sz w:val="24"/>
          <w:szCs w:val="24"/>
        </w:rPr>
        <w:t>vs</w:t>
      </w:r>
      <w:proofErr w:type="spellEnd"/>
      <w:r w:rsidRPr="00A7194B">
        <w:rPr>
          <w:rFonts w:ascii="Book Antiqua" w:hAnsi="Book Antiqua"/>
          <w:sz w:val="24"/>
          <w:szCs w:val="24"/>
        </w:rPr>
        <w:t xml:space="preserve"> 42.9%), </w:t>
      </w:r>
      <w:r w:rsidR="003F7A95">
        <w:rPr>
          <w:rFonts w:ascii="Book Antiqua" w:hAnsi="Book Antiqua"/>
          <w:sz w:val="24"/>
          <w:szCs w:val="24"/>
        </w:rPr>
        <w:t xml:space="preserve">adenoma </w:t>
      </w:r>
      <w:r w:rsidR="00235DD4">
        <w:rPr>
          <w:rFonts w:ascii="Book Antiqua" w:hAnsi="Book Antiqua"/>
          <w:sz w:val="24"/>
          <w:szCs w:val="24"/>
        </w:rPr>
        <w:t>detection rate</w:t>
      </w:r>
      <w:r w:rsidR="003F7A95">
        <w:rPr>
          <w:rFonts w:ascii="Book Antiqua" w:hAnsi="Book Antiqua"/>
          <w:sz w:val="24"/>
          <w:szCs w:val="24"/>
        </w:rPr>
        <w:t xml:space="preserve"> (</w:t>
      </w:r>
      <w:r w:rsidRPr="00A7194B">
        <w:rPr>
          <w:rFonts w:ascii="Book Antiqua" w:hAnsi="Book Antiqua"/>
          <w:sz w:val="24"/>
          <w:szCs w:val="24"/>
        </w:rPr>
        <w:t>ADR</w:t>
      </w:r>
      <w:r w:rsidR="003F7A95">
        <w:rPr>
          <w:rFonts w:ascii="Book Antiqua" w:hAnsi="Book Antiqua"/>
          <w:sz w:val="24"/>
          <w:szCs w:val="24"/>
        </w:rPr>
        <w:t>)</w:t>
      </w:r>
      <w:r w:rsidRPr="00A7194B">
        <w:rPr>
          <w:rFonts w:ascii="Book Antiqua" w:hAnsi="Book Antiqua"/>
          <w:sz w:val="24"/>
          <w:szCs w:val="24"/>
        </w:rPr>
        <w:t xml:space="preserve"> (26.0% </w:t>
      </w:r>
      <w:proofErr w:type="spellStart"/>
      <w:r w:rsidRPr="0010552A">
        <w:rPr>
          <w:rFonts w:ascii="Book Antiqua" w:hAnsi="Book Antiqua"/>
          <w:i/>
          <w:sz w:val="24"/>
          <w:szCs w:val="24"/>
        </w:rPr>
        <w:t>vs</w:t>
      </w:r>
      <w:proofErr w:type="spellEnd"/>
      <w:r w:rsidRPr="00A7194B">
        <w:rPr>
          <w:rFonts w:ascii="Book Antiqua" w:hAnsi="Book Antiqua"/>
          <w:sz w:val="24"/>
          <w:szCs w:val="24"/>
        </w:rPr>
        <w:t xml:space="preserve"> 23.8%), or flat lesion detection rate (9.5% </w:t>
      </w:r>
      <w:r w:rsidRPr="0010552A">
        <w:rPr>
          <w:rFonts w:ascii="Book Antiqua" w:hAnsi="Book Antiqua"/>
          <w:i/>
          <w:sz w:val="24"/>
          <w:szCs w:val="24"/>
        </w:rPr>
        <w:t>vs</w:t>
      </w:r>
      <w:r w:rsidRPr="00A7194B">
        <w:rPr>
          <w:rFonts w:ascii="Book Antiqua" w:hAnsi="Book Antiqua"/>
          <w:sz w:val="24"/>
          <w:szCs w:val="24"/>
        </w:rPr>
        <w:t xml:space="preserve"> 4.8%), and no difference in the procedure duration (mean 16.5 min</w:t>
      </w:r>
      <w:r w:rsidRPr="0010552A">
        <w:rPr>
          <w:rFonts w:ascii="Book Antiqua" w:hAnsi="Book Antiqua"/>
          <w:i/>
          <w:sz w:val="24"/>
          <w:szCs w:val="24"/>
        </w:rPr>
        <w:t xml:space="preserve"> vs </w:t>
      </w:r>
      <w:r w:rsidRPr="00A7194B">
        <w:rPr>
          <w:rFonts w:ascii="Book Antiqua" w:hAnsi="Book Antiqua"/>
          <w:sz w:val="24"/>
          <w:szCs w:val="24"/>
        </w:rPr>
        <w:t>16.6</w:t>
      </w:r>
      <w:r w:rsidR="0010552A">
        <w:rPr>
          <w:rFonts w:ascii="Book Antiqua" w:hAnsi="Book Antiqua" w:hint="eastAsia"/>
          <w:sz w:val="24"/>
          <w:szCs w:val="24"/>
          <w:lang w:eastAsia="zh-CN"/>
        </w:rPr>
        <w:t xml:space="preserve"> min</w:t>
      </w:r>
      <w:r w:rsidR="00577C5D" w:rsidRPr="00A7194B">
        <w:rPr>
          <w:rFonts w:ascii="Book Antiqua" w:hAnsi="Book Antiqua"/>
          <w:sz w:val="24"/>
          <w:szCs w:val="24"/>
        </w:rPr>
        <w:t>)</w:t>
      </w:r>
      <w:r w:rsidR="0010552A">
        <w:rPr>
          <w:rFonts w:ascii="Book Antiqua" w:hAnsi="Book Antiqua" w:hint="eastAsia"/>
          <w:sz w:val="24"/>
          <w:szCs w:val="24"/>
          <w:lang w:eastAsia="zh-CN"/>
        </w:rPr>
        <w:t>.</w:t>
      </w:r>
      <w:r w:rsidRPr="00A7194B">
        <w:rPr>
          <w:rFonts w:ascii="Book Antiqua" w:hAnsi="Book Antiqua"/>
          <w:sz w:val="24"/>
          <w:szCs w:val="24"/>
        </w:rPr>
        <w:t xml:space="preserve"> There was no difference in adverse events in the two arms and, though nausea was generally mild in both a</w:t>
      </w:r>
      <w:r w:rsidR="00FB0E63" w:rsidRPr="00A7194B">
        <w:rPr>
          <w:rFonts w:ascii="Book Antiqua" w:hAnsi="Book Antiqua"/>
          <w:sz w:val="24"/>
          <w:szCs w:val="24"/>
        </w:rPr>
        <w:t>rms, subjects taking PMC reported</w:t>
      </w:r>
      <w:r w:rsidRPr="00A7194B">
        <w:rPr>
          <w:rFonts w:ascii="Book Antiqua" w:hAnsi="Book Antiqua"/>
          <w:sz w:val="24"/>
          <w:szCs w:val="24"/>
        </w:rPr>
        <w:t xml:space="preserve"> better scores for nausea</w:t>
      </w:r>
      <w:r w:rsidR="00DF5C5C">
        <w:rPr>
          <w:rFonts w:ascii="Book Antiqua" w:hAnsi="Book Antiqua" w:hint="eastAsia"/>
          <w:sz w:val="24"/>
          <w:szCs w:val="24"/>
          <w:lang w:eastAsia="zh-CN"/>
        </w:rPr>
        <w:t xml:space="preserve"> (</w:t>
      </w:r>
      <w:r w:rsidR="00DF5C5C" w:rsidRPr="00DF5C5C">
        <w:rPr>
          <w:rFonts w:ascii="Book Antiqua" w:hAnsi="Book Antiqua"/>
          <w:sz w:val="24"/>
          <w:szCs w:val="24"/>
        </w:rPr>
        <w:t>Table 2</w:t>
      </w:r>
      <w:r w:rsidR="00DF5C5C">
        <w:rPr>
          <w:rFonts w:ascii="Book Antiqua" w:hAnsi="Book Antiqua" w:hint="eastAsia"/>
          <w:sz w:val="24"/>
          <w:szCs w:val="24"/>
          <w:lang w:eastAsia="zh-CN"/>
        </w:rPr>
        <w:t>)</w:t>
      </w:r>
      <w:r w:rsidRPr="00A7194B">
        <w:rPr>
          <w:rFonts w:ascii="Book Antiqua" w:hAnsi="Book Antiqua"/>
          <w:sz w:val="24"/>
          <w:szCs w:val="24"/>
        </w:rPr>
        <w:t>.</w:t>
      </w:r>
    </w:p>
    <w:p w:rsidR="00F52B2F" w:rsidRPr="00A7194B" w:rsidRDefault="00F52B2F" w:rsidP="00A7194B">
      <w:pPr>
        <w:pStyle w:val="PlainText"/>
        <w:suppressLineNumbers/>
        <w:spacing w:line="360" w:lineRule="auto"/>
        <w:jc w:val="both"/>
        <w:rPr>
          <w:rFonts w:ascii="Book Antiqua" w:hAnsi="Book Antiqua"/>
          <w:sz w:val="24"/>
          <w:szCs w:val="24"/>
          <w:lang w:eastAsia="zh-CN"/>
        </w:rPr>
      </w:pPr>
    </w:p>
    <w:p w:rsidR="00486EA2" w:rsidRPr="0010552A" w:rsidRDefault="0010552A" w:rsidP="00A7194B">
      <w:pPr>
        <w:pStyle w:val="PlainText"/>
        <w:suppressLineNumbers/>
        <w:spacing w:line="360" w:lineRule="auto"/>
        <w:jc w:val="both"/>
        <w:rPr>
          <w:rFonts w:ascii="Book Antiqua" w:hAnsi="Book Antiqua"/>
          <w:b/>
          <w:sz w:val="24"/>
          <w:szCs w:val="24"/>
          <w:lang w:eastAsia="zh-CN"/>
        </w:rPr>
      </w:pPr>
      <w:r w:rsidRPr="0010552A">
        <w:rPr>
          <w:rFonts w:ascii="Book Antiqua" w:hAnsi="Book Antiqua"/>
          <w:b/>
          <w:sz w:val="24"/>
          <w:szCs w:val="24"/>
        </w:rPr>
        <w:t>TIMING OF PREP</w:t>
      </w:r>
    </w:p>
    <w:p w:rsidR="00486EA2" w:rsidRPr="00A7194B" w:rsidRDefault="00486EA2"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Regardless of the preparation used, the quality of preparation has proven hi</w:t>
      </w:r>
      <w:bookmarkStart w:id="4" w:name="_GoBack"/>
      <w:bookmarkEnd w:id="4"/>
      <w:r w:rsidRPr="00A7194B">
        <w:rPr>
          <w:rFonts w:ascii="Book Antiqua" w:hAnsi="Book Antiqua"/>
          <w:sz w:val="24"/>
          <w:szCs w:val="24"/>
        </w:rPr>
        <w:t xml:space="preserve">gher with split dose </w:t>
      </w:r>
      <w:r w:rsidRPr="002A5CDB">
        <w:rPr>
          <w:rFonts w:ascii="Book Antiqua" w:hAnsi="Book Antiqua"/>
          <w:i/>
          <w:sz w:val="24"/>
          <w:szCs w:val="24"/>
        </w:rPr>
        <w:t>vs</w:t>
      </w:r>
      <w:r w:rsidRPr="00A7194B">
        <w:rPr>
          <w:rFonts w:ascii="Book Antiqua" w:hAnsi="Book Antiqua"/>
          <w:sz w:val="24"/>
          <w:szCs w:val="24"/>
        </w:rPr>
        <w:t xml:space="preserve"> day before administration. This has been demonstrated most clearly with </w:t>
      </w:r>
      <w:r w:rsidRPr="00A7194B">
        <w:rPr>
          <w:rFonts w:ascii="Book Antiqua" w:hAnsi="Book Antiqua"/>
          <w:sz w:val="24"/>
          <w:szCs w:val="24"/>
        </w:rPr>
        <w:lastRenderedPageBreak/>
        <w:t>PEG based preparations. A 2005 study compared 4</w:t>
      </w:r>
      <w:r w:rsidR="002A5CDB">
        <w:rPr>
          <w:rFonts w:ascii="Book Antiqua" w:hAnsi="Book Antiqua" w:hint="eastAsia"/>
          <w:sz w:val="24"/>
          <w:szCs w:val="24"/>
          <w:lang w:eastAsia="zh-CN"/>
        </w:rPr>
        <w:t xml:space="preserve"> </w:t>
      </w:r>
      <w:r w:rsidRPr="00A7194B">
        <w:rPr>
          <w:rFonts w:ascii="Book Antiqua" w:hAnsi="Book Antiqua"/>
          <w:sz w:val="24"/>
          <w:szCs w:val="24"/>
        </w:rPr>
        <w:t>L PEG preparations given as a single dose with dietary restrictions on the evening before the procedure or as a split dose without dietary restrictions and found that, even without dietary restrictions, the split dose preparation produ</w:t>
      </w:r>
      <w:r w:rsidR="00577C5D" w:rsidRPr="00A7194B">
        <w:rPr>
          <w:rFonts w:ascii="Book Antiqua" w:hAnsi="Book Antiqua"/>
          <w:sz w:val="24"/>
          <w:szCs w:val="24"/>
        </w:rPr>
        <w:t xml:space="preserve">ced significantly better </w:t>
      </w:r>
      <w:proofErr w:type="gramStart"/>
      <w:r w:rsidR="00577C5D" w:rsidRPr="00A7194B">
        <w:rPr>
          <w:rFonts w:ascii="Book Antiqua" w:hAnsi="Book Antiqua"/>
          <w:sz w:val="24"/>
          <w:szCs w:val="24"/>
        </w:rPr>
        <w:t>preps</w:t>
      </w:r>
      <w:r w:rsidR="00564E5E" w:rsidRPr="00A7194B">
        <w:rPr>
          <w:rFonts w:ascii="Book Antiqua" w:hAnsi="Book Antiqua"/>
          <w:sz w:val="24"/>
          <w:szCs w:val="24"/>
          <w:vertAlign w:val="superscript"/>
        </w:rPr>
        <w:t>[</w:t>
      </w:r>
      <w:proofErr w:type="gramEnd"/>
      <w:r w:rsidR="00564E5E" w:rsidRPr="00A7194B">
        <w:rPr>
          <w:rFonts w:ascii="Book Antiqua" w:hAnsi="Book Antiqua"/>
          <w:sz w:val="24"/>
          <w:szCs w:val="24"/>
          <w:vertAlign w:val="superscript"/>
        </w:rPr>
        <w:t>55</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00FB0E63" w:rsidRPr="00A7194B">
        <w:rPr>
          <w:rFonts w:ascii="Book Antiqua" w:hAnsi="Book Antiqua"/>
          <w:sz w:val="24"/>
          <w:szCs w:val="24"/>
        </w:rPr>
        <w:t xml:space="preserve"> A</w:t>
      </w:r>
      <w:r w:rsidRPr="00A7194B">
        <w:rPr>
          <w:rFonts w:ascii="Book Antiqua" w:hAnsi="Book Antiqua"/>
          <w:sz w:val="24"/>
          <w:szCs w:val="24"/>
        </w:rPr>
        <w:t xml:space="preserve"> randomized control trial of </w:t>
      </w:r>
      <w:r w:rsidR="004C5AC3" w:rsidRPr="00A7194B">
        <w:rPr>
          <w:rFonts w:ascii="Book Antiqua" w:hAnsi="Book Antiqua"/>
          <w:sz w:val="24"/>
          <w:szCs w:val="24"/>
        </w:rPr>
        <w:t>evening before</w:t>
      </w:r>
      <w:r w:rsidRPr="00A7194B">
        <w:rPr>
          <w:rFonts w:ascii="Book Antiqua" w:hAnsi="Book Antiqua"/>
          <w:sz w:val="24"/>
          <w:szCs w:val="24"/>
        </w:rPr>
        <w:t xml:space="preserve"> vs split dose PEG preparations that included both high and low volume preparations found that, regardless of the volume of preparation, split dose administration produced significantly more successful preps (75.2% </w:t>
      </w:r>
      <w:r w:rsidRPr="002A5CDB">
        <w:rPr>
          <w:rFonts w:ascii="Book Antiqua" w:hAnsi="Book Antiqua"/>
          <w:i/>
          <w:sz w:val="24"/>
          <w:szCs w:val="24"/>
        </w:rPr>
        <w:t xml:space="preserve">vs </w:t>
      </w:r>
      <w:r w:rsidRPr="00A7194B">
        <w:rPr>
          <w:rFonts w:ascii="Book Antiqua" w:hAnsi="Book Antiqua"/>
          <w:sz w:val="24"/>
          <w:szCs w:val="24"/>
        </w:rPr>
        <w:t>43.0%) and a lower rate of aborted procedur</w:t>
      </w:r>
      <w:r w:rsidR="00130411" w:rsidRPr="00A7194B">
        <w:rPr>
          <w:rFonts w:ascii="Book Antiqua" w:hAnsi="Book Antiqua"/>
          <w:sz w:val="24"/>
          <w:szCs w:val="24"/>
        </w:rPr>
        <w:t>es (6.9%</w:t>
      </w:r>
      <w:r w:rsidR="00130411" w:rsidRPr="002A5CDB">
        <w:rPr>
          <w:rFonts w:ascii="Book Antiqua" w:hAnsi="Book Antiqua"/>
          <w:i/>
          <w:sz w:val="24"/>
          <w:szCs w:val="24"/>
        </w:rPr>
        <w:t xml:space="preserve"> vs</w:t>
      </w:r>
      <w:r w:rsidR="00130411" w:rsidRPr="00A7194B">
        <w:rPr>
          <w:rFonts w:ascii="Book Antiqua" w:hAnsi="Book Antiqua"/>
          <w:sz w:val="24"/>
          <w:szCs w:val="24"/>
        </w:rPr>
        <w:t xml:space="preserve"> 21.2%</w:t>
      </w:r>
      <w:r w:rsidR="00577C5D" w:rsidRPr="00A7194B">
        <w:rPr>
          <w:rFonts w:ascii="Book Antiqua" w:hAnsi="Book Antiqua"/>
          <w:sz w:val="24"/>
          <w:szCs w:val="24"/>
        </w:rPr>
        <w:t>)</w:t>
      </w:r>
      <w:r w:rsidR="00130411" w:rsidRPr="00A7194B">
        <w:rPr>
          <w:rFonts w:ascii="Book Antiqua" w:hAnsi="Book Antiqua"/>
          <w:sz w:val="24"/>
          <w:szCs w:val="24"/>
          <w:vertAlign w:val="superscript"/>
        </w:rPr>
        <w:t>[5</w:t>
      </w:r>
      <w:r w:rsidR="00564E5E" w:rsidRPr="00A7194B">
        <w:rPr>
          <w:rFonts w:ascii="Book Antiqua" w:hAnsi="Book Antiqua"/>
          <w:sz w:val="24"/>
          <w:szCs w:val="24"/>
          <w:vertAlign w:val="superscript"/>
        </w:rPr>
        <w:t>6</w:t>
      </w:r>
      <w:r w:rsidRPr="00A7194B">
        <w:rPr>
          <w:rFonts w:ascii="Book Antiqua" w:hAnsi="Book Antiqua"/>
          <w:sz w:val="24"/>
          <w:szCs w:val="24"/>
          <w:vertAlign w:val="superscript"/>
        </w:rPr>
        <w:t>]</w:t>
      </w:r>
      <w:r w:rsidR="00552B68" w:rsidRPr="00A7194B">
        <w:rPr>
          <w:rFonts w:ascii="Book Antiqua" w:hAnsi="Book Antiqua"/>
          <w:sz w:val="24"/>
          <w:szCs w:val="24"/>
        </w:rPr>
        <w:t>.</w:t>
      </w:r>
      <w:r w:rsidRPr="00A7194B">
        <w:rPr>
          <w:rFonts w:ascii="Book Antiqua" w:hAnsi="Book Antiqua"/>
          <w:sz w:val="24"/>
          <w:szCs w:val="24"/>
        </w:rPr>
        <w:t xml:space="preserve"> A pre-post study by the Veteran's Health Administration assess</w:t>
      </w:r>
      <w:r w:rsidR="00FB0E63" w:rsidRPr="00A7194B">
        <w:rPr>
          <w:rFonts w:ascii="Book Antiqua" w:hAnsi="Book Antiqua"/>
          <w:sz w:val="24"/>
          <w:szCs w:val="24"/>
        </w:rPr>
        <w:t>ed</w:t>
      </w:r>
      <w:r w:rsidRPr="00A7194B">
        <w:rPr>
          <w:rFonts w:ascii="Book Antiqua" w:hAnsi="Book Antiqua"/>
          <w:sz w:val="24"/>
          <w:szCs w:val="24"/>
        </w:rPr>
        <w:t xml:space="preserve"> efficacy and acceptance of split dose bowel preps in an elderly populations with multiple co-morbidities and found that the split dose preparations were better tolerated by patients</w:t>
      </w:r>
      <w:r w:rsidR="00577C5D" w:rsidRPr="00A7194B">
        <w:rPr>
          <w:rFonts w:ascii="Book Antiqua" w:hAnsi="Book Antiqua"/>
          <w:sz w:val="24"/>
          <w:szCs w:val="24"/>
        </w:rPr>
        <w:t xml:space="preserve"> and produced superior results</w:t>
      </w:r>
      <w:r w:rsidR="00564E5E" w:rsidRPr="00A7194B">
        <w:rPr>
          <w:rFonts w:ascii="Book Antiqua" w:hAnsi="Book Antiqua"/>
          <w:sz w:val="24"/>
          <w:szCs w:val="24"/>
          <w:vertAlign w:val="superscript"/>
        </w:rPr>
        <w:t>[57</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Both right and left colon preparations were improved with split dose administration (excellent/good preps achieved in 81.4% </w:t>
      </w:r>
      <w:r w:rsidRPr="002A5CDB">
        <w:rPr>
          <w:rFonts w:ascii="Book Antiqua" w:hAnsi="Book Antiqua"/>
          <w:i/>
          <w:sz w:val="24"/>
          <w:szCs w:val="24"/>
        </w:rPr>
        <w:t>vs</w:t>
      </w:r>
      <w:r w:rsidRPr="00A7194B">
        <w:rPr>
          <w:rFonts w:ascii="Book Antiqua" w:hAnsi="Book Antiqua"/>
          <w:sz w:val="24"/>
          <w:szCs w:val="24"/>
        </w:rPr>
        <w:t xml:space="preserve"> 63% and 85.9% </w:t>
      </w:r>
      <w:r w:rsidRPr="002A5CDB">
        <w:rPr>
          <w:rFonts w:ascii="Book Antiqua" w:hAnsi="Book Antiqua"/>
          <w:i/>
          <w:sz w:val="24"/>
          <w:szCs w:val="24"/>
        </w:rPr>
        <w:t>vs</w:t>
      </w:r>
      <w:r w:rsidRPr="00A7194B">
        <w:rPr>
          <w:rFonts w:ascii="Book Antiqua" w:hAnsi="Book Antiqua"/>
          <w:sz w:val="24"/>
          <w:szCs w:val="24"/>
        </w:rPr>
        <w:t xml:space="preserve"> 71.6% respectively</w:t>
      </w:r>
      <w:r w:rsidR="00577C5D" w:rsidRPr="00A7194B">
        <w:rPr>
          <w:rFonts w:ascii="Book Antiqua" w:hAnsi="Book Antiqua"/>
          <w:sz w:val="24"/>
          <w:szCs w:val="24"/>
        </w:rPr>
        <w:t>)</w:t>
      </w:r>
      <w:r w:rsidRPr="00A7194B">
        <w:rPr>
          <w:rFonts w:ascii="Book Antiqua" w:hAnsi="Book Antiqua"/>
          <w:sz w:val="24"/>
          <w:szCs w:val="24"/>
          <w:vertAlign w:val="superscript"/>
        </w:rPr>
        <w:t>[</w:t>
      </w:r>
      <w:r w:rsidR="00564E5E" w:rsidRPr="00A7194B">
        <w:rPr>
          <w:rFonts w:ascii="Book Antiqua" w:hAnsi="Book Antiqua"/>
          <w:sz w:val="24"/>
          <w:szCs w:val="24"/>
          <w:vertAlign w:val="superscript"/>
        </w:rPr>
        <w:t>57</w:t>
      </w:r>
      <w:r w:rsidRPr="00A7194B">
        <w:rPr>
          <w:rFonts w:ascii="Book Antiqua" w:hAnsi="Book Antiqua"/>
          <w:sz w:val="24"/>
          <w:szCs w:val="24"/>
          <w:vertAlign w:val="superscript"/>
        </w:rPr>
        <w:t>]</w:t>
      </w:r>
      <w:r w:rsidR="00552B68" w:rsidRPr="00A7194B">
        <w:rPr>
          <w:rFonts w:ascii="Book Antiqua" w:hAnsi="Book Antiqua"/>
          <w:sz w:val="24"/>
          <w:szCs w:val="24"/>
        </w:rPr>
        <w:t>.</w:t>
      </w:r>
      <w:r w:rsidRPr="00A7194B">
        <w:rPr>
          <w:rFonts w:ascii="Book Antiqua" w:hAnsi="Book Antiqua"/>
          <w:sz w:val="24"/>
          <w:szCs w:val="24"/>
        </w:rPr>
        <w:t xml:space="preserve"> </w:t>
      </w:r>
    </w:p>
    <w:p w:rsidR="00486EA2" w:rsidRPr="00A7194B" w:rsidRDefault="00486EA2" w:rsidP="002A5CDB">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These results wer</w:t>
      </w:r>
      <w:r w:rsidR="00577C5D" w:rsidRPr="00A7194B">
        <w:rPr>
          <w:rFonts w:ascii="Book Antiqua" w:hAnsi="Book Antiqua"/>
          <w:sz w:val="24"/>
          <w:szCs w:val="24"/>
        </w:rPr>
        <w:t>e validated in 2 meta-</w:t>
      </w:r>
      <w:proofErr w:type="gramStart"/>
      <w:r w:rsidR="00577C5D" w:rsidRPr="00A7194B">
        <w:rPr>
          <w:rFonts w:ascii="Book Antiqua" w:hAnsi="Book Antiqua"/>
          <w:sz w:val="24"/>
          <w:szCs w:val="24"/>
        </w:rPr>
        <w:t>analyses</w:t>
      </w:r>
      <w:r w:rsidR="00564E5E" w:rsidRPr="00A7194B">
        <w:rPr>
          <w:rFonts w:ascii="Book Antiqua" w:hAnsi="Book Antiqua"/>
          <w:sz w:val="24"/>
          <w:szCs w:val="24"/>
          <w:vertAlign w:val="superscript"/>
        </w:rPr>
        <w:t>[</w:t>
      </w:r>
      <w:proofErr w:type="gramEnd"/>
      <w:r w:rsidR="00564E5E" w:rsidRPr="00A7194B">
        <w:rPr>
          <w:rFonts w:ascii="Book Antiqua" w:hAnsi="Book Antiqua"/>
          <w:sz w:val="24"/>
          <w:szCs w:val="24"/>
          <w:vertAlign w:val="superscript"/>
        </w:rPr>
        <w:t>58</w:t>
      </w:r>
      <w:r w:rsidR="002A5CDB">
        <w:rPr>
          <w:rFonts w:ascii="Book Antiqua" w:hAnsi="Book Antiqua"/>
          <w:sz w:val="24"/>
          <w:szCs w:val="24"/>
          <w:vertAlign w:val="superscript"/>
        </w:rPr>
        <w:t>,</w:t>
      </w:r>
      <w:r w:rsidR="00552B68" w:rsidRPr="00A7194B">
        <w:rPr>
          <w:rFonts w:ascii="Book Antiqua" w:hAnsi="Book Antiqua"/>
          <w:sz w:val="24"/>
          <w:szCs w:val="24"/>
          <w:vertAlign w:val="superscript"/>
        </w:rPr>
        <w:t>5</w:t>
      </w:r>
      <w:r w:rsidR="00564E5E" w:rsidRPr="00A7194B">
        <w:rPr>
          <w:rFonts w:ascii="Book Antiqua" w:hAnsi="Book Antiqua"/>
          <w:sz w:val="24"/>
          <w:szCs w:val="24"/>
          <w:vertAlign w:val="superscript"/>
        </w:rPr>
        <w:t>9</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r w:rsidRPr="00A7194B">
        <w:rPr>
          <w:rFonts w:ascii="Book Antiqua" w:hAnsi="Book Antiqua"/>
          <w:sz w:val="24"/>
          <w:szCs w:val="24"/>
        </w:rPr>
        <w:t xml:space="preserve"> Kilgore </w:t>
      </w:r>
      <w:r w:rsidRPr="002A5CDB">
        <w:rPr>
          <w:rFonts w:ascii="Book Antiqua" w:hAnsi="Book Antiqua"/>
          <w:i/>
          <w:sz w:val="24"/>
          <w:szCs w:val="24"/>
        </w:rPr>
        <w:t xml:space="preserve">et </w:t>
      </w:r>
      <w:proofErr w:type="gramStart"/>
      <w:r w:rsidRPr="002A5CDB">
        <w:rPr>
          <w:rFonts w:ascii="Book Antiqua" w:hAnsi="Book Antiqua"/>
          <w:i/>
          <w:sz w:val="24"/>
          <w:szCs w:val="24"/>
        </w:rPr>
        <w:t>al</w:t>
      </w:r>
      <w:r w:rsidR="002A5CDB" w:rsidRPr="00A7194B">
        <w:rPr>
          <w:rFonts w:ascii="Book Antiqua" w:hAnsi="Book Antiqua"/>
          <w:sz w:val="24"/>
          <w:szCs w:val="24"/>
          <w:vertAlign w:val="superscript"/>
        </w:rPr>
        <w:t>[</w:t>
      </w:r>
      <w:proofErr w:type="gramEnd"/>
      <w:r w:rsidR="002A5CDB" w:rsidRPr="00A7194B">
        <w:rPr>
          <w:rFonts w:ascii="Book Antiqua" w:hAnsi="Book Antiqua"/>
          <w:sz w:val="24"/>
          <w:szCs w:val="24"/>
          <w:vertAlign w:val="superscript"/>
        </w:rPr>
        <w:t>58]</w:t>
      </w:r>
      <w:r w:rsidRPr="00A7194B">
        <w:rPr>
          <w:rFonts w:ascii="Book Antiqua" w:hAnsi="Book Antiqua"/>
          <w:sz w:val="24"/>
          <w:szCs w:val="24"/>
        </w:rPr>
        <w:t xml:space="preserve"> included 5 trials in an analysis which found split dose PEG produced an </w:t>
      </w:r>
      <w:r w:rsidR="00986E75">
        <w:rPr>
          <w:rFonts w:ascii="Book Antiqua" w:hAnsi="Book Antiqua" w:hint="eastAsia"/>
          <w:sz w:val="24"/>
          <w:szCs w:val="24"/>
          <w:lang w:eastAsia="zh-CN"/>
        </w:rPr>
        <w:t>OR</w:t>
      </w:r>
      <w:r w:rsidRPr="00A7194B">
        <w:rPr>
          <w:rFonts w:ascii="Book Antiqua" w:hAnsi="Book Antiqua"/>
          <w:sz w:val="24"/>
          <w:szCs w:val="24"/>
        </w:rPr>
        <w:t xml:space="preserve"> of 3.7 of a satisfactory bowel preparation as well as improved patient tolerability. Martel </w:t>
      </w:r>
      <w:r w:rsidRPr="002A5CDB">
        <w:rPr>
          <w:rFonts w:ascii="Book Antiqua" w:hAnsi="Book Antiqua"/>
          <w:i/>
          <w:sz w:val="24"/>
          <w:szCs w:val="24"/>
        </w:rPr>
        <w:t xml:space="preserve">et </w:t>
      </w:r>
      <w:proofErr w:type="gramStart"/>
      <w:r w:rsidRPr="002A5CDB">
        <w:rPr>
          <w:rFonts w:ascii="Book Antiqua" w:hAnsi="Book Antiqua"/>
          <w:i/>
          <w:sz w:val="24"/>
          <w:szCs w:val="24"/>
        </w:rPr>
        <w:t>al</w:t>
      </w:r>
      <w:r w:rsidR="002A5CDB" w:rsidRPr="00A7194B">
        <w:rPr>
          <w:rFonts w:ascii="Book Antiqua" w:hAnsi="Book Antiqua"/>
          <w:sz w:val="24"/>
          <w:szCs w:val="24"/>
          <w:vertAlign w:val="superscript"/>
        </w:rPr>
        <w:t>[</w:t>
      </w:r>
      <w:proofErr w:type="gramEnd"/>
      <w:r w:rsidR="002A5CDB" w:rsidRPr="00A7194B">
        <w:rPr>
          <w:rFonts w:ascii="Book Antiqua" w:hAnsi="Book Antiqua"/>
          <w:sz w:val="24"/>
          <w:szCs w:val="24"/>
          <w:vertAlign w:val="superscript"/>
        </w:rPr>
        <w:t>59]</w:t>
      </w:r>
      <w:r w:rsidRPr="00A7194B">
        <w:rPr>
          <w:rFonts w:ascii="Book Antiqua" w:hAnsi="Book Antiqua"/>
          <w:sz w:val="24"/>
          <w:szCs w:val="24"/>
        </w:rPr>
        <w:t xml:space="preserve"> obtained similar resu</w:t>
      </w:r>
      <w:r w:rsidR="00577C5D" w:rsidRPr="00A7194B">
        <w:rPr>
          <w:rFonts w:ascii="Book Antiqua" w:hAnsi="Book Antiqua"/>
          <w:sz w:val="24"/>
          <w:szCs w:val="24"/>
        </w:rPr>
        <w:t>lts in an analysis of 47 trials.</w:t>
      </w:r>
      <w:r w:rsidRPr="00A7194B">
        <w:rPr>
          <w:rFonts w:ascii="Book Antiqua" w:hAnsi="Book Antiqua"/>
          <w:sz w:val="24"/>
          <w:szCs w:val="24"/>
        </w:rPr>
        <w:t xml:space="preserve"> In this study which included split dose preparations of PEG, </w:t>
      </w:r>
      <w:proofErr w:type="spellStart"/>
      <w:r w:rsidRPr="00A7194B">
        <w:rPr>
          <w:rFonts w:ascii="Book Antiqua" w:hAnsi="Book Antiqua"/>
          <w:sz w:val="24"/>
          <w:szCs w:val="24"/>
        </w:rPr>
        <w:t>NaP</w:t>
      </w:r>
      <w:proofErr w:type="spellEnd"/>
      <w:r w:rsidRPr="00A7194B">
        <w:rPr>
          <w:rFonts w:ascii="Book Antiqua" w:hAnsi="Book Antiqua"/>
          <w:sz w:val="24"/>
          <w:szCs w:val="24"/>
        </w:rPr>
        <w:t xml:space="preserve">, and PMC, the </w:t>
      </w:r>
      <w:r w:rsidR="00986E75">
        <w:rPr>
          <w:rFonts w:ascii="Book Antiqua" w:hAnsi="Book Antiqua" w:hint="eastAsia"/>
          <w:sz w:val="24"/>
          <w:szCs w:val="24"/>
          <w:lang w:eastAsia="zh-CN"/>
        </w:rPr>
        <w:t>OR</w:t>
      </w:r>
      <w:r w:rsidRPr="00A7194B">
        <w:rPr>
          <w:rFonts w:ascii="Book Antiqua" w:hAnsi="Book Antiqua"/>
          <w:sz w:val="24"/>
          <w:szCs w:val="24"/>
        </w:rPr>
        <w:t xml:space="preserve"> of a successful prep with split vs </w:t>
      </w:r>
      <w:r w:rsidR="004C5AC3" w:rsidRPr="00A7194B">
        <w:rPr>
          <w:rFonts w:ascii="Book Antiqua" w:hAnsi="Book Antiqua"/>
          <w:sz w:val="24"/>
          <w:szCs w:val="24"/>
        </w:rPr>
        <w:t>evening before</w:t>
      </w:r>
      <w:r w:rsidR="00577C5D" w:rsidRPr="00A7194B">
        <w:rPr>
          <w:rFonts w:ascii="Book Antiqua" w:hAnsi="Book Antiqua"/>
          <w:sz w:val="24"/>
          <w:szCs w:val="24"/>
        </w:rPr>
        <w:t xml:space="preserve"> preparation was 2.51.</w:t>
      </w:r>
      <w:r w:rsidRPr="00A7194B">
        <w:rPr>
          <w:rFonts w:ascii="Book Antiqua" w:hAnsi="Book Antiqua"/>
          <w:sz w:val="24"/>
          <w:szCs w:val="24"/>
        </w:rPr>
        <w:t xml:space="preserve"> Subjects reported greater willingness to repe</w:t>
      </w:r>
      <w:r w:rsidR="00577C5D" w:rsidRPr="00A7194B">
        <w:rPr>
          <w:rFonts w:ascii="Book Antiqua" w:hAnsi="Book Antiqua"/>
          <w:sz w:val="24"/>
          <w:szCs w:val="24"/>
        </w:rPr>
        <w:t>at the split dose preparation.</w:t>
      </w:r>
    </w:p>
    <w:p w:rsidR="00486EA2" w:rsidRPr="00A7194B" w:rsidRDefault="00486EA2" w:rsidP="002A5CDB">
      <w:pPr>
        <w:pStyle w:val="PlainText"/>
        <w:suppressLineNumbers/>
        <w:spacing w:line="360" w:lineRule="auto"/>
        <w:ind w:firstLineChars="100" w:firstLine="240"/>
        <w:jc w:val="both"/>
        <w:rPr>
          <w:rFonts w:ascii="Book Antiqua" w:hAnsi="Book Antiqua"/>
          <w:sz w:val="24"/>
          <w:szCs w:val="24"/>
        </w:rPr>
      </w:pPr>
      <w:r w:rsidRPr="00A7194B">
        <w:rPr>
          <w:rFonts w:ascii="Book Antiqua" w:hAnsi="Book Antiqua"/>
          <w:sz w:val="24"/>
          <w:szCs w:val="24"/>
        </w:rPr>
        <w:t xml:space="preserve">Concerns have been raised about the risk of </w:t>
      </w:r>
      <w:proofErr w:type="spellStart"/>
      <w:r w:rsidRPr="00A7194B">
        <w:rPr>
          <w:rFonts w:ascii="Book Antiqua" w:hAnsi="Book Antiqua"/>
          <w:sz w:val="24"/>
          <w:szCs w:val="24"/>
        </w:rPr>
        <w:t>peri</w:t>
      </w:r>
      <w:proofErr w:type="spellEnd"/>
      <w:r w:rsidRPr="00A7194B">
        <w:rPr>
          <w:rFonts w:ascii="Book Antiqua" w:hAnsi="Book Antiqua"/>
          <w:sz w:val="24"/>
          <w:szCs w:val="24"/>
        </w:rPr>
        <w:t xml:space="preserve">-procedural aspiration with split dose regimens. In 2010, Huffman </w:t>
      </w:r>
      <w:r w:rsidRPr="00A01200">
        <w:rPr>
          <w:rFonts w:ascii="Book Antiqua" w:hAnsi="Book Antiqua"/>
          <w:i/>
          <w:sz w:val="24"/>
          <w:szCs w:val="24"/>
        </w:rPr>
        <w:t xml:space="preserve">et </w:t>
      </w:r>
      <w:proofErr w:type="gramStart"/>
      <w:r w:rsidRPr="00A01200">
        <w:rPr>
          <w:rFonts w:ascii="Book Antiqua" w:hAnsi="Book Antiqua"/>
          <w:i/>
          <w:sz w:val="24"/>
          <w:szCs w:val="24"/>
        </w:rPr>
        <w:t>al</w:t>
      </w:r>
      <w:r w:rsidR="00A01200" w:rsidRPr="00A7194B">
        <w:rPr>
          <w:rFonts w:ascii="Book Antiqua" w:hAnsi="Book Antiqua"/>
          <w:sz w:val="24"/>
          <w:szCs w:val="24"/>
          <w:vertAlign w:val="superscript"/>
        </w:rPr>
        <w:t>[</w:t>
      </w:r>
      <w:proofErr w:type="gramEnd"/>
      <w:r w:rsidR="00A01200" w:rsidRPr="00A7194B">
        <w:rPr>
          <w:rFonts w:ascii="Book Antiqua" w:hAnsi="Book Antiqua"/>
          <w:sz w:val="24"/>
          <w:szCs w:val="24"/>
          <w:vertAlign w:val="superscript"/>
        </w:rPr>
        <w:t>60]</w:t>
      </w:r>
      <w:r w:rsidRPr="00A7194B">
        <w:rPr>
          <w:rFonts w:ascii="Book Antiqua" w:hAnsi="Book Antiqua"/>
          <w:sz w:val="24"/>
          <w:szCs w:val="24"/>
        </w:rPr>
        <w:t xml:space="preserve"> examined 712 patients with EGD of which 254 had received split dose bowel pr</w:t>
      </w:r>
      <w:r w:rsidR="00577C5D" w:rsidRPr="00A7194B">
        <w:rPr>
          <w:rFonts w:ascii="Book Antiqua" w:hAnsi="Book Antiqua"/>
          <w:sz w:val="24"/>
          <w:szCs w:val="24"/>
        </w:rPr>
        <w:t>eps for concurrent colonoscopy.</w:t>
      </w:r>
      <w:r w:rsidRPr="00A7194B">
        <w:rPr>
          <w:rFonts w:ascii="Book Antiqua" w:hAnsi="Book Antiqua"/>
          <w:sz w:val="24"/>
          <w:szCs w:val="24"/>
        </w:rPr>
        <w:t xml:space="preserve"> While the residual gastric volume was higher in patients who received the split dose preparation as compared with patients scheduled for EGD only (19.7</w:t>
      </w:r>
      <w:r w:rsidR="002A5CDB">
        <w:rPr>
          <w:rFonts w:ascii="Book Antiqua" w:hAnsi="Book Antiqua" w:hint="eastAsia"/>
          <w:sz w:val="24"/>
          <w:szCs w:val="24"/>
          <w:lang w:eastAsia="zh-CN"/>
        </w:rPr>
        <w:t xml:space="preserve"> </w:t>
      </w:r>
      <w:r w:rsidRPr="00A7194B">
        <w:rPr>
          <w:rFonts w:ascii="Book Antiqua" w:hAnsi="Book Antiqua"/>
          <w:sz w:val="24"/>
          <w:szCs w:val="24"/>
        </w:rPr>
        <w:t xml:space="preserve">mL </w:t>
      </w:r>
      <w:r w:rsidRPr="002A5CDB">
        <w:rPr>
          <w:rFonts w:ascii="Book Antiqua" w:hAnsi="Book Antiqua"/>
          <w:i/>
          <w:sz w:val="24"/>
          <w:szCs w:val="24"/>
        </w:rPr>
        <w:t>vs</w:t>
      </w:r>
      <w:r w:rsidRPr="00A7194B">
        <w:rPr>
          <w:rFonts w:ascii="Book Antiqua" w:hAnsi="Book Antiqua"/>
          <w:sz w:val="24"/>
          <w:szCs w:val="24"/>
        </w:rPr>
        <w:t xml:space="preserve"> 14.6</w:t>
      </w:r>
      <w:r w:rsidR="002A5CDB">
        <w:rPr>
          <w:rFonts w:ascii="Book Antiqua" w:hAnsi="Book Antiqua" w:hint="eastAsia"/>
          <w:sz w:val="24"/>
          <w:szCs w:val="24"/>
          <w:lang w:eastAsia="zh-CN"/>
        </w:rPr>
        <w:t xml:space="preserve"> </w:t>
      </w:r>
      <w:r w:rsidRPr="00A7194B">
        <w:rPr>
          <w:rFonts w:ascii="Book Antiqua" w:hAnsi="Book Antiqua"/>
          <w:sz w:val="24"/>
          <w:szCs w:val="24"/>
        </w:rPr>
        <w:t>mL), there was no difference between when compared with patients who received day before preparation (20.2</w:t>
      </w:r>
      <w:r w:rsidR="002A5CDB">
        <w:rPr>
          <w:rFonts w:ascii="Book Antiqua" w:hAnsi="Book Antiqua" w:hint="eastAsia"/>
          <w:sz w:val="24"/>
          <w:szCs w:val="24"/>
          <w:lang w:eastAsia="zh-CN"/>
        </w:rPr>
        <w:t xml:space="preserve"> </w:t>
      </w:r>
      <w:r w:rsidRPr="00A7194B">
        <w:rPr>
          <w:rFonts w:ascii="Book Antiqua" w:hAnsi="Book Antiqua"/>
          <w:sz w:val="24"/>
          <w:szCs w:val="24"/>
        </w:rPr>
        <w:t>mL) and the 5</w:t>
      </w:r>
      <w:r w:rsidR="002A5CDB">
        <w:rPr>
          <w:rFonts w:ascii="Book Antiqua" w:hAnsi="Book Antiqua" w:hint="eastAsia"/>
          <w:sz w:val="24"/>
          <w:szCs w:val="24"/>
          <w:lang w:eastAsia="zh-CN"/>
        </w:rPr>
        <w:t xml:space="preserve"> </w:t>
      </w:r>
      <w:r w:rsidRPr="00A7194B">
        <w:rPr>
          <w:rFonts w:ascii="Book Antiqua" w:hAnsi="Book Antiqua"/>
          <w:sz w:val="24"/>
          <w:szCs w:val="24"/>
        </w:rPr>
        <w:t>m</w:t>
      </w:r>
      <w:r w:rsidR="002A5CDB" w:rsidRPr="00A7194B">
        <w:rPr>
          <w:rFonts w:ascii="Book Antiqua" w:hAnsi="Book Antiqua"/>
          <w:sz w:val="24"/>
          <w:szCs w:val="24"/>
        </w:rPr>
        <w:t>L</w:t>
      </w:r>
      <w:r w:rsidRPr="00A7194B">
        <w:rPr>
          <w:rFonts w:ascii="Book Antiqua" w:hAnsi="Book Antiqua"/>
          <w:sz w:val="24"/>
          <w:szCs w:val="24"/>
        </w:rPr>
        <w:t xml:space="preserve"> difference is unlikel</w:t>
      </w:r>
      <w:r w:rsidR="00577C5D" w:rsidRPr="00A7194B">
        <w:rPr>
          <w:rFonts w:ascii="Book Antiqua" w:hAnsi="Book Antiqua"/>
          <w:sz w:val="24"/>
          <w:szCs w:val="24"/>
        </w:rPr>
        <w:t>y to be clinically significant</w:t>
      </w:r>
      <w:r w:rsidR="00552B68" w:rsidRPr="00A7194B">
        <w:rPr>
          <w:rFonts w:ascii="Book Antiqua" w:hAnsi="Book Antiqua"/>
          <w:sz w:val="24"/>
          <w:szCs w:val="24"/>
          <w:vertAlign w:val="superscript"/>
        </w:rPr>
        <w:t>[</w:t>
      </w:r>
      <w:r w:rsidR="00564E5E" w:rsidRPr="00A7194B">
        <w:rPr>
          <w:rFonts w:ascii="Book Antiqua" w:hAnsi="Book Antiqua"/>
          <w:sz w:val="24"/>
          <w:szCs w:val="24"/>
          <w:vertAlign w:val="superscript"/>
        </w:rPr>
        <w:t>60</w:t>
      </w:r>
      <w:r w:rsidR="00552B68" w:rsidRPr="00A7194B">
        <w:rPr>
          <w:rFonts w:ascii="Book Antiqua" w:hAnsi="Book Antiqua"/>
          <w:sz w:val="24"/>
          <w:szCs w:val="24"/>
          <w:vertAlign w:val="superscript"/>
        </w:rPr>
        <w:t>]</w:t>
      </w:r>
      <w:r w:rsidR="00577C5D" w:rsidRPr="00A7194B">
        <w:rPr>
          <w:rFonts w:ascii="Book Antiqua" w:hAnsi="Book Antiqua"/>
          <w:sz w:val="24"/>
          <w:szCs w:val="24"/>
        </w:rPr>
        <w:t>.</w:t>
      </w:r>
    </w:p>
    <w:p w:rsidR="006E3BEF" w:rsidRPr="00A7194B" w:rsidRDefault="006E3BEF" w:rsidP="002A5CDB">
      <w:pPr>
        <w:suppressLineNumbers/>
        <w:spacing w:after="0" w:line="360" w:lineRule="auto"/>
        <w:ind w:firstLineChars="100" w:firstLine="240"/>
        <w:jc w:val="both"/>
        <w:rPr>
          <w:rFonts w:ascii="Book Antiqua" w:eastAsia="Times New Roman" w:hAnsi="Book Antiqua" w:cs="Times New Roman"/>
          <w:sz w:val="24"/>
          <w:szCs w:val="24"/>
        </w:rPr>
      </w:pPr>
      <w:r w:rsidRPr="00A7194B">
        <w:rPr>
          <w:rFonts w:ascii="Book Antiqua" w:eastAsia="Times New Roman" w:hAnsi="Book Antiqua" w:cs="Times New Roman"/>
          <w:sz w:val="24"/>
          <w:szCs w:val="24"/>
        </w:rPr>
        <w:t xml:space="preserve">Recent studies have shed light on the reason for the improved cleansing seen with split dose preparations and highlighted the importance of a short duration between the completion of a bowel prep and the start of the </w:t>
      </w:r>
      <w:proofErr w:type="gramStart"/>
      <w:r w:rsidRPr="00A7194B">
        <w:rPr>
          <w:rFonts w:ascii="Book Antiqua" w:eastAsia="Times New Roman" w:hAnsi="Book Antiqua" w:cs="Times New Roman"/>
          <w:sz w:val="24"/>
          <w:szCs w:val="24"/>
        </w:rPr>
        <w:t>colonoscop</w:t>
      </w:r>
      <w:r w:rsidR="00581C97" w:rsidRPr="00A7194B">
        <w:rPr>
          <w:rFonts w:ascii="Book Antiqua" w:eastAsia="Times New Roman" w:hAnsi="Book Antiqua" w:cs="Times New Roman"/>
          <w:sz w:val="24"/>
          <w:szCs w:val="24"/>
        </w:rPr>
        <w:t>y</w:t>
      </w:r>
      <w:r w:rsidR="00564E5E" w:rsidRPr="00A7194B">
        <w:rPr>
          <w:rFonts w:ascii="Book Antiqua" w:eastAsia="Times New Roman" w:hAnsi="Book Antiqua" w:cs="Times New Roman"/>
          <w:sz w:val="24"/>
          <w:szCs w:val="24"/>
          <w:vertAlign w:val="superscript"/>
        </w:rPr>
        <w:t>[</w:t>
      </w:r>
      <w:proofErr w:type="gramEnd"/>
      <w:r w:rsidR="00564E5E" w:rsidRPr="00A7194B">
        <w:rPr>
          <w:rFonts w:ascii="Book Antiqua" w:eastAsia="Times New Roman" w:hAnsi="Book Antiqua" w:cs="Times New Roman"/>
          <w:sz w:val="24"/>
          <w:szCs w:val="24"/>
          <w:vertAlign w:val="superscript"/>
        </w:rPr>
        <w:t>61</w:t>
      </w:r>
      <w:r w:rsidR="00552B68" w:rsidRPr="00A7194B">
        <w:rPr>
          <w:rFonts w:ascii="Book Antiqua" w:eastAsia="Times New Roman" w:hAnsi="Book Antiqua" w:cs="Times New Roman"/>
          <w:sz w:val="24"/>
          <w:szCs w:val="24"/>
          <w:vertAlign w:val="superscript"/>
        </w:rPr>
        <w:t>-6</w:t>
      </w:r>
      <w:r w:rsidR="00564E5E" w:rsidRPr="00A7194B">
        <w:rPr>
          <w:rFonts w:ascii="Book Antiqua" w:eastAsia="Times New Roman" w:hAnsi="Book Antiqua" w:cs="Times New Roman"/>
          <w:sz w:val="24"/>
          <w:szCs w:val="24"/>
          <w:vertAlign w:val="superscript"/>
        </w:rPr>
        <w:t>4</w:t>
      </w:r>
      <w:r w:rsidR="00552B68" w:rsidRPr="00A7194B">
        <w:rPr>
          <w:rFonts w:ascii="Book Antiqua" w:eastAsia="Times New Roman" w:hAnsi="Book Antiqua" w:cs="Times New Roman"/>
          <w:sz w:val="24"/>
          <w:szCs w:val="24"/>
          <w:vertAlign w:val="superscript"/>
        </w:rPr>
        <w:t>]</w:t>
      </w:r>
      <w:r w:rsidR="00581C97" w:rsidRPr="00A7194B">
        <w:rPr>
          <w:rFonts w:ascii="Book Antiqua" w:eastAsia="Times New Roman" w:hAnsi="Book Antiqua" w:cs="Times New Roman"/>
          <w:sz w:val="24"/>
          <w:szCs w:val="24"/>
        </w:rPr>
        <w:t xml:space="preserve">. </w:t>
      </w:r>
      <w:r w:rsidRPr="00A7194B">
        <w:rPr>
          <w:rFonts w:ascii="Book Antiqua" w:eastAsia="Times New Roman" w:hAnsi="Book Antiqua" w:cs="Times New Roman"/>
          <w:sz w:val="24"/>
          <w:szCs w:val="24"/>
        </w:rPr>
        <w:t xml:space="preserve">A prospective analysis </w:t>
      </w:r>
      <w:r w:rsidRPr="00A7194B">
        <w:rPr>
          <w:rFonts w:ascii="Book Antiqua" w:eastAsia="Times New Roman" w:hAnsi="Book Antiqua" w:cs="Times New Roman"/>
          <w:sz w:val="24"/>
          <w:szCs w:val="24"/>
        </w:rPr>
        <w:lastRenderedPageBreak/>
        <w:t>of colonoscopy start times and the time of the last dose of bowel prep showed an inverse relationship between the degree of cleansing a</w:t>
      </w:r>
      <w:r w:rsidR="00552B68" w:rsidRPr="00A7194B">
        <w:rPr>
          <w:rFonts w:ascii="Book Antiqua" w:eastAsia="Times New Roman" w:hAnsi="Book Antiqua" w:cs="Times New Roman"/>
          <w:sz w:val="24"/>
          <w:szCs w:val="24"/>
        </w:rPr>
        <w:t xml:space="preserve">nd the length of this </w:t>
      </w:r>
      <w:proofErr w:type="gramStart"/>
      <w:r w:rsidR="00552B68" w:rsidRPr="00A7194B">
        <w:rPr>
          <w:rFonts w:ascii="Book Antiqua" w:eastAsia="Times New Roman" w:hAnsi="Book Antiqua" w:cs="Times New Roman"/>
          <w:sz w:val="24"/>
          <w:szCs w:val="24"/>
        </w:rPr>
        <w:t>interval</w:t>
      </w:r>
      <w:r w:rsidR="00552B68" w:rsidRPr="00A7194B">
        <w:rPr>
          <w:rFonts w:ascii="Book Antiqua" w:eastAsia="Times New Roman" w:hAnsi="Book Antiqua" w:cs="Times New Roman"/>
          <w:sz w:val="24"/>
          <w:szCs w:val="24"/>
          <w:vertAlign w:val="superscript"/>
        </w:rPr>
        <w:t>[</w:t>
      </w:r>
      <w:proofErr w:type="gramEnd"/>
      <w:r w:rsidR="00552B68" w:rsidRPr="00A7194B">
        <w:rPr>
          <w:rFonts w:ascii="Book Antiqua" w:eastAsia="Times New Roman" w:hAnsi="Book Antiqua" w:cs="Times New Roman"/>
          <w:sz w:val="24"/>
          <w:szCs w:val="24"/>
          <w:vertAlign w:val="superscript"/>
        </w:rPr>
        <w:t>6</w:t>
      </w:r>
      <w:r w:rsidR="00564E5E" w:rsidRPr="00A7194B">
        <w:rPr>
          <w:rFonts w:ascii="Book Antiqua" w:eastAsia="Times New Roman" w:hAnsi="Book Antiqua" w:cs="Times New Roman"/>
          <w:sz w:val="24"/>
          <w:szCs w:val="24"/>
          <w:vertAlign w:val="superscript"/>
        </w:rPr>
        <w:t>4</w:t>
      </w:r>
      <w:r w:rsidR="00552B68" w:rsidRPr="00A7194B">
        <w:rPr>
          <w:rFonts w:ascii="Book Antiqua" w:eastAsia="Times New Roman" w:hAnsi="Book Antiqua" w:cs="Times New Roman"/>
          <w:sz w:val="24"/>
          <w:szCs w:val="24"/>
          <w:vertAlign w:val="superscript"/>
        </w:rPr>
        <w:t>]</w:t>
      </w:r>
      <w:r w:rsidR="00552B68" w:rsidRPr="00A7194B">
        <w:rPr>
          <w:rFonts w:ascii="Book Antiqua" w:eastAsia="Times New Roman" w:hAnsi="Book Antiqua" w:cs="Times New Roman"/>
          <w:sz w:val="24"/>
          <w:szCs w:val="24"/>
        </w:rPr>
        <w:t>.</w:t>
      </w:r>
      <w:r w:rsidRPr="00A7194B">
        <w:rPr>
          <w:rFonts w:ascii="Book Antiqua" w:eastAsia="Times New Roman" w:hAnsi="Book Antiqua" w:cs="Times New Roman"/>
          <w:sz w:val="24"/>
          <w:szCs w:val="24"/>
        </w:rPr>
        <w:t xml:space="preserve"> Subsequent studies have reinforced this finding and clarified the ideal time interval between bowel prep and colonoscopy. </w:t>
      </w:r>
      <w:proofErr w:type="spellStart"/>
      <w:r w:rsidRPr="00A7194B">
        <w:rPr>
          <w:rFonts w:ascii="Book Antiqua" w:eastAsia="Times New Roman" w:hAnsi="Book Antiqua" w:cs="Times New Roman"/>
          <w:sz w:val="24"/>
          <w:szCs w:val="24"/>
        </w:rPr>
        <w:t>Eun</w:t>
      </w:r>
      <w:proofErr w:type="spellEnd"/>
      <w:r w:rsidRPr="00A7194B">
        <w:rPr>
          <w:rFonts w:ascii="Book Antiqua" w:eastAsia="Times New Roman" w:hAnsi="Book Antiqua" w:cs="Times New Roman"/>
          <w:sz w:val="24"/>
          <w:szCs w:val="24"/>
        </w:rPr>
        <w:t xml:space="preserve"> </w:t>
      </w:r>
      <w:r w:rsidRPr="00A01200">
        <w:rPr>
          <w:rFonts w:ascii="Book Antiqua" w:eastAsia="Times New Roman" w:hAnsi="Book Antiqua" w:cs="Times New Roman"/>
          <w:i/>
          <w:sz w:val="24"/>
          <w:szCs w:val="24"/>
        </w:rPr>
        <w:t xml:space="preserve">et </w:t>
      </w:r>
      <w:proofErr w:type="gramStart"/>
      <w:r w:rsidRPr="00A01200">
        <w:rPr>
          <w:rFonts w:ascii="Book Antiqua" w:eastAsia="Times New Roman" w:hAnsi="Book Antiqua" w:cs="Times New Roman"/>
          <w:i/>
          <w:sz w:val="24"/>
          <w:szCs w:val="24"/>
        </w:rPr>
        <w:t>al</w:t>
      </w:r>
      <w:r w:rsidR="00A01200" w:rsidRPr="00A7194B">
        <w:rPr>
          <w:rFonts w:ascii="Book Antiqua" w:eastAsia="Times New Roman" w:hAnsi="Book Antiqua" w:cs="Times New Roman"/>
          <w:sz w:val="24"/>
          <w:szCs w:val="24"/>
          <w:vertAlign w:val="superscript"/>
        </w:rPr>
        <w:t>[</w:t>
      </w:r>
      <w:proofErr w:type="gramEnd"/>
      <w:r w:rsidR="00A01200" w:rsidRPr="00A7194B">
        <w:rPr>
          <w:rFonts w:ascii="Book Antiqua" w:eastAsia="Times New Roman" w:hAnsi="Book Antiqua" w:cs="Times New Roman"/>
          <w:sz w:val="24"/>
          <w:szCs w:val="24"/>
          <w:vertAlign w:val="superscript"/>
        </w:rPr>
        <w:t>62]</w:t>
      </w:r>
      <w:r w:rsidRPr="00A7194B">
        <w:rPr>
          <w:rFonts w:ascii="Book Antiqua" w:eastAsia="Times New Roman" w:hAnsi="Book Antiqua" w:cs="Times New Roman"/>
          <w:sz w:val="24"/>
          <w:szCs w:val="24"/>
        </w:rPr>
        <w:t xml:space="preserve"> compared intervals of more and less than 7 hours and of more and less than 4 h and found that, in each case, superior cleansing was seen with the shorter interval. A 3 to 5 h interval produced the best cleansing throughout the colon in a prospective study by </w:t>
      </w:r>
      <w:proofErr w:type="spellStart"/>
      <w:r w:rsidRPr="00A7194B">
        <w:rPr>
          <w:rFonts w:ascii="Book Antiqua" w:eastAsia="Times New Roman" w:hAnsi="Book Antiqua" w:cs="Times New Roman"/>
          <w:sz w:val="24"/>
          <w:szCs w:val="24"/>
        </w:rPr>
        <w:t>Seo</w:t>
      </w:r>
      <w:proofErr w:type="spellEnd"/>
      <w:r w:rsidRPr="00A7194B">
        <w:rPr>
          <w:rFonts w:ascii="Book Antiqua" w:eastAsia="Times New Roman" w:hAnsi="Book Antiqua" w:cs="Times New Roman"/>
          <w:sz w:val="24"/>
          <w:szCs w:val="24"/>
        </w:rPr>
        <w:t xml:space="preserve"> </w:t>
      </w:r>
      <w:r w:rsidRPr="00A01200">
        <w:rPr>
          <w:rFonts w:ascii="Book Antiqua" w:eastAsia="Times New Roman" w:hAnsi="Book Antiqua" w:cs="Times New Roman"/>
          <w:i/>
          <w:sz w:val="24"/>
          <w:szCs w:val="24"/>
        </w:rPr>
        <w:t>et al</w:t>
      </w:r>
      <w:r w:rsidR="00A01200" w:rsidRPr="00A7194B">
        <w:rPr>
          <w:rFonts w:ascii="Book Antiqua" w:eastAsia="Times New Roman" w:hAnsi="Book Antiqua" w:cs="Times New Roman"/>
          <w:sz w:val="24"/>
          <w:szCs w:val="24"/>
          <w:vertAlign w:val="superscript"/>
        </w:rPr>
        <w:t>[61]</w:t>
      </w:r>
      <w:r w:rsidRPr="00A7194B">
        <w:rPr>
          <w:rFonts w:ascii="Book Antiqua" w:eastAsia="Times New Roman" w:hAnsi="Book Antiqua" w:cs="Times New Roman"/>
          <w:sz w:val="24"/>
          <w:szCs w:val="24"/>
        </w:rPr>
        <w:t xml:space="preserve">, though the association was not as high as with the amount of PEG ingested (OR 1.85 for prep to colonoscopy time </w:t>
      </w:r>
      <w:r w:rsidRPr="00A01200">
        <w:rPr>
          <w:rFonts w:ascii="Book Antiqua" w:eastAsia="Times New Roman" w:hAnsi="Book Antiqua" w:cs="Times New Roman"/>
          <w:i/>
          <w:sz w:val="24"/>
          <w:szCs w:val="24"/>
        </w:rPr>
        <w:t xml:space="preserve">vs </w:t>
      </w:r>
      <w:r w:rsidRPr="00A7194B">
        <w:rPr>
          <w:rFonts w:ascii="Book Antiqua" w:eastAsia="Times New Roman" w:hAnsi="Book Antiqua" w:cs="Times New Roman"/>
          <w:sz w:val="24"/>
          <w:szCs w:val="24"/>
        </w:rPr>
        <w:t>4.34 for quantity of PEG ingested</w:t>
      </w:r>
      <w:r w:rsidR="00577C5D" w:rsidRPr="00A7194B">
        <w:rPr>
          <w:rFonts w:ascii="Book Antiqua" w:eastAsia="Times New Roman" w:hAnsi="Book Antiqua" w:cs="Times New Roman"/>
          <w:sz w:val="24"/>
          <w:szCs w:val="24"/>
        </w:rPr>
        <w:t>)</w:t>
      </w:r>
      <w:r w:rsidR="00552B68" w:rsidRPr="00A7194B">
        <w:rPr>
          <w:rFonts w:ascii="Book Antiqua" w:eastAsia="Times New Roman" w:hAnsi="Book Antiqua" w:cs="Times New Roman"/>
          <w:sz w:val="24"/>
          <w:szCs w:val="24"/>
        </w:rPr>
        <w:t>.</w:t>
      </w:r>
    </w:p>
    <w:p w:rsidR="004C5AC3" w:rsidRPr="00A7194B" w:rsidRDefault="004C5AC3" w:rsidP="00A01200">
      <w:pPr>
        <w:suppressLineNumbers/>
        <w:spacing w:after="0" w:line="360" w:lineRule="auto"/>
        <w:ind w:firstLineChars="100" w:firstLine="240"/>
        <w:jc w:val="both"/>
        <w:rPr>
          <w:rFonts w:ascii="Book Antiqua" w:eastAsia="Times New Roman" w:hAnsi="Book Antiqua" w:cs="Times New Roman"/>
          <w:sz w:val="24"/>
          <w:szCs w:val="24"/>
        </w:rPr>
      </w:pPr>
      <w:r w:rsidRPr="00A7194B">
        <w:rPr>
          <w:rFonts w:ascii="Book Antiqua" w:eastAsia="Times New Roman" w:hAnsi="Book Antiqua" w:cs="Times New Roman"/>
          <w:sz w:val="24"/>
          <w:szCs w:val="24"/>
        </w:rPr>
        <w:t>Following from these findings, researchers have looked at the feasibility of preparations completed entirely on the mo</w:t>
      </w:r>
      <w:r w:rsidR="00E65DB1" w:rsidRPr="00A7194B">
        <w:rPr>
          <w:rFonts w:ascii="Book Antiqua" w:eastAsia="Times New Roman" w:hAnsi="Book Antiqua" w:cs="Times New Roman"/>
          <w:sz w:val="24"/>
          <w:szCs w:val="24"/>
        </w:rPr>
        <w:t xml:space="preserve">rning of the planned </w:t>
      </w:r>
      <w:proofErr w:type="gramStart"/>
      <w:r w:rsidR="00E65DB1" w:rsidRPr="00A7194B">
        <w:rPr>
          <w:rFonts w:ascii="Book Antiqua" w:eastAsia="Times New Roman" w:hAnsi="Book Antiqua" w:cs="Times New Roman"/>
          <w:sz w:val="24"/>
          <w:szCs w:val="24"/>
        </w:rPr>
        <w:t>procedure</w:t>
      </w:r>
      <w:r w:rsidR="00A01200" w:rsidRPr="00A7194B">
        <w:rPr>
          <w:rFonts w:ascii="Book Antiqua" w:eastAsia="Times New Roman" w:hAnsi="Book Antiqua" w:cs="Times New Roman"/>
          <w:sz w:val="24"/>
          <w:szCs w:val="24"/>
          <w:vertAlign w:val="superscript"/>
        </w:rPr>
        <w:t>[</w:t>
      </w:r>
      <w:proofErr w:type="gramEnd"/>
      <w:r w:rsidR="00A01200" w:rsidRPr="00A7194B">
        <w:rPr>
          <w:rFonts w:ascii="Book Antiqua" w:eastAsia="Times New Roman" w:hAnsi="Book Antiqua" w:cs="Times New Roman"/>
          <w:sz w:val="24"/>
          <w:szCs w:val="24"/>
          <w:vertAlign w:val="superscript"/>
        </w:rPr>
        <w:t>65-67]</w:t>
      </w:r>
      <w:r w:rsidR="00E65DB1" w:rsidRPr="00A7194B">
        <w:rPr>
          <w:rFonts w:ascii="Book Antiqua" w:eastAsia="Times New Roman" w:hAnsi="Book Antiqua" w:cs="Times New Roman"/>
          <w:sz w:val="24"/>
          <w:szCs w:val="24"/>
        </w:rPr>
        <w:t>.</w:t>
      </w:r>
      <w:r w:rsidRPr="00A7194B">
        <w:rPr>
          <w:rFonts w:ascii="Book Antiqua" w:eastAsia="Times New Roman" w:hAnsi="Book Antiqua" w:cs="Times New Roman"/>
          <w:sz w:val="24"/>
          <w:szCs w:val="24"/>
        </w:rPr>
        <w:t xml:space="preserve"> </w:t>
      </w:r>
      <w:proofErr w:type="spellStart"/>
      <w:r w:rsidRPr="00A7194B">
        <w:rPr>
          <w:rFonts w:ascii="Book Antiqua" w:eastAsia="Times New Roman" w:hAnsi="Book Antiqua" w:cs="Times New Roman"/>
          <w:sz w:val="24"/>
          <w:szCs w:val="24"/>
        </w:rPr>
        <w:t>Varughese</w:t>
      </w:r>
      <w:proofErr w:type="spellEnd"/>
      <w:r w:rsidRPr="00A7194B">
        <w:rPr>
          <w:rFonts w:ascii="Book Antiqua" w:eastAsia="Times New Roman" w:hAnsi="Book Antiqua" w:cs="Times New Roman"/>
          <w:sz w:val="24"/>
          <w:szCs w:val="24"/>
        </w:rPr>
        <w:t xml:space="preserve"> </w:t>
      </w:r>
      <w:r w:rsidRPr="00A01200">
        <w:rPr>
          <w:rFonts w:ascii="Book Antiqua" w:eastAsia="Times New Roman" w:hAnsi="Book Antiqua" w:cs="Times New Roman"/>
          <w:i/>
          <w:sz w:val="24"/>
          <w:szCs w:val="24"/>
        </w:rPr>
        <w:t>et al</w:t>
      </w:r>
      <w:r w:rsidR="00A01200" w:rsidRPr="00A7194B">
        <w:rPr>
          <w:rFonts w:ascii="Book Antiqua" w:eastAsia="Times New Roman" w:hAnsi="Book Antiqua" w:cs="Times New Roman"/>
          <w:sz w:val="24"/>
          <w:szCs w:val="24"/>
          <w:vertAlign w:val="superscript"/>
        </w:rPr>
        <w:t>[65]</w:t>
      </w:r>
      <w:r w:rsidRPr="00A7194B">
        <w:rPr>
          <w:rFonts w:ascii="Book Antiqua" w:eastAsia="Times New Roman" w:hAnsi="Book Antiqua" w:cs="Times New Roman"/>
          <w:sz w:val="24"/>
          <w:szCs w:val="24"/>
        </w:rPr>
        <w:t xml:space="preserve"> compared morning only preparation with preparation completed entirely the evening prior and, consistent with the finding that the interval between preparation and procedure is a determinant of the quality of preparation, found that morning only preparation is superior to evening before preparation. </w:t>
      </w:r>
      <w:proofErr w:type="spellStart"/>
      <w:r w:rsidRPr="00A7194B">
        <w:rPr>
          <w:rFonts w:ascii="Book Antiqua" w:eastAsia="Times New Roman" w:hAnsi="Book Antiqua" w:cs="Times New Roman"/>
          <w:sz w:val="24"/>
          <w:szCs w:val="24"/>
        </w:rPr>
        <w:t>Matro</w:t>
      </w:r>
      <w:proofErr w:type="spellEnd"/>
      <w:r w:rsidRPr="00A7194B">
        <w:rPr>
          <w:rFonts w:ascii="Book Antiqua" w:eastAsia="Times New Roman" w:hAnsi="Book Antiqua" w:cs="Times New Roman"/>
          <w:sz w:val="24"/>
          <w:szCs w:val="24"/>
        </w:rPr>
        <w:t xml:space="preserve"> </w:t>
      </w:r>
      <w:r w:rsidRPr="00A01200">
        <w:rPr>
          <w:rFonts w:ascii="Book Antiqua" w:eastAsia="Times New Roman" w:hAnsi="Book Antiqua" w:cs="Times New Roman"/>
          <w:i/>
          <w:sz w:val="24"/>
          <w:szCs w:val="24"/>
        </w:rPr>
        <w:t xml:space="preserve">et </w:t>
      </w:r>
      <w:proofErr w:type="gramStart"/>
      <w:r w:rsidRPr="00A01200">
        <w:rPr>
          <w:rFonts w:ascii="Book Antiqua" w:eastAsia="Times New Roman" w:hAnsi="Book Antiqua" w:cs="Times New Roman"/>
          <w:i/>
          <w:sz w:val="24"/>
          <w:szCs w:val="24"/>
        </w:rPr>
        <w:t>al</w:t>
      </w:r>
      <w:r w:rsidR="00A01200" w:rsidRPr="00A7194B">
        <w:rPr>
          <w:rFonts w:ascii="Book Antiqua" w:eastAsia="Times New Roman" w:hAnsi="Book Antiqua" w:cs="Times New Roman"/>
          <w:sz w:val="24"/>
          <w:szCs w:val="24"/>
          <w:vertAlign w:val="superscript"/>
        </w:rPr>
        <w:t>[</w:t>
      </w:r>
      <w:proofErr w:type="gramEnd"/>
      <w:r w:rsidR="00A01200" w:rsidRPr="00A7194B">
        <w:rPr>
          <w:rFonts w:ascii="Book Antiqua" w:eastAsia="Times New Roman" w:hAnsi="Book Antiqua" w:cs="Times New Roman"/>
          <w:sz w:val="24"/>
          <w:szCs w:val="24"/>
          <w:vertAlign w:val="superscript"/>
        </w:rPr>
        <w:t>66]</w:t>
      </w:r>
      <w:r w:rsidRPr="00A7194B">
        <w:rPr>
          <w:rFonts w:ascii="Book Antiqua" w:eastAsia="Times New Roman" w:hAnsi="Book Antiqua" w:cs="Times New Roman"/>
          <w:sz w:val="24"/>
          <w:szCs w:val="24"/>
        </w:rPr>
        <w:t xml:space="preserve"> compared morning only to split dose administration of PEG-ELS and found equivalent cleansing and adenoma detection with improved tolerability in the morning only group. Similar findings were obtained by </w:t>
      </w:r>
      <w:proofErr w:type="spellStart"/>
      <w:r w:rsidRPr="00A7194B">
        <w:rPr>
          <w:rFonts w:ascii="Book Antiqua" w:eastAsia="Times New Roman" w:hAnsi="Book Antiqua" w:cs="Times New Roman"/>
          <w:sz w:val="24"/>
          <w:szCs w:val="24"/>
        </w:rPr>
        <w:t>Longcroft</w:t>
      </w:r>
      <w:proofErr w:type="spellEnd"/>
      <w:r w:rsidRPr="00A7194B">
        <w:rPr>
          <w:rFonts w:ascii="Book Antiqua" w:eastAsia="Times New Roman" w:hAnsi="Book Antiqua" w:cs="Times New Roman"/>
          <w:sz w:val="24"/>
          <w:szCs w:val="24"/>
        </w:rPr>
        <w:t>-Wheaton</w:t>
      </w:r>
      <w:r w:rsidR="00A01200">
        <w:rPr>
          <w:rFonts w:ascii="Book Antiqua" w:hAnsi="Book Antiqua" w:cs="Times New Roman" w:hint="eastAsia"/>
          <w:sz w:val="24"/>
          <w:szCs w:val="24"/>
          <w:lang w:eastAsia="zh-CN"/>
        </w:rPr>
        <w:t xml:space="preserve"> </w:t>
      </w:r>
      <w:r w:rsidR="00A01200">
        <w:rPr>
          <w:rFonts w:ascii="Book Antiqua" w:hAnsi="Book Antiqua" w:cs="Times New Roman" w:hint="eastAsia"/>
          <w:i/>
          <w:sz w:val="24"/>
          <w:szCs w:val="24"/>
          <w:lang w:eastAsia="zh-CN"/>
        </w:rPr>
        <w:t xml:space="preserve">et </w:t>
      </w:r>
      <w:proofErr w:type="gramStart"/>
      <w:r w:rsidR="00A01200">
        <w:rPr>
          <w:rFonts w:ascii="Book Antiqua" w:hAnsi="Book Antiqua" w:cs="Times New Roman" w:hint="eastAsia"/>
          <w:i/>
          <w:sz w:val="24"/>
          <w:szCs w:val="24"/>
          <w:lang w:eastAsia="zh-CN"/>
        </w:rPr>
        <w:t>al</w:t>
      </w:r>
      <w:r w:rsidR="00A01200" w:rsidRPr="00A7194B">
        <w:rPr>
          <w:rFonts w:ascii="Book Antiqua" w:eastAsia="Times New Roman" w:hAnsi="Book Antiqua" w:cs="Times New Roman"/>
          <w:sz w:val="24"/>
          <w:szCs w:val="24"/>
          <w:vertAlign w:val="superscript"/>
        </w:rPr>
        <w:t>[</w:t>
      </w:r>
      <w:proofErr w:type="gramEnd"/>
      <w:r w:rsidR="00A01200" w:rsidRPr="00A7194B">
        <w:rPr>
          <w:rFonts w:ascii="Book Antiqua" w:eastAsia="Times New Roman" w:hAnsi="Book Antiqua" w:cs="Times New Roman"/>
          <w:sz w:val="24"/>
          <w:szCs w:val="24"/>
          <w:vertAlign w:val="superscript"/>
        </w:rPr>
        <w:t>67]</w:t>
      </w:r>
      <w:r w:rsidRPr="00A7194B">
        <w:rPr>
          <w:rFonts w:ascii="Book Antiqua" w:eastAsia="Times New Roman" w:hAnsi="Book Antiqua" w:cs="Times New Roman"/>
          <w:sz w:val="24"/>
          <w:szCs w:val="24"/>
        </w:rPr>
        <w:t xml:space="preserve"> in comparing morning only to split dose sodium </w:t>
      </w:r>
      <w:proofErr w:type="spellStart"/>
      <w:r w:rsidRPr="00A7194B">
        <w:rPr>
          <w:rFonts w:ascii="Book Antiqua" w:eastAsia="Times New Roman" w:hAnsi="Book Antiqua" w:cs="Times New Roman"/>
          <w:sz w:val="24"/>
          <w:szCs w:val="24"/>
        </w:rPr>
        <w:t>picosulfate</w:t>
      </w:r>
      <w:proofErr w:type="spellEnd"/>
      <w:r w:rsidRPr="00A7194B">
        <w:rPr>
          <w:rFonts w:ascii="Book Antiqua" w:eastAsia="Times New Roman" w:hAnsi="Book Antiqua" w:cs="Times New Roman"/>
          <w:sz w:val="24"/>
          <w:szCs w:val="24"/>
        </w:rPr>
        <w:t xml:space="preserve">. </w:t>
      </w:r>
    </w:p>
    <w:p w:rsidR="00C770B3" w:rsidRPr="00A7194B" w:rsidRDefault="00C770B3" w:rsidP="00A7194B">
      <w:pPr>
        <w:pStyle w:val="PlainText"/>
        <w:suppressLineNumbers/>
        <w:spacing w:line="360" w:lineRule="auto"/>
        <w:jc w:val="both"/>
        <w:rPr>
          <w:rFonts w:ascii="Book Antiqua" w:hAnsi="Book Antiqua"/>
          <w:sz w:val="24"/>
          <w:szCs w:val="24"/>
        </w:rPr>
      </w:pPr>
    </w:p>
    <w:p w:rsidR="00486EA2" w:rsidRPr="00A01200" w:rsidRDefault="00A01200" w:rsidP="00A7194B">
      <w:pPr>
        <w:pStyle w:val="PlainText"/>
        <w:suppressLineNumbers/>
        <w:spacing w:line="360" w:lineRule="auto"/>
        <w:jc w:val="both"/>
        <w:rPr>
          <w:rFonts w:ascii="Book Antiqua" w:hAnsi="Book Antiqua"/>
          <w:b/>
          <w:sz w:val="24"/>
          <w:szCs w:val="24"/>
          <w:lang w:eastAsia="zh-CN"/>
        </w:rPr>
      </w:pPr>
      <w:r w:rsidRPr="00A01200">
        <w:rPr>
          <w:rFonts w:ascii="Book Antiqua" w:hAnsi="Book Antiqua"/>
          <w:b/>
          <w:sz w:val="24"/>
          <w:szCs w:val="24"/>
        </w:rPr>
        <w:t>CONCLUSION</w:t>
      </w:r>
    </w:p>
    <w:p w:rsidR="000C159D" w:rsidRPr="00A7194B" w:rsidRDefault="00486EA2" w:rsidP="00A7194B">
      <w:pPr>
        <w:pStyle w:val="PlainText"/>
        <w:suppressLineNumbers/>
        <w:spacing w:line="360" w:lineRule="auto"/>
        <w:jc w:val="both"/>
        <w:rPr>
          <w:rFonts w:ascii="Book Antiqua" w:hAnsi="Book Antiqua"/>
          <w:sz w:val="24"/>
          <w:szCs w:val="24"/>
          <w:lang w:eastAsia="zh-CN"/>
        </w:rPr>
      </w:pPr>
      <w:r w:rsidRPr="00A7194B">
        <w:rPr>
          <w:rFonts w:ascii="Book Antiqua" w:hAnsi="Book Antiqua"/>
          <w:sz w:val="24"/>
          <w:szCs w:val="24"/>
        </w:rPr>
        <w:t xml:space="preserve">Effective, safe, and reliable options for bowel preparation are becoming increasingly available though the most tolerable options remain </w:t>
      </w:r>
      <w:r w:rsidR="00175CD5" w:rsidRPr="00A7194B">
        <w:rPr>
          <w:rFonts w:ascii="Book Antiqua" w:hAnsi="Book Antiqua"/>
          <w:sz w:val="24"/>
          <w:szCs w:val="24"/>
        </w:rPr>
        <w:t xml:space="preserve">the most </w:t>
      </w:r>
      <w:r w:rsidRPr="00A7194B">
        <w:rPr>
          <w:rFonts w:ascii="Book Antiqua" w:hAnsi="Book Antiqua"/>
          <w:sz w:val="24"/>
          <w:szCs w:val="24"/>
        </w:rPr>
        <w:t xml:space="preserve">costly. </w:t>
      </w:r>
      <w:r w:rsidR="00175CD5" w:rsidRPr="00A7194B">
        <w:rPr>
          <w:rFonts w:ascii="Book Antiqua" w:hAnsi="Book Antiqua"/>
          <w:sz w:val="24"/>
          <w:szCs w:val="24"/>
        </w:rPr>
        <w:t>Improved efficacy has also been achieved with a</w:t>
      </w:r>
      <w:r w:rsidRPr="00A7194B">
        <w:rPr>
          <w:rFonts w:ascii="Book Antiqua" w:hAnsi="Book Antiqua"/>
          <w:sz w:val="24"/>
          <w:szCs w:val="24"/>
        </w:rPr>
        <w:t>lterations in</w:t>
      </w:r>
      <w:r w:rsidR="00175CD5" w:rsidRPr="00A7194B">
        <w:rPr>
          <w:rFonts w:ascii="Book Antiqua" w:hAnsi="Book Antiqua"/>
          <w:sz w:val="24"/>
          <w:szCs w:val="24"/>
        </w:rPr>
        <w:t xml:space="preserve"> the</w:t>
      </w:r>
      <w:r w:rsidRPr="00A7194B">
        <w:rPr>
          <w:rFonts w:ascii="Book Antiqua" w:hAnsi="Book Antiqua"/>
          <w:sz w:val="24"/>
          <w:szCs w:val="24"/>
        </w:rPr>
        <w:t xml:space="preserve"> dosing schedule, namely split dose administration</w:t>
      </w:r>
      <w:r w:rsidR="00175CD5" w:rsidRPr="00A7194B">
        <w:rPr>
          <w:rFonts w:ascii="Book Antiqua" w:hAnsi="Book Antiqua"/>
          <w:sz w:val="24"/>
          <w:szCs w:val="24"/>
        </w:rPr>
        <w:t xml:space="preserve"> and a better understanding of the optimal interval between preparation and the colonoscopy. These adjustments</w:t>
      </w:r>
      <w:r w:rsidRPr="00A7194B">
        <w:rPr>
          <w:rFonts w:ascii="Book Antiqua" w:hAnsi="Book Antiqua"/>
          <w:sz w:val="24"/>
          <w:szCs w:val="24"/>
        </w:rPr>
        <w:t xml:space="preserve"> have proven more</w:t>
      </w:r>
      <w:r w:rsidR="00175CD5" w:rsidRPr="00A7194B">
        <w:rPr>
          <w:rFonts w:ascii="Book Antiqua" w:hAnsi="Book Antiqua"/>
          <w:sz w:val="24"/>
          <w:szCs w:val="24"/>
        </w:rPr>
        <w:t xml:space="preserve"> tolerable as well as more</w:t>
      </w:r>
      <w:r w:rsidRPr="00A7194B">
        <w:rPr>
          <w:rFonts w:ascii="Book Antiqua" w:hAnsi="Book Antiqua"/>
          <w:sz w:val="24"/>
          <w:szCs w:val="24"/>
        </w:rPr>
        <w:t xml:space="preserve"> effective.</w:t>
      </w:r>
      <w:r w:rsidR="00FA355D" w:rsidRPr="00A7194B">
        <w:rPr>
          <w:rFonts w:ascii="Book Antiqua" w:hAnsi="Book Antiqua"/>
          <w:sz w:val="24"/>
          <w:szCs w:val="24"/>
        </w:rPr>
        <w:t xml:space="preserve"> The consensus of the major Gastrointestinal Societies is that the choice of agent should be tailored to the individual patient, but that a split dose regimen can be recommended in all </w:t>
      </w:r>
      <w:proofErr w:type="gramStart"/>
      <w:r w:rsidR="00FA355D" w:rsidRPr="00A7194B">
        <w:rPr>
          <w:rFonts w:ascii="Book Antiqua" w:hAnsi="Book Antiqua"/>
          <w:sz w:val="24"/>
          <w:szCs w:val="24"/>
        </w:rPr>
        <w:t>cases</w:t>
      </w:r>
      <w:r w:rsidR="00A01200" w:rsidRPr="00A7194B">
        <w:rPr>
          <w:rFonts w:ascii="Book Antiqua" w:hAnsi="Book Antiqua"/>
          <w:sz w:val="24"/>
          <w:szCs w:val="24"/>
          <w:vertAlign w:val="superscript"/>
        </w:rPr>
        <w:t>[</w:t>
      </w:r>
      <w:proofErr w:type="gramEnd"/>
      <w:r w:rsidR="00A01200">
        <w:rPr>
          <w:rFonts w:ascii="Book Antiqua" w:hAnsi="Book Antiqua"/>
          <w:sz w:val="24"/>
          <w:szCs w:val="24"/>
          <w:vertAlign w:val="superscript"/>
        </w:rPr>
        <w:t>68,</w:t>
      </w:r>
      <w:r w:rsidR="00A01200" w:rsidRPr="00A7194B">
        <w:rPr>
          <w:rFonts w:ascii="Book Antiqua" w:hAnsi="Book Antiqua"/>
          <w:sz w:val="24"/>
          <w:szCs w:val="24"/>
          <w:vertAlign w:val="superscript"/>
        </w:rPr>
        <w:t>69]</w:t>
      </w:r>
      <w:r w:rsidR="00FA355D" w:rsidRPr="00A7194B">
        <w:rPr>
          <w:rFonts w:ascii="Book Antiqua" w:hAnsi="Book Antiqua"/>
          <w:sz w:val="24"/>
          <w:szCs w:val="24"/>
        </w:rPr>
        <w:t xml:space="preserve">. Additional research is needed to develop tools to assist providers in choosing an optimal regimen for their patients as factors such as age and </w:t>
      </w:r>
      <w:r w:rsidR="00FA355D" w:rsidRPr="00A7194B">
        <w:rPr>
          <w:rFonts w:ascii="Book Antiqua" w:hAnsi="Book Antiqua"/>
          <w:sz w:val="24"/>
          <w:szCs w:val="24"/>
        </w:rPr>
        <w:lastRenderedPageBreak/>
        <w:t xml:space="preserve">comorbid conditions may affect the efficacy and safety of a particular agent. </w:t>
      </w:r>
      <w:r w:rsidR="004C5AC3" w:rsidRPr="00A7194B">
        <w:rPr>
          <w:rFonts w:ascii="Book Antiqua" w:hAnsi="Book Antiqua"/>
          <w:sz w:val="24"/>
          <w:szCs w:val="24"/>
        </w:rPr>
        <w:t>The optimal choice of bowel preparation must be guided by the circumstances of the individual patient undergoing procedure; however, low volume PEG preparations would appear to come closest to being the ideal preparatory agent in that it is effective, generally well tolerated, has an excellent safety record in a population of patients with a range of comorbid conditions, and is relatively inexpensive.</w:t>
      </w:r>
      <w:r w:rsidR="00BD5B8C" w:rsidRPr="00A7194B">
        <w:rPr>
          <w:rFonts w:ascii="Book Antiqua" w:hAnsi="Book Antiqua"/>
          <w:sz w:val="24"/>
          <w:szCs w:val="24"/>
        </w:rPr>
        <w:t xml:space="preserve"> </w:t>
      </w:r>
      <w:r w:rsidR="00FA355D" w:rsidRPr="00A7194B">
        <w:rPr>
          <w:rFonts w:ascii="Book Antiqua" w:hAnsi="Book Antiqua"/>
          <w:sz w:val="24"/>
          <w:szCs w:val="24"/>
        </w:rPr>
        <w:t>Ongoing studies are evaluating the impact of</w:t>
      </w:r>
      <w:r w:rsidRPr="00A7194B">
        <w:rPr>
          <w:rFonts w:ascii="Book Antiqua" w:hAnsi="Book Antiqua"/>
          <w:sz w:val="24"/>
          <w:szCs w:val="24"/>
        </w:rPr>
        <w:t xml:space="preserve"> interventions such as improved pre-procedure patient education and smart phone based applications that remind patients of when to take their prep are showing promise with regard to improved patient tolerability and adherence and may offer a path toward both patient and </w:t>
      </w:r>
      <w:proofErr w:type="spellStart"/>
      <w:r w:rsidRPr="00A7194B">
        <w:rPr>
          <w:rFonts w:ascii="Book Antiqua" w:hAnsi="Book Antiqua"/>
          <w:sz w:val="24"/>
          <w:szCs w:val="24"/>
        </w:rPr>
        <w:t>endoscopist</w:t>
      </w:r>
      <w:proofErr w:type="spellEnd"/>
      <w:r w:rsidRPr="00A7194B">
        <w:rPr>
          <w:rFonts w:ascii="Book Antiqua" w:hAnsi="Book Antiqua"/>
          <w:sz w:val="24"/>
          <w:szCs w:val="24"/>
        </w:rPr>
        <w:t xml:space="preserve"> satisfaction.</w:t>
      </w:r>
    </w:p>
    <w:p w:rsidR="000C159D" w:rsidRPr="00A7194B" w:rsidRDefault="000C159D" w:rsidP="00A7194B">
      <w:pPr>
        <w:pStyle w:val="PlainText"/>
        <w:suppressLineNumbers/>
        <w:spacing w:line="360" w:lineRule="auto"/>
        <w:jc w:val="both"/>
        <w:rPr>
          <w:rFonts w:ascii="Book Antiqua" w:hAnsi="Book Antiqua"/>
          <w:sz w:val="24"/>
          <w:szCs w:val="24"/>
          <w:lang w:eastAsia="zh-CN"/>
        </w:rPr>
      </w:pPr>
    </w:p>
    <w:p w:rsidR="00F51BE9" w:rsidRPr="00F51BE9" w:rsidRDefault="00F51BE9" w:rsidP="00A7194B">
      <w:pPr>
        <w:pStyle w:val="PlainText"/>
        <w:suppressLineNumbers/>
        <w:spacing w:line="360" w:lineRule="auto"/>
        <w:jc w:val="both"/>
        <w:rPr>
          <w:rFonts w:ascii="Book Antiqua" w:hAnsi="Book Antiqua"/>
          <w:b/>
          <w:sz w:val="24"/>
          <w:szCs w:val="24"/>
        </w:rPr>
      </w:pPr>
      <w:r w:rsidRPr="00F51BE9">
        <w:rPr>
          <w:rFonts w:ascii="Book Antiqua" w:hAnsi="Book Antiqua"/>
          <w:b/>
          <w:sz w:val="24"/>
          <w:szCs w:val="24"/>
        </w:rPr>
        <w:t xml:space="preserve">ACKNOWLEDGMENTS </w:t>
      </w:r>
    </w:p>
    <w:p w:rsidR="000C159D" w:rsidRDefault="000C159D" w:rsidP="00A7194B">
      <w:pPr>
        <w:pStyle w:val="PlainText"/>
        <w:suppressLineNumbers/>
        <w:spacing w:line="360" w:lineRule="auto"/>
        <w:jc w:val="both"/>
        <w:rPr>
          <w:rFonts w:ascii="Book Antiqua" w:hAnsi="Book Antiqua"/>
          <w:sz w:val="24"/>
          <w:szCs w:val="24"/>
          <w:lang w:eastAsia="zh-CN"/>
        </w:rPr>
      </w:pPr>
      <w:r w:rsidRPr="00A7194B">
        <w:rPr>
          <w:rFonts w:ascii="Book Antiqua" w:hAnsi="Book Antiqua"/>
          <w:sz w:val="24"/>
          <w:szCs w:val="24"/>
        </w:rPr>
        <w:t>The opinion or assertions contained herein are the private views of the authors and are not to be construed as official or reflecting the view of the US Department of the Army or the U</w:t>
      </w:r>
      <w:r w:rsidR="00A01200">
        <w:rPr>
          <w:rFonts w:ascii="Book Antiqua" w:hAnsi="Book Antiqua" w:hint="eastAsia"/>
          <w:sz w:val="24"/>
          <w:szCs w:val="24"/>
          <w:lang w:eastAsia="zh-CN"/>
        </w:rPr>
        <w:t xml:space="preserve">nited </w:t>
      </w:r>
      <w:r w:rsidRPr="00A7194B">
        <w:rPr>
          <w:rFonts w:ascii="Book Antiqua" w:hAnsi="Book Antiqua"/>
          <w:sz w:val="24"/>
          <w:szCs w:val="24"/>
        </w:rPr>
        <w:t>S</w:t>
      </w:r>
      <w:r w:rsidR="00A01200">
        <w:rPr>
          <w:rFonts w:ascii="Book Antiqua" w:hAnsi="Book Antiqua" w:hint="eastAsia"/>
          <w:sz w:val="24"/>
          <w:szCs w:val="24"/>
          <w:lang w:eastAsia="zh-CN"/>
        </w:rPr>
        <w:t>tates</w:t>
      </w:r>
      <w:r w:rsidRPr="00A7194B">
        <w:rPr>
          <w:rFonts w:ascii="Book Antiqua" w:hAnsi="Book Antiqua"/>
          <w:sz w:val="24"/>
          <w:szCs w:val="24"/>
        </w:rPr>
        <w:t xml:space="preserve"> Department of Defense</w:t>
      </w:r>
      <w:r w:rsidR="00A01200">
        <w:rPr>
          <w:rFonts w:ascii="Book Antiqua" w:hAnsi="Book Antiqua" w:hint="eastAsia"/>
          <w:sz w:val="24"/>
          <w:szCs w:val="24"/>
          <w:lang w:eastAsia="zh-CN"/>
        </w:rPr>
        <w:t>.</w:t>
      </w:r>
    </w:p>
    <w:p w:rsidR="00A01200" w:rsidRDefault="00A01200" w:rsidP="00A7194B">
      <w:pPr>
        <w:pStyle w:val="PlainText"/>
        <w:suppressLineNumbers/>
        <w:spacing w:line="360" w:lineRule="auto"/>
        <w:jc w:val="both"/>
        <w:rPr>
          <w:rFonts w:ascii="Book Antiqua" w:hAnsi="Book Antiqua"/>
          <w:sz w:val="24"/>
          <w:szCs w:val="24"/>
          <w:lang w:eastAsia="zh-CN"/>
        </w:rPr>
      </w:pPr>
    </w:p>
    <w:p w:rsidR="00F51BE9" w:rsidRDefault="00F51BE9">
      <w:pPr>
        <w:rPr>
          <w:rFonts w:ascii="Book Antiqua" w:hAnsi="Book Antiqua"/>
          <w:b/>
          <w:sz w:val="24"/>
          <w:szCs w:val="24"/>
        </w:rPr>
      </w:pPr>
      <w:r>
        <w:rPr>
          <w:rFonts w:ascii="Book Antiqua" w:hAnsi="Book Antiqua"/>
          <w:b/>
          <w:sz w:val="24"/>
          <w:szCs w:val="24"/>
        </w:rPr>
        <w:br w:type="page"/>
      </w:r>
    </w:p>
    <w:p w:rsidR="00A01200" w:rsidRPr="006F40E4" w:rsidRDefault="00A01200" w:rsidP="006F40E4">
      <w:pPr>
        <w:suppressLineNumbers/>
        <w:spacing w:after="0" w:line="360" w:lineRule="auto"/>
        <w:jc w:val="both"/>
        <w:rPr>
          <w:rFonts w:ascii="Book Antiqua" w:hAnsi="Book Antiqua"/>
          <w:b/>
          <w:sz w:val="24"/>
          <w:szCs w:val="24"/>
        </w:rPr>
      </w:pPr>
      <w:r w:rsidRPr="006F40E4">
        <w:rPr>
          <w:rFonts w:ascii="Book Antiqua" w:hAnsi="Book Antiqua"/>
          <w:b/>
          <w:sz w:val="24"/>
          <w:szCs w:val="24"/>
        </w:rPr>
        <w:lastRenderedPageBreak/>
        <w:t>REFERENCES</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1 </w:t>
      </w:r>
      <w:r w:rsidRPr="006F40E4">
        <w:rPr>
          <w:rFonts w:ascii="Book Antiqua" w:eastAsia="宋体" w:hAnsi="Book Antiqua" w:cs="宋体"/>
          <w:b/>
          <w:bCs/>
          <w:sz w:val="24"/>
          <w:szCs w:val="24"/>
          <w:lang w:eastAsia="zh-CN"/>
        </w:rPr>
        <w:t>Froehlich F</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Wietlisbach</w:t>
      </w:r>
      <w:proofErr w:type="spellEnd"/>
      <w:r w:rsidRPr="006F40E4">
        <w:rPr>
          <w:rFonts w:ascii="Book Antiqua" w:eastAsia="宋体" w:hAnsi="Book Antiqua" w:cs="宋体"/>
          <w:sz w:val="24"/>
          <w:szCs w:val="24"/>
          <w:lang w:eastAsia="zh-CN"/>
        </w:rPr>
        <w:t xml:space="preserve"> V, </w:t>
      </w:r>
      <w:proofErr w:type="spellStart"/>
      <w:r w:rsidRPr="006F40E4">
        <w:rPr>
          <w:rFonts w:ascii="Book Antiqua" w:eastAsia="宋体" w:hAnsi="Book Antiqua" w:cs="宋体"/>
          <w:sz w:val="24"/>
          <w:szCs w:val="24"/>
          <w:lang w:eastAsia="zh-CN"/>
        </w:rPr>
        <w:t>Gonvers</w:t>
      </w:r>
      <w:proofErr w:type="spellEnd"/>
      <w:r w:rsidRPr="006F40E4">
        <w:rPr>
          <w:rFonts w:ascii="Book Antiqua" w:eastAsia="宋体" w:hAnsi="Book Antiqua" w:cs="宋体"/>
          <w:sz w:val="24"/>
          <w:szCs w:val="24"/>
          <w:lang w:eastAsia="zh-CN"/>
        </w:rPr>
        <w:t xml:space="preserve"> JJ, </w:t>
      </w:r>
      <w:proofErr w:type="spellStart"/>
      <w:r w:rsidRPr="006F40E4">
        <w:rPr>
          <w:rFonts w:ascii="Book Antiqua" w:eastAsia="宋体" w:hAnsi="Book Antiqua" w:cs="宋体"/>
          <w:sz w:val="24"/>
          <w:szCs w:val="24"/>
          <w:lang w:eastAsia="zh-CN"/>
        </w:rPr>
        <w:t>Burnand</w:t>
      </w:r>
      <w:proofErr w:type="spellEnd"/>
      <w:r w:rsidRPr="006F40E4">
        <w:rPr>
          <w:rFonts w:ascii="Book Antiqua" w:eastAsia="宋体" w:hAnsi="Book Antiqua" w:cs="宋体"/>
          <w:sz w:val="24"/>
          <w:szCs w:val="24"/>
          <w:lang w:eastAsia="zh-CN"/>
        </w:rPr>
        <w:t xml:space="preserve"> B, Vader JP. Impact of colonic cleansing on quality and diagnostic yield of colonoscopy: the European Panel of Appropriateness of Gastrointestinal Endoscopy European multicenter study.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2005; </w:t>
      </w:r>
      <w:r w:rsidRPr="006F40E4">
        <w:rPr>
          <w:rFonts w:ascii="Book Antiqua" w:eastAsia="宋体" w:hAnsi="Book Antiqua" w:cs="宋体"/>
          <w:b/>
          <w:bCs/>
          <w:sz w:val="24"/>
          <w:szCs w:val="24"/>
          <w:lang w:eastAsia="zh-CN"/>
        </w:rPr>
        <w:t>61</w:t>
      </w:r>
      <w:r w:rsidRPr="006F40E4">
        <w:rPr>
          <w:rFonts w:ascii="Book Antiqua" w:eastAsia="宋体" w:hAnsi="Book Antiqua" w:cs="宋体"/>
          <w:sz w:val="24"/>
          <w:szCs w:val="24"/>
          <w:lang w:eastAsia="zh-CN"/>
        </w:rPr>
        <w:t>: 378-384 [PMID: 15758907]</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2 </w:t>
      </w:r>
      <w:proofErr w:type="spellStart"/>
      <w:r w:rsidRPr="006F40E4">
        <w:rPr>
          <w:rFonts w:ascii="Book Antiqua" w:eastAsia="宋体" w:hAnsi="Book Antiqua" w:cs="宋体"/>
          <w:b/>
          <w:bCs/>
          <w:sz w:val="24"/>
          <w:szCs w:val="24"/>
          <w:lang w:eastAsia="zh-CN"/>
        </w:rPr>
        <w:t>Sherer</w:t>
      </w:r>
      <w:proofErr w:type="spellEnd"/>
      <w:r w:rsidRPr="006F40E4">
        <w:rPr>
          <w:rFonts w:ascii="Book Antiqua" w:eastAsia="宋体" w:hAnsi="Book Antiqua" w:cs="宋体"/>
          <w:b/>
          <w:bCs/>
          <w:sz w:val="24"/>
          <w:szCs w:val="24"/>
          <w:lang w:eastAsia="zh-CN"/>
        </w:rPr>
        <w:t xml:space="preserve"> EA</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Imler</w:t>
      </w:r>
      <w:proofErr w:type="spellEnd"/>
      <w:r w:rsidRPr="006F40E4">
        <w:rPr>
          <w:rFonts w:ascii="Book Antiqua" w:eastAsia="宋体" w:hAnsi="Book Antiqua" w:cs="宋体"/>
          <w:sz w:val="24"/>
          <w:szCs w:val="24"/>
          <w:lang w:eastAsia="zh-CN"/>
        </w:rPr>
        <w:t xml:space="preserve"> TD, </w:t>
      </w:r>
      <w:proofErr w:type="spellStart"/>
      <w:r w:rsidRPr="006F40E4">
        <w:rPr>
          <w:rFonts w:ascii="Book Antiqua" w:eastAsia="宋体" w:hAnsi="Book Antiqua" w:cs="宋体"/>
          <w:sz w:val="24"/>
          <w:szCs w:val="24"/>
          <w:lang w:eastAsia="zh-CN"/>
        </w:rPr>
        <w:t>Imperiale</w:t>
      </w:r>
      <w:proofErr w:type="spellEnd"/>
      <w:r w:rsidRPr="006F40E4">
        <w:rPr>
          <w:rFonts w:ascii="Book Antiqua" w:eastAsia="宋体" w:hAnsi="Book Antiqua" w:cs="宋体"/>
          <w:sz w:val="24"/>
          <w:szCs w:val="24"/>
          <w:lang w:eastAsia="zh-CN"/>
        </w:rPr>
        <w:t xml:space="preserve"> TF. </w:t>
      </w:r>
      <w:proofErr w:type="gramStart"/>
      <w:r w:rsidRPr="006F40E4">
        <w:rPr>
          <w:rFonts w:ascii="Book Antiqua" w:eastAsia="宋体" w:hAnsi="Book Antiqua" w:cs="宋体"/>
          <w:sz w:val="24"/>
          <w:szCs w:val="24"/>
          <w:lang w:eastAsia="zh-CN"/>
        </w:rPr>
        <w:t>The effect of colonoscopy preparation quality on adenoma detection rates.</w:t>
      </w:r>
      <w:proofErr w:type="gramEnd"/>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2012; </w:t>
      </w:r>
      <w:r w:rsidRPr="006F40E4">
        <w:rPr>
          <w:rFonts w:ascii="Book Antiqua" w:eastAsia="宋体" w:hAnsi="Book Antiqua" w:cs="宋体"/>
          <w:b/>
          <w:bCs/>
          <w:sz w:val="24"/>
          <w:szCs w:val="24"/>
          <w:lang w:eastAsia="zh-CN"/>
        </w:rPr>
        <w:t>75</w:t>
      </w:r>
      <w:r w:rsidRPr="006F40E4">
        <w:rPr>
          <w:rFonts w:ascii="Book Antiqua" w:eastAsia="宋体" w:hAnsi="Book Antiqua" w:cs="宋体"/>
          <w:sz w:val="24"/>
          <w:szCs w:val="24"/>
          <w:lang w:eastAsia="zh-CN"/>
        </w:rPr>
        <w:t>: 545-553 [PMID: 22138085 DOI: 10.1016/j.gie.2011.09.022]</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3 </w:t>
      </w:r>
      <w:proofErr w:type="spellStart"/>
      <w:r w:rsidRPr="006F40E4">
        <w:rPr>
          <w:rFonts w:ascii="Book Antiqua" w:eastAsia="宋体" w:hAnsi="Book Antiqua" w:cs="宋体"/>
          <w:b/>
          <w:bCs/>
          <w:sz w:val="24"/>
          <w:szCs w:val="24"/>
          <w:lang w:eastAsia="zh-CN"/>
        </w:rPr>
        <w:t>Lebwohl</w:t>
      </w:r>
      <w:proofErr w:type="spellEnd"/>
      <w:r w:rsidRPr="006F40E4">
        <w:rPr>
          <w:rFonts w:ascii="Book Antiqua" w:eastAsia="宋体" w:hAnsi="Book Antiqua" w:cs="宋体"/>
          <w:b/>
          <w:bCs/>
          <w:sz w:val="24"/>
          <w:szCs w:val="24"/>
          <w:lang w:eastAsia="zh-CN"/>
        </w:rPr>
        <w:t xml:space="preserve"> B</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Kastrinos</w:t>
      </w:r>
      <w:proofErr w:type="spellEnd"/>
      <w:r w:rsidRPr="006F40E4">
        <w:rPr>
          <w:rFonts w:ascii="Book Antiqua" w:eastAsia="宋体" w:hAnsi="Book Antiqua" w:cs="宋体"/>
          <w:sz w:val="24"/>
          <w:szCs w:val="24"/>
          <w:lang w:eastAsia="zh-CN"/>
        </w:rPr>
        <w:t xml:space="preserve"> F, Glick M, Rosenbaum AJ, Wang T, </w:t>
      </w:r>
      <w:proofErr w:type="spellStart"/>
      <w:r w:rsidRPr="006F40E4">
        <w:rPr>
          <w:rFonts w:ascii="Book Antiqua" w:eastAsia="宋体" w:hAnsi="Book Antiqua" w:cs="宋体"/>
          <w:sz w:val="24"/>
          <w:szCs w:val="24"/>
          <w:lang w:eastAsia="zh-CN"/>
        </w:rPr>
        <w:t>Neugut</w:t>
      </w:r>
      <w:proofErr w:type="spellEnd"/>
      <w:r w:rsidRPr="006F40E4">
        <w:rPr>
          <w:rFonts w:ascii="Book Antiqua" w:eastAsia="宋体" w:hAnsi="Book Antiqua" w:cs="宋体"/>
          <w:sz w:val="24"/>
          <w:szCs w:val="24"/>
          <w:lang w:eastAsia="zh-CN"/>
        </w:rPr>
        <w:t xml:space="preserve"> AI. The impact of suboptimal bowel preparation on adenoma miss rates and the factors associated with early repeat colonoscopy.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2011; </w:t>
      </w:r>
      <w:r w:rsidRPr="006F40E4">
        <w:rPr>
          <w:rFonts w:ascii="Book Antiqua" w:eastAsia="宋体" w:hAnsi="Book Antiqua" w:cs="宋体"/>
          <w:b/>
          <w:bCs/>
          <w:sz w:val="24"/>
          <w:szCs w:val="24"/>
          <w:lang w:eastAsia="zh-CN"/>
        </w:rPr>
        <w:t>73</w:t>
      </w:r>
      <w:r w:rsidRPr="006F40E4">
        <w:rPr>
          <w:rFonts w:ascii="Book Antiqua" w:eastAsia="宋体" w:hAnsi="Book Antiqua" w:cs="宋体"/>
          <w:sz w:val="24"/>
          <w:szCs w:val="24"/>
          <w:lang w:eastAsia="zh-CN"/>
        </w:rPr>
        <w:t>: 1207-1214 [PMID: 21481857 DOI: 10.1016/j.gie.2011.01.051]</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4 </w:t>
      </w:r>
      <w:r w:rsidRPr="006F40E4">
        <w:rPr>
          <w:rFonts w:ascii="Book Antiqua" w:eastAsia="宋体" w:hAnsi="Book Antiqua" w:cs="宋体"/>
          <w:b/>
          <w:bCs/>
          <w:sz w:val="24"/>
          <w:szCs w:val="24"/>
          <w:lang w:eastAsia="zh-CN"/>
        </w:rPr>
        <w:t>Hong SN</w:t>
      </w:r>
      <w:r w:rsidRPr="006F40E4">
        <w:rPr>
          <w:rFonts w:ascii="Book Antiqua" w:eastAsia="宋体" w:hAnsi="Book Antiqua" w:cs="宋体"/>
          <w:sz w:val="24"/>
          <w:szCs w:val="24"/>
          <w:lang w:eastAsia="zh-CN"/>
        </w:rPr>
        <w:t xml:space="preserve">, Sung IK, Kim JH, </w:t>
      </w:r>
      <w:proofErr w:type="spellStart"/>
      <w:r w:rsidRPr="006F40E4">
        <w:rPr>
          <w:rFonts w:ascii="Book Antiqua" w:eastAsia="宋体" w:hAnsi="Book Antiqua" w:cs="宋体"/>
          <w:sz w:val="24"/>
          <w:szCs w:val="24"/>
          <w:lang w:eastAsia="zh-CN"/>
        </w:rPr>
        <w:t>Choe</w:t>
      </w:r>
      <w:proofErr w:type="spellEnd"/>
      <w:r w:rsidRPr="006F40E4">
        <w:rPr>
          <w:rFonts w:ascii="Book Antiqua" w:eastAsia="宋体" w:hAnsi="Book Antiqua" w:cs="宋体"/>
          <w:sz w:val="24"/>
          <w:szCs w:val="24"/>
          <w:lang w:eastAsia="zh-CN"/>
        </w:rPr>
        <w:t xml:space="preserve"> WH, Kim BK, </w:t>
      </w:r>
      <w:proofErr w:type="spellStart"/>
      <w:r w:rsidRPr="006F40E4">
        <w:rPr>
          <w:rFonts w:ascii="Book Antiqua" w:eastAsia="宋体" w:hAnsi="Book Antiqua" w:cs="宋体"/>
          <w:sz w:val="24"/>
          <w:szCs w:val="24"/>
          <w:lang w:eastAsia="zh-CN"/>
        </w:rPr>
        <w:t>Ko</w:t>
      </w:r>
      <w:proofErr w:type="spellEnd"/>
      <w:r w:rsidRPr="006F40E4">
        <w:rPr>
          <w:rFonts w:ascii="Book Antiqua" w:eastAsia="宋体" w:hAnsi="Book Antiqua" w:cs="宋体"/>
          <w:sz w:val="24"/>
          <w:szCs w:val="24"/>
          <w:lang w:eastAsia="zh-CN"/>
        </w:rPr>
        <w:t xml:space="preserve"> SY, Lee JH, </w:t>
      </w:r>
      <w:proofErr w:type="spellStart"/>
      <w:r w:rsidRPr="006F40E4">
        <w:rPr>
          <w:rFonts w:ascii="Book Antiqua" w:eastAsia="宋体" w:hAnsi="Book Antiqua" w:cs="宋体"/>
          <w:sz w:val="24"/>
          <w:szCs w:val="24"/>
          <w:lang w:eastAsia="zh-CN"/>
        </w:rPr>
        <w:t>Seol</w:t>
      </w:r>
      <w:proofErr w:type="spellEnd"/>
      <w:r w:rsidRPr="006F40E4">
        <w:rPr>
          <w:rFonts w:ascii="Book Antiqua" w:eastAsia="宋体" w:hAnsi="Book Antiqua" w:cs="宋体"/>
          <w:sz w:val="24"/>
          <w:szCs w:val="24"/>
          <w:lang w:eastAsia="zh-CN"/>
        </w:rPr>
        <w:t xml:space="preserve"> DC, </w:t>
      </w:r>
      <w:proofErr w:type="spellStart"/>
      <w:r w:rsidRPr="006F40E4">
        <w:rPr>
          <w:rFonts w:ascii="Book Antiqua" w:eastAsia="宋体" w:hAnsi="Book Antiqua" w:cs="宋体"/>
          <w:sz w:val="24"/>
          <w:szCs w:val="24"/>
          <w:lang w:eastAsia="zh-CN"/>
        </w:rPr>
        <w:t>Ahn</w:t>
      </w:r>
      <w:proofErr w:type="spellEnd"/>
      <w:r w:rsidRPr="006F40E4">
        <w:rPr>
          <w:rFonts w:ascii="Book Antiqua" w:eastAsia="宋体" w:hAnsi="Book Antiqua" w:cs="宋体"/>
          <w:sz w:val="24"/>
          <w:szCs w:val="24"/>
          <w:lang w:eastAsia="zh-CN"/>
        </w:rPr>
        <w:t xml:space="preserve"> SY, Lee SY, Park HS, Shim CS. The Effect of the Bowel Preparation Status on the Risk of Missing Polyp and Adenoma during Screening Colonoscopy: A Tandem </w:t>
      </w:r>
      <w:proofErr w:type="spellStart"/>
      <w:r w:rsidRPr="006F40E4">
        <w:rPr>
          <w:rFonts w:ascii="Book Antiqua" w:eastAsia="宋体" w:hAnsi="Book Antiqua" w:cs="宋体"/>
          <w:sz w:val="24"/>
          <w:szCs w:val="24"/>
          <w:lang w:eastAsia="zh-CN"/>
        </w:rPr>
        <w:t>Colonoscopic</w:t>
      </w:r>
      <w:proofErr w:type="spellEnd"/>
      <w:r w:rsidRPr="006F40E4">
        <w:rPr>
          <w:rFonts w:ascii="Book Antiqua" w:eastAsia="宋体" w:hAnsi="Book Antiqua" w:cs="宋体"/>
          <w:sz w:val="24"/>
          <w:szCs w:val="24"/>
          <w:lang w:eastAsia="zh-CN"/>
        </w:rPr>
        <w:t xml:space="preserve"> Study. </w:t>
      </w:r>
      <w:proofErr w:type="spellStart"/>
      <w:r w:rsidRPr="006F40E4">
        <w:rPr>
          <w:rFonts w:ascii="Book Antiqua" w:eastAsia="宋体" w:hAnsi="Book Antiqua" w:cs="宋体"/>
          <w:i/>
          <w:iCs/>
          <w:sz w:val="24"/>
          <w:szCs w:val="24"/>
          <w:lang w:eastAsia="zh-CN"/>
        </w:rPr>
        <w:t>Clin</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2012; </w:t>
      </w:r>
      <w:r w:rsidRPr="006F40E4">
        <w:rPr>
          <w:rFonts w:ascii="Book Antiqua" w:eastAsia="宋体" w:hAnsi="Book Antiqua" w:cs="宋体"/>
          <w:b/>
          <w:bCs/>
          <w:sz w:val="24"/>
          <w:szCs w:val="24"/>
          <w:lang w:eastAsia="zh-CN"/>
        </w:rPr>
        <w:t>45</w:t>
      </w:r>
      <w:r w:rsidRPr="006F40E4">
        <w:rPr>
          <w:rFonts w:ascii="Book Antiqua" w:eastAsia="宋体" w:hAnsi="Book Antiqua" w:cs="宋体"/>
          <w:sz w:val="24"/>
          <w:szCs w:val="24"/>
          <w:lang w:eastAsia="zh-CN"/>
        </w:rPr>
        <w:t>: 404-411 [PMID: 23251889 DOI: 10.5946/ce.2012.45.4.404]</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5 </w:t>
      </w:r>
      <w:proofErr w:type="spellStart"/>
      <w:r w:rsidRPr="006F40E4">
        <w:rPr>
          <w:rFonts w:ascii="Book Antiqua" w:eastAsia="宋体" w:hAnsi="Book Antiqua" w:cs="宋体"/>
          <w:b/>
          <w:bCs/>
          <w:sz w:val="24"/>
          <w:szCs w:val="24"/>
          <w:lang w:eastAsia="zh-CN"/>
        </w:rPr>
        <w:t>Chokshi</w:t>
      </w:r>
      <w:proofErr w:type="spellEnd"/>
      <w:r w:rsidRPr="006F40E4">
        <w:rPr>
          <w:rFonts w:ascii="Book Antiqua" w:eastAsia="宋体" w:hAnsi="Book Antiqua" w:cs="宋体"/>
          <w:b/>
          <w:bCs/>
          <w:sz w:val="24"/>
          <w:szCs w:val="24"/>
          <w:lang w:eastAsia="zh-CN"/>
        </w:rPr>
        <w:t xml:space="preserve"> RV</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Hovis</w:t>
      </w:r>
      <w:proofErr w:type="spellEnd"/>
      <w:r w:rsidRPr="006F40E4">
        <w:rPr>
          <w:rFonts w:ascii="Book Antiqua" w:eastAsia="宋体" w:hAnsi="Book Antiqua" w:cs="宋体"/>
          <w:sz w:val="24"/>
          <w:szCs w:val="24"/>
          <w:lang w:eastAsia="zh-CN"/>
        </w:rPr>
        <w:t xml:space="preserve"> CE, Hollander T, Early DS, Wang JS. Prevalence of missed adenomas in patients with inadequate bowel preparation on screening colonoscopy.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2012; </w:t>
      </w:r>
      <w:r w:rsidRPr="006F40E4">
        <w:rPr>
          <w:rFonts w:ascii="Book Antiqua" w:eastAsia="宋体" w:hAnsi="Book Antiqua" w:cs="宋体"/>
          <w:b/>
          <w:bCs/>
          <w:sz w:val="24"/>
          <w:szCs w:val="24"/>
          <w:lang w:eastAsia="zh-CN"/>
        </w:rPr>
        <w:t>75</w:t>
      </w:r>
      <w:r w:rsidRPr="006F40E4">
        <w:rPr>
          <w:rFonts w:ascii="Book Antiqua" w:eastAsia="宋体" w:hAnsi="Book Antiqua" w:cs="宋体"/>
          <w:sz w:val="24"/>
          <w:szCs w:val="24"/>
          <w:lang w:eastAsia="zh-CN"/>
        </w:rPr>
        <w:t>: 1197-1203 [PMID: 22381531 DOI: 10.1016/j.gie.2012.01.005]</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6 </w:t>
      </w:r>
      <w:r w:rsidRPr="006F40E4">
        <w:rPr>
          <w:rFonts w:ascii="Book Antiqua" w:eastAsia="宋体" w:hAnsi="Book Antiqua" w:cs="宋体"/>
          <w:b/>
          <w:bCs/>
          <w:sz w:val="24"/>
          <w:szCs w:val="24"/>
          <w:lang w:eastAsia="zh-CN"/>
        </w:rPr>
        <w:t>Holt EW</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Yimam</w:t>
      </w:r>
      <w:proofErr w:type="spellEnd"/>
      <w:r w:rsidRPr="006F40E4">
        <w:rPr>
          <w:rFonts w:ascii="Book Antiqua" w:eastAsia="宋体" w:hAnsi="Book Antiqua" w:cs="宋体"/>
          <w:sz w:val="24"/>
          <w:szCs w:val="24"/>
          <w:lang w:eastAsia="zh-CN"/>
        </w:rPr>
        <w:t xml:space="preserve"> KK, Ma H, Shaw RE, </w:t>
      </w:r>
      <w:proofErr w:type="spellStart"/>
      <w:r w:rsidRPr="006F40E4">
        <w:rPr>
          <w:rFonts w:ascii="Book Antiqua" w:eastAsia="宋体" w:hAnsi="Book Antiqua" w:cs="宋体"/>
          <w:sz w:val="24"/>
          <w:szCs w:val="24"/>
          <w:lang w:eastAsia="zh-CN"/>
        </w:rPr>
        <w:t>Sundberg</w:t>
      </w:r>
      <w:proofErr w:type="spellEnd"/>
      <w:r w:rsidRPr="006F40E4">
        <w:rPr>
          <w:rFonts w:ascii="Book Antiqua" w:eastAsia="宋体" w:hAnsi="Book Antiqua" w:cs="宋体"/>
          <w:sz w:val="24"/>
          <w:szCs w:val="24"/>
          <w:lang w:eastAsia="zh-CN"/>
        </w:rPr>
        <w:t xml:space="preserve"> RA, </w:t>
      </w:r>
      <w:proofErr w:type="spellStart"/>
      <w:r w:rsidRPr="006F40E4">
        <w:rPr>
          <w:rFonts w:ascii="Book Antiqua" w:eastAsia="宋体" w:hAnsi="Book Antiqua" w:cs="宋体"/>
          <w:sz w:val="24"/>
          <w:szCs w:val="24"/>
          <w:lang w:eastAsia="zh-CN"/>
        </w:rPr>
        <w:t>Verhille</w:t>
      </w:r>
      <w:proofErr w:type="spellEnd"/>
      <w:r w:rsidRPr="006F40E4">
        <w:rPr>
          <w:rFonts w:ascii="Book Antiqua" w:eastAsia="宋体" w:hAnsi="Book Antiqua" w:cs="宋体"/>
          <w:sz w:val="24"/>
          <w:szCs w:val="24"/>
          <w:lang w:eastAsia="zh-CN"/>
        </w:rPr>
        <w:t xml:space="preserve"> MS. Patient tolerability of bowel preparation is associated with polyp detection rate during colonoscopy. </w:t>
      </w:r>
      <w:r w:rsidRPr="006F40E4">
        <w:rPr>
          <w:rFonts w:ascii="Book Antiqua" w:eastAsia="宋体" w:hAnsi="Book Antiqua" w:cs="宋体"/>
          <w:i/>
          <w:iCs/>
          <w:sz w:val="24"/>
          <w:szCs w:val="24"/>
          <w:lang w:eastAsia="zh-CN"/>
        </w:rPr>
        <w:t xml:space="preserve">J </w:t>
      </w:r>
      <w:proofErr w:type="spellStart"/>
      <w:r w:rsidRPr="006F40E4">
        <w:rPr>
          <w:rFonts w:ascii="Book Antiqua" w:eastAsia="宋体" w:hAnsi="Book Antiqua" w:cs="宋体"/>
          <w:i/>
          <w:iCs/>
          <w:sz w:val="24"/>
          <w:szCs w:val="24"/>
          <w:lang w:eastAsia="zh-CN"/>
        </w:rPr>
        <w:t>Gastrointestin</w:t>
      </w:r>
      <w:proofErr w:type="spellEnd"/>
      <w:r w:rsidRPr="006F40E4">
        <w:rPr>
          <w:rFonts w:ascii="Book Antiqua" w:eastAsia="宋体" w:hAnsi="Book Antiqua" w:cs="宋体"/>
          <w:i/>
          <w:iCs/>
          <w:sz w:val="24"/>
          <w:szCs w:val="24"/>
          <w:lang w:eastAsia="zh-CN"/>
        </w:rPr>
        <w:t xml:space="preserve"> Liver Dis</w:t>
      </w:r>
      <w:r w:rsidRPr="006F40E4">
        <w:rPr>
          <w:rFonts w:ascii="Book Antiqua" w:eastAsia="宋体" w:hAnsi="Book Antiqua" w:cs="宋体"/>
          <w:sz w:val="24"/>
          <w:szCs w:val="24"/>
          <w:lang w:eastAsia="zh-CN"/>
        </w:rPr>
        <w:t xml:space="preserve"> 2014; </w:t>
      </w:r>
      <w:r w:rsidRPr="006F40E4">
        <w:rPr>
          <w:rFonts w:ascii="Book Antiqua" w:eastAsia="宋体" w:hAnsi="Book Antiqua" w:cs="宋体"/>
          <w:b/>
          <w:bCs/>
          <w:sz w:val="24"/>
          <w:szCs w:val="24"/>
          <w:lang w:eastAsia="zh-CN"/>
        </w:rPr>
        <w:t>23</w:t>
      </w:r>
      <w:r w:rsidRPr="006F40E4">
        <w:rPr>
          <w:rFonts w:ascii="Book Antiqua" w:eastAsia="宋体" w:hAnsi="Book Antiqua" w:cs="宋体"/>
          <w:sz w:val="24"/>
          <w:szCs w:val="24"/>
          <w:lang w:eastAsia="zh-CN"/>
        </w:rPr>
        <w:t>: 135-140 [PMID: 24949604]</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7 </w:t>
      </w:r>
      <w:r w:rsidRPr="006F40E4">
        <w:rPr>
          <w:rFonts w:ascii="Book Antiqua" w:eastAsia="宋体" w:hAnsi="Book Antiqua" w:cs="宋体"/>
          <w:b/>
          <w:bCs/>
          <w:sz w:val="24"/>
          <w:szCs w:val="24"/>
          <w:lang w:eastAsia="zh-CN"/>
        </w:rPr>
        <w:t>Kumar AS</w:t>
      </w:r>
      <w:r w:rsidRPr="006F40E4">
        <w:rPr>
          <w:rFonts w:ascii="Book Antiqua" w:eastAsia="宋体" w:hAnsi="Book Antiqua" w:cs="宋体"/>
          <w:sz w:val="24"/>
          <w:szCs w:val="24"/>
          <w:lang w:eastAsia="zh-CN"/>
        </w:rPr>
        <w:t xml:space="preserve">, Kelleher DC, </w:t>
      </w:r>
      <w:proofErr w:type="spellStart"/>
      <w:r w:rsidRPr="006F40E4">
        <w:rPr>
          <w:rFonts w:ascii="Book Antiqua" w:eastAsia="宋体" w:hAnsi="Book Antiqua" w:cs="宋体"/>
          <w:sz w:val="24"/>
          <w:szCs w:val="24"/>
          <w:lang w:eastAsia="zh-CN"/>
        </w:rPr>
        <w:t>Sigle</w:t>
      </w:r>
      <w:proofErr w:type="spellEnd"/>
      <w:r w:rsidRPr="006F40E4">
        <w:rPr>
          <w:rFonts w:ascii="Book Antiqua" w:eastAsia="宋体" w:hAnsi="Book Antiqua" w:cs="宋体"/>
          <w:sz w:val="24"/>
          <w:szCs w:val="24"/>
          <w:lang w:eastAsia="zh-CN"/>
        </w:rPr>
        <w:t xml:space="preserve"> GW.</w:t>
      </w:r>
      <w:proofErr w:type="gramEnd"/>
      <w:r w:rsidRPr="006F40E4">
        <w:rPr>
          <w:rFonts w:ascii="Book Antiqua" w:eastAsia="宋体" w:hAnsi="Book Antiqua" w:cs="宋体"/>
          <w:sz w:val="24"/>
          <w:szCs w:val="24"/>
          <w:lang w:eastAsia="zh-CN"/>
        </w:rPr>
        <w:t xml:space="preserve"> </w:t>
      </w:r>
      <w:proofErr w:type="gramStart"/>
      <w:r w:rsidRPr="006F40E4">
        <w:rPr>
          <w:rFonts w:ascii="Book Antiqua" w:eastAsia="宋体" w:hAnsi="Book Antiqua" w:cs="宋体"/>
          <w:sz w:val="24"/>
          <w:szCs w:val="24"/>
          <w:lang w:eastAsia="zh-CN"/>
        </w:rPr>
        <w:t>Bowel Preparation before Elective Surgery.</w:t>
      </w:r>
      <w:proofErr w:type="gramEnd"/>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i/>
          <w:iCs/>
          <w:sz w:val="24"/>
          <w:szCs w:val="24"/>
          <w:lang w:eastAsia="zh-CN"/>
        </w:rPr>
        <w:t>Clin</w:t>
      </w:r>
      <w:proofErr w:type="spellEnd"/>
      <w:r w:rsidRPr="006F40E4">
        <w:rPr>
          <w:rFonts w:ascii="Book Antiqua" w:eastAsia="宋体" w:hAnsi="Book Antiqua" w:cs="宋体"/>
          <w:i/>
          <w:iCs/>
          <w:sz w:val="24"/>
          <w:szCs w:val="24"/>
          <w:lang w:eastAsia="zh-CN"/>
        </w:rPr>
        <w:t xml:space="preserve"> Colon Rectal </w:t>
      </w:r>
      <w:proofErr w:type="spellStart"/>
      <w:r w:rsidRPr="006F40E4">
        <w:rPr>
          <w:rFonts w:ascii="Book Antiqua" w:eastAsia="宋体" w:hAnsi="Book Antiqua" w:cs="宋体"/>
          <w:i/>
          <w:iCs/>
          <w:sz w:val="24"/>
          <w:szCs w:val="24"/>
          <w:lang w:eastAsia="zh-CN"/>
        </w:rPr>
        <w:t>Surg</w:t>
      </w:r>
      <w:proofErr w:type="spellEnd"/>
      <w:r w:rsidRPr="006F40E4">
        <w:rPr>
          <w:rFonts w:ascii="Book Antiqua" w:eastAsia="宋体" w:hAnsi="Book Antiqua" w:cs="宋体"/>
          <w:sz w:val="24"/>
          <w:szCs w:val="24"/>
          <w:lang w:eastAsia="zh-CN"/>
        </w:rPr>
        <w:t xml:space="preserve"> 2013; </w:t>
      </w:r>
      <w:r w:rsidRPr="006F40E4">
        <w:rPr>
          <w:rFonts w:ascii="Book Antiqua" w:eastAsia="宋体" w:hAnsi="Book Antiqua" w:cs="宋体"/>
          <w:b/>
          <w:bCs/>
          <w:sz w:val="24"/>
          <w:szCs w:val="24"/>
          <w:lang w:eastAsia="zh-CN"/>
        </w:rPr>
        <w:t>26</w:t>
      </w:r>
      <w:r w:rsidRPr="006F40E4">
        <w:rPr>
          <w:rFonts w:ascii="Book Antiqua" w:eastAsia="宋体" w:hAnsi="Book Antiqua" w:cs="宋体"/>
          <w:sz w:val="24"/>
          <w:szCs w:val="24"/>
          <w:lang w:eastAsia="zh-CN"/>
        </w:rPr>
        <w:t>: 146-152 [PMID: 24436665 DOI: 10.1055/s-0033-1351129]</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8 </w:t>
      </w:r>
      <w:proofErr w:type="spellStart"/>
      <w:r w:rsidRPr="006F40E4">
        <w:rPr>
          <w:rFonts w:ascii="Book Antiqua" w:eastAsia="宋体" w:hAnsi="Book Antiqua" w:cs="宋体"/>
          <w:b/>
          <w:bCs/>
          <w:sz w:val="24"/>
          <w:szCs w:val="24"/>
          <w:lang w:eastAsia="zh-CN"/>
        </w:rPr>
        <w:t>Kazarian</w:t>
      </w:r>
      <w:proofErr w:type="spellEnd"/>
      <w:r w:rsidRPr="006F40E4">
        <w:rPr>
          <w:rFonts w:ascii="Book Antiqua" w:eastAsia="宋体" w:hAnsi="Book Antiqua" w:cs="宋体"/>
          <w:b/>
          <w:bCs/>
          <w:sz w:val="24"/>
          <w:szCs w:val="24"/>
          <w:lang w:eastAsia="zh-CN"/>
        </w:rPr>
        <w:t xml:space="preserve"> ES</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Carreira</w:t>
      </w:r>
      <w:proofErr w:type="spellEnd"/>
      <w:r w:rsidRPr="006F40E4">
        <w:rPr>
          <w:rFonts w:ascii="Book Antiqua" w:eastAsia="宋体" w:hAnsi="Book Antiqua" w:cs="宋体"/>
          <w:sz w:val="24"/>
          <w:szCs w:val="24"/>
          <w:lang w:eastAsia="zh-CN"/>
        </w:rPr>
        <w:t xml:space="preserve"> FS, </w:t>
      </w:r>
      <w:proofErr w:type="spellStart"/>
      <w:r w:rsidRPr="006F40E4">
        <w:rPr>
          <w:rFonts w:ascii="Book Antiqua" w:eastAsia="宋体" w:hAnsi="Book Antiqua" w:cs="宋体"/>
          <w:sz w:val="24"/>
          <w:szCs w:val="24"/>
          <w:lang w:eastAsia="zh-CN"/>
        </w:rPr>
        <w:t>Toribara</w:t>
      </w:r>
      <w:proofErr w:type="spellEnd"/>
      <w:r w:rsidRPr="006F40E4">
        <w:rPr>
          <w:rFonts w:ascii="Book Antiqua" w:eastAsia="宋体" w:hAnsi="Book Antiqua" w:cs="宋体"/>
          <w:sz w:val="24"/>
          <w:szCs w:val="24"/>
          <w:lang w:eastAsia="zh-CN"/>
        </w:rPr>
        <w:t xml:space="preserve"> NW, </w:t>
      </w:r>
      <w:proofErr w:type="spellStart"/>
      <w:r w:rsidRPr="006F40E4">
        <w:rPr>
          <w:rFonts w:ascii="Book Antiqua" w:eastAsia="宋体" w:hAnsi="Book Antiqua" w:cs="宋体"/>
          <w:sz w:val="24"/>
          <w:szCs w:val="24"/>
          <w:lang w:eastAsia="zh-CN"/>
        </w:rPr>
        <w:t>Denberg</w:t>
      </w:r>
      <w:proofErr w:type="spellEnd"/>
      <w:r w:rsidRPr="006F40E4">
        <w:rPr>
          <w:rFonts w:ascii="Book Antiqua" w:eastAsia="宋体" w:hAnsi="Book Antiqua" w:cs="宋体"/>
          <w:sz w:val="24"/>
          <w:szCs w:val="24"/>
          <w:lang w:eastAsia="zh-CN"/>
        </w:rPr>
        <w:t xml:space="preserve"> TD.</w:t>
      </w:r>
      <w:proofErr w:type="gramEnd"/>
      <w:r w:rsidRPr="006F40E4">
        <w:rPr>
          <w:rFonts w:ascii="Book Antiqua" w:eastAsia="宋体" w:hAnsi="Book Antiqua" w:cs="宋体"/>
          <w:sz w:val="24"/>
          <w:szCs w:val="24"/>
          <w:lang w:eastAsia="zh-CN"/>
        </w:rPr>
        <w:t xml:space="preserve"> </w:t>
      </w:r>
      <w:proofErr w:type="gramStart"/>
      <w:r w:rsidRPr="006F40E4">
        <w:rPr>
          <w:rFonts w:ascii="Book Antiqua" w:eastAsia="宋体" w:hAnsi="Book Antiqua" w:cs="宋体"/>
          <w:sz w:val="24"/>
          <w:szCs w:val="24"/>
          <w:lang w:eastAsia="zh-CN"/>
        </w:rPr>
        <w:t>Colonoscopy completion in a large safety net health care system.</w:t>
      </w:r>
      <w:proofErr w:type="gramEnd"/>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i/>
          <w:iCs/>
          <w:sz w:val="24"/>
          <w:szCs w:val="24"/>
          <w:lang w:eastAsia="zh-CN"/>
        </w:rPr>
        <w:t>Clin</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Hepatol</w:t>
      </w:r>
      <w:proofErr w:type="spellEnd"/>
      <w:r w:rsidRPr="006F40E4">
        <w:rPr>
          <w:rFonts w:ascii="Book Antiqua" w:eastAsia="宋体" w:hAnsi="Book Antiqua" w:cs="宋体"/>
          <w:sz w:val="24"/>
          <w:szCs w:val="24"/>
          <w:lang w:eastAsia="zh-CN"/>
        </w:rPr>
        <w:t xml:space="preserve"> 2008; </w:t>
      </w:r>
      <w:r w:rsidRPr="006F40E4">
        <w:rPr>
          <w:rFonts w:ascii="Book Antiqua" w:eastAsia="宋体" w:hAnsi="Book Antiqua" w:cs="宋体"/>
          <w:b/>
          <w:bCs/>
          <w:sz w:val="24"/>
          <w:szCs w:val="24"/>
          <w:lang w:eastAsia="zh-CN"/>
        </w:rPr>
        <w:t>6</w:t>
      </w:r>
      <w:r w:rsidRPr="006F40E4">
        <w:rPr>
          <w:rFonts w:ascii="Book Antiqua" w:eastAsia="宋体" w:hAnsi="Book Antiqua" w:cs="宋体"/>
          <w:sz w:val="24"/>
          <w:szCs w:val="24"/>
          <w:lang w:eastAsia="zh-CN"/>
        </w:rPr>
        <w:t>: 438-442 [PMID: 18304886 DOI: 10.1016/j.cgh.2007.12.003]</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9 </w:t>
      </w:r>
      <w:proofErr w:type="spellStart"/>
      <w:r w:rsidRPr="006F40E4">
        <w:rPr>
          <w:rFonts w:ascii="Book Antiqua" w:eastAsia="宋体" w:hAnsi="Book Antiqua" w:cs="宋体"/>
          <w:b/>
          <w:bCs/>
          <w:sz w:val="24"/>
          <w:szCs w:val="24"/>
          <w:lang w:eastAsia="zh-CN"/>
        </w:rPr>
        <w:t>Hillyer</w:t>
      </w:r>
      <w:proofErr w:type="spellEnd"/>
      <w:r w:rsidRPr="006F40E4">
        <w:rPr>
          <w:rFonts w:ascii="Book Antiqua" w:eastAsia="宋体" w:hAnsi="Book Antiqua" w:cs="宋体"/>
          <w:b/>
          <w:bCs/>
          <w:sz w:val="24"/>
          <w:szCs w:val="24"/>
          <w:lang w:eastAsia="zh-CN"/>
        </w:rPr>
        <w:t xml:space="preserve"> GC</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Basch</w:t>
      </w:r>
      <w:proofErr w:type="spellEnd"/>
      <w:r w:rsidRPr="006F40E4">
        <w:rPr>
          <w:rFonts w:ascii="Book Antiqua" w:eastAsia="宋体" w:hAnsi="Book Antiqua" w:cs="宋体"/>
          <w:sz w:val="24"/>
          <w:szCs w:val="24"/>
          <w:lang w:eastAsia="zh-CN"/>
        </w:rPr>
        <w:t xml:space="preserve"> CH, </w:t>
      </w:r>
      <w:proofErr w:type="spellStart"/>
      <w:r w:rsidRPr="006F40E4">
        <w:rPr>
          <w:rFonts w:ascii="Book Antiqua" w:eastAsia="宋体" w:hAnsi="Book Antiqua" w:cs="宋体"/>
          <w:sz w:val="24"/>
          <w:szCs w:val="24"/>
          <w:lang w:eastAsia="zh-CN"/>
        </w:rPr>
        <w:t>Lebwohl</w:t>
      </w:r>
      <w:proofErr w:type="spellEnd"/>
      <w:r w:rsidRPr="006F40E4">
        <w:rPr>
          <w:rFonts w:ascii="Book Antiqua" w:eastAsia="宋体" w:hAnsi="Book Antiqua" w:cs="宋体"/>
          <w:sz w:val="24"/>
          <w:szCs w:val="24"/>
          <w:lang w:eastAsia="zh-CN"/>
        </w:rPr>
        <w:t xml:space="preserve"> B, </w:t>
      </w:r>
      <w:proofErr w:type="spellStart"/>
      <w:r w:rsidRPr="006F40E4">
        <w:rPr>
          <w:rFonts w:ascii="Book Antiqua" w:eastAsia="宋体" w:hAnsi="Book Antiqua" w:cs="宋体"/>
          <w:sz w:val="24"/>
          <w:szCs w:val="24"/>
          <w:lang w:eastAsia="zh-CN"/>
        </w:rPr>
        <w:t>Basch</w:t>
      </w:r>
      <w:proofErr w:type="spellEnd"/>
      <w:r w:rsidRPr="006F40E4">
        <w:rPr>
          <w:rFonts w:ascii="Book Antiqua" w:eastAsia="宋体" w:hAnsi="Book Antiqua" w:cs="宋体"/>
          <w:sz w:val="24"/>
          <w:szCs w:val="24"/>
          <w:lang w:eastAsia="zh-CN"/>
        </w:rPr>
        <w:t xml:space="preserve"> CE, </w:t>
      </w:r>
      <w:proofErr w:type="spellStart"/>
      <w:r w:rsidRPr="006F40E4">
        <w:rPr>
          <w:rFonts w:ascii="Book Antiqua" w:eastAsia="宋体" w:hAnsi="Book Antiqua" w:cs="宋体"/>
          <w:sz w:val="24"/>
          <w:szCs w:val="24"/>
          <w:lang w:eastAsia="zh-CN"/>
        </w:rPr>
        <w:t>Kastrinos</w:t>
      </w:r>
      <w:proofErr w:type="spellEnd"/>
      <w:r w:rsidRPr="006F40E4">
        <w:rPr>
          <w:rFonts w:ascii="Book Antiqua" w:eastAsia="宋体" w:hAnsi="Book Antiqua" w:cs="宋体"/>
          <w:sz w:val="24"/>
          <w:szCs w:val="24"/>
          <w:lang w:eastAsia="zh-CN"/>
        </w:rPr>
        <w:t xml:space="preserve"> F, </w:t>
      </w:r>
      <w:proofErr w:type="spellStart"/>
      <w:r w:rsidRPr="006F40E4">
        <w:rPr>
          <w:rFonts w:ascii="Book Antiqua" w:eastAsia="宋体" w:hAnsi="Book Antiqua" w:cs="宋体"/>
          <w:sz w:val="24"/>
          <w:szCs w:val="24"/>
          <w:lang w:eastAsia="zh-CN"/>
        </w:rPr>
        <w:t>Insel</w:t>
      </w:r>
      <w:proofErr w:type="spellEnd"/>
      <w:r w:rsidRPr="006F40E4">
        <w:rPr>
          <w:rFonts w:ascii="Book Antiqua" w:eastAsia="宋体" w:hAnsi="Book Antiqua" w:cs="宋体"/>
          <w:sz w:val="24"/>
          <w:szCs w:val="24"/>
          <w:lang w:eastAsia="zh-CN"/>
        </w:rPr>
        <w:t xml:space="preserve"> BJ, </w:t>
      </w:r>
      <w:proofErr w:type="spellStart"/>
      <w:r w:rsidRPr="006F40E4">
        <w:rPr>
          <w:rFonts w:ascii="Book Antiqua" w:eastAsia="宋体" w:hAnsi="Book Antiqua" w:cs="宋体"/>
          <w:sz w:val="24"/>
          <w:szCs w:val="24"/>
          <w:lang w:eastAsia="zh-CN"/>
        </w:rPr>
        <w:t>Neugut</w:t>
      </w:r>
      <w:proofErr w:type="spellEnd"/>
      <w:r w:rsidRPr="006F40E4">
        <w:rPr>
          <w:rFonts w:ascii="Book Antiqua" w:eastAsia="宋体" w:hAnsi="Book Antiqua" w:cs="宋体"/>
          <w:sz w:val="24"/>
          <w:szCs w:val="24"/>
          <w:lang w:eastAsia="zh-CN"/>
        </w:rPr>
        <w:t xml:space="preserve"> AI. Shortened surveillance intervals following suboptimal bowel preparation for </w:t>
      </w:r>
      <w:r w:rsidRPr="006F40E4">
        <w:rPr>
          <w:rFonts w:ascii="Book Antiqua" w:eastAsia="宋体" w:hAnsi="Book Antiqua" w:cs="宋体"/>
          <w:sz w:val="24"/>
          <w:szCs w:val="24"/>
          <w:lang w:eastAsia="zh-CN"/>
        </w:rPr>
        <w:lastRenderedPageBreak/>
        <w:t xml:space="preserve">colonoscopy: results of a national survey. </w:t>
      </w:r>
      <w:proofErr w:type="spellStart"/>
      <w:r w:rsidRPr="006F40E4">
        <w:rPr>
          <w:rFonts w:ascii="Book Antiqua" w:eastAsia="宋体" w:hAnsi="Book Antiqua" w:cs="宋体"/>
          <w:i/>
          <w:iCs/>
          <w:sz w:val="24"/>
          <w:szCs w:val="24"/>
          <w:lang w:eastAsia="zh-CN"/>
        </w:rPr>
        <w:t>Int</w:t>
      </w:r>
      <w:proofErr w:type="spellEnd"/>
      <w:r w:rsidRPr="006F40E4">
        <w:rPr>
          <w:rFonts w:ascii="Book Antiqua" w:eastAsia="宋体" w:hAnsi="Book Antiqua" w:cs="宋体"/>
          <w:i/>
          <w:iCs/>
          <w:sz w:val="24"/>
          <w:szCs w:val="24"/>
          <w:lang w:eastAsia="zh-CN"/>
        </w:rPr>
        <w:t xml:space="preserve"> J Colorectal Dis</w:t>
      </w:r>
      <w:r w:rsidRPr="006F40E4">
        <w:rPr>
          <w:rFonts w:ascii="Book Antiqua" w:eastAsia="宋体" w:hAnsi="Book Antiqua" w:cs="宋体"/>
          <w:sz w:val="24"/>
          <w:szCs w:val="24"/>
          <w:lang w:eastAsia="zh-CN"/>
        </w:rPr>
        <w:t xml:space="preserve"> 2013; </w:t>
      </w:r>
      <w:r w:rsidRPr="006F40E4">
        <w:rPr>
          <w:rFonts w:ascii="Book Antiqua" w:eastAsia="宋体" w:hAnsi="Book Antiqua" w:cs="宋体"/>
          <w:b/>
          <w:bCs/>
          <w:sz w:val="24"/>
          <w:szCs w:val="24"/>
          <w:lang w:eastAsia="zh-CN"/>
        </w:rPr>
        <w:t>28</w:t>
      </w:r>
      <w:r w:rsidRPr="006F40E4">
        <w:rPr>
          <w:rFonts w:ascii="Book Antiqua" w:eastAsia="宋体" w:hAnsi="Book Antiqua" w:cs="宋体"/>
          <w:sz w:val="24"/>
          <w:szCs w:val="24"/>
          <w:lang w:eastAsia="zh-CN"/>
        </w:rPr>
        <w:t>: 73-81 [PMID: 22885884 DOI: 10.1007/s00384-012-1559-7]</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10 </w:t>
      </w:r>
      <w:proofErr w:type="spellStart"/>
      <w:r w:rsidRPr="006F40E4">
        <w:rPr>
          <w:rFonts w:ascii="Book Antiqua" w:eastAsia="宋体" w:hAnsi="Book Antiqua" w:cs="宋体"/>
          <w:b/>
          <w:bCs/>
          <w:sz w:val="24"/>
          <w:szCs w:val="24"/>
          <w:lang w:eastAsia="zh-CN"/>
        </w:rPr>
        <w:t>Menees</w:t>
      </w:r>
      <w:proofErr w:type="spellEnd"/>
      <w:r w:rsidRPr="006F40E4">
        <w:rPr>
          <w:rFonts w:ascii="Book Antiqua" w:eastAsia="宋体" w:hAnsi="Book Antiqua" w:cs="宋体"/>
          <w:b/>
          <w:bCs/>
          <w:sz w:val="24"/>
          <w:szCs w:val="24"/>
          <w:lang w:eastAsia="zh-CN"/>
        </w:rPr>
        <w:t xml:space="preserve"> SB</w:t>
      </w:r>
      <w:r w:rsidRPr="006F40E4">
        <w:rPr>
          <w:rFonts w:ascii="Book Antiqua" w:eastAsia="宋体" w:hAnsi="Book Antiqua" w:cs="宋体"/>
          <w:sz w:val="24"/>
          <w:szCs w:val="24"/>
          <w:lang w:eastAsia="zh-CN"/>
        </w:rPr>
        <w:t xml:space="preserve">, Elliott E, </w:t>
      </w:r>
      <w:proofErr w:type="spellStart"/>
      <w:r w:rsidRPr="006F40E4">
        <w:rPr>
          <w:rFonts w:ascii="Book Antiqua" w:eastAsia="宋体" w:hAnsi="Book Antiqua" w:cs="宋体"/>
          <w:sz w:val="24"/>
          <w:szCs w:val="24"/>
          <w:lang w:eastAsia="zh-CN"/>
        </w:rPr>
        <w:t>Govani</w:t>
      </w:r>
      <w:proofErr w:type="spellEnd"/>
      <w:r w:rsidRPr="006F40E4">
        <w:rPr>
          <w:rFonts w:ascii="Book Antiqua" w:eastAsia="宋体" w:hAnsi="Book Antiqua" w:cs="宋体"/>
          <w:sz w:val="24"/>
          <w:szCs w:val="24"/>
          <w:lang w:eastAsia="zh-CN"/>
        </w:rPr>
        <w:t xml:space="preserve"> S, </w:t>
      </w:r>
      <w:proofErr w:type="spellStart"/>
      <w:r w:rsidRPr="006F40E4">
        <w:rPr>
          <w:rFonts w:ascii="Book Antiqua" w:eastAsia="宋体" w:hAnsi="Book Antiqua" w:cs="宋体"/>
          <w:sz w:val="24"/>
          <w:szCs w:val="24"/>
          <w:lang w:eastAsia="zh-CN"/>
        </w:rPr>
        <w:t>Anastassiades</w:t>
      </w:r>
      <w:proofErr w:type="spellEnd"/>
      <w:r w:rsidRPr="006F40E4">
        <w:rPr>
          <w:rFonts w:ascii="Book Antiqua" w:eastAsia="宋体" w:hAnsi="Book Antiqua" w:cs="宋体"/>
          <w:sz w:val="24"/>
          <w:szCs w:val="24"/>
          <w:lang w:eastAsia="zh-CN"/>
        </w:rPr>
        <w:t xml:space="preserve"> C, Judd S, </w:t>
      </w:r>
      <w:proofErr w:type="spellStart"/>
      <w:r w:rsidRPr="006F40E4">
        <w:rPr>
          <w:rFonts w:ascii="Book Antiqua" w:eastAsia="宋体" w:hAnsi="Book Antiqua" w:cs="宋体"/>
          <w:sz w:val="24"/>
          <w:szCs w:val="24"/>
          <w:lang w:eastAsia="zh-CN"/>
        </w:rPr>
        <w:t>Urganus</w:t>
      </w:r>
      <w:proofErr w:type="spellEnd"/>
      <w:r w:rsidRPr="006F40E4">
        <w:rPr>
          <w:rFonts w:ascii="Book Antiqua" w:eastAsia="宋体" w:hAnsi="Book Antiqua" w:cs="宋体"/>
          <w:sz w:val="24"/>
          <w:szCs w:val="24"/>
          <w:lang w:eastAsia="zh-CN"/>
        </w:rPr>
        <w:t xml:space="preserve"> A, Boyce S, </w:t>
      </w:r>
      <w:proofErr w:type="spellStart"/>
      <w:r w:rsidRPr="006F40E4">
        <w:rPr>
          <w:rFonts w:ascii="Book Antiqua" w:eastAsia="宋体" w:hAnsi="Book Antiqua" w:cs="宋体"/>
          <w:sz w:val="24"/>
          <w:szCs w:val="24"/>
          <w:lang w:eastAsia="zh-CN"/>
        </w:rPr>
        <w:t>Schoenfeld</w:t>
      </w:r>
      <w:proofErr w:type="spellEnd"/>
      <w:r w:rsidRPr="006F40E4">
        <w:rPr>
          <w:rFonts w:ascii="Book Antiqua" w:eastAsia="宋体" w:hAnsi="Book Antiqua" w:cs="宋体"/>
          <w:sz w:val="24"/>
          <w:szCs w:val="24"/>
          <w:lang w:eastAsia="zh-CN"/>
        </w:rPr>
        <w:t xml:space="preserve"> P. </w:t>
      </w:r>
      <w:proofErr w:type="gramStart"/>
      <w:r w:rsidRPr="006F40E4">
        <w:rPr>
          <w:rFonts w:ascii="Book Antiqua" w:eastAsia="宋体" w:hAnsi="Book Antiqua" w:cs="宋体"/>
          <w:sz w:val="24"/>
          <w:szCs w:val="24"/>
          <w:lang w:eastAsia="zh-CN"/>
        </w:rPr>
        <w:t>The impact of bowel cleansing on follow-up recommendations in average-risk patients with a normal colonoscopy.</w:t>
      </w:r>
      <w:proofErr w:type="gramEnd"/>
      <w:r w:rsidRPr="006F40E4">
        <w:rPr>
          <w:rFonts w:ascii="Book Antiqua" w:eastAsia="宋体" w:hAnsi="Book Antiqua" w:cs="宋体"/>
          <w:sz w:val="24"/>
          <w:szCs w:val="24"/>
          <w:lang w:eastAsia="zh-CN"/>
        </w:rPr>
        <w:t xml:space="preserve">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2014; </w:t>
      </w:r>
      <w:r w:rsidRPr="006F40E4">
        <w:rPr>
          <w:rFonts w:ascii="Book Antiqua" w:eastAsia="宋体" w:hAnsi="Book Antiqua" w:cs="宋体"/>
          <w:b/>
          <w:bCs/>
          <w:sz w:val="24"/>
          <w:szCs w:val="24"/>
          <w:lang w:eastAsia="zh-CN"/>
        </w:rPr>
        <w:t>109</w:t>
      </w:r>
      <w:r w:rsidRPr="006F40E4">
        <w:rPr>
          <w:rFonts w:ascii="Book Antiqua" w:eastAsia="宋体" w:hAnsi="Book Antiqua" w:cs="宋体"/>
          <w:sz w:val="24"/>
          <w:szCs w:val="24"/>
          <w:lang w:eastAsia="zh-CN"/>
        </w:rPr>
        <w:t>: 148-154 [PMID: 24496417 DOI: 10.1038/ajg.2013.243]</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11 </w:t>
      </w:r>
      <w:r w:rsidRPr="006F40E4">
        <w:rPr>
          <w:rFonts w:ascii="Book Antiqua" w:eastAsia="宋体" w:hAnsi="Book Antiqua" w:cs="宋体"/>
          <w:b/>
          <w:bCs/>
          <w:sz w:val="24"/>
          <w:szCs w:val="24"/>
          <w:lang w:eastAsia="zh-CN"/>
        </w:rPr>
        <w:t>Ben-</w:t>
      </w:r>
      <w:proofErr w:type="spellStart"/>
      <w:r w:rsidRPr="006F40E4">
        <w:rPr>
          <w:rFonts w:ascii="Book Antiqua" w:eastAsia="宋体" w:hAnsi="Book Antiqua" w:cs="宋体"/>
          <w:b/>
          <w:bCs/>
          <w:sz w:val="24"/>
          <w:szCs w:val="24"/>
          <w:lang w:eastAsia="zh-CN"/>
        </w:rPr>
        <w:t>Horin</w:t>
      </w:r>
      <w:proofErr w:type="spellEnd"/>
      <w:r w:rsidRPr="006F40E4">
        <w:rPr>
          <w:rFonts w:ascii="Book Antiqua" w:eastAsia="宋体" w:hAnsi="Book Antiqua" w:cs="宋体"/>
          <w:b/>
          <w:bCs/>
          <w:sz w:val="24"/>
          <w:szCs w:val="24"/>
          <w:lang w:eastAsia="zh-CN"/>
        </w:rPr>
        <w:t xml:space="preserve"> S</w:t>
      </w:r>
      <w:proofErr w:type="gramEnd"/>
      <w:r w:rsidRPr="006F40E4">
        <w:rPr>
          <w:rFonts w:ascii="Book Antiqua" w:eastAsia="宋体" w:hAnsi="Book Antiqua" w:cs="宋体"/>
          <w:sz w:val="24"/>
          <w:szCs w:val="24"/>
          <w:lang w:eastAsia="zh-CN"/>
        </w:rPr>
        <w:t xml:space="preserve">, Bar-Meir S, </w:t>
      </w:r>
      <w:proofErr w:type="spellStart"/>
      <w:r w:rsidRPr="006F40E4">
        <w:rPr>
          <w:rFonts w:ascii="Book Antiqua" w:eastAsia="宋体" w:hAnsi="Book Antiqua" w:cs="宋体"/>
          <w:sz w:val="24"/>
          <w:szCs w:val="24"/>
          <w:lang w:eastAsia="zh-CN"/>
        </w:rPr>
        <w:t>Avidan</w:t>
      </w:r>
      <w:proofErr w:type="spellEnd"/>
      <w:r w:rsidRPr="006F40E4">
        <w:rPr>
          <w:rFonts w:ascii="Book Antiqua" w:eastAsia="宋体" w:hAnsi="Book Antiqua" w:cs="宋体"/>
          <w:sz w:val="24"/>
          <w:szCs w:val="24"/>
          <w:lang w:eastAsia="zh-CN"/>
        </w:rPr>
        <w:t xml:space="preserve"> B. </w:t>
      </w:r>
      <w:proofErr w:type="gramStart"/>
      <w:r w:rsidRPr="006F40E4">
        <w:rPr>
          <w:rFonts w:ascii="Book Antiqua" w:eastAsia="宋体" w:hAnsi="Book Antiqua" w:cs="宋体"/>
          <w:sz w:val="24"/>
          <w:szCs w:val="24"/>
          <w:lang w:eastAsia="zh-CN"/>
        </w:rPr>
        <w:t xml:space="preserve">The impact of colon cleanliness assessment on </w:t>
      </w:r>
      <w:proofErr w:type="spellStart"/>
      <w:r w:rsidRPr="006F40E4">
        <w:rPr>
          <w:rFonts w:ascii="Book Antiqua" w:eastAsia="宋体" w:hAnsi="Book Antiqua" w:cs="宋体"/>
          <w:sz w:val="24"/>
          <w:szCs w:val="24"/>
          <w:lang w:eastAsia="zh-CN"/>
        </w:rPr>
        <w:t>endoscopists</w:t>
      </w:r>
      <w:proofErr w:type="spellEnd"/>
      <w:r w:rsidRPr="006F40E4">
        <w:rPr>
          <w:rFonts w:ascii="Book Antiqua" w:eastAsia="宋体" w:hAnsi="Book Antiqua" w:cs="宋体"/>
          <w:sz w:val="24"/>
          <w:szCs w:val="24"/>
          <w:lang w:eastAsia="zh-CN"/>
        </w:rPr>
        <w:t>' recommendations for follow-up colonoscopy.</w:t>
      </w:r>
      <w:proofErr w:type="gramEnd"/>
      <w:r w:rsidRPr="006F40E4">
        <w:rPr>
          <w:rFonts w:ascii="Book Antiqua" w:eastAsia="宋体" w:hAnsi="Book Antiqua" w:cs="宋体"/>
          <w:sz w:val="24"/>
          <w:szCs w:val="24"/>
          <w:lang w:eastAsia="zh-CN"/>
        </w:rPr>
        <w:t xml:space="preserve">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2007; </w:t>
      </w:r>
      <w:r w:rsidRPr="006F40E4">
        <w:rPr>
          <w:rFonts w:ascii="Book Antiqua" w:eastAsia="宋体" w:hAnsi="Book Antiqua" w:cs="宋体"/>
          <w:b/>
          <w:bCs/>
          <w:sz w:val="24"/>
          <w:szCs w:val="24"/>
          <w:lang w:eastAsia="zh-CN"/>
        </w:rPr>
        <w:t>102</w:t>
      </w:r>
      <w:r w:rsidRPr="006F40E4">
        <w:rPr>
          <w:rFonts w:ascii="Book Antiqua" w:eastAsia="宋体" w:hAnsi="Book Antiqua" w:cs="宋体"/>
          <w:sz w:val="24"/>
          <w:szCs w:val="24"/>
          <w:lang w:eastAsia="zh-CN"/>
        </w:rPr>
        <w:t>: 2680-2685 [PMID: 17714555]</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12 </w:t>
      </w:r>
      <w:r w:rsidRPr="006F40E4">
        <w:rPr>
          <w:rFonts w:ascii="Book Antiqua" w:eastAsia="宋体" w:hAnsi="Book Antiqua" w:cs="宋体"/>
          <w:b/>
          <w:bCs/>
          <w:sz w:val="24"/>
          <w:szCs w:val="24"/>
          <w:lang w:eastAsia="zh-CN"/>
        </w:rPr>
        <w:t>Rex DK</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Imperiale</w:t>
      </w:r>
      <w:proofErr w:type="spellEnd"/>
      <w:r w:rsidRPr="006F40E4">
        <w:rPr>
          <w:rFonts w:ascii="Book Antiqua" w:eastAsia="宋体" w:hAnsi="Book Antiqua" w:cs="宋体"/>
          <w:sz w:val="24"/>
          <w:szCs w:val="24"/>
          <w:lang w:eastAsia="zh-CN"/>
        </w:rPr>
        <w:t xml:space="preserve"> TF, </w:t>
      </w:r>
      <w:proofErr w:type="spellStart"/>
      <w:r w:rsidRPr="006F40E4">
        <w:rPr>
          <w:rFonts w:ascii="Book Antiqua" w:eastAsia="宋体" w:hAnsi="Book Antiqua" w:cs="宋体"/>
          <w:sz w:val="24"/>
          <w:szCs w:val="24"/>
          <w:lang w:eastAsia="zh-CN"/>
        </w:rPr>
        <w:t>Latinovich</w:t>
      </w:r>
      <w:proofErr w:type="spellEnd"/>
      <w:r w:rsidRPr="006F40E4">
        <w:rPr>
          <w:rFonts w:ascii="Book Antiqua" w:eastAsia="宋体" w:hAnsi="Book Antiqua" w:cs="宋体"/>
          <w:sz w:val="24"/>
          <w:szCs w:val="24"/>
          <w:lang w:eastAsia="zh-CN"/>
        </w:rPr>
        <w:t xml:space="preserve"> DR, Bratcher LL. Impact of bowel preparation on efficiency and cost of colonoscopy.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2002; </w:t>
      </w:r>
      <w:r w:rsidRPr="006F40E4">
        <w:rPr>
          <w:rFonts w:ascii="Book Antiqua" w:eastAsia="宋体" w:hAnsi="Book Antiqua" w:cs="宋体"/>
          <w:b/>
          <w:bCs/>
          <w:sz w:val="24"/>
          <w:szCs w:val="24"/>
          <w:lang w:eastAsia="zh-CN"/>
        </w:rPr>
        <w:t>97</w:t>
      </w:r>
      <w:r w:rsidRPr="006F40E4">
        <w:rPr>
          <w:rFonts w:ascii="Book Antiqua" w:eastAsia="宋体" w:hAnsi="Book Antiqua" w:cs="宋体"/>
          <w:sz w:val="24"/>
          <w:szCs w:val="24"/>
          <w:lang w:eastAsia="zh-CN"/>
        </w:rPr>
        <w:t>: 1696-1700 [PMID: 12135020]</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13 </w:t>
      </w:r>
      <w:proofErr w:type="spellStart"/>
      <w:r w:rsidRPr="006F40E4">
        <w:rPr>
          <w:rFonts w:ascii="Book Antiqua" w:eastAsia="宋体" w:hAnsi="Book Antiqua" w:cs="宋体"/>
          <w:b/>
          <w:bCs/>
          <w:sz w:val="24"/>
          <w:szCs w:val="24"/>
          <w:lang w:eastAsia="zh-CN"/>
        </w:rPr>
        <w:t>Enestvedt</w:t>
      </w:r>
      <w:proofErr w:type="spellEnd"/>
      <w:r w:rsidRPr="006F40E4">
        <w:rPr>
          <w:rFonts w:ascii="Book Antiqua" w:eastAsia="宋体" w:hAnsi="Book Antiqua" w:cs="宋体"/>
          <w:b/>
          <w:bCs/>
          <w:sz w:val="24"/>
          <w:szCs w:val="24"/>
          <w:lang w:eastAsia="zh-CN"/>
        </w:rPr>
        <w:t xml:space="preserve"> BK</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Tofani</w:t>
      </w:r>
      <w:proofErr w:type="spellEnd"/>
      <w:r w:rsidRPr="006F40E4">
        <w:rPr>
          <w:rFonts w:ascii="Book Antiqua" w:eastAsia="宋体" w:hAnsi="Book Antiqua" w:cs="宋体"/>
          <w:sz w:val="24"/>
          <w:szCs w:val="24"/>
          <w:lang w:eastAsia="zh-CN"/>
        </w:rPr>
        <w:t xml:space="preserve"> C, Laine LA, Tierney A, </w:t>
      </w:r>
      <w:proofErr w:type="spellStart"/>
      <w:r w:rsidRPr="006F40E4">
        <w:rPr>
          <w:rFonts w:ascii="Book Antiqua" w:eastAsia="宋体" w:hAnsi="Book Antiqua" w:cs="宋体"/>
          <w:sz w:val="24"/>
          <w:szCs w:val="24"/>
          <w:lang w:eastAsia="zh-CN"/>
        </w:rPr>
        <w:t>Fennerty</w:t>
      </w:r>
      <w:proofErr w:type="spellEnd"/>
      <w:r w:rsidRPr="006F40E4">
        <w:rPr>
          <w:rFonts w:ascii="Book Antiqua" w:eastAsia="宋体" w:hAnsi="Book Antiqua" w:cs="宋体"/>
          <w:sz w:val="24"/>
          <w:szCs w:val="24"/>
          <w:lang w:eastAsia="zh-CN"/>
        </w:rPr>
        <w:t xml:space="preserve"> MB. 4-Liter split-dose polyethylene glycol is superior to other bowel preparations, based on systematic review and meta-analysis. </w:t>
      </w:r>
      <w:proofErr w:type="spellStart"/>
      <w:r w:rsidRPr="006F40E4">
        <w:rPr>
          <w:rFonts w:ascii="Book Antiqua" w:eastAsia="宋体" w:hAnsi="Book Antiqua" w:cs="宋体"/>
          <w:i/>
          <w:iCs/>
          <w:sz w:val="24"/>
          <w:szCs w:val="24"/>
          <w:lang w:eastAsia="zh-CN"/>
        </w:rPr>
        <w:t>Clin</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Hepatol</w:t>
      </w:r>
      <w:proofErr w:type="spellEnd"/>
      <w:r w:rsidRPr="006F40E4">
        <w:rPr>
          <w:rFonts w:ascii="Book Antiqua" w:eastAsia="宋体" w:hAnsi="Book Antiqua" w:cs="宋体"/>
          <w:sz w:val="24"/>
          <w:szCs w:val="24"/>
          <w:lang w:eastAsia="zh-CN"/>
        </w:rPr>
        <w:t xml:space="preserve"> 2012; </w:t>
      </w:r>
      <w:r w:rsidRPr="006F40E4">
        <w:rPr>
          <w:rFonts w:ascii="Book Antiqua" w:eastAsia="宋体" w:hAnsi="Book Antiqua" w:cs="宋体"/>
          <w:b/>
          <w:bCs/>
          <w:sz w:val="24"/>
          <w:szCs w:val="24"/>
          <w:lang w:eastAsia="zh-CN"/>
        </w:rPr>
        <w:t>10</w:t>
      </w:r>
      <w:r w:rsidRPr="006F40E4">
        <w:rPr>
          <w:rFonts w:ascii="Book Antiqua" w:eastAsia="宋体" w:hAnsi="Book Antiqua" w:cs="宋体"/>
          <w:sz w:val="24"/>
          <w:szCs w:val="24"/>
          <w:lang w:eastAsia="zh-CN"/>
        </w:rPr>
        <w:t>: 1225-1231 [PMID: 22940741 DOI: 10.1016/j.cgh.2012.08.029]</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14 </w:t>
      </w:r>
      <w:r w:rsidRPr="006F40E4">
        <w:rPr>
          <w:rFonts w:ascii="Book Antiqua" w:eastAsia="宋体" w:hAnsi="Book Antiqua" w:cs="宋体"/>
          <w:b/>
          <w:bCs/>
          <w:sz w:val="24"/>
          <w:szCs w:val="24"/>
          <w:lang w:eastAsia="zh-CN"/>
        </w:rPr>
        <w:t>Adams WJ</w:t>
      </w:r>
      <w:r w:rsidRPr="006F40E4">
        <w:rPr>
          <w:rFonts w:ascii="Book Antiqua" w:eastAsia="宋体" w:hAnsi="Book Antiqua" w:cs="宋体"/>
          <w:sz w:val="24"/>
          <w:szCs w:val="24"/>
          <w:lang w:eastAsia="zh-CN"/>
        </w:rPr>
        <w:t xml:space="preserve">, Meagher AP, </w:t>
      </w:r>
      <w:proofErr w:type="spellStart"/>
      <w:r w:rsidRPr="006F40E4">
        <w:rPr>
          <w:rFonts w:ascii="Book Antiqua" w:eastAsia="宋体" w:hAnsi="Book Antiqua" w:cs="宋体"/>
          <w:sz w:val="24"/>
          <w:szCs w:val="24"/>
          <w:lang w:eastAsia="zh-CN"/>
        </w:rPr>
        <w:t>Lubowski</w:t>
      </w:r>
      <w:proofErr w:type="spellEnd"/>
      <w:r w:rsidRPr="006F40E4">
        <w:rPr>
          <w:rFonts w:ascii="Book Antiqua" w:eastAsia="宋体" w:hAnsi="Book Antiqua" w:cs="宋体"/>
          <w:sz w:val="24"/>
          <w:szCs w:val="24"/>
          <w:lang w:eastAsia="zh-CN"/>
        </w:rPr>
        <w:t xml:space="preserve"> DZ, King DW.</w:t>
      </w:r>
      <w:proofErr w:type="gramEnd"/>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Bisacodyl</w:t>
      </w:r>
      <w:proofErr w:type="spellEnd"/>
      <w:r w:rsidRPr="006F40E4">
        <w:rPr>
          <w:rFonts w:ascii="Book Antiqua" w:eastAsia="宋体" w:hAnsi="Book Antiqua" w:cs="宋体"/>
          <w:sz w:val="24"/>
          <w:szCs w:val="24"/>
          <w:lang w:eastAsia="zh-CN"/>
        </w:rPr>
        <w:t xml:space="preserve"> reduces the volume of polyethylene glycol solution required for bowel preparation. </w:t>
      </w:r>
      <w:r w:rsidRPr="006F40E4">
        <w:rPr>
          <w:rFonts w:ascii="Book Antiqua" w:eastAsia="宋体" w:hAnsi="Book Antiqua" w:cs="宋体"/>
          <w:i/>
          <w:iCs/>
          <w:sz w:val="24"/>
          <w:szCs w:val="24"/>
          <w:lang w:eastAsia="zh-CN"/>
        </w:rPr>
        <w:t>Dis Colon Rectum</w:t>
      </w:r>
      <w:r w:rsidRPr="006F40E4">
        <w:rPr>
          <w:rFonts w:ascii="Book Antiqua" w:eastAsia="宋体" w:hAnsi="Book Antiqua" w:cs="宋体"/>
          <w:sz w:val="24"/>
          <w:szCs w:val="24"/>
          <w:lang w:eastAsia="zh-CN"/>
        </w:rPr>
        <w:t xml:space="preserve"> 1994; </w:t>
      </w:r>
      <w:r w:rsidRPr="006F40E4">
        <w:rPr>
          <w:rFonts w:ascii="Book Antiqua" w:eastAsia="宋体" w:hAnsi="Book Antiqua" w:cs="宋体"/>
          <w:b/>
          <w:bCs/>
          <w:sz w:val="24"/>
          <w:szCs w:val="24"/>
          <w:lang w:eastAsia="zh-CN"/>
        </w:rPr>
        <w:t>37</w:t>
      </w:r>
      <w:r w:rsidRPr="006F40E4">
        <w:rPr>
          <w:rFonts w:ascii="Book Antiqua" w:eastAsia="宋体" w:hAnsi="Book Antiqua" w:cs="宋体"/>
          <w:sz w:val="24"/>
          <w:szCs w:val="24"/>
          <w:lang w:eastAsia="zh-CN"/>
        </w:rPr>
        <w:t>: 229-33; discussion 233-4 [PMID: 8137669]</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15 </w:t>
      </w:r>
      <w:r w:rsidRPr="006F40E4">
        <w:rPr>
          <w:rFonts w:ascii="Book Antiqua" w:eastAsia="宋体" w:hAnsi="Book Antiqua" w:cs="宋体"/>
          <w:b/>
          <w:bCs/>
          <w:sz w:val="24"/>
          <w:szCs w:val="24"/>
          <w:lang w:eastAsia="zh-CN"/>
        </w:rPr>
        <w:t>Sharma VK</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Chockalingham</w:t>
      </w:r>
      <w:proofErr w:type="spellEnd"/>
      <w:r w:rsidRPr="006F40E4">
        <w:rPr>
          <w:rFonts w:ascii="Book Antiqua" w:eastAsia="宋体" w:hAnsi="Book Antiqua" w:cs="宋体"/>
          <w:sz w:val="24"/>
          <w:szCs w:val="24"/>
          <w:lang w:eastAsia="zh-CN"/>
        </w:rPr>
        <w:t xml:space="preserve"> SK, </w:t>
      </w:r>
      <w:proofErr w:type="spellStart"/>
      <w:r w:rsidRPr="006F40E4">
        <w:rPr>
          <w:rFonts w:ascii="Book Antiqua" w:eastAsia="宋体" w:hAnsi="Book Antiqua" w:cs="宋体"/>
          <w:sz w:val="24"/>
          <w:szCs w:val="24"/>
          <w:lang w:eastAsia="zh-CN"/>
        </w:rPr>
        <w:t>Ugheoke</w:t>
      </w:r>
      <w:proofErr w:type="spellEnd"/>
      <w:r w:rsidRPr="006F40E4">
        <w:rPr>
          <w:rFonts w:ascii="Book Antiqua" w:eastAsia="宋体" w:hAnsi="Book Antiqua" w:cs="宋体"/>
          <w:sz w:val="24"/>
          <w:szCs w:val="24"/>
          <w:lang w:eastAsia="zh-CN"/>
        </w:rPr>
        <w:t xml:space="preserve"> EA, </w:t>
      </w:r>
      <w:proofErr w:type="spellStart"/>
      <w:r w:rsidRPr="006F40E4">
        <w:rPr>
          <w:rFonts w:ascii="Book Antiqua" w:eastAsia="宋体" w:hAnsi="Book Antiqua" w:cs="宋体"/>
          <w:sz w:val="24"/>
          <w:szCs w:val="24"/>
          <w:lang w:eastAsia="zh-CN"/>
        </w:rPr>
        <w:t>Kapur</w:t>
      </w:r>
      <w:proofErr w:type="spellEnd"/>
      <w:r w:rsidRPr="006F40E4">
        <w:rPr>
          <w:rFonts w:ascii="Book Antiqua" w:eastAsia="宋体" w:hAnsi="Book Antiqua" w:cs="宋体"/>
          <w:sz w:val="24"/>
          <w:szCs w:val="24"/>
          <w:lang w:eastAsia="zh-CN"/>
        </w:rPr>
        <w:t xml:space="preserve"> A, Ling PH, </w:t>
      </w:r>
      <w:proofErr w:type="spellStart"/>
      <w:r w:rsidRPr="006F40E4">
        <w:rPr>
          <w:rFonts w:ascii="Book Antiqua" w:eastAsia="宋体" w:hAnsi="Book Antiqua" w:cs="宋体"/>
          <w:sz w:val="24"/>
          <w:szCs w:val="24"/>
          <w:lang w:eastAsia="zh-CN"/>
        </w:rPr>
        <w:t>Vasudeva</w:t>
      </w:r>
      <w:proofErr w:type="spellEnd"/>
      <w:r w:rsidRPr="006F40E4">
        <w:rPr>
          <w:rFonts w:ascii="Book Antiqua" w:eastAsia="宋体" w:hAnsi="Book Antiqua" w:cs="宋体"/>
          <w:sz w:val="24"/>
          <w:szCs w:val="24"/>
          <w:lang w:eastAsia="zh-CN"/>
        </w:rPr>
        <w:t xml:space="preserve"> R, </w:t>
      </w:r>
      <w:proofErr w:type="spellStart"/>
      <w:r w:rsidRPr="006F40E4">
        <w:rPr>
          <w:rFonts w:ascii="Book Antiqua" w:eastAsia="宋体" w:hAnsi="Book Antiqua" w:cs="宋体"/>
          <w:sz w:val="24"/>
          <w:szCs w:val="24"/>
          <w:lang w:eastAsia="zh-CN"/>
        </w:rPr>
        <w:t>Howden</w:t>
      </w:r>
      <w:proofErr w:type="spellEnd"/>
      <w:r w:rsidRPr="006F40E4">
        <w:rPr>
          <w:rFonts w:ascii="Book Antiqua" w:eastAsia="宋体" w:hAnsi="Book Antiqua" w:cs="宋体"/>
          <w:sz w:val="24"/>
          <w:szCs w:val="24"/>
          <w:lang w:eastAsia="zh-CN"/>
        </w:rPr>
        <w:t xml:space="preserve"> CW. Prospective, randomized, controlled comparison of the use of polyethylene glycol electrolyte lavage solution in four-liter versus two-liter volumes and pretreatment with either magnesium citrate or </w:t>
      </w:r>
      <w:proofErr w:type="spellStart"/>
      <w:r w:rsidRPr="006F40E4">
        <w:rPr>
          <w:rFonts w:ascii="Book Antiqua" w:eastAsia="宋体" w:hAnsi="Book Antiqua" w:cs="宋体"/>
          <w:sz w:val="24"/>
          <w:szCs w:val="24"/>
          <w:lang w:eastAsia="zh-CN"/>
        </w:rPr>
        <w:t>bisacodyl</w:t>
      </w:r>
      <w:proofErr w:type="spellEnd"/>
      <w:r w:rsidRPr="006F40E4">
        <w:rPr>
          <w:rFonts w:ascii="Book Antiqua" w:eastAsia="宋体" w:hAnsi="Book Antiqua" w:cs="宋体"/>
          <w:sz w:val="24"/>
          <w:szCs w:val="24"/>
          <w:lang w:eastAsia="zh-CN"/>
        </w:rPr>
        <w:t xml:space="preserve"> for colonoscopy preparation.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1998; </w:t>
      </w:r>
      <w:r w:rsidRPr="006F40E4">
        <w:rPr>
          <w:rFonts w:ascii="Book Antiqua" w:eastAsia="宋体" w:hAnsi="Book Antiqua" w:cs="宋体"/>
          <w:b/>
          <w:bCs/>
          <w:sz w:val="24"/>
          <w:szCs w:val="24"/>
          <w:lang w:eastAsia="zh-CN"/>
        </w:rPr>
        <w:t>47</w:t>
      </w:r>
      <w:r w:rsidRPr="006F40E4">
        <w:rPr>
          <w:rFonts w:ascii="Book Antiqua" w:eastAsia="宋体" w:hAnsi="Book Antiqua" w:cs="宋体"/>
          <w:sz w:val="24"/>
          <w:szCs w:val="24"/>
          <w:lang w:eastAsia="zh-CN"/>
        </w:rPr>
        <w:t>: 167-171 [PMID: 9512283]</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16 </w:t>
      </w:r>
      <w:r w:rsidRPr="006F40E4">
        <w:rPr>
          <w:rFonts w:ascii="Book Antiqua" w:eastAsia="宋体" w:hAnsi="Book Antiqua" w:cs="宋体"/>
          <w:b/>
          <w:bCs/>
          <w:sz w:val="24"/>
          <w:szCs w:val="24"/>
          <w:lang w:eastAsia="zh-CN"/>
        </w:rPr>
        <w:t>Ker TS</w:t>
      </w:r>
      <w:r w:rsidRPr="006F40E4">
        <w:rPr>
          <w:rFonts w:ascii="Book Antiqua" w:eastAsia="宋体" w:hAnsi="Book Antiqua" w:cs="宋体"/>
          <w:sz w:val="24"/>
          <w:szCs w:val="24"/>
          <w:lang w:eastAsia="zh-CN"/>
        </w:rPr>
        <w:t>.</w:t>
      </w:r>
      <w:proofErr w:type="gramEnd"/>
      <w:r w:rsidRPr="006F40E4">
        <w:rPr>
          <w:rFonts w:ascii="Book Antiqua" w:eastAsia="宋体" w:hAnsi="Book Antiqua" w:cs="宋体"/>
          <w:sz w:val="24"/>
          <w:szCs w:val="24"/>
          <w:lang w:eastAsia="zh-CN"/>
        </w:rPr>
        <w:t xml:space="preserve"> Comparison of reduced volume versus four-liter electrolyte lavage solutions for colon cleansing. </w:t>
      </w:r>
      <w:r w:rsidRPr="006F40E4">
        <w:rPr>
          <w:rFonts w:ascii="Book Antiqua" w:eastAsia="宋体" w:hAnsi="Book Antiqua" w:cs="宋体"/>
          <w:i/>
          <w:iCs/>
          <w:sz w:val="24"/>
          <w:szCs w:val="24"/>
          <w:lang w:eastAsia="zh-CN"/>
        </w:rPr>
        <w:t xml:space="preserve">Am </w:t>
      </w:r>
      <w:proofErr w:type="spellStart"/>
      <w:r w:rsidRPr="006F40E4">
        <w:rPr>
          <w:rFonts w:ascii="Book Antiqua" w:eastAsia="宋体" w:hAnsi="Book Antiqua" w:cs="宋体"/>
          <w:i/>
          <w:iCs/>
          <w:sz w:val="24"/>
          <w:szCs w:val="24"/>
          <w:lang w:eastAsia="zh-CN"/>
        </w:rPr>
        <w:t>Surg</w:t>
      </w:r>
      <w:proofErr w:type="spellEnd"/>
      <w:r w:rsidRPr="006F40E4">
        <w:rPr>
          <w:rFonts w:ascii="Book Antiqua" w:eastAsia="宋体" w:hAnsi="Book Antiqua" w:cs="宋体"/>
          <w:sz w:val="24"/>
          <w:szCs w:val="24"/>
          <w:lang w:eastAsia="zh-CN"/>
        </w:rPr>
        <w:t xml:space="preserve"> 2006; </w:t>
      </w:r>
      <w:r w:rsidRPr="006F40E4">
        <w:rPr>
          <w:rFonts w:ascii="Book Antiqua" w:eastAsia="宋体" w:hAnsi="Book Antiqua" w:cs="宋体"/>
          <w:b/>
          <w:bCs/>
          <w:sz w:val="24"/>
          <w:szCs w:val="24"/>
          <w:lang w:eastAsia="zh-CN"/>
        </w:rPr>
        <w:t>72</w:t>
      </w:r>
      <w:r w:rsidRPr="006F40E4">
        <w:rPr>
          <w:rFonts w:ascii="Book Antiqua" w:eastAsia="宋体" w:hAnsi="Book Antiqua" w:cs="宋体"/>
          <w:sz w:val="24"/>
          <w:szCs w:val="24"/>
          <w:lang w:eastAsia="zh-CN"/>
        </w:rPr>
        <w:t>: 909-911 [PMID: 17058733]</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17 </w:t>
      </w:r>
      <w:r w:rsidRPr="006F40E4">
        <w:rPr>
          <w:rFonts w:ascii="Book Antiqua" w:eastAsia="宋体" w:hAnsi="Book Antiqua" w:cs="宋体"/>
          <w:b/>
          <w:bCs/>
          <w:sz w:val="24"/>
          <w:szCs w:val="24"/>
          <w:lang w:eastAsia="zh-CN"/>
        </w:rPr>
        <w:t>Park SS</w:t>
      </w:r>
      <w:r w:rsidRPr="006F40E4">
        <w:rPr>
          <w:rFonts w:ascii="Book Antiqua" w:eastAsia="宋体" w:hAnsi="Book Antiqua" w:cs="宋体"/>
          <w:sz w:val="24"/>
          <w:szCs w:val="24"/>
          <w:lang w:eastAsia="zh-CN"/>
        </w:rPr>
        <w:t xml:space="preserve">, Sinn DH, Kim YH, Lim YJ, Sun Y, Lee JH, Kim JY, Chang DK, Son HJ, Rhee PL, Rhee JC, Kim JJ. Efficacy and tolerability of split-dose magnesium citrate: low-volume (2 liters) polyethylene glycol vs. single- or split-dose polyethylene glycol bowel </w:t>
      </w:r>
      <w:r w:rsidRPr="006F40E4">
        <w:rPr>
          <w:rFonts w:ascii="Book Antiqua" w:eastAsia="宋体" w:hAnsi="Book Antiqua" w:cs="宋体"/>
          <w:sz w:val="24"/>
          <w:szCs w:val="24"/>
          <w:lang w:eastAsia="zh-CN"/>
        </w:rPr>
        <w:lastRenderedPageBreak/>
        <w:t xml:space="preserve">preparation for morning colonoscopy.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2010; </w:t>
      </w:r>
      <w:r w:rsidRPr="006F40E4">
        <w:rPr>
          <w:rFonts w:ascii="Book Antiqua" w:eastAsia="宋体" w:hAnsi="Book Antiqua" w:cs="宋体"/>
          <w:b/>
          <w:bCs/>
          <w:sz w:val="24"/>
          <w:szCs w:val="24"/>
          <w:lang w:eastAsia="zh-CN"/>
        </w:rPr>
        <w:t>105</w:t>
      </w:r>
      <w:r w:rsidRPr="006F40E4">
        <w:rPr>
          <w:rFonts w:ascii="Book Antiqua" w:eastAsia="宋体" w:hAnsi="Book Antiqua" w:cs="宋体"/>
          <w:sz w:val="24"/>
          <w:szCs w:val="24"/>
          <w:lang w:eastAsia="zh-CN"/>
        </w:rPr>
        <w:t>: 1319-1326 [PMID: 20485282 DOI: 10.1038/ajg.2010.79]</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18 </w:t>
      </w:r>
      <w:r w:rsidRPr="006F40E4">
        <w:rPr>
          <w:rFonts w:ascii="Book Antiqua" w:eastAsia="宋体" w:hAnsi="Book Antiqua" w:cs="宋体"/>
          <w:b/>
          <w:bCs/>
          <w:sz w:val="24"/>
          <w:szCs w:val="24"/>
          <w:lang w:eastAsia="zh-CN"/>
        </w:rPr>
        <w:t>Jansen SV</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Goedhard</w:t>
      </w:r>
      <w:proofErr w:type="spellEnd"/>
      <w:r w:rsidRPr="006F40E4">
        <w:rPr>
          <w:rFonts w:ascii="Book Antiqua" w:eastAsia="宋体" w:hAnsi="Book Antiqua" w:cs="宋体"/>
          <w:sz w:val="24"/>
          <w:szCs w:val="24"/>
          <w:lang w:eastAsia="zh-CN"/>
        </w:rPr>
        <w:t xml:space="preserve"> JG, </w:t>
      </w:r>
      <w:proofErr w:type="spellStart"/>
      <w:r w:rsidRPr="006F40E4">
        <w:rPr>
          <w:rFonts w:ascii="Book Antiqua" w:eastAsia="宋体" w:hAnsi="Book Antiqua" w:cs="宋体"/>
          <w:sz w:val="24"/>
          <w:szCs w:val="24"/>
          <w:lang w:eastAsia="zh-CN"/>
        </w:rPr>
        <w:t>Winkens</w:t>
      </w:r>
      <w:proofErr w:type="spellEnd"/>
      <w:r w:rsidRPr="006F40E4">
        <w:rPr>
          <w:rFonts w:ascii="Book Antiqua" w:eastAsia="宋体" w:hAnsi="Book Antiqua" w:cs="宋体"/>
          <w:sz w:val="24"/>
          <w:szCs w:val="24"/>
          <w:lang w:eastAsia="zh-CN"/>
        </w:rPr>
        <w:t xml:space="preserve"> B, van </w:t>
      </w:r>
      <w:proofErr w:type="spellStart"/>
      <w:r w:rsidRPr="006F40E4">
        <w:rPr>
          <w:rFonts w:ascii="Book Antiqua" w:eastAsia="宋体" w:hAnsi="Book Antiqua" w:cs="宋体"/>
          <w:sz w:val="24"/>
          <w:szCs w:val="24"/>
          <w:lang w:eastAsia="zh-CN"/>
        </w:rPr>
        <w:t>Deursen</w:t>
      </w:r>
      <w:proofErr w:type="spellEnd"/>
      <w:r w:rsidRPr="006F40E4">
        <w:rPr>
          <w:rFonts w:ascii="Book Antiqua" w:eastAsia="宋体" w:hAnsi="Book Antiqua" w:cs="宋体"/>
          <w:sz w:val="24"/>
          <w:szCs w:val="24"/>
          <w:lang w:eastAsia="zh-CN"/>
        </w:rPr>
        <w:t xml:space="preserve"> CT. Preparation before colonoscopy: a randomized controlled trial comparing different regimes. </w:t>
      </w:r>
      <w:proofErr w:type="spellStart"/>
      <w:r w:rsidRPr="006F40E4">
        <w:rPr>
          <w:rFonts w:ascii="Book Antiqua" w:eastAsia="宋体" w:hAnsi="Book Antiqua" w:cs="宋体"/>
          <w:i/>
          <w:iCs/>
          <w:sz w:val="24"/>
          <w:szCs w:val="24"/>
          <w:lang w:eastAsia="zh-CN"/>
        </w:rPr>
        <w:t>Eur</w:t>
      </w:r>
      <w:proofErr w:type="spellEnd"/>
      <w:r w:rsidRPr="006F40E4">
        <w:rPr>
          <w:rFonts w:ascii="Book Antiqua" w:eastAsia="宋体" w:hAnsi="Book Antiqua" w:cs="宋体"/>
          <w:i/>
          <w:iCs/>
          <w:sz w:val="24"/>
          <w:szCs w:val="24"/>
          <w:lang w:eastAsia="zh-CN"/>
        </w:rPr>
        <w:t xml:space="preserve">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Hepatol</w:t>
      </w:r>
      <w:proofErr w:type="spellEnd"/>
      <w:r w:rsidRPr="006F40E4">
        <w:rPr>
          <w:rFonts w:ascii="Book Antiqua" w:eastAsia="宋体" w:hAnsi="Book Antiqua" w:cs="宋体"/>
          <w:sz w:val="24"/>
          <w:szCs w:val="24"/>
          <w:lang w:eastAsia="zh-CN"/>
        </w:rPr>
        <w:t xml:space="preserve"> 2011; </w:t>
      </w:r>
      <w:r w:rsidRPr="006F40E4">
        <w:rPr>
          <w:rFonts w:ascii="Book Antiqua" w:eastAsia="宋体" w:hAnsi="Book Antiqua" w:cs="宋体"/>
          <w:b/>
          <w:bCs/>
          <w:sz w:val="24"/>
          <w:szCs w:val="24"/>
          <w:lang w:eastAsia="zh-CN"/>
        </w:rPr>
        <w:t>23</w:t>
      </w:r>
      <w:r w:rsidRPr="006F40E4">
        <w:rPr>
          <w:rFonts w:ascii="Book Antiqua" w:eastAsia="宋体" w:hAnsi="Book Antiqua" w:cs="宋体"/>
          <w:sz w:val="24"/>
          <w:szCs w:val="24"/>
          <w:lang w:eastAsia="zh-CN"/>
        </w:rPr>
        <w:t>: 897-902 [PMID: 21900786 DOI: 10.1097/MEG.0b013e32834a3444]</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19 </w:t>
      </w:r>
      <w:r w:rsidRPr="006F40E4">
        <w:rPr>
          <w:rFonts w:ascii="Book Antiqua" w:eastAsia="宋体" w:hAnsi="Book Antiqua" w:cs="宋体"/>
          <w:b/>
          <w:bCs/>
          <w:sz w:val="24"/>
          <w:szCs w:val="24"/>
          <w:lang w:eastAsia="zh-CN"/>
        </w:rPr>
        <w:t>Kao D</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Lalor</w:t>
      </w:r>
      <w:proofErr w:type="spellEnd"/>
      <w:r w:rsidRPr="006F40E4">
        <w:rPr>
          <w:rFonts w:ascii="Book Antiqua" w:eastAsia="宋体" w:hAnsi="Book Antiqua" w:cs="宋体"/>
          <w:sz w:val="24"/>
          <w:szCs w:val="24"/>
          <w:lang w:eastAsia="zh-CN"/>
        </w:rPr>
        <w:t xml:space="preserve"> E, </w:t>
      </w:r>
      <w:proofErr w:type="spellStart"/>
      <w:r w:rsidRPr="006F40E4">
        <w:rPr>
          <w:rFonts w:ascii="Book Antiqua" w:eastAsia="宋体" w:hAnsi="Book Antiqua" w:cs="宋体"/>
          <w:sz w:val="24"/>
          <w:szCs w:val="24"/>
          <w:lang w:eastAsia="zh-CN"/>
        </w:rPr>
        <w:t>Sandha</w:t>
      </w:r>
      <w:proofErr w:type="spellEnd"/>
      <w:r w:rsidRPr="006F40E4">
        <w:rPr>
          <w:rFonts w:ascii="Book Antiqua" w:eastAsia="宋体" w:hAnsi="Book Antiqua" w:cs="宋体"/>
          <w:sz w:val="24"/>
          <w:szCs w:val="24"/>
          <w:lang w:eastAsia="zh-CN"/>
        </w:rPr>
        <w:t xml:space="preserve"> G, </w:t>
      </w:r>
      <w:proofErr w:type="spellStart"/>
      <w:r w:rsidRPr="006F40E4">
        <w:rPr>
          <w:rFonts w:ascii="Book Antiqua" w:eastAsia="宋体" w:hAnsi="Book Antiqua" w:cs="宋体"/>
          <w:sz w:val="24"/>
          <w:szCs w:val="24"/>
          <w:lang w:eastAsia="zh-CN"/>
        </w:rPr>
        <w:t>Fedorak</w:t>
      </w:r>
      <w:proofErr w:type="spellEnd"/>
      <w:r w:rsidRPr="006F40E4">
        <w:rPr>
          <w:rFonts w:ascii="Book Antiqua" w:eastAsia="宋体" w:hAnsi="Book Antiqua" w:cs="宋体"/>
          <w:sz w:val="24"/>
          <w:szCs w:val="24"/>
          <w:lang w:eastAsia="zh-CN"/>
        </w:rPr>
        <w:t xml:space="preserve"> RN, van der </w:t>
      </w:r>
      <w:proofErr w:type="spellStart"/>
      <w:r w:rsidRPr="006F40E4">
        <w:rPr>
          <w:rFonts w:ascii="Book Antiqua" w:eastAsia="宋体" w:hAnsi="Book Antiqua" w:cs="宋体"/>
          <w:sz w:val="24"/>
          <w:szCs w:val="24"/>
          <w:lang w:eastAsia="zh-CN"/>
        </w:rPr>
        <w:t>Knoop</w:t>
      </w:r>
      <w:proofErr w:type="spellEnd"/>
      <w:r w:rsidRPr="006F40E4">
        <w:rPr>
          <w:rFonts w:ascii="Book Antiqua" w:eastAsia="宋体" w:hAnsi="Book Antiqua" w:cs="宋体"/>
          <w:sz w:val="24"/>
          <w:szCs w:val="24"/>
          <w:lang w:eastAsia="zh-CN"/>
        </w:rPr>
        <w:t xml:space="preserve"> B, </w:t>
      </w:r>
      <w:proofErr w:type="spellStart"/>
      <w:r w:rsidRPr="006F40E4">
        <w:rPr>
          <w:rFonts w:ascii="Book Antiqua" w:eastAsia="宋体" w:hAnsi="Book Antiqua" w:cs="宋体"/>
          <w:sz w:val="24"/>
          <w:szCs w:val="24"/>
          <w:lang w:eastAsia="zh-CN"/>
        </w:rPr>
        <w:t>Doornweerd</w:t>
      </w:r>
      <w:proofErr w:type="spellEnd"/>
      <w:r w:rsidRPr="006F40E4">
        <w:rPr>
          <w:rFonts w:ascii="Book Antiqua" w:eastAsia="宋体" w:hAnsi="Book Antiqua" w:cs="宋体"/>
          <w:sz w:val="24"/>
          <w:szCs w:val="24"/>
          <w:lang w:eastAsia="zh-CN"/>
        </w:rPr>
        <w:t xml:space="preserve"> S, van </w:t>
      </w:r>
      <w:proofErr w:type="spellStart"/>
      <w:r w:rsidRPr="006F40E4">
        <w:rPr>
          <w:rFonts w:ascii="Book Antiqua" w:eastAsia="宋体" w:hAnsi="Book Antiqua" w:cs="宋体"/>
          <w:sz w:val="24"/>
          <w:szCs w:val="24"/>
          <w:lang w:eastAsia="zh-CN"/>
        </w:rPr>
        <w:t>Kooten</w:t>
      </w:r>
      <w:proofErr w:type="spellEnd"/>
      <w:r w:rsidRPr="006F40E4">
        <w:rPr>
          <w:rFonts w:ascii="Book Antiqua" w:eastAsia="宋体" w:hAnsi="Book Antiqua" w:cs="宋体"/>
          <w:sz w:val="24"/>
          <w:szCs w:val="24"/>
          <w:lang w:eastAsia="zh-CN"/>
        </w:rPr>
        <w:t xml:space="preserve"> H, </w:t>
      </w:r>
      <w:proofErr w:type="spellStart"/>
      <w:r w:rsidRPr="006F40E4">
        <w:rPr>
          <w:rFonts w:ascii="Book Antiqua" w:eastAsia="宋体" w:hAnsi="Book Antiqua" w:cs="宋体"/>
          <w:sz w:val="24"/>
          <w:szCs w:val="24"/>
          <w:lang w:eastAsia="zh-CN"/>
        </w:rPr>
        <w:t>Schreuders</w:t>
      </w:r>
      <w:proofErr w:type="spellEnd"/>
      <w:r w:rsidRPr="006F40E4">
        <w:rPr>
          <w:rFonts w:ascii="Book Antiqua" w:eastAsia="宋体" w:hAnsi="Book Antiqua" w:cs="宋体"/>
          <w:sz w:val="24"/>
          <w:szCs w:val="24"/>
          <w:lang w:eastAsia="zh-CN"/>
        </w:rPr>
        <w:t xml:space="preserve"> E, </w:t>
      </w:r>
      <w:proofErr w:type="spellStart"/>
      <w:r w:rsidRPr="006F40E4">
        <w:rPr>
          <w:rFonts w:ascii="Book Antiqua" w:eastAsia="宋体" w:hAnsi="Book Antiqua" w:cs="宋体"/>
          <w:sz w:val="24"/>
          <w:szCs w:val="24"/>
          <w:lang w:eastAsia="zh-CN"/>
        </w:rPr>
        <w:t>Midodzi</w:t>
      </w:r>
      <w:proofErr w:type="spellEnd"/>
      <w:r w:rsidRPr="006F40E4">
        <w:rPr>
          <w:rFonts w:ascii="Book Antiqua" w:eastAsia="宋体" w:hAnsi="Book Antiqua" w:cs="宋体"/>
          <w:sz w:val="24"/>
          <w:szCs w:val="24"/>
          <w:lang w:eastAsia="zh-CN"/>
        </w:rPr>
        <w:t xml:space="preserve"> W, </w:t>
      </w:r>
      <w:proofErr w:type="spellStart"/>
      <w:r w:rsidRPr="006F40E4">
        <w:rPr>
          <w:rFonts w:ascii="Book Antiqua" w:eastAsia="宋体" w:hAnsi="Book Antiqua" w:cs="宋体"/>
          <w:sz w:val="24"/>
          <w:szCs w:val="24"/>
          <w:lang w:eastAsia="zh-CN"/>
        </w:rPr>
        <w:t>Veldhuyzen</w:t>
      </w:r>
      <w:proofErr w:type="spellEnd"/>
      <w:r w:rsidRPr="006F40E4">
        <w:rPr>
          <w:rFonts w:ascii="Book Antiqua" w:eastAsia="宋体" w:hAnsi="Book Antiqua" w:cs="宋体"/>
          <w:sz w:val="24"/>
          <w:szCs w:val="24"/>
          <w:lang w:eastAsia="zh-CN"/>
        </w:rPr>
        <w:t xml:space="preserve"> van </w:t>
      </w:r>
      <w:proofErr w:type="spellStart"/>
      <w:r w:rsidRPr="006F40E4">
        <w:rPr>
          <w:rFonts w:ascii="Book Antiqua" w:eastAsia="宋体" w:hAnsi="Book Antiqua" w:cs="宋体"/>
          <w:sz w:val="24"/>
          <w:szCs w:val="24"/>
          <w:lang w:eastAsia="zh-CN"/>
        </w:rPr>
        <w:t>Zanten</w:t>
      </w:r>
      <w:proofErr w:type="spellEnd"/>
      <w:r w:rsidRPr="006F40E4">
        <w:rPr>
          <w:rFonts w:ascii="Book Antiqua" w:eastAsia="宋体" w:hAnsi="Book Antiqua" w:cs="宋体"/>
          <w:sz w:val="24"/>
          <w:szCs w:val="24"/>
          <w:lang w:eastAsia="zh-CN"/>
        </w:rPr>
        <w:t xml:space="preserve"> S. A randomized controlled trial of four </w:t>
      </w:r>
      <w:proofErr w:type="spellStart"/>
      <w:r w:rsidRPr="006F40E4">
        <w:rPr>
          <w:rFonts w:ascii="Book Antiqua" w:eastAsia="宋体" w:hAnsi="Book Antiqua" w:cs="宋体"/>
          <w:sz w:val="24"/>
          <w:szCs w:val="24"/>
          <w:lang w:eastAsia="zh-CN"/>
        </w:rPr>
        <w:t>precolonoscopy</w:t>
      </w:r>
      <w:proofErr w:type="spellEnd"/>
      <w:r w:rsidRPr="006F40E4">
        <w:rPr>
          <w:rFonts w:ascii="Book Antiqua" w:eastAsia="宋体" w:hAnsi="Book Antiqua" w:cs="宋体"/>
          <w:sz w:val="24"/>
          <w:szCs w:val="24"/>
          <w:lang w:eastAsia="zh-CN"/>
        </w:rPr>
        <w:t xml:space="preserve"> </w:t>
      </w:r>
      <w:proofErr w:type="gramStart"/>
      <w:r w:rsidRPr="006F40E4">
        <w:rPr>
          <w:rFonts w:ascii="Book Antiqua" w:eastAsia="宋体" w:hAnsi="Book Antiqua" w:cs="宋体"/>
          <w:sz w:val="24"/>
          <w:szCs w:val="24"/>
          <w:lang w:eastAsia="zh-CN"/>
        </w:rPr>
        <w:t>bowel cleansing</w:t>
      </w:r>
      <w:proofErr w:type="gramEnd"/>
      <w:r w:rsidRPr="006F40E4">
        <w:rPr>
          <w:rFonts w:ascii="Book Antiqua" w:eastAsia="宋体" w:hAnsi="Book Antiqua" w:cs="宋体"/>
          <w:sz w:val="24"/>
          <w:szCs w:val="24"/>
          <w:lang w:eastAsia="zh-CN"/>
        </w:rPr>
        <w:t xml:space="preserve"> regimens. </w:t>
      </w:r>
      <w:r w:rsidRPr="006F40E4">
        <w:rPr>
          <w:rFonts w:ascii="Book Antiqua" w:eastAsia="宋体" w:hAnsi="Book Antiqua" w:cs="宋体"/>
          <w:i/>
          <w:iCs/>
          <w:sz w:val="24"/>
          <w:szCs w:val="24"/>
          <w:lang w:eastAsia="zh-CN"/>
        </w:rPr>
        <w:t xml:space="preserve">Can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2011; </w:t>
      </w:r>
      <w:r w:rsidRPr="006F40E4">
        <w:rPr>
          <w:rFonts w:ascii="Book Antiqua" w:eastAsia="宋体" w:hAnsi="Book Antiqua" w:cs="宋体"/>
          <w:b/>
          <w:bCs/>
          <w:sz w:val="24"/>
          <w:szCs w:val="24"/>
          <w:lang w:eastAsia="zh-CN"/>
        </w:rPr>
        <w:t>25</w:t>
      </w:r>
      <w:r w:rsidRPr="006F40E4">
        <w:rPr>
          <w:rFonts w:ascii="Book Antiqua" w:eastAsia="宋体" w:hAnsi="Book Antiqua" w:cs="宋体"/>
          <w:sz w:val="24"/>
          <w:szCs w:val="24"/>
          <w:lang w:eastAsia="zh-CN"/>
        </w:rPr>
        <w:t>: 657-662 [PMID: 22175055]</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20 </w:t>
      </w:r>
      <w:r w:rsidRPr="006F40E4">
        <w:rPr>
          <w:rFonts w:ascii="Book Antiqua" w:eastAsia="宋体" w:hAnsi="Book Antiqua" w:cs="宋体"/>
          <w:b/>
          <w:bCs/>
          <w:sz w:val="24"/>
          <w:szCs w:val="24"/>
          <w:lang w:eastAsia="zh-CN"/>
        </w:rPr>
        <w:t>Sharma VK</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Schaberg</w:t>
      </w:r>
      <w:proofErr w:type="spellEnd"/>
      <w:r w:rsidRPr="006F40E4">
        <w:rPr>
          <w:rFonts w:ascii="Book Antiqua" w:eastAsia="宋体" w:hAnsi="Book Antiqua" w:cs="宋体"/>
          <w:sz w:val="24"/>
          <w:szCs w:val="24"/>
          <w:lang w:eastAsia="zh-CN"/>
        </w:rPr>
        <w:t xml:space="preserve"> JW, </w:t>
      </w:r>
      <w:proofErr w:type="spellStart"/>
      <w:r w:rsidRPr="006F40E4">
        <w:rPr>
          <w:rFonts w:ascii="Book Antiqua" w:eastAsia="宋体" w:hAnsi="Book Antiqua" w:cs="宋体"/>
          <w:sz w:val="24"/>
          <w:szCs w:val="24"/>
          <w:lang w:eastAsia="zh-CN"/>
        </w:rPr>
        <w:t>Chockalingam</w:t>
      </w:r>
      <w:proofErr w:type="spellEnd"/>
      <w:r w:rsidRPr="006F40E4">
        <w:rPr>
          <w:rFonts w:ascii="Book Antiqua" w:eastAsia="宋体" w:hAnsi="Book Antiqua" w:cs="宋体"/>
          <w:sz w:val="24"/>
          <w:szCs w:val="24"/>
          <w:lang w:eastAsia="zh-CN"/>
        </w:rPr>
        <w:t xml:space="preserve"> SK, </w:t>
      </w:r>
      <w:proofErr w:type="spellStart"/>
      <w:r w:rsidRPr="006F40E4">
        <w:rPr>
          <w:rFonts w:ascii="Book Antiqua" w:eastAsia="宋体" w:hAnsi="Book Antiqua" w:cs="宋体"/>
          <w:sz w:val="24"/>
          <w:szCs w:val="24"/>
          <w:lang w:eastAsia="zh-CN"/>
        </w:rPr>
        <w:t>Vasudeva</w:t>
      </w:r>
      <w:proofErr w:type="spellEnd"/>
      <w:r w:rsidRPr="006F40E4">
        <w:rPr>
          <w:rFonts w:ascii="Book Antiqua" w:eastAsia="宋体" w:hAnsi="Book Antiqua" w:cs="宋体"/>
          <w:sz w:val="24"/>
          <w:szCs w:val="24"/>
          <w:lang w:eastAsia="zh-CN"/>
        </w:rPr>
        <w:t xml:space="preserve"> R, </w:t>
      </w:r>
      <w:proofErr w:type="spellStart"/>
      <w:r w:rsidRPr="006F40E4">
        <w:rPr>
          <w:rFonts w:ascii="Book Antiqua" w:eastAsia="宋体" w:hAnsi="Book Antiqua" w:cs="宋体"/>
          <w:sz w:val="24"/>
          <w:szCs w:val="24"/>
          <w:lang w:eastAsia="zh-CN"/>
        </w:rPr>
        <w:t>Howden</w:t>
      </w:r>
      <w:proofErr w:type="spellEnd"/>
      <w:r w:rsidRPr="006F40E4">
        <w:rPr>
          <w:rFonts w:ascii="Book Antiqua" w:eastAsia="宋体" w:hAnsi="Book Antiqua" w:cs="宋体"/>
          <w:sz w:val="24"/>
          <w:szCs w:val="24"/>
          <w:lang w:eastAsia="zh-CN"/>
        </w:rPr>
        <w:t xml:space="preserve"> CW. </w:t>
      </w:r>
      <w:proofErr w:type="gramStart"/>
      <w:r w:rsidRPr="006F40E4">
        <w:rPr>
          <w:rFonts w:ascii="Book Antiqua" w:eastAsia="宋体" w:hAnsi="Book Antiqua" w:cs="宋体"/>
          <w:sz w:val="24"/>
          <w:szCs w:val="24"/>
          <w:lang w:eastAsia="zh-CN"/>
        </w:rPr>
        <w:t>The effect of stimulant laxatives and polyethylene glycol-electrolyte lavage solution for colonoscopy preparation on serum electrolytes and hemodynamics.</w:t>
      </w:r>
      <w:proofErr w:type="gramEnd"/>
      <w:r w:rsidRPr="006F40E4">
        <w:rPr>
          <w:rFonts w:ascii="Book Antiqua" w:eastAsia="宋体" w:hAnsi="Book Antiqua" w:cs="宋体"/>
          <w:sz w:val="24"/>
          <w:szCs w:val="24"/>
          <w:lang w:eastAsia="zh-CN"/>
        </w:rPr>
        <w:t xml:space="preserve"> </w:t>
      </w:r>
      <w:r w:rsidRPr="006F40E4">
        <w:rPr>
          <w:rFonts w:ascii="Book Antiqua" w:eastAsia="宋体" w:hAnsi="Book Antiqua" w:cs="宋体"/>
          <w:i/>
          <w:iCs/>
          <w:sz w:val="24"/>
          <w:szCs w:val="24"/>
          <w:lang w:eastAsia="zh-CN"/>
        </w:rPr>
        <w:t xml:space="preserve">J </w:t>
      </w:r>
      <w:proofErr w:type="spellStart"/>
      <w:r w:rsidRPr="006F40E4">
        <w:rPr>
          <w:rFonts w:ascii="Book Antiqua" w:eastAsia="宋体" w:hAnsi="Book Antiqua" w:cs="宋体"/>
          <w:i/>
          <w:iCs/>
          <w:sz w:val="24"/>
          <w:szCs w:val="24"/>
          <w:lang w:eastAsia="zh-CN"/>
        </w:rPr>
        <w:t>Clin</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2001; </w:t>
      </w:r>
      <w:r w:rsidRPr="006F40E4">
        <w:rPr>
          <w:rFonts w:ascii="Book Antiqua" w:eastAsia="宋体" w:hAnsi="Book Antiqua" w:cs="宋体"/>
          <w:b/>
          <w:bCs/>
          <w:sz w:val="24"/>
          <w:szCs w:val="24"/>
          <w:lang w:eastAsia="zh-CN"/>
        </w:rPr>
        <w:t>32</w:t>
      </w:r>
      <w:r w:rsidRPr="006F40E4">
        <w:rPr>
          <w:rFonts w:ascii="Book Antiqua" w:eastAsia="宋体" w:hAnsi="Book Antiqua" w:cs="宋体"/>
          <w:sz w:val="24"/>
          <w:szCs w:val="24"/>
          <w:lang w:eastAsia="zh-CN"/>
        </w:rPr>
        <w:t>: 238-239 [PMID: 11246353]</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21 </w:t>
      </w:r>
      <w:proofErr w:type="spellStart"/>
      <w:r w:rsidRPr="006F40E4">
        <w:rPr>
          <w:rFonts w:ascii="Book Antiqua" w:eastAsia="宋体" w:hAnsi="Book Antiqua" w:cs="宋体"/>
          <w:b/>
          <w:bCs/>
          <w:sz w:val="24"/>
          <w:szCs w:val="24"/>
          <w:lang w:eastAsia="zh-CN"/>
        </w:rPr>
        <w:t>Ponchon</w:t>
      </w:r>
      <w:proofErr w:type="spellEnd"/>
      <w:r w:rsidRPr="006F40E4">
        <w:rPr>
          <w:rFonts w:ascii="Book Antiqua" w:eastAsia="宋体" w:hAnsi="Book Antiqua" w:cs="宋体"/>
          <w:b/>
          <w:bCs/>
          <w:sz w:val="24"/>
          <w:szCs w:val="24"/>
          <w:lang w:eastAsia="zh-CN"/>
        </w:rPr>
        <w:t xml:space="preserve"> T</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Boustière</w:t>
      </w:r>
      <w:proofErr w:type="spellEnd"/>
      <w:r w:rsidRPr="006F40E4">
        <w:rPr>
          <w:rFonts w:ascii="Book Antiqua" w:eastAsia="宋体" w:hAnsi="Book Antiqua" w:cs="宋体"/>
          <w:sz w:val="24"/>
          <w:szCs w:val="24"/>
          <w:lang w:eastAsia="zh-CN"/>
        </w:rPr>
        <w:t xml:space="preserve"> C, </w:t>
      </w:r>
      <w:proofErr w:type="spellStart"/>
      <w:r w:rsidRPr="006F40E4">
        <w:rPr>
          <w:rFonts w:ascii="Book Antiqua" w:eastAsia="宋体" w:hAnsi="Book Antiqua" w:cs="宋体"/>
          <w:sz w:val="24"/>
          <w:szCs w:val="24"/>
          <w:lang w:eastAsia="zh-CN"/>
        </w:rPr>
        <w:t>Heresbach</w:t>
      </w:r>
      <w:proofErr w:type="spellEnd"/>
      <w:r w:rsidRPr="006F40E4">
        <w:rPr>
          <w:rFonts w:ascii="Book Antiqua" w:eastAsia="宋体" w:hAnsi="Book Antiqua" w:cs="宋体"/>
          <w:sz w:val="24"/>
          <w:szCs w:val="24"/>
          <w:lang w:eastAsia="zh-CN"/>
        </w:rPr>
        <w:t xml:space="preserve"> D, </w:t>
      </w:r>
      <w:proofErr w:type="spellStart"/>
      <w:r w:rsidRPr="006F40E4">
        <w:rPr>
          <w:rFonts w:ascii="Book Antiqua" w:eastAsia="宋体" w:hAnsi="Book Antiqua" w:cs="宋体"/>
          <w:sz w:val="24"/>
          <w:szCs w:val="24"/>
          <w:lang w:eastAsia="zh-CN"/>
        </w:rPr>
        <w:t>Hagege</w:t>
      </w:r>
      <w:proofErr w:type="spellEnd"/>
      <w:r w:rsidRPr="006F40E4">
        <w:rPr>
          <w:rFonts w:ascii="Book Antiqua" w:eastAsia="宋体" w:hAnsi="Book Antiqua" w:cs="宋体"/>
          <w:sz w:val="24"/>
          <w:szCs w:val="24"/>
          <w:lang w:eastAsia="zh-CN"/>
        </w:rPr>
        <w:t xml:space="preserve"> H, </w:t>
      </w:r>
      <w:proofErr w:type="spellStart"/>
      <w:r w:rsidRPr="006F40E4">
        <w:rPr>
          <w:rFonts w:ascii="Book Antiqua" w:eastAsia="宋体" w:hAnsi="Book Antiqua" w:cs="宋体"/>
          <w:sz w:val="24"/>
          <w:szCs w:val="24"/>
          <w:lang w:eastAsia="zh-CN"/>
        </w:rPr>
        <w:t>Tarrerias</w:t>
      </w:r>
      <w:proofErr w:type="spellEnd"/>
      <w:r w:rsidRPr="006F40E4">
        <w:rPr>
          <w:rFonts w:ascii="Book Antiqua" w:eastAsia="宋体" w:hAnsi="Book Antiqua" w:cs="宋体"/>
          <w:sz w:val="24"/>
          <w:szCs w:val="24"/>
          <w:lang w:eastAsia="zh-CN"/>
        </w:rPr>
        <w:t xml:space="preserve"> AL, </w:t>
      </w:r>
      <w:proofErr w:type="spellStart"/>
      <w:r w:rsidRPr="006F40E4">
        <w:rPr>
          <w:rFonts w:ascii="Book Antiqua" w:eastAsia="宋体" w:hAnsi="Book Antiqua" w:cs="宋体"/>
          <w:sz w:val="24"/>
          <w:szCs w:val="24"/>
          <w:lang w:eastAsia="zh-CN"/>
        </w:rPr>
        <w:t>Halphen</w:t>
      </w:r>
      <w:proofErr w:type="spellEnd"/>
      <w:r w:rsidRPr="006F40E4">
        <w:rPr>
          <w:rFonts w:ascii="Book Antiqua" w:eastAsia="宋体" w:hAnsi="Book Antiqua" w:cs="宋体"/>
          <w:sz w:val="24"/>
          <w:szCs w:val="24"/>
          <w:lang w:eastAsia="zh-CN"/>
        </w:rPr>
        <w:t xml:space="preserve"> M. A low-volume polyethylene glycol plus ascorbate solution for bowel cleansing prior to colonoscopy: the NORMO </w:t>
      </w:r>
      <w:proofErr w:type="spellStart"/>
      <w:r w:rsidRPr="006F40E4">
        <w:rPr>
          <w:rFonts w:ascii="Book Antiqua" w:eastAsia="宋体" w:hAnsi="Book Antiqua" w:cs="宋体"/>
          <w:sz w:val="24"/>
          <w:szCs w:val="24"/>
          <w:lang w:eastAsia="zh-CN"/>
        </w:rPr>
        <w:t>randomised</w:t>
      </w:r>
      <w:proofErr w:type="spellEnd"/>
      <w:r w:rsidRPr="006F40E4">
        <w:rPr>
          <w:rFonts w:ascii="Book Antiqua" w:eastAsia="宋体" w:hAnsi="Book Antiqua" w:cs="宋体"/>
          <w:sz w:val="24"/>
          <w:szCs w:val="24"/>
          <w:lang w:eastAsia="zh-CN"/>
        </w:rPr>
        <w:t xml:space="preserve"> clinical trial. </w:t>
      </w:r>
      <w:r w:rsidRPr="006F40E4">
        <w:rPr>
          <w:rFonts w:ascii="Book Antiqua" w:eastAsia="宋体" w:hAnsi="Book Antiqua" w:cs="宋体"/>
          <w:i/>
          <w:iCs/>
          <w:sz w:val="24"/>
          <w:szCs w:val="24"/>
          <w:lang w:eastAsia="zh-CN"/>
        </w:rPr>
        <w:t>Dig Liver Dis</w:t>
      </w:r>
      <w:r w:rsidRPr="006F40E4">
        <w:rPr>
          <w:rFonts w:ascii="Book Antiqua" w:eastAsia="宋体" w:hAnsi="Book Antiqua" w:cs="宋体"/>
          <w:sz w:val="24"/>
          <w:szCs w:val="24"/>
          <w:lang w:eastAsia="zh-CN"/>
        </w:rPr>
        <w:t xml:space="preserve"> 2013; </w:t>
      </w:r>
      <w:r w:rsidRPr="006F40E4">
        <w:rPr>
          <w:rFonts w:ascii="Book Antiqua" w:eastAsia="宋体" w:hAnsi="Book Antiqua" w:cs="宋体"/>
          <w:b/>
          <w:bCs/>
          <w:sz w:val="24"/>
          <w:szCs w:val="24"/>
          <w:lang w:eastAsia="zh-CN"/>
        </w:rPr>
        <w:t>45</w:t>
      </w:r>
      <w:r w:rsidRPr="006F40E4">
        <w:rPr>
          <w:rFonts w:ascii="Book Antiqua" w:eastAsia="宋体" w:hAnsi="Book Antiqua" w:cs="宋体"/>
          <w:sz w:val="24"/>
          <w:szCs w:val="24"/>
          <w:lang w:eastAsia="zh-CN"/>
        </w:rPr>
        <w:t>: 820-826 [PMID: 23769755 DOI: 10.1016/j.dld.2013.04.009]</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22 </w:t>
      </w:r>
      <w:proofErr w:type="spellStart"/>
      <w:r w:rsidRPr="006F40E4">
        <w:rPr>
          <w:rFonts w:ascii="Book Antiqua" w:eastAsia="宋体" w:hAnsi="Book Antiqua" w:cs="宋体"/>
          <w:b/>
          <w:bCs/>
          <w:sz w:val="24"/>
          <w:szCs w:val="24"/>
          <w:lang w:eastAsia="zh-CN"/>
        </w:rPr>
        <w:t>Mathus-Vliegen</w:t>
      </w:r>
      <w:proofErr w:type="spellEnd"/>
      <w:r w:rsidRPr="006F40E4">
        <w:rPr>
          <w:rFonts w:ascii="Book Antiqua" w:eastAsia="宋体" w:hAnsi="Book Antiqua" w:cs="宋体"/>
          <w:b/>
          <w:bCs/>
          <w:sz w:val="24"/>
          <w:szCs w:val="24"/>
          <w:lang w:eastAsia="zh-CN"/>
        </w:rPr>
        <w:t xml:space="preserve"> EM</w:t>
      </w:r>
      <w:r w:rsidRPr="006F40E4">
        <w:rPr>
          <w:rFonts w:ascii="Book Antiqua" w:eastAsia="宋体" w:hAnsi="Book Antiqua" w:cs="宋体"/>
          <w:sz w:val="24"/>
          <w:szCs w:val="24"/>
          <w:lang w:eastAsia="zh-CN"/>
        </w:rPr>
        <w:t xml:space="preserve">, van der Vliet K. Safety, patient's tolerance, and efficacy of a 2-liter vitamin C-enriched </w:t>
      </w:r>
      <w:proofErr w:type="spellStart"/>
      <w:r w:rsidRPr="006F40E4">
        <w:rPr>
          <w:rFonts w:ascii="Book Antiqua" w:eastAsia="宋体" w:hAnsi="Book Antiqua" w:cs="宋体"/>
          <w:sz w:val="24"/>
          <w:szCs w:val="24"/>
          <w:lang w:eastAsia="zh-CN"/>
        </w:rPr>
        <w:t>macrogol</w:t>
      </w:r>
      <w:proofErr w:type="spellEnd"/>
      <w:r w:rsidRPr="006F40E4">
        <w:rPr>
          <w:rFonts w:ascii="Book Antiqua" w:eastAsia="宋体" w:hAnsi="Book Antiqua" w:cs="宋体"/>
          <w:sz w:val="24"/>
          <w:szCs w:val="24"/>
          <w:lang w:eastAsia="zh-CN"/>
        </w:rPr>
        <w:t xml:space="preserve"> bowel preparation: a randomized, </w:t>
      </w:r>
      <w:proofErr w:type="spellStart"/>
      <w:r w:rsidRPr="006F40E4">
        <w:rPr>
          <w:rFonts w:ascii="Book Antiqua" w:eastAsia="宋体" w:hAnsi="Book Antiqua" w:cs="宋体"/>
          <w:sz w:val="24"/>
          <w:szCs w:val="24"/>
          <w:lang w:eastAsia="zh-CN"/>
        </w:rPr>
        <w:t>endoscopist</w:t>
      </w:r>
      <w:proofErr w:type="spellEnd"/>
      <w:r w:rsidRPr="006F40E4">
        <w:rPr>
          <w:rFonts w:ascii="Book Antiqua" w:eastAsia="宋体" w:hAnsi="Book Antiqua" w:cs="宋体"/>
          <w:sz w:val="24"/>
          <w:szCs w:val="24"/>
          <w:lang w:eastAsia="zh-CN"/>
        </w:rPr>
        <w:t xml:space="preserve">-blinded prospective comparison with a 4-liter </w:t>
      </w:r>
      <w:proofErr w:type="spellStart"/>
      <w:r w:rsidRPr="006F40E4">
        <w:rPr>
          <w:rFonts w:ascii="Book Antiqua" w:eastAsia="宋体" w:hAnsi="Book Antiqua" w:cs="宋体"/>
          <w:sz w:val="24"/>
          <w:szCs w:val="24"/>
          <w:lang w:eastAsia="zh-CN"/>
        </w:rPr>
        <w:t>macrogol</w:t>
      </w:r>
      <w:proofErr w:type="spellEnd"/>
      <w:r w:rsidRPr="006F40E4">
        <w:rPr>
          <w:rFonts w:ascii="Book Antiqua" w:eastAsia="宋体" w:hAnsi="Book Antiqua" w:cs="宋体"/>
          <w:sz w:val="24"/>
          <w:szCs w:val="24"/>
          <w:lang w:eastAsia="zh-CN"/>
        </w:rPr>
        <w:t xml:space="preserve"> solution. </w:t>
      </w:r>
      <w:r w:rsidRPr="006F40E4">
        <w:rPr>
          <w:rFonts w:ascii="Book Antiqua" w:eastAsia="宋体" w:hAnsi="Book Antiqua" w:cs="宋体"/>
          <w:i/>
          <w:iCs/>
          <w:sz w:val="24"/>
          <w:szCs w:val="24"/>
          <w:lang w:eastAsia="zh-CN"/>
        </w:rPr>
        <w:t>Dis Colon Rectum</w:t>
      </w:r>
      <w:r w:rsidRPr="006F40E4">
        <w:rPr>
          <w:rFonts w:ascii="Book Antiqua" w:eastAsia="宋体" w:hAnsi="Book Antiqua" w:cs="宋体"/>
          <w:sz w:val="24"/>
          <w:szCs w:val="24"/>
          <w:lang w:eastAsia="zh-CN"/>
        </w:rPr>
        <w:t xml:space="preserve"> 2013; </w:t>
      </w:r>
      <w:r w:rsidRPr="006F40E4">
        <w:rPr>
          <w:rFonts w:ascii="Book Antiqua" w:eastAsia="宋体" w:hAnsi="Book Antiqua" w:cs="宋体"/>
          <w:b/>
          <w:bCs/>
          <w:sz w:val="24"/>
          <w:szCs w:val="24"/>
          <w:lang w:eastAsia="zh-CN"/>
        </w:rPr>
        <w:t>56</w:t>
      </w:r>
      <w:r w:rsidRPr="006F40E4">
        <w:rPr>
          <w:rFonts w:ascii="Book Antiqua" w:eastAsia="宋体" w:hAnsi="Book Antiqua" w:cs="宋体"/>
          <w:sz w:val="24"/>
          <w:szCs w:val="24"/>
          <w:lang w:eastAsia="zh-CN"/>
        </w:rPr>
        <w:t>: 1002-1012 [PMID: 23838870 DOI: 10.1097/DCR.0b013e3182989f05]</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23 </w:t>
      </w:r>
      <w:r w:rsidRPr="006F40E4">
        <w:rPr>
          <w:rFonts w:ascii="Book Antiqua" w:eastAsia="宋体" w:hAnsi="Book Antiqua" w:cs="宋体"/>
          <w:b/>
          <w:bCs/>
          <w:sz w:val="24"/>
          <w:szCs w:val="24"/>
          <w:lang w:eastAsia="zh-CN"/>
        </w:rPr>
        <w:t>Gentile M</w:t>
      </w:r>
      <w:r w:rsidRPr="006F40E4">
        <w:rPr>
          <w:rFonts w:ascii="Book Antiqua" w:eastAsia="宋体" w:hAnsi="Book Antiqua" w:cs="宋体"/>
          <w:sz w:val="24"/>
          <w:szCs w:val="24"/>
          <w:lang w:eastAsia="zh-CN"/>
        </w:rPr>
        <w:t xml:space="preserve">, De Rosa M, </w:t>
      </w:r>
      <w:proofErr w:type="spellStart"/>
      <w:r w:rsidRPr="006F40E4">
        <w:rPr>
          <w:rFonts w:ascii="Book Antiqua" w:eastAsia="宋体" w:hAnsi="Book Antiqua" w:cs="宋体"/>
          <w:sz w:val="24"/>
          <w:szCs w:val="24"/>
          <w:lang w:eastAsia="zh-CN"/>
        </w:rPr>
        <w:t>Cestaro</w:t>
      </w:r>
      <w:proofErr w:type="spellEnd"/>
      <w:r w:rsidRPr="006F40E4">
        <w:rPr>
          <w:rFonts w:ascii="Book Antiqua" w:eastAsia="宋体" w:hAnsi="Book Antiqua" w:cs="宋体"/>
          <w:sz w:val="24"/>
          <w:szCs w:val="24"/>
          <w:lang w:eastAsia="zh-CN"/>
        </w:rPr>
        <w:t xml:space="preserve"> G, </w:t>
      </w:r>
      <w:proofErr w:type="spellStart"/>
      <w:r w:rsidRPr="006F40E4">
        <w:rPr>
          <w:rFonts w:ascii="Book Antiqua" w:eastAsia="宋体" w:hAnsi="Book Antiqua" w:cs="宋体"/>
          <w:sz w:val="24"/>
          <w:szCs w:val="24"/>
          <w:lang w:eastAsia="zh-CN"/>
        </w:rPr>
        <w:t>Forestieri</w:t>
      </w:r>
      <w:proofErr w:type="spellEnd"/>
      <w:r w:rsidRPr="006F40E4">
        <w:rPr>
          <w:rFonts w:ascii="Book Antiqua" w:eastAsia="宋体" w:hAnsi="Book Antiqua" w:cs="宋体"/>
          <w:sz w:val="24"/>
          <w:szCs w:val="24"/>
          <w:lang w:eastAsia="zh-CN"/>
        </w:rPr>
        <w:t xml:space="preserve"> P. 2 L PEG plus ascorbic acid versus 4 L PEG plus </w:t>
      </w:r>
      <w:proofErr w:type="spellStart"/>
      <w:r w:rsidRPr="006F40E4">
        <w:rPr>
          <w:rFonts w:ascii="Book Antiqua" w:eastAsia="宋体" w:hAnsi="Book Antiqua" w:cs="宋体"/>
          <w:sz w:val="24"/>
          <w:szCs w:val="24"/>
          <w:lang w:eastAsia="zh-CN"/>
        </w:rPr>
        <w:t>simethicon</w:t>
      </w:r>
      <w:proofErr w:type="spellEnd"/>
      <w:r w:rsidRPr="006F40E4">
        <w:rPr>
          <w:rFonts w:ascii="Book Antiqua" w:eastAsia="宋体" w:hAnsi="Book Antiqua" w:cs="宋体"/>
          <w:sz w:val="24"/>
          <w:szCs w:val="24"/>
          <w:lang w:eastAsia="zh-CN"/>
        </w:rPr>
        <w:t xml:space="preserve"> for colonoscopy preparation: a randomized single-blind clinical trial. </w:t>
      </w:r>
      <w:proofErr w:type="spellStart"/>
      <w:r w:rsidRPr="006F40E4">
        <w:rPr>
          <w:rFonts w:ascii="Book Antiqua" w:eastAsia="宋体" w:hAnsi="Book Antiqua" w:cs="宋体"/>
          <w:i/>
          <w:iCs/>
          <w:sz w:val="24"/>
          <w:szCs w:val="24"/>
          <w:lang w:eastAsia="zh-CN"/>
        </w:rPr>
        <w:t>Surg</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Laparosc</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Percutan</w:t>
      </w:r>
      <w:proofErr w:type="spellEnd"/>
      <w:r w:rsidRPr="006F40E4">
        <w:rPr>
          <w:rFonts w:ascii="Book Antiqua" w:eastAsia="宋体" w:hAnsi="Book Antiqua" w:cs="宋体"/>
          <w:i/>
          <w:iCs/>
          <w:sz w:val="24"/>
          <w:szCs w:val="24"/>
          <w:lang w:eastAsia="zh-CN"/>
        </w:rPr>
        <w:t xml:space="preserve"> Tech</w:t>
      </w:r>
      <w:r w:rsidRPr="006F40E4">
        <w:rPr>
          <w:rFonts w:ascii="Book Antiqua" w:eastAsia="宋体" w:hAnsi="Book Antiqua" w:cs="宋体"/>
          <w:sz w:val="24"/>
          <w:szCs w:val="24"/>
          <w:lang w:eastAsia="zh-CN"/>
        </w:rPr>
        <w:t xml:space="preserve"> 2013; </w:t>
      </w:r>
      <w:r w:rsidRPr="006F40E4">
        <w:rPr>
          <w:rFonts w:ascii="Book Antiqua" w:eastAsia="宋体" w:hAnsi="Book Antiqua" w:cs="宋体"/>
          <w:b/>
          <w:bCs/>
          <w:sz w:val="24"/>
          <w:szCs w:val="24"/>
          <w:lang w:eastAsia="zh-CN"/>
        </w:rPr>
        <w:t>23</w:t>
      </w:r>
      <w:r w:rsidRPr="006F40E4">
        <w:rPr>
          <w:rFonts w:ascii="Book Antiqua" w:eastAsia="宋体" w:hAnsi="Book Antiqua" w:cs="宋体"/>
          <w:sz w:val="24"/>
          <w:szCs w:val="24"/>
          <w:lang w:eastAsia="zh-CN"/>
        </w:rPr>
        <w:t>: 276-280 [PMID: 23751992 DOI: 10.1097/SLE.0b013e31828e389d]</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24 </w:t>
      </w:r>
      <w:proofErr w:type="spellStart"/>
      <w:r w:rsidRPr="006F40E4">
        <w:rPr>
          <w:rFonts w:ascii="Book Antiqua" w:eastAsia="宋体" w:hAnsi="Book Antiqua" w:cs="宋体"/>
          <w:b/>
          <w:bCs/>
          <w:sz w:val="24"/>
          <w:szCs w:val="24"/>
          <w:lang w:eastAsia="zh-CN"/>
        </w:rPr>
        <w:t>Valiante</w:t>
      </w:r>
      <w:proofErr w:type="spellEnd"/>
      <w:r w:rsidRPr="006F40E4">
        <w:rPr>
          <w:rFonts w:ascii="Book Antiqua" w:eastAsia="宋体" w:hAnsi="Book Antiqua" w:cs="宋体"/>
          <w:b/>
          <w:bCs/>
          <w:sz w:val="24"/>
          <w:szCs w:val="24"/>
          <w:lang w:eastAsia="zh-CN"/>
        </w:rPr>
        <w:t xml:space="preserve"> F</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Bellumat</w:t>
      </w:r>
      <w:proofErr w:type="spellEnd"/>
      <w:r w:rsidRPr="006F40E4">
        <w:rPr>
          <w:rFonts w:ascii="Book Antiqua" w:eastAsia="宋体" w:hAnsi="Book Antiqua" w:cs="宋体"/>
          <w:sz w:val="24"/>
          <w:szCs w:val="24"/>
          <w:lang w:eastAsia="zh-CN"/>
        </w:rPr>
        <w:t xml:space="preserve"> A, De Bona M, De </w:t>
      </w:r>
      <w:proofErr w:type="spellStart"/>
      <w:r w:rsidRPr="006F40E4">
        <w:rPr>
          <w:rFonts w:ascii="Book Antiqua" w:eastAsia="宋体" w:hAnsi="Book Antiqua" w:cs="宋体"/>
          <w:sz w:val="24"/>
          <w:szCs w:val="24"/>
          <w:lang w:eastAsia="zh-CN"/>
        </w:rPr>
        <w:t>Boni</w:t>
      </w:r>
      <w:proofErr w:type="spellEnd"/>
      <w:r w:rsidRPr="006F40E4">
        <w:rPr>
          <w:rFonts w:ascii="Book Antiqua" w:eastAsia="宋体" w:hAnsi="Book Antiqua" w:cs="宋体"/>
          <w:sz w:val="24"/>
          <w:szCs w:val="24"/>
          <w:lang w:eastAsia="zh-CN"/>
        </w:rPr>
        <w:t xml:space="preserve"> M. </w:t>
      </w:r>
      <w:proofErr w:type="spellStart"/>
      <w:r w:rsidRPr="006F40E4">
        <w:rPr>
          <w:rFonts w:ascii="Book Antiqua" w:eastAsia="宋体" w:hAnsi="Book Antiqua" w:cs="宋体"/>
          <w:sz w:val="24"/>
          <w:szCs w:val="24"/>
          <w:lang w:eastAsia="zh-CN"/>
        </w:rPr>
        <w:t>Bisacodyl</w:t>
      </w:r>
      <w:proofErr w:type="spellEnd"/>
      <w:r w:rsidRPr="006F40E4">
        <w:rPr>
          <w:rFonts w:ascii="Book Antiqua" w:eastAsia="宋体" w:hAnsi="Book Antiqua" w:cs="宋体"/>
          <w:sz w:val="24"/>
          <w:szCs w:val="24"/>
          <w:lang w:eastAsia="zh-CN"/>
        </w:rPr>
        <w:t xml:space="preserve"> plus split 2-L polyethylene glycol-citrate-simethicone improves quality of bowel preparation before screening colonoscopy. </w:t>
      </w:r>
      <w:r w:rsidRPr="006F40E4">
        <w:rPr>
          <w:rFonts w:ascii="Book Antiqua" w:eastAsia="宋体" w:hAnsi="Book Antiqua" w:cs="宋体"/>
          <w:i/>
          <w:iCs/>
          <w:sz w:val="24"/>
          <w:szCs w:val="24"/>
          <w:lang w:eastAsia="zh-CN"/>
        </w:rPr>
        <w:t xml:space="preserve">World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2013; </w:t>
      </w:r>
      <w:r w:rsidRPr="006F40E4">
        <w:rPr>
          <w:rFonts w:ascii="Book Antiqua" w:eastAsia="宋体" w:hAnsi="Book Antiqua" w:cs="宋体"/>
          <w:b/>
          <w:bCs/>
          <w:sz w:val="24"/>
          <w:szCs w:val="24"/>
          <w:lang w:eastAsia="zh-CN"/>
        </w:rPr>
        <w:t>19</w:t>
      </w:r>
      <w:r w:rsidRPr="006F40E4">
        <w:rPr>
          <w:rFonts w:ascii="Book Antiqua" w:eastAsia="宋体" w:hAnsi="Book Antiqua" w:cs="宋体"/>
          <w:sz w:val="24"/>
          <w:szCs w:val="24"/>
          <w:lang w:eastAsia="zh-CN"/>
        </w:rPr>
        <w:t>: 5493-5499 [PMID: 24023492 DOI: 10.3748/wjg.v19.i33.5493]</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lastRenderedPageBreak/>
        <w:t xml:space="preserve">25 </w:t>
      </w:r>
      <w:r w:rsidRPr="006F40E4">
        <w:rPr>
          <w:rFonts w:ascii="Book Antiqua" w:eastAsia="宋体" w:hAnsi="Book Antiqua" w:cs="宋体"/>
          <w:b/>
          <w:bCs/>
          <w:sz w:val="24"/>
          <w:szCs w:val="24"/>
          <w:lang w:eastAsia="zh-CN"/>
        </w:rPr>
        <w:t>Lee KJ</w:t>
      </w:r>
      <w:r w:rsidRPr="006F40E4">
        <w:rPr>
          <w:rFonts w:ascii="Book Antiqua" w:eastAsia="宋体" w:hAnsi="Book Antiqua" w:cs="宋体"/>
          <w:sz w:val="24"/>
          <w:szCs w:val="24"/>
          <w:lang w:eastAsia="zh-CN"/>
        </w:rPr>
        <w:t xml:space="preserve">, Park HJ, Kim HS, </w:t>
      </w:r>
      <w:proofErr w:type="spellStart"/>
      <w:r w:rsidRPr="006F40E4">
        <w:rPr>
          <w:rFonts w:ascii="Book Antiqua" w:eastAsia="宋体" w:hAnsi="Book Antiqua" w:cs="宋体"/>
          <w:sz w:val="24"/>
          <w:szCs w:val="24"/>
          <w:lang w:eastAsia="zh-CN"/>
        </w:rPr>
        <w:t>Baik</w:t>
      </w:r>
      <w:proofErr w:type="spellEnd"/>
      <w:r w:rsidRPr="006F40E4">
        <w:rPr>
          <w:rFonts w:ascii="Book Antiqua" w:eastAsia="宋体" w:hAnsi="Book Antiqua" w:cs="宋体"/>
          <w:sz w:val="24"/>
          <w:szCs w:val="24"/>
          <w:lang w:eastAsia="zh-CN"/>
        </w:rPr>
        <w:t xml:space="preserve"> KH, Kim YS, Park SC, </w:t>
      </w:r>
      <w:proofErr w:type="spellStart"/>
      <w:r w:rsidRPr="006F40E4">
        <w:rPr>
          <w:rFonts w:ascii="Book Antiqua" w:eastAsia="宋体" w:hAnsi="Book Antiqua" w:cs="宋体"/>
          <w:sz w:val="24"/>
          <w:szCs w:val="24"/>
          <w:lang w:eastAsia="zh-CN"/>
        </w:rPr>
        <w:t>Seo</w:t>
      </w:r>
      <w:proofErr w:type="spellEnd"/>
      <w:r w:rsidRPr="006F40E4">
        <w:rPr>
          <w:rFonts w:ascii="Book Antiqua" w:eastAsia="宋体" w:hAnsi="Book Antiqua" w:cs="宋体"/>
          <w:sz w:val="24"/>
          <w:szCs w:val="24"/>
          <w:lang w:eastAsia="zh-CN"/>
        </w:rPr>
        <w:t xml:space="preserve"> HI. Electrolyte changes after bowel preparation for colonoscopy: A randomized controlled multicenter trial. </w:t>
      </w:r>
      <w:r w:rsidRPr="006F40E4">
        <w:rPr>
          <w:rFonts w:ascii="Book Antiqua" w:eastAsia="宋体" w:hAnsi="Book Antiqua" w:cs="宋体"/>
          <w:i/>
          <w:iCs/>
          <w:sz w:val="24"/>
          <w:szCs w:val="24"/>
          <w:lang w:eastAsia="zh-CN"/>
        </w:rPr>
        <w:t xml:space="preserve">World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2015; </w:t>
      </w:r>
      <w:r w:rsidRPr="006F40E4">
        <w:rPr>
          <w:rFonts w:ascii="Book Antiqua" w:eastAsia="宋体" w:hAnsi="Book Antiqua" w:cs="宋体"/>
          <w:b/>
          <w:bCs/>
          <w:sz w:val="24"/>
          <w:szCs w:val="24"/>
          <w:lang w:eastAsia="zh-CN"/>
        </w:rPr>
        <w:t>21</w:t>
      </w:r>
      <w:r w:rsidRPr="006F40E4">
        <w:rPr>
          <w:rFonts w:ascii="Book Antiqua" w:eastAsia="宋体" w:hAnsi="Book Antiqua" w:cs="宋体"/>
          <w:sz w:val="24"/>
          <w:szCs w:val="24"/>
          <w:lang w:eastAsia="zh-CN"/>
        </w:rPr>
        <w:t>: 3041-3048 [PMID: 25780304 DOI: 10.3748/wjg.v21.i10.3041]</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26 </w:t>
      </w:r>
      <w:proofErr w:type="spellStart"/>
      <w:r w:rsidRPr="006F40E4">
        <w:rPr>
          <w:rFonts w:ascii="Book Antiqua" w:eastAsia="宋体" w:hAnsi="Book Antiqua" w:cs="宋体"/>
          <w:b/>
          <w:bCs/>
          <w:sz w:val="24"/>
          <w:szCs w:val="24"/>
          <w:lang w:eastAsia="zh-CN"/>
        </w:rPr>
        <w:t>Hillyer</w:t>
      </w:r>
      <w:proofErr w:type="spellEnd"/>
      <w:r w:rsidRPr="006F40E4">
        <w:rPr>
          <w:rFonts w:ascii="Book Antiqua" w:eastAsia="宋体" w:hAnsi="Book Antiqua" w:cs="宋体"/>
          <w:b/>
          <w:bCs/>
          <w:sz w:val="24"/>
          <w:szCs w:val="24"/>
          <w:lang w:eastAsia="zh-CN"/>
        </w:rPr>
        <w:t xml:space="preserve"> GC</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Lebwohl</w:t>
      </w:r>
      <w:proofErr w:type="spellEnd"/>
      <w:r w:rsidRPr="006F40E4">
        <w:rPr>
          <w:rFonts w:ascii="Book Antiqua" w:eastAsia="宋体" w:hAnsi="Book Antiqua" w:cs="宋体"/>
          <w:sz w:val="24"/>
          <w:szCs w:val="24"/>
          <w:lang w:eastAsia="zh-CN"/>
        </w:rPr>
        <w:t xml:space="preserve"> B, </w:t>
      </w:r>
      <w:proofErr w:type="spellStart"/>
      <w:r w:rsidRPr="006F40E4">
        <w:rPr>
          <w:rFonts w:ascii="Book Antiqua" w:eastAsia="宋体" w:hAnsi="Book Antiqua" w:cs="宋体"/>
          <w:sz w:val="24"/>
          <w:szCs w:val="24"/>
          <w:lang w:eastAsia="zh-CN"/>
        </w:rPr>
        <w:t>Basch</w:t>
      </w:r>
      <w:proofErr w:type="spellEnd"/>
      <w:r w:rsidRPr="006F40E4">
        <w:rPr>
          <w:rFonts w:ascii="Book Antiqua" w:eastAsia="宋体" w:hAnsi="Book Antiqua" w:cs="宋体"/>
          <w:sz w:val="24"/>
          <w:szCs w:val="24"/>
          <w:lang w:eastAsia="zh-CN"/>
        </w:rPr>
        <w:t xml:space="preserve"> CH, </w:t>
      </w:r>
      <w:proofErr w:type="spellStart"/>
      <w:r w:rsidRPr="006F40E4">
        <w:rPr>
          <w:rFonts w:ascii="Book Antiqua" w:eastAsia="宋体" w:hAnsi="Book Antiqua" w:cs="宋体"/>
          <w:sz w:val="24"/>
          <w:szCs w:val="24"/>
          <w:lang w:eastAsia="zh-CN"/>
        </w:rPr>
        <w:t>Basch</w:t>
      </w:r>
      <w:proofErr w:type="spellEnd"/>
      <w:r w:rsidRPr="006F40E4">
        <w:rPr>
          <w:rFonts w:ascii="Book Antiqua" w:eastAsia="宋体" w:hAnsi="Book Antiqua" w:cs="宋体"/>
          <w:sz w:val="24"/>
          <w:szCs w:val="24"/>
          <w:lang w:eastAsia="zh-CN"/>
        </w:rPr>
        <w:t xml:space="preserve"> CE, </w:t>
      </w:r>
      <w:proofErr w:type="spellStart"/>
      <w:r w:rsidRPr="006F40E4">
        <w:rPr>
          <w:rFonts w:ascii="Book Antiqua" w:eastAsia="宋体" w:hAnsi="Book Antiqua" w:cs="宋体"/>
          <w:sz w:val="24"/>
          <w:szCs w:val="24"/>
          <w:lang w:eastAsia="zh-CN"/>
        </w:rPr>
        <w:t>Kastrinos</w:t>
      </w:r>
      <w:proofErr w:type="spellEnd"/>
      <w:r w:rsidRPr="006F40E4">
        <w:rPr>
          <w:rFonts w:ascii="Book Antiqua" w:eastAsia="宋体" w:hAnsi="Book Antiqua" w:cs="宋体"/>
          <w:sz w:val="24"/>
          <w:szCs w:val="24"/>
          <w:lang w:eastAsia="zh-CN"/>
        </w:rPr>
        <w:t xml:space="preserve"> F, </w:t>
      </w:r>
      <w:proofErr w:type="spellStart"/>
      <w:r w:rsidRPr="006F40E4">
        <w:rPr>
          <w:rFonts w:ascii="Book Antiqua" w:eastAsia="宋体" w:hAnsi="Book Antiqua" w:cs="宋体"/>
          <w:sz w:val="24"/>
          <w:szCs w:val="24"/>
          <w:lang w:eastAsia="zh-CN"/>
        </w:rPr>
        <w:t>Insel</w:t>
      </w:r>
      <w:proofErr w:type="spellEnd"/>
      <w:r w:rsidRPr="006F40E4">
        <w:rPr>
          <w:rFonts w:ascii="Book Antiqua" w:eastAsia="宋体" w:hAnsi="Book Antiqua" w:cs="宋体"/>
          <w:sz w:val="24"/>
          <w:szCs w:val="24"/>
          <w:lang w:eastAsia="zh-CN"/>
        </w:rPr>
        <w:t xml:space="preserve"> BJ, </w:t>
      </w:r>
      <w:proofErr w:type="spellStart"/>
      <w:r w:rsidRPr="006F40E4">
        <w:rPr>
          <w:rFonts w:ascii="Book Antiqua" w:eastAsia="宋体" w:hAnsi="Book Antiqua" w:cs="宋体"/>
          <w:sz w:val="24"/>
          <w:szCs w:val="24"/>
          <w:lang w:eastAsia="zh-CN"/>
        </w:rPr>
        <w:t>Neugut</w:t>
      </w:r>
      <w:proofErr w:type="spellEnd"/>
      <w:r w:rsidRPr="006F40E4">
        <w:rPr>
          <w:rFonts w:ascii="Book Antiqua" w:eastAsia="宋体" w:hAnsi="Book Antiqua" w:cs="宋体"/>
          <w:sz w:val="24"/>
          <w:szCs w:val="24"/>
          <w:lang w:eastAsia="zh-CN"/>
        </w:rPr>
        <w:t xml:space="preserve"> AI. Split dose and </w:t>
      </w:r>
      <w:proofErr w:type="spellStart"/>
      <w:r w:rsidRPr="006F40E4">
        <w:rPr>
          <w:rFonts w:ascii="Book Antiqua" w:eastAsia="宋体" w:hAnsi="Book Antiqua" w:cs="宋体"/>
          <w:sz w:val="24"/>
          <w:szCs w:val="24"/>
          <w:lang w:eastAsia="zh-CN"/>
        </w:rPr>
        <w:t>MiraLAX</w:t>
      </w:r>
      <w:proofErr w:type="spellEnd"/>
      <w:r w:rsidRPr="006F40E4">
        <w:rPr>
          <w:rFonts w:ascii="Book Antiqua" w:eastAsia="宋体" w:hAnsi="Book Antiqua" w:cs="宋体"/>
          <w:sz w:val="24"/>
          <w:szCs w:val="24"/>
          <w:lang w:eastAsia="zh-CN"/>
        </w:rPr>
        <w:t xml:space="preserve">-based purgatives to enhance bowel preparation quality becoming common recommendations in the US. </w:t>
      </w:r>
      <w:proofErr w:type="spellStart"/>
      <w:r w:rsidRPr="006F40E4">
        <w:rPr>
          <w:rFonts w:ascii="Book Antiqua" w:eastAsia="宋体" w:hAnsi="Book Antiqua" w:cs="宋体"/>
          <w:i/>
          <w:iCs/>
          <w:sz w:val="24"/>
          <w:szCs w:val="24"/>
          <w:lang w:eastAsia="zh-CN"/>
        </w:rPr>
        <w:t>Therap</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Adv</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2013; </w:t>
      </w:r>
      <w:r w:rsidRPr="006F40E4">
        <w:rPr>
          <w:rFonts w:ascii="Book Antiqua" w:eastAsia="宋体" w:hAnsi="Book Antiqua" w:cs="宋体"/>
          <w:b/>
          <w:bCs/>
          <w:sz w:val="24"/>
          <w:szCs w:val="24"/>
          <w:lang w:eastAsia="zh-CN"/>
        </w:rPr>
        <w:t>6</w:t>
      </w:r>
      <w:r w:rsidRPr="006F40E4">
        <w:rPr>
          <w:rFonts w:ascii="Book Antiqua" w:eastAsia="宋体" w:hAnsi="Book Antiqua" w:cs="宋体"/>
          <w:sz w:val="24"/>
          <w:szCs w:val="24"/>
          <w:lang w:eastAsia="zh-CN"/>
        </w:rPr>
        <w:t>: 5-14 [PMID: 23320046 DOI: 10.1177/1756283X12464100]</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27 </w:t>
      </w:r>
      <w:r w:rsidRPr="006F40E4">
        <w:rPr>
          <w:rFonts w:ascii="Book Antiqua" w:eastAsia="宋体" w:hAnsi="Book Antiqua" w:cs="宋体"/>
          <w:b/>
          <w:bCs/>
          <w:sz w:val="24"/>
          <w:szCs w:val="24"/>
          <w:lang w:eastAsia="zh-CN"/>
        </w:rPr>
        <w:t>Hjelkrem M</w:t>
      </w:r>
      <w:r w:rsidRPr="006F40E4">
        <w:rPr>
          <w:rFonts w:ascii="Book Antiqua" w:eastAsia="宋体" w:hAnsi="Book Antiqua" w:cs="宋体"/>
          <w:sz w:val="24"/>
          <w:szCs w:val="24"/>
          <w:lang w:eastAsia="zh-CN"/>
        </w:rPr>
        <w:t>, Stengel J, Liu M, Jones DP, Harrison SA.</w:t>
      </w:r>
      <w:proofErr w:type="gramEnd"/>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MiraLAX</w:t>
      </w:r>
      <w:proofErr w:type="spellEnd"/>
      <w:r w:rsidRPr="006F40E4">
        <w:rPr>
          <w:rFonts w:ascii="Book Antiqua" w:eastAsia="宋体" w:hAnsi="Book Antiqua" w:cs="宋体"/>
          <w:sz w:val="24"/>
          <w:szCs w:val="24"/>
          <w:lang w:eastAsia="zh-CN"/>
        </w:rPr>
        <w:t xml:space="preserve"> is not as effective as </w:t>
      </w:r>
      <w:proofErr w:type="spellStart"/>
      <w:r w:rsidRPr="006F40E4">
        <w:rPr>
          <w:rFonts w:ascii="Book Antiqua" w:eastAsia="宋体" w:hAnsi="Book Antiqua" w:cs="宋体"/>
          <w:sz w:val="24"/>
          <w:szCs w:val="24"/>
          <w:lang w:eastAsia="zh-CN"/>
        </w:rPr>
        <w:t>GoLytely</w:t>
      </w:r>
      <w:proofErr w:type="spellEnd"/>
      <w:r w:rsidRPr="006F40E4">
        <w:rPr>
          <w:rFonts w:ascii="Book Antiqua" w:eastAsia="宋体" w:hAnsi="Book Antiqua" w:cs="宋体"/>
          <w:sz w:val="24"/>
          <w:szCs w:val="24"/>
          <w:lang w:eastAsia="zh-CN"/>
        </w:rPr>
        <w:t xml:space="preserve"> in bowel cleansing before screening colonoscopies. </w:t>
      </w:r>
      <w:proofErr w:type="spellStart"/>
      <w:r w:rsidRPr="006F40E4">
        <w:rPr>
          <w:rFonts w:ascii="Book Antiqua" w:eastAsia="宋体" w:hAnsi="Book Antiqua" w:cs="宋体"/>
          <w:i/>
          <w:iCs/>
          <w:sz w:val="24"/>
          <w:szCs w:val="24"/>
          <w:lang w:eastAsia="zh-CN"/>
        </w:rPr>
        <w:t>Clin</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Hepatol</w:t>
      </w:r>
      <w:proofErr w:type="spellEnd"/>
      <w:r w:rsidRPr="006F40E4">
        <w:rPr>
          <w:rFonts w:ascii="Book Antiqua" w:eastAsia="宋体" w:hAnsi="Book Antiqua" w:cs="宋体"/>
          <w:sz w:val="24"/>
          <w:szCs w:val="24"/>
          <w:lang w:eastAsia="zh-CN"/>
        </w:rPr>
        <w:t xml:space="preserve"> 2011; </w:t>
      </w:r>
      <w:r w:rsidRPr="006F40E4">
        <w:rPr>
          <w:rFonts w:ascii="Book Antiqua" w:eastAsia="宋体" w:hAnsi="Book Antiqua" w:cs="宋体"/>
          <w:b/>
          <w:bCs/>
          <w:sz w:val="24"/>
          <w:szCs w:val="24"/>
          <w:lang w:eastAsia="zh-CN"/>
        </w:rPr>
        <w:t>9</w:t>
      </w:r>
      <w:r w:rsidRPr="006F40E4">
        <w:rPr>
          <w:rFonts w:ascii="Book Antiqua" w:eastAsia="宋体" w:hAnsi="Book Antiqua" w:cs="宋体"/>
          <w:sz w:val="24"/>
          <w:szCs w:val="24"/>
          <w:lang w:eastAsia="zh-CN"/>
        </w:rPr>
        <w:t>: 326-332.e1 [PMID: 21115134 DOI: 10.1016/j.cgh.2010.11.007]</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28 </w:t>
      </w:r>
      <w:proofErr w:type="spellStart"/>
      <w:r w:rsidRPr="006F40E4">
        <w:rPr>
          <w:rFonts w:ascii="Book Antiqua" w:eastAsia="宋体" w:hAnsi="Book Antiqua" w:cs="宋体"/>
          <w:b/>
          <w:bCs/>
          <w:sz w:val="24"/>
          <w:szCs w:val="24"/>
          <w:lang w:eastAsia="zh-CN"/>
        </w:rPr>
        <w:t>Samarasena</w:t>
      </w:r>
      <w:proofErr w:type="spellEnd"/>
      <w:r w:rsidRPr="006F40E4">
        <w:rPr>
          <w:rFonts w:ascii="Book Antiqua" w:eastAsia="宋体" w:hAnsi="Book Antiqua" w:cs="宋体"/>
          <w:b/>
          <w:bCs/>
          <w:sz w:val="24"/>
          <w:szCs w:val="24"/>
          <w:lang w:eastAsia="zh-CN"/>
        </w:rPr>
        <w:t xml:space="preserve"> JB</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Muthusamy</w:t>
      </w:r>
      <w:proofErr w:type="spellEnd"/>
      <w:r w:rsidRPr="006F40E4">
        <w:rPr>
          <w:rFonts w:ascii="Book Antiqua" w:eastAsia="宋体" w:hAnsi="Book Antiqua" w:cs="宋体"/>
          <w:sz w:val="24"/>
          <w:szCs w:val="24"/>
          <w:lang w:eastAsia="zh-CN"/>
        </w:rPr>
        <w:t xml:space="preserve"> VR, Jamal MM. Split-dosed </w:t>
      </w:r>
      <w:proofErr w:type="spellStart"/>
      <w:r w:rsidRPr="006F40E4">
        <w:rPr>
          <w:rFonts w:ascii="Book Antiqua" w:eastAsia="宋体" w:hAnsi="Book Antiqua" w:cs="宋体"/>
          <w:sz w:val="24"/>
          <w:szCs w:val="24"/>
          <w:lang w:eastAsia="zh-CN"/>
        </w:rPr>
        <w:t>MiraLAX</w:t>
      </w:r>
      <w:proofErr w:type="spellEnd"/>
      <w:r w:rsidRPr="006F40E4">
        <w:rPr>
          <w:rFonts w:ascii="Book Antiqua" w:eastAsia="宋体" w:hAnsi="Book Antiqua" w:cs="宋体"/>
          <w:sz w:val="24"/>
          <w:szCs w:val="24"/>
          <w:lang w:eastAsia="zh-CN"/>
        </w:rPr>
        <w:t xml:space="preserve">/Gatorade is an effective, safe, and tolerable option for bowel preparation in low-risk patients: a randomized controlled study.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2012; </w:t>
      </w:r>
      <w:r w:rsidRPr="006F40E4">
        <w:rPr>
          <w:rFonts w:ascii="Book Antiqua" w:eastAsia="宋体" w:hAnsi="Book Antiqua" w:cs="宋体"/>
          <w:b/>
          <w:bCs/>
          <w:sz w:val="24"/>
          <w:szCs w:val="24"/>
          <w:lang w:eastAsia="zh-CN"/>
        </w:rPr>
        <w:t>107</w:t>
      </w:r>
      <w:r w:rsidRPr="006F40E4">
        <w:rPr>
          <w:rFonts w:ascii="Book Antiqua" w:eastAsia="宋体" w:hAnsi="Book Antiqua" w:cs="宋体"/>
          <w:sz w:val="24"/>
          <w:szCs w:val="24"/>
          <w:lang w:eastAsia="zh-CN"/>
        </w:rPr>
        <w:t>: 1036-1042 [PMID: 22565162 DOI: 10.1038/ajg.2012.115]</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29 </w:t>
      </w:r>
      <w:proofErr w:type="spellStart"/>
      <w:r w:rsidRPr="006F40E4">
        <w:rPr>
          <w:rFonts w:ascii="Book Antiqua" w:eastAsia="宋体" w:hAnsi="Book Antiqua" w:cs="宋体"/>
          <w:b/>
          <w:bCs/>
          <w:sz w:val="24"/>
          <w:szCs w:val="24"/>
          <w:lang w:eastAsia="zh-CN"/>
        </w:rPr>
        <w:t>Enestvedt</w:t>
      </w:r>
      <w:proofErr w:type="spellEnd"/>
      <w:r w:rsidRPr="006F40E4">
        <w:rPr>
          <w:rFonts w:ascii="Book Antiqua" w:eastAsia="宋体" w:hAnsi="Book Antiqua" w:cs="宋体"/>
          <w:b/>
          <w:bCs/>
          <w:sz w:val="24"/>
          <w:szCs w:val="24"/>
          <w:lang w:eastAsia="zh-CN"/>
        </w:rPr>
        <w:t xml:space="preserve"> BK</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Fennerty</w:t>
      </w:r>
      <w:proofErr w:type="spellEnd"/>
      <w:r w:rsidRPr="006F40E4">
        <w:rPr>
          <w:rFonts w:ascii="Book Antiqua" w:eastAsia="宋体" w:hAnsi="Book Antiqua" w:cs="宋体"/>
          <w:sz w:val="24"/>
          <w:szCs w:val="24"/>
          <w:lang w:eastAsia="zh-CN"/>
        </w:rPr>
        <w:t xml:space="preserve"> MB, </w:t>
      </w:r>
      <w:proofErr w:type="spellStart"/>
      <w:r w:rsidRPr="006F40E4">
        <w:rPr>
          <w:rFonts w:ascii="Book Antiqua" w:eastAsia="宋体" w:hAnsi="Book Antiqua" w:cs="宋体"/>
          <w:sz w:val="24"/>
          <w:szCs w:val="24"/>
          <w:lang w:eastAsia="zh-CN"/>
        </w:rPr>
        <w:t>Eisen</w:t>
      </w:r>
      <w:proofErr w:type="spellEnd"/>
      <w:r w:rsidRPr="006F40E4">
        <w:rPr>
          <w:rFonts w:ascii="Book Antiqua" w:eastAsia="宋体" w:hAnsi="Book Antiqua" w:cs="宋体"/>
          <w:sz w:val="24"/>
          <w:szCs w:val="24"/>
          <w:lang w:eastAsia="zh-CN"/>
        </w:rPr>
        <w:t xml:space="preserve"> GM. </w:t>
      </w:r>
      <w:proofErr w:type="spellStart"/>
      <w:r w:rsidRPr="006F40E4">
        <w:rPr>
          <w:rFonts w:ascii="Book Antiqua" w:eastAsia="宋体" w:hAnsi="Book Antiqua" w:cs="宋体"/>
          <w:sz w:val="24"/>
          <w:szCs w:val="24"/>
          <w:lang w:eastAsia="zh-CN"/>
        </w:rPr>
        <w:t>Randomised</w:t>
      </w:r>
      <w:proofErr w:type="spellEnd"/>
      <w:r w:rsidRPr="006F40E4">
        <w:rPr>
          <w:rFonts w:ascii="Book Antiqua" w:eastAsia="宋体" w:hAnsi="Book Antiqua" w:cs="宋体"/>
          <w:sz w:val="24"/>
          <w:szCs w:val="24"/>
          <w:lang w:eastAsia="zh-CN"/>
        </w:rPr>
        <w:t xml:space="preserve"> clinical trial: </w:t>
      </w:r>
      <w:proofErr w:type="spellStart"/>
      <w:r w:rsidRPr="006F40E4">
        <w:rPr>
          <w:rFonts w:ascii="Book Antiqua" w:eastAsia="宋体" w:hAnsi="Book Antiqua" w:cs="宋体"/>
          <w:sz w:val="24"/>
          <w:szCs w:val="24"/>
          <w:lang w:eastAsia="zh-CN"/>
        </w:rPr>
        <w:t>MiraLAX</w:t>
      </w:r>
      <w:proofErr w:type="spellEnd"/>
      <w:r w:rsidRPr="006F40E4">
        <w:rPr>
          <w:rFonts w:ascii="Book Antiqua" w:eastAsia="宋体" w:hAnsi="Book Antiqua" w:cs="宋体"/>
          <w:sz w:val="24"/>
          <w:szCs w:val="24"/>
          <w:lang w:eastAsia="zh-CN"/>
        </w:rPr>
        <w:t xml:space="preserve"> vs. </w:t>
      </w:r>
      <w:proofErr w:type="spellStart"/>
      <w:r w:rsidRPr="006F40E4">
        <w:rPr>
          <w:rFonts w:ascii="Book Antiqua" w:eastAsia="宋体" w:hAnsi="Book Antiqua" w:cs="宋体"/>
          <w:sz w:val="24"/>
          <w:szCs w:val="24"/>
          <w:lang w:eastAsia="zh-CN"/>
        </w:rPr>
        <w:t>Golytely</w:t>
      </w:r>
      <w:proofErr w:type="spellEnd"/>
      <w:r w:rsidRPr="006F40E4">
        <w:rPr>
          <w:rFonts w:ascii="Book Antiqua" w:eastAsia="宋体" w:hAnsi="Book Antiqua" w:cs="宋体"/>
          <w:sz w:val="24"/>
          <w:szCs w:val="24"/>
          <w:lang w:eastAsia="zh-CN"/>
        </w:rPr>
        <w:t xml:space="preserve"> - a controlled study of efficacy and patient tolerability in bowel preparation for colonoscopy. </w:t>
      </w:r>
      <w:r w:rsidRPr="006F40E4">
        <w:rPr>
          <w:rFonts w:ascii="Book Antiqua" w:eastAsia="宋体" w:hAnsi="Book Antiqua" w:cs="宋体"/>
          <w:i/>
          <w:iCs/>
          <w:sz w:val="24"/>
          <w:szCs w:val="24"/>
          <w:lang w:eastAsia="zh-CN"/>
        </w:rPr>
        <w:t xml:space="preserve">Aliment </w:t>
      </w:r>
      <w:proofErr w:type="spellStart"/>
      <w:r w:rsidRPr="006F40E4">
        <w:rPr>
          <w:rFonts w:ascii="Book Antiqua" w:eastAsia="宋体" w:hAnsi="Book Antiqua" w:cs="宋体"/>
          <w:i/>
          <w:iCs/>
          <w:sz w:val="24"/>
          <w:szCs w:val="24"/>
          <w:lang w:eastAsia="zh-CN"/>
        </w:rPr>
        <w:t>Pharmacol</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Ther</w:t>
      </w:r>
      <w:proofErr w:type="spellEnd"/>
      <w:r w:rsidRPr="006F40E4">
        <w:rPr>
          <w:rFonts w:ascii="Book Antiqua" w:eastAsia="宋体" w:hAnsi="Book Antiqua" w:cs="宋体"/>
          <w:sz w:val="24"/>
          <w:szCs w:val="24"/>
          <w:lang w:eastAsia="zh-CN"/>
        </w:rPr>
        <w:t xml:space="preserve"> 2011; </w:t>
      </w:r>
      <w:r w:rsidRPr="006F40E4">
        <w:rPr>
          <w:rFonts w:ascii="Book Antiqua" w:eastAsia="宋体" w:hAnsi="Book Antiqua" w:cs="宋体"/>
          <w:b/>
          <w:bCs/>
          <w:sz w:val="24"/>
          <w:szCs w:val="24"/>
          <w:lang w:eastAsia="zh-CN"/>
        </w:rPr>
        <w:t>33</w:t>
      </w:r>
      <w:r w:rsidRPr="006F40E4">
        <w:rPr>
          <w:rFonts w:ascii="Book Antiqua" w:eastAsia="宋体" w:hAnsi="Book Antiqua" w:cs="宋体"/>
          <w:sz w:val="24"/>
          <w:szCs w:val="24"/>
          <w:lang w:eastAsia="zh-CN"/>
        </w:rPr>
        <w:t>: 33-40 [PMID: 21083586 DOI: 10.1111/j.1365-2036.2010.04493.x</w:t>
      </w:r>
      <w:r w:rsidR="00774DDB">
        <w:rPr>
          <w:rFonts w:ascii="Book Antiqua" w:eastAsia="宋体" w:hAnsi="Book Antiqua" w:cs="宋体" w:hint="eastAsia"/>
          <w:sz w:val="24"/>
          <w:szCs w:val="24"/>
          <w:lang w:eastAsia="zh-CN"/>
        </w:rPr>
        <w:t>]</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30 </w:t>
      </w:r>
      <w:r w:rsidRPr="006F40E4">
        <w:rPr>
          <w:rFonts w:ascii="Book Antiqua" w:eastAsia="宋体" w:hAnsi="Book Antiqua" w:cs="宋体"/>
          <w:b/>
          <w:bCs/>
          <w:sz w:val="24"/>
          <w:szCs w:val="24"/>
          <w:lang w:eastAsia="zh-CN"/>
        </w:rPr>
        <w:t>McKenna T</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Macgill</w:t>
      </w:r>
      <w:proofErr w:type="spellEnd"/>
      <w:r w:rsidRPr="006F40E4">
        <w:rPr>
          <w:rFonts w:ascii="Book Antiqua" w:eastAsia="宋体" w:hAnsi="Book Antiqua" w:cs="宋体"/>
          <w:sz w:val="24"/>
          <w:szCs w:val="24"/>
          <w:lang w:eastAsia="zh-CN"/>
        </w:rPr>
        <w:t xml:space="preserve"> A, </w:t>
      </w:r>
      <w:proofErr w:type="spellStart"/>
      <w:r w:rsidRPr="006F40E4">
        <w:rPr>
          <w:rFonts w:ascii="Book Antiqua" w:eastAsia="宋体" w:hAnsi="Book Antiqua" w:cs="宋体"/>
          <w:sz w:val="24"/>
          <w:szCs w:val="24"/>
          <w:lang w:eastAsia="zh-CN"/>
        </w:rPr>
        <w:t>Porat</w:t>
      </w:r>
      <w:proofErr w:type="spellEnd"/>
      <w:r w:rsidRPr="006F40E4">
        <w:rPr>
          <w:rFonts w:ascii="Book Antiqua" w:eastAsia="宋体" w:hAnsi="Book Antiqua" w:cs="宋体"/>
          <w:sz w:val="24"/>
          <w:szCs w:val="24"/>
          <w:lang w:eastAsia="zh-CN"/>
        </w:rPr>
        <w:t xml:space="preserve"> G, </w:t>
      </w:r>
      <w:proofErr w:type="spellStart"/>
      <w:r w:rsidRPr="006F40E4">
        <w:rPr>
          <w:rFonts w:ascii="Book Antiqua" w:eastAsia="宋体" w:hAnsi="Book Antiqua" w:cs="宋体"/>
          <w:sz w:val="24"/>
          <w:szCs w:val="24"/>
          <w:lang w:eastAsia="zh-CN"/>
        </w:rPr>
        <w:t>Friedenberg</w:t>
      </w:r>
      <w:proofErr w:type="spellEnd"/>
      <w:r w:rsidRPr="006F40E4">
        <w:rPr>
          <w:rFonts w:ascii="Book Antiqua" w:eastAsia="宋体" w:hAnsi="Book Antiqua" w:cs="宋体"/>
          <w:sz w:val="24"/>
          <w:szCs w:val="24"/>
          <w:lang w:eastAsia="zh-CN"/>
        </w:rPr>
        <w:t xml:space="preserve"> FK. Colonoscopy preparation: polyethylene glycol with Gatorade is as safe and efficacious as four liters of polyethylene glycol with balanced electrolytes. </w:t>
      </w:r>
      <w:r w:rsidRPr="006F40E4">
        <w:rPr>
          <w:rFonts w:ascii="Book Antiqua" w:eastAsia="宋体" w:hAnsi="Book Antiqua" w:cs="宋体"/>
          <w:i/>
          <w:iCs/>
          <w:sz w:val="24"/>
          <w:szCs w:val="24"/>
          <w:lang w:eastAsia="zh-CN"/>
        </w:rPr>
        <w:t xml:space="preserve">Dig Dis </w:t>
      </w:r>
      <w:proofErr w:type="spellStart"/>
      <w:r w:rsidRPr="006F40E4">
        <w:rPr>
          <w:rFonts w:ascii="Book Antiqua" w:eastAsia="宋体" w:hAnsi="Book Antiqua" w:cs="宋体"/>
          <w:i/>
          <w:iCs/>
          <w:sz w:val="24"/>
          <w:szCs w:val="24"/>
          <w:lang w:eastAsia="zh-CN"/>
        </w:rPr>
        <w:t>Sci</w:t>
      </w:r>
      <w:proofErr w:type="spellEnd"/>
      <w:r w:rsidRPr="006F40E4">
        <w:rPr>
          <w:rFonts w:ascii="Book Antiqua" w:eastAsia="宋体" w:hAnsi="Book Antiqua" w:cs="宋体"/>
          <w:sz w:val="24"/>
          <w:szCs w:val="24"/>
          <w:lang w:eastAsia="zh-CN"/>
        </w:rPr>
        <w:t xml:space="preserve"> 2012; </w:t>
      </w:r>
      <w:r w:rsidRPr="006F40E4">
        <w:rPr>
          <w:rFonts w:ascii="Book Antiqua" w:eastAsia="宋体" w:hAnsi="Book Antiqua" w:cs="宋体"/>
          <w:b/>
          <w:bCs/>
          <w:sz w:val="24"/>
          <w:szCs w:val="24"/>
          <w:lang w:eastAsia="zh-CN"/>
        </w:rPr>
        <w:t>57</w:t>
      </w:r>
      <w:r w:rsidRPr="006F40E4">
        <w:rPr>
          <w:rFonts w:ascii="Book Antiqua" w:eastAsia="宋体" w:hAnsi="Book Antiqua" w:cs="宋体"/>
          <w:sz w:val="24"/>
          <w:szCs w:val="24"/>
          <w:lang w:eastAsia="zh-CN"/>
        </w:rPr>
        <w:t>: 3098-3105 [PMID: 22711499 DOI: 10.1007/s10620-012-2266-5]</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31 </w:t>
      </w:r>
      <w:proofErr w:type="spellStart"/>
      <w:r w:rsidRPr="006F40E4">
        <w:rPr>
          <w:rFonts w:ascii="Book Antiqua" w:eastAsia="宋体" w:hAnsi="Book Antiqua" w:cs="宋体"/>
          <w:b/>
          <w:bCs/>
          <w:sz w:val="24"/>
          <w:szCs w:val="24"/>
          <w:lang w:eastAsia="zh-CN"/>
        </w:rPr>
        <w:t>Shieh</w:t>
      </w:r>
      <w:proofErr w:type="spellEnd"/>
      <w:r w:rsidRPr="006F40E4">
        <w:rPr>
          <w:rFonts w:ascii="Book Antiqua" w:eastAsia="宋体" w:hAnsi="Book Antiqua" w:cs="宋体"/>
          <w:b/>
          <w:bCs/>
          <w:sz w:val="24"/>
          <w:szCs w:val="24"/>
          <w:lang w:eastAsia="zh-CN"/>
        </w:rPr>
        <w:t xml:space="preserve"> FK</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Gunaratnam</w:t>
      </w:r>
      <w:proofErr w:type="spellEnd"/>
      <w:r w:rsidRPr="006F40E4">
        <w:rPr>
          <w:rFonts w:ascii="Book Antiqua" w:eastAsia="宋体" w:hAnsi="Book Antiqua" w:cs="宋体"/>
          <w:sz w:val="24"/>
          <w:szCs w:val="24"/>
          <w:lang w:eastAsia="zh-CN"/>
        </w:rPr>
        <w:t xml:space="preserve"> N, </w:t>
      </w:r>
      <w:proofErr w:type="spellStart"/>
      <w:r w:rsidRPr="006F40E4">
        <w:rPr>
          <w:rFonts w:ascii="Book Antiqua" w:eastAsia="宋体" w:hAnsi="Book Antiqua" w:cs="宋体"/>
          <w:sz w:val="24"/>
          <w:szCs w:val="24"/>
          <w:lang w:eastAsia="zh-CN"/>
        </w:rPr>
        <w:t>Mohamud</w:t>
      </w:r>
      <w:proofErr w:type="spellEnd"/>
      <w:r w:rsidRPr="006F40E4">
        <w:rPr>
          <w:rFonts w:ascii="Book Antiqua" w:eastAsia="宋体" w:hAnsi="Book Antiqua" w:cs="宋体"/>
          <w:sz w:val="24"/>
          <w:szCs w:val="24"/>
          <w:lang w:eastAsia="zh-CN"/>
        </w:rPr>
        <w:t xml:space="preserve"> SO, </w:t>
      </w:r>
      <w:proofErr w:type="spellStart"/>
      <w:r w:rsidRPr="006F40E4">
        <w:rPr>
          <w:rFonts w:ascii="Book Antiqua" w:eastAsia="宋体" w:hAnsi="Book Antiqua" w:cs="宋体"/>
          <w:sz w:val="24"/>
          <w:szCs w:val="24"/>
          <w:lang w:eastAsia="zh-CN"/>
        </w:rPr>
        <w:t>Schoenfeld</w:t>
      </w:r>
      <w:proofErr w:type="spellEnd"/>
      <w:r w:rsidRPr="006F40E4">
        <w:rPr>
          <w:rFonts w:ascii="Book Antiqua" w:eastAsia="宋体" w:hAnsi="Book Antiqua" w:cs="宋体"/>
          <w:sz w:val="24"/>
          <w:szCs w:val="24"/>
          <w:lang w:eastAsia="zh-CN"/>
        </w:rPr>
        <w:t xml:space="preserve"> P. </w:t>
      </w:r>
      <w:proofErr w:type="spellStart"/>
      <w:r w:rsidRPr="006F40E4">
        <w:rPr>
          <w:rFonts w:ascii="Book Antiqua" w:eastAsia="宋体" w:hAnsi="Book Antiqua" w:cs="宋体"/>
          <w:sz w:val="24"/>
          <w:szCs w:val="24"/>
          <w:lang w:eastAsia="zh-CN"/>
        </w:rPr>
        <w:t>MiraLAX</w:t>
      </w:r>
      <w:proofErr w:type="spellEnd"/>
      <w:r w:rsidRPr="006F40E4">
        <w:rPr>
          <w:rFonts w:ascii="Book Antiqua" w:eastAsia="宋体" w:hAnsi="Book Antiqua" w:cs="宋体"/>
          <w:sz w:val="24"/>
          <w:szCs w:val="24"/>
          <w:lang w:eastAsia="zh-CN"/>
        </w:rPr>
        <w:t xml:space="preserve">-Gatorade bowel prep versus </w:t>
      </w:r>
      <w:proofErr w:type="spellStart"/>
      <w:r w:rsidRPr="006F40E4">
        <w:rPr>
          <w:rFonts w:ascii="Book Antiqua" w:eastAsia="宋体" w:hAnsi="Book Antiqua" w:cs="宋体"/>
          <w:sz w:val="24"/>
          <w:szCs w:val="24"/>
          <w:lang w:eastAsia="zh-CN"/>
        </w:rPr>
        <w:t>GoLytely</w:t>
      </w:r>
      <w:proofErr w:type="spellEnd"/>
      <w:r w:rsidRPr="006F40E4">
        <w:rPr>
          <w:rFonts w:ascii="Book Antiqua" w:eastAsia="宋体" w:hAnsi="Book Antiqua" w:cs="宋体"/>
          <w:sz w:val="24"/>
          <w:szCs w:val="24"/>
          <w:lang w:eastAsia="zh-CN"/>
        </w:rPr>
        <w:t xml:space="preserve"> before screening colonoscopy: an endoscopic database study in a community hospital. </w:t>
      </w:r>
      <w:r w:rsidRPr="006F40E4">
        <w:rPr>
          <w:rFonts w:ascii="Book Antiqua" w:eastAsia="宋体" w:hAnsi="Book Antiqua" w:cs="宋体"/>
          <w:i/>
          <w:iCs/>
          <w:sz w:val="24"/>
          <w:szCs w:val="24"/>
          <w:lang w:eastAsia="zh-CN"/>
        </w:rPr>
        <w:t xml:space="preserve">J </w:t>
      </w:r>
      <w:proofErr w:type="spellStart"/>
      <w:r w:rsidRPr="006F40E4">
        <w:rPr>
          <w:rFonts w:ascii="Book Antiqua" w:eastAsia="宋体" w:hAnsi="Book Antiqua" w:cs="宋体"/>
          <w:i/>
          <w:iCs/>
          <w:sz w:val="24"/>
          <w:szCs w:val="24"/>
          <w:lang w:eastAsia="zh-CN"/>
        </w:rPr>
        <w:t>Clin</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w:t>
      </w:r>
      <w:r w:rsidR="004E37AB">
        <w:rPr>
          <w:rFonts w:ascii="Book Antiqua" w:eastAsia="宋体" w:hAnsi="Book Antiqua" w:cs="宋体" w:hint="eastAsia"/>
          <w:sz w:val="24"/>
          <w:szCs w:val="24"/>
          <w:lang w:eastAsia="zh-CN"/>
        </w:rPr>
        <w:t>2012</w:t>
      </w:r>
      <w:r w:rsidRPr="006F40E4">
        <w:rPr>
          <w:rFonts w:ascii="Book Antiqua" w:eastAsia="宋体" w:hAnsi="Book Antiqua" w:cs="宋体"/>
          <w:sz w:val="24"/>
          <w:szCs w:val="24"/>
          <w:lang w:eastAsia="zh-CN"/>
        </w:rPr>
        <w:t xml:space="preserve">; </w:t>
      </w:r>
      <w:r w:rsidRPr="006F40E4">
        <w:rPr>
          <w:rFonts w:ascii="Book Antiqua" w:eastAsia="宋体" w:hAnsi="Book Antiqua" w:cs="宋体"/>
          <w:b/>
          <w:bCs/>
          <w:sz w:val="24"/>
          <w:szCs w:val="24"/>
          <w:lang w:eastAsia="zh-CN"/>
        </w:rPr>
        <w:t>46</w:t>
      </w:r>
      <w:r w:rsidRPr="006F40E4">
        <w:rPr>
          <w:rFonts w:ascii="Book Antiqua" w:eastAsia="宋体" w:hAnsi="Book Antiqua" w:cs="宋体"/>
          <w:sz w:val="24"/>
          <w:szCs w:val="24"/>
          <w:lang w:eastAsia="zh-CN"/>
        </w:rPr>
        <w:t>: e96-e100 [PMID: 23060223 DOI: 10.1097/MCG.0b013e3182617bfb]</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32 </w:t>
      </w:r>
      <w:proofErr w:type="spellStart"/>
      <w:r w:rsidRPr="006F40E4">
        <w:rPr>
          <w:rFonts w:ascii="Book Antiqua" w:eastAsia="宋体" w:hAnsi="Book Antiqua" w:cs="宋体"/>
          <w:b/>
          <w:bCs/>
          <w:sz w:val="24"/>
          <w:szCs w:val="24"/>
          <w:lang w:eastAsia="zh-CN"/>
        </w:rPr>
        <w:t>Enestvedt</w:t>
      </w:r>
      <w:proofErr w:type="spellEnd"/>
      <w:r w:rsidRPr="006F40E4">
        <w:rPr>
          <w:rFonts w:ascii="Book Antiqua" w:eastAsia="宋体" w:hAnsi="Book Antiqua" w:cs="宋体"/>
          <w:b/>
          <w:bCs/>
          <w:sz w:val="24"/>
          <w:szCs w:val="24"/>
          <w:lang w:eastAsia="zh-CN"/>
        </w:rPr>
        <w:t xml:space="preserve"> BK</w:t>
      </w:r>
      <w:r w:rsidRPr="006F40E4">
        <w:rPr>
          <w:rFonts w:ascii="Book Antiqua" w:eastAsia="宋体" w:hAnsi="Book Antiqua" w:cs="宋体"/>
          <w:sz w:val="24"/>
          <w:szCs w:val="24"/>
          <w:lang w:eastAsia="zh-CN"/>
        </w:rPr>
        <w:t xml:space="preserve">, Brian </w:t>
      </w:r>
      <w:proofErr w:type="spellStart"/>
      <w:r w:rsidRPr="006F40E4">
        <w:rPr>
          <w:rFonts w:ascii="Book Antiqua" w:eastAsia="宋体" w:hAnsi="Book Antiqua" w:cs="宋体"/>
          <w:sz w:val="24"/>
          <w:szCs w:val="24"/>
          <w:lang w:eastAsia="zh-CN"/>
        </w:rPr>
        <w:t>Fennerty</w:t>
      </w:r>
      <w:proofErr w:type="spellEnd"/>
      <w:r w:rsidRPr="006F40E4">
        <w:rPr>
          <w:rFonts w:ascii="Book Antiqua" w:eastAsia="宋体" w:hAnsi="Book Antiqua" w:cs="宋体"/>
          <w:sz w:val="24"/>
          <w:szCs w:val="24"/>
          <w:lang w:eastAsia="zh-CN"/>
        </w:rPr>
        <w:t xml:space="preserve"> M, </w:t>
      </w:r>
      <w:proofErr w:type="spellStart"/>
      <w:r w:rsidRPr="006F40E4">
        <w:rPr>
          <w:rFonts w:ascii="Book Antiqua" w:eastAsia="宋体" w:hAnsi="Book Antiqua" w:cs="宋体"/>
          <w:sz w:val="24"/>
          <w:szCs w:val="24"/>
          <w:lang w:eastAsia="zh-CN"/>
        </w:rPr>
        <w:t>Zaman</w:t>
      </w:r>
      <w:proofErr w:type="spellEnd"/>
      <w:r w:rsidRPr="006F40E4">
        <w:rPr>
          <w:rFonts w:ascii="Book Antiqua" w:eastAsia="宋体" w:hAnsi="Book Antiqua" w:cs="宋体"/>
          <w:sz w:val="24"/>
          <w:szCs w:val="24"/>
          <w:lang w:eastAsia="zh-CN"/>
        </w:rPr>
        <w:t xml:space="preserve"> A, </w:t>
      </w:r>
      <w:proofErr w:type="spellStart"/>
      <w:r w:rsidRPr="006F40E4">
        <w:rPr>
          <w:rFonts w:ascii="Book Antiqua" w:eastAsia="宋体" w:hAnsi="Book Antiqua" w:cs="宋体"/>
          <w:sz w:val="24"/>
          <w:szCs w:val="24"/>
          <w:lang w:eastAsia="zh-CN"/>
        </w:rPr>
        <w:t>Eisen</w:t>
      </w:r>
      <w:proofErr w:type="spellEnd"/>
      <w:r w:rsidRPr="006F40E4">
        <w:rPr>
          <w:rFonts w:ascii="Book Antiqua" w:eastAsia="宋体" w:hAnsi="Book Antiqua" w:cs="宋体"/>
          <w:sz w:val="24"/>
          <w:szCs w:val="24"/>
          <w:lang w:eastAsia="zh-CN"/>
        </w:rPr>
        <w:t xml:space="preserve"> GM. </w:t>
      </w:r>
      <w:proofErr w:type="spellStart"/>
      <w:r w:rsidRPr="006F40E4">
        <w:rPr>
          <w:rFonts w:ascii="Book Antiqua" w:eastAsia="宋体" w:hAnsi="Book Antiqua" w:cs="宋体"/>
          <w:sz w:val="24"/>
          <w:szCs w:val="24"/>
          <w:lang w:eastAsia="zh-CN"/>
        </w:rPr>
        <w:t>MiraLAX</w:t>
      </w:r>
      <w:proofErr w:type="spellEnd"/>
      <w:r w:rsidRPr="006F40E4">
        <w:rPr>
          <w:rFonts w:ascii="Book Antiqua" w:eastAsia="宋体" w:hAnsi="Book Antiqua" w:cs="宋体"/>
          <w:sz w:val="24"/>
          <w:szCs w:val="24"/>
          <w:lang w:eastAsia="zh-CN"/>
        </w:rPr>
        <w:t xml:space="preserve"> vs. </w:t>
      </w:r>
      <w:proofErr w:type="spellStart"/>
      <w:r w:rsidRPr="006F40E4">
        <w:rPr>
          <w:rFonts w:ascii="Book Antiqua" w:eastAsia="宋体" w:hAnsi="Book Antiqua" w:cs="宋体"/>
          <w:sz w:val="24"/>
          <w:szCs w:val="24"/>
          <w:lang w:eastAsia="zh-CN"/>
        </w:rPr>
        <w:t>Golytely</w:t>
      </w:r>
      <w:proofErr w:type="spellEnd"/>
      <w:r w:rsidRPr="006F40E4">
        <w:rPr>
          <w:rFonts w:ascii="Book Antiqua" w:eastAsia="宋体" w:hAnsi="Book Antiqua" w:cs="宋体"/>
          <w:sz w:val="24"/>
          <w:szCs w:val="24"/>
          <w:lang w:eastAsia="zh-CN"/>
        </w:rPr>
        <w:t xml:space="preserve">: is there a significant difference in the adenoma detection rate? </w:t>
      </w:r>
      <w:r w:rsidRPr="006F40E4">
        <w:rPr>
          <w:rFonts w:ascii="Book Antiqua" w:eastAsia="宋体" w:hAnsi="Book Antiqua" w:cs="宋体"/>
          <w:i/>
          <w:iCs/>
          <w:sz w:val="24"/>
          <w:szCs w:val="24"/>
          <w:lang w:eastAsia="zh-CN"/>
        </w:rPr>
        <w:t xml:space="preserve">Aliment </w:t>
      </w:r>
      <w:proofErr w:type="spellStart"/>
      <w:r w:rsidRPr="006F40E4">
        <w:rPr>
          <w:rFonts w:ascii="Book Antiqua" w:eastAsia="宋体" w:hAnsi="Book Antiqua" w:cs="宋体"/>
          <w:i/>
          <w:iCs/>
          <w:sz w:val="24"/>
          <w:szCs w:val="24"/>
          <w:lang w:eastAsia="zh-CN"/>
        </w:rPr>
        <w:t>Pharmacol</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Ther</w:t>
      </w:r>
      <w:proofErr w:type="spellEnd"/>
      <w:r w:rsidRPr="006F40E4">
        <w:rPr>
          <w:rFonts w:ascii="Book Antiqua" w:eastAsia="宋体" w:hAnsi="Book Antiqua" w:cs="宋体"/>
          <w:sz w:val="24"/>
          <w:szCs w:val="24"/>
          <w:lang w:eastAsia="zh-CN"/>
        </w:rPr>
        <w:t xml:space="preserve"> 2011; </w:t>
      </w:r>
      <w:r w:rsidRPr="006F40E4">
        <w:rPr>
          <w:rFonts w:ascii="Book Antiqua" w:eastAsia="宋体" w:hAnsi="Book Antiqua" w:cs="宋体"/>
          <w:b/>
          <w:bCs/>
          <w:sz w:val="24"/>
          <w:szCs w:val="24"/>
          <w:lang w:eastAsia="zh-CN"/>
        </w:rPr>
        <w:t>34</w:t>
      </w:r>
      <w:r w:rsidRPr="006F40E4">
        <w:rPr>
          <w:rFonts w:ascii="Book Antiqua" w:eastAsia="宋体" w:hAnsi="Book Antiqua" w:cs="宋体"/>
          <w:sz w:val="24"/>
          <w:szCs w:val="24"/>
          <w:lang w:eastAsia="zh-CN"/>
        </w:rPr>
        <w:t>: 775-782 [PMID: 21848798 DOI: 10.1111/j.1365-2036.2011.04795.x]</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lastRenderedPageBreak/>
        <w:t xml:space="preserve">33 </w:t>
      </w:r>
      <w:proofErr w:type="spellStart"/>
      <w:r w:rsidRPr="006F40E4">
        <w:rPr>
          <w:rFonts w:ascii="Book Antiqua" w:eastAsia="宋体" w:hAnsi="Book Antiqua" w:cs="宋体"/>
          <w:b/>
          <w:bCs/>
          <w:sz w:val="24"/>
          <w:szCs w:val="24"/>
          <w:lang w:eastAsia="zh-CN"/>
        </w:rPr>
        <w:t>Schoenfeld</w:t>
      </w:r>
      <w:proofErr w:type="spellEnd"/>
      <w:r w:rsidRPr="006F40E4">
        <w:rPr>
          <w:rFonts w:ascii="Book Antiqua" w:eastAsia="宋体" w:hAnsi="Book Antiqua" w:cs="宋体"/>
          <w:b/>
          <w:bCs/>
          <w:sz w:val="24"/>
          <w:szCs w:val="24"/>
          <w:lang w:eastAsia="zh-CN"/>
        </w:rPr>
        <w:t xml:space="preserve"> P</w:t>
      </w:r>
      <w:r w:rsidRPr="006F40E4">
        <w:rPr>
          <w:rFonts w:ascii="Book Antiqua" w:eastAsia="宋体" w:hAnsi="Book Antiqua" w:cs="宋体"/>
          <w:sz w:val="24"/>
          <w:szCs w:val="24"/>
          <w:lang w:eastAsia="zh-CN"/>
        </w:rPr>
        <w:t xml:space="preserve">. Safety of </w:t>
      </w:r>
      <w:proofErr w:type="spellStart"/>
      <w:r w:rsidRPr="006F40E4">
        <w:rPr>
          <w:rFonts w:ascii="Book Antiqua" w:eastAsia="宋体" w:hAnsi="Book Antiqua" w:cs="宋体"/>
          <w:sz w:val="24"/>
          <w:szCs w:val="24"/>
          <w:lang w:eastAsia="zh-CN"/>
        </w:rPr>
        <w:t>MiraLAX</w:t>
      </w:r>
      <w:proofErr w:type="spellEnd"/>
      <w:r w:rsidRPr="006F40E4">
        <w:rPr>
          <w:rFonts w:ascii="Book Antiqua" w:eastAsia="宋体" w:hAnsi="Book Antiqua" w:cs="宋体"/>
          <w:sz w:val="24"/>
          <w:szCs w:val="24"/>
          <w:lang w:eastAsia="zh-CN"/>
        </w:rPr>
        <w:t xml:space="preserve">/Gatorade bowel preparation has not been established in appropriately designed studies. </w:t>
      </w:r>
      <w:proofErr w:type="spellStart"/>
      <w:r w:rsidRPr="006F40E4">
        <w:rPr>
          <w:rFonts w:ascii="Book Antiqua" w:eastAsia="宋体" w:hAnsi="Book Antiqua" w:cs="宋体"/>
          <w:i/>
          <w:iCs/>
          <w:sz w:val="24"/>
          <w:szCs w:val="24"/>
          <w:lang w:eastAsia="zh-CN"/>
        </w:rPr>
        <w:t>Clin</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Hepatol</w:t>
      </w:r>
      <w:proofErr w:type="spellEnd"/>
      <w:r w:rsidRPr="006F40E4">
        <w:rPr>
          <w:rFonts w:ascii="Book Antiqua" w:eastAsia="宋体" w:hAnsi="Book Antiqua" w:cs="宋体"/>
          <w:sz w:val="24"/>
          <w:szCs w:val="24"/>
          <w:lang w:eastAsia="zh-CN"/>
        </w:rPr>
        <w:t xml:space="preserve"> 2013; </w:t>
      </w:r>
      <w:r w:rsidRPr="006F40E4">
        <w:rPr>
          <w:rFonts w:ascii="Book Antiqua" w:eastAsia="宋体" w:hAnsi="Book Antiqua" w:cs="宋体"/>
          <w:b/>
          <w:bCs/>
          <w:sz w:val="24"/>
          <w:szCs w:val="24"/>
          <w:lang w:eastAsia="zh-CN"/>
        </w:rPr>
        <w:t>11</w:t>
      </w:r>
      <w:r w:rsidRPr="006F40E4">
        <w:rPr>
          <w:rFonts w:ascii="Book Antiqua" w:eastAsia="宋体" w:hAnsi="Book Antiqua" w:cs="宋体"/>
          <w:sz w:val="24"/>
          <w:szCs w:val="24"/>
          <w:lang w:eastAsia="zh-CN"/>
        </w:rPr>
        <w:t>: 582 [PMID: 23376319 DOI: 10.1016/j.cgh.2013.01.017]</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34 </w:t>
      </w:r>
      <w:proofErr w:type="spellStart"/>
      <w:r w:rsidRPr="006F40E4">
        <w:rPr>
          <w:rFonts w:ascii="Book Antiqua" w:eastAsia="宋体" w:hAnsi="Book Antiqua" w:cs="宋体"/>
          <w:b/>
          <w:bCs/>
          <w:sz w:val="24"/>
          <w:szCs w:val="24"/>
          <w:lang w:eastAsia="zh-CN"/>
        </w:rPr>
        <w:t>Huppertz-Hauss</w:t>
      </w:r>
      <w:proofErr w:type="spellEnd"/>
      <w:r w:rsidRPr="006F40E4">
        <w:rPr>
          <w:rFonts w:ascii="Book Antiqua" w:eastAsia="宋体" w:hAnsi="Book Antiqua" w:cs="宋体"/>
          <w:b/>
          <w:bCs/>
          <w:sz w:val="24"/>
          <w:szCs w:val="24"/>
          <w:lang w:eastAsia="zh-CN"/>
        </w:rPr>
        <w:t xml:space="preserve"> G</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Bretthauer</w:t>
      </w:r>
      <w:proofErr w:type="spellEnd"/>
      <w:r w:rsidRPr="006F40E4">
        <w:rPr>
          <w:rFonts w:ascii="Book Antiqua" w:eastAsia="宋体" w:hAnsi="Book Antiqua" w:cs="宋体"/>
          <w:sz w:val="24"/>
          <w:szCs w:val="24"/>
          <w:lang w:eastAsia="zh-CN"/>
        </w:rPr>
        <w:t xml:space="preserve"> M, </w:t>
      </w:r>
      <w:proofErr w:type="spellStart"/>
      <w:r w:rsidRPr="006F40E4">
        <w:rPr>
          <w:rFonts w:ascii="Book Antiqua" w:eastAsia="宋体" w:hAnsi="Book Antiqua" w:cs="宋体"/>
          <w:sz w:val="24"/>
          <w:szCs w:val="24"/>
          <w:lang w:eastAsia="zh-CN"/>
        </w:rPr>
        <w:t>Sauar</w:t>
      </w:r>
      <w:proofErr w:type="spellEnd"/>
      <w:r w:rsidRPr="006F40E4">
        <w:rPr>
          <w:rFonts w:ascii="Book Antiqua" w:eastAsia="宋体" w:hAnsi="Book Antiqua" w:cs="宋体"/>
          <w:sz w:val="24"/>
          <w:szCs w:val="24"/>
          <w:lang w:eastAsia="zh-CN"/>
        </w:rPr>
        <w:t xml:space="preserve"> J, Paulsen J, </w:t>
      </w:r>
      <w:proofErr w:type="spellStart"/>
      <w:r w:rsidRPr="006F40E4">
        <w:rPr>
          <w:rFonts w:ascii="Book Antiqua" w:eastAsia="宋体" w:hAnsi="Book Antiqua" w:cs="宋体"/>
          <w:sz w:val="24"/>
          <w:szCs w:val="24"/>
          <w:lang w:eastAsia="zh-CN"/>
        </w:rPr>
        <w:t>Kjellevold</w:t>
      </w:r>
      <w:proofErr w:type="spellEnd"/>
      <w:r w:rsidRPr="006F40E4">
        <w:rPr>
          <w:rFonts w:ascii="Book Antiqua" w:eastAsia="宋体" w:hAnsi="Book Antiqua" w:cs="宋体"/>
          <w:sz w:val="24"/>
          <w:szCs w:val="24"/>
          <w:lang w:eastAsia="zh-CN"/>
        </w:rPr>
        <w:t xml:space="preserve"> Ø, </w:t>
      </w:r>
      <w:proofErr w:type="spellStart"/>
      <w:r w:rsidRPr="006F40E4">
        <w:rPr>
          <w:rFonts w:ascii="Book Antiqua" w:eastAsia="宋体" w:hAnsi="Book Antiqua" w:cs="宋体"/>
          <w:sz w:val="24"/>
          <w:szCs w:val="24"/>
          <w:lang w:eastAsia="zh-CN"/>
        </w:rPr>
        <w:t>Majak</w:t>
      </w:r>
      <w:proofErr w:type="spellEnd"/>
      <w:r w:rsidRPr="006F40E4">
        <w:rPr>
          <w:rFonts w:ascii="Book Antiqua" w:eastAsia="宋体" w:hAnsi="Book Antiqua" w:cs="宋体"/>
          <w:sz w:val="24"/>
          <w:szCs w:val="24"/>
          <w:lang w:eastAsia="zh-CN"/>
        </w:rPr>
        <w:t xml:space="preserve"> B, Hoff G. Polyethylene glycol versus sodium phosphate in bowel cleansing for colonoscopy: a randomized trial. </w:t>
      </w:r>
      <w:r w:rsidRPr="006F40E4">
        <w:rPr>
          <w:rFonts w:ascii="Book Antiqua" w:eastAsia="宋体" w:hAnsi="Book Antiqua" w:cs="宋体"/>
          <w:i/>
          <w:iCs/>
          <w:sz w:val="24"/>
          <w:szCs w:val="24"/>
          <w:lang w:eastAsia="zh-CN"/>
        </w:rPr>
        <w:t>Endoscopy</w:t>
      </w:r>
      <w:r w:rsidRPr="006F40E4">
        <w:rPr>
          <w:rFonts w:ascii="Book Antiqua" w:eastAsia="宋体" w:hAnsi="Book Antiqua" w:cs="宋体"/>
          <w:sz w:val="24"/>
          <w:szCs w:val="24"/>
          <w:lang w:eastAsia="zh-CN"/>
        </w:rPr>
        <w:t xml:space="preserve"> 2005; </w:t>
      </w:r>
      <w:r w:rsidRPr="006F40E4">
        <w:rPr>
          <w:rFonts w:ascii="Book Antiqua" w:eastAsia="宋体" w:hAnsi="Book Antiqua" w:cs="宋体"/>
          <w:b/>
          <w:bCs/>
          <w:sz w:val="24"/>
          <w:szCs w:val="24"/>
          <w:lang w:eastAsia="zh-CN"/>
        </w:rPr>
        <w:t>37</w:t>
      </w:r>
      <w:r w:rsidRPr="006F40E4">
        <w:rPr>
          <w:rFonts w:ascii="Book Antiqua" w:eastAsia="宋体" w:hAnsi="Book Antiqua" w:cs="宋体"/>
          <w:sz w:val="24"/>
          <w:szCs w:val="24"/>
          <w:lang w:eastAsia="zh-CN"/>
        </w:rPr>
        <w:t>: 537-541 [PMID: 15933926]</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35 </w:t>
      </w:r>
      <w:proofErr w:type="spellStart"/>
      <w:r w:rsidRPr="006F40E4">
        <w:rPr>
          <w:rFonts w:ascii="Book Antiqua" w:eastAsia="宋体" w:hAnsi="Book Antiqua" w:cs="宋体"/>
          <w:b/>
          <w:bCs/>
          <w:sz w:val="24"/>
          <w:szCs w:val="24"/>
          <w:lang w:eastAsia="zh-CN"/>
        </w:rPr>
        <w:t>Vanner</w:t>
      </w:r>
      <w:proofErr w:type="spellEnd"/>
      <w:r w:rsidRPr="006F40E4">
        <w:rPr>
          <w:rFonts w:ascii="Book Antiqua" w:eastAsia="宋体" w:hAnsi="Book Antiqua" w:cs="宋体"/>
          <w:b/>
          <w:bCs/>
          <w:sz w:val="24"/>
          <w:szCs w:val="24"/>
          <w:lang w:eastAsia="zh-CN"/>
        </w:rPr>
        <w:t xml:space="preserve"> SJ</w:t>
      </w:r>
      <w:r w:rsidRPr="006F40E4">
        <w:rPr>
          <w:rFonts w:ascii="Book Antiqua" w:eastAsia="宋体" w:hAnsi="Book Antiqua" w:cs="宋体"/>
          <w:sz w:val="24"/>
          <w:szCs w:val="24"/>
          <w:lang w:eastAsia="zh-CN"/>
        </w:rPr>
        <w:t>, MacDonald PH, Paterson WG, Prentice RS, Da Costa LR, Beck IT.</w:t>
      </w:r>
      <w:proofErr w:type="gramEnd"/>
      <w:r w:rsidRPr="006F40E4">
        <w:rPr>
          <w:rFonts w:ascii="Book Antiqua" w:eastAsia="宋体" w:hAnsi="Book Antiqua" w:cs="宋体"/>
          <w:sz w:val="24"/>
          <w:szCs w:val="24"/>
          <w:lang w:eastAsia="zh-CN"/>
        </w:rPr>
        <w:t xml:space="preserve"> A randomized prospective trial comparing oral sodium phosphate with standard polyethylene glycol-based lavage solution (</w:t>
      </w:r>
      <w:proofErr w:type="spellStart"/>
      <w:r w:rsidRPr="006F40E4">
        <w:rPr>
          <w:rFonts w:ascii="Book Antiqua" w:eastAsia="宋体" w:hAnsi="Book Antiqua" w:cs="宋体"/>
          <w:sz w:val="24"/>
          <w:szCs w:val="24"/>
          <w:lang w:eastAsia="zh-CN"/>
        </w:rPr>
        <w:t>Golytely</w:t>
      </w:r>
      <w:proofErr w:type="spellEnd"/>
      <w:r w:rsidRPr="006F40E4">
        <w:rPr>
          <w:rFonts w:ascii="Book Antiqua" w:eastAsia="宋体" w:hAnsi="Book Antiqua" w:cs="宋体"/>
          <w:sz w:val="24"/>
          <w:szCs w:val="24"/>
          <w:lang w:eastAsia="zh-CN"/>
        </w:rPr>
        <w:t xml:space="preserve">) in the preparation of patients for colonoscopy.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1990; </w:t>
      </w:r>
      <w:r w:rsidRPr="006F40E4">
        <w:rPr>
          <w:rFonts w:ascii="Book Antiqua" w:eastAsia="宋体" w:hAnsi="Book Antiqua" w:cs="宋体"/>
          <w:b/>
          <w:bCs/>
          <w:sz w:val="24"/>
          <w:szCs w:val="24"/>
          <w:lang w:eastAsia="zh-CN"/>
        </w:rPr>
        <w:t>85</w:t>
      </w:r>
      <w:r w:rsidRPr="006F40E4">
        <w:rPr>
          <w:rFonts w:ascii="Book Antiqua" w:eastAsia="宋体" w:hAnsi="Book Antiqua" w:cs="宋体"/>
          <w:sz w:val="24"/>
          <w:szCs w:val="24"/>
          <w:lang w:eastAsia="zh-CN"/>
        </w:rPr>
        <w:t>: 422-427 [PMID: 2183591]</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36 </w:t>
      </w:r>
      <w:r w:rsidRPr="006F40E4">
        <w:rPr>
          <w:rFonts w:ascii="Book Antiqua" w:eastAsia="宋体" w:hAnsi="Book Antiqua" w:cs="宋体"/>
          <w:b/>
          <w:bCs/>
          <w:sz w:val="24"/>
          <w:szCs w:val="24"/>
          <w:lang w:eastAsia="zh-CN"/>
        </w:rPr>
        <w:t>Cohen SM</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Wexner</w:t>
      </w:r>
      <w:proofErr w:type="spellEnd"/>
      <w:r w:rsidRPr="006F40E4">
        <w:rPr>
          <w:rFonts w:ascii="Book Antiqua" w:eastAsia="宋体" w:hAnsi="Book Antiqua" w:cs="宋体"/>
          <w:sz w:val="24"/>
          <w:szCs w:val="24"/>
          <w:lang w:eastAsia="zh-CN"/>
        </w:rPr>
        <w:t xml:space="preserve"> SD, </w:t>
      </w:r>
      <w:proofErr w:type="spellStart"/>
      <w:r w:rsidRPr="006F40E4">
        <w:rPr>
          <w:rFonts w:ascii="Book Antiqua" w:eastAsia="宋体" w:hAnsi="Book Antiqua" w:cs="宋体"/>
          <w:sz w:val="24"/>
          <w:szCs w:val="24"/>
          <w:lang w:eastAsia="zh-CN"/>
        </w:rPr>
        <w:t>Binderow</w:t>
      </w:r>
      <w:proofErr w:type="spellEnd"/>
      <w:r w:rsidRPr="006F40E4">
        <w:rPr>
          <w:rFonts w:ascii="Book Antiqua" w:eastAsia="宋体" w:hAnsi="Book Antiqua" w:cs="宋体"/>
          <w:sz w:val="24"/>
          <w:szCs w:val="24"/>
          <w:lang w:eastAsia="zh-CN"/>
        </w:rPr>
        <w:t xml:space="preserve"> SR, </w:t>
      </w:r>
      <w:proofErr w:type="spellStart"/>
      <w:r w:rsidRPr="006F40E4">
        <w:rPr>
          <w:rFonts w:ascii="Book Antiqua" w:eastAsia="宋体" w:hAnsi="Book Antiqua" w:cs="宋体"/>
          <w:sz w:val="24"/>
          <w:szCs w:val="24"/>
          <w:lang w:eastAsia="zh-CN"/>
        </w:rPr>
        <w:t>Nogueras</w:t>
      </w:r>
      <w:proofErr w:type="spellEnd"/>
      <w:r w:rsidRPr="006F40E4">
        <w:rPr>
          <w:rFonts w:ascii="Book Antiqua" w:eastAsia="宋体" w:hAnsi="Book Antiqua" w:cs="宋体"/>
          <w:sz w:val="24"/>
          <w:szCs w:val="24"/>
          <w:lang w:eastAsia="zh-CN"/>
        </w:rPr>
        <w:t xml:space="preserve"> JJ, Daniel N, </w:t>
      </w:r>
      <w:proofErr w:type="spellStart"/>
      <w:r w:rsidRPr="006F40E4">
        <w:rPr>
          <w:rFonts w:ascii="Book Antiqua" w:eastAsia="宋体" w:hAnsi="Book Antiqua" w:cs="宋体"/>
          <w:sz w:val="24"/>
          <w:szCs w:val="24"/>
          <w:lang w:eastAsia="zh-CN"/>
        </w:rPr>
        <w:t>Ehrenpreis</w:t>
      </w:r>
      <w:proofErr w:type="spellEnd"/>
      <w:r w:rsidRPr="006F40E4">
        <w:rPr>
          <w:rFonts w:ascii="Book Antiqua" w:eastAsia="宋体" w:hAnsi="Book Antiqua" w:cs="宋体"/>
          <w:sz w:val="24"/>
          <w:szCs w:val="24"/>
          <w:lang w:eastAsia="zh-CN"/>
        </w:rPr>
        <w:t xml:space="preserve"> ED, Jensen J, Bonner GF, </w:t>
      </w:r>
      <w:proofErr w:type="spellStart"/>
      <w:r w:rsidRPr="006F40E4">
        <w:rPr>
          <w:rFonts w:ascii="Book Antiqua" w:eastAsia="宋体" w:hAnsi="Book Antiqua" w:cs="宋体"/>
          <w:sz w:val="24"/>
          <w:szCs w:val="24"/>
          <w:lang w:eastAsia="zh-CN"/>
        </w:rPr>
        <w:t>Ruderman</w:t>
      </w:r>
      <w:proofErr w:type="spellEnd"/>
      <w:r w:rsidRPr="006F40E4">
        <w:rPr>
          <w:rFonts w:ascii="Book Antiqua" w:eastAsia="宋体" w:hAnsi="Book Antiqua" w:cs="宋体"/>
          <w:sz w:val="24"/>
          <w:szCs w:val="24"/>
          <w:lang w:eastAsia="zh-CN"/>
        </w:rPr>
        <w:t xml:space="preserve"> WB. </w:t>
      </w:r>
      <w:proofErr w:type="gramStart"/>
      <w:r w:rsidRPr="006F40E4">
        <w:rPr>
          <w:rFonts w:ascii="Book Antiqua" w:eastAsia="宋体" w:hAnsi="Book Antiqua" w:cs="宋体"/>
          <w:sz w:val="24"/>
          <w:szCs w:val="24"/>
          <w:lang w:eastAsia="zh-CN"/>
        </w:rPr>
        <w:t xml:space="preserve">Prospective, randomized, endoscopic-blinded trial comparing </w:t>
      </w:r>
      <w:proofErr w:type="spellStart"/>
      <w:r w:rsidRPr="006F40E4">
        <w:rPr>
          <w:rFonts w:ascii="Book Antiqua" w:eastAsia="宋体" w:hAnsi="Book Antiqua" w:cs="宋体"/>
          <w:sz w:val="24"/>
          <w:szCs w:val="24"/>
          <w:lang w:eastAsia="zh-CN"/>
        </w:rPr>
        <w:t>precolonoscopy</w:t>
      </w:r>
      <w:proofErr w:type="spellEnd"/>
      <w:r w:rsidRPr="006F40E4">
        <w:rPr>
          <w:rFonts w:ascii="Book Antiqua" w:eastAsia="宋体" w:hAnsi="Book Antiqua" w:cs="宋体"/>
          <w:sz w:val="24"/>
          <w:szCs w:val="24"/>
          <w:lang w:eastAsia="zh-CN"/>
        </w:rPr>
        <w:t xml:space="preserve"> bowel cleansing methods.</w:t>
      </w:r>
      <w:proofErr w:type="gramEnd"/>
      <w:r w:rsidRPr="006F40E4">
        <w:rPr>
          <w:rFonts w:ascii="Book Antiqua" w:eastAsia="宋体" w:hAnsi="Book Antiqua" w:cs="宋体"/>
          <w:sz w:val="24"/>
          <w:szCs w:val="24"/>
          <w:lang w:eastAsia="zh-CN"/>
        </w:rPr>
        <w:t xml:space="preserve"> </w:t>
      </w:r>
      <w:r w:rsidRPr="006F40E4">
        <w:rPr>
          <w:rFonts w:ascii="Book Antiqua" w:eastAsia="宋体" w:hAnsi="Book Antiqua" w:cs="宋体"/>
          <w:i/>
          <w:iCs/>
          <w:sz w:val="24"/>
          <w:szCs w:val="24"/>
          <w:lang w:eastAsia="zh-CN"/>
        </w:rPr>
        <w:t>Dis Colon Rectum</w:t>
      </w:r>
      <w:r w:rsidRPr="006F40E4">
        <w:rPr>
          <w:rFonts w:ascii="Book Antiqua" w:eastAsia="宋体" w:hAnsi="Book Antiqua" w:cs="宋体"/>
          <w:sz w:val="24"/>
          <w:szCs w:val="24"/>
          <w:lang w:eastAsia="zh-CN"/>
        </w:rPr>
        <w:t xml:space="preserve"> 1994; </w:t>
      </w:r>
      <w:r w:rsidRPr="006F40E4">
        <w:rPr>
          <w:rFonts w:ascii="Book Antiqua" w:eastAsia="宋体" w:hAnsi="Book Antiqua" w:cs="宋体"/>
          <w:b/>
          <w:bCs/>
          <w:sz w:val="24"/>
          <w:szCs w:val="24"/>
          <w:lang w:eastAsia="zh-CN"/>
        </w:rPr>
        <w:t>37</w:t>
      </w:r>
      <w:r w:rsidRPr="006F40E4">
        <w:rPr>
          <w:rFonts w:ascii="Book Antiqua" w:eastAsia="宋体" w:hAnsi="Book Antiqua" w:cs="宋体"/>
          <w:sz w:val="24"/>
          <w:szCs w:val="24"/>
          <w:lang w:eastAsia="zh-CN"/>
        </w:rPr>
        <w:t>: 689-696 [PMID: 8026236]</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37 </w:t>
      </w:r>
      <w:proofErr w:type="spellStart"/>
      <w:r w:rsidRPr="006F40E4">
        <w:rPr>
          <w:rFonts w:ascii="Book Antiqua" w:eastAsia="宋体" w:hAnsi="Book Antiqua" w:cs="宋体"/>
          <w:b/>
          <w:bCs/>
          <w:sz w:val="24"/>
          <w:szCs w:val="24"/>
          <w:lang w:eastAsia="zh-CN"/>
        </w:rPr>
        <w:t>Golub</w:t>
      </w:r>
      <w:proofErr w:type="spellEnd"/>
      <w:r w:rsidRPr="006F40E4">
        <w:rPr>
          <w:rFonts w:ascii="Book Antiqua" w:eastAsia="宋体" w:hAnsi="Book Antiqua" w:cs="宋体"/>
          <w:b/>
          <w:bCs/>
          <w:sz w:val="24"/>
          <w:szCs w:val="24"/>
          <w:lang w:eastAsia="zh-CN"/>
        </w:rPr>
        <w:t xml:space="preserve"> RW</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Kerner</w:t>
      </w:r>
      <w:proofErr w:type="spellEnd"/>
      <w:r w:rsidRPr="006F40E4">
        <w:rPr>
          <w:rFonts w:ascii="Book Antiqua" w:eastAsia="宋体" w:hAnsi="Book Antiqua" w:cs="宋体"/>
          <w:sz w:val="24"/>
          <w:szCs w:val="24"/>
          <w:lang w:eastAsia="zh-CN"/>
        </w:rPr>
        <w:t xml:space="preserve"> BA, Wise WE, </w:t>
      </w:r>
      <w:proofErr w:type="spellStart"/>
      <w:r w:rsidRPr="006F40E4">
        <w:rPr>
          <w:rFonts w:ascii="Book Antiqua" w:eastAsia="宋体" w:hAnsi="Book Antiqua" w:cs="宋体"/>
          <w:sz w:val="24"/>
          <w:szCs w:val="24"/>
          <w:lang w:eastAsia="zh-CN"/>
        </w:rPr>
        <w:t>Meesig</w:t>
      </w:r>
      <w:proofErr w:type="spellEnd"/>
      <w:r w:rsidRPr="006F40E4">
        <w:rPr>
          <w:rFonts w:ascii="Book Antiqua" w:eastAsia="宋体" w:hAnsi="Book Antiqua" w:cs="宋体"/>
          <w:sz w:val="24"/>
          <w:szCs w:val="24"/>
          <w:lang w:eastAsia="zh-CN"/>
        </w:rPr>
        <w:t xml:space="preserve"> DM, Hartmann RF, </w:t>
      </w:r>
      <w:proofErr w:type="spellStart"/>
      <w:r w:rsidRPr="006F40E4">
        <w:rPr>
          <w:rFonts w:ascii="Book Antiqua" w:eastAsia="宋体" w:hAnsi="Book Antiqua" w:cs="宋体"/>
          <w:sz w:val="24"/>
          <w:szCs w:val="24"/>
          <w:lang w:eastAsia="zh-CN"/>
        </w:rPr>
        <w:t>Khanduja</w:t>
      </w:r>
      <w:proofErr w:type="spellEnd"/>
      <w:r w:rsidRPr="006F40E4">
        <w:rPr>
          <w:rFonts w:ascii="Book Antiqua" w:eastAsia="宋体" w:hAnsi="Book Antiqua" w:cs="宋体"/>
          <w:sz w:val="24"/>
          <w:szCs w:val="24"/>
          <w:lang w:eastAsia="zh-CN"/>
        </w:rPr>
        <w:t xml:space="preserve"> KS, Aguilar PS. </w:t>
      </w:r>
      <w:proofErr w:type="spellStart"/>
      <w:r w:rsidRPr="006F40E4">
        <w:rPr>
          <w:rFonts w:ascii="Book Antiqua" w:eastAsia="宋体" w:hAnsi="Book Antiqua" w:cs="宋体"/>
          <w:sz w:val="24"/>
          <w:szCs w:val="24"/>
          <w:lang w:eastAsia="zh-CN"/>
        </w:rPr>
        <w:t>Colonoscopic</w:t>
      </w:r>
      <w:proofErr w:type="spellEnd"/>
      <w:r w:rsidRPr="006F40E4">
        <w:rPr>
          <w:rFonts w:ascii="Book Antiqua" w:eastAsia="宋体" w:hAnsi="Book Antiqua" w:cs="宋体"/>
          <w:sz w:val="24"/>
          <w:szCs w:val="24"/>
          <w:lang w:eastAsia="zh-CN"/>
        </w:rPr>
        <w:t xml:space="preserve"> bowel preparations--which one? </w:t>
      </w:r>
      <w:proofErr w:type="gramStart"/>
      <w:r w:rsidRPr="006F40E4">
        <w:rPr>
          <w:rFonts w:ascii="Book Antiqua" w:eastAsia="宋体" w:hAnsi="Book Antiqua" w:cs="宋体"/>
          <w:sz w:val="24"/>
          <w:szCs w:val="24"/>
          <w:lang w:eastAsia="zh-CN"/>
        </w:rPr>
        <w:t>A blinded, prospective, randomized trial.</w:t>
      </w:r>
      <w:proofErr w:type="gramEnd"/>
      <w:r w:rsidRPr="006F40E4">
        <w:rPr>
          <w:rFonts w:ascii="Book Antiqua" w:eastAsia="宋体" w:hAnsi="Book Antiqua" w:cs="宋体"/>
          <w:sz w:val="24"/>
          <w:szCs w:val="24"/>
          <w:lang w:eastAsia="zh-CN"/>
        </w:rPr>
        <w:t xml:space="preserve"> </w:t>
      </w:r>
      <w:r w:rsidRPr="006F40E4">
        <w:rPr>
          <w:rFonts w:ascii="Book Antiqua" w:eastAsia="宋体" w:hAnsi="Book Antiqua" w:cs="宋体"/>
          <w:i/>
          <w:iCs/>
          <w:sz w:val="24"/>
          <w:szCs w:val="24"/>
          <w:lang w:eastAsia="zh-CN"/>
        </w:rPr>
        <w:t>Dis Colon Rectum</w:t>
      </w:r>
      <w:r w:rsidRPr="006F40E4">
        <w:rPr>
          <w:rFonts w:ascii="Book Antiqua" w:eastAsia="宋体" w:hAnsi="Book Antiqua" w:cs="宋体"/>
          <w:sz w:val="24"/>
          <w:szCs w:val="24"/>
          <w:lang w:eastAsia="zh-CN"/>
        </w:rPr>
        <w:t xml:space="preserve"> 1995; </w:t>
      </w:r>
      <w:r w:rsidRPr="006F40E4">
        <w:rPr>
          <w:rFonts w:ascii="Book Antiqua" w:eastAsia="宋体" w:hAnsi="Book Antiqua" w:cs="宋体"/>
          <w:b/>
          <w:bCs/>
          <w:sz w:val="24"/>
          <w:szCs w:val="24"/>
          <w:lang w:eastAsia="zh-CN"/>
        </w:rPr>
        <w:t>38</w:t>
      </w:r>
      <w:r w:rsidRPr="006F40E4">
        <w:rPr>
          <w:rFonts w:ascii="Book Antiqua" w:eastAsia="宋体" w:hAnsi="Book Antiqua" w:cs="宋体"/>
          <w:sz w:val="24"/>
          <w:szCs w:val="24"/>
          <w:lang w:eastAsia="zh-CN"/>
        </w:rPr>
        <w:t>: 594-599 [PMID: 7774469]</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38 </w:t>
      </w:r>
      <w:proofErr w:type="spellStart"/>
      <w:r w:rsidRPr="006F40E4">
        <w:rPr>
          <w:rFonts w:ascii="Book Antiqua" w:eastAsia="宋体" w:hAnsi="Book Antiqua" w:cs="宋体"/>
          <w:b/>
          <w:bCs/>
          <w:sz w:val="24"/>
          <w:szCs w:val="24"/>
          <w:lang w:eastAsia="zh-CN"/>
        </w:rPr>
        <w:t>Kastenberg</w:t>
      </w:r>
      <w:proofErr w:type="spellEnd"/>
      <w:r w:rsidRPr="006F40E4">
        <w:rPr>
          <w:rFonts w:ascii="Book Antiqua" w:eastAsia="宋体" w:hAnsi="Book Antiqua" w:cs="宋体"/>
          <w:b/>
          <w:bCs/>
          <w:sz w:val="24"/>
          <w:szCs w:val="24"/>
          <w:lang w:eastAsia="zh-CN"/>
        </w:rPr>
        <w:t xml:space="preserve"> D</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Chasen</w:t>
      </w:r>
      <w:proofErr w:type="spellEnd"/>
      <w:r w:rsidRPr="006F40E4">
        <w:rPr>
          <w:rFonts w:ascii="Book Antiqua" w:eastAsia="宋体" w:hAnsi="Book Antiqua" w:cs="宋体"/>
          <w:sz w:val="24"/>
          <w:szCs w:val="24"/>
          <w:lang w:eastAsia="zh-CN"/>
        </w:rPr>
        <w:t xml:space="preserve"> R, </w:t>
      </w:r>
      <w:proofErr w:type="spellStart"/>
      <w:r w:rsidRPr="006F40E4">
        <w:rPr>
          <w:rFonts w:ascii="Book Antiqua" w:eastAsia="宋体" w:hAnsi="Book Antiqua" w:cs="宋体"/>
          <w:sz w:val="24"/>
          <w:szCs w:val="24"/>
          <w:lang w:eastAsia="zh-CN"/>
        </w:rPr>
        <w:t>Choudhary</w:t>
      </w:r>
      <w:proofErr w:type="spellEnd"/>
      <w:r w:rsidRPr="006F40E4">
        <w:rPr>
          <w:rFonts w:ascii="Book Antiqua" w:eastAsia="宋体" w:hAnsi="Book Antiqua" w:cs="宋体"/>
          <w:sz w:val="24"/>
          <w:szCs w:val="24"/>
          <w:lang w:eastAsia="zh-CN"/>
        </w:rPr>
        <w:t xml:space="preserve"> C, Riff D, Steinberg S, Weiss E, </w:t>
      </w:r>
      <w:proofErr w:type="spellStart"/>
      <w:r w:rsidRPr="006F40E4">
        <w:rPr>
          <w:rFonts w:ascii="Book Antiqua" w:eastAsia="宋体" w:hAnsi="Book Antiqua" w:cs="宋体"/>
          <w:sz w:val="24"/>
          <w:szCs w:val="24"/>
          <w:lang w:eastAsia="zh-CN"/>
        </w:rPr>
        <w:t>Wruble</w:t>
      </w:r>
      <w:proofErr w:type="spellEnd"/>
      <w:r w:rsidRPr="006F40E4">
        <w:rPr>
          <w:rFonts w:ascii="Book Antiqua" w:eastAsia="宋体" w:hAnsi="Book Antiqua" w:cs="宋体"/>
          <w:sz w:val="24"/>
          <w:szCs w:val="24"/>
          <w:lang w:eastAsia="zh-CN"/>
        </w:rPr>
        <w:t xml:space="preserve"> L. Efficacy and safety of sodium phosphate tablets compared with PEG solution in colon cleansing: two identically designed, randomized, controlled, parallel group, multicenter phase III trials.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2001; </w:t>
      </w:r>
      <w:r w:rsidRPr="006F40E4">
        <w:rPr>
          <w:rFonts w:ascii="Book Antiqua" w:eastAsia="宋体" w:hAnsi="Book Antiqua" w:cs="宋体"/>
          <w:b/>
          <w:bCs/>
          <w:sz w:val="24"/>
          <w:szCs w:val="24"/>
          <w:lang w:eastAsia="zh-CN"/>
        </w:rPr>
        <w:t>54</w:t>
      </w:r>
      <w:r w:rsidRPr="006F40E4">
        <w:rPr>
          <w:rFonts w:ascii="Book Antiqua" w:eastAsia="宋体" w:hAnsi="Book Antiqua" w:cs="宋体"/>
          <w:sz w:val="24"/>
          <w:szCs w:val="24"/>
          <w:lang w:eastAsia="zh-CN"/>
        </w:rPr>
        <w:t>: 705-713 [PMID: 11726845]</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39 </w:t>
      </w:r>
      <w:proofErr w:type="spellStart"/>
      <w:r w:rsidRPr="006F40E4">
        <w:rPr>
          <w:rFonts w:ascii="Book Antiqua" w:eastAsia="宋体" w:hAnsi="Book Antiqua" w:cs="宋体"/>
          <w:b/>
          <w:bCs/>
          <w:sz w:val="24"/>
          <w:szCs w:val="24"/>
          <w:lang w:eastAsia="zh-CN"/>
        </w:rPr>
        <w:t>Heher</w:t>
      </w:r>
      <w:proofErr w:type="spellEnd"/>
      <w:r w:rsidRPr="006F40E4">
        <w:rPr>
          <w:rFonts w:ascii="Book Antiqua" w:eastAsia="宋体" w:hAnsi="Book Antiqua" w:cs="宋体"/>
          <w:b/>
          <w:bCs/>
          <w:sz w:val="24"/>
          <w:szCs w:val="24"/>
          <w:lang w:eastAsia="zh-CN"/>
        </w:rPr>
        <w:t xml:space="preserve"> EC</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Thier</w:t>
      </w:r>
      <w:proofErr w:type="spellEnd"/>
      <w:r w:rsidRPr="006F40E4">
        <w:rPr>
          <w:rFonts w:ascii="Book Antiqua" w:eastAsia="宋体" w:hAnsi="Book Antiqua" w:cs="宋体"/>
          <w:sz w:val="24"/>
          <w:szCs w:val="24"/>
          <w:lang w:eastAsia="zh-CN"/>
        </w:rPr>
        <w:t xml:space="preserve"> SO, </w:t>
      </w:r>
      <w:proofErr w:type="spellStart"/>
      <w:r w:rsidRPr="006F40E4">
        <w:rPr>
          <w:rFonts w:ascii="Book Antiqua" w:eastAsia="宋体" w:hAnsi="Book Antiqua" w:cs="宋体"/>
          <w:sz w:val="24"/>
          <w:szCs w:val="24"/>
          <w:lang w:eastAsia="zh-CN"/>
        </w:rPr>
        <w:t>Rennke</w:t>
      </w:r>
      <w:proofErr w:type="spellEnd"/>
      <w:r w:rsidRPr="006F40E4">
        <w:rPr>
          <w:rFonts w:ascii="Book Antiqua" w:eastAsia="宋体" w:hAnsi="Book Antiqua" w:cs="宋体"/>
          <w:sz w:val="24"/>
          <w:szCs w:val="24"/>
          <w:lang w:eastAsia="zh-CN"/>
        </w:rPr>
        <w:t xml:space="preserve"> H, Humphreys BD. Adverse renal and metabolic effects associated with oral sodium phosphate bowel preparation. </w:t>
      </w:r>
      <w:proofErr w:type="spellStart"/>
      <w:r w:rsidRPr="006F40E4">
        <w:rPr>
          <w:rFonts w:ascii="Book Antiqua" w:eastAsia="宋体" w:hAnsi="Book Antiqua" w:cs="宋体"/>
          <w:i/>
          <w:iCs/>
          <w:sz w:val="24"/>
          <w:szCs w:val="24"/>
          <w:lang w:eastAsia="zh-CN"/>
        </w:rPr>
        <w:t>Clin</w:t>
      </w:r>
      <w:proofErr w:type="spellEnd"/>
      <w:r w:rsidRPr="006F40E4">
        <w:rPr>
          <w:rFonts w:ascii="Book Antiqua" w:eastAsia="宋体" w:hAnsi="Book Antiqua" w:cs="宋体"/>
          <w:i/>
          <w:iCs/>
          <w:sz w:val="24"/>
          <w:szCs w:val="24"/>
          <w:lang w:eastAsia="zh-CN"/>
        </w:rPr>
        <w:t xml:space="preserve"> J Am </w:t>
      </w:r>
      <w:proofErr w:type="spellStart"/>
      <w:r w:rsidRPr="006F40E4">
        <w:rPr>
          <w:rFonts w:ascii="Book Antiqua" w:eastAsia="宋体" w:hAnsi="Book Antiqua" w:cs="宋体"/>
          <w:i/>
          <w:iCs/>
          <w:sz w:val="24"/>
          <w:szCs w:val="24"/>
          <w:lang w:eastAsia="zh-CN"/>
        </w:rPr>
        <w:t>Soc</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Nephrol</w:t>
      </w:r>
      <w:proofErr w:type="spellEnd"/>
      <w:r w:rsidRPr="006F40E4">
        <w:rPr>
          <w:rFonts w:ascii="Book Antiqua" w:eastAsia="宋体" w:hAnsi="Book Antiqua" w:cs="宋体"/>
          <w:sz w:val="24"/>
          <w:szCs w:val="24"/>
          <w:lang w:eastAsia="zh-CN"/>
        </w:rPr>
        <w:t xml:space="preserve"> 2008; </w:t>
      </w:r>
      <w:r w:rsidRPr="006F40E4">
        <w:rPr>
          <w:rFonts w:ascii="Book Antiqua" w:eastAsia="宋体" w:hAnsi="Book Antiqua" w:cs="宋体"/>
          <w:b/>
          <w:bCs/>
          <w:sz w:val="24"/>
          <w:szCs w:val="24"/>
          <w:lang w:eastAsia="zh-CN"/>
        </w:rPr>
        <w:t>3</w:t>
      </w:r>
      <w:r w:rsidRPr="006F40E4">
        <w:rPr>
          <w:rFonts w:ascii="Book Antiqua" w:eastAsia="宋体" w:hAnsi="Book Antiqua" w:cs="宋体"/>
          <w:sz w:val="24"/>
          <w:szCs w:val="24"/>
          <w:lang w:eastAsia="zh-CN"/>
        </w:rPr>
        <w:t>: 1494-1503 [PMID: 18596115 DOI: 10.2215/CJN.02040408]</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40 </w:t>
      </w:r>
      <w:proofErr w:type="spellStart"/>
      <w:r w:rsidRPr="006F40E4">
        <w:rPr>
          <w:rFonts w:ascii="Book Antiqua" w:eastAsia="宋体" w:hAnsi="Book Antiqua" w:cs="宋体"/>
          <w:b/>
          <w:bCs/>
          <w:sz w:val="24"/>
          <w:szCs w:val="24"/>
          <w:lang w:eastAsia="zh-CN"/>
        </w:rPr>
        <w:t>Desmeules</w:t>
      </w:r>
      <w:proofErr w:type="spellEnd"/>
      <w:r w:rsidRPr="006F40E4">
        <w:rPr>
          <w:rFonts w:ascii="Book Antiqua" w:eastAsia="宋体" w:hAnsi="Book Antiqua" w:cs="宋体"/>
          <w:b/>
          <w:bCs/>
          <w:sz w:val="24"/>
          <w:szCs w:val="24"/>
          <w:lang w:eastAsia="zh-CN"/>
        </w:rPr>
        <w:t xml:space="preserve"> S</w:t>
      </w:r>
      <w:r w:rsidRPr="006F40E4">
        <w:rPr>
          <w:rFonts w:ascii="Book Antiqua" w:eastAsia="宋体" w:hAnsi="Book Antiqua" w:cs="宋体"/>
          <w:sz w:val="24"/>
          <w:szCs w:val="24"/>
          <w:lang w:eastAsia="zh-CN"/>
        </w:rPr>
        <w:t xml:space="preserve">, Bergeron MJ, </w:t>
      </w:r>
      <w:proofErr w:type="spellStart"/>
      <w:r w:rsidRPr="006F40E4">
        <w:rPr>
          <w:rFonts w:ascii="Book Antiqua" w:eastAsia="宋体" w:hAnsi="Book Antiqua" w:cs="宋体"/>
          <w:sz w:val="24"/>
          <w:szCs w:val="24"/>
          <w:lang w:eastAsia="zh-CN"/>
        </w:rPr>
        <w:t>Isenring</w:t>
      </w:r>
      <w:proofErr w:type="spellEnd"/>
      <w:r w:rsidRPr="006F40E4">
        <w:rPr>
          <w:rFonts w:ascii="Book Antiqua" w:eastAsia="宋体" w:hAnsi="Book Antiqua" w:cs="宋体"/>
          <w:sz w:val="24"/>
          <w:szCs w:val="24"/>
          <w:lang w:eastAsia="zh-CN"/>
        </w:rPr>
        <w:t xml:space="preserve"> P. Acute phosphate nephropathy and renal failure.</w:t>
      </w:r>
      <w:proofErr w:type="gramEnd"/>
      <w:r w:rsidRPr="006F40E4">
        <w:rPr>
          <w:rFonts w:ascii="Book Antiqua" w:eastAsia="宋体" w:hAnsi="Book Antiqua" w:cs="宋体"/>
          <w:sz w:val="24"/>
          <w:szCs w:val="24"/>
          <w:lang w:eastAsia="zh-CN"/>
        </w:rPr>
        <w:t xml:space="preserve"> </w:t>
      </w:r>
      <w:r w:rsidRPr="006F40E4">
        <w:rPr>
          <w:rFonts w:ascii="Book Antiqua" w:eastAsia="宋体" w:hAnsi="Book Antiqua" w:cs="宋体"/>
          <w:i/>
          <w:iCs/>
          <w:sz w:val="24"/>
          <w:szCs w:val="24"/>
          <w:lang w:eastAsia="zh-CN"/>
        </w:rPr>
        <w:t xml:space="preserve">N </w:t>
      </w:r>
      <w:proofErr w:type="spellStart"/>
      <w:r w:rsidRPr="006F40E4">
        <w:rPr>
          <w:rFonts w:ascii="Book Antiqua" w:eastAsia="宋体" w:hAnsi="Book Antiqua" w:cs="宋体"/>
          <w:i/>
          <w:iCs/>
          <w:sz w:val="24"/>
          <w:szCs w:val="24"/>
          <w:lang w:eastAsia="zh-CN"/>
        </w:rPr>
        <w:t>Engl</w:t>
      </w:r>
      <w:proofErr w:type="spellEnd"/>
      <w:r w:rsidRPr="006F40E4">
        <w:rPr>
          <w:rFonts w:ascii="Book Antiqua" w:eastAsia="宋体" w:hAnsi="Book Antiqua" w:cs="宋体"/>
          <w:i/>
          <w:iCs/>
          <w:sz w:val="24"/>
          <w:szCs w:val="24"/>
          <w:lang w:eastAsia="zh-CN"/>
        </w:rPr>
        <w:t xml:space="preserve"> J Med</w:t>
      </w:r>
      <w:r w:rsidRPr="006F40E4">
        <w:rPr>
          <w:rFonts w:ascii="Book Antiqua" w:eastAsia="宋体" w:hAnsi="Book Antiqua" w:cs="宋体"/>
          <w:sz w:val="24"/>
          <w:szCs w:val="24"/>
          <w:lang w:eastAsia="zh-CN"/>
        </w:rPr>
        <w:t xml:space="preserve"> 2003; </w:t>
      </w:r>
      <w:r w:rsidRPr="006F40E4">
        <w:rPr>
          <w:rFonts w:ascii="Book Antiqua" w:eastAsia="宋体" w:hAnsi="Book Antiqua" w:cs="宋体"/>
          <w:b/>
          <w:bCs/>
          <w:sz w:val="24"/>
          <w:szCs w:val="24"/>
          <w:lang w:eastAsia="zh-CN"/>
        </w:rPr>
        <w:t>349</w:t>
      </w:r>
      <w:r w:rsidRPr="006F40E4">
        <w:rPr>
          <w:rFonts w:ascii="Book Antiqua" w:eastAsia="宋体" w:hAnsi="Book Antiqua" w:cs="宋体"/>
          <w:sz w:val="24"/>
          <w:szCs w:val="24"/>
          <w:lang w:eastAsia="zh-CN"/>
        </w:rPr>
        <w:t>: 1006-1007 [PMID: 12954755]</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41 </w:t>
      </w:r>
      <w:proofErr w:type="spellStart"/>
      <w:r w:rsidRPr="006F40E4">
        <w:rPr>
          <w:rFonts w:ascii="Book Antiqua" w:eastAsia="宋体" w:hAnsi="Book Antiqua" w:cs="宋体"/>
          <w:b/>
          <w:bCs/>
          <w:sz w:val="24"/>
          <w:szCs w:val="24"/>
          <w:lang w:eastAsia="zh-CN"/>
        </w:rPr>
        <w:t>Zwas</w:t>
      </w:r>
      <w:proofErr w:type="spellEnd"/>
      <w:r w:rsidRPr="006F40E4">
        <w:rPr>
          <w:rFonts w:ascii="Book Antiqua" w:eastAsia="宋体" w:hAnsi="Book Antiqua" w:cs="宋体"/>
          <w:b/>
          <w:bCs/>
          <w:sz w:val="24"/>
          <w:szCs w:val="24"/>
          <w:lang w:eastAsia="zh-CN"/>
        </w:rPr>
        <w:t xml:space="preserve"> FR</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Cirillo</w:t>
      </w:r>
      <w:proofErr w:type="spellEnd"/>
      <w:r w:rsidRPr="006F40E4">
        <w:rPr>
          <w:rFonts w:ascii="Book Antiqua" w:eastAsia="宋体" w:hAnsi="Book Antiqua" w:cs="宋体"/>
          <w:sz w:val="24"/>
          <w:szCs w:val="24"/>
          <w:lang w:eastAsia="zh-CN"/>
        </w:rPr>
        <w:t xml:space="preserve"> NW, el-</w:t>
      </w:r>
      <w:proofErr w:type="spellStart"/>
      <w:r w:rsidRPr="006F40E4">
        <w:rPr>
          <w:rFonts w:ascii="Book Antiqua" w:eastAsia="宋体" w:hAnsi="Book Antiqua" w:cs="宋体"/>
          <w:sz w:val="24"/>
          <w:szCs w:val="24"/>
          <w:lang w:eastAsia="zh-CN"/>
        </w:rPr>
        <w:t>Serag</w:t>
      </w:r>
      <w:proofErr w:type="spellEnd"/>
      <w:r w:rsidRPr="006F40E4">
        <w:rPr>
          <w:rFonts w:ascii="Book Antiqua" w:eastAsia="宋体" w:hAnsi="Book Antiqua" w:cs="宋体"/>
          <w:sz w:val="24"/>
          <w:szCs w:val="24"/>
          <w:lang w:eastAsia="zh-CN"/>
        </w:rPr>
        <w:t xml:space="preserve"> HB, </w:t>
      </w:r>
      <w:proofErr w:type="spellStart"/>
      <w:r w:rsidRPr="006F40E4">
        <w:rPr>
          <w:rFonts w:ascii="Book Antiqua" w:eastAsia="宋体" w:hAnsi="Book Antiqua" w:cs="宋体"/>
          <w:sz w:val="24"/>
          <w:szCs w:val="24"/>
          <w:lang w:eastAsia="zh-CN"/>
        </w:rPr>
        <w:t>Eisen</w:t>
      </w:r>
      <w:proofErr w:type="spellEnd"/>
      <w:r w:rsidRPr="006F40E4">
        <w:rPr>
          <w:rFonts w:ascii="Book Antiqua" w:eastAsia="宋体" w:hAnsi="Book Antiqua" w:cs="宋体"/>
          <w:sz w:val="24"/>
          <w:szCs w:val="24"/>
          <w:lang w:eastAsia="zh-CN"/>
        </w:rPr>
        <w:t xml:space="preserve"> RN.</w:t>
      </w:r>
      <w:proofErr w:type="gramEnd"/>
      <w:r w:rsidRPr="006F40E4">
        <w:rPr>
          <w:rFonts w:ascii="Book Antiqua" w:eastAsia="宋体" w:hAnsi="Book Antiqua" w:cs="宋体"/>
          <w:sz w:val="24"/>
          <w:szCs w:val="24"/>
          <w:lang w:eastAsia="zh-CN"/>
        </w:rPr>
        <w:t xml:space="preserve"> Colonic mucosal abnormalities associated with oral sodium phosphate solution.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1996; </w:t>
      </w:r>
      <w:r w:rsidRPr="006F40E4">
        <w:rPr>
          <w:rFonts w:ascii="Book Antiqua" w:eastAsia="宋体" w:hAnsi="Book Antiqua" w:cs="宋体"/>
          <w:b/>
          <w:bCs/>
          <w:sz w:val="24"/>
          <w:szCs w:val="24"/>
          <w:lang w:eastAsia="zh-CN"/>
        </w:rPr>
        <w:t>43</w:t>
      </w:r>
      <w:r w:rsidRPr="006F40E4">
        <w:rPr>
          <w:rFonts w:ascii="Book Antiqua" w:eastAsia="宋体" w:hAnsi="Book Antiqua" w:cs="宋体"/>
          <w:sz w:val="24"/>
          <w:szCs w:val="24"/>
          <w:lang w:eastAsia="zh-CN"/>
        </w:rPr>
        <w:t>: 463-466 [PMID: 8726758]</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lastRenderedPageBreak/>
        <w:t xml:space="preserve">42 </w:t>
      </w:r>
      <w:proofErr w:type="spellStart"/>
      <w:r w:rsidRPr="006F40E4">
        <w:rPr>
          <w:rFonts w:ascii="Book Antiqua" w:eastAsia="宋体" w:hAnsi="Book Antiqua" w:cs="宋体"/>
          <w:b/>
          <w:bCs/>
          <w:sz w:val="24"/>
          <w:szCs w:val="24"/>
          <w:lang w:eastAsia="zh-CN"/>
        </w:rPr>
        <w:t>Rejchrt</w:t>
      </w:r>
      <w:proofErr w:type="spellEnd"/>
      <w:r w:rsidRPr="006F40E4">
        <w:rPr>
          <w:rFonts w:ascii="Book Antiqua" w:eastAsia="宋体" w:hAnsi="Book Antiqua" w:cs="宋体"/>
          <w:b/>
          <w:bCs/>
          <w:sz w:val="24"/>
          <w:szCs w:val="24"/>
          <w:lang w:eastAsia="zh-CN"/>
        </w:rPr>
        <w:t xml:space="preserve"> S</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Bures</w:t>
      </w:r>
      <w:proofErr w:type="spellEnd"/>
      <w:r w:rsidRPr="006F40E4">
        <w:rPr>
          <w:rFonts w:ascii="Book Antiqua" w:eastAsia="宋体" w:hAnsi="Book Antiqua" w:cs="宋体"/>
          <w:sz w:val="24"/>
          <w:szCs w:val="24"/>
          <w:lang w:eastAsia="zh-CN"/>
        </w:rPr>
        <w:t xml:space="preserve"> J, </w:t>
      </w:r>
      <w:proofErr w:type="spellStart"/>
      <w:r w:rsidRPr="006F40E4">
        <w:rPr>
          <w:rFonts w:ascii="Book Antiqua" w:eastAsia="宋体" w:hAnsi="Book Antiqua" w:cs="宋体"/>
          <w:sz w:val="24"/>
          <w:szCs w:val="24"/>
          <w:lang w:eastAsia="zh-CN"/>
        </w:rPr>
        <w:t>Siroký</w:t>
      </w:r>
      <w:proofErr w:type="spellEnd"/>
      <w:r w:rsidRPr="006F40E4">
        <w:rPr>
          <w:rFonts w:ascii="Book Antiqua" w:eastAsia="宋体" w:hAnsi="Book Antiqua" w:cs="宋体"/>
          <w:sz w:val="24"/>
          <w:szCs w:val="24"/>
          <w:lang w:eastAsia="zh-CN"/>
        </w:rPr>
        <w:t xml:space="preserve"> M, </w:t>
      </w:r>
      <w:proofErr w:type="spellStart"/>
      <w:r w:rsidRPr="006F40E4">
        <w:rPr>
          <w:rFonts w:ascii="Book Antiqua" w:eastAsia="宋体" w:hAnsi="Book Antiqua" w:cs="宋体"/>
          <w:sz w:val="24"/>
          <w:szCs w:val="24"/>
          <w:lang w:eastAsia="zh-CN"/>
        </w:rPr>
        <w:t>Kopácová</w:t>
      </w:r>
      <w:proofErr w:type="spellEnd"/>
      <w:r w:rsidRPr="006F40E4">
        <w:rPr>
          <w:rFonts w:ascii="Book Antiqua" w:eastAsia="宋体" w:hAnsi="Book Antiqua" w:cs="宋体"/>
          <w:sz w:val="24"/>
          <w:szCs w:val="24"/>
          <w:lang w:eastAsia="zh-CN"/>
        </w:rPr>
        <w:t xml:space="preserve"> M, </w:t>
      </w:r>
      <w:proofErr w:type="spellStart"/>
      <w:r w:rsidRPr="006F40E4">
        <w:rPr>
          <w:rFonts w:ascii="Book Antiqua" w:eastAsia="宋体" w:hAnsi="Book Antiqua" w:cs="宋体"/>
          <w:sz w:val="24"/>
          <w:szCs w:val="24"/>
          <w:lang w:eastAsia="zh-CN"/>
        </w:rPr>
        <w:t>Slezák</w:t>
      </w:r>
      <w:proofErr w:type="spellEnd"/>
      <w:r w:rsidRPr="006F40E4">
        <w:rPr>
          <w:rFonts w:ascii="Book Antiqua" w:eastAsia="宋体" w:hAnsi="Book Antiqua" w:cs="宋体"/>
          <w:sz w:val="24"/>
          <w:szCs w:val="24"/>
          <w:lang w:eastAsia="zh-CN"/>
        </w:rPr>
        <w:t xml:space="preserve"> L, </w:t>
      </w:r>
      <w:proofErr w:type="spellStart"/>
      <w:r w:rsidRPr="006F40E4">
        <w:rPr>
          <w:rFonts w:ascii="Book Antiqua" w:eastAsia="宋体" w:hAnsi="Book Antiqua" w:cs="宋体"/>
          <w:sz w:val="24"/>
          <w:szCs w:val="24"/>
          <w:lang w:eastAsia="zh-CN"/>
        </w:rPr>
        <w:t>Langr</w:t>
      </w:r>
      <w:proofErr w:type="spellEnd"/>
      <w:r w:rsidRPr="006F40E4">
        <w:rPr>
          <w:rFonts w:ascii="Book Antiqua" w:eastAsia="宋体" w:hAnsi="Book Antiqua" w:cs="宋体"/>
          <w:sz w:val="24"/>
          <w:szCs w:val="24"/>
          <w:lang w:eastAsia="zh-CN"/>
        </w:rPr>
        <w:t xml:space="preserve"> F. A prospective, observational study of colonic mucosal abnormalities associated with orally administered sodium phosphate for colon cleansing before colonoscopy.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2004; </w:t>
      </w:r>
      <w:r w:rsidRPr="006F40E4">
        <w:rPr>
          <w:rFonts w:ascii="Book Antiqua" w:eastAsia="宋体" w:hAnsi="Book Antiqua" w:cs="宋体"/>
          <w:b/>
          <w:bCs/>
          <w:sz w:val="24"/>
          <w:szCs w:val="24"/>
          <w:lang w:eastAsia="zh-CN"/>
        </w:rPr>
        <w:t>59</w:t>
      </w:r>
      <w:r w:rsidRPr="006F40E4">
        <w:rPr>
          <w:rFonts w:ascii="Book Antiqua" w:eastAsia="宋体" w:hAnsi="Book Antiqua" w:cs="宋体"/>
          <w:sz w:val="24"/>
          <w:szCs w:val="24"/>
          <w:lang w:eastAsia="zh-CN"/>
        </w:rPr>
        <w:t>: 651-654 [PMID: 15114307]</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43 </w:t>
      </w:r>
      <w:r w:rsidRPr="006F40E4">
        <w:rPr>
          <w:rFonts w:ascii="Book Antiqua" w:eastAsia="宋体" w:hAnsi="Book Antiqua" w:cs="宋体"/>
          <w:b/>
          <w:bCs/>
          <w:sz w:val="24"/>
          <w:szCs w:val="24"/>
          <w:lang w:eastAsia="zh-CN"/>
        </w:rPr>
        <w:t>Patel V</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Nicar</w:t>
      </w:r>
      <w:proofErr w:type="spellEnd"/>
      <w:r w:rsidRPr="006F40E4">
        <w:rPr>
          <w:rFonts w:ascii="Book Antiqua" w:eastAsia="宋体" w:hAnsi="Book Antiqua" w:cs="宋体"/>
          <w:sz w:val="24"/>
          <w:szCs w:val="24"/>
          <w:lang w:eastAsia="zh-CN"/>
        </w:rPr>
        <w:t xml:space="preserve"> M, Emmett M, </w:t>
      </w:r>
      <w:proofErr w:type="spellStart"/>
      <w:r w:rsidRPr="006F40E4">
        <w:rPr>
          <w:rFonts w:ascii="Book Antiqua" w:eastAsia="宋体" w:hAnsi="Book Antiqua" w:cs="宋体"/>
          <w:sz w:val="24"/>
          <w:szCs w:val="24"/>
          <w:lang w:eastAsia="zh-CN"/>
        </w:rPr>
        <w:t>Asplin</w:t>
      </w:r>
      <w:proofErr w:type="spellEnd"/>
      <w:r w:rsidRPr="006F40E4">
        <w:rPr>
          <w:rFonts w:ascii="Book Antiqua" w:eastAsia="宋体" w:hAnsi="Book Antiqua" w:cs="宋体"/>
          <w:sz w:val="24"/>
          <w:szCs w:val="24"/>
          <w:lang w:eastAsia="zh-CN"/>
        </w:rPr>
        <w:t xml:space="preserve"> J, Maguire JA, Santa Ana CA, </w:t>
      </w:r>
      <w:proofErr w:type="spellStart"/>
      <w:r w:rsidRPr="006F40E4">
        <w:rPr>
          <w:rFonts w:ascii="Book Antiqua" w:eastAsia="宋体" w:hAnsi="Book Antiqua" w:cs="宋体"/>
          <w:sz w:val="24"/>
          <w:szCs w:val="24"/>
          <w:lang w:eastAsia="zh-CN"/>
        </w:rPr>
        <w:t>Fordtran</w:t>
      </w:r>
      <w:proofErr w:type="spellEnd"/>
      <w:r w:rsidRPr="006F40E4">
        <w:rPr>
          <w:rFonts w:ascii="Book Antiqua" w:eastAsia="宋体" w:hAnsi="Book Antiqua" w:cs="宋体"/>
          <w:sz w:val="24"/>
          <w:szCs w:val="24"/>
          <w:lang w:eastAsia="zh-CN"/>
        </w:rPr>
        <w:t xml:space="preserve"> JS. Intestinal and renal effects of low-volume phosphate and sulfate cathartic solutions designed for cleansing the colon: pathophysiological studies in five normal subjects.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2009; </w:t>
      </w:r>
      <w:r w:rsidRPr="006F40E4">
        <w:rPr>
          <w:rFonts w:ascii="Book Antiqua" w:eastAsia="宋体" w:hAnsi="Book Antiqua" w:cs="宋体"/>
          <w:b/>
          <w:bCs/>
          <w:sz w:val="24"/>
          <w:szCs w:val="24"/>
          <w:lang w:eastAsia="zh-CN"/>
        </w:rPr>
        <w:t>104</w:t>
      </w:r>
      <w:r w:rsidRPr="006F40E4">
        <w:rPr>
          <w:rFonts w:ascii="Book Antiqua" w:eastAsia="宋体" w:hAnsi="Book Antiqua" w:cs="宋体"/>
          <w:sz w:val="24"/>
          <w:szCs w:val="24"/>
          <w:lang w:eastAsia="zh-CN"/>
        </w:rPr>
        <w:t>: 953-965 [PMID: 19240703 DOI: 10.1038/ajg.2008.124]</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44 </w:t>
      </w:r>
      <w:r w:rsidRPr="006F40E4">
        <w:rPr>
          <w:rFonts w:ascii="Book Antiqua" w:eastAsia="宋体" w:hAnsi="Book Antiqua" w:cs="宋体"/>
          <w:b/>
          <w:bCs/>
          <w:sz w:val="24"/>
          <w:szCs w:val="24"/>
          <w:lang w:eastAsia="zh-CN"/>
        </w:rPr>
        <w:t>Di Palma JA</w:t>
      </w:r>
      <w:r w:rsidRPr="006F40E4">
        <w:rPr>
          <w:rFonts w:ascii="Book Antiqua" w:eastAsia="宋体" w:hAnsi="Book Antiqua" w:cs="宋体"/>
          <w:sz w:val="24"/>
          <w:szCs w:val="24"/>
          <w:lang w:eastAsia="zh-CN"/>
        </w:rPr>
        <w:t xml:space="preserve">, Rodriguez R, McGowan J, Cleveland </w:t>
      </w:r>
      <w:proofErr w:type="spellStart"/>
      <w:r w:rsidRPr="006F40E4">
        <w:rPr>
          <w:rFonts w:ascii="Book Antiqua" w:eastAsia="宋体" w:hAnsi="Book Antiqua" w:cs="宋体"/>
          <w:sz w:val="24"/>
          <w:szCs w:val="24"/>
          <w:lang w:eastAsia="zh-CN"/>
        </w:rPr>
        <w:t>Mv</w:t>
      </w:r>
      <w:proofErr w:type="spellEnd"/>
      <w:r w:rsidRPr="006F40E4">
        <w:rPr>
          <w:rFonts w:ascii="Book Antiqua" w:eastAsia="宋体" w:hAnsi="Book Antiqua" w:cs="宋体"/>
          <w:sz w:val="24"/>
          <w:szCs w:val="24"/>
          <w:lang w:eastAsia="zh-CN"/>
        </w:rPr>
        <w:t>.</w:t>
      </w:r>
      <w:proofErr w:type="gramEnd"/>
      <w:r w:rsidRPr="006F40E4">
        <w:rPr>
          <w:rFonts w:ascii="Book Antiqua" w:eastAsia="宋体" w:hAnsi="Book Antiqua" w:cs="宋体"/>
          <w:sz w:val="24"/>
          <w:szCs w:val="24"/>
          <w:lang w:eastAsia="zh-CN"/>
        </w:rPr>
        <w:t xml:space="preserve"> A randomized clinical study evaluating the safety and efficacy of a new, reduced-volume, oral sulfate colon-cleansing preparation for colonoscopy.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2009; </w:t>
      </w:r>
      <w:r w:rsidRPr="006F40E4">
        <w:rPr>
          <w:rFonts w:ascii="Book Antiqua" w:eastAsia="宋体" w:hAnsi="Book Antiqua" w:cs="宋体"/>
          <w:b/>
          <w:bCs/>
          <w:sz w:val="24"/>
          <w:szCs w:val="24"/>
          <w:lang w:eastAsia="zh-CN"/>
        </w:rPr>
        <w:t>104</w:t>
      </w:r>
      <w:r w:rsidRPr="006F40E4">
        <w:rPr>
          <w:rFonts w:ascii="Book Antiqua" w:eastAsia="宋体" w:hAnsi="Book Antiqua" w:cs="宋体"/>
          <w:sz w:val="24"/>
          <w:szCs w:val="24"/>
          <w:lang w:eastAsia="zh-CN"/>
        </w:rPr>
        <w:t>: 2275-2284 [PMID: 19584830 DOI: 10.1038/ajg.2009.389]</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45 </w:t>
      </w:r>
      <w:r w:rsidRPr="006F40E4">
        <w:rPr>
          <w:rFonts w:ascii="Book Antiqua" w:eastAsia="宋体" w:hAnsi="Book Antiqua" w:cs="宋体"/>
          <w:b/>
          <w:bCs/>
          <w:sz w:val="24"/>
          <w:szCs w:val="24"/>
          <w:lang w:eastAsia="zh-CN"/>
        </w:rPr>
        <w:t>Rex DK</w:t>
      </w:r>
      <w:r w:rsidRPr="006F40E4">
        <w:rPr>
          <w:rFonts w:ascii="Book Antiqua" w:eastAsia="宋体" w:hAnsi="Book Antiqua" w:cs="宋体"/>
          <w:sz w:val="24"/>
          <w:szCs w:val="24"/>
          <w:lang w:eastAsia="zh-CN"/>
        </w:rPr>
        <w:t>, Di Palma JA, Rodriguez R, McGowan J, Cleveland M.</w:t>
      </w:r>
      <w:proofErr w:type="gramEnd"/>
      <w:r w:rsidRPr="006F40E4">
        <w:rPr>
          <w:rFonts w:ascii="Book Antiqua" w:eastAsia="宋体" w:hAnsi="Book Antiqua" w:cs="宋体"/>
          <w:sz w:val="24"/>
          <w:szCs w:val="24"/>
          <w:lang w:eastAsia="zh-CN"/>
        </w:rPr>
        <w:t xml:space="preserve"> </w:t>
      </w:r>
      <w:proofErr w:type="gramStart"/>
      <w:r w:rsidRPr="006F40E4">
        <w:rPr>
          <w:rFonts w:ascii="Book Antiqua" w:eastAsia="宋体" w:hAnsi="Book Antiqua" w:cs="宋体"/>
          <w:sz w:val="24"/>
          <w:szCs w:val="24"/>
          <w:lang w:eastAsia="zh-CN"/>
        </w:rPr>
        <w:t>A randomized clinical study comparing reduced-volume oral sulfate solution with standard 4-liter sulfate-free electrolyte lavage solution as preparation for colonoscopy.</w:t>
      </w:r>
      <w:proofErr w:type="gramEnd"/>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2010; </w:t>
      </w:r>
      <w:r w:rsidRPr="006F40E4">
        <w:rPr>
          <w:rFonts w:ascii="Book Antiqua" w:eastAsia="宋体" w:hAnsi="Book Antiqua" w:cs="宋体"/>
          <w:b/>
          <w:bCs/>
          <w:sz w:val="24"/>
          <w:szCs w:val="24"/>
          <w:lang w:eastAsia="zh-CN"/>
        </w:rPr>
        <w:t>72</w:t>
      </w:r>
      <w:r w:rsidRPr="006F40E4">
        <w:rPr>
          <w:rFonts w:ascii="Book Antiqua" w:eastAsia="宋体" w:hAnsi="Book Antiqua" w:cs="宋体"/>
          <w:sz w:val="24"/>
          <w:szCs w:val="24"/>
          <w:lang w:eastAsia="zh-CN"/>
        </w:rPr>
        <w:t>: 328-336 [PMID: 20646695 DOI: 10.1016/j.gie.2010.03.1054]</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46 </w:t>
      </w:r>
      <w:r w:rsidRPr="006F40E4">
        <w:rPr>
          <w:rFonts w:ascii="Book Antiqua" w:eastAsia="宋体" w:hAnsi="Book Antiqua" w:cs="宋体"/>
          <w:b/>
          <w:bCs/>
          <w:sz w:val="24"/>
          <w:szCs w:val="24"/>
          <w:lang w:eastAsia="zh-CN"/>
        </w:rPr>
        <w:t>Rex DK</w:t>
      </w:r>
      <w:r w:rsidRPr="006F40E4">
        <w:rPr>
          <w:rFonts w:ascii="Book Antiqua" w:eastAsia="宋体" w:hAnsi="Book Antiqua" w:cs="宋体"/>
          <w:sz w:val="24"/>
          <w:szCs w:val="24"/>
          <w:lang w:eastAsia="zh-CN"/>
        </w:rPr>
        <w:t xml:space="preserve">, McGowan J, Cleveland </w:t>
      </w:r>
      <w:proofErr w:type="spellStart"/>
      <w:r w:rsidRPr="006F40E4">
        <w:rPr>
          <w:rFonts w:ascii="Book Antiqua" w:eastAsia="宋体" w:hAnsi="Book Antiqua" w:cs="宋体"/>
          <w:sz w:val="24"/>
          <w:szCs w:val="24"/>
          <w:lang w:eastAsia="zh-CN"/>
        </w:rPr>
        <w:t>Mv</w:t>
      </w:r>
      <w:proofErr w:type="spellEnd"/>
      <w:r w:rsidRPr="006F40E4">
        <w:rPr>
          <w:rFonts w:ascii="Book Antiqua" w:eastAsia="宋体" w:hAnsi="Book Antiqua" w:cs="宋体"/>
          <w:sz w:val="24"/>
          <w:szCs w:val="24"/>
          <w:lang w:eastAsia="zh-CN"/>
        </w:rPr>
        <w:t>, Di Palma JA.</w:t>
      </w:r>
      <w:proofErr w:type="gramEnd"/>
      <w:r w:rsidRPr="006F40E4">
        <w:rPr>
          <w:rFonts w:ascii="Book Antiqua" w:eastAsia="宋体" w:hAnsi="Book Antiqua" w:cs="宋体"/>
          <w:sz w:val="24"/>
          <w:szCs w:val="24"/>
          <w:lang w:eastAsia="zh-CN"/>
        </w:rPr>
        <w:t xml:space="preserve"> A randomized, controlled trial of oral sulfate solution plus polyethylene glycol as a bowel preparation for colonoscopy.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2014; </w:t>
      </w:r>
      <w:r w:rsidRPr="006F40E4">
        <w:rPr>
          <w:rFonts w:ascii="Book Antiqua" w:eastAsia="宋体" w:hAnsi="Book Antiqua" w:cs="宋体"/>
          <w:b/>
          <w:bCs/>
          <w:sz w:val="24"/>
          <w:szCs w:val="24"/>
          <w:lang w:eastAsia="zh-CN"/>
        </w:rPr>
        <w:t>80</w:t>
      </w:r>
      <w:r w:rsidRPr="006F40E4">
        <w:rPr>
          <w:rFonts w:ascii="Book Antiqua" w:eastAsia="宋体" w:hAnsi="Book Antiqua" w:cs="宋体"/>
          <w:sz w:val="24"/>
          <w:szCs w:val="24"/>
          <w:lang w:eastAsia="zh-CN"/>
        </w:rPr>
        <w:t>: 482-491 [PMID: 24830577 DOI: 10.1016/j.gie.2014.03.043]</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47 </w:t>
      </w:r>
      <w:r w:rsidRPr="006F40E4">
        <w:rPr>
          <w:rFonts w:ascii="Book Antiqua" w:eastAsia="宋体" w:hAnsi="Book Antiqua" w:cs="宋体"/>
          <w:b/>
          <w:bCs/>
          <w:sz w:val="24"/>
          <w:szCs w:val="24"/>
          <w:lang w:eastAsia="zh-CN"/>
        </w:rPr>
        <w:t>Weir MA</w:t>
      </w:r>
      <w:r w:rsidRPr="006F40E4">
        <w:rPr>
          <w:rFonts w:ascii="Book Antiqua" w:eastAsia="宋体" w:hAnsi="Book Antiqua" w:cs="宋体"/>
          <w:sz w:val="24"/>
          <w:szCs w:val="24"/>
          <w:lang w:eastAsia="zh-CN"/>
        </w:rPr>
        <w:t xml:space="preserve">, Fleet JL, </w:t>
      </w:r>
      <w:proofErr w:type="spellStart"/>
      <w:r w:rsidRPr="006F40E4">
        <w:rPr>
          <w:rFonts w:ascii="Book Antiqua" w:eastAsia="宋体" w:hAnsi="Book Antiqua" w:cs="宋体"/>
          <w:sz w:val="24"/>
          <w:szCs w:val="24"/>
          <w:lang w:eastAsia="zh-CN"/>
        </w:rPr>
        <w:t>Vinden</w:t>
      </w:r>
      <w:proofErr w:type="spellEnd"/>
      <w:r w:rsidRPr="006F40E4">
        <w:rPr>
          <w:rFonts w:ascii="Book Antiqua" w:eastAsia="宋体" w:hAnsi="Book Antiqua" w:cs="宋体"/>
          <w:sz w:val="24"/>
          <w:szCs w:val="24"/>
          <w:lang w:eastAsia="zh-CN"/>
        </w:rPr>
        <w:t xml:space="preserve"> C, </w:t>
      </w:r>
      <w:proofErr w:type="spellStart"/>
      <w:r w:rsidRPr="006F40E4">
        <w:rPr>
          <w:rFonts w:ascii="Book Antiqua" w:eastAsia="宋体" w:hAnsi="Book Antiqua" w:cs="宋体"/>
          <w:sz w:val="24"/>
          <w:szCs w:val="24"/>
          <w:lang w:eastAsia="zh-CN"/>
        </w:rPr>
        <w:t>Shariff</w:t>
      </w:r>
      <w:proofErr w:type="spellEnd"/>
      <w:r w:rsidRPr="006F40E4">
        <w:rPr>
          <w:rFonts w:ascii="Book Antiqua" w:eastAsia="宋体" w:hAnsi="Book Antiqua" w:cs="宋体"/>
          <w:sz w:val="24"/>
          <w:szCs w:val="24"/>
          <w:lang w:eastAsia="zh-CN"/>
        </w:rPr>
        <w:t xml:space="preserve"> SZ, Liu K, Song H, Jain AK, Gandhi S, Clark WF, Garg AX. </w:t>
      </w:r>
      <w:proofErr w:type="spellStart"/>
      <w:proofErr w:type="gramStart"/>
      <w:r w:rsidRPr="006F40E4">
        <w:rPr>
          <w:rFonts w:ascii="Book Antiqua" w:eastAsia="宋体" w:hAnsi="Book Antiqua" w:cs="宋体"/>
          <w:sz w:val="24"/>
          <w:szCs w:val="24"/>
          <w:lang w:eastAsia="zh-CN"/>
        </w:rPr>
        <w:t>Hyponatremia</w:t>
      </w:r>
      <w:proofErr w:type="spellEnd"/>
      <w:r w:rsidRPr="006F40E4">
        <w:rPr>
          <w:rFonts w:ascii="Book Antiqua" w:eastAsia="宋体" w:hAnsi="Book Antiqua" w:cs="宋体"/>
          <w:sz w:val="24"/>
          <w:szCs w:val="24"/>
          <w:lang w:eastAsia="zh-CN"/>
        </w:rPr>
        <w:t xml:space="preserve"> and sodium </w:t>
      </w:r>
      <w:proofErr w:type="spellStart"/>
      <w:r w:rsidRPr="006F40E4">
        <w:rPr>
          <w:rFonts w:ascii="Book Antiqua" w:eastAsia="宋体" w:hAnsi="Book Antiqua" w:cs="宋体"/>
          <w:sz w:val="24"/>
          <w:szCs w:val="24"/>
          <w:lang w:eastAsia="zh-CN"/>
        </w:rPr>
        <w:t>picosulfate</w:t>
      </w:r>
      <w:proofErr w:type="spellEnd"/>
      <w:r w:rsidRPr="006F40E4">
        <w:rPr>
          <w:rFonts w:ascii="Book Antiqua" w:eastAsia="宋体" w:hAnsi="Book Antiqua" w:cs="宋体"/>
          <w:sz w:val="24"/>
          <w:szCs w:val="24"/>
          <w:lang w:eastAsia="zh-CN"/>
        </w:rPr>
        <w:t xml:space="preserve"> bowel preparations in older adults.</w:t>
      </w:r>
      <w:proofErr w:type="gramEnd"/>
      <w:r w:rsidRPr="006F40E4">
        <w:rPr>
          <w:rFonts w:ascii="Book Antiqua" w:eastAsia="宋体" w:hAnsi="Book Antiqua" w:cs="宋体"/>
          <w:sz w:val="24"/>
          <w:szCs w:val="24"/>
          <w:lang w:eastAsia="zh-CN"/>
        </w:rPr>
        <w:t xml:space="preserve">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2014; </w:t>
      </w:r>
      <w:r w:rsidRPr="006F40E4">
        <w:rPr>
          <w:rFonts w:ascii="Book Antiqua" w:eastAsia="宋体" w:hAnsi="Book Antiqua" w:cs="宋体"/>
          <w:b/>
          <w:bCs/>
          <w:sz w:val="24"/>
          <w:szCs w:val="24"/>
          <w:lang w:eastAsia="zh-CN"/>
        </w:rPr>
        <w:t>109</w:t>
      </w:r>
      <w:r w:rsidRPr="006F40E4">
        <w:rPr>
          <w:rFonts w:ascii="Book Antiqua" w:eastAsia="宋体" w:hAnsi="Book Antiqua" w:cs="宋体"/>
          <w:sz w:val="24"/>
          <w:szCs w:val="24"/>
          <w:lang w:eastAsia="zh-CN"/>
        </w:rPr>
        <w:t>: 686-694 [PMID: 24589671 DOI: 10.1038/ajg.2014.20]</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48 </w:t>
      </w:r>
      <w:r w:rsidRPr="006F40E4">
        <w:rPr>
          <w:rFonts w:ascii="Book Antiqua" w:eastAsia="宋体" w:hAnsi="Book Antiqua" w:cs="宋体"/>
          <w:b/>
          <w:bCs/>
          <w:sz w:val="24"/>
          <w:szCs w:val="24"/>
          <w:lang w:eastAsia="zh-CN"/>
        </w:rPr>
        <w:t>Katz PO</w:t>
      </w:r>
      <w:r w:rsidRPr="006F40E4">
        <w:rPr>
          <w:rFonts w:ascii="Book Antiqua" w:eastAsia="宋体" w:hAnsi="Book Antiqua" w:cs="宋体"/>
          <w:sz w:val="24"/>
          <w:szCs w:val="24"/>
          <w:lang w:eastAsia="zh-CN"/>
        </w:rPr>
        <w:t xml:space="preserve">, Rex DK, Epstein M, </w:t>
      </w:r>
      <w:proofErr w:type="spellStart"/>
      <w:r w:rsidRPr="006F40E4">
        <w:rPr>
          <w:rFonts w:ascii="Book Antiqua" w:eastAsia="宋体" w:hAnsi="Book Antiqua" w:cs="宋体"/>
          <w:sz w:val="24"/>
          <w:szCs w:val="24"/>
          <w:lang w:eastAsia="zh-CN"/>
        </w:rPr>
        <w:t>Grandhi</w:t>
      </w:r>
      <w:proofErr w:type="spellEnd"/>
      <w:r w:rsidRPr="006F40E4">
        <w:rPr>
          <w:rFonts w:ascii="Book Antiqua" w:eastAsia="宋体" w:hAnsi="Book Antiqua" w:cs="宋体"/>
          <w:sz w:val="24"/>
          <w:szCs w:val="24"/>
          <w:lang w:eastAsia="zh-CN"/>
        </w:rPr>
        <w:t xml:space="preserve"> NK, </w:t>
      </w:r>
      <w:proofErr w:type="spellStart"/>
      <w:r w:rsidRPr="006F40E4">
        <w:rPr>
          <w:rFonts w:ascii="Book Antiqua" w:eastAsia="宋体" w:hAnsi="Book Antiqua" w:cs="宋体"/>
          <w:sz w:val="24"/>
          <w:szCs w:val="24"/>
          <w:lang w:eastAsia="zh-CN"/>
        </w:rPr>
        <w:t>Vanner</w:t>
      </w:r>
      <w:proofErr w:type="spellEnd"/>
      <w:r w:rsidRPr="006F40E4">
        <w:rPr>
          <w:rFonts w:ascii="Book Antiqua" w:eastAsia="宋体" w:hAnsi="Book Antiqua" w:cs="宋体"/>
          <w:sz w:val="24"/>
          <w:szCs w:val="24"/>
          <w:lang w:eastAsia="zh-CN"/>
        </w:rPr>
        <w:t xml:space="preserve"> S, </w:t>
      </w:r>
      <w:proofErr w:type="spellStart"/>
      <w:r w:rsidRPr="006F40E4">
        <w:rPr>
          <w:rFonts w:ascii="Book Antiqua" w:eastAsia="宋体" w:hAnsi="Book Antiqua" w:cs="宋体"/>
          <w:sz w:val="24"/>
          <w:szCs w:val="24"/>
          <w:lang w:eastAsia="zh-CN"/>
        </w:rPr>
        <w:t>Hookey</w:t>
      </w:r>
      <w:proofErr w:type="spellEnd"/>
      <w:r w:rsidRPr="006F40E4">
        <w:rPr>
          <w:rFonts w:ascii="Book Antiqua" w:eastAsia="宋体" w:hAnsi="Book Antiqua" w:cs="宋体"/>
          <w:sz w:val="24"/>
          <w:szCs w:val="24"/>
          <w:lang w:eastAsia="zh-CN"/>
        </w:rPr>
        <w:t xml:space="preserve"> LC, </w:t>
      </w:r>
      <w:proofErr w:type="spellStart"/>
      <w:r w:rsidRPr="006F40E4">
        <w:rPr>
          <w:rFonts w:ascii="Book Antiqua" w:eastAsia="宋体" w:hAnsi="Book Antiqua" w:cs="宋体"/>
          <w:sz w:val="24"/>
          <w:szCs w:val="24"/>
          <w:lang w:eastAsia="zh-CN"/>
        </w:rPr>
        <w:t>Alderfer</w:t>
      </w:r>
      <w:proofErr w:type="spellEnd"/>
      <w:r w:rsidRPr="006F40E4">
        <w:rPr>
          <w:rFonts w:ascii="Book Antiqua" w:eastAsia="宋体" w:hAnsi="Book Antiqua" w:cs="宋体"/>
          <w:sz w:val="24"/>
          <w:szCs w:val="24"/>
          <w:lang w:eastAsia="zh-CN"/>
        </w:rPr>
        <w:t xml:space="preserve"> V, Joseph RE. A dual-action, low-volume bowel cleanser administered the day before colonoscopy: results from the SEE CLEAR II study.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2013; </w:t>
      </w:r>
      <w:r w:rsidRPr="006F40E4">
        <w:rPr>
          <w:rFonts w:ascii="Book Antiqua" w:eastAsia="宋体" w:hAnsi="Book Antiqua" w:cs="宋体"/>
          <w:b/>
          <w:bCs/>
          <w:sz w:val="24"/>
          <w:szCs w:val="24"/>
          <w:lang w:eastAsia="zh-CN"/>
        </w:rPr>
        <w:t>108</w:t>
      </w:r>
      <w:r w:rsidRPr="006F40E4">
        <w:rPr>
          <w:rFonts w:ascii="Book Antiqua" w:eastAsia="宋体" w:hAnsi="Book Antiqua" w:cs="宋体"/>
          <w:sz w:val="24"/>
          <w:szCs w:val="24"/>
          <w:lang w:eastAsia="zh-CN"/>
        </w:rPr>
        <w:t>: 401-409 [PMID: 23318484 DOI: 10.1038/ajg.2012.441]</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49 </w:t>
      </w:r>
      <w:r w:rsidRPr="006F40E4">
        <w:rPr>
          <w:rFonts w:ascii="Book Antiqua" w:eastAsia="宋体" w:hAnsi="Book Antiqua" w:cs="宋体"/>
          <w:b/>
          <w:bCs/>
          <w:sz w:val="24"/>
          <w:szCs w:val="24"/>
          <w:lang w:eastAsia="zh-CN"/>
        </w:rPr>
        <w:t>Rex DK</w:t>
      </w:r>
      <w:r w:rsidRPr="006F40E4">
        <w:rPr>
          <w:rFonts w:ascii="Book Antiqua" w:eastAsia="宋体" w:hAnsi="Book Antiqua" w:cs="宋体"/>
          <w:sz w:val="24"/>
          <w:szCs w:val="24"/>
          <w:lang w:eastAsia="zh-CN"/>
        </w:rPr>
        <w:t xml:space="preserve">, Katz PO, </w:t>
      </w:r>
      <w:proofErr w:type="spellStart"/>
      <w:r w:rsidRPr="006F40E4">
        <w:rPr>
          <w:rFonts w:ascii="Book Antiqua" w:eastAsia="宋体" w:hAnsi="Book Antiqua" w:cs="宋体"/>
          <w:sz w:val="24"/>
          <w:szCs w:val="24"/>
          <w:lang w:eastAsia="zh-CN"/>
        </w:rPr>
        <w:t>Bertiger</w:t>
      </w:r>
      <w:proofErr w:type="spellEnd"/>
      <w:r w:rsidRPr="006F40E4">
        <w:rPr>
          <w:rFonts w:ascii="Book Antiqua" w:eastAsia="宋体" w:hAnsi="Book Antiqua" w:cs="宋体"/>
          <w:sz w:val="24"/>
          <w:szCs w:val="24"/>
          <w:lang w:eastAsia="zh-CN"/>
        </w:rPr>
        <w:t xml:space="preserve"> G, </w:t>
      </w:r>
      <w:proofErr w:type="spellStart"/>
      <w:r w:rsidRPr="006F40E4">
        <w:rPr>
          <w:rFonts w:ascii="Book Antiqua" w:eastAsia="宋体" w:hAnsi="Book Antiqua" w:cs="宋体"/>
          <w:sz w:val="24"/>
          <w:szCs w:val="24"/>
          <w:lang w:eastAsia="zh-CN"/>
        </w:rPr>
        <w:t>Vanner</w:t>
      </w:r>
      <w:proofErr w:type="spellEnd"/>
      <w:r w:rsidRPr="006F40E4">
        <w:rPr>
          <w:rFonts w:ascii="Book Antiqua" w:eastAsia="宋体" w:hAnsi="Book Antiqua" w:cs="宋体"/>
          <w:sz w:val="24"/>
          <w:szCs w:val="24"/>
          <w:lang w:eastAsia="zh-CN"/>
        </w:rPr>
        <w:t xml:space="preserve"> S, </w:t>
      </w:r>
      <w:proofErr w:type="spellStart"/>
      <w:r w:rsidRPr="006F40E4">
        <w:rPr>
          <w:rFonts w:ascii="Book Antiqua" w:eastAsia="宋体" w:hAnsi="Book Antiqua" w:cs="宋体"/>
          <w:sz w:val="24"/>
          <w:szCs w:val="24"/>
          <w:lang w:eastAsia="zh-CN"/>
        </w:rPr>
        <w:t>Hookey</w:t>
      </w:r>
      <w:proofErr w:type="spellEnd"/>
      <w:r w:rsidRPr="006F40E4">
        <w:rPr>
          <w:rFonts w:ascii="Book Antiqua" w:eastAsia="宋体" w:hAnsi="Book Antiqua" w:cs="宋体"/>
          <w:sz w:val="24"/>
          <w:szCs w:val="24"/>
          <w:lang w:eastAsia="zh-CN"/>
        </w:rPr>
        <w:t xml:space="preserve"> LC, </w:t>
      </w:r>
      <w:proofErr w:type="spellStart"/>
      <w:r w:rsidRPr="006F40E4">
        <w:rPr>
          <w:rFonts w:ascii="Book Antiqua" w:eastAsia="宋体" w:hAnsi="Book Antiqua" w:cs="宋体"/>
          <w:sz w:val="24"/>
          <w:szCs w:val="24"/>
          <w:lang w:eastAsia="zh-CN"/>
        </w:rPr>
        <w:t>Alderfer</w:t>
      </w:r>
      <w:proofErr w:type="spellEnd"/>
      <w:r w:rsidRPr="006F40E4">
        <w:rPr>
          <w:rFonts w:ascii="Book Antiqua" w:eastAsia="宋体" w:hAnsi="Book Antiqua" w:cs="宋体"/>
          <w:sz w:val="24"/>
          <w:szCs w:val="24"/>
          <w:lang w:eastAsia="zh-CN"/>
        </w:rPr>
        <w:t xml:space="preserve"> V, Joseph RE. Split-dose administration of a dual-action, low-volume bowel cleanser for colonoscopy: the SEE CLEAR I study.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2013; </w:t>
      </w:r>
      <w:r w:rsidRPr="006F40E4">
        <w:rPr>
          <w:rFonts w:ascii="Book Antiqua" w:eastAsia="宋体" w:hAnsi="Book Antiqua" w:cs="宋体"/>
          <w:b/>
          <w:bCs/>
          <w:sz w:val="24"/>
          <w:szCs w:val="24"/>
          <w:lang w:eastAsia="zh-CN"/>
        </w:rPr>
        <w:t>78</w:t>
      </w:r>
      <w:r w:rsidRPr="006F40E4">
        <w:rPr>
          <w:rFonts w:ascii="Book Antiqua" w:eastAsia="宋体" w:hAnsi="Book Antiqua" w:cs="宋体"/>
          <w:sz w:val="24"/>
          <w:szCs w:val="24"/>
          <w:lang w:eastAsia="zh-CN"/>
        </w:rPr>
        <w:t>: 132-141 [PMID: 23566639 DOI: 10.1016/j.gie.2013.02.024]</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lastRenderedPageBreak/>
        <w:t xml:space="preserve">50 </w:t>
      </w:r>
      <w:proofErr w:type="spellStart"/>
      <w:r w:rsidRPr="006F40E4">
        <w:rPr>
          <w:rFonts w:ascii="Book Antiqua" w:eastAsia="宋体" w:hAnsi="Book Antiqua" w:cs="宋体"/>
          <w:b/>
          <w:bCs/>
          <w:sz w:val="24"/>
          <w:szCs w:val="24"/>
          <w:lang w:eastAsia="zh-CN"/>
        </w:rPr>
        <w:t>Kojecky</w:t>
      </w:r>
      <w:proofErr w:type="spellEnd"/>
      <w:r w:rsidRPr="006F40E4">
        <w:rPr>
          <w:rFonts w:ascii="Book Antiqua" w:eastAsia="宋体" w:hAnsi="Book Antiqua" w:cs="宋体"/>
          <w:b/>
          <w:bCs/>
          <w:sz w:val="24"/>
          <w:szCs w:val="24"/>
          <w:lang w:eastAsia="zh-CN"/>
        </w:rPr>
        <w:t xml:space="preserve"> V</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Dolina</w:t>
      </w:r>
      <w:proofErr w:type="spellEnd"/>
      <w:r w:rsidRPr="006F40E4">
        <w:rPr>
          <w:rFonts w:ascii="Book Antiqua" w:eastAsia="宋体" w:hAnsi="Book Antiqua" w:cs="宋体"/>
          <w:sz w:val="24"/>
          <w:szCs w:val="24"/>
          <w:lang w:eastAsia="zh-CN"/>
        </w:rPr>
        <w:t xml:space="preserve"> J, </w:t>
      </w:r>
      <w:proofErr w:type="spellStart"/>
      <w:r w:rsidRPr="006F40E4">
        <w:rPr>
          <w:rFonts w:ascii="Book Antiqua" w:eastAsia="宋体" w:hAnsi="Book Antiqua" w:cs="宋体"/>
          <w:sz w:val="24"/>
          <w:szCs w:val="24"/>
          <w:lang w:eastAsia="zh-CN"/>
        </w:rPr>
        <w:t>Kianicka</w:t>
      </w:r>
      <w:proofErr w:type="spellEnd"/>
      <w:r w:rsidRPr="006F40E4">
        <w:rPr>
          <w:rFonts w:ascii="Book Antiqua" w:eastAsia="宋体" w:hAnsi="Book Antiqua" w:cs="宋体"/>
          <w:sz w:val="24"/>
          <w:szCs w:val="24"/>
          <w:lang w:eastAsia="zh-CN"/>
        </w:rPr>
        <w:t xml:space="preserve"> B, </w:t>
      </w:r>
      <w:proofErr w:type="spellStart"/>
      <w:r w:rsidRPr="006F40E4">
        <w:rPr>
          <w:rFonts w:ascii="Book Antiqua" w:eastAsia="宋体" w:hAnsi="Book Antiqua" w:cs="宋体"/>
          <w:sz w:val="24"/>
          <w:szCs w:val="24"/>
          <w:lang w:eastAsia="zh-CN"/>
        </w:rPr>
        <w:t>Misurec</w:t>
      </w:r>
      <w:proofErr w:type="spellEnd"/>
      <w:r w:rsidRPr="006F40E4">
        <w:rPr>
          <w:rFonts w:ascii="Book Antiqua" w:eastAsia="宋体" w:hAnsi="Book Antiqua" w:cs="宋体"/>
          <w:sz w:val="24"/>
          <w:szCs w:val="24"/>
          <w:lang w:eastAsia="zh-CN"/>
        </w:rPr>
        <w:t xml:space="preserve"> M, </w:t>
      </w:r>
      <w:proofErr w:type="spellStart"/>
      <w:r w:rsidRPr="006F40E4">
        <w:rPr>
          <w:rFonts w:ascii="Book Antiqua" w:eastAsia="宋体" w:hAnsi="Book Antiqua" w:cs="宋体"/>
          <w:sz w:val="24"/>
          <w:szCs w:val="24"/>
          <w:lang w:eastAsia="zh-CN"/>
        </w:rPr>
        <w:t>Varga</w:t>
      </w:r>
      <w:proofErr w:type="spellEnd"/>
      <w:r w:rsidRPr="006F40E4">
        <w:rPr>
          <w:rFonts w:ascii="Book Antiqua" w:eastAsia="宋体" w:hAnsi="Book Antiqua" w:cs="宋体"/>
          <w:sz w:val="24"/>
          <w:szCs w:val="24"/>
          <w:lang w:eastAsia="zh-CN"/>
        </w:rPr>
        <w:t xml:space="preserve"> M, </w:t>
      </w:r>
      <w:proofErr w:type="spellStart"/>
      <w:r w:rsidRPr="006F40E4">
        <w:rPr>
          <w:rFonts w:ascii="Book Antiqua" w:eastAsia="宋体" w:hAnsi="Book Antiqua" w:cs="宋体"/>
          <w:sz w:val="24"/>
          <w:szCs w:val="24"/>
          <w:lang w:eastAsia="zh-CN"/>
        </w:rPr>
        <w:t>Latta</w:t>
      </w:r>
      <w:proofErr w:type="spellEnd"/>
      <w:r w:rsidRPr="006F40E4">
        <w:rPr>
          <w:rFonts w:ascii="Book Antiqua" w:eastAsia="宋体" w:hAnsi="Book Antiqua" w:cs="宋体"/>
          <w:sz w:val="24"/>
          <w:szCs w:val="24"/>
          <w:lang w:eastAsia="zh-CN"/>
        </w:rPr>
        <w:t xml:space="preserve"> J, </w:t>
      </w:r>
      <w:proofErr w:type="spellStart"/>
      <w:r w:rsidRPr="006F40E4">
        <w:rPr>
          <w:rFonts w:ascii="Book Antiqua" w:eastAsia="宋体" w:hAnsi="Book Antiqua" w:cs="宋体"/>
          <w:sz w:val="24"/>
          <w:szCs w:val="24"/>
          <w:lang w:eastAsia="zh-CN"/>
        </w:rPr>
        <w:t>Vaculin</w:t>
      </w:r>
      <w:proofErr w:type="spellEnd"/>
      <w:r w:rsidRPr="006F40E4">
        <w:rPr>
          <w:rFonts w:ascii="Book Antiqua" w:eastAsia="宋体" w:hAnsi="Book Antiqua" w:cs="宋体"/>
          <w:sz w:val="24"/>
          <w:szCs w:val="24"/>
          <w:lang w:eastAsia="zh-CN"/>
        </w:rPr>
        <w:t xml:space="preserve"> V. A single or split dose </w:t>
      </w:r>
      <w:proofErr w:type="spellStart"/>
      <w:r w:rsidRPr="006F40E4">
        <w:rPr>
          <w:rFonts w:ascii="Book Antiqua" w:eastAsia="宋体" w:hAnsi="Book Antiqua" w:cs="宋体"/>
          <w:sz w:val="24"/>
          <w:szCs w:val="24"/>
          <w:lang w:eastAsia="zh-CN"/>
        </w:rPr>
        <w:t>picosulphate</w:t>
      </w:r>
      <w:proofErr w:type="spellEnd"/>
      <w:r w:rsidRPr="006F40E4">
        <w:rPr>
          <w:rFonts w:ascii="Book Antiqua" w:eastAsia="宋体" w:hAnsi="Book Antiqua" w:cs="宋体"/>
          <w:sz w:val="24"/>
          <w:szCs w:val="24"/>
          <w:lang w:eastAsia="zh-CN"/>
        </w:rPr>
        <w:t xml:space="preserve">/magnesium citrate before colonoscopy: comparison regarding tolerance and efficacy with polyethylene glycol. </w:t>
      </w:r>
      <w:proofErr w:type="gramStart"/>
      <w:r w:rsidRPr="006F40E4">
        <w:rPr>
          <w:rFonts w:ascii="Book Antiqua" w:eastAsia="宋体" w:hAnsi="Book Antiqua" w:cs="宋体"/>
          <w:sz w:val="24"/>
          <w:szCs w:val="24"/>
          <w:lang w:eastAsia="zh-CN"/>
        </w:rPr>
        <w:t>A randomized trial.</w:t>
      </w:r>
      <w:proofErr w:type="gramEnd"/>
      <w:r w:rsidRPr="006F40E4">
        <w:rPr>
          <w:rFonts w:ascii="Book Antiqua" w:eastAsia="宋体" w:hAnsi="Book Antiqua" w:cs="宋体"/>
          <w:sz w:val="24"/>
          <w:szCs w:val="24"/>
          <w:lang w:eastAsia="zh-CN"/>
        </w:rPr>
        <w:t xml:space="preserve"> </w:t>
      </w:r>
      <w:r w:rsidRPr="006F40E4">
        <w:rPr>
          <w:rFonts w:ascii="Book Antiqua" w:eastAsia="宋体" w:hAnsi="Book Antiqua" w:cs="宋体"/>
          <w:i/>
          <w:iCs/>
          <w:sz w:val="24"/>
          <w:szCs w:val="24"/>
          <w:lang w:eastAsia="zh-CN"/>
        </w:rPr>
        <w:t xml:space="preserve">J </w:t>
      </w:r>
      <w:proofErr w:type="spellStart"/>
      <w:r w:rsidRPr="006F40E4">
        <w:rPr>
          <w:rFonts w:ascii="Book Antiqua" w:eastAsia="宋体" w:hAnsi="Book Antiqua" w:cs="宋体"/>
          <w:i/>
          <w:iCs/>
          <w:sz w:val="24"/>
          <w:szCs w:val="24"/>
          <w:lang w:eastAsia="zh-CN"/>
        </w:rPr>
        <w:t>Gastrointestin</w:t>
      </w:r>
      <w:proofErr w:type="spellEnd"/>
      <w:r w:rsidRPr="006F40E4">
        <w:rPr>
          <w:rFonts w:ascii="Book Antiqua" w:eastAsia="宋体" w:hAnsi="Book Antiqua" w:cs="宋体"/>
          <w:i/>
          <w:iCs/>
          <w:sz w:val="24"/>
          <w:szCs w:val="24"/>
          <w:lang w:eastAsia="zh-CN"/>
        </w:rPr>
        <w:t xml:space="preserve"> Liver Dis</w:t>
      </w:r>
      <w:r w:rsidRPr="006F40E4">
        <w:rPr>
          <w:rFonts w:ascii="Book Antiqua" w:eastAsia="宋体" w:hAnsi="Book Antiqua" w:cs="宋体"/>
          <w:sz w:val="24"/>
          <w:szCs w:val="24"/>
          <w:lang w:eastAsia="zh-CN"/>
        </w:rPr>
        <w:t xml:space="preserve"> 2014; </w:t>
      </w:r>
      <w:r w:rsidRPr="006F40E4">
        <w:rPr>
          <w:rFonts w:ascii="Book Antiqua" w:eastAsia="宋体" w:hAnsi="Book Antiqua" w:cs="宋体"/>
          <w:b/>
          <w:bCs/>
          <w:sz w:val="24"/>
          <w:szCs w:val="24"/>
          <w:lang w:eastAsia="zh-CN"/>
        </w:rPr>
        <w:t>23</w:t>
      </w:r>
      <w:r w:rsidRPr="006F40E4">
        <w:rPr>
          <w:rFonts w:ascii="Book Antiqua" w:eastAsia="宋体" w:hAnsi="Book Antiqua" w:cs="宋体"/>
          <w:sz w:val="24"/>
          <w:szCs w:val="24"/>
          <w:lang w:eastAsia="zh-CN"/>
        </w:rPr>
        <w:t>: 141-146 [PMID: 24949605]</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51 </w:t>
      </w:r>
      <w:r w:rsidRPr="006F40E4">
        <w:rPr>
          <w:rFonts w:ascii="Book Antiqua" w:eastAsia="宋体" w:hAnsi="Book Antiqua" w:cs="宋体"/>
          <w:b/>
          <w:bCs/>
          <w:sz w:val="24"/>
          <w:szCs w:val="24"/>
          <w:lang w:eastAsia="zh-CN"/>
        </w:rPr>
        <w:t>Kim HG</w:t>
      </w:r>
      <w:r w:rsidRPr="006F40E4">
        <w:rPr>
          <w:rFonts w:ascii="Book Antiqua" w:eastAsia="宋体" w:hAnsi="Book Antiqua" w:cs="宋体"/>
          <w:sz w:val="24"/>
          <w:szCs w:val="24"/>
          <w:lang w:eastAsia="zh-CN"/>
        </w:rPr>
        <w:t xml:space="preserve">, Huh KC, Koo HS, Kim SE, Kim JO, Kim TI, Kim HS, Myung SJ, Park DI, Shin JE, Yang DH, Lee SH, Lee JS, Lee CK, Chang DK, </w:t>
      </w:r>
      <w:proofErr w:type="spellStart"/>
      <w:r w:rsidRPr="006F40E4">
        <w:rPr>
          <w:rFonts w:ascii="Book Antiqua" w:eastAsia="宋体" w:hAnsi="Book Antiqua" w:cs="宋体"/>
          <w:sz w:val="24"/>
          <w:szCs w:val="24"/>
          <w:lang w:eastAsia="zh-CN"/>
        </w:rPr>
        <w:t>Joo</w:t>
      </w:r>
      <w:proofErr w:type="spellEnd"/>
      <w:r w:rsidRPr="006F40E4">
        <w:rPr>
          <w:rFonts w:ascii="Book Antiqua" w:eastAsia="宋体" w:hAnsi="Book Antiqua" w:cs="宋体"/>
          <w:sz w:val="24"/>
          <w:szCs w:val="24"/>
          <w:lang w:eastAsia="zh-CN"/>
        </w:rPr>
        <w:t xml:space="preserve"> YE, Cha JM, Hong SP, Kim HJ. Sodium </w:t>
      </w:r>
      <w:proofErr w:type="spellStart"/>
      <w:r w:rsidRPr="006F40E4">
        <w:rPr>
          <w:rFonts w:ascii="Book Antiqua" w:eastAsia="宋体" w:hAnsi="Book Antiqua" w:cs="宋体"/>
          <w:sz w:val="24"/>
          <w:szCs w:val="24"/>
          <w:lang w:eastAsia="zh-CN"/>
        </w:rPr>
        <w:t>Picosulfate</w:t>
      </w:r>
      <w:proofErr w:type="spellEnd"/>
      <w:r w:rsidRPr="006F40E4">
        <w:rPr>
          <w:rFonts w:ascii="Book Antiqua" w:eastAsia="宋体" w:hAnsi="Book Antiqua" w:cs="宋体"/>
          <w:sz w:val="24"/>
          <w:szCs w:val="24"/>
          <w:lang w:eastAsia="zh-CN"/>
        </w:rPr>
        <w:t xml:space="preserve"> with Magnesium Citrate (SPMC) Plus Laxative Is a Good Alternative to Conventional Large Volume Polyethylene Glycol in Bowel Preparation: A Multicenter Randomized Single-Blinded Trial. </w:t>
      </w:r>
      <w:r w:rsidRPr="006F40E4">
        <w:rPr>
          <w:rFonts w:ascii="Book Antiqua" w:eastAsia="宋体" w:hAnsi="Book Antiqua" w:cs="宋体"/>
          <w:i/>
          <w:iCs/>
          <w:sz w:val="24"/>
          <w:szCs w:val="24"/>
          <w:lang w:eastAsia="zh-CN"/>
        </w:rPr>
        <w:t>Gut Liver</w:t>
      </w:r>
      <w:r w:rsidRPr="006F40E4">
        <w:rPr>
          <w:rFonts w:ascii="Book Antiqua" w:eastAsia="宋体" w:hAnsi="Book Antiqua" w:cs="宋体"/>
          <w:sz w:val="24"/>
          <w:szCs w:val="24"/>
          <w:lang w:eastAsia="zh-CN"/>
        </w:rPr>
        <w:t xml:space="preserve"> 2015; </w:t>
      </w:r>
      <w:r w:rsidRPr="006F40E4">
        <w:rPr>
          <w:rFonts w:ascii="Book Antiqua" w:eastAsia="宋体" w:hAnsi="Book Antiqua" w:cs="宋体"/>
          <w:b/>
          <w:bCs/>
          <w:sz w:val="24"/>
          <w:szCs w:val="24"/>
          <w:lang w:eastAsia="zh-CN"/>
        </w:rPr>
        <w:t>9</w:t>
      </w:r>
      <w:r w:rsidRPr="006F40E4">
        <w:rPr>
          <w:rFonts w:ascii="Book Antiqua" w:eastAsia="宋体" w:hAnsi="Book Antiqua" w:cs="宋体"/>
          <w:sz w:val="24"/>
          <w:szCs w:val="24"/>
          <w:lang w:eastAsia="zh-CN"/>
        </w:rPr>
        <w:t>: 494-501 [PMID: 25287163 DOI: 10.5009/gnl14010]</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52 </w:t>
      </w:r>
      <w:r w:rsidRPr="006F40E4">
        <w:rPr>
          <w:rFonts w:ascii="Book Antiqua" w:eastAsia="宋体" w:hAnsi="Book Antiqua" w:cs="宋体"/>
          <w:b/>
          <w:bCs/>
          <w:sz w:val="24"/>
          <w:szCs w:val="24"/>
          <w:lang w:eastAsia="zh-CN"/>
        </w:rPr>
        <w:t>Kang MS</w:t>
      </w:r>
      <w:r w:rsidRPr="006F40E4">
        <w:rPr>
          <w:rFonts w:ascii="Book Antiqua" w:eastAsia="宋体" w:hAnsi="Book Antiqua" w:cs="宋体"/>
          <w:sz w:val="24"/>
          <w:szCs w:val="24"/>
          <w:lang w:eastAsia="zh-CN"/>
        </w:rPr>
        <w:t xml:space="preserve">, Kim TO, </w:t>
      </w:r>
      <w:proofErr w:type="spellStart"/>
      <w:r w:rsidRPr="006F40E4">
        <w:rPr>
          <w:rFonts w:ascii="Book Antiqua" w:eastAsia="宋体" w:hAnsi="Book Antiqua" w:cs="宋体"/>
          <w:sz w:val="24"/>
          <w:szCs w:val="24"/>
          <w:lang w:eastAsia="zh-CN"/>
        </w:rPr>
        <w:t>Seo</w:t>
      </w:r>
      <w:proofErr w:type="spellEnd"/>
      <w:r w:rsidRPr="006F40E4">
        <w:rPr>
          <w:rFonts w:ascii="Book Antiqua" w:eastAsia="宋体" w:hAnsi="Book Antiqua" w:cs="宋体"/>
          <w:sz w:val="24"/>
          <w:szCs w:val="24"/>
          <w:lang w:eastAsia="zh-CN"/>
        </w:rPr>
        <w:t xml:space="preserve"> EH, Jung da K, Kim MS, </w:t>
      </w:r>
      <w:proofErr w:type="spellStart"/>
      <w:r w:rsidRPr="006F40E4">
        <w:rPr>
          <w:rFonts w:ascii="Book Antiqua" w:eastAsia="宋体" w:hAnsi="Book Antiqua" w:cs="宋体"/>
          <w:sz w:val="24"/>
          <w:szCs w:val="24"/>
          <w:lang w:eastAsia="zh-CN"/>
        </w:rPr>
        <w:t>Heo</w:t>
      </w:r>
      <w:proofErr w:type="spellEnd"/>
      <w:r w:rsidRPr="006F40E4">
        <w:rPr>
          <w:rFonts w:ascii="Book Antiqua" w:eastAsia="宋体" w:hAnsi="Book Antiqua" w:cs="宋体"/>
          <w:sz w:val="24"/>
          <w:szCs w:val="24"/>
          <w:lang w:eastAsia="zh-CN"/>
        </w:rPr>
        <w:t xml:space="preserve"> NY, Park JH, Park SH, Moon YS. Comparison of the Efficacy and Tolerability between Same-day </w:t>
      </w:r>
      <w:proofErr w:type="spellStart"/>
      <w:r w:rsidRPr="006F40E4">
        <w:rPr>
          <w:rFonts w:ascii="Book Antiqua" w:eastAsia="宋体" w:hAnsi="Book Antiqua" w:cs="宋体"/>
          <w:sz w:val="24"/>
          <w:szCs w:val="24"/>
          <w:lang w:eastAsia="zh-CN"/>
        </w:rPr>
        <w:t>Picosulfate</w:t>
      </w:r>
      <w:proofErr w:type="spellEnd"/>
      <w:r w:rsidRPr="006F40E4">
        <w:rPr>
          <w:rFonts w:ascii="Book Antiqua" w:eastAsia="宋体" w:hAnsi="Book Antiqua" w:cs="宋体"/>
          <w:sz w:val="24"/>
          <w:szCs w:val="24"/>
          <w:lang w:eastAsia="zh-CN"/>
        </w:rPr>
        <w:t xml:space="preserve"> and Split-dose Polyethylene Glycol Bowel Preparation for Afternoon Colonoscopy: A Prospective, Randomized, Investigator-blinded Trial. </w:t>
      </w:r>
      <w:proofErr w:type="spellStart"/>
      <w:r w:rsidRPr="006F40E4">
        <w:rPr>
          <w:rFonts w:ascii="Book Antiqua" w:eastAsia="宋体" w:hAnsi="Book Antiqua" w:cs="宋体"/>
          <w:i/>
          <w:iCs/>
          <w:sz w:val="24"/>
          <w:szCs w:val="24"/>
          <w:lang w:eastAsia="zh-CN"/>
        </w:rPr>
        <w:t>Intest</w:t>
      </w:r>
      <w:proofErr w:type="spellEnd"/>
      <w:r w:rsidRPr="006F40E4">
        <w:rPr>
          <w:rFonts w:ascii="Book Antiqua" w:eastAsia="宋体" w:hAnsi="Book Antiqua" w:cs="宋体"/>
          <w:i/>
          <w:iCs/>
          <w:sz w:val="24"/>
          <w:szCs w:val="24"/>
          <w:lang w:eastAsia="zh-CN"/>
        </w:rPr>
        <w:t xml:space="preserve"> Res</w:t>
      </w:r>
      <w:r w:rsidRPr="006F40E4">
        <w:rPr>
          <w:rFonts w:ascii="Book Antiqua" w:eastAsia="宋体" w:hAnsi="Book Antiqua" w:cs="宋体"/>
          <w:sz w:val="24"/>
          <w:szCs w:val="24"/>
          <w:lang w:eastAsia="zh-CN"/>
        </w:rPr>
        <w:t xml:space="preserve"> 2014; </w:t>
      </w:r>
      <w:r w:rsidRPr="006F40E4">
        <w:rPr>
          <w:rFonts w:ascii="Book Antiqua" w:eastAsia="宋体" w:hAnsi="Book Antiqua" w:cs="宋体"/>
          <w:b/>
          <w:bCs/>
          <w:sz w:val="24"/>
          <w:szCs w:val="24"/>
          <w:lang w:eastAsia="zh-CN"/>
        </w:rPr>
        <w:t>12</w:t>
      </w:r>
      <w:r w:rsidRPr="006F40E4">
        <w:rPr>
          <w:rFonts w:ascii="Book Antiqua" w:eastAsia="宋体" w:hAnsi="Book Antiqua" w:cs="宋体"/>
          <w:sz w:val="24"/>
          <w:szCs w:val="24"/>
          <w:lang w:eastAsia="zh-CN"/>
        </w:rPr>
        <w:t>: 53-59 [PMID: 25349564 DOI: 10.5217/ir.2014.12.1.53]</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53 </w:t>
      </w:r>
      <w:r w:rsidRPr="006F40E4">
        <w:rPr>
          <w:rFonts w:ascii="Book Antiqua" w:eastAsia="宋体" w:hAnsi="Book Antiqua" w:cs="宋体"/>
          <w:b/>
          <w:bCs/>
          <w:sz w:val="24"/>
          <w:szCs w:val="24"/>
          <w:lang w:eastAsia="zh-CN"/>
        </w:rPr>
        <w:t>Song KH</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Suh</w:t>
      </w:r>
      <w:proofErr w:type="spellEnd"/>
      <w:r w:rsidRPr="006F40E4">
        <w:rPr>
          <w:rFonts w:ascii="Book Antiqua" w:eastAsia="宋体" w:hAnsi="Book Antiqua" w:cs="宋体"/>
          <w:sz w:val="24"/>
          <w:szCs w:val="24"/>
          <w:lang w:eastAsia="zh-CN"/>
        </w:rPr>
        <w:t xml:space="preserve"> WS, </w:t>
      </w:r>
      <w:proofErr w:type="spellStart"/>
      <w:r w:rsidRPr="006F40E4">
        <w:rPr>
          <w:rFonts w:ascii="Book Antiqua" w:eastAsia="宋体" w:hAnsi="Book Antiqua" w:cs="宋体"/>
          <w:sz w:val="24"/>
          <w:szCs w:val="24"/>
          <w:lang w:eastAsia="zh-CN"/>
        </w:rPr>
        <w:t>Jeong</w:t>
      </w:r>
      <w:proofErr w:type="spellEnd"/>
      <w:r w:rsidRPr="006F40E4">
        <w:rPr>
          <w:rFonts w:ascii="Book Antiqua" w:eastAsia="宋体" w:hAnsi="Book Antiqua" w:cs="宋体"/>
          <w:sz w:val="24"/>
          <w:szCs w:val="24"/>
          <w:lang w:eastAsia="zh-CN"/>
        </w:rPr>
        <w:t xml:space="preserve"> JS, Kim DS, Kim SW, </w:t>
      </w:r>
      <w:proofErr w:type="spellStart"/>
      <w:r w:rsidRPr="006F40E4">
        <w:rPr>
          <w:rFonts w:ascii="Book Antiqua" w:eastAsia="宋体" w:hAnsi="Book Antiqua" w:cs="宋体"/>
          <w:sz w:val="24"/>
          <w:szCs w:val="24"/>
          <w:lang w:eastAsia="zh-CN"/>
        </w:rPr>
        <w:t>Kwak</w:t>
      </w:r>
      <w:proofErr w:type="spellEnd"/>
      <w:r w:rsidRPr="006F40E4">
        <w:rPr>
          <w:rFonts w:ascii="Book Antiqua" w:eastAsia="宋体" w:hAnsi="Book Antiqua" w:cs="宋体"/>
          <w:sz w:val="24"/>
          <w:szCs w:val="24"/>
          <w:lang w:eastAsia="zh-CN"/>
        </w:rPr>
        <w:t xml:space="preserve"> DM, Hwang JS, Kim HJ, Park MW, Shim MC, Koo JI, Kim JH, Shon DH. </w:t>
      </w:r>
      <w:proofErr w:type="gramStart"/>
      <w:r w:rsidRPr="006F40E4">
        <w:rPr>
          <w:rFonts w:ascii="Book Antiqua" w:eastAsia="宋体" w:hAnsi="Book Antiqua" w:cs="宋体"/>
          <w:sz w:val="24"/>
          <w:szCs w:val="24"/>
          <w:lang w:eastAsia="zh-CN"/>
        </w:rPr>
        <w:t xml:space="preserve">Effectiveness of Sodium </w:t>
      </w:r>
      <w:proofErr w:type="spellStart"/>
      <w:r w:rsidRPr="006F40E4">
        <w:rPr>
          <w:rFonts w:ascii="Book Antiqua" w:eastAsia="宋体" w:hAnsi="Book Antiqua" w:cs="宋体"/>
          <w:sz w:val="24"/>
          <w:szCs w:val="24"/>
          <w:lang w:eastAsia="zh-CN"/>
        </w:rPr>
        <w:t>Picosulfate</w:t>
      </w:r>
      <w:proofErr w:type="spellEnd"/>
      <w:r w:rsidRPr="006F40E4">
        <w:rPr>
          <w:rFonts w:ascii="Book Antiqua" w:eastAsia="宋体" w:hAnsi="Book Antiqua" w:cs="宋体"/>
          <w:sz w:val="24"/>
          <w:szCs w:val="24"/>
          <w:lang w:eastAsia="zh-CN"/>
        </w:rPr>
        <w:t>/Magnesium Citrate (PICO) for Colonoscopy Preparation.</w:t>
      </w:r>
      <w:proofErr w:type="gramEnd"/>
      <w:r w:rsidRPr="006F40E4">
        <w:rPr>
          <w:rFonts w:ascii="Book Antiqua" w:eastAsia="宋体" w:hAnsi="Book Antiqua" w:cs="宋体"/>
          <w:sz w:val="24"/>
          <w:szCs w:val="24"/>
          <w:lang w:eastAsia="zh-CN"/>
        </w:rPr>
        <w:t xml:space="preserve"> </w:t>
      </w:r>
      <w:r w:rsidRPr="006F40E4">
        <w:rPr>
          <w:rFonts w:ascii="Book Antiqua" w:eastAsia="宋体" w:hAnsi="Book Antiqua" w:cs="宋体"/>
          <w:i/>
          <w:iCs/>
          <w:sz w:val="24"/>
          <w:szCs w:val="24"/>
          <w:lang w:eastAsia="zh-CN"/>
        </w:rPr>
        <w:t xml:space="preserve">Ann </w:t>
      </w:r>
      <w:proofErr w:type="spellStart"/>
      <w:r w:rsidRPr="006F40E4">
        <w:rPr>
          <w:rFonts w:ascii="Book Antiqua" w:eastAsia="宋体" w:hAnsi="Book Antiqua" w:cs="宋体"/>
          <w:i/>
          <w:iCs/>
          <w:sz w:val="24"/>
          <w:szCs w:val="24"/>
          <w:lang w:eastAsia="zh-CN"/>
        </w:rPr>
        <w:t>Coloproctol</w:t>
      </w:r>
      <w:proofErr w:type="spellEnd"/>
      <w:r w:rsidRPr="006F40E4">
        <w:rPr>
          <w:rFonts w:ascii="Book Antiqua" w:eastAsia="宋体" w:hAnsi="Book Antiqua" w:cs="宋体"/>
          <w:sz w:val="24"/>
          <w:szCs w:val="24"/>
          <w:lang w:eastAsia="zh-CN"/>
        </w:rPr>
        <w:t xml:space="preserve"> 2014; </w:t>
      </w:r>
      <w:r w:rsidRPr="006F40E4">
        <w:rPr>
          <w:rFonts w:ascii="Book Antiqua" w:eastAsia="宋体" w:hAnsi="Book Antiqua" w:cs="宋体"/>
          <w:b/>
          <w:bCs/>
          <w:sz w:val="24"/>
          <w:szCs w:val="24"/>
          <w:lang w:eastAsia="zh-CN"/>
        </w:rPr>
        <w:t>30</w:t>
      </w:r>
      <w:r w:rsidRPr="006F40E4">
        <w:rPr>
          <w:rFonts w:ascii="Book Antiqua" w:eastAsia="宋体" w:hAnsi="Book Antiqua" w:cs="宋体"/>
          <w:sz w:val="24"/>
          <w:szCs w:val="24"/>
          <w:lang w:eastAsia="zh-CN"/>
        </w:rPr>
        <w:t>: 222-227 [PMID: 25360429 DOI: 10.3393/ac.2014.30.5.222]</w:t>
      </w:r>
    </w:p>
    <w:p w:rsidR="006F40E4" w:rsidRPr="006F40E4" w:rsidRDefault="006F40E4" w:rsidP="006F40E4">
      <w:pPr>
        <w:spacing w:after="0" w:line="360" w:lineRule="auto"/>
        <w:jc w:val="both"/>
        <w:rPr>
          <w:rFonts w:ascii="Book Antiqua" w:eastAsia="宋体" w:hAnsi="Book Antiqua" w:cs="宋体"/>
          <w:sz w:val="24"/>
          <w:szCs w:val="24"/>
          <w:lang w:eastAsia="zh-CN"/>
        </w:rPr>
      </w:pPr>
      <w:proofErr w:type="gramStart"/>
      <w:r w:rsidRPr="006F40E4">
        <w:rPr>
          <w:rFonts w:ascii="Book Antiqua" w:eastAsia="宋体" w:hAnsi="Book Antiqua" w:cs="宋体"/>
          <w:sz w:val="24"/>
          <w:szCs w:val="24"/>
          <w:lang w:eastAsia="zh-CN"/>
        </w:rPr>
        <w:t xml:space="preserve">54 </w:t>
      </w:r>
      <w:r w:rsidRPr="006F40E4">
        <w:rPr>
          <w:rFonts w:ascii="Book Antiqua" w:eastAsia="宋体" w:hAnsi="Book Antiqua" w:cs="宋体"/>
          <w:b/>
          <w:bCs/>
          <w:sz w:val="24"/>
          <w:szCs w:val="24"/>
          <w:lang w:eastAsia="zh-CN"/>
        </w:rPr>
        <w:t>Rex DK</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DiPalma</w:t>
      </w:r>
      <w:proofErr w:type="spellEnd"/>
      <w:r w:rsidRPr="006F40E4">
        <w:rPr>
          <w:rFonts w:ascii="Book Antiqua" w:eastAsia="宋体" w:hAnsi="Book Antiqua" w:cs="宋体"/>
          <w:sz w:val="24"/>
          <w:szCs w:val="24"/>
          <w:lang w:eastAsia="zh-CN"/>
        </w:rPr>
        <w:t xml:space="preserve"> JA, McGowan J, Cleveland </w:t>
      </w:r>
      <w:proofErr w:type="spellStart"/>
      <w:r w:rsidRPr="006F40E4">
        <w:rPr>
          <w:rFonts w:ascii="Book Antiqua" w:eastAsia="宋体" w:hAnsi="Book Antiqua" w:cs="宋体"/>
          <w:sz w:val="24"/>
          <w:szCs w:val="24"/>
          <w:lang w:eastAsia="zh-CN"/>
        </w:rPr>
        <w:t>Mv</w:t>
      </w:r>
      <w:proofErr w:type="spellEnd"/>
      <w:r w:rsidRPr="006F40E4">
        <w:rPr>
          <w:rFonts w:ascii="Book Antiqua" w:eastAsia="宋体" w:hAnsi="Book Antiqua" w:cs="宋体"/>
          <w:sz w:val="24"/>
          <w:szCs w:val="24"/>
          <w:lang w:eastAsia="zh-CN"/>
        </w:rPr>
        <w:t>.</w:t>
      </w:r>
      <w:proofErr w:type="gramEnd"/>
      <w:r w:rsidRPr="006F40E4">
        <w:rPr>
          <w:rFonts w:ascii="Book Antiqua" w:eastAsia="宋体" w:hAnsi="Book Antiqua" w:cs="宋体"/>
          <w:sz w:val="24"/>
          <w:szCs w:val="24"/>
          <w:lang w:eastAsia="zh-CN"/>
        </w:rPr>
        <w:t xml:space="preserve"> A comparison of oral sulfate solution with sodium </w:t>
      </w:r>
      <w:proofErr w:type="spellStart"/>
      <w:r w:rsidRPr="006F40E4">
        <w:rPr>
          <w:rFonts w:ascii="Book Antiqua" w:eastAsia="宋体" w:hAnsi="Book Antiqua" w:cs="宋体"/>
          <w:sz w:val="24"/>
          <w:szCs w:val="24"/>
          <w:lang w:eastAsia="zh-CN"/>
        </w:rPr>
        <w:t>picosulfate</w:t>
      </w:r>
      <w:proofErr w:type="spellEnd"/>
      <w:r w:rsidRPr="006F40E4">
        <w:rPr>
          <w:rFonts w:ascii="Book Antiqua" w:eastAsia="宋体" w:hAnsi="Book Antiqua" w:cs="宋体"/>
          <w:sz w:val="24"/>
          <w:szCs w:val="24"/>
          <w:lang w:eastAsia="zh-CN"/>
        </w:rPr>
        <w:t xml:space="preserve">: magnesium citrate in split doses as bowel preparation for colonoscopy.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2014; </w:t>
      </w:r>
      <w:r w:rsidRPr="006F40E4">
        <w:rPr>
          <w:rFonts w:ascii="Book Antiqua" w:eastAsia="宋体" w:hAnsi="Book Antiqua" w:cs="宋体"/>
          <w:b/>
          <w:bCs/>
          <w:sz w:val="24"/>
          <w:szCs w:val="24"/>
          <w:lang w:eastAsia="zh-CN"/>
        </w:rPr>
        <w:t>80</w:t>
      </w:r>
      <w:r w:rsidRPr="006F40E4">
        <w:rPr>
          <w:rFonts w:ascii="Book Antiqua" w:eastAsia="宋体" w:hAnsi="Book Antiqua" w:cs="宋体"/>
          <w:sz w:val="24"/>
          <w:szCs w:val="24"/>
          <w:lang w:eastAsia="zh-CN"/>
        </w:rPr>
        <w:t>: 1113-1123 [PMID: 25028274 DOI: 10.1016/j.gie.2014.05.329]</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55 </w:t>
      </w:r>
      <w:proofErr w:type="spellStart"/>
      <w:r w:rsidRPr="006F40E4">
        <w:rPr>
          <w:rFonts w:ascii="Book Antiqua" w:eastAsia="宋体" w:hAnsi="Book Antiqua" w:cs="宋体"/>
          <w:b/>
          <w:bCs/>
          <w:sz w:val="24"/>
          <w:szCs w:val="24"/>
          <w:lang w:eastAsia="zh-CN"/>
        </w:rPr>
        <w:t>Aoun</w:t>
      </w:r>
      <w:proofErr w:type="spellEnd"/>
      <w:r w:rsidRPr="006F40E4">
        <w:rPr>
          <w:rFonts w:ascii="Book Antiqua" w:eastAsia="宋体" w:hAnsi="Book Antiqua" w:cs="宋体"/>
          <w:b/>
          <w:bCs/>
          <w:sz w:val="24"/>
          <w:szCs w:val="24"/>
          <w:lang w:eastAsia="zh-CN"/>
        </w:rPr>
        <w:t xml:space="preserve"> E</w:t>
      </w:r>
      <w:r w:rsidRPr="006F40E4">
        <w:rPr>
          <w:rFonts w:ascii="Book Antiqua" w:eastAsia="宋体" w:hAnsi="Book Antiqua" w:cs="宋体"/>
          <w:sz w:val="24"/>
          <w:szCs w:val="24"/>
          <w:lang w:eastAsia="zh-CN"/>
        </w:rPr>
        <w:t>, Abdul-</w:t>
      </w:r>
      <w:proofErr w:type="spellStart"/>
      <w:r w:rsidRPr="006F40E4">
        <w:rPr>
          <w:rFonts w:ascii="Book Antiqua" w:eastAsia="宋体" w:hAnsi="Book Antiqua" w:cs="宋体"/>
          <w:sz w:val="24"/>
          <w:szCs w:val="24"/>
          <w:lang w:eastAsia="zh-CN"/>
        </w:rPr>
        <w:t>Baki</w:t>
      </w:r>
      <w:proofErr w:type="spellEnd"/>
      <w:r w:rsidRPr="006F40E4">
        <w:rPr>
          <w:rFonts w:ascii="Book Antiqua" w:eastAsia="宋体" w:hAnsi="Book Antiqua" w:cs="宋体"/>
          <w:sz w:val="24"/>
          <w:szCs w:val="24"/>
          <w:lang w:eastAsia="zh-CN"/>
        </w:rPr>
        <w:t xml:space="preserve"> H, </w:t>
      </w:r>
      <w:proofErr w:type="spellStart"/>
      <w:r w:rsidRPr="006F40E4">
        <w:rPr>
          <w:rFonts w:ascii="Book Antiqua" w:eastAsia="宋体" w:hAnsi="Book Antiqua" w:cs="宋体"/>
          <w:sz w:val="24"/>
          <w:szCs w:val="24"/>
          <w:lang w:eastAsia="zh-CN"/>
        </w:rPr>
        <w:t>Azar</w:t>
      </w:r>
      <w:proofErr w:type="spellEnd"/>
      <w:r w:rsidRPr="006F40E4">
        <w:rPr>
          <w:rFonts w:ascii="Book Antiqua" w:eastAsia="宋体" w:hAnsi="Book Antiqua" w:cs="宋体"/>
          <w:sz w:val="24"/>
          <w:szCs w:val="24"/>
          <w:lang w:eastAsia="zh-CN"/>
        </w:rPr>
        <w:t xml:space="preserve"> C, </w:t>
      </w:r>
      <w:proofErr w:type="spellStart"/>
      <w:r w:rsidRPr="006F40E4">
        <w:rPr>
          <w:rFonts w:ascii="Book Antiqua" w:eastAsia="宋体" w:hAnsi="Book Antiqua" w:cs="宋体"/>
          <w:sz w:val="24"/>
          <w:szCs w:val="24"/>
          <w:lang w:eastAsia="zh-CN"/>
        </w:rPr>
        <w:t>Mourad</w:t>
      </w:r>
      <w:proofErr w:type="spellEnd"/>
      <w:r w:rsidRPr="006F40E4">
        <w:rPr>
          <w:rFonts w:ascii="Book Antiqua" w:eastAsia="宋体" w:hAnsi="Book Antiqua" w:cs="宋体"/>
          <w:sz w:val="24"/>
          <w:szCs w:val="24"/>
          <w:lang w:eastAsia="zh-CN"/>
        </w:rPr>
        <w:t xml:space="preserve"> F, </w:t>
      </w:r>
      <w:proofErr w:type="spellStart"/>
      <w:r w:rsidRPr="006F40E4">
        <w:rPr>
          <w:rFonts w:ascii="Book Antiqua" w:eastAsia="宋体" w:hAnsi="Book Antiqua" w:cs="宋体"/>
          <w:sz w:val="24"/>
          <w:szCs w:val="24"/>
          <w:lang w:eastAsia="zh-CN"/>
        </w:rPr>
        <w:t>Barada</w:t>
      </w:r>
      <w:proofErr w:type="spellEnd"/>
      <w:r w:rsidRPr="006F40E4">
        <w:rPr>
          <w:rFonts w:ascii="Book Antiqua" w:eastAsia="宋体" w:hAnsi="Book Antiqua" w:cs="宋体"/>
          <w:sz w:val="24"/>
          <w:szCs w:val="24"/>
          <w:lang w:eastAsia="zh-CN"/>
        </w:rPr>
        <w:t xml:space="preserve"> K, </w:t>
      </w:r>
      <w:proofErr w:type="spellStart"/>
      <w:r w:rsidRPr="006F40E4">
        <w:rPr>
          <w:rFonts w:ascii="Book Antiqua" w:eastAsia="宋体" w:hAnsi="Book Antiqua" w:cs="宋体"/>
          <w:sz w:val="24"/>
          <w:szCs w:val="24"/>
          <w:lang w:eastAsia="zh-CN"/>
        </w:rPr>
        <w:t>Berro</w:t>
      </w:r>
      <w:proofErr w:type="spellEnd"/>
      <w:r w:rsidRPr="006F40E4">
        <w:rPr>
          <w:rFonts w:ascii="Book Antiqua" w:eastAsia="宋体" w:hAnsi="Book Antiqua" w:cs="宋体"/>
          <w:sz w:val="24"/>
          <w:szCs w:val="24"/>
          <w:lang w:eastAsia="zh-CN"/>
        </w:rPr>
        <w:t xml:space="preserve"> Z, </w:t>
      </w:r>
      <w:proofErr w:type="spellStart"/>
      <w:r w:rsidRPr="006F40E4">
        <w:rPr>
          <w:rFonts w:ascii="Book Antiqua" w:eastAsia="宋体" w:hAnsi="Book Antiqua" w:cs="宋体"/>
          <w:sz w:val="24"/>
          <w:szCs w:val="24"/>
          <w:lang w:eastAsia="zh-CN"/>
        </w:rPr>
        <w:t>Tarchichi</w:t>
      </w:r>
      <w:proofErr w:type="spellEnd"/>
      <w:r w:rsidRPr="006F40E4">
        <w:rPr>
          <w:rFonts w:ascii="Book Antiqua" w:eastAsia="宋体" w:hAnsi="Book Antiqua" w:cs="宋体"/>
          <w:sz w:val="24"/>
          <w:szCs w:val="24"/>
          <w:lang w:eastAsia="zh-CN"/>
        </w:rPr>
        <w:t xml:space="preserve"> M, </w:t>
      </w:r>
      <w:proofErr w:type="spellStart"/>
      <w:r w:rsidRPr="006F40E4">
        <w:rPr>
          <w:rFonts w:ascii="Book Antiqua" w:eastAsia="宋体" w:hAnsi="Book Antiqua" w:cs="宋体"/>
          <w:sz w:val="24"/>
          <w:szCs w:val="24"/>
          <w:lang w:eastAsia="zh-CN"/>
        </w:rPr>
        <w:t>Sharara</w:t>
      </w:r>
      <w:proofErr w:type="spellEnd"/>
      <w:r w:rsidRPr="006F40E4">
        <w:rPr>
          <w:rFonts w:ascii="Book Antiqua" w:eastAsia="宋体" w:hAnsi="Book Antiqua" w:cs="宋体"/>
          <w:sz w:val="24"/>
          <w:szCs w:val="24"/>
          <w:lang w:eastAsia="zh-CN"/>
        </w:rPr>
        <w:t xml:space="preserve"> AI. A randomized single-blind trial of split-dose PEG-electrolyte solution without dietary restriction compared with whole dose PEG-electrolyte solution with dietary restriction for colonoscopy preparation.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2005; </w:t>
      </w:r>
      <w:r w:rsidRPr="006F40E4">
        <w:rPr>
          <w:rFonts w:ascii="Book Antiqua" w:eastAsia="宋体" w:hAnsi="Book Antiqua" w:cs="宋体"/>
          <w:b/>
          <w:bCs/>
          <w:sz w:val="24"/>
          <w:szCs w:val="24"/>
          <w:lang w:eastAsia="zh-CN"/>
        </w:rPr>
        <w:t>62</w:t>
      </w:r>
      <w:r w:rsidRPr="006F40E4">
        <w:rPr>
          <w:rFonts w:ascii="Book Antiqua" w:eastAsia="宋体" w:hAnsi="Book Antiqua" w:cs="宋体"/>
          <w:sz w:val="24"/>
          <w:szCs w:val="24"/>
          <w:lang w:eastAsia="zh-CN"/>
        </w:rPr>
        <w:t>: 213-218 [PMID: 16046981]</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56 </w:t>
      </w:r>
      <w:proofErr w:type="spellStart"/>
      <w:r w:rsidRPr="006F40E4">
        <w:rPr>
          <w:rFonts w:ascii="Book Antiqua" w:eastAsia="宋体" w:hAnsi="Book Antiqua" w:cs="宋体"/>
          <w:b/>
          <w:bCs/>
          <w:sz w:val="24"/>
          <w:szCs w:val="24"/>
          <w:lang w:eastAsia="zh-CN"/>
        </w:rPr>
        <w:t>Marmo</w:t>
      </w:r>
      <w:proofErr w:type="spellEnd"/>
      <w:r w:rsidRPr="006F40E4">
        <w:rPr>
          <w:rFonts w:ascii="Book Antiqua" w:eastAsia="宋体" w:hAnsi="Book Antiqua" w:cs="宋体"/>
          <w:b/>
          <w:bCs/>
          <w:sz w:val="24"/>
          <w:szCs w:val="24"/>
          <w:lang w:eastAsia="zh-CN"/>
        </w:rPr>
        <w:t xml:space="preserve"> R</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Rotondano</w:t>
      </w:r>
      <w:proofErr w:type="spellEnd"/>
      <w:r w:rsidRPr="006F40E4">
        <w:rPr>
          <w:rFonts w:ascii="Book Antiqua" w:eastAsia="宋体" w:hAnsi="Book Antiqua" w:cs="宋体"/>
          <w:sz w:val="24"/>
          <w:szCs w:val="24"/>
          <w:lang w:eastAsia="zh-CN"/>
        </w:rPr>
        <w:t xml:space="preserve"> G, </w:t>
      </w:r>
      <w:proofErr w:type="spellStart"/>
      <w:r w:rsidRPr="006F40E4">
        <w:rPr>
          <w:rFonts w:ascii="Book Antiqua" w:eastAsia="宋体" w:hAnsi="Book Antiqua" w:cs="宋体"/>
          <w:sz w:val="24"/>
          <w:szCs w:val="24"/>
          <w:lang w:eastAsia="zh-CN"/>
        </w:rPr>
        <w:t>Riccio</w:t>
      </w:r>
      <w:proofErr w:type="spellEnd"/>
      <w:r w:rsidRPr="006F40E4">
        <w:rPr>
          <w:rFonts w:ascii="Book Antiqua" w:eastAsia="宋体" w:hAnsi="Book Antiqua" w:cs="宋体"/>
          <w:sz w:val="24"/>
          <w:szCs w:val="24"/>
          <w:lang w:eastAsia="zh-CN"/>
        </w:rPr>
        <w:t xml:space="preserve"> G, </w:t>
      </w:r>
      <w:proofErr w:type="spellStart"/>
      <w:r w:rsidRPr="006F40E4">
        <w:rPr>
          <w:rFonts w:ascii="Book Antiqua" w:eastAsia="宋体" w:hAnsi="Book Antiqua" w:cs="宋体"/>
          <w:sz w:val="24"/>
          <w:szCs w:val="24"/>
          <w:lang w:eastAsia="zh-CN"/>
        </w:rPr>
        <w:t>Marone</w:t>
      </w:r>
      <w:proofErr w:type="spellEnd"/>
      <w:r w:rsidRPr="006F40E4">
        <w:rPr>
          <w:rFonts w:ascii="Book Antiqua" w:eastAsia="宋体" w:hAnsi="Book Antiqua" w:cs="宋体"/>
          <w:sz w:val="24"/>
          <w:szCs w:val="24"/>
          <w:lang w:eastAsia="zh-CN"/>
        </w:rPr>
        <w:t xml:space="preserve"> A, </w:t>
      </w:r>
      <w:proofErr w:type="spellStart"/>
      <w:r w:rsidRPr="006F40E4">
        <w:rPr>
          <w:rFonts w:ascii="Book Antiqua" w:eastAsia="宋体" w:hAnsi="Book Antiqua" w:cs="宋体"/>
          <w:sz w:val="24"/>
          <w:szCs w:val="24"/>
          <w:lang w:eastAsia="zh-CN"/>
        </w:rPr>
        <w:t>Bianco</w:t>
      </w:r>
      <w:proofErr w:type="spellEnd"/>
      <w:r w:rsidRPr="006F40E4">
        <w:rPr>
          <w:rFonts w:ascii="Book Antiqua" w:eastAsia="宋体" w:hAnsi="Book Antiqua" w:cs="宋体"/>
          <w:sz w:val="24"/>
          <w:szCs w:val="24"/>
          <w:lang w:eastAsia="zh-CN"/>
        </w:rPr>
        <w:t xml:space="preserve"> MA, </w:t>
      </w:r>
      <w:proofErr w:type="spellStart"/>
      <w:r w:rsidRPr="006F40E4">
        <w:rPr>
          <w:rFonts w:ascii="Book Antiqua" w:eastAsia="宋体" w:hAnsi="Book Antiqua" w:cs="宋体"/>
          <w:sz w:val="24"/>
          <w:szCs w:val="24"/>
          <w:lang w:eastAsia="zh-CN"/>
        </w:rPr>
        <w:t>Stroppa</w:t>
      </w:r>
      <w:proofErr w:type="spellEnd"/>
      <w:r w:rsidRPr="006F40E4">
        <w:rPr>
          <w:rFonts w:ascii="Book Antiqua" w:eastAsia="宋体" w:hAnsi="Book Antiqua" w:cs="宋体"/>
          <w:sz w:val="24"/>
          <w:szCs w:val="24"/>
          <w:lang w:eastAsia="zh-CN"/>
        </w:rPr>
        <w:t xml:space="preserve"> I, Caruso A, </w:t>
      </w:r>
      <w:proofErr w:type="spellStart"/>
      <w:r w:rsidRPr="006F40E4">
        <w:rPr>
          <w:rFonts w:ascii="Book Antiqua" w:eastAsia="宋体" w:hAnsi="Book Antiqua" w:cs="宋体"/>
          <w:sz w:val="24"/>
          <w:szCs w:val="24"/>
          <w:lang w:eastAsia="zh-CN"/>
        </w:rPr>
        <w:t>Pandolfo</w:t>
      </w:r>
      <w:proofErr w:type="spellEnd"/>
      <w:r w:rsidRPr="006F40E4">
        <w:rPr>
          <w:rFonts w:ascii="Book Antiqua" w:eastAsia="宋体" w:hAnsi="Book Antiqua" w:cs="宋体"/>
          <w:sz w:val="24"/>
          <w:szCs w:val="24"/>
          <w:lang w:eastAsia="zh-CN"/>
        </w:rPr>
        <w:t xml:space="preserve"> N, </w:t>
      </w:r>
      <w:proofErr w:type="spellStart"/>
      <w:r w:rsidRPr="006F40E4">
        <w:rPr>
          <w:rFonts w:ascii="Book Antiqua" w:eastAsia="宋体" w:hAnsi="Book Antiqua" w:cs="宋体"/>
          <w:sz w:val="24"/>
          <w:szCs w:val="24"/>
          <w:lang w:eastAsia="zh-CN"/>
        </w:rPr>
        <w:t>Sansone</w:t>
      </w:r>
      <w:proofErr w:type="spellEnd"/>
      <w:r w:rsidRPr="006F40E4">
        <w:rPr>
          <w:rFonts w:ascii="Book Antiqua" w:eastAsia="宋体" w:hAnsi="Book Antiqua" w:cs="宋体"/>
          <w:sz w:val="24"/>
          <w:szCs w:val="24"/>
          <w:lang w:eastAsia="zh-CN"/>
        </w:rPr>
        <w:t xml:space="preserve"> S, Gregorio E, </w:t>
      </w:r>
      <w:proofErr w:type="spellStart"/>
      <w:r w:rsidRPr="006F40E4">
        <w:rPr>
          <w:rFonts w:ascii="Book Antiqua" w:eastAsia="宋体" w:hAnsi="Book Antiqua" w:cs="宋体"/>
          <w:sz w:val="24"/>
          <w:szCs w:val="24"/>
          <w:lang w:eastAsia="zh-CN"/>
        </w:rPr>
        <w:t>D'Alvano</w:t>
      </w:r>
      <w:proofErr w:type="spellEnd"/>
      <w:r w:rsidRPr="006F40E4">
        <w:rPr>
          <w:rFonts w:ascii="Book Antiqua" w:eastAsia="宋体" w:hAnsi="Book Antiqua" w:cs="宋体"/>
          <w:sz w:val="24"/>
          <w:szCs w:val="24"/>
          <w:lang w:eastAsia="zh-CN"/>
        </w:rPr>
        <w:t xml:space="preserve"> G, </w:t>
      </w:r>
      <w:proofErr w:type="spellStart"/>
      <w:r w:rsidRPr="006F40E4">
        <w:rPr>
          <w:rFonts w:ascii="Book Antiqua" w:eastAsia="宋体" w:hAnsi="Book Antiqua" w:cs="宋体"/>
          <w:sz w:val="24"/>
          <w:szCs w:val="24"/>
          <w:lang w:eastAsia="zh-CN"/>
        </w:rPr>
        <w:t>Procaccio</w:t>
      </w:r>
      <w:proofErr w:type="spellEnd"/>
      <w:r w:rsidRPr="006F40E4">
        <w:rPr>
          <w:rFonts w:ascii="Book Antiqua" w:eastAsia="宋体" w:hAnsi="Book Antiqua" w:cs="宋体"/>
          <w:sz w:val="24"/>
          <w:szCs w:val="24"/>
          <w:lang w:eastAsia="zh-CN"/>
        </w:rPr>
        <w:t xml:space="preserve"> N, Capo P, </w:t>
      </w:r>
      <w:proofErr w:type="spellStart"/>
      <w:r w:rsidRPr="006F40E4">
        <w:rPr>
          <w:rFonts w:ascii="Book Antiqua" w:eastAsia="宋体" w:hAnsi="Book Antiqua" w:cs="宋体"/>
          <w:sz w:val="24"/>
          <w:szCs w:val="24"/>
          <w:lang w:eastAsia="zh-CN"/>
        </w:rPr>
        <w:t>Marmo</w:t>
      </w:r>
      <w:proofErr w:type="spellEnd"/>
      <w:r w:rsidRPr="006F40E4">
        <w:rPr>
          <w:rFonts w:ascii="Book Antiqua" w:eastAsia="宋体" w:hAnsi="Book Antiqua" w:cs="宋体"/>
          <w:sz w:val="24"/>
          <w:szCs w:val="24"/>
          <w:lang w:eastAsia="zh-CN"/>
        </w:rPr>
        <w:t xml:space="preserve"> C, </w:t>
      </w:r>
      <w:proofErr w:type="spellStart"/>
      <w:r w:rsidRPr="006F40E4">
        <w:rPr>
          <w:rFonts w:ascii="Book Antiqua" w:eastAsia="宋体" w:hAnsi="Book Antiqua" w:cs="宋体"/>
          <w:sz w:val="24"/>
          <w:szCs w:val="24"/>
          <w:lang w:eastAsia="zh-CN"/>
        </w:rPr>
        <w:lastRenderedPageBreak/>
        <w:t>Cipolletta</w:t>
      </w:r>
      <w:proofErr w:type="spellEnd"/>
      <w:r w:rsidRPr="006F40E4">
        <w:rPr>
          <w:rFonts w:ascii="Book Antiqua" w:eastAsia="宋体" w:hAnsi="Book Antiqua" w:cs="宋体"/>
          <w:sz w:val="24"/>
          <w:szCs w:val="24"/>
          <w:lang w:eastAsia="zh-CN"/>
        </w:rPr>
        <w:t xml:space="preserve"> L. Effective bowel cleansing before colonoscopy: a randomized study of split-dosage versus non-split dosage regimens of high-volume versus low-volume polyethylene glycol solutions.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2010; </w:t>
      </w:r>
      <w:r w:rsidRPr="006F40E4">
        <w:rPr>
          <w:rFonts w:ascii="Book Antiqua" w:eastAsia="宋体" w:hAnsi="Book Antiqua" w:cs="宋体"/>
          <w:b/>
          <w:bCs/>
          <w:sz w:val="24"/>
          <w:szCs w:val="24"/>
          <w:lang w:eastAsia="zh-CN"/>
        </w:rPr>
        <w:t>72</w:t>
      </w:r>
      <w:r w:rsidRPr="006F40E4">
        <w:rPr>
          <w:rFonts w:ascii="Book Antiqua" w:eastAsia="宋体" w:hAnsi="Book Antiqua" w:cs="宋体"/>
          <w:sz w:val="24"/>
          <w:szCs w:val="24"/>
          <w:lang w:eastAsia="zh-CN"/>
        </w:rPr>
        <w:t>: 313-320 [PMID: 20561621 DOI: 10.1016/j.gie.2010.02.048]</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57 </w:t>
      </w:r>
      <w:r w:rsidR="004E37AB" w:rsidRPr="00A7194B">
        <w:rPr>
          <w:rFonts w:ascii="Book Antiqua" w:hAnsi="Book Antiqua"/>
          <w:b/>
          <w:sz w:val="24"/>
          <w:szCs w:val="24"/>
        </w:rPr>
        <w:t>Cohen B</w:t>
      </w:r>
      <w:r w:rsidR="004E37AB" w:rsidRPr="00A7194B">
        <w:rPr>
          <w:rFonts w:ascii="Book Antiqua" w:hAnsi="Book Antiqua"/>
          <w:sz w:val="24"/>
          <w:szCs w:val="24"/>
        </w:rPr>
        <w:t xml:space="preserve">, Tang RS, </w:t>
      </w:r>
      <w:proofErr w:type="spellStart"/>
      <w:r w:rsidR="004E37AB" w:rsidRPr="00A7194B">
        <w:rPr>
          <w:rFonts w:ascii="Book Antiqua" w:hAnsi="Book Antiqua"/>
          <w:sz w:val="24"/>
          <w:szCs w:val="24"/>
        </w:rPr>
        <w:t>Groessl</w:t>
      </w:r>
      <w:proofErr w:type="spellEnd"/>
      <w:r w:rsidR="004E37AB" w:rsidRPr="00A7194B">
        <w:rPr>
          <w:rFonts w:ascii="Book Antiqua" w:hAnsi="Book Antiqua"/>
          <w:sz w:val="24"/>
          <w:szCs w:val="24"/>
        </w:rPr>
        <w:t xml:space="preserve"> E, Herrin A, Ho SB</w:t>
      </w:r>
      <w:r w:rsidRPr="006F40E4">
        <w:rPr>
          <w:rFonts w:ascii="Book Antiqua" w:eastAsia="宋体" w:hAnsi="Book Antiqua" w:cs="宋体"/>
          <w:sz w:val="24"/>
          <w:szCs w:val="24"/>
          <w:lang w:eastAsia="zh-CN"/>
        </w:rPr>
        <w:t xml:space="preserve">. Effectiveness of a simplified "patient friendly" split dose polyethylene glycol colonoscopy prep in Veterans Health Administration patients. </w:t>
      </w:r>
      <w:r w:rsidRPr="006F40E4">
        <w:rPr>
          <w:rFonts w:ascii="Book Antiqua" w:eastAsia="宋体" w:hAnsi="Book Antiqua" w:cs="宋体"/>
          <w:i/>
          <w:iCs/>
          <w:sz w:val="24"/>
          <w:szCs w:val="24"/>
          <w:lang w:eastAsia="zh-CN"/>
        </w:rPr>
        <w:t xml:space="preserve">J </w:t>
      </w:r>
      <w:proofErr w:type="spellStart"/>
      <w:r w:rsidRPr="006F40E4">
        <w:rPr>
          <w:rFonts w:ascii="Book Antiqua" w:eastAsia="宋体" w:hAnsi="Book Antiqua" w:cs="宋体"/>
          <w:i/>
          <w:iCs/>
          <w:sz w:val="24"/>
          <w:szCs w:val="24"/>
          <w:lang w:eastAsia="zh-CN"/>
        </w:rPr>
        <w:t>Interv</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2012; </w:t>
      </w:r>
      <w:r w:rsidRPr="006F40E4">
        <w:rPr>
          <w:rFonts w:ascii="Book Antiqua" w:eastAsia="宋体" w:hAnsi="Book Antiqua" w:cs="宋体"/>
          <w:b/>
          <w:bCs/>
          <w:sz w:val="24"/>
          <w:szCs w:val="24"/>
          <w:lang w:eastAsia="zh-CN"/>
        </w:rPr>
        <w:t>2</w:t>
      </w:r>
      <w:r w:rsidRPr="006F40E4">
        <w:rPr>
          <w:rFonts w:ascii="Book Antiqua" w:eastAsia="宋体" w:hAnsi="Book Antiqua" w:cs="宋体"/>
          <w:sz w:val="24"/>
          <w:szCs w:val="24"/>
          <w:lang w:eastAsia="zh-CN"/>
        </w:rPr>
        <w:t>: 177-182 [PMID: 23687605]</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58 </w:t>
      </w:r>
      <w:r w:rsidRPr="006F40E4">
        <w:rPr>
          <w:rFonts w:ascii="Book Antiqua" w:eastAsia="宋体" w:hAnsi="Book Antiqua" w:cs="宋体"/>
          <w:b/>
          <w:bCs/>
          <w:sz w:val="24"/>
          <w:szCs w:val="24"/>
          <w:lang w:eastAsia="zh-CN"/>
        </w:rPr>
        <w:t>Kilgore TW</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Abdinoor</w:t>
      </w:r>
      <w:proofErr w:type="spellEnd"/>
      <w:r w:rsidRPr="006F40E4">
        <w:rPr>
          <w:rFonts w:ascii="Book Antiqua" w:eastAsia="宋体" w:hAnsi="Book Antiqua" w:cs="宋体"/>
          <w:sz w:val="24"/>
          <w:szCs w:val="24"/>
          <w:lang w:eastAsia="zh-CN"/>
        </w:rPr>
        <w:t xml:space="preserve"> AA, </w:t>
      </w:r>
      <w:proofErr w:type="spellStart"/>
      <w:r w:rsidRPr="006F40E4">
        <w:rPr>
          <w:rFonts w:ascii="Book Antiqua" w:eastAsia="宋体" w:hAnsi="Book Antiqua" w:cs="宋体"/>
          <w:sz w:val="24"/>
          <w:szCs w:val="24"/>
          <w:lang w:eastAsia="zh-CN"/>
        </w:rPr>
        <w:t>Szary</w:t>
      </w:r>
      <w:proofErr w:type="spellEnd"/>
      <w:r w:rsidRPr="006F40E4">
        <w:rPr>
          <w:rFonts w:ascii="Book Antiqua" w:eastAsia="宋体" w:hAnsi="Book Antiqua" w:cs="宋体"/>
          <w:sz w:val="24"/>
          <w:szCs w:val="24"/>
          <w:lang w:eastAsia="zh-CN"/>
        </w:rPr>
        <w:t xml:space="preserve"> NM, </w:t>
      </w:r>
      <w:proofErr w:type="spellStart"/>
      <w:r w:rsidRPr="006F40E4">
        <w:rPr>
          <w:rFonts w:ascii="Book Antiqua" w:eastAsia="宋体" w:hAnsi="Book Antiqua" w:cs="宋体"/>
          <w:sz w:val="24"/>
          <w:szCs w:val="24"/>
          <w:lang w:eastAsia="zh-CN"/>
        </w:rPr>
        <w:t>Schowengerdt</w:t>
      </w:r>
      <w:proofErr w:type="spellEnd"/>
      <w:r w:rsidRPr="006F40E4">
        <w:rPr>
          <w:rFonts w:ascii="Book Antiqua" w:eastAsia="宋体" w:hAnsi="Book Antiqua" w:cs="宋体"/>
          <w:sz w:val="24"/>
          <w:szCs w:val="24"/>
          <w:lang w:eastAsia="zh-CN"/>
        </w:rPr>
        <w:t xml:space="preserve"> SW, </w:t>
      </w:r>
      <w:proofErr w:type="spellStart"/>
      <w:r w:rsidRPr="006F40E4">
        <w:rPr>
          <w:rFonts w:ascii="Book Antiqua" w:eastAsia="宋体" w:hAnsi="Book Antiqua" w:cs="宋体"/>
          <w:sz w:val="24"/>
          <w:szCs w:val="24"/>
          <w:lang w:eastAsia="zh-CN"/>
        </w:rPr>
        <w:t>Yust</w:t>
      </w:r>
      <w:proofErr w:type="spellEnd"/>
      <w:r w:rsidRPr="006F40E4">
        <w:rPr>
          <w:rFonts w:ascii="Book Antiqua" w:eastAsia="宋体" w:hAnsi="Book Antiqua" w:cs="宋体"/>
          <w:sz w:val="24"/>
          <w:szCs w:val="24"/>
          <w:lang w:eastAsia="zh-CN"/>
        </w:rPr>
        <w:t xml:space="preserve"> JB, </w:t>
      </w:r>
      <w:proofErr w:type="spellStart"/>
      <w:r w:rsidRPr="006F40E4">
        <w:rPr>
          <w:rFonts w:ascii="Book Antiqua" w:eastAsia="宋体" w:hAnsi="Book Antiqua" w:cs="宋体"/>
          <w:sz w:val="24"/>
          <w:szCs w:val="24"/>
          <w:lang w:eastAsia="zh-CN"/>
        </w:rPr>
        <w:t>Choudhary</w:t>
      </w:r>
      <w:proofErr w:type="spellEnd"/>
      <w:r w:rsidRPr="006F40E4">
        <w:rPr>
          <w:rFonts w:ascii="Book Antiqua" w:eastAsia="宋体" w:hAnsi="Book Antiqua" w:cs="宋体"/>
          <w:sz w:val="24"/>
          <w:szCs w:val="24"/>
          <w:lang w:eastAsia="zh-CN"/>
        </w:rPr>
        <w:t xml:space="preserve"> A, Matteson ML, Puli SR, Marshall JB, </w:t>
      </w:r>
      <w:proofErr w:type="spellStart"/>
      <w:r w:rsidRPr="006F40E4">
        <w:rPr>
          <w:rFonts w:ascii="Book Antiqua" w:eastAsia="宋体" w:hAnsi="Book Antiqua" w:cs="宋体"/>
          <w:sz w:val="24"/>
          <w:szCs w:val="24"/>
          <w:lang w:eastAsia="zh-CN"/>
        </w:rPr>
        <w:t>Bechtold</w:t>
      </w:r>
      <w:proofErr w:type="spellEnd"/>
      <w:r w:rsidRPr="006F40E4">
        <w:rPr>
          <w:rFonts w:ascii="Book Antiqua" w:eastAsia="宋体" w:hAnsi="Book Antiqua" w:cs="宋体"/>
          <w:sz w:val="24"/>
          <w:szCs w:val="24"/>
          <w:lang w:eastAsia="zh-CN"/>
        </w:rPr>
        <w:t xml:space="preserve"> ML. Bowel preparation with split-dose polyethylene glycol before colonoscopy: a meta-analysis of randomized controlled trials.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2011; </w:t>
      </w:r>
      <w:r w:rsidRPr="006F40E4">
        <w:rPr>
          <w:rFonts w:ascii="Book Antiqua" w:eastAsia="宋体" w:hAnsi="Book Antiqua" w:cs="宋体"/>
          <w:b/>
          <w:bCs/>
          <w:sz w:val="24"/>
          <w:szCs w:val="24"/>
          <w:lang w:eastAsia="zh-CN"/>
        </w:rPr>
        <w:t>73</w:t>
      </w:r>
      <w:r w:rsidRPr="006F40E4">
        <w:rPr>
          <w:rFonts w:ascii="Book Antiqua" w:eastAsia="宋体" w:hAnsi="Book Antiqua" w:cs="宋体"/>
          <w:sz w:val="24"/>
          <w:szCs w:val="24"/>
          <w:lang w:eastAsia="zh-CN"/>
        </w:rPr>
        <w:t>: 1240-1245 [PMID: 21628016 DOI: 10.1016/j.gie.2011.02.007]</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59 </w:t>
      </w:r>
      <w:r w:rsidRPr="006F40E4">
        <w:rPr>
          <w:rFonts w:ascii="Book Antiqua" w:eastAsia="宋体" w:hAnsi="Book Antiqua" w:cs="宋体"/>
          <w:b/>
          <w:bCs/>
          <w:sz w:val="24"/>
          <w:szCs w:val="24"/>
          <w:lang w:eastAsia="zh-CN"/>
        </w:rPr>
        <w:t>Martel M</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Barkun</w:t>
      </w:r>
      <w:proofErr w:type="spellEnd"/>
      <w:r w:rsidRPr="006F40E4">
        <w:rPr>
          <w:rFonts w:ascii="Book Antiqua" w:eastAsia="宋体" w:hAnsi="Book Antiqua" w:cs="宋体"/>
          <w:sz w:val="24"/>
          <w:szCs w:val="24"/>
          <w:lang w:eastAsia="zh-CN"/>
        </w:rPr>
        <w:t xml:space="preserve"> AN, Menard C, </w:t>
      </w:r>
      <w:proofErr w:type="spellStart"/>
      <w:r w:rsidRPr="006F40E4">
        <w:rPr>
          <w:rFonts w:ascii="Book Antiqua" w:eastAsia="宋体" w:hAnsi="Book Antiqua" w:cs="宋体"/>
          <w:sz w:val="24"/>
          <w:szCs w:val="24"/>
          <w:lang w:eastAsia="zh-CN"/>
        </w:rPr>
        <w:t>Restellini</w:t>
      </w:r>
      <w:proofErr w:type="spellEnd"/>
      <w:r w:rsidRPr="006F40E4">
        <w:rPr>
          <w:rFonts w:ascii="Book Antiqua" w:eastAsia="宋体" w:hAnsi="Book Antiqua" w:cs="宋体"/>
          <w:sz w:val="24"/>
          <w:szCs w:val="24"/>
          <w:lang w:eastAsia="zh-CN"/>
        </w:rPr>
        <w:t xml:space="preserve"> S, </w:t>
      </w:r>
      <w:proofErr w:type="spellStart"/>
      <w:r w:rsidRPr="006F40E4">
        <w:rPr>
          <w:rFonts w:ascii="Book Antiqua" w:eastAsia="宋体" w:hAnsi="Book Antiqua" w:cs="宋体"/>
          <w:sz w:val="24"/>
          <w:szCs w:val="24"/>
          <w:lang w:eastAsia="zh-CN"/>
        </w:rPr>
        <w:t>Kherad</w:t>
      </w:r>
      <w:proofErr w:type="spellEnd"/>
      <w:r w:rsidRPr="006F40E4">
        <w:rPr>
          <w:rFonts w:ascii="Book Antiqua" w:eastAsia="宋体" w:hAnsi="Book Antiqua" w:cs="宋体"/>
          <w:sz w:val="24"/>
          <w:szCs w:val="24"/>
          <w:lang w:eastAsia="zh-CN"/>
        </w:rPr>
        <w:t xml:space="preserve"> O, </w:t>
      </w:r>
      <w:proofErr w:type="spellStart"/>
      <w:r w:rsidRPr="006F40E4">
        <w:rPr>
          <w:rFonts w:ascii="Book Antiqua" w:eastAsia="宋体" w:hAnsi="Book Antiqua" w:cs="宋体"/>
          <w:sz w:val="24"/>
          <w:szCs w:val="24"/>
          <w:lang w:eastAsia="zh-CN"/>
        </w:rPr>
        <w:t>Vanasse</w:t>
      </w:r>
      <w:proofErr w:type="spellEnd"/>
      <w:r w:rsidRPr="006F40E4">
        <w:rPr>
          <w:rFonts w:ascii="Book Antiqua" w:eastAsia="宋体" w:hAnsi="Book Antiqua" w:cs="宋体"/>
          <w:sz w:val="24"/>
          <w:szCs w:val="24"/>
          <w:lang w:eastAsia="zh-CN"/>
        </w:rPr>
        <w:t xml:space="preserve"> A. Split-Dose Preparations Are Superior to Day-Before Bowel Cleansing Regimens: A Meta-analysis. </w:t>
      </w:r>
      <w:r w:rsidRPr="006F40E4">
        <w:rPr>
          <w:rFonts w:ascii="Book Antiqua" w:eastAsia="宋体" w:hAnsi="Book Antiqua" w:cs="宋体"/>
          <w:i/>
          <w:iCs/>
          <w:sz w:val="24"/>
          <w:szCs w:val="24"/>
          <w:lang w:eastAsia="zh-CN"/>
        </w:rPr>
        <w:t>Gastroenterology</w:t>
      </w:r>
      <w:r w:rsidRPr="006F40E4">
        <w:rPr>
          <w:rFonts w:ascii="Book Antiqua" w:eastAsia="宋体" w:hAnsi="Book Antiqua" w:cs="宋体"/>
          <w:sz w:val="24"/>
          <w:szCs w:val="24"/>
          <w:lang w:eastAsia="zh-CN"/>
        </w:rPr>
        <w:t xml:space="preserve"> 2015; </w:t>
      </w:r>
      <w:r w:rsidRPr="006F40E4">
        <w:rPr>
          <w:rFonts w:ascii="Book Antiqua" w:eastAsia="宋体" w:hAnsi="Book Antiqua" w:cs="宋体"/>
          <w:b/>
          <w:bCs/>
          <w:sz w:val="24"/>
          <w:szCs w:val="24"/>
          <w:lang w:eastAsia="zh-CN"/>
        </w:rPr>
        <w:t>149</w:t>
      </w:r>
      <w:r w:rsidRPr="006F40E4">
        <w:rPr>
          <w:rFonts w:ascii="Book Antiqua" w:eastAsia="宋体" w:hAnsi="Book Antiqua" w:cs="宋体"/>
          <w:sz w:val="24"/>
          <w:szCs w:val="24"/>
          <w:lang w:eastAsia="zh-CN"/>
        </w:rPr>
        <w:t>: 79-88 [PMID: 25863216 DOI: 10.1053/j.gastro.2015.04.004]</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60 </w:t>
      </w:r>
      <w:r w:rsidRPr="006F40E4">
        <w:rPr>
          <w:rFonts w:ascii="Book Antiqua" w:eastAsia="宋体" w:hAnsi="Book Antiqua" w:cs="宋体"/>
          <w:b/>
          <w:bCs/>
          <w:sz w:val="24"/>
          <w:szCs w:val="24"/>
          <w:lang w:eastAsia="zh-CN"/>
        </w:rPr>
        <w:t>Huffman M</w:t>
      </w:r>
      <w:r w:rsidRPr="006F40E4">
        <w:rPr>
          <w:rFonts w:ascii="Book Antiqua" w:eastAsia="宋体" w:hAnsi="Book Antiqua" w:cs="宋体"/>
          <w:sz w:val="24"/>
          <w:szCs w:val="24"/>
          <w:lang w:eastAsia="zh-CN"/>
        </w:rPr>
        <w:t xml:space="preserve">, Unger RZ, </w:t>
      </w:r>
      <w:proofErr w:type="spellStart"/>
      <w:r w:rsidRPr="006F40E4">
        <w:rPr>
          <w:rFonts w:ascii="Book Antiqua" w:eastAsia="宋体" w:hAnsi="Book Antiqua" w:cs="宋体"/>
          <w:sz w:val="24"/>
          <w:szCs w:val="24"/>
          <w:lang w:eastAsia="zh-CN"/>
        </w:rPr>
        <w:t>Thatikonda</w:t>
      </w:r>
      <w:proofErr w:type="spellEnd"/>
      <w:r w:rsidRPr="006F40E4">
        <w:rPr>
          <w:rFonts w:ascii="Book Antiqua" w:eastAsia="宋体" w:hAnsi="Book Antiqua" w:cs="宋体"/>
          <w:sz w:val="24"/>
          <w:szCs w:val="24"/>
          <w:lang w:eastAsia="zh-CN"/>
        </w:rPr>
        <w:t xml:space="preserve"> C, </w:t>
      </w:r>
      <w:proofErr w:type="spellStart"/>
      <w:r w:rsidRPr="006F40E4">
        <w:rPr>
          <w:rFonts w:ascii="Book Antiqua" w:eastAsia="宋体" w:hAnsi="Book Antiqua" w:cs="宋体"/>
          <w:sz w:val="24"/>
          <w:szCs w:val="24"/>
          <w:lang w:eastAsia="zh-CN"/>
        </w:rPr>
        <w:t>Amstutz</w:t>
      </w:r>
      <w:proofErr w:type="spellEnd"/>
      <w:r w:rsidRPr="006F40E4">
        <w:rPr>
          <w:rFonts w:ascii="Book Antiqua" w:eastAsia="宋体" w:hAnsi="Book Antiqua" w:cs="宋体"/>
          <w:sz w:val="24"/>
          <w:szCs w:val="24"/>
          <w:lang w:eastAsia="zh-CN"/>
        </w:rPr>
        <w:t xml:space="preserve"> S, Rex DK. Split-dose bowel preparation for colonoscopy and residual gastric fluid volume: an observational study.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2010; </w:t>
      </w:r>
      <w:r w:rsidRPr="006F40E4">
        <w:rPr>
          <w:rFonts w:ascii="Book Antiqua" w:eastAsia="宋体" w:hAnsi="Book Antiqua" w:cs="宋体"/>
          <w:b/>
          <w:bCs/>
          <w:sz w:val="24"/>
          <w:szCs w:val="24"/>
          <w:lang w:eastAsia="zh-CN"/>
        </w:rPr>
        <w:t>72</w:t>
      </w:r>
      <w:r w:rsidRPr="006F40E4">
        <w:rPr>
          <w:rFonts w:ascii="Book Antiqua" w:eastAsia="宋体" w:hAnsi="Book Antiqua" w:cs="宋体"/>
          <w:sz w:val="24"/>
          <w:szCs w:val="24"/>
          <w:lang w:eastAsia="zh-CN"/>
        </w:rPr>
        <w:t>: 516-522 [PMID: 20646700 DOI: 10.1016/j.gie.2010.03.1125]</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61 </w:t>
      </w:r>
      <w:proofErr w:type="spellStart"/>
      <w:r w:rsidRPr="006F40E4">
        <w:rPr>
          <w:rFonts w:ascii="Book Antiqua" w:eastAsia="宋体" w:hAnsi="Book Antiqua" w:cs="宋体"/>
          <w:b/>
          <w:bCs/>
          <w:sz w:val="24"/>
          <w:szCs w:val="24"/>
          <w:lang w:eastAsia="zh-CN"/>
        </w:rPr>
        <w:t>Seo</w:t>
      </w:r>
      <w:proofErr w:type="spellEnd"/>
      <w:r w:rsidRPr="006F40E4">
        <w:rPr>
          <w:rFonts w:ascii="Book Antiqua" w:eastAsia="宋体" w:hAnsi="Book Antiqua" w:cs="宋体"/>
          <w:b/>
          <w:bCs/>
          <w:sz w:val="24"/>
          <w:szCs w:val="24"/>
          <w:lang w:eastAsia="zh-CN"/>
        </w:rPr>
        <w:t xml:space="preserve"> EH</w:t>
      </w:r>
      <w:r w:rsidRPr="006F40E4">
        <w:rPr>
          <w:rFonts w:ascii="Book Antiqua" w:eastAsia="宋体" w:hAnsi="Book Antiqua" w:cs="宋体"/>
          <w:sz w:val="24"/>
          <w:szCs w:val="24"/>
          <w:lang w:eastAsia="zh-CN"/>
        </w:rPr>
        <w:t xml:space="preserve">, Kim TO, Park MJ, </w:t>
      </w:r>
      <w:proofErr w:type="spellStart"/>
      <w:r w:rsidRPr="006F40E4">
        <w:rPr>
          <w:rFonts w:ascii="Book Antiqua" w:eastAsia="宋体" w:hAnsi="Book Antiqua" w:cs="宋体"/>
          <w:sz w:val="24"/>
          <w:szCs w:val="24"/>
          <w:lang w:eastAsia="zh-CN"/>
        </w:rPr>
        <w:t>Joo</w:t>
      </w:r>
      <w:proofErr w:type="spellEnd"/>
      <w:r w:rsidRPr="006F40E4">
        <w:rPr>
          <w:rFonts w:ascii="Book Antiqua" w:eastAsia="宋体" w:hAnsi="Book Antiqua" w:cs="宋体"/>
          <w:sz w:val="24"/>
          <w:szCs w:val="24"/>
          <w:lang w:eastAsia="zh-CN"/>
        </w:rPr>
        <w:t xml:space="preserve"> HR, </w:t>
      </w:r>
      <w:proofErr w:type="spellStart"/>
      <w:r w:rsidRPr="006F40E4">
        <w:rPr>
          <w:rFonts w:ascii="Book Antiqua" w:eastAsia="宋体" w:hAnsi="Book Antiqua" w:cs="宋体"/>
          <w:sz w:val="24"/>
          <w:szCs w:val="24"/>
          <w:lang w:eastAsia="zh-CN"/>
        </w:rPr>
        <w:t>Heo</w:t>
      </w:r>
      <w:proofErr w:type="spellEnd"/>
      <w:r w:rsidRPr="006F40E4">
        <w:rPr>
          <w:rFonts w:ascii="Book Antiqua" w:eastAsia="宋体" w:hAnsi="Book Antiqua" w:cs="宋体"/>
          <w:sz w:val="24"/>
          <w:szCs w:val="24"/>
          <w:lang w:eastAsia="zh-CN"/>
        </w:rPr>
        <w:t xml:space="preserve"> NY, Park J, Park SH, Yang SY, Moon YS. Optimal preparation-to-colonoscopy interval in split-dose PEG bowel preparation determines satisfactory bowel preparation quality: an observational prospective study.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2012; </w:t>
      </w:r>
      <w:r w:rsidRPr="006F40E4">
        <w:rPr>
          <w:rFonts w:ascii="Book Antiqua" w:eastAsia="宋体" w:hAnsi="Book Antiqua" w:cs="宋体"/>
          <w:b/>
          <w:bCs/>
          <w:sz w:val="24"/>
          <w:szCs w:val="24"/>
          <w:lang w:eastAsia="zh-CN"/>
        </w:rPr>
        <w:t>75</w:t>
      </w:r>
      <w:r w:rsidRPr="006F40E4">
        <w:rPr>
          <w:rFonts w:ascii="Book Antiqua" w:eastAsia="宋体" w:hAnsi="Book Antiqua" w:cs="宋体"/>
          <w:sz w:val="24"/>
          <w:szCs w:val="24"/>
          <w:lang w:eastAsia="zh-CN"/>
        </w:rPr>
        <w:t>: 583-590 [PMID: 22177570 DOI: 10.1016/j.gie.2011.09.029]</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62 </w:t>
      </w:r>
      <w:proofErr w:type="spellStart"/>
      <w:r w:rsidRPr="006F40E4">
        <w:rPr>
          <w:rFonts w:ascii="Book Antiqua" w:eastAsia="宋体" w:hAnsi="Book Antiqua" w:cs="宋体"/>
          <w:b/>
          <w:bCs/>
          <w:sz w:val="24"/>
          <w:szCs w:val="24"/>
          <w:lang w:eastAsia="zh-CN"/>
        </w:rPr>
        <w:t>Eun</w:t>
      </w:r>
      <w:proofErr w:type="spellEnd"/>
      <w:r w:rsidRPr="006F40E4">
        <w:rPr>
          <w:rFonts w:ascii="Book Antiqua" w:eastAsia="宋体" w:hAnsi="Book Antiqua" w:cs="宋体"/>
          <w:b/>
          <w:bCs/>
          <w:sz w:val="24"/>
          <w:szCs w:val="24"/>
          <w:lang w:eastAsia="zh-CN"/>
        </w:rPr>
        <w:t xml:space="preserve"> CS</w:t>
      </w:r>
      <w:r w:rsidRPr="006F40E4">
        <w:rPr>
          <w:rFonts w:ascii="Book Antiqua" w:eastAsia="宋体" w:hAnsi="Book Antiqua" w:cs="宋体"/>
          <w:sz w:val="24"/>
          <w:szCs w:val="24"/>
          <w:lang w:eastAsia="zh-CN"/>
        </w:rPr>
        <w:t xml:space="preserve">, Han DS, Hyun YS, Bae JH, Park HS, Kim TY, </w:t>
      </w:r>
      <w:proofErr w:type="spellStart"/>
      <w:r w:rsidRPr="006F40E4">
        <w:rPr>
          <w:rFonts w:ascii="Book Antiqua" w:eastAsia="宋体" w:hAnsi="Book Antiqua" w:cs="宋体"/>
          <w:sz w:val="24"/>
          <w:szCs w:val="24"/>
          <w:lang w:eastAsia="zh-CN"/>
        </w:rPr>
        <w:t>Jeon</w:t>
      </w:r>
      <w:proofErr w:type="spellEnd"/>
      <w:r w:rsidRPr="006F40E4">
        <w:rPr>
          <w:rFonts w:ascii="Book Antiqua" w:eastAsia="宋体" w:hAnsi="Book Antiqua" w:cs="宋体"/>
          <w:sz w:val="24"/>
          <w:szCs w:val="24"/>
          <w:lang w:eastAsia="zh-CN"/>
        </w:rPr>
        <w:t xml:space="preserve"> YC, </w:t>
      </w:r>
      <w:proofErr w:type="spellStart"/>
      <w:r w:rsidRPr="006F40E4">
        <w:rPr>
          <w:rFonts w:ascii="Book Antiqua" w:eastAsia="宋体" w:hAnsi="Book Antiqua" w:cs="宋体"/>
          <w:sz w:val="24"/>
          <w:szCs w:val="24"/>
          <w:lang w:eastAsia="zh-CN"/>
        </w:rPr>
        <w:t>Sohn</w:t>
      </w:r>
      <w:proofErr w:type="spellEnd"/>
      <w:r w:rsidRPr="006F40E4">
        <w:rPr>
          <w:rFonts w:ascii="Book Antiqua" w:eastAsia="宋体" w:hAnsi="Book Antiqua" w:cs="宋体"/>
          <w:sz w:val="24"/>
          <w:szCs w:val="24"/>
          <w:lang w:eastAsia="zh-CN"/>
        </w:rPr>
        <w:t xml:space="preserve"> JH. The timing of bowel preparation is more important than the timing of colonoscopy in determining the quality of bowel cleansing. </w:t>
      </w:r>
      <w:r w:rsidRPr="006F40E4">
        <w:rPr>
          <w:rFonts w:ascii="Book Antiqua" w:eastAsia="宋体" w:hAnsi="Book Antiqua" w:cs="宋体"/>
          <w:i/>
          <w:iCs/>
          <w:sz w:val="24"/>
          <w:szCs w:val="24"/>
          <w:lang w:eastAsia="zh-CN"/>
        </w:rPr>
        <w:t xml:space="preserve">Dig Dis </w:t>
      </w:r>
      <w:proofErr w:type="spellStart"/>
      <w:r w:rsidRPr="006F40E4">
        <w:rPr>
          <w:rFonts w:ascii="Book Antiqua" w:eastAsia="宋体" w:hAnsi="Book Antiqua" w:cs="宋体"/>
          <w:i/>
          <w:iCs/>
          <w:sz w:val="24"/>
          <w:szCs w:val="24"/>
          <w:lang w:eastAsia="zh-CN"/>
        </w:rPr>
        <w:t>Sci</w:t>
      </w:r>
      <w:proofErr w:type="spellEnd"/>
      <w:r w:rsidRPr="006F40E4">
        <w:rPr>
          <w:rFonts w:ascii="Book Antiqua" w:eastAsia="宋体" w:hAnsi="Book Antiqua" w:cs="宋体"/>
          <w:sz w:val="24"/>
          <w:szCs w:val="24"/>
          <w:lang w:eastAsia="zh-CN"/>
        </w:rPr>
        <w:t xml:space="preserve"> 2011; </w:t>
      </w:r>
      <w:r w:rsidRPr="006F40E4">
        <w:rPr>
          <w:rFonts w:ascii="Book Antiqua" w:eastAsia="宋体" w:hAnsi="Book Antiqua" w:cs="宋体"/>
          <w:b/>
          <w:bCs/>
          <w:sz w:val="24"/>
          <w:szCs w:val="24"/>
          <w:lang w:eastAsia="zh-CN"/>
        </w:rPr>
        <w:t>56</w:t>
      </w:r>
      <w:r w:rsidRPr="006F40E4">
        <w:rPr>
          <w:rFonts w:ascii="Book Antiqua" w:eastAsia="宋体" w:hAnsi="Book Antiqua" w:cs="宋体"/>
          <w:sz w:val="24"/>
          <w:szCs w:val="24"/>
          <w:lang w:eastAsia="zh-CN"/>
        </w:rPr>
        <w:t>: 539-544 [PMID: 21042853 DOI: 10.1007/s10620-010-1457-1]</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63 </w:t>
      </w:r>
      <w:r w:rsidRPr="006F40E4">
        <w:rPr>
          <w:rFonts w:ascii="Book Antiqua" w:eastAsia="宋体" w:hAnsi="Book Antiqua" w:cs="宋体"/>
          <w:b/>
          <w:bCs/>
          <w:sz w:val="24"/>
          <w:szCs w:val="24"/>
          <w:lang w:eastAsia="zh-CN"/>
        </w:rPr>
        <w:t>Rodríguez De Miguel C</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Serradesanferm</w:t>
      </w:r>
      <w:proofErr w:type="spellEnd"/>
      <w:r w:rsidRPr="006F40E4">
        <w:rPr>
          <w:rFonts w:ascii="Book Antiqua" w:eastAsia="宋体" w:hAnsi="Book Antiqua" w:cs="宋体"/>
          <w:sz w:val="24"/>
          <w:szCs w:val="24"/>
          <w:lang w:eastAsia="zh-CN"/>
        </w:rPr>
        <w:t xml:space="preserve"> A, Del </w:t>
      </w:r>
      <w:proofErr w:type="spellStart"/>
      <w:r w:rsidRPr="006F40E4">
        <w:rPr>
          <w:rFonts w:ascii="Book Antiqua" w:eastAsia="宋体" w:hAnsi="Book Antiqua" w:cs="宋体"/>
          <w:sz w:val="24"/>
          <w:szCs w:val="24"/>
          <w:lang w:eastAsia="zh-CN"/>
        </w:rPr>
        <w:t>Manzano</w:t>
      </w:r>
      <w:proofErr w:type="spellEnd"/>
      <w:r w:rsidRPr="006F40E4">
        <w:rPr>
          <w:rFonts w:ascii="Book Antiqua" w:eastAsia="宋体" w:hAnsi="Book Antiqua" w:cs="宋体"/>
          <w:sz w:val="24"/>
          <w:szCs w:val="24"/>
          <w:lang w:eastAsia="zh-CN"/>
        </w:rPr>
        <w:t xml:space="preserve"> S, Cárdenas A, </w:t>
      </w:r>
      <w:proofErr w:type="spellStart"/>
      <w:r w:rsidRPr="006F40E4">
        <w:rPr>
          <w:rFonts w:ascii="Book Antiqua" w:eastAsia="宋体" w:hAnsi="Book Antiqua" w:cs="宋体"/>
          <w:sz w:val="24"/>
          <w:szCs w:val="24"/>
          <w:lang w:eastAsia="zh-CN"/>
        </w:rPr>
        <w:t>Fernández-Esparrach</w:t>
      </w:r>
      <w:proofErr w:type="spellEnd"/>
      <w:r w:rsidRPr="006F40E4">
        <w:rPr>
          <w:rFonts w:ascii="Book Antiqua" w:eastAsia="宋体" w:hAnsi="Book Antiqua" w:cs="宋体"/>
          <w:sz w:val="24"/>
          <w:szCs w:val="24"/>
          <w:lang w:eastAsia="zh-CN"/>
        </w:rPr>
        <w:t xml:space="preserve"> G, </w:t>
      </w:r>
      <w:proofErr w:type="spellStart"/>
      <w:r w:rsidRPr="006F40E4">
        <w:rPr>
          <w:rFonts w:ascii="Book Antiqua" w:eastAsia="宋体" w:hAnsi="Book Antiqua" w:cs="宋体"/>
          <w:sz w:val="24"/>
          <w:szCs w:val="24"/>
          <w:lang w:eastAsia="zh-CN"/>
        </w:rPr>
        <w:t>Ginés</w:t>
      </w:r>
      <w:proofErr w:type="spellEnd"/>
      <w:r w:rsidRPr="006F40E4">
        <w:rPr>
          <w:rFonts w:ascii="Book Antiqua" w:eastAsia="宋体" w:hAnsi="Book Antiqua" w:cs="宋体"/>
          <w:sz w:val="24"/>
          <w:szCs w:val="24"/>
          <w:lang w:eastAsia="zh-CN"/>
        </w:rPr>
        <w:t xml:space="preserve"> A, </w:t>
      </w:r>
      <w:proofErr w:type="spellStart"/>
      <w:r w:rsidRPr="006F40E4">
        <w:rPr>
          <w:rFonts w:ascii="Book Antiqua" w:eastAsia="宋体" w:hAnsi="Book Antiqua" w:cs="宋体"/>
          <w:sz w:val="24"/>
          <w:szCs w:val="24"/>
          <w:lang w:eastAsia="zh-CN"/>
        </w:rPr>
        <w:t>Ricart</w:t>
      </w:r>
      <w:proofErr w:type="spellEnd"/>
      <w:r w:rsidRPr="006F40E4">
        <w:rPr>
          <w:rFonts w:ascii="Book Antiqua" w:eastAsia="宋体" w:hAnsi="Book Antiqua" w:cs="宋体"/>
          <w:sz w:val="24"/>
          <w:szCs w:val="24"/>
          <w:lang w:eastAsia="zh-CN"/>
        </w:rPr>
        <w:t xml:space="preserve"> E, </w:t>
      </w:r>
      <w:proofErr w:type="spellStart"/>
      <w:r w:rsidRPr="006F40E4">
        <w:rPr>
          <w:rFonts w:ascii="Book Antiqua" w:eastAsia="宋体" w:hAnsi="Book Antiqua" w:cs="宋体"/>
          <w:sz w:val="24"/>
          <w:szCs w:val="24"/>
          <w:lang w:eastAsia="zh-CN"/>
        </w:rPr>
        <w:t>Sendino</w:t>
      </w:r>
      <w:proofErr w:type="spellEnd"/>
      <w:r w:rsidRPr="006F40E4">
        <w:rPr>
          <w:rFonts w:ascii="Book Antiqua" w:eastAsia="宋体" w:hAnsi="Book Antiqua" w:cs="宋体"/>
          <w:sz w:val="24"/>
          <w:szCs w:val="24"/>
          <w:lang w:eastAsia="zh-CN"/>
        </w:rPr>
        <w:t xml:space="preserve"> O, González-</w:t>
      </w:r>
      <w:proofErr w:type="spellStart"/>
      <w:r w:rsidRPr="006F40E4">
        <w:rPr>
          <w:rFonts w:ascii="Book Antiqua" w:eastAsia="宋体" w:hAnsi="Book Antiqua" w:cs="宋体"/>
          <w:sz w:val="24"/>
          <w:szCs w:val="24"/>
          <w:lang w:eastAsia="zh-CN"/>
        </w:rPr>
        <w:t>Suárez</w:t>
      </w:r>
      <w:proofErr w:type="spellEnd"/>
      <w:r w:rsidRPr="006F40E4">
        <w:rPr>
          <w:rFonts w:ascii="Book Antiqua" w:eastAsia="宋体" w:hAnsi="Book Antiqua" w:cs="宋体"/>
          <w:sz w:val="24"/>
          <w:szCs w:val="24"/>
          <w:lang w:eastAsia="zh-CN"/>
        </w:rPr>
        <w:t xml:space="preserve"> B, </w:t>
      </w:r>
      <w:proofErr w:type="spellStart"/>
      <w:r w:rsidRPr="006F40E4">
        <w:rPr>
          <w:rFonts w:ascii="Book Antiqua" w:eastAsia="宋体" w:hAnsi="Book Antiqua" w:cs="宋体"/>
          <w:sz w:val="24"/>
          <w:szCs w:val="24"/>
          <w:lang w:eastAsia="zh-CN"/>
        </w:rPr>
        <w:t>López-Cerón</w:t>
      </w:r>
      <w:proofErr w:type="spellEnd"/>
      <w:r w:rsidRPr="006F40E4">
        <w:rPr>
          <w:rFonts w:ascii="Book Antiqua" w:eastAsia="宋体" w:hAnsi="Book Antiqua" w:cs="宋体"/>
          <w:sz w:val="24"/>
          <w:szCs w:val="24"/>
          <w:lang w:eastAsia="zh-CN"/>
        </w:rPr>
        <w:t xml:space="preserve"> M, </w:t>
      </w:r>
      <w:proofErr w:type="spellStart"/>
      <w:r w:rsidRPr="006F40E4">
        <w:rPr>
          <w:rFonts w:ascii="Book Antiqua" w:eastAsia="宋体" w:hAnsi="Book Antiqua" w:cs="宋体"/>
          <w:sz w:val="24"/>
          <w:szCs w:val="24"/>
          <w:lang w:eastAsia="zh-CN"/>
        </w:rPr>
        <w:t>Llach</w:t>
      </w:r>
      <w:proofErr w:type="spellEnd"/>
      <w:r w:rsidRPr="006F40E4">
        <w:rPr>
          <w:rFonts w:ascii="Book Antiqua" w:eastAsia="宋体" w:hAnsi="Book Antiqua" w:cs="宋体"/>
          <w:sz w:val="24"/>
          <w:szCs w:val="24"/>
          <w:lang w:eastAsia="zh-CN"/>
        </w:rPr>
        <w:t xml:space="preserve"> J, </w:t>
      </w:r>
      <w:proofErr w:type="spellStart"/>
      <w:r w:rsidRPr="006F40E4">
        <w:rPr>
          <w:rFonts w:ascii="Book Antiqua" w:eastAsia="宋体" w:hAnsi="Book Antiqua" w:cs="宋体"/>
          <w:sz w:val="24"/>
          <w:szCs w:val="24"/>
          <w:lang w:eastAsia="zh-CN"/>
        </w:rPr>
        <w:t>Grau</w:t>
      </w:r>
      <w:proofErr w:type="spellEnd"/>
      <w:r w:rsidRPr="006F40E4">
        <w:rPr>
          <w:rFonts w:ascii="Book Antiqua" w:eastAsia="宋体" w:hAnsi="Book Antiqua" w:cs="宋体"/>
          <w:sz w:val="24"/>
          <w:szCs w:val="24"/>
          <w:lang w:eastAsia="zh-CN"/>
        </w:rPr>
        <w:t xml:space="preserve"> J, Castells A, </w:t>
      </w:r>
      <w:proofErr w:type="spellStart"/>
      <w:r w:rsidRPr="006F40E4">
        <w:rPr>
          <w:rFonts w:ascii="Book Antiqua" w:eastAsia="宋体" w:hAnsi="Book Antiqua" w:cs="宋体"/>
          <w:sz w:val="24"/>
          <w:szCs w:val="24"/>
          <w:lang w:eastAsia="zh-CN"/>
        </w:rPr>
        <w:t>Pellisé</w:t>
      </w:r>
      <w:proofErr w:type="spellEnd"/>
      <w:r w:rsidRPr="006F40E4">
        <w:rPr>
          <w:rFonts w:ascii="Book Antiqua" w:eastAsia="宋体" w:hAnsi="Book Antiqua" w:cs="宋体"/>
          <w:sz w:val="24"/>
          <w:szCs w:val="24"/>
          <w:lang w:eastAsia="zh-CN"/>
        </w:rPr>
        <w:t xml:space="preserve"> M. [Timing of polyethylene glycol administration is a key factor in the tolerability and efficacy of colon preparation in colorectal cancer </w:t>
      </w:r>
      <w:r w:rsidRPr="006F40E4">
        <w:rPr>
          <w:rFonts w:ascii="Book Antiqua" w:eastAsia="宋体" w:hAnsi="Book Antiqua" w:cs="宋体"/>
          <w:sz w:val="24"/>
          <w:szCs w:val="24"/>
          <w:lang w:eastAsia="zh-CN"/>
        </w:rPr>
        <w:lastRenderedPageBreak/>
        <w:t xml:space="preserve">screening].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Hepatol</w:t>
      </w:r>
      <w:proofErr w:type="spellEnd"/>
      <w:r w:rsidRPr="006F40E4">
        <w:rPr>
          <w:rFonts w:ascii="Book Antiqua" w:eastAsia="宋体" w:hAnsi="Book Antiqua" w:cs="宋体"/>
          <w:sz w:val="24"/>
          <w:szCs w:val="24"/>
          <w:lang w:eastAsia="zh-CN"/>
        </w:rPr>
        <w:t xml:space="preserve"> 2012; </w:t>
      </w:r>
      <w:r w:rsidRPr="006F40E4">
        <w:rPr>
          <w:rFonts w:ascii="Book Antiqua" w:eastAsia="宋体" w:hAnsi="Book Antiqua" w:cs="宋体"/>
          <w:b/>
          <w:bCs/>
          <w:sz w:val="24"/>
          <w:szCs w:val="24"/>
          <w:lang w:eastAsia="zh-CN"/>
        </w:rPr>
        <w:t>35</w:t>
      </w:r>
      <w:r w:rsidRPr="006F40E4">
        <w:rPr>
          <w:rFonts w:ascii="Book Antiqua" w:eastAsia="宋体" w:hAnsi="Book Antiqua" w:cs="宋体"/>
          <w:sz w:val="24"/>
          <w:szCs w:val="24"/>
          <w:lang w:eastAsia="zh-CN"/>
        </w:rPr>
        <w:t>: 236-242 [PMID: 22445938 DOI: 10.1016/j.gastrohep.2012.01.012]</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64 </w:t>
      </w:r>
      <w:r w:rsidRPr="006F40E4">
        <w:rPr>
          <w:rFonts w:ascii="Book Antiqua" w:eastAsia="宋体" w:hAnsi="Book Antiqua" w:cs="宋体"/>
          <w:b/>
          <w:bCs/>
          <w:sz w:val="24"/>
          <w:szCs w:val="24"/>
          <w:lang w:eastAsia="zh-CN"/>
        </w:rPr>
        <w:t>Siddiqui AA</w:t>
      </w:r>
      <w:r w:rsidRPr="006F40E4">
        <w:rPr>
          <w:rFonts w:ascii="Book Antiqua" w:eastAsia="宋体" w:hAnsi="Book Antiqua" w:cs="宋体"/>
          <w:sz w:val="24"/>
          <w:szCs w:val="24"/>
          <w:lang w:eastAsia="zh-CN"/>
        </w:rPr>
        <w:t xml:space="preserve">, Yang K, </w:t>
      </w:r>
      <w:proofErr w:type="spellStart"/>
      <w:r w:rsidRPr="006F40E4">
        <w:rPr>
          <w:rFonts w:ascii="Book Antiqua" w:eastAsia="宋体" w:hAnsi="Book Antiqua" w:cs="宋体"/>
          <w:sz w:val="24"/>
          <w:szCs w:val="24"/>
          <w:lang w:eastAsia="zh-CN"/>
        </w:rPr>
        <w:t>Spechler</w:t>
      </w:r>
      <w:proofErr w:type="spellEnd"/>
      <w:r w:rsidRPr="006F40E4">
        <w:rPr>
          <w:rFonts w:ascii="Book Antiqua" w:eastAsia="宋体" w:hAnsi="Book Antiqua" w:cs="宋体"/>
          <w:sz w:val="24"/>
          <w:szCs w:val="24"/>
          <w:lang w:eastAsia="zh-CN"/>
        </w:rPr>
        <w:t xml:space="preserve"> SJ, </w:t>
      </w:r>
      <w:proofErr w:type="spellStart"/>
      <w:r w:rsidRPr="006F40E4">
        <w:rPr>
          <w:rFonts w:ascii="Book Antiqua" w:eastAsia="宋体" w:hAnsi="Book Antiqua" w:cs="宋体"/>
          <w:sz w:val="24"/>
          <w:szCs w:val="24"/>
          <w:lang w:eastAsia="zh-CN"/>
        </w:rPr>
        <w:t>Cryer</w:t>
      </w:r>
      <w:proofErr w:type="spellEnd"/>
      <w:r w:rsidRPr="006F40E4">
        <w:rPr>
          <w:rFonts w:ascii="Book Antiqua" w:eastAsia="宋体" w:hAnsi="Book Antiqua" w:cs="宋体"/>
          <w:sz w:val="24"/>
          <w:szCs w:val="24"/>
          <w:lang w:eastAsia="zh-CN"/>
        </w:rPr>
        <w:t xml:space="preserve"> B, Davila R, Cipher D, Harford WV. Duration of the interval between the completion of bowel preparation and the start of colonoscopy predicts bowel-preparation quality.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2009; </w:t>
      </w:r>
      <w:r w:rsidRPr="006F40E4">
        <w:rPr>
          <w:rFonts w:ascii="Book Antiqua" w:eastAsia="宋体" w:hAnsi="Book Antiqua" w:cs="宋体"/>
          <w:b/>
          <w:bCs/>
          <w:sz w:val="24"/>
          <w:szCs w:val="24"/>
          <w:lang w:eastAsia="zh-CN"/>
        </w:rPr>
        <w:t>69</w:t>
      </w:r>
      <w:r w:rsidRPr="006F40E4">
        <w:rPr>
          <w:rFonts w:ascii="Book Antiqua" w:eastAsia="宋体" w:hAnsi="Book Antiqua" w:cs="宋体"/>
          <w:sz w:val="24"/>
          <w:szCs w:val="24"/>
          <w:lang w:eastAsia="zh-CN"/>
        </w:rPr>
        <w:t>: 700-706 [PMID: 19251013 DOI: 10.1016/j.gie.2008.09.047]</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65 </w:t>
      </w:r>
      <w:proofErr w:type="spellStart"/>
      <w:r w:rsidRPr="006F40E4">
        <w:rPr>
          <w:rFonts w:ascii="Book Antiqua" w:eastAsia="宋体" w:hAnsi="Book Antiqua" w:cs="宋体"/>
          <w:b/>
          <w:bCs/>
          <w:sz w:val="24"/>
          <w:szCs w:val="24"/>
          <w:lang w:eastAsia="zh-CN"/>
        </w:rPr>
        <w:t>Varughese</w:t>
      </w:r>
      <w:proofErr w:type="spellEnd"/>
      <w:r w:rsidRPr="006F40E4">
        <w:rPr>
          <w:rFonts w:ascii="Book Antiqua" w:eastAsia="宋体" w:hAnsi="Book Antiqua" w:cs="宋体"/>
          <w:b/>
          <w:bCs/>
          <w:sz w:val="24"/>
          <w:szCs w:val="24"/>
          <w:lang w:eastAsia="zh-CN"/>
        </w:rPr>
        <w:t xml:space="preserve"> S</w:t>
      </w:r>
      <w:r w:rsidRPr="006F40E4">
        <w:rPr>
          <w:rFonts w:ascii="Book Antiqua" w:eastAsia="宋体" w:hAnsi="Book Antiqua" w:cs="宋体"/>
          <w:sz w:val="24"/>
          <w:szCs w:val="24"/>
          <w:lang w:eastAsia="zh-CN"/>
        </w:rPr>
        <w:t xml:space="preserve">, Kumar AR, George A, Castro FJ. Morning-only one-gallon polyethylene glycol improves bowel cleansing for afternoon colonoscopies: a randomized </w:t>
      </w:r>
      <w:proofErr w:type="spellStart"/>
      <w:r w:rsidRPr="006F40E4">
        <w:rPr>
          <w:rFonts w:ascii="Book Antiqua" w:eastAsia="宋体" w:hAnsi="Book Antiqua" w:cs="宋体"/>
          <w:sz w:val="24"/>
          <w:szCs w:val="24"/>
          <w:lang w:eastAsia="zh-CN"/>
        </w:rPr>
        <w:t>endoscopist</w:t>
      </w:r>
      <w:proofErr w:type="spellEnd"/>
      <w:r w:rsidRPr="006F40E4">
        <w:rPr>
          <w:rFonts w:ascii="Book Antiqua" w:eastAsia="宋体" w:hAnsi="Book Antiqua" w:cs="宋体"/>
          <w:sz w:val="24"/>
          <w:szCs w:val="24"/>
          <w:lang w:eastAsia="zh-CN"/>
        </w:rPr>
        <w:t xml:space="preserve">-blinded prospective study.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2010; </w:t>
      </w:r>
      <w:r w:rsidRPr="006F40E4">
        <w:rPr>
          <w:rFonts w:ascii="Book Antiqua" w:eastAsia="宋体" w:hAnsi="Book Antiqua" w:cs="宋体"/>
          <w:b/>
          <w:bCs/>
          <w:sz w:val="24"/>
          <w:szCs w:val="24"/>
          <w:lang w:eastAsia="zh-CN"/>
        </w:rPr>
        <w:t>105</w:t>
      </w:r>
      <w:r w:rsidRPr="006F40E4">
        <w:rPr>
          <w:rFonts w:ascii="Book Antiqua" w:eastAsia="宋体" w:hAnsi="Book Antiqua" w:cs="宋体"/>
          <w:sz w:val="24"/>
          <w:szCs w:val="24"/>
          <w:lang w:eastAsia="zh-CN"/>
        </w:rPr>
        <w:t>: 2368-2374 [PMID: 20606677]</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66 </w:t>
      </w:r>
      <w:proofErr w:type="spellStart"/>
      <w:r w:rsidRPr="006F40E4">
        <w:rPr>
          <w:rFonts w:ascii="Book Antiqua" w:eastAsia="宋体" w:hAnsi="Book Antiqua" w:cs="宋体"/>
          <w:b/>
          <w:bCs/>
          <w:sz w:val="24"/>
          <w:szCs w:val="24"/>
          <w:lang w:eastAsia="zh-CN"/>
        </w:rPr>
        <w:t>Matro</w:t>
      </w:r>
      <w:proofErr w:type="spellEnd"/>
      <w:r w:rsidRPr="006F40E4">
        <w:rPr>
          <w:rFonts w:ascii="Book Antiqua" w:eastAsia="宋体" w:hAnsi="Book Antiqua" w:cs="宋体"/>
          <w:b/>
          <w:bCs/>
          <w:sz w:val="24"/>
          <w:szCs w:val="24"/>
          <w:lang w:eastAsia="zh-CN"/>
        </w:rPr>
        <w:t xml:space="preserve"> R</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Shnitser</w:t>
      </w:r>
      <w:proofErr w:type="spellEnd"/>
      <w:r w:rsidRPr="006F40E4">
        <w:rPr>
          <w:rFonts w:ascii="Book Antiqua" w:eastAsia="宋体" w:hAnsi="Book Antiqua" w:cs="宋体"/>
          <w:sz w:val="24"/>
          <w:szCs w:val="24"/>
          <w:lang w:eastAsia="zh-CN"/>
        </w:rPr>
        <w:t xml:space="preserve"> A, </w:t>
      </w:r>
      <w:proofErr w:type="spellStart"/>
      <w:r w:rsidRPr="006F40E4">
        <w:rPr>
          <w:rFonts w:ascii="Book Antiqua" w:eastAsia="宋体" w:hAnsi="Book Antiqua" w:cs="宋体"/>
          <w:sz w:val="24"/>
          <w:szCs w:val="24"/>
          <w:lang w:eastAsia="zh-CN"/>
        </w:rPr>
        <w:t>Spodik</w:t>
      </w:r>
      <w:proofErr w:type="spellEnd"/>
      <w:r w:rsidRPr="006F40E4">
        <w:rPr>
          <w:rFonts w:ascii="Book Antiqua" w:eastAsia="宋体" w:hAnsi="Book Antiqua" w:cs="宋体"/>
          <w:sz w:val="24"/>
          <w:szCs w:val="24"/>
          <w:lang w:eastAsia="zh-CN"/>
        </w:rPr>
        <w:t xml:space="preserve"> M, </w:t>
      </w:r>
      <w:proofErr w:type="spellStart"/>
      <w:r w:rsidRPr="006F40E4">
        <w:rPr>
          <w:rFonts w:ascii="Book Antiqua" w:eastAsia="宋体" w:hAnsi="Book Antiqua" w:cs="宋体"/>
          <w:sz w:val="24"/>
          <w:szCs w:val="24"/>
          <w:lang w:eastAsia="zh-CN"/>
        </w:rPr>
        <w:t>Daskalakis</w:t>
      </w:r>
      <w:proofErr w:type="spellEnd"/>
      <w:r w:rsidRPr="006F40E4">
        <w:rPr>
          <w:rFonts w:ascii="Book Antiqua" w:eastAsia="宋体" w:hAnsi="Book Antiqua" w:cs="宋体"/>
          <w:sz w:val="24"/>
          <w:szCs w:val="24"/>
          <w:lang w:eastAsia="zh-CN"/>
        </w:rPr>
        <w:t xml:space="preserve"> C, Katz L, Murtha A, </w:t>
      </w:r>
      <w:proofErr w:type="spellStart"/>
      <w:r w:rsidRPr="006F40E4">
        <w:rPr>
          <w:rFonts w:ascii="Book Antiqua" w:eastAsia="宋体" w:hAnsi="Book Antiqua" w:cs="宋体"/>
          <w:sz w:val="24"/>
          <w:szCs w:val="24"/>
          <w:lang w:eastAsia="zh-CN"/>
        </w:rPr>
        <w:t>Kastenberg</w:t>
      </w:r>
      <w:proofErr w:type="spellEnd"/>
      <w:r w:rsidRPr="006F40E4">
        <w:rPr>
          <w:rFonts w:ascii="Book Antiqua" w:eastAsia="宋体" w:hAnsi="Book Antiqua" w:cs="宋体"/>
          <w:sz w:val="24"/>
          <w:szCs w:val="24"/>
          <w:lang w:eastAsia="zh-CN"/>
        </w:rPr>
        <w:t xml:space="preserve"> D. Efficacy of morning-only compared with split-dose polyethylene glycol electrolyte solution for afternoon colonoscopy: a randomized controlled single-blind study.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2010; </w:t>
      </w:r>
      <w:r w:rsidRPr="006F40E4">
        <w:rPr>
          <w:rFonts w:ascii="Book Antiqua" w:eastAsia="宋体" w:hAnsi="Book Antiqua" w:cs="宋体"/>
          <w:b/>
          <w:bCs/>
          <w:sz w:val="24"/>
          <w:szCs w:val="24"/>
          <w:lang w:eastAsia="zh-CN"/>
        </w:rPr>
        <w:t>105</w:t>
      </w:r>
      <w:r w:rsidRPr="006F40E4">
        <w:rPr>
          <w:rFonts w:ascii="Book Antiqua" w:eastAsia="宋体" w:hAnsi="Book Antiqua" w:cs="宋体"/>
          <w:sz w:val="24"/>
          <w:szCs w:val="24"/>
          <w:lang w:eastAsia="zh-CN"/>
        </w:rPr>
        <w:t>: 1954-1961 [PMID: 20407434]</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67 </w:t>
      </w:r>
      <w:proofErr w:type="spellStart"/>
      <w:r w:rsidRPr="006F40E4">
        <w:rPr>
          <w:rFonts w:ascii="Book Antiqua" w:eastAsia="宋体" w:hAnsi="Book Antiqua" w:cs="宋体"/>
          <w:b/>
          <w:bCs/>
          <w:sz w:val="24"/>
          <w:szCs w:val="24"/>
          <w:lang w:eastAsia="zh-CN"/>
        </w:rPr>
        <w:t>Longcroft</w:t>
      </w:r>
      <w:proofErr w:type="spellEnd"/>
      <w:r w:rsidRPr="006F40E4">
        <w:rPr>
          <w:rFonts w:ascii="Book Antiqua" w:eastAsia="宋体" w:hAnsi="Book Antiqua" w:cs="宋体"/>
          <w:b/>
          <w:bCs/>
          <w:sz w:val="24"/>
          <w:szCs w:val="24"/>
          <w:lang w:eastAsia="zh-CN"/>
        </w:rPr>
        <w:t>-Wheaton G</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Bhandari</w:t>
      </w:r>
      <w:proofErr w:type="spellEnd"/>
      <w:r w:rsidRPr="006F40E4">
        <w:rPr>
          <w:rFonts w:ascii="Book Antiqua" w:eastAsia="宋体" w:hAnsi="Book Antiqua" w:cs="宋体"/>
          <w:sz w:val="24"/>
          <w:szCs w:val="24"/>
          <w:lang w:eastAsia="zh-CN"/>
        </w:rPr>
        <w:t xml:space="preserve"> P. Same-day bowel cleansing regimen is superior to a split-dose regimen over 2 days for afternoon colonoscopy: results from a large prospective series. </w:t>
      </w:r>
      <w:r w:rsidRPr="006F40E4">
        <w:rPr>
          <w:rFonts w:ascii="Book Antiqua" w:eastAsia="宋体" w:hAnsi="Book Antiqua" w:cs="宋体"/>
          <w:i/>
          <w:iCs/>
          <w:sz w:val="24"/>
          <w:szCs w:val="24"/>
          <w:lang w:eastAsia="zh-CN"/>
        </w:rPr>
        <w:t xml:space="preserve">J </w:t>
      </w:r>
      <w:proofErr w:type="spellStart"/>
      <w:r w:rsidRPr="006F40E4">
        <w:rPr>
          <w:rFonts w:ascii="Book Antiqua" w:eastAsia="宋体" w:hAnsi="Book Antiqua" w:cs="宋体"/>
          <w:i/>
          <w:iCs/>
          <w:sz w:val="24"/>
          <w:szCs w:val="24"/>
          <w:lang w:eastAsia="zh-CN"/>
        </w:rPr>
        <w:t>Clin</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2012; </w:t>
      </w:r>
      <w:r w:rsidRPr="006F40E4">
        <w:rPr>
          <w:rFonts w:ascii="Book Antiqua" w:eastAsia="宋体" w:hAnsi="Book Antiqua" w:cs="宋体"/>
          <w:b/>
          <w:bCs/>
          <w:sz w:val="24"/>
          <w:szCs w:val="24"/>
          <w:lang w:eastAsia="zh-CN"/>
        </w:rPr>
        <w:t>46</w:t>
      </w:r>
      <w:r w:rsidRPr="006F40E4">
        <w:rPr>
          <w:rFonts w:ascii="Book Antiqua" w:eastAsia="宋体" w:hAnsi="Book Antiqua" w:cs="宋体"/>
          <w:sz w:val="24"/>
          <w:szCs w:val="24"/>
          <w:lang w:eastAsia="zh-CN"/>
        </w:rPr>
        <w:t>: 57-61 [PMID: 22064553]</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68 </w:t>
      </w:r>
      <w:r w:rsidRPr="006F40E4">
        <w:rPr>
          <w:rFonts w:ascii="Book Antiqua" w:eastAsia="宋体" w:hAnsi="Book Antiqua" w:cs="宋体"/>
          <w:b/>
          <w:bCs/>
          <w:sz w:val="24"/>
          <w:szCs w:val="24"/>
          <w:lang w:eastAsia="zh-CN"/>
        </w:rPr>
        <w:t>Johnson DA</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Barkun</w:t>
      </w:r>
      <w:proofErr w:type="spellEnd"/>
      <w:r w:rsidRPr="006F40E4">
        <w:rPr>
          <w:rFonts w:ascii="Book Antiqua" w:eastAsia="宋体" w:hAnsi="Book Antiqua" w:cs="宋体"/>
          <w:sz w:val="24"/>
          <w:szCs w:val="24"/>
          <w:lang w:eastAsia="zh-CN"/>
        </w:rPr>
        <w:t xml:space="preserve"> AN, Cohen LB, </w:t>
      </w:r>
      <w:proofErr w:type="spellStart"/>
      <w:r w:rsidRPr="006F40E4">
        <w:rPr>
          <w:rFonts w:ascii="Book Antiqua" w:eastAsia="宋体" w:hAnsi="Book Antiqua" w:cs="宋体"/>
          <w:sz w:val="24"/>
          <w:szCs w:val="24"/>
          <w:lang w:eastAsia="zh-CN"/>
        </w:rPr>
        <w:t>Dominitz</w:t>
      </w:r>
      <w:proofErr w:type="spellEnd"/>
      <w:r w:rsidRPr="006F40E4">
        <w:rPr>
          <w:rFonts w:ascii="Book Antiqua" w:eastAsia="宋体" w:hAnsi="Book Antiqua" w:cs="宋体"/>
          <w:sz w:val="24"/>
          <w:szCs w:val="24"/>
          <w:lang w:eastAsia="zh-CN"/>
        </w:rPr>
        <w:t xml:space="preserve"> JA, </w:t>
      </w:r>
      <w:proofErr w:type="spellStart"/>
      <w:r w:rsidRPr="006F40E4">
        <w:rPr>
          <w:rFonts w:ascii="Book Antiqua" w:eastAsia="宋体" w:hAnsi="Book Antiqua" w:cs="宋体"/>
          <w:sz w:val="24"/>
          <w:szCs w:val="24"/>
          <w:lang w:eastAsia="zh-CN"/>
        </w:rPr>
        <w:t>Kaltenbach</w:t>
      </w:r>
      <w:proofErr w:type="spellEnd"/>
      <w:r w:rsidRPr="006F40E4">
        <w:rPr>
          <w:rFonts w:ascii="Book Antiqua" w:eastAsia="宋体" w:hAnsi="Book Antiqua" w:cs="宋体"/>
          <w:sz w:val="24"/>
          <w:szCs w:val="24"/>
          <w:lang w:eastAsia="zh-CN"/>
        </w:rPr>
        <w:t xml:space="preserve"> T, Martel M, Robertson DJ, Richard Boland C, </w:t>
      </w:r>
      <w:proofErr w:type="spellStart"/>
      <w:r w:rsidRPr="006F40E4">
        <w:rPr>
          <w:rFonts w:ascii="Book Antiqua" w:eastAsia="宋体" w:hAnsi="Book Antiqua" w:cs="宋体"/>
          <w:sz w:val="24"/>
          <w:szCs w:val="24"/>
          <w:lang w:eastAsia="zh-CN"/>
        </w:rPr>
        <w:t>Giardello</w:t>
      </w:r>
      <w:proofErr w:type="spellEnd"/>
      <w:r w:rsidRPr="006F40E4">
        <w:rPr>
          <w:rFonts w:ascii="Book Antiqua" w:eastAsia="宋体" w:hAnsi="Book Antiqua" w:cs="宋体"/>
          <w:sz w:val="24"/>
          <w:szCs w:val="24"/>
          <w:lang w:eastAsia="zh-CN"/>
        </w:rPr>
        <w:t xml:space="preserve"> FM, Lieberman DA, Levin TR, Rex DK. Optimizing adequacy of bowel cleansing for colonoscopy: recommendations from the US Multi-Society Task Force on Colorectal Cancer. </w:t>
      </w:r>
      <w:r w:rsidRPr="006F40E4">
        <w:rPr>
          <w:rFonts w:ascii="Book Antiqua" w:eastAsia="宋体" w:hAnsi="Book Antiqua" w:cs="宋体"/>
          <w:i/>
          <w:iCs/>
          <w:sz w:val="24"/>
          <w:szCs w:val="24"/>
          <w:lang w:eastAsia="zh-CN"/>
        </w:rPr>
        <w:t xml:space="preserve">Am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2014; </w:t>
      </w:r>
      <w:r w:rsidRPr="006F40E4">
        <w:rPr>
          <w:rFonts w:ascii="Book Antiqua" w:eastAsia="宋体" w:hAnsi="Book Antiqua" w:cs="宋体"/>
          <w:b/>
          <w:bCs/>
          <w:sz w:val="24"/>
          <w:szCs w:val="24"/>
          <w:lang w:eastAsia="zh-CN"/>
        </w:rPr>
        <w:t>109</w:t>
      </w:r>
      <w:r w:rsidRPr="006F40E4">
        <w:rPr>
          <w:rFonts w:ascii="Book Antiqua" w:eastAsia="宋体" w:hAnsi="Book Antiqua" w:cs="宋体"/>
          <w:sz w:val="24"/>
          <w:szCs w:val="24"/>
          <w:lang w:eastAsia="zh-CN"/>
        </w:rPr>
        <w:t>: 1528-1545 [PMID: 25223578]</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69 </w:t>
      </w:r>
      <w:r w:rsidRPr="006F40E4">
        <w:rPr>
          <w:rFonts w:ascii="Book Antiqua" w:eastAsia="宋体" w:hAnsi="Book Antiqua" w:cs="宋体"/>
          <w:b/>
          <w:bCs/>
          <w:sz w:val="24"/>
          <w:szCs w:val="24"/>
          <w:lang w:eastAsia="zh-CN"/>
        </w:rPr>
        <w:t>Saltzman JR</w:t>
      </w:r>
      <w:r w:rsidRPr="006F40E4">
        <w:rPr>
          <w:rFonts w:ascii="Book Antiqua" w:eastAsia="宋体" w:hAnsi="Book Antiqua" w:cs="宋体"/>
          <w:sz w:val="24"/>
          <w:szCs w:val="24"/>
          <w:lang w:eastAsia="zh-CN"/>
        </w:rPr>
        <w:t xml:space="preserve">, Cash BD, Pasha SF, Early DS, </w:t>
      </w:r>
      <w:proofErr w:type="spellStart"/>
      <w:r w:rsidRPr="006F40E4">
        <w:rPr>
          <w:rFonts w:ascii="Book Antiqua" w:eastAsia="宋体" w:hAnsi="Book Antiqua" w:cs="宋体"/>
          <w:sz w:val="24"/>
          <w:szCs w:val="24"/>
          <w:lang w:eastAsia="zh-CN"/>
        </w:rPr>
        <w:t>Muthusamy</w:t>
      </w:r>
      <w:proofErr w:type="spellEnd"/>
      <w:r w:rsidRPr="006F40E4">
        <w:rPr>
          <w:rFonts w:ascii="Book Antiqua" w:eastAsia="宋体" w:hAnsi="Book Antiqua" w:cs="宋体"/>
          <w:sz w:val="24"/>
          <w:szCs w:val="24"/>
          <w:lang w:eastAsia="zh-CN"/>
        </w:rPr>
        <w:t xml:space="preserve"> VR, </w:t>
      </w:r>
      <w:proofErr w:type="spellStart"/>
      <w:r w:rsidRPr="006F40E4">
        <w:rPr>
          <w:rFonts w:ascii="Book Antiqua" w:eastAsia="宋体" w:hAnsi="Book Antiqua" w:cs="宋体"/>
          <w:sz w:val="24"/>
          <w:szCs w:val="24"/>
          <w:lang w:eastAsia="zh-CN"/>
        </w:rPr>
        <w:t>Khashab</w:t>
      </w:r>
      <w:proofErr w:type="spellEnd"/>
      <w:r w:rsidRPr="006F40E4">
        <w:rPr>
          <w:rFonts w:ascii="Book Antiqua" w:eastAsia="宋体" w:hAnsi="Book Antiqua" w:cs="宋体"/>
          <w:sz w:val="24"/>
          <w:szCs w:val="24"/>
          <w:lang w:eastAsia="zh-CN"/>
        </w:rPr>
        <w:t xml:space="preserve"> MA, </w:t>
      </w:r>
      <w:proofErr w:type="spellStart"/>
      <w:r w:rsidRPr="006F40E4">
        <w:rPr>
          <w:rFonts w:ascii="Book Antiqua" w:eastAsia="宋体" w:hAnsi="Book Antiqua" w:cs="宋体"/>
          <w:sz w:val="24"/>
          <w:szCs w:val="24"/>
          <w:lang w:eastAsia="zh-CN"/>
        </w:rPr>
        <w:t>Chathadi</w:t>
      </w:r>
      <w:proofErr w:type="spellEnd"/>
      <w:r w:rsidRPr="006F40E4">
        <w:rPr>
          <w:rFonts w:ascii="Book Antiqua" w:eastAsia="宋体" w:hAnsi="Book Antiqua" w:cs="宋体"/>
          <w:sz w:val="24"/>
          <w:szCs w:val="24"/>
          <w:lang w:eastAsia="zh-CN"/>
        </w:rPr>
        <w:t xml:space="preserve"> KV, </w:t>
      </w:r>
      <w:proofErr w:type="spellStart"/>
      <w:r w:rsidRPr="006F40E4">
        <w:rPr>
          <w:rFonts w:ascii="Book Antiqua" w:eastAsia="宋体" w:hAnsi="Book Antiqua" w:cs="宋体"/>
          <w:sz w:val="24"/>
          <w:szCs w:val="24"/>
          <w:lang w:eastAsia="zh-CN"/>
        </w:rPr>
        <w:t>Fanelli</w:t>
      </w:r>
      <w:proofErr w:type="spellEnd"/>
      <w:r w:rsidRPr="006F40E4">
        <w:rPr>
          <w:rFonts w:ascii="Book Antiqua" w:eastAsia="宋体" w:hAnsi="Book Antiqua" w:cs="宋体"/>
          <w:sz w:val="24"/>
          <w:szCs w:val="24"/>
          <w:lang w:eastAsia="zh-CN"/>
        </w:rPr>
        <w:t xml:space="preserve"> RD, </w:t>
      </w:r>
      <w:proofErr w:type="spellStart"/>
      <w:r w:rsidRPr="006F40E4">
        <w:rPr>
          <w:rFonts w:ascii="Book Antiqua" w:eastAsia="宋体" w:hAnsi="Book Antiqua" w:cs="宋体"/>
          <w:sz w:val="24"/>
          <w:szCs w:val="24"/>
          <w:lang w:eastAsia="zh-CN"/>
        </w:rPr>
        <w:t>Chandrasekhara</w:t>
      </w:r>
      <w:proofErr w:type="spellEnd"/>
      <w:r w:rsidRPr="006F40E4">
        <w:rPr>
          <w:rFonts w:ascii="Book Antiqua" w:eastAsia="宋体" w:hAnsi="Book Antiqua" w:cs="宋体"/>
          <w:sz w:val="24"/>
          <w:szCs w:val="24"/>
          <w:lang w:eastAsia="zh-CN"/>
        </w:rPr>
        <w:t xml:space="preserve"> V, </w:t>
      </w:r>
      <w:proofErr w:type="spellStart"/>
      <w:r w:rsidRPr="006F40E4">
        <w:rPr>
          <w:rFonts w:ascii="Book Antiqua" w:eastAsia="宋体" w:hAnsi="Book Antiqua" w:cs="宋体"/>
          <w:sz w:val="24"/>
          <w:szCs w:val="24"/>
          <w:lang w:eastAsia="zh-CN"/>
        </w:rPr>
        <w:t>Lightdale</w:t>
      </w:r>
      <w:proofErr w:type="spellEnd"/>
      <w:r w:rsidRPr="006F40E4">
        <w:rPr>
          <w:rFonts w:ascii="Book Antiqua" w:eastAsia="宋体" w:hAnsi="Book Antiqua" w:cs="宋体"/>
          <w:sz w:val="24"/>
          <w:szCs w:val="24"/>
          <w:lang w:eastAsia="zh-CN"/>
        </w:rPr>
        <w:t xml:space="preserve"> JR, </w:t>
      </w:r>
      <w:proofErr w:type="spellStart"/>
      <w:r w:rsidRPr="006F40E4">
        <w:rPr>
          <w:rFonts w:ascii="Book Antiqua" w:eastAsia="宋体" w:hAnsi="Book Antiqua" w:cs="宋体"/>
          <w:sz w:val="24"/>
          <w:szCs w:val="24"/>
          <w:lang w:eastAsia="zh-CN"/>
        </w:rPr>
        <w:t>Fonkalsrud</w:t>
      </w:r>
      <w:proofErr w:type="spellEnd"/>
      <w:r w:rsidRPr="006F40E4">
        <w:rPr>
          <w:rFonts w:ascii="Book Antiqua" w:eastAsia="宋体" w:hAnsi="Book Antiqua" w:cs="宋体"/>
          <w:sz w:val="24"/>
          <w:szCs w:val="24"/>
          <w:lang w:eastAsia="zh-CN"/>
        </w:rPr>
        <w:t xml:space="preserve"> L, </w:t>
      </w:r>
      <w:proofErr w:type="spellStart"/>
      <w:r w:rsidRPr="006F40E4">
        <w:rPr>
          <w:rFonts w:ascii="Book Antiqua" w:eastAsia="宋体" w:hAnsi="Book Antiqua" w:cs="宋体"/>
          <w:sz w:val="24"/>
          <w:szCs w:val="24"/>
          <w:lang w:eastAsia="zh-CN"/>
        </w:rPr>
        <w:t>Shergill</w:t>
      </w:r>
      <w:proofErr w:type="spellEnd"/>
      <w:r w:rsidRPr="006F40E4">
        <w:rPr>
          <w:rFonts w:ascii="Book Antiqua" w:eastAsia="宋体" w:hAnsi="Book Antiqua" w:cs="宋体"/>
          <w:sz w:val="24"/>
          <w:szCs w:val="24"/>
          <w:lang w:eastAsia="zh-CN"/>
        </w:rPr>
        <w:t xml:space="preserve"> AK, Hwang JH, Decker GA, </w:t>
      </w:r>
      <w:proofErr w:type="spellStart"/>
      <w:r w:rsidRPr="006F40E4">
        <w:rPr>
          <w:rFonts w:ascii="Book Antiqua" w:eastAsia="宋体" w:hAnsi="Book Antiqua" w:cs="宋体"/>
          <w:sz w:val="24"/>
          <w:szCs w:val="24"/>
          <w:lang w:eastAsia="zh-CN"/>
        </w:rPr>
        <w:t>Jue</w:t>
      </w:r>
      <w:proofErr w:type="spellEnd"/>
      <w:r w:rsidRPr="006F40E4">
        <w:rPr>
          <w:rFonts w:ascii="Book Antiqua" w:eastAsia="宋体" w:hAnsi="Book Antiqua" w:cs="宋体"/>
          <w:sz w:val="24"/>
          <w:szCs w:val="24"/>
          <w:lang w:eastAsia="zh-CN"/>
        </w:rPr>
        <w:t xml:space="preserve"> TL, </w:t>
      </w:r>
      <w:proofErr w:type="spellStart"/>
      <w:r w:rsidRPr="006F40E4">
        <w:rPr>
          <w:rFonts w:ascii="Book Antiqua" w:eastAsia="宋体" w:hAnsi="Book Antiqua" w:cs="宋体"/>
          <w:sz w:val="24"/>
          <w:szCs w:val="24"/>
          <w:lang w:eastAsia="zh-CN"/>
        </w:rPr>
        <w:t>Sharaf</w:t>
      </w:r>
      <w:proofErr w:type="spellEnd"/>
      <w:r w:rsidRPr="006F40E4">
        <w:rPr>
          <w:rFonts w:ascii="Book Antiqua" w:eastAsia="宋体" w:hAnsi="Book Antiqua" w:cs="宋体"/>
          <w:sz w:val="24"/>
          <w:szCs w:val="24"/>
          <w:lang w:eastAsia="zh-CN"/>
        </w:rPr>
        <w:t xml:space="preserve"> R, Fisher DA, Evans JA, Foley K, </w:t>
      </w:r>
      <w:proofErr w:type="spellStart"/>
      <w:r w:rsidRPr="006F40E4">
        <w:rPr>
          <w:rFonts w:ascii="Book Antiqua" w:eastAsia="宋体" w:hAnsi="Book Antiqua" w:cs="宋体"/>
          <w:sz w:val="24"/>
          <w:szCs w:val="24"/>
          <w:lang w:eastAsia="zh-CN"/>
        </w:rPr>
        <w:t>Shaukat</w:t>
      </w:r>
      <w:proofErr w:type="spellEnd"/>
      <w:r w:rsidRPr="006F40E4">
        <w:rPr>
          <w:rFonts w:ascii="Book Antiqua" w:eastAsia="宋体" w:hAnsi="Book Antiqua" w:cs="宋体"/>
          <w:sz w:val="24"/>
          <w:szCs w:val="24"/>
          <w:lang w:eastAsia="zh-CN"/>
        </w:rPr>
        <w:t xml:space="preserve"> A, </w:t>
      </w:r>
      <w:proofErr w:type="spellStart"/>
      <w:r w:rsidRPr="006F40E4">
        <w:rPr>
          <w:rFonts w:ascii="Book Antiqua" w:eastAsia="宋体" w:hAnsi="Book Antiqua" w:cs="宋体"/>
          <w:sz w:val="24"/>
          <w:szCs w:val="24"/>
          <w:lang w:eastAsia="zh-CN"/>
        </w:rPr>
        <w:t>Eloubeidi</w:t>
      </w:r>
      <w:proofErr w:type="spellEnd"/>
      <w:r w:rsidRPr="006F40E4">
        <w:rPr>
          <w:rFonts w:ascii="Book Antiqua" w:eastAsia="宋体" w:hAnsi="Book Antiqua" w:cs="宋体"/>
          <w:sz w:val="24"/>
          <w:szCs w:val="24"/>
          <w:lang w:eastAsia="zh-CN"/>
        </w:rPr>
        <w:t xml:space="preserve"> MA, </w:t>
      </w:r>
      <w:proofErr w:type="spellStart"/>
      <w:r w:rsidRPr="006F40E4">
        <w:rPr>
          <w:rFonts w:ascii="Book Antiqua" w:eastAsia="宋体" w:hAnsi="Book Antiqua" w:cs="宋体"/>
          <w:sz w:val="24"/>
          <w:szCs w:val="24"/>
          <w:lang w:eastAsia="zh-CN"/>
        </w:rPr>
        <w:t>Faulx</w:t>
      </w:r>
      <w:proofErr w:type="spellEnd"/>
      <w:r w:rsidRPr="006F40E4">
        <w:rPr>
          <w:rFonts w:ascii="Book Antiqua" w:eastAsia="宋体" w:hAnsi="Book Antiqua" w:cs="宋体"/>
          <w:sz w:val="24"/>
          <w:szCs w:val="24"/>
          <w:lang w:eastAsia="zh-CN"/>
        </w:rPr>
        <w:t xml:space="preserve"> AL, Wang A, Acosta RD. Bowel preparation before colonoscopy. </w:t>
      </w:r>
      <w:proofErr w:type="spellStart"/>
      <w:r w:rsidRPr="006F40E4">
        <w:rPr>
          <w:rFonts w:ascii="Book Antiqua" w:eastAsia="宋体" w:hAnsi="Book Antiqua" w:cs="宋体"/>
          <w:i/>
          <w:iCs/>
          <w:sz w:val="24"/>
          <w:szCs w:val="24"/>
          <w:lang w:eastAsia="zh-CN"/>
        </w:rPr>
        <w:t>Gastrointest</w:t>
      </w:r>
      <w:proofErr w:type="spellEnd"/>
      <w:r w:rsidRPr="006F40E4">
        <w:rPr>
          <w:rFonts w:ascii="Book Antiqua" w:eastAsia="宋体" w:hAnsi="Book Antiqua" w:cs="宋体"/>
          <w:i/>
          <w:iCs/>
          <w:sz w:val="24"/>
          <w:szCs w:val="24"/>
          <w:lang w:eastAsia="zh-CN"/>
        </w:rPr>
        <w:t xml:space="preserve"> </w:t>
      </w:r>
      <w:proofErr w:type="spellStart"/>
      <w:r w:rsidRPr="006F40E4">
        <w:rPr>
          <w:rFonts w:ascii="Book Antiqua" w:eastAsia="宋体" w:hAnsi="Book Antiqua" w:cs="宋体"/>
          <w:i/>
          <w:iCs/>
          <w:sz w:val="24"/>
          <w:szCs w:val="24"/>
          <w:lang w:eastAsia="zh-CN"/>
        </w:rPr>
        <w:t>Endosc</w:t>
      </w:r>
      <w:proofErr w:type="spellEnd"/>
      <w:r w:rsidRPr="006F40E4">
        <w:rPr>
          <w:rFonts w:ascii="Book Antiqua" w:eastAsia="宋体" w:hAnsi="Book Antiqua" w:cs="宋体"/>
          <w:sz w:val="24"/>
          <w:szCs w:val="24"/>
          <w:lang w:eastAsia="zh-CN"/>
        </w:rPr>
        <w:t xml:space="preserve"> 2015; </w:t>
      </w:r>
      <w:r w:rsidRPr="006F40E4">
        <w:rPr>
          <w:rFonts w:ascii="Book Antiqua" w:eastAsia="宋体" w:hAnsi="Book Antiqua" w:cs="宋体"/>
          <w:b/>
          <w:bCs/>
          <w:sz w:val="24"/>
          <w:szCs w:val="24"/>
          <w:lang w:eastAsia="zh-CN"/>
        </w:rPr>
        <w:t>81</w:t>
      </w:r>
      <w:r w:rsidRPr="006F40E4">
        <w:rPr>
          <w:rFonts w:ascii="Book Antiqua" w:eastAsia="宋体" w:hAnsi="Book Antiqua" w:cs="宋体"/>
          <w:sz w:val="24"/>
          <w:szCs w:val="24"/>
          <w:lang w:eastAsia="zh-CN"/>
        </w:rPr>
        <w:t>: 781-794 [PMID: 25595062]</w:t>
      </w:r>
    </w:p>
    <w:p w:rsidR="006F40E4" w:rsidRPr="006F40E4" w:rsidRDefault="006F40E4" w:rsidP="006F40E4">
      <w:pPr>
        <w:spacing w:after="0" w:line="360" w:lineRule="auto"/>
        <w:jc w:val="both"/>
        <w:rPr>
          <w:rFonts w:ascii="Book Antiqua" w:eastAsia="宋体" w:hAnsi="Book Antiqua" w:cs="宋体"/>
          <w:sz w:val="24"/>
          <w:szCs w:val="24"/>
          <w:lang w:eastAsia="zh-CN"/>
        </w:rPr>
      </w:pPr>
      <w:r w:rsidRPr="006F40E4">
        <w:rPr>
          <w:rFonts w:ascii="Book Antiqua" w:eastAsia="宋体" w:hAnsi="Book Antiqua" w:cs="宋体"/>
          <w:sz w:val="24"/>
          <w:szCs w:val="24"/>
          <w:lang w:eastAsia="zh-CN"/>
        </w:rPr>
        <w:t xml:space="preserve">70 </w:t>
      </w:r>
      <w:proofErr w:type="spellStart"/>
      <w:r w:rsidRPr="006F40E4">
        <w:rPr>
          <w:rFonts w:ascii="Book Antiqua" w:eastAsia="宋体" w:hAnsi="Book Antiqua" w:cs="宋体"/>
          <w:b/>
          <w:bCs/>
          <w:sz w:val="24"/>
          <w:szCs w:val="24"/>
          <w:lang w:eastAsia="zh-CN"/>
        </w:rPr>
        <w:t>Pontone</w:t>
      </w:r>
      <w:proofErr w:type="spellEnd"/>
      <w:r w:rsidRPr="006F40E4">
        <w:rPr>
          <w:rFonts w:ascii="Book Antiqua" w:eastAsia="宋体" w:hAnsi="Book Antiqua" w:cs="宋体"/>
          <w:b/>
          <w:bCs/>
          <w:sz w:val="24"/>
          <w:szCs w:val="24"/>
          <w:lang w:eastAsia="zh-CN"/>
        </w:rPr>
        <w:t xml:space="preserve"> S</w:t>
      </w:r>
      <w:r w:rsidRPr="006F40E4">
        <w:rPr>
          <w:rFonts w:ascii="Book Antiqua" w:eastAsia="宋体" w:hAnsi="Book Antiqua" w:cs="宋体"/>
          <w:sz w:val="24"/>
          <w:szCs w:val="24"/>
          <w:lang w:eastAsia="zh-CN"/>
        </w:rPr>
        <w:t xml:space="preserve">, </w:t>
      </w:r>
      <w:proofErr w:type="spellStart"/>
      <w:r w:rsidRPr="006F40E4">
        <w:rPr>
          <w:rFonts w:ascii="Book Antiqua" w:eastAsia="宋体" w:hAnsi="Book Antiqua" w:cs="宋体"/>
          <w:sz w:val="24"/>
          <w:szCs w:val="24"/>
          <w:lang w:eastAsia="zh-CN"/>
        </w:rPr>
        <w:t>Angelini</w:t>
      </w:r>
      <w:proofErr w:type="spellEnd"/>
      <w:r w:rsidRPr="006F40E4">
        <w:rPr>
          <w:rFonts w:ascii="Book Antiqua" w:eastAsia="宋体" w:hAnsi="Book Antiqua" w:cs="宋体"/>
          <w:sz w:val="24"/>
          <w:szCs w:val="24"/>
          <w:lang w:eastAsia="zh-CN"/>
        </w:rPr>
        <w:t xml:space="preserve"> R, </w:t>
      </w:r>
      <w:proofErr w:type="spellStart"/>
      <w:r w:rsidRPr="006F40E4">
        <w:rPr>
          <w:rFonts w:ascii="Book Antiqua" w:eastAsia="宋体" w:hAnsi="Book Antiqua" w:cs="宋体"/>
          <w:sz w:val="24"/>
          <w:szCs w:val="24"/>
          <w:lang w:eastAsia="zh-CN"/>
        </w:rPr>
        <w:t>Standoli</w:t>
      </w:r>
      <w:proofErr w:type="spellEnd"/>
      <w:r w:rsidRPr="006F40E4">
        <w:rPr>
          <w:rFonts w:ascii="Book Antiqua" w:eastAsia="宋体" w:hAnsi="Book Antiqua" w:cs="宋体"/>
          <w:sz w:val="24"/>
          <w:szCs w:val="24"/>
          <w:lang w:eastAsia="zh-CN"/>
        </w:rPr>
        <w:t xml:space="preserve"> M, </w:t>
      </w:r>
      <w:proofErr w:type="spellStart"/>
      <w:r w:rsidRPr="006F40E4">
        <w:rPr>
          <w:rFonts w:ascii="Book Antiqua" w:eastAsia="宋体" w:hAnsi="Book Antiqua" w:cs="宋体"/>
          <w:sz w:val="24"/>
          <w:szCs w:val="24"/>
          <w:lang w:eastAsia="zh-CN"/>
        </w:rPr>
        <w:t>Patrizi</w:t>
      </w:r>
      <w:proofErr w:type="spellEnd"/>
      <w:r w:rsidRPr="006F40E4">
        <w:rPr>
          <w:rFonts w:ascii="Book Antiqua" w:eastAsia="宋体" w:hAnsi="Book Antiqua" w:cs="宋体"/>
          <w:sz w:val="24"/>
          <w:szCs w:val="24"/>
          <w:lang w:eastAsia="zh-CN"/>
        </w:rPr>
        <w:t xml:space="preserve"> G, </w:t>
      </w:r>
      <w:proofErr w:type="spellStart"/>
      <w:r w:rsidRPr="006F40E4">
        <w:rPr>
          <w:rFonts w:ascii="Book Antiqua" w:eastAsia="宋体" w:hAnsi="Book Antiqua" w:cs="宋体"/>
          <w:sz w:val="24"/>
          <w:szCs w:val="24"/>
          <w:lang w:eastAsia="zh-CN"/>
        </w:rPr>
        <w:t>Culasso</w:t>
      </w:r>
      <w:proofErr w:type="spellEnd"/>
      <w:r w:rsidRPr="006F40E4">
        <w:rPr>
          <w:rFonts w:ascii="Book Antiqua" w:eastAsia="宋体" w:hAnsi="Book Antiqua" w:cs="宋体"/>
          <w:sz w:val="24"/>
          <w:szCs w:val="24"/>
          <w:lang w:eastAsia="zh-CN"/>
        </w:rPr>
        <w:t xml:space="preserve"> F, </w:t>
      </w:r>
      <w:proofErr w:type="spellStart"/>
      <w:r w:rsidRPr="006F40E4">
        <w:rPr>
          <w:rFonts w:ascii="Book Antiqua" w:eastAsia="宋体" w:hAnsi="Book Antiqua" w:cs="宋体"/>
          <w:sz w:val="24"/>
          <w:szCs w:val="24"/>
          <w:lang w:eastAsia="zh-CN"/>
        </w:rPr>
        <w:t>Pontone</w:t>
      </w:r>
      <w:proofErr w:type="spellEnd"/>
      <w:r w:rsidRPr="006F40E4">
        <w:rPr>
          <w:rFonts w:ascii="Book Antiqua" w:eastAsia="宋体" w:hAnsi="Book Antiqua" w:cs="宋体"/>
          <w:sz w:val="24"/>
          <w:szCs w:val="24"/>
          <w:lang w:eastAsia="zh-CN"/>
        </w:rPr>
        <w:t xml:space="preserve"> P, </w:t>
      </w:r>
      <w:proofErr w:type="spellStart"/>
      <w:r w:rsidRPr="006F40E4">
        <w:rPr>
          <w:rFonts w:ascii="Book Antiqua" w:eastAsia="宋体" w:hAnsi="Book Antiqua" w:cs="宋体"/>
          <w:sz w:val="24"/>
          <w:szCs w:val="24"/>
          <w:lang w:eastAsia="zh-CN"/>
        </w:rPr>
        <w:t>Redler</w:t>
      </w:r>
      <w:proofErr w:type="spellEnd"/>
      <w:r w:rsidRPr="006F40E4">
        <w:rPr>
          <w:rFonts w:ascii="Book Antiqua" w:eastAsia="宋体" w:hAnsi="Book Antiqua" w:cs="宋体"/>
          <w:sz w:val="24"/>
          <w:szCs w:val="24"/>
          <w:lang w:eastAsia="zh-CN"/>
        </w:rPr>
        <w:t xml:space="preserve"> A. Low-volume plus ascorbic acid vs high-volume plus simethicone bowel preparation before </w:t>
      </w:r>
      <w:r w:rsidRPr="006F40E4">
        <w:rPr>
          <w:rFonts w:ascii="Book Antiqua" w:eastAsia="宋体" w:hAnsi="Book Antiqua" w:cs="宋体"/>
          <w:sz w:val="24"/>
          <w:szCs w:val="24"/>
          <w:lang w:eastAsia="zh-CN"/>
        </w:rPr>
        <w:lastRenderedPageBreak/>
        <w:t xml:space="preserve">colonoscopy. </w:t>
      </w:r>
      <w:r w:rsidRPr="006F40E4">
        <w:rPr>
          <w:rFonts w:ascii="Book Antiqua" w:eastAsia="宋体" w:hAnsi="Book Antiqua" w:cs="宋体"/>
          <w:i/>
          <w:iCs/>
          <w:sz w:val="24"/>
          <w:szCs w:val="24"/>
          <w:lang w:eastAsia="zh-CN"/>
        </w:rPr>
        <w:t xml:space="preserve">World J </w:t>
      </w:r>
      <w:proofErr w:type="spellStart"/>
      <w:r w:rsidRPr="006F40E4">
        <w:rPr>
          <w:rFonts w:ascii="Book Antiqua" w:eastAsia="宋体" w:hAnsi="Book Antiqua" w:cs="宋体"/>
          <w:i/>
          <w:iCs/>
          <w:sz w:val="24"/>
          <w:szCs w:val="24"/>
          <w:lang w:eastAsia="zh-CN"/>
        </w:rPr>
        <w:t>Gastroenterol</w:t>
      </w:r>
      <w:proofErr w:type="spellEnd"/>
      <w:r w:rsidRPr="006F40E4">
        <w:rPr>
          <w:rFonts w:ascii="Book Antiqua" w:eastAsia="宋体" w:hAnsi="Book Antiqua" w:cs="宋体"/>
          <w:sz w:val="24"/>
          <w:szCs w:val="24"/>
          <w:lang w:eastAsia="zh-CN"/>
        </w:rPr>
        <w:t xml:space="preserve"> 2011; </w:t>
      </w:r>
      <w:r w:rsidRPr="006F40E4">
        <w:rPr>
          <w:rFonts w:ascii="Book Antiqua" w:eastAsia="宋体" w:hAnsi="Book Antiqua" w:cs="宋体"/>
          <w:b/>
          <w:bCs/>
          <w:sz w:val="24"/>
          <w:szCs w:val="24"/>
          <w:lang w:eastAsia="zh-CN"/>
        </w:rPr>
        <w:t>17</w:t>
      </w:r>
      <w:r w:rsidRPr="006F40E4">
        <w:rPr>
          <w:rFonts w:ascii="Book Antiqua" w:eastAsia="宋体" w:hAnsi="Book Antiqua" w:cs="宋体"/>
          <w:sz w:val="24"/>
          <w:szCs w:val="24"/>
          <w:lang w:eastAsia="zh-CN"/>
        </w:rPr>
        <w:t>: 4689-4695 [PMID: 22180711 DOI: 10.3748/wjg.v17.i42.4689]</w:t>
      </w:r>
    </w:p>
    <w:p w:rsidR="00A01200" w:rsidRPr="006F40E4" w:rsidRDefault="00A01200" w:rsidP="006F40E4">
      <w:pPr>
        <w:pStyle w:val="PlainText"/>
        <w:suppressLineNumbers/>
        <w:spacing w:line="360" w:lineRule="auto"/>
        <w:jc w:val="both"/>
        <w:rPr>
          <w:rFonts w:ascii="Book Antiqua" w:hAnsi="Book Antiqua"/>
          <w:sz w:val="24"/>
          <w:szCs w:val="24"/>
          <w:lang w:eastAsia="zh-CN"/>
        </w:rPr>
      </w:pPr>
    </w:p>
    <w:p w:rsidR="00F51BE9" w:rsidRPr="004E37AB" w:rsidRDefault="00F51BE9" w:rsidP="004E37AB">
      <w:pPr>
        <w:pStyle w:val="PlainText"/>
        <w:suppressLineNumbers/>
        <w:spacing w:line="360" w:lineRule="auto"/>
        <w:jc w:val="right"/>
        <w:rPr>
          <w:rFonts w:ascii="Book Antiqua" w:hAnsi="Book Antiqua"/>
          <w:sz w:val="24"/>
          <w:szCs w:val="24"/>
          <w:lang w:eastAsia="zh-CN"/>
        </w:rPr>
      </w:pPr>
      <w:r w:rsidRPr="004E37AB">
        <w:rPr>
          <w:rFonts w:ascii="Book Antiqua" w:hAnsi="Book Antiqua"/>
          <w:b/>
          <w:sz w:val="24"/>
          <w:szCs w:val="24"/>
        </w:rPr>
        <w:t>P-Reviewer:</w:t>
      </w:r>
      <w:r w:rsidRPr="004E37AB">
        <w:rPr>
          <w:rFonts w:ascii="Book Antiqua" w:hAnsi="Book Antiqua" w:cs="Tahoma"/>
          <w:color w:val="000000"/>
          <w:sz w:val="24"/>
          <w:szCs w:val="24"/>
        </w:rPr>
        <w:t xml:space="preserve"> </w:t>
      </w:r>
      <w:proofErr w:type="spellStart"/>
      <w:r w:rsidRPr="004E37AB">
        <w:rPr>
          <w:rFonts w:ascii="Book Antiqua" w:hAnsi="Book Antiqua" w:cs="Tahoma"/>
          <w:color w:val="000000"/>
          <w:sz w:val="24"/>
          <w:szCs w:val="24"/>
        </w:rPr>
        <w:t>Fogli</w:t>
      </w:r>
      <w:proofErr w:type="spellEnd"/>
      <w:r w:rsidRPr="004E37AB">
        <w:rPr>
          <w:rFonts w:ascii="Book Antiqua" w:hAnsi="Book Antiqua" w:cs="Tahoma"/>
          <w:color w:val="000000"/>
          <w:sz w:val="24"/>
          <w:szCs w:val="24"/>
          <w:lang w:eastAsia="zh-CN"/>
        </w:rPr>
        <w:t xml:space="preserve"> L, </w:t>
      </w:r>
      <w:proofErr w:type="spellStart"/>
      <w:r w:rsidRPr="004E37AB">
        <w:rPr>
          <w:rFonts w:ascii="Book Antiqua" w:hAnsi="Book Antiqua" w:cs="Tahoma"/>
          <w:color w:val="000000"/>
          <w:sz w:val="24"/>
          <w:szCs w:val="24"/>
        </w:rPr>
        <w:t>Kotwal</w:t>
      </w:r>
      <w:proofErr w:type="spellEnd"/>
      <w:r w:rsidRPr="004E37AB">
        <w:rPr>
          <w:rFonts w:ascii="Book Antiqua" w:hAnsi="Book Antiqua" w:cs="Tahoma"/>
          <w:color w:val="000000"/>
          <w:sz w:val="24"/>
          <w:szCs w:val="24"/>
          <w:lang w:eastAsia="zh-CN"/>
        </w:rPr>
        <w:t xml:space="preserve"> VS, </w:t>
      </w:r>
      <w:proofErr w:type="spellStart"/>
      <w:r w:rsidRPr="004E37AB">
        <w:rPr>
          <w:rFonts w:ascii="Book Antiqua" w:hAnsi="Book Antiqua" w:cs="Tahoma"/>
          <w:color w:val="000000"/>
          <w:sz w:val="24"/>
          <w:szCs w:val="24"/>
        </w:rPr>
        <w:t>Talmon</w:t>
      </w:r>
      <w:proofErr w:type="spellEnd"/>
      <w:r w:rsidRPr="004E37AB">
        <w:rPr>
          <w:rFonts w:ascii="Book Antiqua" w:hAnsi="Book Antiqua" w:cs="Tahoma"/>
          <w:color w:val="000000"/>
          <w:sz w:val="24"/>
          <w:szCs w:val="24"/>
          <w:lang w:eastAsia="zh-CN"/>
        </w:rPr>
        <w:t xml:space="preserve"> GA, </w:t>
      </w:r>
      <w:proofErr w:type="spellStart"/>
      <w:r w:rsidRPr="004E37AB">
        <w:rPr>
          <w:rFonts w:ascii="Book Antiqua" w:hAnsi="Book Antiqua" w:cs="Tahoma"/>
          <w:color w:val="000000"/>
          <w:sz w:val="24"/>
          <w:szCs w:val="24"/>
        </w:rPr>
        <w:t>Zaltman</w:t>
      </w:r>
      <w:proofErr w:type="spellEnd"/>
      <w:r w:rsidRPr="004E37AB">
        <w:rPr>
          <w:rFonts w:ascii="Book Antiqua" w:hAnsi="Book Antiqua" w:cs="Tahoma"/>
          <w:color w:val="000000"/>
          <w:sz w:val="24"/>
          <w:szCs w:val="24"/>
          <w:lang w:eastAsia="zh-CN"/>
        </w:rPr>
        <w:t xml:space="preserve"> C</w:t>
      </w:r>
      <w:r w:rsidRPr="004E37AB">
        <w:rPr>
          <w:rFonts w:ascii="Book Antiqua" w:hAnsi="Book Antiqua"/>
          <w:b/>
          <w:sz w:val="24"/>
          <w:szCs w:val="24"/>
        </w:rPr>
        <w:t xml:space="preserve"> S-Editor: </w:t>
      </w:r>
      <w:r w:rsidRPr="004E37AB">
        <w:rPr>
          <w:rFonts w:ascii="Book Antiqua" w:hAnsi="Book Antiqua"/>
          <w:sz w:val="24"/>
          <w:szCs w:val="24"/>
        </w:rPr>
        <w:t>Ji FF</w:t>
      </w:r>
      <w:r w:rsidRPr="004E37AB">
        <w:rPr>
          <w:rFonts w:ascii="Book Antiqua" w:hAnsi="Book Antiqua"/>
          <w:b/>
          <w:sz w:val="24"/>
          <w:szCs w:val="24"/>
        </w:rPr>
        <w:t xml:space="preserve"> L-Editor: E-Editor:</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br w:type="page"/>
      </w:r>
    </w:p>
    <w:p w:rsidR="00F157AD" w:rsidRPr="00A01200" w:rsidRDefault="00A01200" w:rsidP="00A7194B">
      <w:pPr>
        <w:pStyle w:val="PlainText"/>
        <w:suppressLineNumbers/>
        <w:spacing w:line="360" w:lineRule="auto"/>
        <w:jc w:val="both"/>
        <w:rPr>
          <w:rFonts w:ascii="Book Antiqua" w:hAnsi="Book Antiqua"/>
          <w:b/>
          <w:sz w:val="24"/>
          <w:szCs w:val="24"/>
        </w:rPr>
      </w:pPr>
      <w:r w:rsidRPr="00A01200">
        <w:rPr>
          <w:rFonts w:ascii="Book Antiqua" w:hAnsi="Book Antiqua"/>
          <w:b/>
          <w:sz w:val="24"/>
          <w:szCs w:val="24"/>
        </w:rPr>
        <w:lastRenderedPageBreak/>
        <w:t>Table 1</w:t>
      </w:r>
      <w:r w:rsidR="00F157AD" w:rsidRPr="00A01200">
        <w:rPr>
          <w:rFonts w:ascii="Book Antiqua" w:hAnsi="Book Antiqua"/>
          <w:b/>
          <w:sz w:val="24"/>
          <w:szCs w:val="24"/>
        </w:rPr>
        <w:t xml:space="preserve"> Relative effectiveness and cost of available bowel preparations</w:t>
      </w:r>
    </w:p>
    <w:tbl>
      <w:tblPr>
        <w:tblStyle w:val="TableGrid"/>
        <w:tblW w:w="9576" w:type="dxa"/>
        <w:tblLook w:val="04A0" w:firstRow="1" w:lastRow="0" w:firstColumn="1" w:lastColumn="0" w:noHBand="0" w:noVBand="1"/>
      </w:tblPr>
      <w:tblGrid>
        <w:gridCol w:w="1662"/>
        <w:gridCol w:w="1480"/>
        <w:gridCol w:w="1627"/>
        <w:gridCol w:w="2120"/>
        <w:gridCol w:w="2687"/>
      </w:tblGrid>
      <w:tr w:rsidR="00A7194B" w:rsidRPr="00A7194B" w:rsidTr="0097657F">
        <w:tc>
          <w:tcPr>
            <w:tcW w:w="1662"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Prep</w:t>
            </w:r>
          </w:p>
        </w:tc>
        <w:tc>
          <w:tcPr>
            <w:tcW w:w="1480" w:type="dxa"/>
          </w:tcPr>
          <w:p w:rsidR="0097657F" w:rsidRPr="00A7194B" w:rsidRDefault="0097657F" w:rsidP="00A7194B">
            <w:pPr>
              <w:suppressLineNumbers/>
              <w:spacing w:line="360" w:lineRule="auto"/>
              <w:jc w:val="both"/>
              <w:rPr>
                <w:rFonts w:ascii="Book Antiqua" w:hAnsi="Book Antiqua"/>
                <w:sz w:val="24"/>
                <w:szCs w:val="24"/>
              </w:rPr>
            </w:pPr>
          </w:p>
        </w:tc>
        <w:tc>
          <w:tcPr>
            <w:tcW w:w="1627"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 Adequate</w:t>
            </w:r>
          </w:p>
        </w:tc>
        <w:tc>
          <w:tcPr>
            <w:tcW w:w="2120"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Lesion</w:t>
            </w:r>
            <w:r w:rsidR="00A01200" w:rsidRPr="00A7194B">
              <w:rPr>
                <w:rFonts w:ascii="Book Antiqua" w:hAnsi="Book Antiqua"/>
                <w:sz w:val="24"/>
                <w:szCs w:val="24"/>
              </w:rPr>
              <w:t xml:space="preserve"> detection ra</w:t>
            </w:r>
            <w:r w:rsidRPr="00A7194B">
              <w:rPr>
                <w:rFonts w:ascii="Book Antiqua" w:hAnsi="Book Antiqua"/>
                <w:sz w:val="24"/>
                <w:szCs w:val="24"/>
              </w:rPr>
              <w:t>te</w:t>
            </w:r>
          </w:p>
        </w:tc>
        <w:tc>
          <w:tcPr>
            <w:tcW w:w="2687" w:type="dxa"/>
          </w:tcPr>
          <w:p w:rsidR="0097657F" w:rsidRPr="00A7194B" w:rsidRDefault="0097657F" w:rsidP="00A01200">
            <w:pPr>
              <w:suppressLineNumbers/>
              <w:spacing w:line="360" w:lineRule="auto"/>
              <w:jc w:val="both"/>
              <w:rPr>
                <w:rFonts w:ascii="Book Antiqua" w:hAnsi="Book Antiqua"/>
                <w:sz w:val="24"/>
                <w:szCs w:val="24"/>
                <w:lang w:eastAsia="zh-CN"/>
              </w:rPr>
            </w:pPr>
            <w:r w:rsidRPr="00A7194B">
              <w:rPr>
                <w:rFonts w:ascii="Book Antiqua" w:hAnsi="Book Antiqua"/>
                <w:sz w:val="24"/>
                <w:szCs w:val="24"/>
              </w:rPr>
              <w:t>Cost</w:t>
            </w:r>
            <w:r w:rsidR="00A01200" w:rsidRPr="00A01200">
              <w:rPr>
                <w:rFonts w:ascii="Book Antiqua" w:hAnsi="Book Antiqua" w:hint="eastAsia"/>
                <w:sz w:val="24"/>
                <w:szCs w:val="24"/>
                <w:vertAlign w:val="superscript"/>
                <w:lang w:eastAsia="zh-CN"/>
              </w:rPr>
              <w:t>1</w:t>
            </w:r>
          </w:p>
        </w:tc>
      </w:tr>
      <w:tr w:rsidR="00A7194B" w:rsidRPr="00A7194B" w:rsidTr="0097657F">
        <w:tc>
          <w:tcPr>
            <w:tcW w:w="1662" w:type="dxa"/>
            <w:vMerge w:val="restart"/>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4</w:t>
            </w:r>
            <w:r w:rsidR="00A01200">
              <w:rPr>
                <w:rFonts w:ascii="Book Antiqua" w:hAnsi="Book Antiqua" w:hint="eastAsia"/>
                <w:sz w:val="24"/>
                <w:szCs w:val="24"/>
                <w:lang w:eastAsia="zh-CN"/>
              </w:rPr>
              <w:t xml:space="preserve"> </w:t>
            </w:r>
            <w:r w:rsidRPr="00A7194B">
              <w:rPr>
                <w:rFonts w:ascii="Book Antiqua" w:hAnsi="Book Antiqua"/>
                <w:sz w:val="24"/>
                <w:szCs w:val="24"/>
              </w:rPr>
              <w:t>L PEG</w:t>
            </w:r>
          </w:p>
        </w:tc>
        <w:tc>
          <w:tcPr>
            <w:tcW w:w="1480"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Single</w:t>
            </w:r>
          </w:p>
        </w:tc>
        <w:tc>
          <w:tcPr>
            <w:tcW w:w="1627"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51</w:t>
            </w:r>
            <w:r w:rsidR="00A01200">
              <w:rPr>
                <w:rFonts w:ascii="Book Antiqua" w:hAnsi="Book Antiqua" w:hint="eastAsia"/>
                <w:sz w:val="24"/>
                <w:szCs w:val="24"/>
                <w:lang w:eastAsia="zh-CN"/>
              </w:rPr>
              <w:t>%</w:t>
            </w:r>
            <w:r w:rsidRPr="00A7194B">
              <w:rPr>
                <w:rFonts w:ascii="Book Antiqua" w:hAnsi="Book Antiqua"/>
                <w:sz w:val="24"/>
                <w:szCs w:val="24"/>
              </w:rPr>
              <w:t>-88%</w:t>
            </w:r>
            <w:r w:rsidRPr="00A7194B">
              <w:rPr>
                <w:rFonts w:ascii="Book Antiqua" w:hAnsi="Book Antiqua"/>
                <w:sz w:val="24"/>
                <w:szCs w:val="24"/>
                <w:vertAlign w:val="superscript"/>
              </w:rPr>
              <w:t>[16,64]</w:t>
            </w:r>
          </w:p>
        </w:tc>
        <w:tc>
          <w:tcPr>
            <w:tcW w:w="2120" w:type="dxa"/>
            <w:vMerge w:val="restart"/>
          </w:tcPr>
          <w:p w:rsidR="0097657F" w:rsidRPr="00A7194B" w:rsidRDefault="00911648" w:rsidP="00A7194B">
            <w:pPr>
              <w:suppressLineNumbers/>
              <w:spacing w:line="360" w:lineRule="auto"/>
              <w:jc w:val="both"/>
              <w:rPr>
                <w:rFonts w:ascii="Book Antiqua" w:hAnsi="Book Antiqua"/>
                <w:sz w:val="24"/>
                <w:szCs w:val="24"/>
              </w:rPr>
            </w:pPr>
            <w:r w:rsidRPr="00A7194B">
              <w:rPr>
                <w:rFonts w:ascii="Book Antiqua" w:hAnsi="Book Antiqua"/>
                <w:sz w:val="24"/>
                <w:szCs w:val="24"/>
              </w:rPr>
              <w:t>PDR 50.5%-51%</w:t>
            </w:r>
            <w:r w:rsidR="00A01200">
              <w:rPr>
                <w:rFonts w:ascii="Book Antiqua" w:hAnsi="Book Antiqua"/>
                <w:sz w:val="24"/>
                <w:szCs w:val="24"/>
                <w:vertAlign w:val="superscript"/>
              </w:rPr>
              <w:t>[51,</w:t>
            </w:r>
            <w:r w:rsidRPr="00A7194B">
              <w:rPr>
                <w:rFonts w:ascii="Book Antiqua" w:hAnsi="Book Antiqua"/>
                <w:sz w:val="24"/>
                <w:szCs w:val="24"/>
                <w:vertAlign w:val="superscript"/>
              </w:rPr>
              <w:t>26]</w:t>
            </w:r>
          </w:p>
          <w:p w:rsidR="00911648" w:rsidRPr="00A7194B" w:rsidRDefault="00911648" w:rsidP="00A7194B">
            <w:pPr>
              <w:suppressLineNumbers/>
              <w:spacing w:line="360" w:lineRule="auto"/>
              <w:jc w:val="both"/>
              <w:rPr>
                <w:rFonts w:ascii="Book Antiqua" w:hAnsi="Book Antiqua"/>
                <w:sz w:val="24"/>
                <w:szCs w:val="24"/>
              </w:rPr>
            </w:pPr>
            <w:r w:rsidRPr="00A7194B">
              <w:rPr>
                <w:rFonts w:ascii="Book Antiqua" w:hAnsi="Book Antiqua"/>
                <w:sz w:val="24"/>
                <w:szCs w:val="24"/>
              </w:rPr>
              <w:t>ADR 27.8-34.3%</w:t>
            </w:r>
            <w:r w:rsidR="004940C3">
              <w:rPr>
                <w:rFonts w:ascii="Book Antiqua" w:hAnsi="Book Antiqua"/>
                <w:sz w:val="24"/>
                <w:szCs w:val="24"/>
                <w:vertAlign w:val="superscript"/>
              </w:rPr>
              <w:t>[51,</w:t>
            </w:r>
            <w:r w:rsidR="00CC4B56" w:rsidRPr="00A7194B">
              <w:rPr>
                <w:rFonts w:ascii="Book Antiqua" w:hAnsi="Book Antiqua"/>
                <w:sz w:val="24"/>
                <w:szCs w:val="24"/>
                <w:vertAlign w:val="superscript"/>
              </w:rPr>
              <w:t>70</w:t>
            </w:r>
            <w:r w:rsidRPr="00A7194B">
              <w:rPr>
                <w:rFonts w:ascii="Book Antiqua" w:hAnsi="Book Antiqua"/>
                <w:sz w:val="24"/>
                <w:szCs w:val="24"/>
                <w:vertAlign w:val="superscript"/>
              </w:rPr>
              <w:t>]</w:t>
            </w:r>
          </w:p>
        </w:tc>
        <w:tc>
          <w:tcPr>
            <w:tcW w:w="2687" w:type="dxa"/>
            <w:vMerge w:val="restart"/>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PEG 3350 with electrolytes 4</w:t>
            </w:r>
            <w:r w:rsidR="00A01200">
              <w:rPr>
                <w:rFonts w:ascii="Book Antiqua" w:hAnsi="Book Antiqua" w:hint="eastAsia"/>
                <w:sz w:val="24"/>
                <w:szCs w:val="24"/>
                <w:lang w:eastAsia="zh-CN"/>
              </w:rPr>
              <w:t xml:space="preserve"> </w:t>
            </w:r>
            <w:r w:rsidRPr="00A7194B">
              <w:rPr>
                <w:rFonts w:ascii="Book Antiqua" w:hAnsi="Book Antiqua"/>
                <w:sz w:val="24"/>
                <w:szCs w:val="24"/>
              </w:rPr>
              <w:t>L</w:t>
            </w:r>
          </w:p>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$26.59</w:t>
            </w:r>
          </w:p>
        </w:tc>
      </w:tr>
      <w:tr w:rsidR="00A7194B" w:rsidRPr="00A7194B" w:rsidTr="0097657F">
        <w:tc>
          <w:tcPr>
            <w:tcW w:w="1662" w:type="dxa"/>
            <w:vMerge/>
          </w:tcPr>
          <w:p w:rsidR="0097657F" w:rsidRPr="00A7194B" w:rsidRDefault="0097657F" w:rsidP="00A7194B">
            <w:pPr>
              <w:suppressLineNumbers/>
              <w:spacing w:line="360" w:lineRule="auto"/>
              <w:jc w:val="both"/>
              <w:rPr>
                <w:rFonts w:ascii="Book Antiqua" w:hAnsi="Book Antiqua"/>
                <w:sz w:val="24"/>
                <w:szCs w:val="24"/>
              </w:rPr>
            </w:pPr>
          </w:p>
        </w:tc>
        <w:tc>
          <w:tcPr>
            <w:tcW w:w="1480"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Split</w:t>
            </w:r>
          </w:p>
        </w:tc>
        <w:tc>
          <w:tcPr>
            <w:tcW w:w="1627"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71.3</w:t>
            </w:r>
            <w:r w:rsidR="00A01200">
              <w:rPr>
                <w:rFonts w:ascii="Book Antiqua" w:hAnsi="Book Antiqua" w:hint="eastAsia"/>
                <w:sz w:val="24"/>
                <w:szCs w:val="24"/>
                <w:lang w:eastAsia="zh-CN"/>
              </w:rPr>
              <w:t>%</w:t>
            </w:r>
            <w:r w:rsidRPr="00A7194B">
              <w:rPr>
                <w:rFonts w:ascii="Book Antiqua" w:hAnsi="Book Antiqua"/>
                <w:sz w:val="24"/>
                <w:szCs w:val="24"/>
              </w:rPr>
              <w:t>-92.1%</w:t>
            </w:r>
            <w:r w:rsidRPr="00A7194B">
              <w:rPr>
                <w:rFonts w:ascii="Book Antiqua" w:hAnsi="Book Antiqua"/>
                <w:sz w:val="24"/>
                <w:szCs w:val="24"/>
                <w:vertAlign w:val="superscript"/>
              </w:rPr>
              <w:t>[51,23]</w:t>
            </w:r>
          </w:p>
        </w:tc>
        <w:tc>
          <w:tcPr>
            <w:tcW w:w="2120" w:type="dxa"/>
            <w:vMerge/>
          </w:tcPr>
          <w:p w:rsidR="0097657F" w:rsidRPr="00A7194B" w:rsidRDefault="0097657F" w:rsidP="00A7194B">
            <w:pPr>
              <w:suppressLineNumbers/>
              <w:spacing w:line="360" w:lineRule="auto"/>
              <w:jc w:val="both"/>
              <w:rPr>
                <w:rFonts w:ascii="Book Antiqua" w:hAnsi="Book Antiqua"/>
                <w:sz w:val="24"/>
                <w:szCs w:val="24"/>
              </w:rPr>
            </w:pPr>
          </w:p>
        </w:tc>
        <w:tc>
          <w:tcPr>
            <w:tcW w:w="2687" w:type="dxa"/>
            <w:vMerge/>
          </w:tcPr>
          <w:p w:rsidR="0097657F" w:rsidRPr="00A7194B" w:rsidRDefault="0097657F" w:rsidP="00A7194B">
            <w:pPr>
              <w:suppressLineNumbers/>
              <w:spacing w:line="360" w:lineRule="auto"/>
              <w:jc w:val="both"/>
              <w:rPr>
                <w:rFonts w:ascii="Book Antiqua" w:hAnsi="Book Antiqua"/>
                <w:sz w:val="24"/>
                <w:szCs w:val="24"/>
              </w:rPr>
            </w:pPr>
          </w:p>
        </w:tc>
      </w:tr>
      <w:tr w:rsidR="00A7194B" w:rsidRPr="00A7194B" w:rsidTr="0097657F">
        <w:tc>
          <w:tcPr>
            <w:tcW w:w="1662" w:type="dxa"/>
            <w:vMerge w:val="restart"/>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2</w:t>
            </w:r>
            <w:r w:rsidR="00A01200">
              <w:rPr>
                <w:rFonts w:ascii="Book Antiqua" w:hAnsi="Book Antiqua" w:hint="eastAsia"/>
                <w:sz w:val="24"/>
                <w:szCs w:val="24"/>
                <w:lang w:eastAsia="zh-CN"/>
              </w:rPr>
              <w:t xml:space="preserve"> </w:t>
            </w:r>
            <w:r w:rsidRPr="00A7194B">
              <w:rPr>
                <w:rFonts w:ascii="Book Antiqua" w:hAnsi="Book Antiqua"/>
                <w:sz w:val="24"/>
                <w:szCs w:val="24"/>
              </w:rPr>
              <w:t>L PEG</w:t>
            </w:r>
          </w:p>
        </w:tc>
        <w:tc>
          <w:tcPr>
            <w:tcW w:w="1480"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Single</w:t>
            </w:r>
          </w:p>
        </w:tc>
        <w:tc>
          <w:tcPr>
            <w:tcW w:w="1627"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83.5</w:t>
            </w:r>
            <w:r w:rsidR="00A01200">
              <w:rPr>
                <w:rFonts w:ascii="Book Antiqua" w:hAnsi="Book Antiqua" w:hint="eastAsia"/>
                <w:sz w:val="24"/>
                <w:szCs w:val="24"/>
                <w:lang w:eastAsia="zh-CN"/>
              </w:rPr>
              <w:t>%</w:t>
            </w:r>
            <w:r w:rsidRPr="00A7194B">
              <w:rPr>
                <w:rFonts w:ascii="Book Antiqua" w:hAnsi="Book Antiqua"/>
                <w:sz w:val="24"/>
                <w:szCs w:val="24"/>
              </w:rPr>
              <w:t>-91%</w:t>
            </w:r>
            <w:r w:rsidRPr="00A7194B">
              <w:rPr>
                <w:rFonts w:ascii="Book Antiqua" w:hAnsi="Book Antiqua"/>
                <w:sz w:val="24"/>
                <w:szCs w:val="24"/>
                <w:vertAlign w:val="superscript"/>
              </w:rPr>
              <w:t>[45,64]</w:t>
            </w:r>
          </w:p>
        </w:tc>
        <w:tc>
          <w:tcPr>
            <w:tcW w:w="2120" w:type="dxa"/>
            <w:vMerge w:val="restart"/>
          </w:tcPr>
          <w:p w:rsidR="0097657F" w:rsidRPr="00A7194B" w:rsidRDefault="00911648" w:rsidP="00A7194B">
            <w:pPr>
              <w:suppressLineNumbers/>
              <w:spacing w:line="360" w:lineRule="auto"/>
              <w:jc w:val="both"/>
              <w:rPr>
                <w:rFonts w:ascii="Book Antiqua" w:hAnsi="Book Antiqua"/>
                <w:sz w:val="24"/>
                <w:szCs w:val="24"/>
              </w:rPr>
            </w:pPr>
            <w:r w:rsidRPr="00A7194B">
              <w:rPr>
                <w:rFonts w:ascii="Book Antiqua" w:hAnsi="Book Antiqua"/>
                <w:sz w:val="24"/>
                <w:szCs w:val="24"/>
              </w:rPr>
              <w:t>ADR 18.8%</w:t>
            </w:r>
            <w:r w:rsidRPr="00A7194B">
              <w:rPr>
                <w:rFonts w:ascii="Book Antiqua" w:hAnsi="Book Antiqua"/>
                <w:sz w:val="24"/>
                <w:szCs w:val="24"/>
                <w:vertAlign w:val="superscript"/>
              </w:rPr>
              <w:t>[</w:t>
            </w:r>
            <w:r w:rsidR="00CC4B56" w:rsidRPr="00A7194B">
              <w:rPr>
                <w:rFonts w:ascii="Book Antiqua" w:hAnsi="Book Antiqua"/>
                <w:sz w:val="24"/>
                <w:szCs w:val="24"/>
                <w:vertAlign w:val="superscript"/>
              </w:rPr>
              <w:t>70</w:t>
            </w:r>
            <w:r w:rsidRPr="00A7194B">
              <w:rPr>
                <w:rFonts w:ascii="Book Antiqua" w:hAnsi="Book Antiqua"/>
                <w:sz w:val="24"/>
                <w:szCs w:val="24"/>
                <w:vertAlign w:val="superscript"/>
              </w:rPr>
              <w:t>]</w:t>
            </w:r>
          </w:p>
        </w:tc>
        <w:tc>
          <w:tcPr>
            <w:tcW w:w="2687" w:type="dxa"/>
            <w:vMerge w:val="restart"/>
          </w:tcPr>
          <w:p w:rsidR="0097657F" w:rsidRPr="00A7194B" w:rsidRDefault="0097657F" w:rsidP="00A7194B">
            <w:pPr>
              <w:suppressLineNumbers/>
              <w:spacing w:line="360" w:lineRule="auto"/>
              <w:jc w:val="both"/>
              <w:rPr>
                <w:rFonts w:ascii="Book Antiqua" w:hAnsi="Book Antiqua"/>
                <w:sz w:val="24"/>
                <w:szCs w:val="24"/>
              </w:rPr>
            </w:pPr>
            <w:proofErr w:type="spellStart"/>
            <w:r w:rsidRPr="00A7194B">
              <w:rPr>
                <w:rFonts w:ascii="Book Antiqua" w:hAnsi="Book Antiqua"/>
                <w:sz w:val="24"/>
                <w:szCs w:val="24"/>
              </w:rPr>
              <w:t>Moviprep</w:t>
            </w:r>
            <w:proofErr w:type="spellEnd"/>
            <w:r w:rsidRPr="00A7194B">
              <w:rPr>
                <w:rFonts w:ascii="Book Antiqua" w:hAnsi="Book Antiqua"/>
                <w:sz w:val="24"/>
                <w:szCs w:val="24"/>
              </w:rPr>
              <w:t xml:space="preserve"> 100</w:t>
            </w:r>
            <w:r w:rsidR="00A01200">
              <w:rPr>
                <w:rFonts w:ascii="Book Antiqua" w:hAnsi="Book Antiqua" w:hint="eastAsia"/>
                <w:sz w:val="24"/>
                <w:szCs w:val="24"/>
                <w:lang w:eastAsia="zh-CN"/>
              </w:rPr>
              <w:t xml:space="preserve"> </w:t>
            </w:r>
            <w:r w:rsidR="00DF5C5C">
              <w:rPr>
                <w:rFonts w:ascii="Book Antiqua" w:hAnsi="Book Antiqua"/>
                <w:sz w:val="24"/>
                <w:szCs w:val="24"/>
              </w:rPr>
              <w:t>g/</w:t>
            </w:r>
            <w:r w:rsidRPr="00A7194B">
              <w:rPr>
                <w:rFonts w:ascii="Book Antiqua" w:hAnsi="Book Antiqua"/>
                <w:sz w:val="24"/>
                <w:szCs w:val="24"/>
              </w:rPr>
              <w:t>1 kit</w:t>
            </w:r>
          </w:p>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$91.55</w:t>
            </w:r>
          </w:p>
        </w:tc>
      </w:tr>
      <w:tr w:rsidR="00A7194B" w:rsidRPr="00A7194B" w:rsidTr="0097657F">
        <w:tc>
          <w:tcPr>
            <w:tcW w:w="1662" w:type="dxa"/>
            <w:vMerge/>
          </w:tcPr>
          <w:p w:rsidR="0097657F" w:rsidRPr="00A7194B" w:rsidRDefault="0097657F" w:rsidP="00A7194B">
            <w:pPr>
              <w:suppressLineNumbers/>
              <w:spacing w:line="360" w:lineRule="auto"/>
              <w:jc w:val="both"/>
              <w:rPr>
                <w:rFonts w:ascii="Book Antiqua" w:hAnsi="Book Antiqua"/>
                <w:sz w:val="24"/>
                <w:szCs w:val="24"/>
              </w:rPr>
            </w:pPr>
          </w:p>
        </w:tc>
        <w:tc>
          <w:tcPr>
            <w:tcW w:w="1480"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Split</w:t>
            </w:r>
          </w:p>
        </w:tc>
        <w:tc>
          <w:tcPr>
            <w:tcW w:w="1627"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74.4</w:t>
            </w:r>
            <w:r w:rsidR="00A01200">
              <w:rPr>
                <w:rFonts w:ascii="Book Antiqua" w:hAnsi="Book Antiqua" w:hint="eastAsia"/>
                <w:sz w:val="24"/>
                <w:szCs w:val="24"/>
                <w:lang w:eastAsia="zh-CN"/>
              </w:rPr>
              <w:t>%</w:t>
            </w:r>
            <w:r w:rsidRPr="00A7194B">
              <w:rPr>
                <w:rFonts w:ascii="Book Antiqua" w:hAnsi="Book Antiqua"/>
                <w:sz w:val="24"/>
                <w:szCs w:val="24"/>
              </w:rPr>
              <w:t>-93.5%</w:t>
            </w:r>
            <w:r w:rsidRPr="00A7194B">
              <w:rPr>
                <w:rFonts w:ascii="Book Antiqua" w:hAnsi="Book Antiqua"/>
                <w:sz w:val="24"/>
                <w:szCs w:val="24"/>
                <w:vertAlign w:val="superscript"/>
              </w:rPr>
              <w:t>[48,45]</w:t>
            </w:r>
          </w:p>
        </w:tc>
        <w:tc>
          <w:tcPr>
            <w:tcW w:w="2120" w:type="dxa"/>
            <w:vMerge/>
          </w:tcPr>
          <w:p w:rsidR="0097657F" w:rsidRPr="00A7194B" w:rsidRDefault="0097657F" w:rsidP="00A7194B">
            <w:pPr>
              <w:suppressLineNumbers/>
              <w:spacing w:line="360" w:lineRule="auto"/>
              <w:jc w:val="both"/>
              <w:rPr>
                <w:rFonts w:ascii="Book Antiqua" w:hAnsi="Book Antiqua"/>
                <w:sz w:val="24"/>
                <w:szCs w:val="24"/>
              </w:rPr>
            </w:pPr>
          </w:p>
        </w:tc>
        <w:tc>
          <w:tcPr>
            <w:tcW w:w="2687" w:type="dxa"/>
            <w:vMerge/>
          </w:tcPr>
          <w:p w:rsidR="0097657F" w:rsidRPr="00A7194B" w:rsidRDefault="0097657F" w:rsidP="00A7194B">
            <w:pPr>
              <w:suppressLineNumbers/>
              <w:spacing w:line="360" w:lineRule="auto"/>
              <w:jc w:val="both"/>
              <w:rPr>
                <w:rFonts w:ascii="Book Antiqua" w:hAnsi="Book Antiqua"/>
                <w:sz w:val="24"/>
                <w:szCs w:val="24"/>
              </w:rPr>
            </w:pPr>
          </w:p>
        </w:tc>
      </w:tr>
      <w:tr w:rsidR="00A7194B" w:rsidRPr="00A7194B" w:rsidTr="0097657F">
        <w:tc>
          <w:tcPr>
            <w:tcW w:w="1662" w:type="dxa"/>
            <w:vMerge w:val="restart"/>
          </w:tcPr>
          <w:p w:rsidR="0097657F" w:rsidRPr="00A7194B" w:rsidRDefault="0097657F" w:rsidP="00A7194B">
            <w:pPr>
              <w:suppressLineNumbers/>
              <w:spacing w:line="360" w:lineRule="auto"/>
              <w:jc w:val="both"/>
              <w:rPr>
                <w:rFonts w:ascii="Book Antiqua" w:hAnsi="Book Antiqua"/>
                <w:sz w:val="24"/>
                <w:szCs w:val="24"/>
              </w:rPr>
            </w:pPr>
            <w:proofErr w:type="spellStart"/>
            <w:r w:rsidRPr="00A7194B">
              <w:rPr>
                <w:rFonts w:ascii="Book Antiqua" w:hAnsi="Book Antiqua"/>
                <w:sz w:val="24"/>
                <w:szCs w:val="24"/>
              </w:rPr>
              <w:t>MiraLAX</w:t>
            </w:r>
            <w:proofErr w:type="spellEnd"/>
          </w:p>
        </w:tc>
        <w:tc>
          <w:tcPr>
            <w:tcW w:w="1480"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Single</w:t>
            </w:r>
          </w:p>
        </w:tc>
        <w:tc>
          <w:tcPr>
            <w:tcW w:w="1627"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67.8</w:t>
            </w:r>
            <w:r w:rsidR="00A01200">
              <w:rPr>
                <w:rFonts w:ascii="Book Antiqua" w:hAnsi="Book Antiqua" w:hint="eastAsia"/>
                <w:sz w:val="24"/>
                <w:szCs w:val="24"/>
                <w:lang w:eastAsia="zh-CN"/>
              </w:rPr>
              <w:t>%</w:t>
            </w:r>
            <w:r w:rsidRPr="00A7194B">
              <w:rPr>
                <w:rFonts w:ascii="Book Antiqua" w:hAnsi="Book Antiqua"/>
                <w:sz w:val="24"/>
                <w:szCs w:val="24"/>
              </w:rPr>
              <w:t>-81.8%</w:t>
            </w:r>
            <w:r w:rsidRPr="00A7194B">
              <w:rPr>
                <w:rFonts w:ascii="Book Antiqua" w:hAnsi="Book Antiqua"/>
                <w:sz w:val="24"/>
                <w:szCs w:val="24"/>
                <w:vertAlign w:val="superscript"/>
              </w:rPr>
              <w:t>[31,29]</w:t>
            </w:r>
          </w:p>
        </w:tc>
        <w:tc>
          <w:tcPr>
            <w:tcW w:w="2120" w:type="dxa"/>
            <w:vMerge w:val="restart"/>
          </w:tcPr>
          <w:p w:rsidR="0097657F" w:rsidRPr="00A7194B" w:rsidRDefault="00911648" w:rsidP="00A7194B">
            <w:pPr>
              <w:suppressLineNumbers/>
              <w:spacing w:line="360" w:lineRule="auto"/>
              <w:jc w:val="both"/>
              <w:rPr>
                <w:rFonts w:ascii="Book Antiqua" w:hAnsi="Book Antiqua"/>
                <w:sz w:val="24"/>
                <w:szCs w:val="24"/>
              </w:rPr>
            </w:pPr>
            <w:r w:rsidRPr="00A7194B">
              <w:rPr>
                <w:rFonts w:ascii="Book Antiqua" w:hAnsi="Book Antiqua"/>
                <w:sz w:val="24"/>
                <w:szCs w:val="24"/>
              </w:rPr>
              <w:t>PDR 47%</w:t>
            </w:r>
            <w:r w:rsidRPr="00A7194B">
              <w:rPr>
                <w:rFonts w:ascii="Book Antiqua" w:hAnsi="Book Antiqua"/>
                <w:sz w:val="24"/>
                <w:szCs w:val="24"/>
                <w:vertAlign w:val="superscript"/>
              </w:rPr>
              <w:t>[26]</w:t>
            </w:r>
          </w:p>
        </w:tc>
        <w:tc>
          <w:tcPr>
            <w:tcW w:w="2687" w:type="dxa"/>
            <w:vMerge w:val="restart"/>
          </w:tcPr>
          <w:p w:rsidR="0097657F" w:rsidRPr="00A7194B" w:rsidRDefault="0097657F" w:rsidP="00A7194B">
            <w:pPr>
              <w:suppressLineNumbers/>
              <w:spacing w:line="360" w:lineRule="auto"/>
              <w:jc w:val="both"/>
              <w:rPr>
                <w:rFonts w:ascii="Book Antiqua" w:hAnsi="Book Antiqua"/>
                <w:sz w:val="24"/>
                <w:szCs w:val="24"/>
                <w:lang w:eastAsia="zh-CN"/>
              </w:rPr>
            </w:pPr>
            <w:proofErr w:type="spellStart"/>
            <w:r w:rsidRPr="00A7194B">
              <w:rPr>
                <w:rFonts w:ascii="Book Antiqua" w:hAnsi="Book Antiqua"/>
                <w:sz w:val="24"/>
                <w:szCs w:val="24"/>
              </w:rPr>
              <w:t>MiraLAX</w:t>
            </w:r>
            <w:proofErr w:type="spellEnd"/>
            <w:r w:rsidR="00DF5C5C">
              <w:rPr>
                <w:rFonts w:ascii="Book Antiqua" w:hAnsi="Book Antiqua"/>
                <w:sz w:val="24"/>
                <w:szCs w:val="24"/>
              </w:rPr>
              <w:t xml:space="preserve"> 8.3oz/</w:t>
            </w:r>
            <w:r w:rsidRPr="00A7194B">
              <w:rPr>
                <w:rFonts w:ascii="Book Antiqua" w:hAnsi="Book Antiqua"/>
                <w:sz w:val="24"/>
                <w:szCs w:val="24"/>
              </w:rPr>
              <w:t>238</w:t>
            </w:r>
            <w:r w:rsidR="00A01200">
              <w:rPr>
                <w:rFonts w:ascii="Book Antiqua" w:hAnsi="Book Antiqua" w:hint="eastAsia"/>
                <w:sz w:val="24"/>
                <w:szCs w:val="24"/>
                <w:lang w:eastAsia="zh-CN"/>
              </w:rPr>
              <w:t xml:space="preserve"> </w:t>
            </w:r>
            <w:r w:rsidR="00A01200">
              <w:rPr>
                <w:rFonts w:ascii="Book Antiqua" w:hAnsi="Book Antiqua"/>
                <w:sz w:val="24"/>
                <w:szCs w:val="24"/>
              </w:rPr>
              <w:t>g</w:t>
            </w:r>
          </w:p>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$13.99</w:t>
            </w:r>
          </w:p>
        </w:tc>
      </w:tr>
      <w:tr w:rsidR="00A7194B" w:rsidRPr="00A7194B" w:rsidTr="0097657F">
        <w:tc>
          <w:tcPr>
            <w:tcW w:w="1662" w:type="dxa"/>
            <w:vMerge/>
          </w:tcPr>
          <w:p w:rsidR="0097657F" w:rsidRPr="00A7194B" w:rsidRDefault="0097657F" w:rsidP="00A7194B">
            <w:pPr>
              <w:suppressLineNumbers/>
              <w:spacing w:line="360" w:lineRule="auto"/>
              <w:jc w:val="both"/>
              <w:rPr>
                <w:rFonts w:ascii="Book Antiqua" w:hAnsi="Book Antiqua"/>
                <w:sz w:val="24"/>
                <w:szCs w:val="24"/>
              </w:rPr>
            </w:pPr>
          </w:p>
        </w:tc>
        <w:tc>
          <w:tcPr>
            <w:tcW w:w="1480"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Split</w:t>
            </w:r>
          </w:p>
        </w:tc>
        <w:tc>
          <w:tcPr>
            <w:tcW w:w="1627" w:type="dxa"/>
          </w:tcPr>
          <w:p w:rsidR="0097657F" w:rsidRPr="00A7194B" w:rsidRDefault="0097657F" w:rsidP="00A7194B">
            <w:pPr>
              <w:suppressLineNumbers/>
              <w:spacing w:line="360" w:lineRule="auto"/>
              <w:jc w:val="both"/>
              <w:rPr>
                <w:rFonts w:ascii="Book Antiqua" w:hAnsi="Book Antiqua"/>
                <w:sz w:val="24"/>
                <w:szCs w:val="24"/>
              </w:rPr>
            </w:pPr>
          </w:p>
        </w:tc>
        <w:tc>
          <w:tcPr>
            <w:tcW w:w="2120" w:type="dxa"/>
            <w:vMerge/>
          </w:tcPr>
          <w:p w:rsidR="0097657F" w:rsidRPr="00A7194B" w:rsidRDefault="0097657F" w:rsidP="00A7194B">
            <w:pPr>
              <w:suppressLineNumbers/>
              <w:spacing w:line="360" w:lineRule="auto"/>
              <w:jc w:val="both"/>
              <w:rPr>
                <w:rFonts w:ascii="Book Antiqua" w:hAnsi="Book Antiqua"/>
                <w:sz w:val="24"/>
                <w:szCs w:val="24"/>
              </w:rPr>
            </w:pPr>
          </w:p>
        </w:tc>
        <w:tc>
          <w:tcPr>
            <w:tcW w:w="2687" w:type="dxa"/>
            <w:vMerge/>
          </w:tcPr>
          <w:p w:rsidR="0097657F" w:rsidRPr="00A7194B" w:rsidRDefault="0097657F" w:rsidP="00A7194B">
            <w:pPr>
              <w:suppressLineNumbers/>
              <w:spacing w:line="360" w:lineRule="auto"/>
              <w:jc w:val="both"/>
              <w:rPr>
                <w:rFonts w:ascii="Book Antiqua" w:hAnsi="Book Antiqua"/>
                <w:sz w:val="24"/>
                <w:szCs w:val="24"/>
              </w:rPr>
            </w:pPr>
          </w:p>
        </w:tc>
      </w:tr>
      <w:tr w:rsidR="00A7194B" w:rsidRPr="00A7194B" w:rsidTr="0097657F">
        <w:tc>
          <w:tcPr>
            <w:tcW w:w="1662"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Sodium Phosphate</w:t>
            </w:r>
          </w:p>
        </w:tc>
        <w:tc>
          <w:tcPr>
            <w:tcW w:w="1480" w:type="dxa"/>
          </w:tcPr>
          <w:p w:rsidR="0097657F" w:rsidRPr="00A7194B" w:rsidRDefault="0097657F" w:rsidP="00A7194B">
            <w:pPr>
              <w:suppressLineNumbers/>
              <w:spacing w:line="360" w:lineRule="auto"/>
              <w:jc w:val="both"/>
              <w:rPr>
                <w:rFonts w:ascii="Book Antiqua" w:hAnsi="Book Antiqua"/>
                <w:sz w:val="24"/>
                <w:szCs w:val="24"/>
              </w:rPr>
            </w:pPr>
          </w:p>
        </w:tc>
        <w:tc>
          <w:tcPr>
            <w:tcW w:w="1627"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84.3</w:t>
            </w:r>
            <w:r w:rsidR="00A01200">
              <w:rPr>
                <w:rFonts w:ascii="Book Antiqua" w:hAnsi="Book Antiqua" w:hint="eastAsia"/>
                <w:sz w:val="24"/>
                <w:szCs w:val="24"/>
                <w:lang w:eastAsia="zh-CN"/>
              </w:rPr>
              <w:t>%</w:t>
            </w:r>
            <w:r w:rsidRPr="00A7194B">
              <w:rPr>
                <w:rFonts w:ascii="Book Antiqua" w:hAnsi="Book Antiqua"/>
                <w:sz w:val="24"/>
                <w:szCs w:val="24"/>
              </w:rPr>
              <w:t>-90%</w:t>
            </w:r>
            <w:r w:rsidRPr="00A7194B">
              <w:rPr>
                <w:rFonts w:ascii="Book Antiqua" w:hAnsi="Book Antiqua"/>
                <w:sz w:val="24"/>
                <w:szCs w:val="24"/>
                <w:vertAlign w:val="superscript"/>
              </w:rPr>
              <w:t>[37,35]</w:t>
            </w:r>
          </w:p>
        </w:tc>
        <w:tc>
          <w:tcPr>
            <w:tcW w:w="2120"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Not Available</w:t>
            </w:r>
          </w:p>
        </w:tc>
        <w:tc>
          <w:tcPr>
            <w:tcW w:w="2687" w:type="dxa"/>
          </w:tcPr>
          <w:p w:rsidR="0097657F" w:rsidRPr="00A7194B" w:rsidRDefault="0097657F" w:rsidP="00A7194B">
            <w:pPr>
              <w:suppressLineNumbers/>
              <w:spacing w:line="360" w:lineRule="auto"/>
              <w:jc w:val="both"/>
              <w:rPr>
                <w:rFonts w:ascii="Book Antiqua" w:hAnsi="Book Antiqua"/>
                <w:sz w:val="24"/>
                <w:szCs w:val="24"/>
              </w:rPr>
            </w:pPr>
            <w:proofErr w:type="spellStart"/>
            <w:r w:rsidRPr="00A7194B">
              <w:rPr>
                <w:rFonts w:ascii="Book Antiqua" w:hAnsi="Book Antiqua"/>
                <w:sz w:val="24"/>
                <w:szCs w:val="24"/>
              </w:rPr>
              <w:t>OsmoPrep</w:t>
            </w:r>
            <w:proofErr w:type="spellEnd"/>
            <w:r w:rsidRPr="00A7194B">
              <w:rPr>
                <w:rFonts w:ascii="Book Antiqua" w:hAnsi="Book Antiqua"/>
                <w:sz w:val="24"/>
                <w:szCs w:val="24"/>
              </w:rPr>
              <w:t xml:space="preserve"> 32 tabs</w:t>
            </w:r>
          </w:p>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$163.05</w:t>
            </w:r>
          </w:p>
        </w:tc>
      </w:tr>
      <w:tr w:rsidR="00A7194B" w:rsidRPr="00A7194B" w:rsidTr="0097657F">
        <w:tc>
          <w:tcPr>
            <w:tcW w:w="1662" w:type="dxa"/>
            <w:vMerge w:val="restart"/>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 xml:space="preserve">Sodium </w:t>
            </w:r>
            <w:proofErr w:type="spellStart"/>
            <w:r w:rsidRPr="00A7194B">
              <w:rPr>
                <w:rFonts w:ascii="Book Antiqua" w:hAnsi="Book Antiqua"/>
                <w:sz w:val="24"/>
                <w:szCs w:val="24"/>
              </w:rPr>
              <w:t>Picosulfate</w:t>
            </w:r>
            <w:proofErr w:type="spellEnd"/>
          </w:p>
        </w:tc>
        <w:tc>
          <w:tcPr>
            <w:tcW w:w="1480"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Single</w:t>
            </w:r>
          </w:p>
        </w:tc>
        <w:tc>
          <w:tcPr>
            <w:tcW w:w="1627"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61.5</w:t>
            </w:r>
            <w:r w:rsidR="00A01200">
              <w:rPr>
                <w:rFonts w:ascii="Book Antiqua" w:hAnsi="Book Antiqua" w:hint="eastAsia"/>
                <w:sz w:val="24"/>
                <w:szCs w:val="24"/>
                <w:lang w:eastAsia="zh-CN"/>
              </w:rPr>
              <w:t>%</w:t>
            </w:r>
            <w:r w:rsidRPr="00A7194B">
              <w:rPr>
                <w:rFonts w:ascii="Book Antiqua" w:hAnsi="Book Antiqua"/>
                <w:sz w:val="24"/>
                <w:szCs w:val="24"/>
              </w:rPr>
              <w:t>-82.6%</w:t>
            </w:r>
            <w:r w:rsidRPr="00A7194B">
              <w:rPr>
                <w:rFonts w:ascii="Book Antiqua" w:hAnsi="Book Antiqua"/>
                <w:sz w:val="24"/>
                <w:szCs w:val="24"/>
                <w:vertAlign w:val="superscript"/>
              </w:rPr>
              <w:t>[51,49]</w:t>
            </w:r>
          </w:p>
        </w:tc>
        <w:tc>
          <w:tcPr>
            <w:tcW w:w="2120" w:type="dxa"/>
            <w:vMerge w:val="restart"/>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PDR 38.5</w:t>
            </w:r>
            <w:r w:rsidR="00A01200">
              <w:rPr>
                <w:rFonts w:ascii="Book Antiqua" w:hAnsi="Book Antiqua" w:hint="eastAsia"/>
                <w:sz w:val="24"/>
                <w:szCs w:val="24"/>
                <w:lang w:eastAsia="zh-CN"/>
              </w:rPr>
              <w:t>%</w:t>
            </w:r>
            <w:r w:rsidRPr="00A7194B">
              <w:rPr>
                <w:rFonts w:ascii="Book Antiqua" w:hAnsi="Book Antiqua"/>
                <w:sz w:val="24"/>
                <w:szCs w:val="24"/>
              </w:rPr>
              <w:t>-42.9%</w:t>
            </w:r>
            <w:r w:rsidRPr="00A7194B">
              <w:rPr>
                <w:rFonts w:ascii="Book Antiqua" w:hAnsi="Book Antiqua"/>
                <w:sz w:val="24"/>
                <w:szCs w:val="24"/>
                <w:vertAlign w:val="superscript"/>
              </w:rPr>
              <w:t>[51,53]</w:t>
            </w:r>
          </w:p>
          <w:p w:rsidR="00911648"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ADR 23.8</w:t>
            </w:r>
            <w:r w:rsidR="00A01200">
              <w:rPr>
                <w:rFonts w:ascii="Book Antiqua" w:hAnsi="Book Antiqua" w:hint="eastAsia"/>
                <w:sz w:val="24"/>
                <w:szCs w:val="24"/>
                <w:lang w:eastAsia="zh-CN"/>
              </w:rPr>
              <w:t>%</w:t>
            </w:r>
            <w:r w:rsidRPr="00A7194B">
              <w:rPr>
                <w:rFonts w:ascii="Book Antiqua" w:hAnsi="Book Antiqua"/>
                <w:sz w:val="24"/>
                <w:szCs w:val="24"/>
              </w:rPr>
              <w:t>-31.3%</w:t>
            </w:r>
            <w:r w:rsidRPr="00A7194B">
              <w:rPr>
                <w:rFonts w:ascii="Book Antiqua" w:hAnsi="Book Antiqua"/>
                <w:sz w:val="24"/>
                <w:szCs w:val="24"/>
                <w:vertAlign w:val="superscript"/>
              </w:rPr>
              <w:t>[</w:t>
            </w:r>
            <w:r w:rsidR="00A01200">
              <w:rPr>
                <w:rFonts w:ascii="Book Antiqua" w:hAnsi="Book Antiqua"/>
                <w:sz w:val="24"/>
                <w:szCs w:val="24"/>
                <w:vertAlign w:val="superscript"/>
              </w:rPr>
              <w:t>53,</w:t>
            </w:r>
            <w:r w:rsidR="00911648" w:rsidRPr="00A7194B">
              <w:rPr>
                <w:rFonts w:ascii="Book Antiqua" w:hAnsi="Book Antiqua"/>
                <w:sz w:val="24"/>
                <w:szCs w:val="24"/>
                <w:vertAlign w:val="superscript"/>
              </w:rPr>
              <w:t>51]</w:t>
            </w:r>
          </w:p>
        </w:tc>
        <w:tc>
          <w:tcPr>
            <w:tcW w:w="2687" w:type="dxa"/>
            <w:vMerge w:val="restart"/>
          </w:tcPr>
          <w:p w:rsidR="0097657F" w:rsidRPr="00A7194B" w:rsidRDefault="0097657F" w:rsidP="00A7194B">
            <w:pPr>
              <w:suppressLineNumbers/>
              <w:spacing w:line="360" w:lineRule="auto"/>
              <w:jc w:val="both"/>
              <w:rPr>
                <w:rFonts w:ascii="Book Antiqua" w:hAnsi="Book Antiqua"/>
                <w:sz w:val="24"/>
                <w:szCs w:val="24"/>
              </w:rPr>
            </w:pPr>
            <w:proofErr w:type="spellStart"/>
            <w:r w:rsidRPr="00A7194B">
              <w:rPr>
                <w:rFonts w:ascii="Book Antiqua" w:hAnsi="Book Antiqua"/>
                <w:sz w:val="24"/>
                <w:szCs w:val="24"/>
              </w:rPr>
              <w:t>Prepopik</w:t>
            </w:r>
            <w:proofErr w:type="spellEnd"/>
            <w:r w:rsidRPr="00A7194B">
              <w:rPr>
                <w:rFonts w:ascii="Book Antiqua" w:hAnsi="Book Antiqua"/>
                <w:sz w:val="24"/>
                <w:szCs w:val="24"/>
              </w:rPr>
              <w:t xml:space="preserve">, 2 </w:t>
            </w:r>
            <w:proofErr w:type="spellStart"/>
            <w:r w:rsidRPr="00A7194B">
              <w:rPr>
                <w:rFonts w:ascii="Book Antiqua" w:hAnsi="Book Antiqua"/>
                <w:sz w:val="24"/>
                <w:szCs w:val="24"/>
              </w:rPr>
              <w:t>pkts</w:t>
            </w:r>
            <w:proofErr w:type="spellEnd"/>
          </w:p>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$121.31</w:t>
            </w:r>
          </w:p>
        </w:tc>
      </w:tr>
      <w:tr w:rsidR="00A7194B" w:rsidRPr="00A7194B" w:rsidTr="0097657F">
        <w:tc>
          <w:tcPr>
            <w:tcW w:w="1662" w:type="dxa"/>
            <w:vMerge/>
          </w:tcPr>
          <w:p w:rsidR="0097657F" w:rsidRPr="00A7194B" w:rsidRDefault="0097657F" w:rsidP="00A7194B">
            <w:pPr>
              <w:suppressLineNumbers/>
              <w:spacing w:line="360" w:lineRule="auto"/>
              <w:jc w:val="both"/>
              <w:rPr>
                <w:rFonts w:ascii="Book Antiqua" w:hAnsi="Book Antiqua"/>
                <w:sz w:val="24"/>
                <w:szCs w:val="24"/>
              </w:rPr>
            </w:pPr>
          </w:p>
        </w:tc>
        <w:tc>
          <w:tcPr>
            <w:tcW w:w="1480"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Split</w:t>
            </w:r>
          </w:p>
        </w:tc>
        <w:tc>
          <w:tcPr>
            <w:tcW w:w="1627"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81.6</w:t>
            </w:r>
            <w:r w:rsidR="00A01200">
              <w:rPr>
                <w:rFonts w:ascii="Book Antiqua" w:hAnsi="Book Antiqua" w:hint="eastAsia"/>
                <w:sz w:val="24"/>
                <w:szCs w:val="24"/>
                <w:lang w:eastAsia="zh-CN"/>
              </w:rPr>
              <w:t>%</w:t>
            </w:r>
            <w:r w:rsidRPr="00A7194B">
              <w:rPr>
                <w:rFonts w:ascii="Book Antiqua" w:hAnsi="Book Antiqua"/>
                <w:sz w:val="24"/>
                <w:szCs w:val="24"/>
              </w:rPr>
              <w:t>-87.9%</w:t>
            </w:r>
            <w:r w:rsidRPr="00A7194B">
              <w:rPr>
                <w:rFonts w:ascii="Book Antiqua" w:hAnsi="Book Antiqua"/>
                <w:sz w:val="24"/>
                <w:szCs w:val="24"/>
                <w:vertAlign w:val="superscript"/>
              </w:rPr>
              <w:t>[49,50]</w:t>
            </w:r>
          </w:p>
        </w:tc>
        <w:tc>
          <w:tcPr>
            <w:tcW w:w="2120" w:type="dxa"/>
            <w:vMerge/>
          </w:tcPr>
          <w:p w:rsidR="0097657F" w:rsidRPr="00A7194B" w:rsidRDefault="0097657F" w:rsidP="00A7194B">
            <w:pPr>
              <w:suppressLineNumbers/>
              <w:spacing w:line="360" w:lineRule="auto"/>
              <w:jc w:val="both"/>
              <w:rPr>
                <w:rFonts w:ascii="Book Antiqua" w:hAnsi="Book Antiqua"/>
                <w:sz w:val="24"/>
                <w:szCs w:val="24"/>
              </w:rPr>
            </w:pPr>
          </w:p>
        </w:tc>
        <w:tc>
          <w:tcPr>
            <w:tcW w:w="2687" w:type="dxa"/>
            <w:vMerge/>
          </w:tcPr>
          <w:p w:rsidR="0097657F" w:rsidRPr="00A7194B" w:rsidRDefault="0097657F" w:rsidP="00A7194B">
            <w:pPr>
              <w:suppressLineNumbers/>
              <w:spacing w:line="360" w:lineRule="auto"/>
              <w:jc w:val="both"/>
              <w:rPr>
                <w:rFonts w:ascii="Book Antiqua" w:hAnsi="Book Antiqua"/>
                <w:sz w:val="24"/>
                <w:szCs w:val="24"/>
              </w:rPr>
            </w:pPr>
          </w:p>
        </w:tc>
      </w:tr>
      <w:tr w:rsidR="00A7194B" w:rsidRPr="00A7194B" w:rsidTr="0097657F">
        <w:tc>
          <w:tcPr>
            <w:tcW w:w="1662" w:type="dxa"/>
            <w:vMerge w:val="restart"/>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Oral Sulfate Solution</w:t>
            </w:r>
          </w:p>
        </w:tc>
        <w:tc>
          <w:tcPr>
            <w:tcW w:w="1480" w:type="dxa"/>
          </w:tcPr>
          <w:p w:rsidR="0097657F" w:rsidRPr="00A7194B" w:rsidRDefault="0097657F" w:rsidP="00A7194B">
            <w:pPr>
              <w:suppressLineNumbers/>
              <w:spacing w:line="360" w:lineRule="auto"/>
              <w:jc w:val="both"/>
              <w:rPr>
                <w:rFonts w:ascii="Book Antiqua" w:hAnsi="Book Antiqua"/>
                <w:sz w:val="24"/>
                <w:szCs w:val="24"/>
              </w:rPr>
            </w:pPr>
            <w:proofErr w:type="spellStart"/>
            <w:r w:rsidRPr="00A7194B">
              <w:rPr>
                <w:rFonts w:ascii="Book Antiqua" w:hAnsi="Book Antiqua"/>
                <w:sz w:val="24"/>
                <w:szCs w:val="24"/>
              </w:rPr>
              <w:t>SuPrep</w:t>
            </w:r>
            <w:proofErr w:type="spellEnd"/>
          </w:p>
        </w:tc>
        <w:tc>
          <w:tcPr>
            <w:tcW w:w="1627"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94.7</w:t>
            </w:r>
            <w:r w:rsidR="00A01200">
              <w:rPr>
                <w:rFonts w:ascii="Book Antiqua" w:hAnsi="Book Antiqua" w:hint="eastAsia"/>
                <w:sz w:val="24"/>
                <w:szCs w:val="24"/>
                <w:lang w:eastAsia="zh-CN"/>
              </w:rPr>
              <w:t>%</w:t>
            </w:r>
            <w:r w:rsidRPr="00A7194B">
              <w:rPr>
                <w:rFonts w:ascii="Book Antiqua" w:hAnsi="Book Antiqua"/>
                <w:sz w:val="24"/>
                <w:szCs w:val="24"/>
              </w:rPr>
              <w:t>-98.4%</w:t>
            </w:r>
            <w:r w:rsidRPr="00A7194B">
              <w:rPr>
                <w:rFonts w:ascii="Book Antiqua" w:hAnsi="Book Antiqua"/>
                <w:sz w:val="24"/>
                <w:szCs w:val="24"/>
                <w:vertAlign w:val="superscript"/>
              </w:rPr>
              <w:t>[53,44]</w:t>
            </w:r>
          </w:p>
        </w:tc>
        <w:tc>
          <w:tcPr>
            <w:tcW w:w="2120" w:type="dxa"/>
            <w:vMerge w:val="restart"/>
          </w:tcPr>
          <w:p w:rsidR="0097657F" w:rsidRPr="00A7194B" w:rsidRDefault="00911648" w:rsidP="00A7194B">
            <w:pPr>
              <w:suppressLineNumbers/>
              <w:spacing w:line="360" w:lineRule="auto"/>
              <w:jc w:val="both"/>
              <w:rPr>
                <w:rFonts w:ascii="Book Antiqua" w:hAnsi="Book Antiqua"/>
                <w:sz w:val="24"/>
                <w:szCs w:val="24"/>
              </w:rPr>
            </w:pPr>
            <w:r w:rsidRPr="00A7194B">
              <w:rPr>
                <w:rFonts w:ascii="Book Antiqua" w:hAnsi="Book Antiqua"/>
                <w:sz w:val="24"/>
                <w:szCs w:val="24"/>
              </w:rPr>
              <w:t>PDR 50.9%</w:t>
            </w:r>
            <w:r w:rsidRPr="00A7194B">
              <w:rPr>
                <w:rFonts w:ascii="Book Antiqua" w:hAnsi="Book Antiqua"/>
                <w:sz w:val="24"/>
                <w:szCs w:val="24"/>
                <w:vertAlign w:val="superscript"/>
              </w:rPr>
              <w:t>[53]</w:t>
            </w:r>
          </w:p>
          <w:p w:rsidR="00911648" w:rsidRPr="00A7194B" w:rsidRDefault="00911648" w:rsidP="00A7194B">
            <w:pPr>
              <w:suppressLineNumbers/>
              <w:spacing w:line="360" w:lineRule="auto"/>
              <w:jc w:val="both"/>
              <w:rPr>
                <w:rFonts w:ascii="Book Antiqua" w:hAnsi="Book Antiqua"/>
                <w:sz w:val="24"/>
                <w:szCs w:val="24"/>
              </w:rPr>
            </w:pPr>
            <w:r w:rsidRPr="00A7194B">
              <w:rPr>
                <w:rFonts w:ascii="Book Antiqua" w:hAnsi="Book Antiqua"/>
                <w:sz w:val="24"/>
                <w:szCs w:val="24"/>
              </w:rPr>
              <w:t xml:space="preserve">ADR 26% </w:t>
            </w:r>
            <w:r w:rsidRPr="00A7194B">
              <w:rPr>
                <w:rFonts w:ascii="Book Antiqua" w:hAnsi="Book Antiqua"/>
                <w:sz w:val="24"/>
                <w:szCs w:val="24"/>
                <w:vertAlign w:val="superscript"/>
              </w:rPr>
              <w:t>[53]</w:t>
            </w:r>
          </w:p>
        </w:tc>
        <w:tc>
          <w:tcPr>
            <w:tcW w:w="2687" w:type="dxa"/>
          </w:tcPr>
          <w:p w:rsidR="0097657F" w:rsidRPr="00A7194B" w:rsidRDefault="0097657F" w:rsidP="00A7194B">
            <w:pPr>
              <w:suppressLineNumbers/>
              <w:spacing w:line="360" w:lineRule="auto"/>
              <w:jc w:val="both"/>
              <w:rPr>
                <w:rFonts w:ascii="Book Antiqua" w:hAnsi="Book Antiqua"/>
                <w:sz w:val="24"/>
                <w:szCs w:val="24"/>
              </w:rPr>
            </w:pPr>
            <w:proofErr w:type="spellStart"/>
            <w:r w:rsidRPr="00A7194B">
              <w:rPr>
                <w:rFonts w:ascii="Book Antiqua" w:hAnsi="Book Antiqua"/>
                <w:sz w:val="24"/>
                <w:szCs w:val="24"/>
              </w:rPr>
              <w:t>SuPrep</w:t>
            </w:r>
            <w:proofErr w:type="spellEnd"/>
            <w:r w:rsidRPr="00A7194B">
              <w:rPr>
                <w:rFonts w:ascii="Book Antiqua" w:hAnsi="Book Antiqua"/>
                <w:sz w:val="24"/>
                <w:szCs w:val="24"/>
              </w:rPr>
              <w:t xml:space="preserve"> 1kit </w:t>
            </w:r>
          </w:p>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$49.09</w:t>
            </w:r>
          </w:p>
        </w:tc>
      </w:tr>
      <w:tr w:rsidR="00A7194B" w:rsidRPr="00A7194B" w:rsidTr="0097657F">
        <w:tc>
          <w:tcPr>
            <w:tcW w:w="1662" w:type="dxa"/>
            <w:vMerge/>
          </w:tcPr>
          <w:p w:rsidR="0097657F" w:rsidRPr="00A7194B" w:rsidRDefault="0097657F" w:rsidP="00A7194B">
            <w:pPr>
              <w:suppressLineNumbers/>
              <w:spacing w:line="360" w:lineRule="auto"/>
              <w:jc w:val="both"/>
              <w:rPr>
                <w:rFonts w:ascii="Book Antiqua" w:hAnsi="Book Antiqua"/>
                <w:sz w:val="24"/>
                <w:szCs w:val="24"/>
              </w:rPr>
            </w:pPr>
          </w:p>
        </w:tc>
        <w:tc>
          <w:tcPr>
            <w:tcW w:w="1480" w:type="dxa"/>
          </w:tcPr>
          <w:p w:rsidR="0097657F" w:rsidRPr="00A7194B" w:rsidRDefault="0097657F" w:rsidP="00A7194B">
            <w:pPr>
              <w:suppressLineNumbers/>
              <w:spacing w:line="360" w:lineRule="auto"/>
              <w:jc w:val="both"/>
              <w:rPr>
                <w:rFonts w:ascii="Book Antiqua" w:hAnsi="Book Antiqua"/>
                <w:sz w:val="24"/>
                <w:szCs w:val="24"/>
              </w:rPr>
            </w:pPr>
            <w:proofErr w:type="spellStart"/>
            <w:r w:rsidRPr="00A7194B">
              <w:rPr>
                <w:rFonts w:ascii="Book Antiqua" w:hAnsi="Book Antiqua"/>
                <w:sz w:val="24"/>
                <w:szCs w:val="24"/>
              </w:rPr>
              <w:t>Suclear</w:t>
            </w:r>
            <w:proofErr w:type="spellEnd"/>
          </w:p>
        </w:tc>
        <w:tc>
          <w:tcPr>
            <w:tcW w:w="1627" w:type="dxa"/>
          </w:tcPr>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93.5%</w:t>
            </w:r>
            <w:r w:rsidRPr="00A7194B">
              <w:rPr>
                <w:rFonts w:ascii="Book Antiqua" w:hAnsi="Book Antiqua"/>
                <w:sz w:val="24"/>
                <w:szCs w:val="24"/>
                <w:vertAlign w:val="superscript"/>
              </w:rPr>
              <w:t>[45]</w:t>
            </w:r>
          </w:p>
        </w:tc>
        <w:tc>
          <w:tcPr>
            <w:tcW w:w="2120" w:type="dxa"/>
            <w:vMerge/>
          </w:tcPr>
          <w:p w:rsidR="0097657F" w:rsidRPr="00A7194B" w:rsidRDefault="0097657F" w:rsidP="00A7194B">
            <w:pPr>
              <w:suppressLineNumbers/>
              <w:spacing w:line="360" w:lineRule="auto"/>
              <w:jc w:val="both"/>
              <w:rPr>
                <w:rFonts w:ascii="Book Antiqua" w:hAnsi="Book Antiqua"/>
                <w:sz w:val="24"/>
                <w:szCs w:val="24"/>
              </w:rPr>
            </w:pPr>
          </w:p>
        </w:tc>
        <w:tc>
          <w:tcPr>
            <w:tcW w:w="2687" w:type="dxa"/>
          </w:tcPr>
          <w:p w:rsidR="0097657F" w:rsidRPr="00A7194B" w:rsidRDefault="0097657F" w:rsidP="00A7194B">
            <w:pPr>
              <w:suppressLineNumbers/>
              <w:spacing w:line="360" w:lineRule="auto"/>
              <w:jc w:val="both"/>
              <w:rPr>
                <w:rFonts w:ascii="Book Antiqua" w:hAnsi="Book Antiqua"/>
                <w:sz w:val="24"/>
                <w:szCs w:val="24"/>
              </w:rPr>
            </w:pPr>
            <w:proofErr w:type="spellStart"/>
            <w:r w:rsidRPr="00A7194B">
              <w:rPr>
                <w:rFonts w:ascii="Book Antiqua" w:hAnsi="Book Antiqua"/>
                <w:sz w:val="24"/>
                <w:szCs w:val="24"/>
              </w:rPr>
              <w:t>Suclear</w:t>
            </w:r>
            <w:proofErr w:type="spellEnd"/>
            <w:r w:rsidRPr="00A7194B">
              <w:rPr>
                <w:rFonts w:ascii="Book Antiqua" w:hAnsi="Book Antiqua"/>
                <w:sz w:val="24"/>
                <w:szCs w:val="24"/>
              </w:rPr>
              <w:t xml:space="preserve"> </w:t>
            </w:r>
          </w:p>
          <w:p w:rsidR="0097657F" w:rsidRPr="00A7194B" w:rsidRDefault="0097657F" w:rsidP="00A7194B">
            <w:pPr>
              <w:suppressLineNumbers/>
              <w:spacing w:line="360" w:lineRule="auto"/>
              <w:jc w:val="both"/>
              <w:rPr>
                <w:rFonts w:ascii="Book Antiqua" w:hAnsi="Book Antiqua"/>
                <w:sz w:val="24"/>
                <w:szCs w:val="24"/>
              </w:rPr>
            </w:pPr>
            <w:r w:rsidRPr="00A7194B">
              <w:rPr>
                <w:rFonts w:ascii="Book Antiqua" w:hAnsi="Book Antiqua"/>
                <w:sz w:val="24"/>
                <w:szCs w:val="24"/>
              </w:rPr>
              <w:t>$76.38</w:t>
            </w:r>
          </w:p>
        </w:tc>
      </w:tr>
    </w:tbl>
    <w:p w:rsidR="00F157AD" w:rsidRPr="00A7194B" w:rsidRDefault="00A01200" w:rsidP="00A7194B">
      <w:pPr>
        <w:pStyle w:val="PlainText"/>
        <w:suppressLineNumbers/>
        <w:spacing w:line="360" w:lineRule="auto"/>
        <w:jc w:val="both"/>
        <w:rPr>
          <w:rFonts w:ascii="Book Antiqua" w:hAnsi="Book Antiqua"/>
          <w:sz w:val="24"/>
          <w:szCs w:val="24"/>
          <w:lang w:eastAsia="zh-CN"/>
        </w:rPr>
      </w:pPr>
      <w:r w:rsidRPr="00A01200">
        <w:rPr>
          <w:rFonts w:ascii="Book Antiqua" w:hAnsi="Book Antiqua" w:hint="eastAsia"/>
          <w:sz w:val="24"/>
          <w:szCs w:val="24"/>
          <w:vertAlign w:val="superscript"/>
          <w:lang w:eastAsia="zh-CN"/>
        </w:rPr>
        <w:t>1</w:t>
      </w:r>
      <w:r w:rsidR="00F157AD" w:rsidRPr="00A7194B">
        <w:rPr>
          <w:rFonts w:ascii="Book Antiqua" w:hAnsi="Book Antiqua"/>
          <w:sz w:val="24"/>
          <w:szCs w:val="24"/>
        </w:rPr>
        <w:t>Prices from RxPrice</w:t>
      </w:r>
      <w:r>
        <w:rPr>
          <w:rFonts w:ascii="Book Antiqua" w:hAnsi="Book Antiqua"/>
          <w:sz w:val="24"/>
          <w:szCs w:val="24"/>
        </w:rPr>
        <w:t>Quotes.com as listed for CVS w/</w:t>
      </w:r>
      <w:r w:rsidR="00F157AD" w:rsidRPr="00A7194B">
        <w:rPr>
          <w:rFonts w:ascii="Book Antiqua" w:hAnsi="Book Antiqua"/>
          <w:sz w:val="24"/>
          <w:szCs w:val="24"/>
        </w:rPr>
        <w:t xml:space="preserve">exception of </w:t>
      </w:r>
      <w:proofErr w:type="spellStart"/>
      <w:r w:rsidR="00F157AD" w:rsidRPr="00A7194B">
        <w:rPr>
          <w:rFonts w:ascii="Book Antiqua" w:hAnsi="Book Antiqua"/>
          <w:sz w:val="24"/>
          <w:szCs w:val="24"/>
        </w:rPr>
        <w:t>MiraLAX</w:t>
      </w:r>
      <w:proofErr w:type="spellEnd"/>
      <w:r w:rsidR="00F157AD" w:rsidRPr="00A7194B">
        <w:rPr>
          <w:rFonts w:ascii="Book Antiqua" w:hAnsi="Book Antiqua"/>
          <w:sz w:val="24"/>
          <w:szCs w:val="24"/>
        </w:rPr>
        <w:t xml:space="preserve"> which was priced at local CVS</w:t>
      </w:r>
      <w:r>
        <w:rPr>
          <w:rFonts w:ascii="Book Antiqua" w:hAnsi="Book Antiqua" w:hint="eastAsia"/>
          <w:sz w:val="24"/>
          <w:szCs w:val="24"/>
          <w:lang w:eastAsia="zh-CN"/>
        </w:rPr>
        <w:t>.</w:t>
      </w:r>
      <w:r w:rsidR="003F7A95">
        <w:rPr>
          <w:rFonts w:ascii="Book Antiqua" w:hAnsi="Book Antiqua"/>
          <w:sz w:val="24"/>
          <w:szCs w:val="24"/>
          <w:lang w:eastAsia="zh-CN"/>
        </w:rPr>
        <w:t xml:space="preserve"> </w:t>
      </w:r>
      <w:r>
        <w:rPr>
          <w:rFonts w:ascii="Book Antiqua" w:hAnsi="Book Antiqua" w:hint="eastAsia"/>
          <w:sz w:val="24"/>
          <w:szCs w:val="24"/>
          <w:lang w:eastAsia="zh-CN"/>
        </w:rPr>
        <w:t>PEG:</w:t>
      </w:r>
      <w:r w:rsidR="003F7A95">
        <w:rPr>
          <w:rFonts w:ascii="Book Antiqua" w:hAnsi="Book Antiqua"/>
          <w:sz w:val="24"/>
          <w:szCs w:val="24"/>
        </w:rPr>
        <w:t xml:space="preserve"> </w:t>
      </w:r>
      <w:r w:rsidRPr="00A7194B">
        <w:rPr>
          <w:rFonts w:ascii="Book Antiqua" w:hAnsi="Book Antiqua"/>
          <w:sz w:val="24"/>
          <w:szCs w:val="24"/>
        </w:rPr>
        <w:t>Preparation of polyethylene glycol</w:t>
      </w:r>
      <w:r w:rsidR="003F7A95">
        <w:rPr>
          <w:rFonts w:ascii="Book Antiqua" w:hAnsi="Book Antiqua"/>
          <w:sz w:val="24"/>
          <w:szCs w:val="24"/>
          <w:lang w:eastAsia="zh-CN"/>
        </w:rPr>
        <w:t>; PDR: Polyp detection rate; ADR: Adenoma detection rate.</w:t>
      </w:r>
    </w:p>
    <w:p w:rsidR="00F157AD" w:rsidRPr="00A7194B" w:rsidRDefault="00F157AD" w:rsidP="00A7194B">
      <w:pPr>
        <w:suppressLineNumbers/>
        <w:spacing w:after="0" w:line="360" w:lineRule="auto"/>
        <w:jc w:val="both"/>
        <w:rPr>
          <w:rFonts w:ascii="Book Antiqua" w:hAnsi="Book Antiqua"/>
          <w:sz w:val="24"/>
          <w:szCs w:val="24"/>
        </w:rPr>
      </w:pPr>
      <w:r w:rsidRPr="00A7194B">
        <w:rPr>
          <w:rFonts w:ascii="Book Antiqua" w:hAnsi="Book Antiqua"/>
          <w:sz w:val="24"/>
          <w:szCs w:val="24"/>
        </w:rPr>
        <w:br w:type="page"/>
      </w:r>
    </w:p>
    <w:p w:rsidR="00F157AD" w:rsidRPr="00A01200" w:rsidRDefault="00A01200" w:rsidP="00A7194B">
      <w:pPr>
        <w:suppressLineNumbers/>
        <w:spacing w:after="0" w:line="360" w:lineRule="auto"/>
        <w:jc w:val="both"/>
        <w:rPr>
          <w:rFonts w:ascii="Book Antiqua" w:hAnsi="Book Antiqua"/>
          <w:b/>
          <w:sz w:val="24"/>
          <w:szCs w:val="24"/>
        </w:rPr>
      </w:pPr>
      <w:r w:rsidRPr="00A01200">
        <w:rPr>
          <w:rFonts w:ascii="Book Antiqua" w:hAnsi="Book Antiqua"/>
          <w:b/>
          <w:sz w:val="24"/>
          <w:szCs w:val="24"/>
        </w:rPr>
        <w:lastRenderedPageBreak/>
        <w:t>Table 2</w:t>
      </w:r>
      <w:r w:rsidR="00F157AD" w:rsidRPr="00A01200">
        <w:rPr>
          <w:rFonts w:ascii="Book Antiqua" w:hAnsi="Book Antiqua"/>
          <w:b/>
          <w:sz w:val="24"/>
          <w:szCs w:val="24"/>
        </w:rPr>
        <w:t xml:space="preserve"> Advantages and disadvantages of available bowel preparations</w:t>
      </w:r>
    </w:p>
    <w:tbl>
      <w:tblPr>
        <w:tblStyle w:val="TableGrid"/>
        <w:tblW w:w="0" w:type="auto"/>
        <w:tblLook w:val="04A0" w:firstRow="1" w:lastRow="0" w:firstColumn="1" w:lastColumn="0" w:noHBand="0" w:noVBand="1"/>
      </w:tblPr>
      <w:tblGrid>
        <w:gridCol w:w="2425"/>
        <w:gridCol w:w="3240"/>
        <w:gridCol w:w="3685"/>
      </w:tblGrid>
      <w:tr w:rsidR="00A7194B" w:rsidRPr="00A7194B" w:rsidTr="00F157AD">
        <w:tc>
          <w:tcPr>
            <w:tcW w:w="242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Prep</w:t>
            </w:r>
          </w:p>
        </w:tc>
        <w:tc>
          <w:tcPr>
            <w:tcW w:w="3240"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Advantages</w:t>
            </w:r>
          </w:p>
        </w:tc>
        <w:tc>
          <w:tcPr>
            <w:tcW w:w="368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Disadvantages</w:t>
            </w:r>
          </w:p>
        </w:tc>
      </w:tr>
      <w:tr w:rsidR="00A7194B" w:rsidRPr="00A7194B" w:rsidTr="00F157AD">
        <w:tc>
          <w:tcPr>
            <w:tcW w:w="242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4</w:t>
            </w:r>
            <w:r w:rsidR="00A01200">
              <w:rPr>
                <w:rFonts w:ascii="Book Antiqua" w:hAnsi="Book Antiqua" w:hint="eastAsia"/>
                <w:sz w:val="24"/>
                <w:szCs w:val="24"/>
                <w:lang w:eastAsia="zh-CN"/>
              </w:rPr>
              <w:t xml:space="preserve"> </w:t>
            </w:r>
            <w:r w:rsidRPr="00A7194B">
              <w:rPr>
                <w:rFonts w:ascii="Book Antiqua" w:hAnsi="Book Antiqua"/>
                <w:sz w:val="24"/>
                <w:szCs w:val="24"/>
              </w:rPr>
              <w:t>L PEG</w:t>
            </w:r>
          </w:p>
        </w:tc>
        <w:tc>
          <w:tcPr>
            <w:tcW w:w="3240"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Effective</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Safe in most populations</w:t>
            </w:r>
          </w:p>
        </w:tc>
        <w:tc>
          <w:tcPr>
            <w:tcW w:w="368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Poor taste</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Very high volumes</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Poorly tolerated by patients</w:t>
            </w:r>
          </w:p>
        </w:tc>
      </w:tr>
      <w:tr w:rsidR="00A7194B" w:rsidRPr="00A7194B" w:rsidTr="00F157AD">
        <w:tc>
          <w:tcPr>
            <w:tcW w:w="242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2</w:t>
            </w:r>
            <w:r w:rsidR="00A01200">
              <w:rPr>
                <w:rFonts w:ascii="Book Antiqua" w:hAnsi="Book Antiqua" w:hint="eastAsia"/>
                <w:sz w:val="24"/>
                <w:szCs w:val="24"/>
                <w:lang w:eastAsia="zh-CN"/>
              </w:rPr>
              <w:t xml:space="preserve"> </w:t>
            </w:r>
            <w:r w:rsidRPr="00A7194B">
              <w:rPr>
                <w:rFonts w:ascii="Book Antiqua" w:hAnsi="Book Antiqua"/>
                <w:sz w:val="24"/>
                <w:szCs w:val="24"/>
              </w:rPr>
              <w:t>L PEG</w:t>
            </w:r>
          </w:p>
        </w:tc>
        <w:tc>
          <w:tcPr>
            <w:tcW w:w="3240"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Effective</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Safe in most populations</w:t>
            </w:r>
          </w:p>
        </w:tc>
        <w:tc>
          <w:tcPr>
            <w:tcW w:w="368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Poor taste</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High volumes</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High cost</w:t>
            </w:r>
          </w:p>
        </w:tc>
      </w:tr>
      <w:tr w:rsidR="00A7194B" w:rsidRPr="00A7194B" w:rsidTr="00F157AD">
        <w:tc>
          <w:tcPr>
            <w:tcW w:w="2425" w:type="dxa"/>
          </w:tcPr>
          <w:p w:rsidR="00F157AD" w:rsidRPr="00A7194B" w:rsidRDefault="00F157AD" w:rsidP="00A7194B">
            <w:pPr>
              <w:pStyle w:val="PlainText"/>
              <w:suppressLineNumbers/>
              <w:spacing w:line="360" w:lineRule="auto"/>
              <w:jc w:val="both"/>
              <w:rPr>
                <w:rFonts w:ascii="Book Antiqua" w:hAnsi="Book Antiqua"/>
                <w:sz w:val="24"/>
                <w:szCs w:val="24"/>
              </w:rPr>
            </w:pPr>
            <w:proofErr w:type="spellStart"/>
            <w:r w:rsidRPr="00A7194B">
              <w:rPr>
                <w:rFonts w:ascii="Book Antiqua" w:hAnsi="Book Antiqua"/>
                <w:sz w:val="24"/>
                <w:szCs w:val="24"/>
              </w:rPr>
              <w:t>MiraLAX</w:t>
            </w:r>
            <w:proofErr w:type="spellEnd"/>
          </w:p>
        </w:tc>
        <w:tc>
          <w:tcPr>
            <w:tcW w:w="3240"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Well tolerated by patients</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Available over the counter</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Existing studies indicate it is safe</w:t>
            </w:r>
          </w:p>
        </w:tc>
        <w:tc>
          <w:tcPr>
            <w:tcW w:w="368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Not as effective as prescription PEG preparations</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Rare reports of hyponatremia</w:t>
            </w:r>
          </w:p>
        </w:tc>
      </w:tr>
      <w:tr w:rsidR="00A7194B" w:rsidRPr="00A7194B" w:rsidTr="00F157AD">
        <w:tc>
          <w:tcPr>
            <w:tcW w:w="242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Sodium Phosphate</w:t>
            </w:r>
          </w:p>
        </w:tc>
        <w:tc>
          <w:tcPr>
            <w:tcW w:w="3240"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Available as oral tab</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Well tolerated by patients</w:t>
            </w:r>
          </w:p>
        </w:tc>
        <w:tc>
          <w:tcPr>
            <w:tcW w:w="368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 xml:space="preserve">Inappropriate for use in patients with renal disease, volume depletion, heart or liver failure, or who are taking </w:t>
            </w:r>
            <w:proofErr w:type="spellStart"/>
            <w:r w:rsidRPr="00A7194B">
              <w:rPr>
                <w:rFonts w:ascii="Book Antiqua" w:hAnsi="Book Antiqua"/>
                <w:sz w:val="24"/>
                <w:szCs w:val="24"/>
              </w:rPr>
              <w:t>ACEi</w:t>
            </w:r>
            <w:proofErr w:type="spellEnd"/>
            <w:r w:rsidRPr="00A7194B">
              <w:rPr>
                <w:rFonts w:ascii="Book Antiqua" w:hAnsi="Book Antiqua"/>
                <w:sz w:val="24"/>
                <w:szCs w:val="24"/>
              </w:rPr>
              <w:t xml:space="preserve"> or NSAIDs</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Risk of acute phosphate nephropathy and subsequent chronic kidney disease</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Cost</w:t>
            </w:r>
          </w:p>
        </w:tc>
      </w:tr>
      <w:tr w:rsidR="00A7194B" w:rsidRPr="00A7194B" w:rsidTr="00F157AD">
        <w:tc>
          <w:tcPr>
            <w:tcW w:w="242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 xml:space="preserve">Sodium </w:t>
            </w:r>
            <w:proofErr w:type="spellStart"/>
            <w:r w:rsidRPr="00A7194B">
              <w:rPr>
                <w:rFonts w:ascii="Book Antiqua" w:hAnsi="Book Antiqua"/>
                <w:sz w:val="24"/>
                <w:szCs w:val="24"/>
              </w:rPr>
              <w:t>Picosulfate</w:t>
            </w:r>
            <w:proofErr w:type="spellEnd"/>
          </w:p>
        </w:tc>
        <w:tc>
          <w:tcPr>
            <w:tcW w:w="3240"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Well tolerated by patients</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Small volumes to be ingested</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Pleasant taste</w:t>
            </w:r>
          </w:p>
        </w:tc>
        <w:tc>
          <w:tcPr>
            <w:tcW w:w="368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Not as effective as PEG or OSS</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Inappropriate for patients with heart failure, renal insufficiency, end stage liver disease, or baseline electrolyte abnormalities</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High cost</w:t>
            </w:r>
          </w:p>
        </w:tc>
      </w:tr>
      <w:tr w:rsidR="00F157AD" w:rsidRPr="00A7194B" w:rsidTr="00F157AD">
        <w:tc>
          <w:tcPr>
            <w:tcW w:w="2425" w:type="dxa"/>
          </w:tcPr>
          <w:p w:rsidR="00F157AD" w:rsidRPr="00A7194B" w:rsidRDefault="00A01200"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OSS</w:t>
            </w:r>
          </w:p>
        </w:tc>
        <w:tc>
          <w:tcPr>
            <w:tcW w:w="3240"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Well tolerated by patients</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lastRenderedPageBreak/>
              <w:t>Highly effective</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t>Available as oral tab</w:t>
            </w:r>
          </w:p>
        </w:tc>
        <w:tc>
          <w:tcPr>
            <w:tcW w:w="3685" w:type="dxa"/>
          </w:tcPr>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lastRenderedPageBreak/>
              <w:t>High cost</w:t>
            </w:r>
          </w:p>
          <w:p w:rsidR="00F157AD" w:rsidRPr="00A7194B" w:rsidRDefault="00F157AD" w:rsidP="00A7194B">
            <w:pPr>
              <w:pStyle w:val="PlainText"/>
              <w:suppressLineNumbers/>
              <w:spacing w:line="360" w:lineRule="auto"/>
              <w:jc w:val="both"/>
              <w:rPr>
                <w:rFonts w:ascii="Book Antiqua" w:hAnsi="Book Antiqua"/>
                <w:sz w:val="24"/>
                <w:szCs w:val="24"/>
              </w:rPr>
            </w:pPr>
            <w:r w:rsidRPr="00A7194B">
              <w:rPr>
                <w:rFonts w:ascii="Book Antiqua" w:hAnsi="Book Antiqua"/>
                <w:sz w:val="24"/>
                <w:szCs w:val="24"/>
              </w:rPr>
              <w:lastRenderedPageBreak/>
              <w:t xml:space="preserve">Not as well studied </w:t>
            </w:r>
          </w:p>
        </w:tc>
      </w:tr>
    </w:tbl>
    <w:p w:rsidR="003D15FE" w:rsidRPr="00A7194B" w:rsidRDefault="003D15FE" w:rsidP="00A7194B">
      <w:pPr>
        <w:pStyle w:val="PlainText"/>
        <w:suppressLineNumbers/>
        <w:spacing w:line="360" w:lineRule="auto"/>
        <w:jc w:val="both"/>
        <w:rPr>
          <w:rFonts w:ascii="Book Antiqua" w:hAnsi="Book Antiqua"/>
          <w:sz w:val="24"/>
          <w:szCs w:val="24"/>
        </w:rPr>
      </w:pPr>
    </w:p>
    <w:p w:rsidR="009A3A7D" w:rsidRPr="00A7194B" w:rsidRDefault="00A01200" w:rsidP="00DF5C5C">
      <w:pPr>
        <w:suppressLineNumbers/>
        <w:spacing w:after="0" w:line="360" w:lineRule="auto"/>
        <w:jc w:val="both"/>
        <w:rPr>
          <w:rFonts w:ascii="Book Antiqua" w:hAnsi="Book Antiqua"/>
          <w:sz w:val="24"/>
          <w:szCs w:val="24"/>
          <w:lang w:eastAsia="zh-CN"/>
        </w:rPr>
      </w:pPr>
      <w:r>
        <w:rPr>
          <w:rFonts w:ascii="Book Antiqua" w:hAnsi="Book Antiqua" w:hint="eastAsia"/>
          <w:sz w:val="24"/>
          <w:szCs w:val="24"/>
          <w:lang w:eastAsia="zh-CN"/>
        </w:rPr>
        <w:t>PEG:</w:t>
      </w:r>
      <w:r w:rsidRPr="00A01200">
        <w:rPr>
          <w:rFonts w:ascii="Book Antiqua" w:hAnsi="Book Antiqua"/>
          <w:sz w:val="24"/>
          <w:szCs w:val="24"/>
        </w:rPr>
        <w:t xml:space="preserve"> </w:t>
      </w:r>
      <w:r w:rsidRPr="00A7194B">
        <w:rPr>
          <w:rFonts w:ascii="Book Antiqua" w:hAnsi="Book Antiqua"/>
          <w:sz w:val="24"/>
          <w:szCs w:val="24"/>
        </w:rPr>
        <w:t>Preparation of polyethylene glycol</w:t>
      </w:r>
      <w:r w:rsidR="003F7A95">
        <w:rPr>
          <w:rFonts w:ascii="Book Antiqua" w:hAnsi="Book Antiqua" w:hint="eastAsia"/>
          <w:sz w:val="24"/>
          <w:szCs w:val="24"/>
          <w:lang w:eastAsia="zh-CN"/>
        </w:rPr>
        <w:t>;</w:t>
      </w:r>
      <w:r w:rsidR="003F7A95">
        <w:rPr>
          <w:rFonts w:ascii="Book Antiqua" w:hAnsi="Book Antiqua"/>
          <w:sz w:val="24"/>
          <w:szCs w:val="24"/>
          <w:lang w:eastAsia="zh-CN"/>
        </w:rPr>
        <w:t xml:space="preserve"> </w:t>
      </w:r>
      <w:proofErr w:type="spellStart"/>
      <w:r w:rsidRPr="00A7194B">
        <w:rPr>
          <w:rFonts w:ascii="Book Antiqua" w:hAnsi="Book Antiqua"/>
          <w:sz w:val="24"/>
          <w:szCs w:val="24"/>
        </w:rPr>
        <w:t>ACEi</w:t>
      </w:r>
      <w:proofErr w:type="spellEnd"/>
      <w:r>
        <w:rPr>
          <w:rFonts w:ascii="Book Antiqua" w:hAnsi="Book Antiqua" w:hint="eastAsia"/>
          <w:sz w:val="24"/>
          <w:szCs w:val="24"/>
          <w:lang w:eastAsia="zh-CN"/>
        </w:rPr>
        <w:t>:</w:t>
      </w:r>
      <w:r w:rsidRPr="00A01200">
        <w:rPr>
          <w:rFonts w:ascii="Book Antiqua" w:hAnsi="Book Antiqua"/>
          <w:sz w:val="24"/>
          <w:szCs w:val="24"/>
        </w:rPr>
        <w:t xml:space="preserve"> </w:t>
      </w:r>
      <w:r w:rsidRPr="00A7194B">
        <w:rPr>
          <w:rFonts w:ascii="Book Antiqua" w:hAnsi="Book Antiqua"/>
          <w:sz w:val="24"/>
          <w:szCs w:val="24"/>
        </w:rPr>
        <w:t>Angiotensin converting enzyme inhibitors</w:t>
      </w:r>
      <w:r>
        <w:rPr>
          <w:rFonts w:ascii="Book Antiqua" w:hAnsi="Book Antiqua" w:hint="eastAsia"/>
          <w:sz w:val="24"/>
          <w:szCs w:val="24"/>
          <w:lang w:eastAsia="zh-CN"/>
        </w:rPr>
        <w:t xml:space="preserve">; </w:t>
      </w:r>
      <w:r w:rsidRPr="00A7194B">
        <w:rPr>
          <w:rFonts w:ascii="Book Antiqua" w:hAnsi="Book Antiqua"/>
          <w:sz w:val="24"/>
          <w:szCs w:val="24"/>
        </w:rPr>
        <w:t>NSAIDs</w:t>
      </w:r>
      <w:r>
        <w:rPr>
          <w:rFonts w:ascii="Book Antiqua" w:hAnsi="Book Antiqua" w:hint="eastAsia"/>
          <w:sz w:val="24"/>
          <w:szCs w:val="24"/>
          <w:lang w:eastAsia="zh-CN"/>
        </w:rPr>
        <w:t>:</w:t>
      </w:r>
      <w:r w:rsidR="003F7A95">
        <w:rPr>
          <w:rFonts w:ascii="Book Antiqua" w:hAnsi="Book Antiqua"/>
          <w:sz w:val="24"/>
          <w:szCs w:val="24"/>
          <w:lang w:eastAsia="zh-CN"/>
        </w:rPr>
        <w:t xml:space="preserve"> </w:t>
      </w:r>
      <w:proofErr w:type="spellStart"/>
      <w:r w:rsidR="0088496C">
        <w:rPr>
          <w:rFonts w:ascii="Book Antiqua" w:hAnsi="Book Antiqua"/>
          <w:sz w:val="24"/>
          <w:szCs w:val="24"/>
          <w:lang w:eastAsia="zh-CN"/>
        </w:rPr>
        <w:t>Nonsteroidal</w:t>
      </w:r>
      <w:proofErr w:type="spellEnd"/>
      <w:r w:rsidR="0088496C">
        <w:rPr>
          <w:rFonts w:ascii="Book Antiqua" w:hAnsi="Book Antiqua"/>
          <w:sz w:val="24"/>
          <w:szCs w:val="24"/>
          <w:lang w:eastAsia="zh-CN"/>
        </w:rPr>
        <w:t xml:space="preserve"> anti-inflammatory Drugs</w:t>
      </w:r>
      <w:r w:rsidR="003F7A95">
        <w:rPr>
          <w:rFonts w:ascii="Book Antiqua" w:hAnsi="Book Antiqua"/>
          <w:sz w:val="24"/>
          <w:szCs w:val="24"/>
          <w:lang w:eastAsia="zh-CN"/>
        </w:rPr>
        <w:t>;</w:t>
      </w:r>
      <w:r w:rsidRPr="00A01200">
        <w:rPr>
          <w:rFonts w:ascii="Book Antiqua" w:hAnsi="Book Antiqua"/>
          <w:sz w:val="24"/>
          <w:szCs w:val="24"/>
        </w:rPr>
        <w:t xml:space="preserve"> </w:t>
      </w:r>
      <w:r w:rsidRPr="00A7194B">
        <w:rPr>
          <w:rFonts w:ascii="Book Antiqua" w:hAnsi="Book Antiqua"/>
          <w:sz w:val="24"/>
          <w:szCs w:val="24"/>
        </w:rPr>
        <w:t>OSS</w:t>
      </w:r>
      <w:r>
        <w:rPr>
          <w:rFonts w:ascii="Book Antiqua" w:hAnsi="Book Antiqua" w:hint="eastAsia"/>
          <w:sz w:val="24"/>
          <w:szCs w:val="24"/>
          <w:lang w:eastAsia="zh-CN"/>
        </w:rPr>
        <w:t>:</w:t>
      </w:r>
      <w:r w:rsidRPr="00A7194B">
        <w:rPr>
          <w:rFonts w:ascii="Book Antiqua" w:hAnsi="Book Antiqua"/>
          <w:sz w:val="24"/>
          <w:szCs w:val="24"/>
        </w:rPr>
        <w:t xml:space="preserve"> Oral sulfate solution</w:t>
      </w:r>
      <w:r>
        <w:rPr>
          <w:rFonts w:ascii="Book Antiqua" w:hAnsi="Book Antiqua" w:hint="eastAsia"/>
          <w:sz w:val="24"/>
          <w:szCs w:val="24"/>
          <w:lang w:eastAsia="zh-CN"/>
        </w:rPr>
        <w:t>.</w:t>
      </w:r>
    </w:p>
    <w:sectPr w:rsidR="009A3A7D" w:rsidRPr="00A7194B" w:rsidSect="004A7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A9" w:rsidRDefault="002323A9" w:rsidP="00D67340">
      <w:pPr>
        <w:spacing w:after="0" w:line="240" w:lineRule="auto"/>
      </w:pPr>
      <w:r>
        <w:separator/>
      </w:r>
    </w:p>
  </w:endnote>
  <w:endnote w:type="continuationSeparator" w:id="0">
    <w:p w:rsidR="002323A9" w:rsidRDefault="002323A9" w:rsidP="00D6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A9" w:rsidRDefault="002323A9" w:rsidP="00D67340">
      <w:pPr>
        <w:spacing w:after="0" w:line="240" w:lineRule="auto"/>
      </w:pPr>
      <w:r>
        <w:separator/>
      </w:r>
    </w:p>
  </w:footnote>
  <w:footnote w:type="continuationSeparator" w:id="0">
    <w:p w:rsidR="002323A9" w:rsidRDefault="002323A9" w:rsidP="00D673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F7388"/>
    <w:multiLevelType w:val="hybridMultilevel"/>
    <w:tmpl w:val="02802102"/>
    <w:lvl w:ilvl="0" w:tplc="9BA47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AA"/>
    <w:rsid w:val="000060F6"/>
    <w:rsid w:val="00033A81"/>
    <w:rsid w:val="00033BC5"/>
    <w:rsid w:val="00041F39"/>
    <w:rsid w:val="00042F0D"/>
    <w:rsid w:val="000445B7"/>
    <w:rsid w:val="000478F7"/>
    <w:rsid w:val="000554DC"/>
    <w:rsid w:val="00056832"/>
    <w:rsid w:val="0005698D"/>
    <w:rsid w:val="00064726"/>
    <w:rsid w:val="00067FD2"/>
    <w:rsid w:val="00084F46"/>
    <w:rsid w:val="000B07A4"/>
    <w:rsid w:val="000C159D"/>
    <w:rsid w:val="000E3060"/>
    <w:rsid w:val="0010552A"/>
    <w:rsid w:val="00130142"/>
    <w:rsid w:val="00130411"/>
    <w:rsid w:val="00135768"/>
    <w:rsid w:val="001507E3"/>
    <w:rsid w:val="00174C64"/>
    <w:rsid w:val="00175CD5"/>
    <w:rsid w:val="001C429B"/>
    <w:rsid w:val="001C698B"/>
    <w:rsid w:val="001E141F"/>
    <w:rsid w:val="001E5ED8"/>
    <w:rsid w:val="001F52BE"/>
    <w:rsid w:val="0020083E"/>
    <w:rsid w:val="0022631B"/>
    <w:rsid w:val="00227ACA"/>
    <w:rsid w:val="002323A9"/>
    <w:rsid w:val="00235DD4"/>
    <w:rsid w:val="002644E0"/>
    <w:rsid w:val="0029225D"/>
    <w:rsid w:val="00295F42"/>
    <w:rsid w:val="002A5CDB"/>
    <w:rsid w:val="002C5840"/>
    <w:rsid w:val="003044C2"/>
    <w:rsid w:val="00312AE0"/>
    <w:rsid w:val="00314BB9"/>
    <w:rsid w:val="0031729D"/>
    <w:rsid w:val="00317810"/>
    <w:rsid w:val="00325AC9"/>
    <w:rsid w:val="00337ED4"/>
    <w:rsid w:val="003468F8"/>
    <w:rsid w:val="00394CEE"/>
    <w:rsid w:val="003B0740"/>
    <w:rsid w:val="003D15FE"/>
    <w:rsid w:val="003D16B8"/>
    <w:rsid w:val="003D1852"/>
    <w:rsid w:val="003E7A03"/>
    <w:rsid w:val="003F7A95"/>
    <w:rsid w:val="00420B28"/>
    <w:rsid w:val="00457289"/>
    <w:rsid w:val="00486EA2"/>
    <w:rsid w:val="004940C3"/>
    <w:rsid w:val="004A68A2"/>
    <w:rsid w:val="004A7340"/>
    <w:rsid w:val="004C31A3"/>
    <w:rsid w:val="004C5AC3"/>
    <w:rsid w:val="004C5E07"/>
    <w:rsid w:val="004D7E4F"/>
    <w:rsid w:val="004E26B1"/>
    <w:rsid w:val="004E37AB"/>
    <w:rsid w:val="005072BD"/>
    <w:rsid w:val="00514C48"/>
    <w:rsid w:val="00552B68"/>
    <w:rsid w:val="00564E5E"/>
    <w:rsid w:val="00575850"/>
    <w:rsid w:val="00577C5D"/>
    <w:rsid w:val="00581C97"/>
    <w:rsid w:val="005B2817"/>
    <w:rsid w:val="005E1508"/>
    <w:rsid w:val="005F5AE9"/>
    <w:rsid w:val="00686F98"/>
    <w:rsid w:val="006E030F"/>
    <w:rsid w:val="006E37B2"/>
    <w:rsid w:val="006E3BEF"/>
    <w:rsid w:val="006F40E4"/>
    <w:rsid w:val="00736EF5"/>
    <w:rsid w:val="00750CF8"/>
    <w:rsid w:val="00751213"/>
    <w:rsid w:val="00774DDB"/>
    <w:rsid w:val="00790F17"/>
    <w:rsid w:val="00792FB2"/>
    <w:rsid w:val="007939DE"/>
    <w:rsid w:val="007955E8"/>
    <w:rsid w:val="007A5099"/>
    <w:rsid w:val="007B3470"/>
    <w:rsid w:val="007B3DC8"/>
    <w:rsid w:val="007B4647"/>
    <w:rsid w:val="007B49BB"/>
    <w:rsid w:val="007C27D9"/>
    <w:rsid w:val="007E29BF"/>
    <w:rsid w:val="007F4279"/>
    <w:rsid w:val="00812742"/>
    <w:rsid w:val="00817ABD"/>
    <w:rsid w:val="00831064"/>
    <w:rsid w:val="008435FE"/>
    <w:rsid w:val="00857830"/>
    <w:rsid w:val="0088496C"/>
    <w:rsid w:val="00892140"/>
    <w:rsid w:val="008C6211"/>
    <w:rsid w:val="008E6AC3"/>
    <w:rsid w:val="00903238"/>
    <w:rsid w:val="00906265"/>
    <w:rsid w:val="00911648"/>
    <w:rsid w:val="009220BD"/>
    <w:rsid w:val="009701AB"/>
    <w:rsid w:val="00974297"/>
    <w:rsid w:val="0097657F"/>
    <w:rsid w:val="00986E75"/>
    <w:rsid w:val="00991A26"/>
    <w:rsid w:val="009A1317"/>
    <w:rsid w:val="009A3A7D"/>
    <w:rsid w:val="00A01200"/>
    <w:rsid w:val="00A05E9A"/>
    <w:rsid w:val="00A14C89"/>
    <w:rsid w:val="00A16C6E"/>
    <w:rsid w:val="00A213D6"/>
    <w:rsid w:val="00A7194B"/>
    <w:rsid w:val="00A72075"/>
    <w:rsid w:val="00AA0CB5"/>
    <w:rsid w:val="00AA415A"/>
    <w:rsid w:val="00AC4244"/>
    <w:rsid w:val="00AC746F"/>
    <w:rsid w:val="00AF34E6"/>
    <w:rsid w:val="00B0159B"/>
    <w:rsid w:val="00B1527B"/>
    <w:rsid w:val="00B20188"/>
    <w:rsid w:val="00B35134"/>
    <w:rsid w:val="00B41494"/>
    <w:rsid w:val="00B71785"/>
    <w:rsid w:val="00B744EA"/>
    <w:rsid w:val="00B91E7B"/>
    <w:rsid w:val="00BA454B"/>
    <w:rsid w:val="00BD51C6"/>
    <w:rsid w:val="00BD5B8C"/>
    <w:rsid w:val="00BE37AA"/>
    <w:rsid w:val="00BF0711"/>
    <w:rsid w:val="00BF6D43"/>
    <w:rsid w:val="00C029C1"/>
    <w:rsid w:val="00C53E00"/>
    <w:rsid w:val="00C67355"/>
    <w:rsid w:val="00C770B3"/>
    <w:rsid w:val="00CA066A"/>
    <w:rsid w:val="00CC4B56"/>
    <w:rsid w:val="00CC4C40"/>
    <w:rsid w:val="00CC50A3"/>
    <w:rsid w:val="00CE259C"/>
    <w:rsid w:val="00D11BAA"/>
    <w:rsid w:val="00D159EC"/>
    <w:rsid w:val="00D32873"/>
    <w:rsid w:val="00D37534"/>
    <w:rsid w:val="00D43D8B"/>
    <w:rsid w:val="00D67340"/>
    <w:rsid w:val="00D826E2"/>
    <w:rsid w:val="00DA0837"/>
    <w:rsid w:val="00DB715A"/>
    <w:rsid w:val="00DD18F4"/>
    <w:rsid w:val="00DD4624"/>
    <w:rsid w:val="00DF5C5C"/>
    <w:rsid w:val="00DF7782"/>
    <w:rsid w:val="00E01FA9"/>
    <w:rsid w:val="00E132EC"/>
    <w:rsid w:val="00E2559D"/>
    <w:rsid w:val="00E65DB1"/>
    <w:rsid w:val="00EA2BD6"/>
    <w:rsid w:val="00EC0472"/>
    <w:rsid w:val="00EF76B6"/>
    <w:rsid w:val="00F106B1"/>
    <w:rsid w:val="00F112FC"/>
    <w:rsid w:val="00F157AD"/>
    <w:rsid w:val="00F3432D"/>
    <w:rsid w:val="00F51BE9"/>
    <w:rsid w:val="00F52B2F"/>
    <w:rsid w:val="00FA0843"/>
    <w:rsid w:val="00FA355D"/>
    <w:rsid w:val="00FB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A2"/>
  </w:style>
  <w:style w:type="paragraph" w:styleId="Heading1">
    <w:name w:val="heading 1"/>
    <w:basedOn w:val="Normal"/>
    <w:next w:val="Normal"/>
    <w:link w:val="Heading1Char"/>
    <w:uiPriority w:val="9"/>
    <w:qFormat/>
    <w:rsid w:val="00D6734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7AA"/>
    <w:pPr>
      <w:spacing w:after="0" w:line="240" w:lineRule="auto"/>
    </w:pPr>
  </w:style>
  <w:style w:type="table" w:styleId="TableGrid">
    <w:name w:val="Table Grid"/>
    <w:basedOn w:val="TableNormal"/>
    <w:uiPriority w:val="59"/>
    <w:rsid w:val="00AA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86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6EA2"/>
    <w:rPr>
      <w:rFonts w:ascii="Calibri" w:hAnsi="Calibri"/>
      <w:szCs w:val="21"/>
    </w:rPr>
  </w:style>
  <w:style w:type="character" w:customStyle="1" w:styleId="apple-converted-space">
    <w:name w:val="apple-converted-space"/>
    <w:basedOn w:val="DefaultParagraphFont"/>
    <w:rsid w:val="006E3BEF"/>
  </w:style>
  <w:style w:type="character" w:styleId="Hyperlink">
    <w:name w:val="Hyperlink"/>
    <w:basedOn w:val="DefaultParagraphFont"/>
    <w:uiPriority w:val="99"/>
    <w:unhideWhenUsed/>
    <w:rsid w:val="006E3BEF"/>
    <w:rPr>
      <w:color w:val="0000FF"/>
      <w:u w:val="single"/>
    </w:rPr>
  </w:style>
  <w:style w:type="paragraph" w:styleId="EndnoteText">
    <w:name w:val="endnote text"/>
    <w:basedOn w:val="Normal"/>
    <w:link w:val="EndnoteTextChar"/>
    <w:uiPriority w:val="99"/>
    <w:semiHidden/>
    <w:unhideWhenUsed/>
    <w:rsid w:val="00D673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340"/>
    <w:rPr>
      <w:sz w:val="20"/>
      <w:szCs w:val="20"/>
    </w:rPr>
  </w:style>
  <w:style w:type="character" w:styleId="EndnoteReference">
    <w:name w:val="endnote reference"/>
    <w:basedOn w:val="DefaultParagraphFont"/>
    <w:uiPriority w:val="99"/>
    <w:semiHidden/>
    <w:unhideWhenUsed/>
    <w:rsid w:val="00D67340"/>
    <w:rPr>
      <w:vertAlign w:val="superscript"/>
    </w:rPr>
  </w:style>
  <w:style w:type="character" w:customStyle="1" w:styleId="Heading1Char">
    <w:name w:val="Heading 1 Char"/>
    <w:basedOn w:val="DefaultParagraphFont"/>
    <w:link w:val="Heading1"/>
    <w:uiPriority w:val="9"/>
    <w:rsid w:val="00D6734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67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40"/>
    <w:rPr>
      <w:rFonts w:ascii="Tahoma" w:hAnsi="Tahoma" w:cs="Tahoma"/>
      <w:sz w:val="16"/>
      <w:szCs w:val="16"/>
    </w:rPr>
  </w:style>
  <w:style w:type="paragraph" w:styleId="Bibliography">
    <w:name w:val="Bibliography"/>
    <w:basedOn w:val="Normal"/>
    <w:next w:val="Normal"/>
    <w:uiPriority w:val="37"/>
    <w:unhideWhenUsed/>
    <w:rsid w:val="00033BC5"/>
  </w:style>
  <w:style w:type="character" w:styleId="LineNumber">
    <w:name w:val="line number"/>
    <w:basedOn w:val="DefaultParagraphFont"/>
    <w:uiPriority w:val="99"/>
    <w:semiHidden/>
    <w:unhideWhenUsed/>
    <w:rsid w:val="00AA415A"/>
  </w:style>
  <w:style w:type="character" w:styleId="CommentReference">
    <w:name w:val="annotation reference"/>
    <w:basedOn w:val="DefaultParagraphFont"/>
    <w:uiPriority w:val="99"/>
    <w:semiHidden/>
    <w:unhideWhenUsed/>
    <w:rsid w:val="00BF6D43"/>
    <w:rPr>
      <w:sz w:val="16"/>
      <w:szCs w:val="16"/>
    </w:rPr>
  </w:style>
  <w:style w:type="paragraph" w:styleId="CommentText">
    <w:name w:val="annotation text"/>
    <w:basedOn w:val="Normal"/>
    <w:link w:val="CommentTextChar"/>
    <w:uiPriority w:val="99"/>
    <w:semiHidden/>
    <w:unhideWhenUsed/>
    <w:rsid w:val="00BF6D43"/>
    <w:pPr>
      <w:spacing w:line="240" w:lineRule="auto"/>
    </w:pPr>
    <w:rPr>
      <w:sz w:val="20"/>
      <w:szCs w:val="20"/>
    </w:rPr>
  </w:style>
  <w:style w:type="character" w:customStyle="1" w:styleId="CommentTextChar">
    <w:name w:val="Comment Text Char"/>
    <w:basedOn w:val="DefaultParagraphFont"/>
    <w:link w:val="CommentText"/>
    <w:uiPriority w:val="99"/>
    <w:semiHidden/>
    <w:rsid w:val="00BF6D43"/>
    <w:rPr>
      <w:sz w:val="20"/>
      <w:szCs w:val="20"/>
    </w:rPr>
  </w:style>
  <w:style w:type="paragraph" w:styleId="CommentSubject">
    <w:name w:val="annotation subject"/>
    <w:basedOn w:val="CommentText"/>
    <w:next w:val="CommentText"/>
    <w:link w:val="CommentSubjectChar"/>
    <w:uiPriority w:val="99"/>
    <w:semiHidden/>
    <w:unhideWhenUsed/>
    <w:rsid w:val="00BF6D43"/>
    <w:rPr>
      <w:b/>
      <w:bCs/>
    </w:rPr>
  </w:style>
  <w:style w:type="character" w:customStyle="1" w:styleId="CommentSubjectChar">
    <w:name w:val="Comment Subject Char"/>
    <w:basedOn w:val="CommentTextChar"/>
    <w:link w:val="CommentSubject"/>
    <w:uiPriority w:val="99"/>
    <w:semiHidden/>
    <w:rsid w:val="00BF6D43"/>
    <w:rPr>
      <w:b/>
      <w:bCs/>
      <w:sz w:val="20"/>
      <w:szCs w:val="20"/>
    </w:rPr>
  </w:style>
  <w:style w:type="paragraph" w:styleId="ListParagraph">
    <w:name w:val="List Paragraph"/>
    <w:basedOn w:val="Normal"/>
    <w:uiPriority w:val="34"/>
    <w:qFormat/>
    <w:rsid w:val="003D15FE"/>
    <w:pPr>
      <w:ind w:left="720"/>
      <w:contextualSpacing/>
    </w:pPr>
  </w:style>
  <w:style w:type="character" w:customStyle="1" w:styleId="highlight2">
    <w:name w:val="highlight2"/>
    <w:basedOn w:val="DefaultParagraphFont"/>
    <w:rsid w:val="003D15FE"/>
  </w:style>
  <w:style w:type="character" w:styleId="Emphasis">
    <w:name w:val="Emphasis"/>
    <w:qFormat/>
    <w:rsid w:val="00235DD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A2"/>
  </w:style>
  <w:style w:type="paragraph" w:styleId="Heading1">
    <w:name w:val="heading 1"/>
    <w:basedOn w:val="Normal"/>
    <w:next w:val="Normal"/>
    <w:link w:val="Heading1Char"/>
    <w:uiPriority w:val="9"/>
    <w:qFormat/>
    <w:rsid w:val="00D6734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7AA"/>
    <w:pPr>
      <w:spacing w:after="0" w:line="240" w:lineRule="auto"/>
    </w:pPr>
  </w:style>
  <w:style w:type="table" w:styleId="TableGrid">
    <w:name w:val="Table Grid"/>
    <w:basedOn w:val="TableNormal"/>
    <w:uiPriority w:val="59"/>
    <w:rsid w:val="00AA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86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6EA2"/>
    <w:rPr>
      <w:rFonts w:ascii="Calibri" w:hAnsi="Calibri"/>
      <w:szCs w:val="21"/>
    </w:rPr>
  </w:style>
  <w:style w:type="character" w:customStyle="1" w:styleId="apple-converted-space">
    <w:name w:val="apple-converted-space"/>
    <w:basedOn w:val="DefaultParagraphFont"/>
    <w:rsid w:val="006E3BEF"/>
  </w:style>
  <w:style w:type="character" w:styleId="Hyperlink">
    <w:name w:val="Hyperlink"/>
    <w:basedOn w:val="DefaultParagraphFont"/>
    <w:uiPriority w:val="99"/>
    <w:unhideWhenUsed/>
    <w:rsid w:val="006E3BEF"/>
    <w:rPr>
      <w:color w:val="0000FF"/>
      <w:u w:val="single"/>
    </w:rPr>
  </w:style>
  <w:style w:type="paragraph" w:styleId="EndnoteText">
    <w:name w:val="endnote text"/>
    <w:basedOn w:val="Normal"/>
    <w:link w:val="EndnoteTextChar"/>
    <w:uiPriority w:val="99"/>
    <w:semiHidden/>
    <w:unhideWhenUsed/>
    <w:rsid w:val="00D673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340"/>
    <w:rPr>
      <w:sz w:val="20"/>
      <w:szCs w:val="20"/>
    </w:rPr>
  </w:style>
  <w:style w:type="character" w:styleId="EndnoteReference">
    <w:name w:val="endnote reference"/>
    <w:basedOn w:val="DefaultParagraphFont"/>
    <w:uiPriority w:val="99"/>
    <w:semiHidden/>
    <w:unhideWhenUsed/>
    <w:rsid w:val="00D67340"/>
    <w:rPr>
      <w:vertAlign w:val="superscript"/>
    </w:rPr>
  </w:style>
  <w:style w:type="character" w:customStyle="1" w:styleId="Heading1Char">
    <w:name w:val="Heading 1 Char"/>
    <w:basedOn w:val="DefaultParagraphFont"/>
    <w:link w:val="Heading1"/>
    <w:uiPriority w:val="9"/>
    <w:rsid w:val="00D67340"/>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D67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40"/>
    <w:rPr>
      <w:rFonts w:ascii="Tahoma" w:hAnsi="Tahoma" w:cs="Tahoma"/>
      <w:sz w:val="16"/>
      <w:szCs w:val="16"/>
    </w:rPr>
  </w:style>
  <w:style w:type="paragraph" w:styleId="Bibliography">
    <w:name w:val="Bibliography"/>
    <w:basedOn w:val="Normal"/>
    <w:next w:val="Normal"/>
    <w:uiPriority w:val="37"/>
    <w:unhideWhenUsed/>
    <w:rsid w:val="00033BC5"/>
  </w:style>
  <w:style w:type="character" w:styleId="LineNumber">
    <w:name w:val="line number"/>
    <w:basedOn w:val="DefaultParagraphFont"/>
    <w:uiPriority w:val="99"/>
    <w:semiHidden/>
    <w:unhideWhenUsed/>
    <w:rsid w:val="00AA415A"/>
  </w:style>
  <w:style w:type="character" w:styleId="CommentReference">
    <w:name w:val="annotation reference"/>
    <w:basedOn w:val="DefaultParagraphFont"/>
    <w:uiPriority w:val="99"/>
    <w:semiHidden/>
    <w:unhideWhenUsed/>
    <w:rsid w:val="00BF6D43"/>
    <w:rPr>
      <w:sz w:val="16"/>
      <w:szCs w:val="16"/>
    </w:rPr>
  </w:style>
  <w:style w:type="paragraph" w:styleId="CommentText">
    <w:name w:val="annotation text"/>
    <w:basedOn w:val="Normal"/>
    <w:link w:val="CommentTextChar"/>
    <w:uiPriority w:val="99"/>
    <w:semiHidden/>
    <w:unhideWhenUsed/>
    <w:rsid w:val="00BF6D43"/>
    <w:pPr>
      <w:spacing w:line="240" w:lineRule="auto"/>
    </w:pPr>
    <w:rPr>
      <w:sz w:val="20"/>
      <w:szCs w:val="20"/>
    </w:rPr>
  </w:style>
  <w:style w:type="character" w:customStyle="1" w:styleId="CommentTextChar">
    <w:name w:val="Comment Text Char"/>
    <w:basedOn w:val="DefaultParagraphFont"/>
    <w:link w:val="CommentText"/>
    <w:uiPriority w:val="99"/>
    <w:semiHidden/>
    <w:rsid w:val="00BF6D43"/>
    <w:rPr>
      <w:sz w:val="20"/>
      <w:szCs w:val="20"/>
    </w:rPr>
  </w:style>
  <w:style w:type="paragraph" w:styleId="CommentSubject">
    <w:name w:val="annotation subject"/>
    <w:basedOn w:val="CommentText"/>
    <w:next w:val="CommentText"/>
    <w:link w:val="CommentSubjectChar"/>
    <w:uiPriority w:val="99"/>
    <w:semiHidden/>
    <w:unhideWhenUsed/>
    <w:rsid w:val="00BF6D43"/>
    <w:rPr>
      <w:b/>
      <w:bCs/>
    </w:rPr>
  </w:style>
  <w:style w:type="character" w:customStyle="1" w:styleId="CommentSubjectChar">
    <w:name w:val="Comment Subject Char"/>
    <w:basedOn w:val="CommentTextChar"/>
    <w:link w:val="CommentSubject"/>
    <w:uiPriority w:val="99"/>
    <w:semiHidden/>
    <w:rsid w:val="00BF6D43"/>
    <w:rPr>
      <w:b/>
      <w:bCs/>
      <w:sz w:val="20"/>
      <w:szCs w:val="20"/>
    </w:rPr>
  </w:style>
  <w:style w:type="paragraph" w:styleId="ListParagraph">
    <w:name w:val="List Paragraph"/>
    <w:basedOn w:val="Normal"/>
    <w:uiPriority w:val="34"/>
    <w:qFormat/>
    <w:rsid w:val="003D15FE"/>
    <w:pPr>
      <w:ind w:left="720"/>
      <w:contextualSpacing/>
    </w:pPr>
  </w:style>
  <w:style w:type="character" w:customStyle="1" w:styleId="highlight2">
    <w:name w:val="highlight2"/>
    <w:basedOn w:val="DefaultParagraphFont"/>
    <w:rsid w:val="003D15FE"/>
  </w:style>
  <w:style w:type="character" w:styleId="Emphasis">
    <w:name w:val="Emphasis"/>
    <w:qFormat/>
    <w:rsid w:val="00235DD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097">
      <w:bodyDiv w:val="1"/>
      <w:marLeft w:val="0"/>
      <w:marRight w:val="0"/>
      <w:marTop w:val="0"/>
      <w:marBottom w:val="0"/>
      <w:divBdr>
        <w:top w:val="none" w:sz="0" w:space="0" w:color="auto"/>
        <w:left w:val="none" w:sz="0" w:space="0" w:color="auto"/>
        <w:bottom w:val="none" w:sz="0" w:space="0" w:color="auto"/>
        <w:right w:val="none" w:sz="0" w:space="0" w:color="auto"/>
      </w:divBdr>
      <w:divsChild>
        <w:div w:id="1099257841">
          <w:marLeft w:val="0"/>
          <w:marRight w:val="0"/>
          <w:marTop w:val="0"/>
          <w:marBottom w:val="0"/>
          <w:divBdr>
            <w:top w:val="none" w:sz="0" w:space="0" w:color="auto"/>
            <w:left w:val="none" w:sz="0" w:space="0" w:color="auto"/>
            <w:bottom w:val="none" w:sz="0" w:space="0" w:color="auto"/>
            <w:right w:val="none" w:sz="0" w:space="0" w:color="auto"/>
          </w:divBdr>
          <w:divsChild>
            <w:div w:id="1143885245">
              <w:marLeft w:val="0"/>
              <w:marRight w:val="0"/>
              <w:marTop w:val="0"/>
              <w:marBottom w:val="0"/>
              <w:divBdr>
                <w:top w:val="none" w:sz="0" w:space="0" w:color="auto"/>
                <w:left w:val="none" w:sz="0" w:space="0" w:color="auto"/>
                <w:bottom w:val="none" w:sz="0" w:space="0" w:color="auto"/>
                <w:right w:val="none" w:sz="0" w:space="0" w:color="auto"/>
              </w:divBdr>
            </w:div>
            <w:div w:id="2033678997">
              <w:marLeft w:val="0"/>
              <w:marRight w:val="0"/>
              <w:marTop w:val="0"/>
              <w:marBottom w:val="0"/>
              <w:divBdr>
                <w:top w:val="none" w:sz="0" w:space="0" w:color="auto"/>
                <w:left w:val="none" w:sz="0" w:space="0" w:color="auto"/>
                <w:bottom w:val="none" w:sz="0" w:space="0" w:color="auto"/>
                <w:right w:val="none" w:sz="0" w:space="0" w:color="auto"/>
              </w:divBdr>
            </w:div>
            <w:div w:id="1379009697">
              <w:marLeft w:val="0"/>
              <w:marRight w:val="0"/>
              <w:marTop w:val="0"/>
              <w:marBottom w:val="0"/>
              <w:divBdr>
                <w:top w:val="none" w:sz="0" w:space="0" w:color="auto"/>
                <w:left w:val="none" w:sz="0" w:space="0" w:color="auto"/>
                <w:bottom w:val="none" w:sz="0" w:space="0" w:color="auto"/>
                <w:right w:val="none" w:sz="0" w:space="0" w:color="auto"/>
              </w:divBdr>
            </w:div>
            <w:div w:id="266161629">
              <w:marLeft w:val="0"/>
              <w:marRight w:val="0"/>
              <w:marTop w:val="0"/>
              <w:marBottom w:val="0"/>
              <w:divBdr>
                <w:top w:val="none" w:sz="0" w:space="0" w:color="auto"/>
                <w:left w:val="none" w:sz="0" w:space="0" w:color="auto"/>
                <w:bottom w:val="none" w:sz="0" w:space="0" w:color="auto"/>
                <w:right w:val="none" w:sz="0" w:space="0" w:color="auto"/>
              </w:divBdr>
            </w:div>
            <w:div w:id="732192447">
              <w:marLeft w:val="0"/>
              <w:marRight w:val="0"/>
              <w:marTop w:val="0"/>
              <w:marBottom w:val="0"/>
              <w:divBdr>
                <w:top w:val="none" w:sz="0" w:space="0" w:color="auto"/>
                <w:left w:val="none" w:sz="0" w:space="0" w:color="auto"/>
                <w:bottom w:val="none" w:sz="0" w:space="0" w:color="auto"/>
                <w:right w:val="none" w:sz="0" w:space="0" w:color="auto"/>
              </w:divBdr>
            </w:div>
            <w:div w:id="1987053370">
              <w:marLeft w:val="0"/>
              <w:marRight w:val="0"/>
              <w:marTop w:val="0"/>
              <w:marBottom w:val="0"/>
              <w:divBdr>
                <w:top w:val="none" w:sz="0" w:space="0" w:color="auto"/>
                <w:left w:val="none" w:sz="0" w:space="0" w:color="auto"/>
                <w:bottom w:val="none" w:sz="0" w:space="0" w:color="auto"/>
                <w:right w:val="none" w:sz="0" w:space="0" w:color="auto"/>
              </w:divBdr>
            </w:div>
            <w:div w:id="1336691924">
              <w:marLeft w:val="0"/>
              <w:marRight w:val="0"/>
              <w:marTop w:val="0"/>
              <w:marBottom w:val="0"/>
              <w:divBdr>
                <w:top w:val="none" w:sz="0" w:space="0" w:color="auto"/>
                <w:left w:val="none" w:sz="0" w:space="0" w:color="auto"/>
                <w:bottom w:val="none" w:sz="0" w:space="0" w:color="auto"/>
                <w:right w:val="none" w:sz="0" w:space="0" w:color="auto"/>
              </w:divBdr>
            </w:div>
            <w:div w:id="129203885">
              <w:marLeft w:val="0"/>
              <w:marRight w:val="0"/>
              <w:marTop w:val="0"/>
              <w:marBottom w:val="0"/>
              <w:divBdr>
                <w:top w:val="none" w:sz="0" w:space="0" w:color="auto"/>
                <w:left w:val="none" w:sz="0" w:space="0" w:color="auto"/>
                <w:bottom w:val="none" w:sz="0" w:space="0" w:color="auto"/>
                <w:right w:val="none" w:sz="0" w:space="0" w:color="auto"/>
              </w:divBdr>
            </w:div>
            <w:div w:id="1851941923">
              <w:marLeft w:val="0"/>
              <w:marRight w:val="0"/>
              <w:marTop w:val="0"/>
              <w:marBottom w:val="0"/>
              <w:divBdr>
                <w:top w:val="none" w:sz="0" w:space="0" w:color="auto"/>
                <w:left w:val="none" w:sz="0" w:space="0" w:color="auto"/>
                <w:bottom w:val="none" w:sz="0" w:space="0" w:color="auto"/>
                <w:right w:val="none" w:sz="0" w:space="0" w:color="auto"/>
              </w:divBdr>
            </w:div>
            <w:div w:id="696809712">
              <w:marLeft w:val="0"/>
              <w:marRight w:val="0"/>
              <w:marTop w:val="0"/>
              <w:marBottom w:val="0"/>
              <w:divBdr>
                <w:top w:val="none" w:sz="0" w:space="0" w:color="auto"/>
                <w:left w:val="none" w:sz="0" w:space="0" w:color="auto"/>
                <w:bottom w:val="none" w:sz="0" w:space="0" w:color="auto"/>
                <w:right w:val="none" w:sz="0" w:space="0" w:color="auto"/>
              </w:divBdr>
            </w:div>
            <w:div w:id="1214003593">
              <w:marLeft w:val="0"/>
              <w:marRight w:val="0"/>
              <w:marTop w:val="0"/>
              <w:marBottom w:val="0"/>
              <w:divBdr>
                <w:top w:val="none" w:sz="0" w:space="0" w:color="auto"/>
                <w:left w:val="none" w:sz="0" w:space="0" w:color="auto"/>
                <w:bottom w:val="none" w:sz="0" w:space="0" w:color="auto"/>
                <w:right w:val="none" w:sz="0" w:space="0" w:color="auto"/>
              </w:divBdr>
            </w:div>
            <w:div w:id="1753816032">
              <w:marLeft w:val="0"/>
              <w:marRight w:val="0"/>
              <w:marTop w:val="0"/>
              <w:marBottom w:val="0"/>
              <w:divBdr>
                <w:top w:val="none" w:sz="0" w:space="0" w:color="auto"/>
                <w:left w:val="none" w:sz="0" w:space="0" w:color="auto"/>
                <w:bottom w:val="none" w:sz="0" w:space="0" w:color="auto"/>
                <w:right w:val="none" w:sz="0" w:space="0" w:color="auto"/>
              </w:divBdr>
            </w:div>
            <w:div w:id="2068650447">
              <w:marLeft w:val="0"/>
              <w:marRight w:val="0"/>
              <w:marTop w:val="0"/>
              <w:marBottom w:val="0"/>
              <w:divBdr>
                <w:top w:val="none" w:sz="0" w:space="0" w:color="auto"/>
                <w:left w:val="none" w:sz="0" w:space="0" w:color="auto"/>
                <w:bottom w:val="none" w:sz="0" w:space="0" w:color="auto"/>
                <w:right w:val="none" w:sz="0" w:space="0" w:color="auto"/>
              </w:divBdr>
            </w:div>
            <w:div w:id="623116720">
              <w:marLeft w:val="0"/>
              <w:marRight w:val="0"/>
              <w:marTop w:val="0"/>
              <w:marBottom w:val="0"/>
              <w:divBdr>
                <w:top w:val="none" w:sz="0" w:space="0" w:color="auto"/>
                <w:left w:val="none" w:sz="0" w:space="0" w:color="auto"/>
                <w:bottom w:val="none" w:sz="0" w:space="0" w:color="auto"/>
                <w:right w:val="none" w:sz="0" w:space="0" w:color="auto"/>
              </w:divBdr>
            </w:div>
            <w:div w:id="1072392271">
              <w:marLeft w:val="0"/>
              <w:marRight w:val="0"/>
              <w:marTop w:val="0"/>
              <w:marBottom w:val="0"/>
              <w:divBdr>
                <w:top w:val="none" w:sz="0" w:space="0" w:color="auto"/>
                <w:left w:val="none" w:sz="0" w:space="0" w:color="auto"/>
                <w:bottom w:val="none" w:sz="0" w:space="0" w:color="auto"/>
                <w:right w:val="none" w:sz="0" w:space="0" w:color="auto"/>
              </w:divBdr>
            </w:div>
            <w:div w:id="1069614995">
              <w:marLeft w:val="0"/>
              <w:marRight w:val="0"/>
              <w:marTop w:val="0"/>
              <w:marBottom w:val="0"/>
              <w:divBdr>
                <w:top w:val="none" w:sz="0" w:space="0" w:color="auto"/>
                <w:left w:val="none" w:sz="0" w:space="0" w:color="auto"/>
                <w:bottom w:val="none" w:sz="0" w:space="0" w:color="auto"/>
                <w:right w:val="none" w:sz="0" w:space="0" w:color="auto"/>
              </w:divBdr>
            </w:div>
            <w:div w:id="157548917">
              <w:marLeft w:val="0"/>
              <w:marRight w:val="0"/>
              <w:marTop w:val="0"/>
              <w:marBottom w:val="0"/>
              <w:divBdr>
                <w:top w:val="none" w:sz="0" w:space="0" w:color="auto"/>
                <w:left w:val="none" w:sz="0" w:space="0" w:color="auto"/>
                <w:bottom w:val="none" w:sz="0" w:space="0" w:color="auto"/>
                <w:right w:val="none" w:sz="0" w:space="0" w:color="auto"/>
              </w:divBdr>
            </w:div>
            <w:div w:id="1969121928">
              <w:marLeft w:val="0"/>
              <w:marRight w:val="0"/>
              <w:marTop w:val="0"/>
              <w:marBottom w:val="0"/>
              <w:divBdr>
                <w:top w:val="none" w:sz="0" w:space="0" w:color="auto"/>
                <w:left w:val="none" w:sz="0" w:space="0" w:color="auto"/>
                <w:bottom w:val="none" w:sz="0" w:space="0" w:color="auto"/>
                <w:right w:val="none" w:sz="0" w:space="0" w:color="auto"/>
              </w:divBdr>
            </w:div>
            <w:div w:id="266276357">
              <w:marLeft w:val="0"/>
              <w:marRight w:val="0"/>
              <w:marTop w:val="0"/>
              <w:marBottom w:val="0"/>
              <w:divBdr>
                <w:top w:val="none" w:sz="0" w:space="0" w:color="auto"/>
                <w:left w:val="none" w:sz="0" w:space="0" w:color="auto"/>
                <w:bottom w:val="none" w:sz="0" w:space="0" w:color="auto"/>
                <w:right w:val="none" w:sz="0" w:space="0" w:color="auto"/>
              </w:divBdr>
            </w:div>
            <w:div w:id="1689482426">
              <w:marLeft w:val="0"/>
              <w:marRight w:val="0"/>
              <w:marTop w:val="0"/>
              <w:marBottom w:val="0"/>
              <w:divBdr>
                <w:top w:val="none" w:sz="0" w:space="0" w:color="auto"/>
                <w:left w:val="none" w:sz="0" w:space="0" w:color="auto"/>
                <w:bottom w:val="none" w:sz="0" w:space="0" w:color="auto"/>
                <w:right w:val="none" w:sz="0" w:space="0" w:color="auto"/>
              </w:divBdr>
            </w:div>
            <w:div w:id="552010832">
              <w:marLeft w:val="0"/>
              <w:marRight w:val="0"/>
              <w:marTop w:val="0"/>
              <w:marBottom w:val="0"/>
              <w:divBdr>
                <w:top w:val="none" w:sz="0" w:space="0" w:color="auto"/>
                <w:left w:val="none" w:sz="0" w:space="0" w:color="auto"/>
                <w:bottom w:val="none" w:sz="0" w:space="0" w:color="auto"/>
                <w:right w:val="none" w:sz="0" w:space="0" w:color="auto"/>
              </w:divBdr>
            </w:div>
            <w:div w:id="2145921378">
              <w:marLeft w:val="0"/>
              <w:marRight w:val="0"/>
              <w:marTop w:val="0"/>
              <w:marBottom w:val="0"/>
              <w:divBdr>
                <w:top w:val="none" w:sz="0" w:space="0" w:color="auto"/>
                <w:left w:val="none" w:sz="0" w:space="0" w:color="auto"/>
                <w:bottom w:val="none" w:sz="0" w:space="0" w:color="auto"/>
                <w:right w:val="none" w:sz="0" w:space="0" w:color="auto"/>
              </w:divBdr>
            </w:div>
            <w:div w:id="616909510">
              <w:marLeft w:val="0"/>
              <w:marRight w:val="0"/>
              <w:marTop w:val="0"/>
              <w:marBottom w:val="0"/>
              <w:divBdr>
                <w:top w:val="none" w:sz="0" w:space="0" w:color="auto"/>
                <w:left w:val="none" w:sz="0" w:space="0" w:color="auto"/>
                <w:bottom w:val="none" w:sz="0" w:space="0" w:color="auto"/>
                <w:right w:val="none" w:sz="0" w:space="0" w:color="auto"/>
              </w:divBdr>
            </w:div>
            <w:div w:id="680400690">
              <w:marLeft w:val="0"/>
              <w:marRight w:val="0"/>
              <w:marTop w:val="0"/>
              <w:marBottom w:val="0"/>
              <w:divBdr>
                <w:top w:val="none" w:sz="0" w:space="0" w:color="auto"/>
                <w:left w:val="none" w:sz="0" w:space="0" w:color="auto"/>
                <w:bottom w:val="none" w:sz="0" w:space="0" w:color="auto"/>
                <w:right w:val="none" w:sz="0" w:space="0" w:color="auto"/>
              </w:divBdr>
            </w:div>
            <w:div w:id="1461655907">
              <w:marLeft w:val="0"/>
              <w:marRight w:val="0"/>
              <w:marTop w:val="0"/>
              <w:marBottom w:val="0"/>
              <w:divBdr>
                <w:top w:val="none" w:sz="0" w:space="0" w:color="auto"/>
                <w:left w:val="none" w:sz="0" w:space="0" w:color="auto"/>
                <w:bottom w:val="none" w:sz="0" w:space="0" w:color="auto"/>
                <w:right w:val="none" w:sz="0" w:space="0" w:color="auto"/>
              </w:divBdr>
            </w:div>
            <w:div w:id="1787113259">
              <w:marLeft w:val="0"/>
              <w:marRight w:val="0"/>
              <w:marTop w:val="0"/>
              <w:marBottom w:val="0"/>
              <w:divBdr>
                <w:top w:val="none" w:sz="0" w:space="0" w:color="auto"/>
                <w:left w:val="none" w:sz="0" w:space="0" w:color="auto"/>
                <w:bottom w:val="none" w:sz="0" w:space="0" w:color="auto"/>
                <w:right w:val="none" w:sz="0" w:space="0" w:color="auto"/>
              </w:divBdr>
            </w:div>
            <w:div w:id="713581798">
              <w:marLeft w:val="0"/>
              <w:marRight w:val="0"/>
              <w:marTop w:val="0"/>
              <w:marBottom w:val="0"/>
              <w:divBdr>
                <w:top w:val="none" w:sz="0" w:space="0" w:color="auto"/>
                <w:left w:val="none" w:sz="0" w:space="0" w:color="auto"/>
                <w:bottom w:val="none" w:sz="0" w:space="0" w:color="auto"/>
                <w:right w:val="none" w:sz="0" w:space="0" w:color="auto"/>
              </w:divBdr>
            </w:div>
            <w:div w:id="1957104677">
              <w:marLeft w:val="0"/>
              <w:marRight w:val="0"/>
              <w:marTop w:val="0"/>
              <w:marBottom w:val="0"/>
              <w:divBdr>
                <w:top w:val="none" w:sz="0" w:space="0" w:color="auto"/>
                <w:left w:val="none" w:sz="0" w:space="0" w:color="auto"/>
                <w:bottom w:val="none" w:sz="0" w:space="0" w:color="auto"/>
                <w:right w:val="none" w:sz="0" w:space="0" w:color="auto"/>
              </w:divBdr>
            </w:div>
            <w:div w:id="1716388139">
              <w:marLeft w:val="0"/>
              <w:marRight w:val="0"/>
              <w:marTop w:val="0"/>
              <w:marBottom w:val="0"/>
              <w:divBdr>
                <w:top w:val="none" w:sz="0" w:space="0" w:color="auto"/>
                <w:left w:val="none" w:sz="0" w:space="0" w:color="auto"/>
                <w:bottom w:val="none" w:sz="0" w:space="0" w:color="auto"/>
                <w:right w:val="none" w:sz="0" w:space="0" w:color="auto"/>
              </w:divBdr>
            </w:div>
            <w:div w:id="1518812452">
              <w:marLeft w:val="0"/>
              <w:marRight w:val="0"/>
              <w:marTop w:val="0"/>
              <w:marBottom w:val="0"/>
              <w:divBdr>
                <w:top w:val="none" w:sz="0" w:space="0" w:color="auto"/>
                <w:left w:val="none" w:sz="0" w:space="0" w:color="auto"/>
                <w:bottom w:val="none" w:sz="0" w:space="0" w:color="auto"/>
                <w:right w:val="none" w:sz="0" w:space="0" w:color="auto"/>
              </w:divBdr>
            </w:div>
            <w:div w:id="471289992">
              <w:marLeft w:val="0"/>
              <w:marRight w:val="0"/>
              <w:marTop w:val="0"/>
              <w:marBottom w:val="0"/>
              <w:divBdr>
                <w:top w:val="none" w:sz="0" w:space="0" w:color="auto"/>
                <w:left w:val="none" w:sz="0" w:space="0" w:color="auto"/>
                <w:bottom w:val="none" w:sz="0" w:space="0" w:color="auto"/>
                <w:right w:val="none" w:sz="0" w:space="0" w:color="auto"/>
              </w:divBdr>
            </w:div>
            <w:div w:id="414787049">
              <w:marLeft w:val="0"/>
              <w:marRight w:val="0"/>
              <w:marTop w:val="0"/>
              <w:marBottom w:val="0"/>
              <w:divBdr>
                <w:top w:val="none" w:sz="0" w:space="0" w:color="auto"/>
                <w:left w:val="none" w:sz="0" w:space="0" w:color="auto"/>
                <w:bottom w:val="none" w:sz="0" w:space="0" w:color="auto"/>
                <w:right w:val="none" w:sz="0" w:space="0" w:color="auto"/>
              </w:divBdr>
            </w:div>
            <w:div w:id="1964576231">
              <w:marLeft w:val="0"/>
              <w:marRight w:val="0"/>
              <w:marTop w:val="0"/>
              <w:marBottom w:val="0"/>
              <w:divBdr>
                <w:top w:val="none" w:sz="0" w:space="0" w:color="auto"/>
                <w:left w:val="none" w:sz="0" w:space="0" w:color="auto"/>
                <w:bottom w:val="none" w:sz="0" w:space="0" w:color="auto"/>
                <w:right w:val="none" w:sz="0" w:space="0" w:color="auto"/>
              </w:divBdr>
            </w:div>
            <w:div w:id="1355886723">
              <w:marLeft w:val="0"/>
              <w:marRight w:val="0"/>
              <w:marTop w:val="0"/>
              <w:marBottom w:val="0"/>
              <w:divBdr>
                <w:top w:val="none" w:sz="0" w:space="0" w:color="auto"/>
                <w:left w:val="none" w:sz="0" w:space="0" w:color="auto"/>
                <w:bottom w:val="none" w:sz="0" w:space="0" w:color="auto"/>
                <w:right w:val="none" w:sz="0" w:space="0" w:color="auto"/>
              </w:divBdr>
            </w:div>
            <w:div w:id="952594663">
              <w:marLeft w:val="0"/>
              <w:marRight w:val="0"/>
              <w:marTop w:val="0"/>
              <w:marBottom w:val="0"/>
              <w:divBdr>
                <w:top w:val="none" w:sz="0" w:space="0" w:color="auto"/>
                <w:left w:val="none" w:sz="0" w:space="0" w:color="auto"/>
                <w:bottom w:val="none" w:sz="0" w:space="0" w:color="auto"/>
                <w:right w:val="none" w:sz="0" w:space="0" w:color="auto"/>
              </w:divBdr>
            </w:div>
            <w:div w:id="1912694077">
              <w:marLeft w:val="0"/>
              <w:marRight w:val="0"/>
              <w:marTop w:val="0"/>
              <w:marBottom w:val="0"/>
              <w:divBdr>
                <w:top w:val="none" w:sz="0" w:space="0" w:color="auto"/>
                <w:left w:val="none" w:sz="0" w:space="0" w:color="auto"/>
                <w:bottom w:val="none" w:sz="0" w:space="0" w:color="auto"/>
                <w:right w:val="none" w:sz="0" w:space="0" w:color="auto"/>
              </w:divBdr>
            </w:div>
            <w:div w:id="239875405">
              <w:marLeft w:val="0"/>
              <w:marRight w:val="0"/>
              <w:marTop w:val="0"/>
              <w:marBottom w:val="0"/>
              <w:divBdr>
                <w:top w:val="none" w:sz="0" w:space="0" w:color="auto"/>
                <w:left w:val="none" w:sz="0" w:space="0" w:color="auto"/>
                <w:bottom w:val="none" w:sz="0" w:space="0" w:color="auto"/>
                <w:right w:val="none" w:sz="0" w:space="0" w:color="auto"/>
              </w:divBdr>
            </w:div>
            <w:div w:id="1408117563">
              <w:marLeft w:val="0"/>
              <w:marRight w:val="0"/>
              <w:marTop w:val="0"/>
              <w:marBottom w:val="0"/>
              <w:divBdr>
                <w:top w:val="none" w:sz="0" w:space="0" w:color="auto"/>
                <w:left w:val="none" w:sz="0" w:space="0" w:color="auto"/>
                <w:bottom w:val="none" w:sz="0" w:space="0" w:color="auto"/>
                <w:right w:val="none" w:sz="0" w:space="0" w:color="auto"/>
              </w:divBdr>
            </w:div>
            <w:div w:id="2023358862">
              <w:marLeft w:val="0"/>
              <w:marRight w:val="0"/>
              <w:marTop w:val="0"/>
              <w:marBottom w:val="0"/>
              <w:divBdr>
                <w:top w:val="none" w:sz="0" w:space="0" w:color="auto"/>
                <w:left w:val="none" w:sz="0" w:space="0" w:color="auto"/>
                <w:bottom w:val="none" w:sz="0" w:space="0" w:color="auto"/>
                <w:right w:val="none" w:sz="0" w:space="0" w:color="auto"/>
              </w:divBdr>
            </w:div>
            <w:div w:id="468135021">
              <w:marLeft w:val="0"/>
              <w:marRight w:val="0"/>
              <w:marTop w:val="0"/>
              <w:marBottom w:val="0"/>
              <w:divBdr>
                <w:top w:val="none" w:sz="0" w:space="0" w:color="auto"/>
                <w:left w:val="none" w:sz="0" w:space="0" w:color="auto"/>
                <w:bottom w:val="none" w:sz="0" w:space="0" w:color="auto"/>
                <w:right w:val="none" w:sz="0" w:space="0" w:color="auto"/>
              </w:divBdr>
            </w:div>
            <w:div w:id="1422340185">
              <w:marLeft w:val="0"/>
              <w:marRight w:val="0"/>
              <w:marTop w:val="0"/>
              <w:marBottom w:val="0"/>
              <w:divBdr>
                <w:top w:val="none" w:sz="0" w:space="0" w:color="auto"/>
                <w:left w:val="none" w:sz="0" w:space="0" w:color="auto"/>
                <w:bottom w:val="none" w:sz="0" w:space="0" w:color="auto"/>
                <w:right w:val="none" w:sz="0" w:space="0" w:color="auto"/>
              </w:divBdr>
            </w:div>
            <w:div w:id="1246458941">
              <w:marLeft w:val="0"/>
              <w:marRight w:val="0"/>
              <w:marTop w:val="0"/>
              <w:marBottom w:val="0"/>
              <w:divBdr>
                <w:top w:val="none" w:sz="0" w:space="0" w:color="auto"/>
                <w:left w:val="none" w:sz="0" w:space="0" w:color="auto"/>
                <w:bottom w:val="none" w:sz="0" w:space="0" w:color="auto"/>
                <w:right w:val="none" w:sz="0" w:space="0" w:color="auto"/>
              </w:divBdr>
            </w:div>
            <w:div w:id="1818453758">
              <w:marLeft w:val="0"/>
              <w:marRight w:val="0"/>
              <w:marTop w:val="0"/>
              <w:marBottom w:val="0"/>
              <w:divBdr>
                <w:top w:val="none" w:sz="0" w:space="0" w:color="auto"/>
                <w:left w:val="none" w:sz="0" w:space="0" w:color="auto"/>
                <w:bottom w:val="none" w:sz="0" w:space="0" w:color="auto"/>
                <w:right w:val="none" w:sz="0" w:space="0" w:color="auto"/>
              </w:divBdr>
            </w:div>
            <w:div w:id="1133526327">
              <w:marLeft w:val="0"/>
              <w:marRight w:val="0"/>
              <w:marTop w:val="0"/>
              <w:marBottom w:val="0"/>
              <w:divBdr>
                <w:top w:val="none" w:sz="0" w:space="0" w:color="auto"/>
                <w:left w:val="none" w:sz="0" w:space="0" w:color="auto"/>
                <w:bottom w:val="none" w:sz="0" w:space="0" w:color="auto"/>
                <w:right w:val="none" w:sz="0" w:space="0" w:color="auto"/>
              </w:divBdr>
            </w:div>
            <w:div w:id="234434313">
              <w:marLeft w:val="0"/>
              <w:marRight w:val="0"/>
              <w:marTop w:val="0"/>
              <w:marBottom w:val="0"/>
              <w:divBdr>
                <w:top w:val="none" w:sz="0" w:space="0" w:color="auto"/>
                <w:left w:val="none" w:sz="0" w:space="0" w:color="auto"/>
                <w:bottom w:val="none" w:sz="0" w:space="0" w:color="auto"/>
                <w:right w:val="none" w:sz="0" w:space="0" w:color="auto"/>
              </w:divBdr>
            </w:div>
            <w:div w:id="1962373880">
              <w:marLeft w:val="0"/>
              <w:marRight w:val="0"/>
              <w:marTop w:val="0"/>
              <w:marBottom w:val="0"/>
              <w:divBdr>
                <w:top w:val="none" w:sz="0" w:space="0" w:color="auto"/>
                <w:left w:val="none" w:sz="0" w:space="0" w:color="auto"/>
                <w:bottom w:val="none" w:sz="0" w:space="0" w:color="auto"/>
                <w:right w:val="none" w:sz="0" w:space="0" w:color="auto"/>
              </w:divBdr>
            </w:div>
            <w:div w:id="1046298093">
              <w:marLeft w:val="0"/>
              <w:marRight w:val="0"/>
              <w:marTop w:val="0"/>
              <w:marBottom w:val="0"/>
              <w:divBdr>
                <w:top w:val="none" w:sz="0" w:space="0" w:color="auto"/>
                <w:left w:val="none" w:sz="0" w:space="0" w:color="auto"/>
                <w:bottom w:val="none" w:sz="0" w:space="0" w:color="auto"/>
                <w:right w:val="none" w:sz="0" w:space="0" w:color="auto"/>
              </w:divBdr>
            </w:div>
            <w:div w:id="1279139561">
              <w:marLeft w:val="0"/>
              <w:marRight w:val="0"/>
              <w:marTop w:val="0"/>
              <w:marBottom w:val="0"/>
              <w:divBdr>
                <w:top w:val="none" w:sz="0" w:space="0" w:color="auto"/>
                <w:left w:val="none" w:sz="0" w:space="0" w:color="auto"/>
                <w:bottom w:val="none" w:sz="0" w:space="0" w:color="auto"/>
                <w:right w:val="none" w:sz="0" w:space="0" w:color="auto"/>
              </w:divBdr>
            </w:div>
            <w:div w:id="1533228194">
              <w:marLeft w:val="0"/>
              <w:marRight w:val="0"/>
              <w:marTop w:val="0"/>
              <w:marBottom w:val="0"/>
              <w:divBdr>
                <w:top w:val="none" w:sz="0" w:space="0" w:color="auto"/>
                <w:left w:val="none" w:sz="0" w:space="0" w:color="auto"/>
                <w:bottom w:val="none" w:sz="0" w:space="0" w:color="auto"/>
                <w:right w:val="none" w:sz="0" w:space="0" w:color="auto"/>
              </w:divBdr>
            </w:div>
            <w:div w:id="1269894710">
              <w:marLeft w:val="0"/>
              <w:marRight w:val="0"/>
              <w:marTop w:val="0"/>
              <w:marBottom w:val="0"/>
              <w:divBdr>
                <w:top w:val="none" w:sz="0" w:space="0" w:color="auto"/>
                <w:left w:val="none" w:sz="0" w:space="0" w:color="auto"/>
                <w:bottom w:val="none" w:sz="0" w:space="0" w:color="auto"/>
                <w:right w:val="none" w:sz="0" w:space="0" w:color="auto"/>
              </w:divBdr>
            </w:div>
            <w:div w:id="736242251">
              <w:marLeft w:val="0"/>
              <w:marRight w:val="0"/>
              <w:marTop w:val="0"/>
              <w:marBottom w:val="0"/>
              <w:divBdr>
                <w:top w:val="none" w:sz="0" w:space="0" w:color="auto"/>
                <w:left w:val="none" w:sz="0" w:space="0" w:color="auto"/>
                <w:bottom w:val="none" w:sz="0" w:space="0" w:color="auto"/>
                <w:right w:val="none" w:sz="0" w:space="0" w:color="auto"/>
              </w:divBdr>
            </w:div>
            <w:div w:id="461267050">
              <w:marLeft w:val="0"/>
              <w:marRight w:val="0"/>
              <w:marTop w:val="0"/>
              <w:marBottom w:val="0"/>
              <w:divBdr>
                <w:top w:val="none" w:sz="0" w:space="0" w:color="auto"/>
                <w:left w:val="none" w:sz="0" w:space="0" w:color="auto"/>
                <w:bottom w:val="none" w:sz="0" w:space="0" w:color="auto"/>
                <w:right w:val="none" w:sz="0" w:space="0" w:color="auto"/>
              </w:divBdr>
            </w:div>
            <w:div w:id="1992362964">
              <w:marLeft w:val="0"/>
              <w:marRight w:val="0"/>
              <w:marTop w:val="0"/>
              <w:marBottom w:val="0"/>
              <w:divBdr>
                <w:top w:val="none" w:sz="0" w:space="0" w:color="auto"/>
                <w:left w:val="none" w:sz="0" w:space="0" w:color="auto"/>
                <w:bottom w:val="none" w:sz="0" w:space="0" w:color="auto"/>
                <w:right w:val="none" w:sz="0" w:space="0" w:color="auto"/>
              </w:divBdr>
            </w:div>
            <w:div w:id="1645431401">
              <w:marLeft w:val="0"/>
              <w:marRight w:val="0"/>
              <w:marTop w:val="0"/>
              <w:marBottom w:val="0"/>
              <w:divBdr>
                <w:top w:val="none" w:sz="0" w:space="0" w:color="auto"/>
                <w:left w:val="none" w:sz="0" w:space="0" w:color="auto"/>
                <w:bottom w:val="none" w:sz="0" w:space="0" w:color="auto"/>
                <w:right w:val="none" w:sz="0" w:space="0" w:color="auto"/>
              </w:divBdr>
            </w:div>
            <w:div w:id="1201819096">
              <w:marLeft w:val="0"/>
              <w:marRight w:val="0"/>
              <w:marTop w:val="0"/>
              <w:marBottom w:val="0"/>
              <w:divBdr>
                <w:top w:val="none" w:sz="0" w:space="0" w:color="auto"/>
                <w:left w:val="none" w:sz="0" w:space="0" w:color="auto"/>
                <w:bottom w:val="none" w:sz="0" w:space="0" w:color="auto"/>
                <w:right w:val="none" w:sz="0" w:space="0" w:color="auto"/>
              </w:divBdr>
            </w:div>
            <w:div w:id="1987002745">
              <w:marLeft w:val="0"/>
              <w:marRight w:val="0"/>
              <w:marTop w:val="0"/>
              <w:marBottom w:val="0"/>
              <w:divBdr>
                <w:top w:val="none" w:sz="0" w:space="0" w:color="auto"/>
                <w:left w:val="none" w:sz="0" w:space="0" w:color="auto"/>
                <w:bottom w:val="none" w:sz="0" w:space="0" w:color="auto"/>
                <w:right w:val="none" w:sz="0" w:space="0" w:color="auto"/>
              </w:divBdr>
            </w:div>
            <w:div w:id="1800538606">
              <w:marLeft w:val="0"/>
              <w:marRight w:val="0"/>
              <w:marTop w:val="0"/>
              <w:marBottom w:val="0"/>
              <w:divBdr>
                <w:top w:val="none" w:sz="0" w:space="0" w:color="auto"/>
                <w:left w:val="none" w:sz="0" w:space="0" w:color="auto"/>
                <w:bottom w:val="none" w:sz="0" w:space="0" w:color="auto"/>
                <w:right w:val="none" w:sz="0" w:space="0" w:color="auto"/>
              </w:divBdr>
            </w:div>
            <w:div w:id="1904367173">
              <w:marLeft w:val="0"/>
              <w:marRight w:val="0"/>
              <w:marTop w:val="0"/>
              <w:marBottom w:val="0"/>
              <w:divBdr>
                <w:top w:val="none" w:sz="0" w:space="0" w:color="auto"/>
                <w:left w:val="none" w:sz="0" w:space="0" w:color="auto"/>
                <w:bottom w:val="none" w:sz="0" w:space="0" w:color="auto"/>
                <w:right w:val="none" w:sz="0" w:space="0" w:color="auto"/>
              </w:divBdr>
            </w:div>
            <w:div w:id="1074089934">
              <w:marLeft w:val="0"/>
              <w:marRight w:val="0"/>
              <w:marTop w:val="0"/>
              <w:marBottom w:val="0"/>
              <w:divBdr>
                <w:top w:val="none" w:sz="0" w:space="0" w:color="auto"/>
                <w:left w:val="none" w:sz="0" w:space="0" w:color="auto"/>
                <w:bottom w:val="none" w:sz="0" w:space="0" w:color="auto"/>
                <w:right w:val="none" w:sz="0" w:space="0" w:color="auto"/>
              </w:divBdr>
            </w:div>
            <w:div w:id="884485281">
              <w:marLeft w:val="0"/>
              <w:marRight w:val="0"/>
              <w:marTop w:val="0"/>
              <w:marBottom w:val="0"/>
              <w:divBdr>
                <w:top w:val="none" w:sz="0" w:space="0" w:color="auto"/>
                <w:left w:val="none" w:sz="0" w:space="0" w:color="auto"/>
                <w:bottom w:val="none" w:sz="0" w:space="0" w:color="auto"/>
                <w:right w:val="none" w:sz="0" w:space="0" w:color="auto"/>
              </w:divBdr>
            </w:div>
            <w:div w:id="957177325">
              <w:marLeft w:val="0"/>
              <w:marRight w:val="0"/>
              <w:marTop w:val="0"/>
              <w:marBottom w:val="0"/>
              <w:divBdr>
                <w:top w:val="none" w:sz="0" w:space="0" w:color="auto"/>
                <w:left w:val="none" w:sz="0" w:space="0" w:color="auto"/>
                <w:bottom w:val="none" w:sz="0" w:space="0" w:color="auto"/>
                <w:right w:val="none" w:sz="0" w:space="0" w:color="auto"/>
              </w:divBdr>
            </w:div>
            <w:div w:id="2024697979">
              <w:marLeft w:val="0"/>
              <w:marRight w:val="0"/>
              <w:marTop w:val="0"/>
              <w:marBottom w:val="0"/>
              <w:divBdr>
                <w:top w:val="none" w:sz="0" w:space="0" w:color="auto"/>
                <w:left w:val="none" w:sz="0" w:space="0" w:color="auto"/>
                <w:bottom w:val="none" w:sz="0" w:space="0" w:color="auto"/>
                <w:right w:val="none" w:sz="0" w:space="0" w:color="auto"/>
              </w:divBdr>
            </w:div>
            <w:div w:id="1001548339">
              <w:marLeft w:val="0"/>
              <w:marRight w:val="0"/>
              <w:marTop w:val="0"/>
              <w:marBottom w:val="0"/>
              <w:divBdr>
                <w:top w:val="none" w:sz="0" w:space="0" w:color="auto"/>
                <w:left w:val="none" w:sz="0" w:space="0" w:color="auto"/>
                <w:bottom w:val="none" w:sz="0" w:space="0" w:color="auto"/>
                <w:right w:val="none" w:sz="0" w:space="0" w:color="auto"/>
              </w:divBdr>
            </w:div>
            <w:div w:id="1323585898">
              <w:marLeft w:val="0"/>
              <w:marRight w:val="0"/>
              <w:marTop w:val="0"/>
              <w:marBottom w:val="0"/>
              <w:divBdr>
                <w:top w:val="none" w:sz="0" w:space="0" w:color="auto"/>
                <w:left w:val="none" w:sz="0" w:space="0" w:color="auto"/>
                <w:bottom w:val="none" w:sz="0" w:space="0" w:color="auto"/>
                <w:right w:val="none" w:sz="0" w:space="0" w:color="auto"/>
              </w:divBdr>
            </w:div>
            <w:div w:id="1554270605">
              <w:marLeft w:val="0"/>
              <w:marRight w:val="0"/>
              <w:marTop w:val="0"/>
              <w:marBottom w:val="0"/>
              <w:divBdr>
                <w:top w:val="none" w:sz="0" w:space="0" w:color="auto"/>
                <w:left w:val="none" w:sz="0" w:space="0" w:color="auto"/>
                <w:bottom w:val="none" w:sz="0" w:space="0" w:color="auto"/>
                <w:right w:val="none" w:sz="0" w:space="0" w:color="auto"/>
              </w:divBdr>
            </w:div>
            <w:div w:id="836462016">
              <w:marLeft w:val="0"/>
              <w:marRight w:val="0"/>
              <w:marTop w:val="0"/>
              <w:marBottom w:val="0"/>
              <w:divBdr>
                <w:top w:val="none" w:sz="0" w:space="0" w:color="auto"/>
                <w:left w:val="none" w:sz="0" w:space="0" w:color="auto"/>
                <w:bottom w:val="none" w:sz="0" w:space="0" w:color="auto"/>
                <w:right w:val="none" w:sz="0" w:space="0" w:color="auto"/>
              </w:divBdr>
            </w:div>
            <w:div w:id="463040902">
              <w:marLeft w:val="0"/>
              <w:marRight w:val="0"/>
              <w:marTop w:val="0"/>
              <w:marBottom w:val="0"/>
              <w:divBdr>
                <w:top w:val="none" w:sz="0" w:space="0" w:color="auto"/>
                <w:left w:val="none" w:sz="0" w:space="0" w:color="auto"/>
                <w:bottom w:val="none" w:sz="0" w:space="0" w:color="auto"/>
                <w:right w:val="none" w:sz="0" w:space="0" w:color="auto"/>
              </w:divBdr>
            </w:div>
            <w:div w:id="1357847252">
              <w:marLeft w:val="0"/>
              <w:marRight w:val="0"/>
              <w:marTop w:val="0"/>
              <w:marBottom w:val="0"/>
              <w:divBdr>
                <w:top w:val="none" w:sz="0" w:space="0" w:color="auto"/>
                <w:left w:val="none" w:sz="0" w:space="0" w:color="auto"/>
                <w:bottom w:val="none" w:sz="0" w:space="0" w:color="auto"/>
                <w:right w:val="none" w:sz="0" w:space="0" w:color="auto"/>
              </w:divBdr>
            </w:div>
            <w:div w:id="1375544565">
              <w:marLeft w:val="0"/>
              <w:marRight w:val="0"/>
              <w:marTop w:val="0"/>
              <w:marBottom w:val="0"/>
              <w:divBdr>
                <w:top w:val="none" w:sz="0" w:space="0" w:color="auto"/>
                <w:left w:val="none" w:sz="0" w:space="0" w:color="auto"/>
                <w:bottom w:val="none" w:sz="0" w:space="0" w:color="auto"/>
                <w:right w:val="none" w:sz="0" w:space="0" w:color="auto"/>
              </w:divBdr>
            </w:div>
            <w:div w:id="16886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8418">
      <w:bodyDiv w:val="1"/>
      <w:marLeft w:val="0"/>
      <w:marRight w:val="0"/>
      <w:marTop w:val="0"/>
      <w:marBottom w:val="0"/>
      <w:divBdr>
        <w:top w:val="none" w:sz="0" w:space="0" w:color="auto"/>
        <w:left w:val="none" w:sz="0" w:space="0" w:color="auto"/>
        <w:bottom w:val="none" w:sz="0" w:space="0" w:color="auto"/>
        <w:right w:val="none" w:sz="0" w:space="0" w:color="auto"/>
      </w:divBdr>
      <w:divsChild>
        <w:div w:id="1170633850">
          <w:marLeft w:val="0"/>
          <w:marRight w:val="1"/>
          <w:marTop w:val="0"/>
          <w:marBottom w:val="0"/>
          <w:divBdr>
            <w:top w:val="none" w:sz="0" w:space="0" w:color="auto"/>
            <w:left w:val="none" w:sz="0" w:space="0" w:color="auto"/>
            <w:bottom w:val="none" w:sz="0" w:space="0" w:color="auto"/>
            <w:right w:val="none" w:sz="0" w:space="0" w:color="auto"/>
          </w:divBdr>
          <w:divsChild>
            <w:div w:id="822696961">
              <w:marLeft w:val="0"/>
              <w:marRight w:val="0"/>
              <w:marTop w:val="0"/>
              <w:marBottom w:val="0"/>
              <w:divBdr>
                <w:top w:val="none" w:sz="0" w:space="0" w:color="auto"/>
                <w:left w:val="none" w:sz="0" w:space="0" w:color="auto"/>
                <w:bottom w:val="none" w:sz="0" w:space="0" w:color="auto"/>
                <w:right w:val="none" w:sz="0" w:space="0" w:color="auto"/>
              </w:divBdr>
              <w:divsChild>
                <w:div w:id="357388271">
                  <w:marLeft w:val="0"/>
                  <w:marRight w:val="1"/>
                  <w:marTop w:val="0"/>
                  <w:marBottom w:val="0"/>
                  <w:divBdr>
                    <w:top w:val="none" w:sz="0" w:space="0" w:color="auto"/>
                    <w:left w:val="none" w:sz="0" w:space="0" w:color="auto"/>
                    <w:bottom w:val="none" w:sz="0" w:space="0" w:color="auto"/>
                    <w:right w:val="none" w:sz="0" w:space="0" w:color="auto"/>
                  </w:divBdr>
                  <w:divsChild>
                    <w:div w:id="1973054622">
                      <w:marLeft w:val="0"/>
                      <w:marRight w:val="0"/>
                      <w:marTop w:val="0"/>
                      <w:marBottom w:val="0"/>
                      <w:divBdr>
                        <w:top w:val="none" w:sz="0" w:space="0" w:color="auto"/>
                        <w:left w:val="none" w:sz="0" w:space="0" w:color="auto"/>
                        <w:bottom w:val="none" w:sz="0" w:space="0" w:color="auto"/>
                        <w:right w:val="none" w:sz="0" w:space="0" w:color="auto"/>
                      </w:divBdr>
                      <w:divsChild>
                        <w:div w:id="1944412093">
                          <w:marLeft w:val="0"/>
                          <w:marRight w:val="0"/>
                          <w:marTop w:val="0"/>
                          <w:marBottom w:val="0"/>
                          <w:divBdr>
                            <w:top w:val="none" w:sz="0" w:space="0" w:color="auto"/>
                            <w:left w:val="none" w:sz="0" w:space="0" w:color="auto"/>
                            <w:bottom w:val="none" w:sz="0" w:space="0" w:color="auto"/>
                            <w:right w:val="none" w:sz="0" w:space="0" w:color="auto"/>
                          </w:divBdr>
                          <w:divsChild>
                            <w:div w:id="1537699554">
                              <w:marLeft w:val="0"/>
                              <w:marRight w:val="0"/>
                              <w:marTop w:val="120"/>
                              <w:marBottom w:val="360"/>
                              <w:divBdr>
                                <w:top w:val="none" w:sz="0" w:space="0" w:color="auto"/>
                                <w:left w:val="none" w:sz="0" w:space="0" w:color="auto"/>
                                <w:bottom w:val="none" w:sz="0" w:space="0" w:color="auto"/>
                                <w:right w:val="none" w:sz="0" w:space="0" w:color="auto"/>
                              </w:divBdr>
                              <w:divsChild>
                                <w:div w:id="537861378">
                                  <w:marLeft w:val="0"/>
                                  <w:marRight w:val="0"/>
                                  <w:marTop w:val="0"/>
                                  <w:marBottom w:val="0"/>
                                  <w:divBdr>
                                    <w:top w:val="none" w:sz="0" w:space="0" w:color="auto"/>
                                    <w:left w:val="none" w:sz="0" w:space="0" w:color="auto"/>
                                    <w:bottom w:val="none" w:sz="0" w:space="0" w:color="auto"/>
                                    <w:right w:val="none" w:sz="0" w:space="0" w:color="auto"/>
                                  </w:divBdr>
                                  <w:divsChild>
                                    <w:div w:id="10477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746809">
      <w:bodyDiv w:val="1"/>
      <w:marLeft w:val="0"/>
      <w:marRight w:val="0"/>
      <w:marTop w:val="0"/>
      <w:marBottom w:val="0"/>
      <w:divBdr>
        <w:top w:val="none" w:sz="0" w:space="0" w:color="auto"/>
        <w:left w:val="none" w:sz="0" w:space="0" w:color="auto"/>
        <w:bottom w:val="none" w:sz="0" w:space="0" w:color="auto"/>
        <w:right w:val="none" w:sz="0" w:space="0" w:color="auto"/>
      </w:divBdr>
      <w:divsChild>
        <w:div w:id="597906932">
          <w:marLeft w:val="0"/>
          <w:marRight w:val="1"/>
          <w:marTop w:val="0"/>
          <w:marBottom w:val="0"/>
          <w:divBdr>
            <w:top w:val="none" w:sz="0" w:space="0" w:color="auto"/>
            <w:left w:val="none" w:sz="0" w:space="0" w:color="auto"/>
            <w:bottom w:val="none" w:sz="0" w:space="0" w:color="auto"/>
            <w:right w:val="none" w:sz="0" w:space="0" w:color="auto"/>
          </w:divBdr>
          <w:divsChild>
            <w:div w:id="2086763353">
              <w:marLeft w:val="0"/>
              <w:marRight w:val="0"/>
              <w:marTop w:val="0"/>
              <w:marBottom w:val="0"/>
              <w:divBdr>
                <w:top w:val="none" w:sz="0" w:space="0" w:color="auto"/>
                <w:left w:val="none" w:sz="0" w:space="0" w:color="auto"/>
                <w:bottom w:val="none" w:sz="0" w:space="0" w:color="auto"/>
                <w:right w:val="none" w:sz="0" w:space="0" w:color="auto"/>
              </w:divBdr>
              <w:divsChild>
                <w:div w:id="2082412228">
                  <w:marLeft w:val="0"/>
                  <w:marRight w:val="1"/>
                  <w:marTop w:val="0"/>
                  <w:marBottom w:val="0"/>
                  <w:divBdr>
                    <w:top w:val="none" w:sz="0" w:space="0" w:color="auto"/>
                    <w:left w:val="none" w:sz="0" w:space="0" w:color="auto"/>
                    <w:bottom w:val="none" w:sz="0" w:space="0" w:color="auto"/>
                    <w:right w:val="none" w:sz="0" w:space="0" w:color="auto"/>
                  </w:divBdr>
                  <w:divsChild>
                    <w:div w:id="730078223">
                      <w:marLeft w:val="0"/>
                      <w:marRight w:val="0"/>
                      <w:marTop w:val="0"/>
                      <w:marBottom w:val="0"/>
                      <w:divBdr>
                        <w:top w:val="none" w:sz="0" w:space="0" w:color="auto"/>
                        <w:left w:val="none" w:sz="0" w:space="0" w:color="auto"/>
                        <w:bottom w:val="none" w:sz="0" w:space="0" w:color="auto"/>
                        <w:right w:val="none" w:sz="0" w:space="0" w:color="auto"/>
                      </w:divBdr>
                      <w:divsChild>
                        <w:div w:id="1136527879">
                          <w:marLeft w:val="0"/>
                          <w:marRight w:val="0"/>
                          <w:marTop w:val="0"/>
                          <w:marBottom w:val="0"/>
                          <w:divBdr>
                            <w:top w:val="none" w:sz="0" w:space="0" w:color="auto"/>
                            <w:left w:val="none" w:sz="0" w:space="0" w:color="auto"/>
                            <w:bottom w:val="none" w:sz="0" w:space="0" w:color="auto"/>
                            <w:right w:val="none" w:sz="0" w:space="0" w:color="auto"/>
                          </w:divBdr>
                          <w:divsChild>
                            <w:div w:id="1428309299">
                              <w:marLeft w:val="0"/>
                              <w:marRight w:val="0"/>
                              <w:marTop w:val="120"/>
                              <w:marBottom w:val="360"/>
                              <w:divBdr>
                                <w:top w:val="none" w:sz="0" w:space="0" w:color="auto"/>
                                <w:left w:val="none" w:sz="0" w:space="0" w:color="auto"/>
                                <w:bottom w:val="none" w:sz="0" w:space="0" w:color="auto"/>
                                <w:right w:val="none" w:sz="0" w:space="0" w:color="auto"/>
                              </w:divBdr>
                              <w:divsChild>
                                <w:div w:id="103966696">
                                  <w:marLeft w:val="0"/>
                                  <w:marRight w:val="0"/>
                                  <w:marTop w:val="0"/>
                                  <w:marBottom w:val="0"/>
                                  <w:divBdr>
                                    <w:top w:val="none" w:sz="0" w:space="0" w:color="auto"/>
                                    <w:left w:val="none" w:sz="0" w:space="0" w:color="auto"/>
                                    <w:bottom w:val="none" w:sz="0" w:space="0" w:color="auto"/>
                                    <w:right w:val="none" w:sz="0" w:space="0" w:color="auto"/>
                                  </w:divBdr>
                                  <w:divsChild>
                                    <w:div w:id="16414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889993">
      <w:bodyDiv w:val="1"/>
      <w:marLeft w:val="0"/>
      <w:marRight w:val="0"/>
      <w:marTop w:val="0"/>
      <w:marBottom w:val="0"/>
      <w:divBdr>
        <w:top w:val="none" w:sz="0" w:space="0" w:color="auto"/>
        <w:left w:val="none" w:sz="0" w:space="0" w:color="auto"/>
        <w:bottom w:val="none" w:sz="0" w:space="0" w:color="auto"/>
        <w:right w:val="none" w:sz="0" w:space="0" w:color="auto"/>
      </w:divBdr>
    </w:div>
    <w:div w:id="837381237">
      <w:bodyDiv w:val="1"/>
      <w:marLeft w:val="0"/>
      <w:marRight w:val="0"/>
      <w:marTop w:val="0"/>
      <w:marBottom w:val="0"/>
      <w:divBdr>
        <w:top w:val="none" w:sz="0" w:space="0" w:color="auto"/>
        <w:left w:val="none" w:sz="0" w:space="0" w:color="auto"/>
        <w:bottom w:val="none" w:sz="0" w:space="0" w:color="auto"/>
        <w:right w:val="none" w:sz="0" w:space="0" w:color="auto"/>
      </w:divBdr>
      <w:divsChild>
        <w:div w:id="2133867472">
          <w:marLeft w:val="0"/>
          <w:marRight w:val="0"/>
          <w:marTop w:val="0"/>
          <w:marBottom w:val="0"/>
          <w:divBdr>
            <w:top w:val="none" w:sz="0" w:space="0" w:color="auto"/>
            <w:left w:val="none" w:sz="0" w:space="0" w:color="auto"/>
            <w:bottom w:val="none" w:sz="0" w:space="0" w:color="auto"/>
            <w:right w:val="none" w:sz="0" w:space="0" w:color="auto"/>
          </w:divBdr>
        </w:div>
        <w:div w:id="960187647">
          <w:marLeft w:val="0"/>
          <w:marRight w:val="0"/>
          <w:marTop w:val="0"/>
          <w:marBottom w:val="0"/>
          <w:divBdr>
            <w:top w:val="none" w:sz="0" w:space="0" w:color="auto"/>
            <w:left w:val="none" w:sz="0" w:space="0" w:color="auto"/>
            <w:bottom w:val="none" w:sz="0" w:space="0" w:color="auto"/>
            <w:right w:val="none" w:sz="0" w:space="0" w:color="auto"/>
          </w:divBdr>
        </w:div>
        <w:div w:id="1778132721">
          <w:marLeft w:val="0"/>
          <w:marRight w:val="0"/>
          <w:marTop w:val="0"/>
          <w:marBottom w:val="0"/>
          <w:divBdr>
            <w:top w:val="none" w:sz="0" w:space="0" w:color="auto"/>
            <w:left w:val="none" w:sz="0" w:space="0" w:color="auto"/>
            <w:bottom w:val="none" w:sz="0" w:space="0" w:color="auto"/>
            <w:right w:val="none" w:sz="0" w:space="0" w:color="auto"/>
          </w:divBdr>
        </w:div>
        <w:div w:id="282082286">
          <w:marLeft w:val="0"/>
          <w:marRight w:val="0"/>
          <w:marTop w:val="0"/>
          <w:marBottom w:val="0"/>
          <w:divBdr>
            <w:top w:val="none" w:sz="0" w:space="0" w:color="auto"/>
            <w:left w:val="none" w:sz="0" w:space="0" w:color="auto"/>
            <w:bottom w:val="none" w:sz="0" w:space="0" w:color="auto"/>
            <w:right w:val="none" w:sz="0" w:space="0" w:color="auto"/>
          </w:divBdr>
        </w:div>
      </w:divsChild>
    </w:div>
    <w:div w:id="1109621738">
      <w:bodyDiv w:val="1"/>
      <w:marLeft w:val="0"/>
      <w:marRight w:val="0"/>
      <w:marTop w:val="0"/>
      <w:marBottom w:val="0"/>
      <w:divBdr>
        <w:top w:val="none" w:sz="0" w:space="0" w:color="auto"/>
        <w:left w:val="none" w:sz="0" w:space="0" w:color="auto"/>
        <w:bottom w:val="none" w:sz="0" w:space="0" w:color="auto"/>
        <w:right w:val="none" w:sz="0" w:space="0" w:color="auto"/>
      </w:divBdr>
    </w:div>
    <w:div w:id="1114440843">
      <w:bodyDiv w:val="1"/>
      <w:marLeft w:val="0"/>
      <w:marRight w:val="0"/>
      <w:marTop w:val="0"/>
      <w:marBottom w:val="0"/>
      <w:divBdr>
        <w:top w:val="none" w:sz="0" w:space="0" w:color="auto"/>
        <w:left w:val="none" w:sz="0" w:space="0" w:color="auto"/>
        <w:bottom w:val="none" w:sz="0" w:space="0" w:color="auto"/>
        <w:right w:val="none" w:sz="0" w:space="0" w:color="auto"/>
      </w:divBdr>
    </w:div>
    <w:div w:id="11368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hjelkre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1</b:Tag>
    <b:SourceType>JournalArticle</b:SourceType>
    <b:Guid>{E3CBFCAC-2E51-453B-A432-38B4AF8BB5E4}</b:Guid>
    <b:Title>Impact of colonic cleansing on quality and diagnostic yield of colonoscopy: the European Panel of Appropriateness of Gastrointestinal Endoscopy European multicenter study.</b:Title>
    <b:Year>2005</b:Year>
    <b:Author>
      <b:Author>
        <b:NameList>
          <b:Person>
            <b:Last>Froehlich F</b:Last>
            <b:First>Wietlisbach</b:First>
            <b:Middle>V, Gonvers JJ, Burnand B, Vader JP</b:Middle>
          </b:Person>
        </b:NameList>
      </b:Author>
    </b:Author>
    <b:JournalName>Gastrointest Endosc</b:JournalName>
    <b:Pages>378-84</b:Pages>
    <b:Month>Mar</b:Month>
    <b:Volume>61</b:Volume>
    <b:Issue>3</b:Issue>
    <b:DOI>PMID: 15758907</b:DOI>
    <b:RefOrder>1</b:RefOrder>
  </b:Source>
  <b:Source>
    <b:Tag>2</b:Tag>
    <b:SourceType>JournalArticle</b:SourceType>
    <b:Guid>{9C1EFCFE-5D62-4500-990C-FEB78460EDB5}</b:Guid>
    <b:Title>The effect of colonoscopy preparation quality on adenoma detection rates</b:Title>
    <b:JournalName>Gastrointest Endosc</b:JournalName>
    <b:Year>2012</b:Year>
    <b:Pages>545-53</b:Pages>
    <b:Author>
      <b:Author>
        <b:NameList>
          <b:Person>
            <b:Last>Sherer EA</b:Last>
            <b:First>Imler</b:First>
            <b:Middle>TD, Imperiale TF</b:Middle>
          </b:Person>
        </b:NameList>
      </b:Author>
    </b:Author>
    <b:Month>Mar</b:Month>
    <b:Volume>75</b:Volume>
    <b:Issue>3</b:Issue>
    <b:StandardNumber>PMID 22138085</b:StandardNumber>
    <b:DOI>10.1016/j.gie.2011.09.022</b:DOI>
    <b:RefOrder>2</b:RefOrder>
  </b:Source>
  <b:Source>
    <b:Tag>6</b:Tag>
    <b:SourceType>JournalArticle</b:SourceType>
    <b:Guid>{B5A74AEB-CEA2-43EE-81AA-58A8BC7AA1AC}</b:Guid>
    <b:Author>
      <b:Author>
        <b:NameList>
          <b:Person>
            <b:Last>Holt EW</b:Last>
            <b:First>Yimam</b:First>
            <b:Middle>KK, Ma H, Shaw RE, Sundberg RA, Verhille MS</b:Middle>
          </b:Person>
        </b:NameList>
      </b:Author>
    </b:Author>
    <b:Title>Patient tolerability of bowel preparation is associated with polyp detection rate during colonoscopy</b:Title>
    <b:JournalName>J Gastrointestin Liver Dis</b:JournalName>
    <b:Year>2014</b:Year>
    <b:Pages>135-40</b:Pages>
    <b:Month>Jun</b:Month>
    <b:Volume>23</b:Volume>
    <b:Issue>2</b:Issue>
    <b:StandardNumber>PMID: 24949604 </b:StandardNumber>
    <b:RefOrder>6</b:RefOrder>
  </b:Source>
  <b:Source>
    <b:Tag>10</b:Tag>
    <b:SourceType>JournalArticle</b:SourceType>
    <b:Guid>{B67D5F09-E16F-46C7-97CC-8A60CD698A35}</b:Guid>
    <b:Author>
      <b:Author>
        <b:NameList>
          <b:Person>
            <b:Last>Ben-Horin S</b:Last>
            <b:First>Bar-Meir</b:First>
            <b:Middle>S, Avidan B</b:Middle>
          </b:Person>
        </b:NameList>
      </b:Author>
    </b:Author>
    <b:Title>The impact of colon cleanliness assessment on endoscopists' recommendations for follow-up colonoscopy</b:Title>
    <b:JournalName>Am J Gastroenterol</b:JournalName>
    <b:Year>2007</b:Year>
    <b:Pages>2680-5</b:Pages>
    <b:Month>Dec</b:Month>
    <b:Volume>102</b:Volume>
    <b:Issue>12</b:Issue>
    <b:StandardNumber>PMID: 17714555 </b:StandardNumber>
    <b:RefOrder>10</b:RefOrder>
  </b:Source>
  <b:Source>
    <b:Tag>9</b:Tag>
    <b:SourceType>JournalArticle</b:SourceType>
    <b:Guid>{840740E2-210A-4847-B808-13B4096393AE}</b:Guid>
    <b:Author>
      <b:Author>
        <b:NameList>
          <b:Person>
            <b:Last>Menees SB</b:Last>
            <b:First>Elliott</b:First>
            <b:Middle>E, Govani S, Anastassiades C, Judd S, Urganus A, Boyce S, Schoenfeld P</b:Middle>
          </b:Person>
        </b:NameList>
      </b:Author>
    </b:Author>
    <b:Title>The impact of bowel cleansing on follow-up recommendations in average-risk patients with a normal colonoscopy</b:Title>
    <b:JournalName>Am J Gastroenterol</b:JournalName>
    <b:Year>2014</b:Year>
    <b:Pages>148-54</b:Pages>
    <b:Month>Feb</b:Month>
    <b:Volume>109</b:Volume>
    <b:Issue>2</b:Issue>
    <b:StandardNumber>PMID: 24496417</b:StandardNumber>
    <b:DOI>10.1038/ajg.2013.243</b:DOI>
    <b:RefOrder>9</b:RefOrder>
  </b:Source>
  <b:Source>
    <b:Tag>12</b:Tag>
    <b:SourceType>JournalArticle</b:SourceType>
    <b:Guid>{80FE9632-560A-4234-BD71-C20EF8666D54}</b:Guid>
    <b:Author>
      <b:Author>
        <b:NameList>
          <b:Person>
            <b:Last>Enestvedt BK</b:Last>
            <b:First>Tofani</b:First>
            <b:Middle>C, Laine LA, Tierney A, Fennerty MB</b:Middle>
          </b:Person>
        </b:NameList>
      </b:Author>
    </b:Author>
    <b:Title>4-Liter split-dose polyethylene glycol is superior to other bowel preparations, based on systematic review and meta-analysis</b:Title>
    <b:JournalName>Gastroenterol Hepatol</b:JournalName>
    <b:Year>2012</b:Year>
    <b:Pages>1225-31</b:Pages>
    <b:Month>Nov</b:Month>
    <b:Volume>10</b:Volume>
    <b:Issue>11</b:Issue>
    <b:StandardNumber>PMID: 22940741</b:StandardNumber>
    <b:DOI>10.1016/j.cgh.2012.08.029</b:DOI>
    <b:RefOrder>12</b:RefOrder>
  </b:Source>
  <b:Source>
    <b:Tag>13</b:Tag>
    <b:SourceType>JournalArticle</b:SourceType>
    <b:Guid>{7B9A8E74-39F5-4628-8A2A-943EE838762E}</b:Guid>
    <b:Author>
      <b:Author>
        <b:NameList>
          <b:Person>
            <b:Last>Adams WJ</b:Last>
            <b:First>Meagher</b:First>
            <b:Middle>AP, Lubowski DZ, King DW</b:Middle>
          </b:Person>
        </b:NameList>
      </b:Author>
    </b:Author>
    <b:Title>Bisacodyl reduces the volume of polyethylene glycol solution required for bowel preparation</b:Title>
    <b:JournalName>Dis Colon Rectum</b:JournalName>
    <b:Year>1994</b:Year>
    <b:Pages>233-4</b:Pages>
    <b:Month>Mar</b:Month>
    <b:Volume>37</b:Volume>
    <b:Issue>3</b:Issue>
    <b:StandardNumber>PMID: 8137669 </b:StandardNumber>
    <b:RefOrder>13</b:RefOrder>
  </b:Source>
  <b:Source>
    <b:Tag>11</b:Tag>
    <b:SourceType>JournalArticle</b:SourceType>
    <b:Guid>{A8F5259E-1C69-47D6-B7CE-CC236AE59CA5}</b:Guid>
    <b:Author>
      <b:Author>
        <b:NameList>
          <b:Person>
            <b:Last>Rex DK</b:Last>
            <b:First>Imperiale</b:First>
            <b:Middle>TF, Latinovich DR, Bratcher LL</b:Middle>
          </b:Person>
        </b:NameList>
      </b:Author>
    </b:Author>
    <b:Title>Impact of bowel preparation on efficiency and cost of colonoscopy</b:Title>
    <b:JournalName>Am J Gastroenterol</b:JournalName>
    <b:Year>2002</b:Year>
    <b:Pages>1696-700</b:Pages>
    <b:Month>Jul</b:Month>
    <b:Volume>97</b:Volume>
    <b:Issue>7</b:Issue>
    <b:StandardNumber>PMID: 12135020</b:StandardNumber>
    <b:RefOrder>11</b:RefOrder>
  </b:Source>
  <b:Source>
    <b:Tag>15</b:Tag>
    <b:SourceType>JournalArticle</b:SourceType>
    <b:Guid>{E217EC8A-C430-460D-ACED-DAF9546843F5}</b:Guid>
    <b:Author>
      <b:Author>
        <b:NameList>
          <b:Person>
            <b:Last>TS</b:Last>
            <b:First>Ker</b:First>
          </b:Person>
        </b:NameList>
      </b:Author>
    </b:Author>
    <b:Title>Comparison of reduced volume versus four-liter electrolyte lavage solutions for colon cleansing</b:Title>
    <b:JournalName>Am Surg</b:JournalName>
    <b:Year>2006</b:Year>
    <b:Pages>909-11</b:Pages>
    <b:Month>Oct</b:Month>
    <b:Volume>72</b:Volume>
    <b:Issue>10</b:Issue>
    <b:StandardNumber>PMID: 17058733</b:StandardNumber>
    <b:RefOrder>15</b:RefOrder>
  </b:Source>
  <b:Source>
    <b:Tag>16</b:Tag>
    <b:SourceType>JournalArticle</b:SourceType>
    <b:Guid>{BA33B594-58B8-4904-90A7-2F166BA26350}</b:Guid>
    <b:Author>
      <b:Author>
        <b:NameList>
          <b:Person>
            <b:Last>Park SS</b:Last>
            <b:First>Sinn</b:First>
            <b:Middle>DH, Kim YH, Lim YJ, Sun Y, Lee JH, Kim JY, Chang DK, Son HJ, Rhee PL, Rhee JC, Kim JJ</b:Middle>
          </b:Person>
        </b:NameList>
      </b:Author>
    </b:Author>
    <b:Title>Efficacy and tolerability of split-dose magnesium citrate: low-volume (2 liters) polyethylene glycol vs. single- or split-dose polyethylene glycol bowel preparation for morning colonoscopy</b:Title>
    <b:JournalName>Am J Gastronenterol</b:JournalName>
    <b:Year>2010</b:Year>
    <b:Pages>1319-26</b:Pages>
    <b:Month>Jun</b:Month>
    <b:Volume>105</b:Volume>
    <b:Issue>6</b:Issue>
    <b:StandardNumber>PMID: 20485282</b:StandardNumber>
    <b:DOI>10.1038/ajg.2010.79</b:DOI>
    <b:RefOrder>16</b:RefOrder>
  </b:Source>
  <b:Source>
    <b:Tag>17</b:Tag>
    <b:SourceType>JournalArticle</b:SourceType>
    <b:Guid>{992207FF-E73D-44AA-BEA5-E58E070DFBAC}</b:Guid>
    <b:Author>
      <b:Author>
        <b:NameList>
          <b:Person>
            <b:Last>Jansen SV</b:Last>
            <b:First>Goedhard</b:First>
            <b:Middle>JG, Winkens B, van Deursen CT</b:Middle>
          </b:Person>
        </b:NameList>
      </b:Author>
    </b:Author>
    <b:Title>Preparation before colonoscopy: a randomized controlled trial comparing different regimes</b:Title>
    <b:JournalName>Eur J Gastroenterol Hepatol</b:JournalName>
    <b:Year>2011</b:Year>
    <b:Pages>897-902</b:Pages>
    <b:Month>Oct</b:Month>
    <b:Volume>23</b:Volume>
    <b:Issue>10</b:Issue>
    <b:StandardNumber>PMID: 21900786</b:StandardNumber>
    <b:DOI>10.1097/MEG.0b013e32834a3444</b:DOI>
    <b:RefOrder>17</b:RefOrder>
  </b:Source>
  <b:Source>
    <b:Tag>18</b:Tag>
    <b:SourceType>JournalArticle</b:SourceType>
    <b:Guid>{15687369-E0AD-4266-904F-7281FF683BC3}</b:Guid>
    <b:Author>
      <b:Author>
        <b:NameList>
          <b:Person>
            <b:Last>Kao D</b:Last>
            <b:First>Lalor</b:First>
            <b:Middle>E, Sandha G, Fedorak RN, van der Knoop B, Doornweerd S, van Kooten H, Schreuders E, Midodzi W, Veldhuyzen van Zanten S</b:Middle>
          </b:Person>
        </b:NameList>
      </b:Author>
    </b:Author>
    <b:Title>A randomized controlled trial of four precolonoscopy bowel cleansing regimens</b:Title>
    <b:JournalName>Can J Gastroenterol</b:JournalName>
    <b:Year>2011</b:Year>
    <b:Pages>657-62</b:Pages>
    <b:Month>Dec</b:Month>
    <b:Volume>25</b:Volume>
    <b:Issue>12</b:Issue>
    <b:StandardNumber>PMID: 22175055</b:StandardNumber>
    <b:RefOrder>18</b:RefOrder>
  </b:Source>
  <b:Source>
    <b:Tag>14</b:Tag>
    <b:SourceType>JournalArticle</b:SourceType>
    <b:Guid>{DDE32A12-696B-4A69-9C38-A5213BCAB826}</b:Guid>
    <b:Author>
      <b:Author>
        <b:NameList>
          <b:Person>
            <b:Last>Sharma VK</b:Last>
            <b:First>Chockalingham</b:First>
            <b:Middle>SK, Ugheoke EA, Kapur A, Ling PH, Vasudeva R, Howden CW</b:Middle>
          </b:Person>
        </b:NameList>
      </b:Author>
    </b:Author>
    <b:Title>Prospective, randomized, controlled comparison of the use of polyethylene glycol electrolyte lavage solution in four-liter versus two-liter volumes and pretreatment with either magnesium citrate or bisacodyl for colonoscopy preparation</b:Title>
    <b:JournalName>Gastrointest Endosc</b:JournalName>
    <b:Year>1998</b:Year>
    <b:Pages>167-71</b:Pages>
    <b:Month>Feb</b:Month>
    <b:Volume>47</b:Volume>
    <b:Issue>2</b:Issue>
    <b:StandardNumber>PMID: 9512283</b:StandardNumber>
    <b:RefOrder>14</b:RefOrder>
  </b:Source>
  <b:Source>
    <b:Tag>19</b:Tag>
    <b:SourceType>JournalArticle</b:SourceType>
    <b:Guid>{A04DE6DC-4239-42C7-A8D9-2A21F07B6056}</b:Guid>
    <b:Author>
      <b:Author>
        <b:NameList>
          <b:Person>
            <b:Last>Sharma VK</b:Last>
            <b:First>Schaberg</b:First>
            <b:Middle>JW, Chockalingam SK, Vasudeva R, Howden CW</b:Middle>
          </b:Person>
        </b:NameList>
      </b:Author>
    </b:Author>
    <b:Title>The effect of stimulant laxatives and polyethylene glycol-electrolyte lavage solution for colonoscopy preparation on serum electrolytes and hemodynamics</b:Title>
    <b:JournalName>J Clin Gastroenterol</b:JournalName>
    <b:Year>2001</b:Year>
    <b:Pages>238-9</b:Pages>
    <b:Month>Mar</b:Month>
    <b:Volume>32</b:Volume>
    <b:Issue>3</b:Issue>
    <b:StandardNumber>PMID: 11246353</b:StandardNumber>
    <b:RefOrder>19</b:RefOrder>
  </b:Source>
  <b:Source>
    <b:Tag>20</b:Tag>
    <b:SourceType>JournalArticle</b:SourceType>
    <b:Guid>{6B15D34D-EDBF-4D8F-BC3C-D7E317C86B3E}</b:Guid>
    <b:Author>
      <b:Author>
        <b:NameList>
          <b:Person>
            <b:Last>Ponchon T</b:Last>
            <b:First>Boustière</b:First>
            <b:Middle>C, Heresbach D, Hagege H, Tarrerias AL, Halphen M</b:Middle>
          </b:Person>
        </b:NameList>
      </b:Author>
    </b:Author>
    <b:Title>A low-volume polyethylene glycol plus ascorbate solution for bowel cleansing prior to colonoscopy: the NORMO randomised clinical trial</b:Title>
    <b:JournalName>Dig Liver Dis</b:JournalName>
    <b:Year>2013</b:Year>
    <b:Pages>820-6</b:Pages>
    <b:Month>Oct</b:Month>
    <b:Volume>45</b:Volume>
    <b:Issue>10</b:Issue>
    <b:StandardNumber>PMID: 23769755</b:StandardNumber>
    <b:DOI>10.1016/j.dld.2013.04.009</b:DOI>
    <b:RefOrder>20</b:RefOrder>
  </b:Source>
  <b:Source>
    <b:Tag>21</b:Tag>
    <b:SourceType>JournalArticle</b:SourceType>
    <b:Guid>{DE7F81F5-2735-4832-9ECB-792F7126F148}</b:Guid>
    <b:Author>
      <b:Author>
        <b:NameList>
          <b:Person>
            <b:Last>Mathus-Vliegen EM</b:Last>
            <b:First>van</b:First>
            <b:Middle>der Vliet K</b:Middle>
          </b:Person>
        </b:NameList>
      </b:Author>
    </b:Author>
    <b:Title>Safety, patient's tolerance, and efficacy of a 2-liter vitamin C-enriched macrogol bowel preparation: a randomized, endoscopist-blinded prospective comparison with a 4-liter macrogol solution</b:Title>
    <b:JournalName>Dis Colon Rectum</b:JournalName>
    <b:Year>2013</b:Year>
    <b:Pages>1002-12</b:Pages>
    <b:Month>Aug</b:Month>
    <b:Volume>56</b:Volume>
    <b:Issue>8</b:Issue>
    <b:StandardNumber>PMID: 23838870</b:StandardNumber>
    <b:DOI>10.1097/DCR.0b013e3182989f05</b:DOI>
    <b:RefOrder>21</b:RefOrder>
  </b:Source>
  <b:Source>
    <b:Tag>22</b:Tag>
    <b:SourceType>JournalArticle</b:SourceType>
    <b:Guid>{2EE62518-AB0F-425F-B77E-FDD4EAEE365E}</b:Guid>
    <b:Author>
      <b:Author>
        <b:NameList>
          <b:Person>
            <b:Last>Gentile M</b:Last>
            <b:First>De</b:First>
            <b:Middle>Rosa M, Cestaro G, Forestieri P</b:Middle>
          </b:Person>
        </b:NameList>
      </b:Author>
    </b:Author>
    <b:Title>2 L PEG plus ascorbic acid versus 4 L PEG plus simethicon for colonoscopy preparation: a randomized single-blind clinical trial</b:Title>
    <b:JournalName>Surg Laparosc Endosc Percutan Tech</b:JournalName>
    <b:Year>2013</b:Year>
    <b:Pages>276-80</b:Pages>
    <b:Month>Jun</b:Month>
    <b:Volume>23</b:Volume>
    <b:Issue>3</b:Issue>
    <b:StandardNumber>PMID: 23751992</b:StandardNumber>
    <b:DOI>10.1097/SLE.0b013e31828e389d</b:DOI>
    <b:RefOrder>22</b:RefOrder>
  </b:Source>
  <b:Source>
    <b:Tag>23</b:Tag>
    <b:SourceType>JournalArticle</b:SourceType>
    <b:Guid>{4C89C1C5-C049-4CA4-A5CD-8F0F5C50ED08}</b:Guid>
    <b:Author>
      <b:Author>
        <b:NameList>
          <b:Person>
            <b:Last>Valiante F</b:Last>
            <b:First>Bellumat</b:First>
            <b:Middle>A, De Bona M, De Boni M</b:Middle>
          </b:Person>
        </b:NameList>
      </b:Author>
    </b:Author>
    <b:Title>Bisacodyl plus split 2-L polyethylene glycol-citrate-simethicone improves quality of bowel preparation before screening colonoscopy</b:Title>
    <b:JournalName>World J Gastroenterol</b:JournalName>
    <b:Year>2013</b:Year>
    <b:Pages>5493-9</b:Pages>
    <b:Month>Sep</b:Month>
    <b:Volume>19</b:Volume>
    <b:Issue>33</b:Issue>
    <b:StandardNumber>PMID: 24023492 </b:StandardNumber>
    <b:DOI>10.3748/wjg.v19.i33.5493</b:DOI>
    <b:RefOrder>23</b:RefOrder>
  </b:Source>
  <b:Source>
    <b:Tag>24</b:Tag>
    <b:SourceType>JournalArticle</b:SourceType>
    <b:Guid>{1A7100DA-A0F6-4125-BA89-6003E3D802D0}</b:Guid>
    <b:Author>
      <b:Author>
        <b:NameList>
          <b:Person>
            <b:Last>Lee KJ</b:Last>
            <b:First>Park</b:First>
            <b:Middle>HJ, Kim HS, Baik KH, Kim YS, Park SC, Seo HI</b:Middle>
          </b:Person>
        </b:NameList>
      </b:Author>
    </b:Author>
    <b:Title>Electrolyte changes after bowel preparation for colonoscopy: A randomized controlled multicenter trial</b:Title>
    <b:JournalName>World J Gastroenterol</b:JournalName>
    <b:Year>2015</b:Year>
    <b:Pages>3041-8</b:Pages>
    <b:Month>Mar</b:Month>
    <b:Day>14</b:Day>
    <b:Volume>21</b:Volume>
    <b:Issue>10</b:Issue>
    <b:StandardNumber>PMID: 25780304</b:StandardNumber>
    <b:DOI>10.3748/wjg.v21.i10.3041</b:DOI>
    <b:RefOrder>24</b:RefOrder>
  </b:Source>
  <b:Source>
    <b:Tag>25</b:Tag>
    <b:SourceType>JournalArticle</b:SourceType>
    <b:Guid>{80172E72-079C-4210-9AD0-E580B838289A}</b:Guid>
    <b:Author>
      <b:Author>
        <b:NameList>
          <b:Person>
            <b:Last>Hillyer GC</b:Last>
            <b:First>Lebwohl</b:First>
            <b:Middle>B, Basch CH, Basch CE, Kastrinos F, Insel BJ, Neugut AI</b:Middle>
          </b:Person>
        </b:NameList>
      </b:Author>
    </b:Author>
    <b:Title>Split dose and MiraLAX-based purgatives to enhance bowel preparation quality becoming common recommendations in the US</b:Title>
    <b:JournalName>Therap Adv Gastroenterol</b:JournalName>
    <b:Year>2013</b:Year>
    <b:Pages>5-14</b:Pages>
    <b:Month>Jan</b:Month>
    <b:Volume>6</b:Volume>
    <b:Issue>1</b:Issue>
    <b:StandardNumber>PMID: 23320046</b:StandardNumber>
    <b:DOI>10.1177/1756283X12464100</b:DOI>
    <b:RefOrder>25</b:RefOrder>
  </b:Source>
  <b:Source>
    <b:Tag>26</b:Tag>
    <b:SourceType>JournalArticle</b:SourceType>
    <b:Guid>{92C5CEED-DFD5-4FC0-9185-547C02D9072E}</b:Guid>
    <b:Author>
      <b:Author>
        <b:NameList>
          <b:Person>
            <b:Last>Hjelkrem M</b:Last>
            <b:First>Stengel</b:First>
            <b:Middle>J, Liu M, Jones DP, Harrison SA.</b:Middle>
          </b:Person>
        </b:NameList>
      </b:Author>
    </b:Author>
    <b:Title>MiraLAX is not as effective as GoLytely in bowel cleansing before screening colonoscopies</b:Title>
    <b:JournalName>Clin Gastroenterol Hepatol</b:JournalName>
    <b:Year>2011</b:Year>
    <b:Pages>326-332</b:Pages>
    <b:Month>Apr</b:Month>
    <b:Volume>9</b:Volume>
    <b:Issue>4</b:Issue>
    <b:StandardNumber>PMID: 21115134</b:StandardNumber>
    <b:DOI>10.1016/j.cgh.2010.11.007</b:DOI>
    <b:RefOrder>26</b:RefOrder>
  </b:Source>
  <b:Source>
    <b:Tag>27</b:Tag>
    <b:SourceType>JournalArticle</b:SourceType>
    <b:Guid>{DE0E0105-8576-4D6D-A6FF-C454E496D0C9}</b:Guid>
    <b:Author>
      <b:Author>
        <b:NameList>
          <b:Person>
            <b:Last>Samarasena JB</b:Last>
            <b:First>Muthusamy</b:First>
            <b:Middle>VR, Jamal MM</b:Middle>
          </b:Person>
        </b:NameList>
      </b:Author>
    </b:Author>
    <b:Title>Split-dosed MiraLAX/Gatorade is an effective, safe, and tolerable option for bowel preparation in low-risk patients: a randomized controlled study</b:Title>
    <b:JournalName>Am J Gastroenterol</b:JournalName>
    <b:Year>2012</b:Year>
    <b:Pages>1036-42</b:Pages>
    <b:Month>Jul</b:Month>
    <b:Volume>107</b:Volume>
    <b:Issue>7</b:Issue>
    <b:StandardNumber>PMID: 22565162</b:StandardNumber>
    <b:DOI>10.1038/ajg.2012.115</b:DOI>
    <b:RefOrder>27</b:RefOrder>
  </b:Source>
  <b:Source>
    <b:Tag>28</b:Tag>
    <b:SourceType>JournalArticle</b:SourceType>
    <b:Guid>{7B8AFF4C-776A-4B59-A503-449BC46BF16E}</b:Guid>
    <b:Author>
      <b:Author>
        <b:NameList>
          <b:Person>
            <b:Last>Enestvedt BK</b:Last>
            <b:First>Fennerty</b:First>
            <b:Middle>MB, Eisen GM</b:Middle>
          </b:Person>
        </b:NameList>
      </b:Author>
    </b:Author>
    <b:Title>Randomised clinical trial: MiraLAX vs. Golytely - a controlled study of efficacy and patient tolerability in bowel preparation for colonoscopy</b:Title>
    <b:JournalName>Aliment Pharmacol Ther</b:JournalName>
    <b:Year>2011</b:Year>
    <b:Pages>33-40</b:Pages>
    <b:Month>Jan</b:Month>
    <b:Volume>33</b:Volume>
    <b:Issue>1</b:Issue>
    <b:StandardNumber>PMID: 21083586</b:StandardNumber>
    <b:DOI>10.1111/j.1365-2036.2010.04493.x.</b:DOI>
    <b:RefOrder>28</b:RefOrder>
  </b:Source>
  <b:Source>
    <b:Tag>29</b:Tag>
    <b:SourceType>JournalArticle</b:SourceType>
    <b:Guid>{A3911701-1E1E-4E7E-96AA-D3BE915F7C0A}</b:Guid>
    <b:Author>
      <b:Author>
        <b:NameList>
          <b:Person>
            <b:Last>McKenna T</b:Last>
            <b:First>Macgill</b:First>
            <b:Middle>A, Porat G, Friedenberg FK</b:Middle>
          </b:Person>
        </b:NameList>
      </b:Author>
    </b:Author>
    <b:Title>Colonoscopy preparation: polyethylene glycol with Gatorade is as safe and efficacious as four liters of polyethylene glycol with balanced electrolytes.</b:Title>
    <b:JournalName>Dig Dis Sci</b:JournalName>
    <b:Year>2012</b:Year>
    <b:Pages>3098-105</b:Pages>
    <b:Month>Dec</b:Month>
    <b:Volume>57</b:Volume>
    <b:Issue>12</b:Issue>
    <b:StandardNumber>PMID: 22711499</b:StandardNumber>
    <b:DOI>10.1007/s10620-012-2266-5</b:DOI>
    <b:RefOrder>29</b:RefOrder>
  </b:Source>
  <b:Source>
    <b:Tag>30</b:Tag>
    <b:SourceType>JournalArticle</b:SourceType>
    <b:Guid>{6BA83A4E-CAF2-4B2C-8FB8-07C5175A435E}</b:Guid>
    <b:Author>
      <b:Author>
        <b:NameList>
          <b:Person>
            <b:Last>Shieh FK</b:Last>
            <b:First>Gunaratnam</b:First>
            <b:Middle>N, Mohamud SO, Schoenfeld P</b:Middle>
          </b:Person>
        </b:NameList>
      </b:Author>
    </b:Author>
    <b:Title>MiraLAX-Gatorade bowel prep versus GoLytely before screening colonoscopy: an endoscopic database study in a community hospital</b:Title>
    <b:JournalName>J Clin Gastroenterol</b:JournalName>
    <b:Year>2012</b:Year>
    <b:Pages>e96-e100</b:Pages>
    <b:Month>Nov-Dec</b:Month>
    <b:Volume>46</b:Volume>
    <b:Issue>10</b:Issue>
    <b:StandardNumber>PMID: 23060223</b:StandardNumber>
    <b:DOI>10.1097/MCG.0b013e3182617bfb</b:DOI>
    <b:RefOrder>30</b:RefOrder>
  </b:Source>
  <b:Source>
    <b:Tag>31</b:Tag>
    <b:SourceType>JournalArticle</b:SourceType>
    <b:Guid>{BC52C415-EBCD-443C-B15C-BA5543676F92}</b:Guid>
    <b:Author>
      <b:Author>
        <b:NameList>
          <b:Person>
            <b:Last>Enestvedt BK</b:Last>
            <b:First>Brian</b:First>
            <b:Middle>Fennerty M, Zaman A, Eisen GM</b:Middle>
          </b:Person>
        </b:NameList>
      </b:Author>
    </b:Author>
    <b:Title>MiraLAX vs. Golytely: is there a significant difference in the adenoma detection rate?</b:Title>
    <b:JournalName>Aliment Pharmacol Ther</b:JournalName>
    <b:Year>2011</b:Year>
    <b:Pages>775-82</b:Pages>
    <b:Month>Oct</b:Month>
    <b:Volume>34</b:Volume>
    <b:Issue>7</b:Issue>
    <b:StandardNumber>PMID: 21848798 </b:StandardNumber>
    <b:DOI>10.1111/j.1365-2036.2011.04795.x.</b:DOI>
    <b:RefOrder>31</b:RefOrder>
  </b:Source>
  <b:Source>
    <b:Tag>32</b:Tag>
    <b:SourceType>JournalArticle</b:SourceType>
    <b:Guid>{256D0B6A-FF1C-42DB-B816-A758866B8E03}</b:Guid>
    <b:Author>
      <b:Author>
        <b:NameList>
          <b:Person>
            <b:Last>P</b:Last>
            <b:First>Schoenfeld</b:First>
          </b:Person>
        </b:NameList>
      </b:Author>
    </b:Author>
    <b:Title>Safety of MiraLAX/Gatorade bowel preparation has not been established in appropriately designed studies</b:Title>
    <b:JournalName>Clin Gastroenterol Hepatol</b:JournalName>
    <b:Year>2013</b:Year>
    <b:Pages>582</b:Pages>
    <b:Month>May</b:Month>
    <b:Volume>11</b:Volume>
    <b:Issue>5</b:Issue>
    <b:StandardNumber>PMID: 23376319</b:StandardNumber>
    <b:DOI>10.1016/j.cgh.2013.01.017</b:DOI>
    <b:RefOrder>32</b:RefOrder>
  </b:Source>
  <b:Source>
    <b:Tag>33</b:Tag>
    <b:SourceType>JournalArticle</b:SourceType>
    <b:Guid>{F5CA8D64-1EC2-4143-8FEC-A45CDA494F93}</b:Guid>
    <b:Author>
      <b:Author>
        <b:NameList>
          <b:Person>
            <b:Last>Huppertz-Hauss G</b:Last>
            <b:First>Bretthauer</b:First>
            <b:Middle>M, Sauar J, Paulsen J, Kjellevold Ø, Majak B, Hoff G</b:Middle>
          </b:Person>
        </b:NameList>
      </b:Author>
    </b:Author>
    <b:Title>Polyethylene glycol versus sodium phosphate in bowel cleansing for colonoscopy: a randomized trial</b:Title>
    <b:JournalName>Endoscopy</b:JournalName>
    <b:Year>2005</b:Year>
    <b:Pages>537-41</b:Pages>
    <b:Month>Jun</b:Month>
    <b:Volume>37</b:Volume>
    <b:Issue>6</b:Issue>
    <b:StandardNumber>PMID: 15933926</b:StandardNumber>
    <b:RefOrder>33</b:RefOrder>
  </b:Source>
  <b:Source>
    <b:Tag>34</b:Tag>
    <b:SourceType>JournalArticle</b:SourceType>
    <b:Guid>{BF2465AF-C4BF-403C-8491-9E5850F4ABBA}</b:Guid>
    <b:Title>A randomized prospective trial comparing oral sodium phosphate with standard polyethylene glycol-based lavage solution (Golytely) in the preparation of patients for colonoscopy</b:Title>
    <b:JournalName>Am J Gastroenterol</b:JournalName>
    <b:Year>1990</b:Year>
    <b:Pages>422-7</b:Pages>
    <b:Author>
      <b:Author>
        <b:NameList>
          <b:Person>
            <b:Last>Vanner SJ</b:Last>
            <b:First>MacDonald</b:First>
            <b:Middle>PH, Paterson WG, Prentice RS, Da Costa LR, Beck IT</b:Middle>
          </b:Person>
        </b:NameList>
      </b:Author>
    </b:Author>
    <b:Month>Apr</b:Month>
    <b:Volume>85</b:Volume>
    <b:Issue>4</b:Issue>
    <b:StandardNumber>PMID 2183591</b:StandardNumber>
    <b:RefOrder>34</b:RefOrder>
  </b:Source>
  <b:Source>
    <b:Tag>35</b:Tag>
    <b:SourceType>JournalArticle</b:SourceType>
    <b:Guid>{499F3604-6196-418B-9804-168970A55134}</b:Guid>
    <b:Title>Prospective, randomized, endoscopic-blinded trial comparing precolonoscopy bowel cleansing methods</b:Title>
    <b:JournalName>Dis Colon Rectum</b:JournalName>
    <b:Year>1994</b:Year>
    <b:Pages>689-96</b:Pages>
    <b:Author>
      <b:Author>
        <b:NameList>
          <b:Person>
            <b:Last>Cohen SM</b:Last>
            <b:First>Wexner</b:First>
            <b:Middle>SD, Binderow SR, Nogueras JJ, Daniel N, Ehrenpreis ED, Jensen J, Bonner GF, Ruderman WB</b:Middle>
          </b:Person>
        </b:NameList>
      </b:Author>
    </b:Author>
    <b:Volume>37</b:Volume>
    <b:Issue>7</b:Issue>
    <b:StandardNumber>PMID 8026236</b:StandardNumber>
    <b:RefOrder>35</b:RefOrder>
  </b:Source>
  <b:Source>
    <b:Tag>38</b:Tag>
    <b:SourceType>JournalArticle</b:SourceType>
    <b:Guid>{7B8002B4-2FB3-48B3-8D16-97B6E793EC45}</b:Guid>
    <b:Author>
      <b:Author>
        <b:NameList>
          <b:Person>
            <b:Last>Heher EC</b:Last>
            <b:First>Thier</b:First>
            <b:Middle>SO, Rennke H, Humphreys BD</b:Middle>
          </b:Person>
        </b:NameList>
      </b:Author>
    </b:Author>
    <b:Title>Adverse renal and metabolic effects associated with oral sodium phosphate bowel preparation</b:Title>
    <b:JournalName>Clin J Am Soc Nephrol</b:JournalName>
    <b:Year>2008</b:Year>
    <b:Pages>1494-503</b:Pages>
    <b:Month>Sep</b:Month>
    <b:Volume>3</b:Volume>
    <b:Issue>5</b:Issue>
    <b:StandardNumber>PMID: 18596115 </b:StandardNumber>
    <b:DOI>10.2215/CJN.02040408</b:DOI>
    <b:RefOrder>38</b:RefOrder>
  </b:Source>
  <b:Source>
    <b:Tag>37</b:Tag>
    <b:SourceType>JournalArticle</b:SourceType>
    <b:Guid>{7E54867A-101D-42B8-A136-BB936A305AB9}</b:Guid>
    <b:Title>Efficacy and safety of sodium phosphate tablets compared with PEG solution in colon cleansing: two identically designed, randomized, controlled, parallel group, multicenter phase III trials</b:Title>
    <b:JournalName>Gastrointest Endosc</b:JournalName>
    <b:Year>2001</b:Year>
    <b:Pages>705-13</b:Pages>
    <b:Author>
      <b:Author>
        <b:NameList>
          <b:Person>
            <b:Last>Kastenberg D</b:Last>
            <b:First>Chasen</b:First>
            <b:Middle>R, Choudhary C, Riff D, Steinberg S, Weiss E, Wruble L</b:Middle>
          </b:Person>
        </b:NameList>
      </b:Author>
    </b:Author>
    <b:Month>Dec</b:Month>
    <b:StandardNumber>PMID 11726845</b:StandardNumber>
    <b:Volume>54</b:Volume>
    <b:Issue>6</b:Issue>
    <b:RefOrder>37</b:RefOrder>
  </b:Source>
  <b:Source>
    <b:Tag>36</b:Tag>
    <b:SourceType>JournalArticle</b:SourceType>
    <b:Guid>{CDE40348-79E9-492C-9E2C-176A572310EC}</b:Guid>
    <b:Title>Colonoscopic bowel preparations--which one? A blinded, prospective, randomized trial</b:Title>
    <b:JournalName>Dis Colon Rectum</b:JournalName>
    <b:Year>1995</b:Year>
    <b:Pages>594-9</b:Pages>
    <b:Author>
      <b:Author>
        <b:NameList>
          <b:Person>
            <b:Last>Golub RW</b:Last>
            <b:First>Kerner</b:First>
            <b:Middle>BA, Wise WE Jr, Meesig DM, Hartmann RF, Khanduja KS, Aguilar PS</b:Middle>
          </b:Person>
        </b:NameList>
      </b:Author>
    </b:Author>
    <b:Month>Jun</b:Month>
    <b:StandardNumber>PMID 7774469</b:StandardNumber>
    <b:Volume>38</b:Volume>
    <b:Issue>6</b:Issue>
    <b:RefOrder>36</b:RefOrder>
  </b:Source>
  <b:Source>
    <b:Tag>39</b:Tag>
    <b:SourceType>JournalArticle</b:SourceType>
    <b:Guid>{607B4179-D0B6-49AF-A3B1-77691F9AAC8E}</b:Guid>
    <b:Author>
      <b:Author>
        <b:NameList>
          <b:Person>
            <b:Last>Desmeules S</b:Last>
            <b:First>Bergeron</b:First>
            <b:Middle>MJ, Isenring P</b:Middle>
          </b:Person>
        </b:NameList>
      </b:Author>
    </b:Author>
    <b:Title>Acute phosphate nephropathy and renal failure</b:Title>
    <b:JournalName>N Engl J Med</b:JournalName>
    <b:Year>2003</b:Year>
    <b:Pages>1006-7</b:Pages>
    <b:Volume>349</b:Volume>
    <b:Issue>10</b:Issue>
    <b:StandardNumber>PMID: 12954755 </b:StandardNumber>
    <b:RefOrder>39</b:RefOrder>
  </b:Source>
  <b:Source>
    <b:Tag>40</b:Tag>
    <b:SourceType>JournalArticle</b:SourceType>
    <b:Guid>{F89D81AD-6249-431F-8838-246BC8C7C695}</b:Guid>
    <b:Author>
      <b:Author>
        <b:NameList>
          <b:Person>
            <b:Last>Zwas FR</b:Last>
            <b:First>Cirillo</b:First>
            <b:Middle>NW, el-Serag HB, Eisen RN</b:Middle>
          </b:Person>
        </b:NameList>
      </b:Author>
    </b:Author>
    <b:Title>Colonic mucosal abnormalities associated with oral sodium phosphate solution</b:Title>
    <b:JournalName>Gastrointest Endosc</b:JournalName>
    <b:Year>1996</b:Year>
    <b:Pages>463-6</b:Pages>
    <b:Month>May</b:Month>
    <b:Volume>43</b:Volume>
    <b:Issue>5</b:Issue>
    <b:StandardNumber>PMID: 8726758</b:StandardNumber>
    <b:RefOrder>40</b:RefOrder>
  </b:Source>
  <b:Source>
    <b:Tag>41</b:Tag>
    <b:SourceType>JournalArticle</b:SourceType>
    <b:Guid>{B14CD0D9-B88C-4CEC-AD14-7E4EE7DBAD4C}</b:Guid>
    <b:Author>
      <b:Author>
        <b:NameList>
          <b:Person>
            <b:Last>Rejchrt S</b:Last>
            <b:First>Bures</b:First>
            <b:Middle>J, Siroký M, Kopácová M, Slezák L, Langr F</b:Middle>
          </b:Person>
        </b:NameList>
      </b:Author>
    </b:Author>
    <b:Title>A prospective, observational study of colonic mucosal abnormalities associated with orally administered sodium phosphate for colon cleansing before colonoscopy</b:Title>
    <b:JournalName>Gastrointest Endosc</b:JournalName>
    <b:Year>2004</b:Year>
    <b:Pages>651-4</b:Pages>
    <b:Month>May</b:Month>
    <b:Volume>59</b:Volume>
    <b:Issue>6</b:Issue>
    <b:StandardNumber>PMID: 15114307 </b:StandardNumber>
    <b:RefOrder>41</b:RefOrder>
  </b:Source>
  <b:Source>
    <b:Tag>42</b:Tag>
    <b:SourceType>JournalArticle</b:SourceType>
    <b:Guid>{F1DA559F-5819-4A5F-918C-0C2EE1DB9C29}</b:Guid>
    <b:Author>
      <b:Author>
        <b:NameList>
          <b:Person>
            <b:Last>Patel V</b:Last>
            <b:First>Nicar</b:First>
            <b:Middle>M, Emmett M, Asplin J, Maguire JA, Santa Ana CA, Fordtran JS</b:Middle>
          </b:Person>
        </b:NameList>
      </b:Author>
    </b:Author>
    <b:Title>Intestinal and renal effects of low-volume phosphate and sulfate cathartic solutions designed for cleansing the colon: pathophysiological studies in five normal subjects</b:Title>
    <b:JournalName>Am J Gastroenterol</b:JournalName>
    <b:Year>2009</b:Year>
    <b:Pages>953-65</b:Pages>
    <b:Volume>104</b:Volume>
    <b:Issue>4</b:Issue>
    <b:StandardNumber>PMID: 19240703</b:StandardNumber>
    <b:DOI>10.1038/ajg.2008.124</b:DOI>
    <b:RefOrder>42</b:RefOrder>
  </b:Source>
  <b:Source>
    <b:Tag>43</b:Tag>
    <b:SourceType>JournalArticle</b:SourceType>
    <b:Guid>{B8C010CB-F275-48F6-844D-66790FB0E6AF}</b:Guid>
    <b:Author>
      <b:Author>
        <b:NameList>
          <b:Person>
            <b:Last>Di Palma JA</b:Last>
            <b:First>Rodriguez</b:First>
            <b:Middle>R, McGowan J, Cleveland Mv</b:Middle>
          </b:Person>
        </b:NameList>
      </b:Author>
    </b:Author>
    <b:Title>A randomized clinical study evaluating the safety and efficacy of a new, reduced-volume, oral sulfate colon-cleansing preparation for colonoscopy</b:Title>
    <b:JournalName>Am J Gastroenterol</b:JournalName>
    <b:Year>2009</b:Year>
    <b:Pages>2275-84</b:Pages>
    <b:Month>Sep</b:Month>
    <b:Volume>104</b:Volume>
    <b:Issue>9</b:Issue>
    <b:StandardNumber>PMID: 19584830</b:StandardNumber>
    <b:DOI>10.1038/ajg.2009.389</b:DOI>
    <b:RefOrder>43</b:RefOrder>
  </b:Source>
  <b:Source>
    <b:Tag>44</b:Tag>
    <b:SourceType>JournalArticle</b:SourceType>
    <b:Guid>{7255769E-E95A-44DC-8583-99BC245F7795}</b:Guid>
    <b:Author>
      <b:Author>
        <b:NameList>
          <b:Person>
            <b:Last>Rex DK</b:Last>
            <b:First>Di</b:First>
            <b:Middle>Palma JA, Rodriguez R, McGowan J, Cleveland M</b:Middle>
          </b:Person>
        </b:NameList>
      </b:Author>
    </b:Author>
    <b:Title>A randomized clinical study comparing reduced-volume oral sulfate solution with standard 4-liter sulfate-free electrolyte lavage solution as preparation for colonoscopy</b:Title>
    <b:JournalName>Gastrointest Endosc</b:JournalName>
    <b:Year>2010</b:Year>
    <b:Pages>328-36</b:Pages>
    <b:Month>Aug</b:Month>
    <b:Volume>72</b:Volume>
    <b:Issue>2</b:Issue>
    <b:StandardNumber>PMID: 20646695</b:StandardNumber>
    <b:DOI>10.1016/j.gie.2010.03.1054</b:DOI>
    <b:RefOrder>44</b:RefOrder>
  </b:Source>
  <b:Source>
    <b:Tag>45</b:Tag>
    <b:SourceType>JournalArticle</b:SourceType>
    <b:Guid>{C5DC3C19-311E-40BE-A21A-E1C52ADE53E5}</b:Guid>
    <b:Author>
      <b:Author>
        <b:NameList>
          <b:Person>
            <b:Last>Rex DK</b:Last>
            <b:First>McGowan</b:First>
            <b:Middle>J, Cleveland Mv, Di Palma JA</b:Middle>
          </b:Person>
        </b:NameList>
      </b:Author>
    </b:Author>
    <b:Title>A randomized, controlled trial of oral sulfate solution plus polyethylene glycol as a bowel preparation for colonoscopy</b:Title>
    <b:JournalName>Gastrointest Endosc</b:JournalName>
    <b:Year>2014</b:Year>
    <b:Pages>482-91</b:Pages>
    <b:Month>Sep</b:Month>
    <b:Volume>80</b:Volume>
    <b:Issue>3</b:Issue>
    <b:StandardNumber>PMID: 24830577</b:StandardNumber>
    <b:DOI>10.1016/j.gie.2014.03.043</b:DOI>
    <b:RefOrder>45</b:RefOrder>
  </b:Source>
  <b:Source>
    <b:Tag>46</b:Tag>
    <b:SourceType>JournalArticle</b:SourceType>
    <b:Guid>{B17C0C6E-A950-499A-B2C3-66AF7BB18594}</b:Guid>
    <b:Author>
      <b:Author>
        <b:NameList>
          <b:Person>
            <b:Last>Weir MA</b:Last>
            <b:First>Fleet</b:First>
            <b:Middle>JL, Vinden C, Shariff SZ, Liu K, Song H, Jain AK, Gandhi S, Clark WF, Garg AX</b:Middle>
          </b:Person>
        </b:NameList>
      </b:Author>
    </b:Author>
    <b:Title>Hyponatremia and sodium picosulfate bowel preparations in older adults</b:Title>
    <b:JournalName>Am J Gastroenterol</b:JournalName>
    <b:Year>2014</b:Year>
    <b:Pages>686-94</b:Pages>
    <b:Month>May</b:Month>
    <b:Volume>109</b:Volume>
    <b:Issue>5</b:Issue>
    <b:StandardNumber>PMID: 24589671</b:StandardNumber>
    <b:DOI>10.1038/ajg.2014.20</b:DOI>
    <b:RefOrder>46</b:RefOrder>
  </b:Source>
  <b:Source>
    <b:Tag>47</b:Tag>
    <b:SourceType>JournalArticle</b:SourceType>
    <b:Guid>{5A855360-AA00-400B-A176-35E0C345519F}</b:Guid>
    <b:Author>
      <b:Author>
        <b:NameList>
          <b:Person>
            <b:Last>Katz PO</b:Last>
            <b:First>Rex</b:First>
            <b:Middle>DK, Epstein M, Grandhi NK, Vanner S, Hookey LC, Alderfer V, Joseph RE</b:Middle>
          </b:Person>
        </b:NameList>
      </b:Author>
    </b:Author>
    <b:Title>A dual-action, low-volume bowel cleanser administered the day before colonoscopy: results from the SEE CLEAR II study</b:Title>
    <b:JournalName>Am J Gastroenterol</b:JournalName>
    <b:Year>2013</b:Year>
    <b:Pages>401-9</b:Pages>
    <b:Month>Mar</b:Month>
    <b:Volume>108</b:Volume>
    <b:Issue>6</b:Issue>
    <b:StandardNumber>PMID: 23318484</b:StandardNumber>
    <b:DOI>10.1038/ajg.2012.441</b:DOI>
    <b:RefOrder>47</b:RefOrder>
  </b:Source>
  <b:Source>
    <b:Tag>48</b:Tag>
    <b:SourceType>JournalArticle</b:SourceType>
    <b:Guid>{68134322-73ED-4E89-A51C-B4F5F8BF11F8}</b:Guid>
    <b:Author>
      <b:Author>
        <b:NameList>
          <b:Person>
            <b:Last>Rex DK</b:Last>
            <b:First>Katz</b:First>
            <b:Middle>PO, Bertiger G, Vanner S, Hookey LC, Alderfer V, Joseph RE</b:Middle>
          </b:Person>
        </b:NameList>
      </b:Author>
    </b:Author>
    <b:Title>Split-dose administration of a dual-action, low-volume bowel cleanser for colonoscopy: the SEE CLEAR I study</b:Title>
    <b:JournalName>Gastrointest Endosc</b:JournalName>
    <b:Year>2013</b:Year>
    <b:Pages>132-41</b:Pages>
    <b:Month>Jul</b:Month>
    <b:Volume>78</b:Volume>
    <b:Issue>1</b:Issue>
    <b:StandardNumber>PMID: 23566639</b:StandardNumber>
    <b:DOI>10.1016/j.gie.2013.02.024</b:DOI>
    <b:RefOrder>48</b:RefOrder>
  </b:Source>
  <b:Source>
    <b:Tag>49</b:Tag>
    <b:SourceType>JournalArticle</b:SourceType>
    <b:Guid>{C81FC7EE-2FBE-433B-A765-15621111DFB5}</b:Guid>
    <b:Author>
      <b:Author>
        <b:NameList>
          <b:Person>
            <b:Last>Kojecky V</b:Last>
            <b:First>Dolina</b:First>
            <b:Middle>J, Kianicka B, Misurec M, Varga M, Latta J, Vaculin V</b:Middle>
          </b:Person>
        </b:NameList>
      </b:Author>
    </b:Author>
    <b:Title>A single or split dose picosulphate/magnesium citrate before colonoscopy: comparison regarding tolerance and efficacy with polyethylene glycol. A randomized trial</b:Title>
    <b:JournalName>J Gastrointestin Liver Dis</b:JournalName>
    <b:Year>2014</b:Year>
    <b:Pages>141-6</b:Pages>
    <b:Month>Jun</b:Month>
    <b:Volume>23</b:Volume>
    <b:Issue>2</b:Issue>
    <b:StandardNumber>PMID: 24949605</b:StandardNumber>
    <b:RefOrder>49</b:RefOrder>
  </b:Source>
  <b:Source>
    <b:Tag>50</b:Tag>
    <b:SourceType>JournalArticle</b:SourceType>
    <b:Guid>{6EE20AF9-8B9D-4FD2-B8F3-7A22BE617E48}</b:Guid>
    <b:Author>
      <b:Author>
        <b:NameList>
          <b:Person>
            <b:Last>Kim HG</b:Last>
            <b:First>Huh</b:First>
            <b:Middle>KC, Koo HS, Kim SE, Kim JO, Kim TI, Kim HS, Myung SJ, Park DI, Shin JE, Yang DH, Lee SH, Lee JS, Lee CK, Chang DK, Joo YE, Cha JM, Hong SP, Kim HJ</b:Middle>
          </b:Person>
        </b:NameList>
      </b:Author>
    </b:Author>
    <b:Title>Sodium Picosulfate with Magnesium Citrate (SPMC) Plus Laxative Is a Good Alternative to Conventional Large Volume Polyethylene Glycol in Bowel Preparation: A Multicenter Randomized Single-Blinded Trial</b:Title>
    <b:JournalName>Gut Liver</b:JournalName>
    <b:Year>2014</b:Year>
    <b:Month>Oct</b:Month>
    <b:Day>7</b:Day>
    <b:StandardNumber>PMID: 25287163 </b:StandardNumber>
    <b:DOI>10.5009/gnl14010</b:DOI>
    <b:RefOrder>50</b:RefOrder>
  </b:Source>
  <b:Source>
    <b:Tag>51</b:Tag>
    <b:SourceType>JournalArticle</b:SourceType>
    <b:Guid>{CEB66C68-F82F-4179-B720-8566A9B6BA41}</b:Guid>
    <b:Author>
      <b:Author>
        <b:NameList>
          <b:Person>
            <b:Last>Kang MS</b:Last>
            <b:First>Kim</b:First>
            <b:Middle>TO, Seo EH, Jung da K, Kim MS, Heo NY, Park JH, Park SH, Moon YS</b:Middle>
          </b:Person>
        </b:NameList>
      </b:Author>
    </b:Author>
    <b:Title>Comparison of the Efficacy and Tolerability between Same-day Picosulfate and Split-dose Polyethylene Glycol Bowel Preparation for Afternoon Colonoscopy: A Prospective, Randomized, Investigator-blinded Trial</b:Title>
    <b:JournalName>Intest Res</b:JournalName>
    <b:Year>2014</b:Year>
    <b:Pages>53-9</b:Pages>
    <b:Month>Jan</b:Month>
    <b:Volume>12</b:Volume>
    <b:Issue>1</b:Issue>
    <b:StandardNumber>PMID: 25349564 </b:StandardNumber>
    <b:DOI>10.5217/ir.2014.12.1.53</b:DOI>
    <b:RefOrder>51</b:RefOrder>
  </b:Source>
  <b:Source>
    <b:Tag>52</b:Tag>
    <b:SourceType>JournalArticle</b:SourceType>
    <b:Guid>{31FCDAE3-25FF-4052-8300-B68C1779FB8B}</b:Guid>
    <b:Author>
      <b:Author>
        <b:NameList>
          <b:Person>
            <b:Last>Song KH</b:Last>
            <b:First>Suh</b:First>
            <b:Middle>WS, Jeong JS, Kim DS, Kim SW, Kwak DM, Hwang JS, Kim HJ, Park MW, Shim MC, Koo JI, Kim JH, Shon DH</b:Middle>
          </b:Person>
        </b:NameList>
      </b:Author>
    </b:Author>
    <b:Title>Effectiveness of Sodium Picosulfate/Magnesium Citrate (PICO) for Colonoscopy Preparation</b:Title>
    <b:JournalName>Ann Coloproctol</b:JournalName>
    <b:Year>2014</b:Year>
    <b:Pages>222-7</b:Pages>
    <b:Month>Oct</b:Month>
    <b:Volume>30</b:Volume>
    <b:Issue>5</b:Issue>
    <b:StandardNumber>PMID: 25360429</b:StandardNumber>
    <b:DOI>10.3393/ac.2014.30.5.222</b:DOI>
    <b:RefOrder>52</b:RefOrder>
  </b:Source>
  <b:Source>
    <b:Tag>53</b:Tag>
    <b:SourceType>JournalArticle</b:SourceType>
    <b:Guid>{50684C10-2054-4EFE-A9F7-D3F6E18C351C}</b:Guid>
    <b:Author>
      <b:Author>
        <b:NameList>
          <b:Person>
            <b:Last>Rex DK</b:Last>
            <b:First>DiPalma</b:First>
            <b:Middle>JA, McGowan J, Cleveland Mv</b:Middle>
          </b:Person>
        </b:NameList>
      </b:Author>
    </b:Author>
    <b:Title>A comparison of oral sulfate solution with sodium picosulfate: magnesium citrate in split doses as bowel preparation for colonoscopy</b:Title>
    <b:JournalName>Gastrointest Endosc</b:JournalName>
    <b:Year>2014</b:Year>
    <b:Pages>1113-23</b:Pages>
    <b:Month>Dec</b:Month>
    <b:Volume>80</b:Volume>
    <b:Issue>6</b:Issue>
    <b:StandardNumber>PMID: 25028274</b:StandardNumber>
    <b:DOI>10.1016/j.gie.2014.05.329</b:DOI>
    <b:RefOrder>53</b:RefOrder>
  </b:Source>
  <b:Source>
    <b:Tag>54</b:Tag>
    <b:SourceType>JournalArticle</b:SourceType>
    <b:Guid>{3F8514B9-14EC-43D5-8AE9-0B58546B07CF}</b:Guid>
    <b:Author>
      <b:Author>
        <b:NameList>
          <b:Person>
            <b:Last>Aoun E</b:Last>
            <b:First>Abdul-Baki</b:First>
            <b:Middle>H, Azar C, Mourad F, Barada K, Berro Z, Tarchichi M, Sharara AI</b:Middle>
          </b:Person>
        </b:NameList>
      </b:Author>
    </b:Author>
    <b:Title>A randomized single-blind trial of split-dose PEG-electrolyte solution without dietary restriction compared with whole dose PEG-electrolyte solution with dietary restriction for colonoscopy preparation</b:Title>
    <b:JournalName>Gastrointest Endosc</b:JournalName>
    <b:Year>2005</b:Year>
    <b:Pages>213-8</b:Pages>
    <b:Month>Aug</b:Month>
    <b:Volume>62</b:Volume>
    <b:Issue>2</b:Issue>
    <b:StandardNumber>PMID: 16046981</b:StandardNumber>
    <b:RefOrder>54</b:RefOrder>
  </b:Source>
  <b:Source>
    <b:Tag>55</b:Tag>
    <b:SourceType>JournalArticle</b:SourceType>
    <b:Guid>{08A57EE4-1201-4103-8572-CA1C63524D10}</b:Guid>
    <b:Author>
      <b:Author>
        <b:NameList>
          <b:Person>
            <b:Last>Marmo R</b:Last>
            <b:First>Rotondano</b:First>
            <b:Middle>G, Riccio G, Marone A, Bianco MA, Stroppa I, Caruso A, Pandolfo N, Sansone S, Gregorio E, D'Alvano G, Procaccio N, Capo P, Marmo C, Cipolletta L</b:Middle>
          </b:Person>
        </b:NameList>
      </b:Author>
    </b:Author>
    <b:Title>Effective bowel cleansing before colonoscopy: a randomized study of split-dosage versus non-split dosage regimens of high-volume versus low-volume polyethylene glycol solutions</b:Title>
    <b:JournalName>Gastrointest Endosc</b:JournalName>
    <b:Year>2010</b:Year>
    <b:Pages>313-20</b:Pages>
    <b:Month>Aug</b:Month>
    <b:Volume>72</b:Volume>
    <b:Issue>2</b:Issue>
    <b:StandardNumber>PMID: 20561621</b:StandardNumber>
    <b:DOI>10.1016/j.gie.2010.02.048</b:DOI>
    <b:RefOrder>55</b:RefOrder>
  </b:Source>
  <b:Source>
    <b:Tag>56</b:Tag>
    <b:SourceType>JournalArticle</b:SourceType>
    <b:Guid>{BCEB5B86-86DA-4CFD-BB47-62F17FB2ED10}</b:Guid>
    <b:Author>
      <b:Author>
        <b:NameList>
          <b:Person>
            <b:Last>Cohen B</b:Last>
            <b:First>Tang</b:First>
            <b:Middle>RS, Groessl E, Herrin A, Ho SB</b:Middle>
          </b:Person>
        </b:NameList>
      </b:Author>
    </b:Author>
    <b:Title>Effectiveness of a simplified "patient friendly" split dose polyethylene glycol colonoscopy prep in Veterans Health Administration patients</b:Title>
    <b:JournalName>J Interv Gastroenterol</b:JournalName>
    <b:Year>2012</b:Year>
    <b:Pages>177-182</b:Pages>
    <b:Month>Oct</b:Month>
    <b:Volume>2</b:Volume>
    <b:Issue>4</b:Issue>
    <b:StandardNumber>PMID: 23687605</b:StandardNumber>
    <b:RefOrder>56</b:RefOrder>
  </b:Source>
  <b:Source>
    <b:Tag>57</b:Tag>
    <b:SourceType>JournalArticle</b:SourceType>
    <b:Guid>{EEB95B73-CD20-4729-9B64-45C3A5E60AF1}</b:Guid>
    <b:Author>
      <b:Author>
        <b:NameList>
          <b:Person>
            <b:Last>Kilgore TW</b:Last>
            <b:First>Abdinoor</b:First>
            <b:Middle>AA, Szary NM, Schowengerdt SW, Yust JB, Choudhary A, Matteson ML, Puli SR, Marshall JB, Bechtold ML</b:Middle>
          </b:Person>
        </b:NameList>
      </b:Author>
    </b:Author>
    <b:Title>Bowel preparation with split-dose polyethylene glycol before colonoscopy: a meta-analysis of randomized controlled trials</b:Title>
    <b:JournalName>Gastrointest Endosc</b:JournalName>
    <b:Year>2011</b:Year>
    <b:Pages>1240-5</b:Pages>
    <b:Month>Jun</b:Month>
    <b:Volume>73</b:Volume>
    <b:Issue>6</b:Issue>
    <b:StandardNumber>PMID: 21628016</b:StandardNumber>
    <b:DOI>10.1016/j.gie.2011.02.007</b:DOI>
    <b:RefOrder>57</b:RefOrder>
  </b:Source>
  <b:Source>
    <b:Tag>58</b:Tag>
    <b:SourceType>JournalArticle</b:SourceType>
    <b:Guid>{DDC18233-8775-4458-9B3F-54F818E3B81F}</b:Guid>
    <b:Author>
      <b:Author>
        <b:NameList>
          <b:Person>
            <b:Last>Martel M</b:Last>
            <b:First>Barkun</b:First>
            <b:Middle>AN, Menard C, Restellini S, Kherad O, Vanasse A</b:Middle>
          </b:Person>
        </b:NameList>
      </b:Author>
    </b:Author>
    <b:Title>Split-Dose Preparations Are Superior to Day-Before Bowel Cleansing Regimens: A Meta-analysis</b:Title>
    <b:JournalName>Gastroenterology</b:JournalName>
    <b:Year>2015</b:Year>
    <b:Pages>S0016-5085</b:Pages>
    <b:Month>Apr</b:Month>
    <b:Day>8</b:Day>
    <b:StandardNumber>PMID: 25863216</b:StandardNumber>
    <b:DOI>10.1053/j.gastro.2015.04.004</b:DOI>
    <b:RefOrder>58</b:RefOrder>
  </b:Source>
  <b:Source>
    <b:Tag>59</b:Tag>
    <b:SourceType>JournalArticle</b:SourceType>
    <b:Guid>{569611AB-EB19-435A-BCD0-6E86222A4BD4}</b:Guid>
    <b:Author>
      <b:Author>
        <b:NameList>
          <b:Person>
            <b:Last>Huffman M</b:Last>
            <b:First>Unger</b:First>
            <b:Middle>RZ, Thatikonda C, Amstutz S, Rex DK</b:Middle>
          </b:Person>
        </b:NameList>
      </b:Author>
    </b:Author>
    <b:Title>Split-dose bowel preparation for colonoscopy and residual gastric fluid volume: an observational study</b:Title>
    <b:JournalName>Gastrointest Endosc</b:JournalName>
    <b:Year>2010</b:Year>
    <b:Pages>516-22</b:Pages>
    <b:Month>Sep</b:Month>
    <b:Volume>72</b:Volume>
    <b:Issue>3</b:Issue>
    <b:StandardNumber>PMID: 20646700</b:StandardNumber>
    <b:DOI>10.1016/j.gie.2010.03.1125</b:DOI>
    <b:RefOrder>59</b:RefOrder>
  </b:Source>
  <b:Source>
    <b:Tag>60</b:Tag>
    <b:SourceType>JournalArticle</b:SourceType>
    <b:Guid>{FDB3A4C4-C734-4D73-A989-79235EA106D0}</b:Guid>
    <b:Author>
      <b:Author>
        <b:NameList>
          <b:Person>
            <b:Last>Seo EH</b:Last>
            <b:First>Kim</b:First>
            <b:Middle>TO, Park MJ, Joo HR, Heo NY, Park J, Park SH, Yang SY, Moon YS</b:Middle>
          </b:Person>
        </b:NameList>
      </b:Author>
    </b:Author>
    <b:Title>Optimal preparation-to-colonoscopy interval in split-dose PEG bowel preparation determines satisfactory bowel preparation quality: an observational prospective study</b:Title>
    <b:JournalName>Gastrointest Endosc</b:JournalName>
    <b:Year>2012</b:Year>
    <b:Pages>583-90</b:Pages>
    <b:Month>Mar</b:Month>
    <b:Volume>75</b:Volume>
    <b:Issue>3</b:Issue>
    <b:StandardNumber>PMID: 22177570</b:StandardNumber>
    <b:DOI>10.1016/j.gie.2011.09.029</b:DOI>
    <b:RefOrder>60</b:RefOrder>
  </b:Source>
  <b:Source>
    <b:Tag>61</b:Tag>
    <b:SourceType>JournalArticle</b:SourceType>
    <b:Guid>{05E9DC29-BEE3-47BB-A11E-D49DA0250ABA}</b:Guid>
    <b:Author>
      <b:Author>
        <b:NameList>
          <b:Person>
            <b:Last>Eun CS</b:Last>
            <b:First>Han</b:First>
            <b:Middle>DS, Hyun YS, Bae JH, Park HS, Kim TY, Jeon YC, Sohn JH</b:Middle>
          </b:Person>
        </b:NameList>
      </b:Author>
    </b:Author>
    <b:Title>The timing of bowel preparation is more important than the timing of colonoscopy in determining the quality of bowel cleansing</b:Title>
    <b:JournalName>Dig Dis Sci</b:JournalName>
    <b:Year>2011</b:Year>
    <b:Pages>539-44</b:Pages>
    <b:Month>Feb</b:Month>
    <b:Volume>56</b:Volume>
    <b:Issue>2</b:Issue>
    <b:StandardNumber>PMID: 21042853</b:StandardNumber>
    <b:DOI>10.1007/s10620-010-1457-1</b:DOI>
    <b:RefOrder>61</b:RefOrder>
  </b:Source>
  <b:Source>
    <b:Tag>62</b:Tag>
    <b:SourceType>JournalArticle</b:SourceType>
    <b:Guid>{6405BF51-4752-4749-B7AA-14E0F50AE384}</b:Guid>
    <b:Author>
      <b:Author>
        <b:NameList>
          <b:Person>
            <b:Last>Rodríguez De Miguel C</b:Last>
            <b:First>Serradesanferm</b:First>
            <b:Middle>A, Del Manzano S, Cárdenas A, Fernández-Esparrach G, Ginés A, Ricart E, Sendino O, González-Suárez B, López-Cerón M, Llach J, Grau J, Castells A, Pellisé M</b:Middle>
          </b:Person>
        </b:NameList>
      </b:Author>
    </b:Author>
    <b:Title>[Timing of polyethylene glycol administration is a key factor in the tolerability and efficacy of colon preparation in colorectal cancer screening]</b:Title>
    <b:JournalName>Gastroenterol Hepatol</b:JournalName>
    <b:Year>2012</b:Year>
    <b:Pages>236-42</b:Pages>
    <b:Month>Apr</b:Month>
    <b:Volume>35</b:Volume>
    <b:Issue>4</b:Issue>
    <b:StandardNumber>PMID: 22445938</b:StandardNumber>
    <b:DOI>10.1016/j.gastrohep.2012.01.012</b:DOI>
    <b:RefOrder>62</b:RefOrder>
  </b:Source>
  <b:Source>
    <b:Tag>63</b:Tag>
    <b:SourceType>JournalArticle</b:SourceType>
    <b:Guid>{8F5505A4-C0B4-469C-876A-E2A62ABE0287}</b:Guid>
    <b:Author>
      <b:Author>
        <b:NameList>
          <b:Person>
            <b:Last>Siddiqui AA</b:Last>
            <b:First>Yang</b:First>
            <b:Middle>K, Spechler SJ, Cryer B, Davila R, Cipher D, Harford WV</b:Middle>
          </b:Person>
        </b:NameList>
      </b:Author>
    </b:Author>
    <b:Title>Duration of the interval between the completion of bowel preparation and the start of colonoscopy predicts bowel-preparation quality</b:Title>
    <b:JournalName>Gastrointest Endosc</b:JournalName>
    <b:Year>2009</b:Year>
    <b:Pages>700-6</b:Pages>
    <b:Month>Mar</b:Month>
    <b:Volume>69</b:Volume>
    <b:Issue>3 Pt 2</b:Issue>
    <b:StandardNumber>PMID: 19251013 </b:StandardNumber>
    <b:DOI>10.1016/j.gie.2008.09.047</b:DOI>
    <b:RefOrder>63</b:RefOrder>
  </b:Source>
  <b:Source>
    <b:Tag>3</b:Tag>
    <b:SourceType>JournalArticle</b:SourceType>
    <b:Guid>{8A29FDD0-E5CC-4A73-AF91-F44C3C9EF734}</b:Guid>
    <b:Author>
      <b:Author>
        <b:NameList>
          <b:Person>
            <b:Last>Lebwohl B</b:Last>
            <b:First>Kastrinos</b:First>
            <b:Middle>F, Glick M, Rosenbaum AJ, Wang T, Neugut AI</b:Middle>
          </b:Person>
        </b:NameList>
      </b:Author>
    </b:Author>
    <b:Title>The impact of suboptimal bowel preparation on adenoma miss rates and the factors associated with early repeat colonoscopy</b:Title>
    <b:JournalName>Gastrointest Endosc</b:JournalName>
    <b:Year>2011</b:Year>
    <b:Pages>1207-14</b:Pages>
    <b:Month>Jun</b:Month>
    <b:Volume>73</b:Volume>
    <b:Issue>6</b:Issue>
    <b:StandardNumber>PMID: 21481857</b:StandardNumber>
    <b:DOI>PMID: 21481857     DOI 10.1016/j.gie.2011.01.051</b:DOI>
    <b:RefOrder>3</b:RefOrder>
  </b:Source>
  <b:Source>
    <b:Tag>4</b:Tag>
    <b:SourceType>JournalArticle</b:SourceType>
    <b:Guid>{B9B976AF-45E8-4939-B78B-E7BF3D111CEB}</b:Guid>
    <b:Author>
      <b:Author>
        <b:NameList>
          <b:Person>
            <b:Last>Hong SN</b:Last>
            <b:First>Sung</b:First>
            <b:Middle>IK, Kim JH, Choe WH, Kim BK, Ko SY, Lee JH, Seol DC, Ahn SY, Lee SY, Park HS, Shim CS</b:Middle>
          </b:Person>
        </b:NameList>
      </b:Author>
    </b:Author>
    <b:Title>The Effect of the Bowel Preparation Status on the Risk of Missing Polyp and Adenoma during Screening Colonoscopy: A Tandem Colonoscopic Study</b:Title>
    <b:JournalName>Clin Endosc</b:JournalName>
    <b:Year>2012</b:Year>
    <b:Pages>404-11</b:Pages>
    <b:Month>Nov</b:Month>
    <b:Volume>45</b:Volume>
    <b:Issue>4</b:Issue>
    <b:StandardNumber>PMID: 23251889</b:StandardNumber>
    <b:DOI>PMID: 23251889     DOI 10.5946/ce.2012.45.4.404</b:DOI>
    <b:RefOrder>4</b:RefOrder>
  </b:Source>
  <b:Source>
    <b:Tag>5</b:Tag>
    <b:SourceType>JournalArticle</b:SourceType>
    <b:Guid>{43BED074-ED45-484A-847B-40ACEB6A9B28}</b:Guid>
    <b:Author>
      <b:Author>
        <b:NameList>
          <b:Person>
            <b:Last>Chokshi RV</b:Last>
            <b:First>Hovis</b:First>
            <b:Middle>CE, Hollander T, Early DS, Wang JS</b:Middle>
          </b:Person>
        </b:NameList>
      </b:Author>
    </b:Author>
    <b:Title>Prevalence of missed adenomas in patients with inadequate bowel preparation on screening colonoscopy</b:Title>
    <b:JournalName>Gastrointest Endosc</b:JournalName>
    <b:Year>2012</b:Year>
    <b:Pages>1197-203</b:Pages>
    <b:Month>Jun</b:Month>
    <b:Volume>75</b:Volume>
    <b:Issue>6</b:Issue>
    <b:StandardNumber>PMID: 22381531</b:StandardNumber>
    <b:DOI>PMID: 22381531     DOI 10.1016/j.gie.2012.01.005</b:DOI>
    <b:RefOrder>5</b:RefOrder>
  </b:Source>
  <b:Source>
    <b:Tag>7</b:Tag>
    <b:SourceType>JournalArticle</b:SourceType>
    <b:Guid>{417487ED-387C-462C-85E1-9DFDFD9AABC4}</b:Guid>
    <b:Author>
      <b:Author>
        <b:NameList>
          <b:Person>
            <b:Last>Kazarian ES</b:Last>
            <b:First>Carreira</b:First>
            <b:Middle>FS, Toribara NW, Denberg TD</b:Middle>
          </b:Person>
        </b:NameList>
      </b:Author>
    </b:Author>
    <b:Title>Colonoscopy completion in a large safety net health care system</b:Title>
    <b:JournalName>Clin Gastroenterol Hepatol</b:JournalName>
    <b:Year>2008</b:Year>
    <b:Pages>438-42</b:Pages>
    <b:Month>Apr</b:Month>
    <b:Volume>6</b:Volume>
    <b:Issue>4</b:Issue>
    <b:StandardNumber>PMID: 18304886</b:StandardNumber>
    <b:DOI>PMID: 18304886     DOI 10.1016/j.cgh.2007.12.003</b:DOI>
    <b:RefOrder>7</b:RefOrder>
  </b:Source>
  <b:Source>
    <b:Tag>8</b:Tag>
    <b:SourceType>JournalArticle</b:SourceType>
    <b:Guid>{5A95D345-CF40-4FE6-A0F7-EC37ECB07F36}</b:Guid>
    <b:Author>
      <b:Author>
        <b:NameList>
          <b:Person>
            <b:Last>Hillyer GC</b:Last>
            <b:First>Basch</b:First>
            <b:Middle>CH, Lebwohl B, Basch CE, Kastrinos F, Insel BJ, Neugut AI</b:Middle>
          </b:Person>
        </b:NameList>
      </b:Author>
    </b:Author>
    <b:Title>Shortened surveillance intervals following suboptimal bowel preparation for colonoscopy: results of a national survey</b:Title>
    <b:JournalName>Int J Colorectal Dis</b:JournalName>
    <b:Year>2013</b:Year>
    <b:Pages>73-81</b:Pages>
    <b:Month>Jan</b:Month>
    <b:Volume>28</b:Volume>
    <b:Issue>1</b:Issue>
    <b:StandardNumber>PMID: 22885884</b:StandardNumber>
    <b:DOI>PMID: 22885884     DOI 10.1007/s00384-012-1559-7</b:DOI>
    <b:RefOrder>8</b:RefOrder>
  </b:Source>
</b:Sources>
</file>

<file path=customXml/itemProps1.xml><?xml version="1.0" encoding="utf-8"?>
<ds:datastoreItem xmlns:ds="http://schemas.openxmlformats.org/officeDocument/2006/customXml" ds:itemID="{229FBC54-7988-D048-BC8B-74AF640D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7873</Words>
  <Characters>44881</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52649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nicole.m.harrison</dc:creator>
  <cp:lastModifiedBy>Na Ma</cp:lastModifiedBy>
  <cp:revision>2</cp:revision>
  <cp:lastPrinted>2015-09-02T21:11:00Z</cp:lastPrinted>
  <dcterms:created xsi:type="dcterms:W3CDTF">2015-11-11T02:27:00Z</dcterms:created>
  <dcterms:modified xsi:type="dcterms:W3CDTF">2015-11-11T02:27:00Z</dcterms:modified>
</cp:coreProperties>
</file>