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963905" w14:textId="7E58D121" w:rsidR="00526173" w:rsidRPr="0063505D" w:rsidRDefault="00526173" w:rsidP="00CB2DFE">
      <w:pPr>
        <w:adjustRightInd w:val="0"/>
        <w:snapToGrid w:val="0"/>
        <w:spacing w:after="0" w:line="360" w:lineRule="auto"/>
        <w:jc w:val="both"/>
        <w:rPr>
          <w:rFonts w:ascii="Book Antiqua" w:hAnsi="Book Antiqua" w:cs="宋体"/>
          <w:b/>
          <w:color w:val="000000"/>
          <w:sz w:val="24"/>
          <w:lang w:eastAsia="zh-CN"/>
        </w:rPr>
      </w:pPr>
      <w:bookmarkStart w:id="0" w:name="OLE_LINK547"/>
      <w:bookmarkStart w:id="1" w:name="OLE_LINK548"/>
      <w:r w:rsidRPr="00B77A30">
        <w:rPr>
          <w:rFonts w:ascii="Book Antiqua" w:eastAsia="Times New Roman" w:hAnsi="Book Antiqua" w:cs="宋体"/>
          <w:b/>
          <w:color w:val="000000"/>
          <w:sz w:val="24"/>
        </w:rPr>
        <w:t xml:space="preserve">Name of </w:t>
      </w:r>
      <w:r w:rsidR="00CD7B76">
        <w:rPr>
          <w:rFonts w:ascii="Book Antiqua" w:hAnsi="Book Antiqua" w:cs="宋体" w:hint="eastAsia"/>
          <w:b/>
          <w:color w:val="000000"/>
          <w:sz w:val="24"/>
          <w:lang w:eastAsia="zh-CN"/>
        </w:rPr>
        <w:t>J</w:t>
      </w:r>
      <w:r w:rsidRPr="00B77A30">
        <w:rPr>
          <w:rFonts w:ascii="Book Antiqua" w:eastAsia="Times New Roman" w:hAnsi="Book Antiqua" w:cs="宋体"/>
          <w:b/>
          <w:color w:val="000000"/>
          <w:sz w:val="24"/>
        </w:rPr>
        <w:t>ournal:</w:t>
      </w:r>
      <w:r w:rsidRPr="0063505D">
        <w:rPr>
          <w:rFonts w:ascii="Book Antiqua" w:eastAsia="Times New Roman" w:hAnsi="Book Antiqua" w:cs="宋体"/>
          <w:b/>
          <w:color w:val="000000"/>
          <w:sz w:val="24"/>
        </w:rPr>
        <w:t xml:space="preserve"> </w:t>
      </w:r>
      <w:r w:rsidRPr="00CD7B76">
        <w:rPr>
          <w:rFonts w:ascii="Book Antiqua" w:eastAsia="Times New Roman" w:hAnsi="Book Antiqua" w:cs="宋体"/>
          <w:b/>
          <w:i/>
          <w:color w:val="000000"/>
          <w:sz w:val="24"/>
        </w:rPr>
        <w:t>World Journal of Gastrointestinal Surgery</w:t>
      </w:r>
    </w:p>
    <w:p w14:paraId="75F2BFB4" w14:textId="0016527B" w:rsidR="00526173" w:rsidRPr="00B77A30" w:rsidRDefault="00526173" w:rsidP="00CB2DFE">
      <w:pPr>
        <w:adjustRightInd w:val="0"/>
        <w:snapToGrid w:val="0"/>
        <w:spacing w:after="0" w:line="360" w:lineRule="auto"/>
        <w:jc w:val="both"/>
        <w:rPr>
          <w:rFonts w:ascii="Book Antiqua" w:hAnsi="Book Antiqua" w:cs="Arial"/>
          <w:color w:val="000000"/>
          <w:sz w:val="24"/>
          <w:lang w:val="en" w:eastAsia="zh-CN"/>
        </w:rPr>
      </w:pPr>
      <w:r w:rsidRPr="00B77A30">
        <w:rPr>
          <w:rFonts w:ascii="Book Antiqua" w:hAnsi="Book Antiqua" w:cs="Arial"/>
          <w:b/>
          <w:color w:val="000000"/>
          <w:sz w:val="24"/>
          <w:lang w:val="en"/>
        </w:rPr>
        <w:t xml:space="preserve">ESPS Manuscript NO: </w:t>
      </w:r>
      <w:r w:rsidRPr="00B77A30">
        <w:rPr>
          <w:rFonts w:ascii="Book Antiqua" w:hAnsi="Book Antiqua" w:cs="Arial"/>
          <w:b/>
          <w:color w:val="000000"/>
          <w:sz w:val="24"/>
          <w:lang w:val="en" w:eastAsia="zh-CN"/>
        </w:rPr>
        <w:t>20849</w:t>
      </w:r>
    </w:p>
    <w:p w14:paraId="7CB14583" w14:textId="1F310530" w:rsidR="00526173" w:rsidRPr="00B77A30" w:rsidRDefault="00526173" w:rsidP="00CB2DFE">
      <w:pPr>
        <w:spacing w:after="0" w:line="360" w:lineRule="auto"/>
        <w:jc w:val="both"/>
        <w:rPr>
          <w:rFonts w:ascii="Book Antiqua" w:hAnsi="Book Antiqua"/>
          <w:b/>
          <w:sz w:val="24"/>
          <w:lang w:eastAsia="zh-CN"/>
        </w:rPr>
      </w:pPr>
      <w:r w:rsidRPr="00B77A30">
        <w:rPr>
          <w:rFonts w:ascii="Book Antiqua" w:hAnsi="Book Antiqua"/>
          <w:b/>
          <w:sz w:val="24"/>
        </w:rPr>
        <w:t xml:space="preserve">Manuscript Type: </w:t>
      </w:r>
      <w:r w:rsidR="00170819" w:rsidRPr="00B77A30">
        <w:rPr>
          <w:rFonts w:ascii="Book Antiqua" w:hAnsi="Book Antiqua"/>
          <w:b/>
          <w:sz w:val="24"/>
          <w:lang w:eastAsia="zh-CN"/>
        </w:rPr>
        <w:t>REVIEW</w:t>
      </w:r>
    </w:p>
    <w:p w14:paraId="37C4ACCC" w14:textId="77777777" w:rsidR="00526173" w:rsidRPr="00B77A30" w:rsidRDefault="00526173" w:rsidP="00CB2DFE">
      <w:pPr>
        <w:spacing w:after="0" w:line="360" w:lineRule="auto"/>
        <w:jc w:val="both"/>
        <w:rPr>
          <w:rFonts w:ascii="Book Antiqua" w:hAnsi="Book Antiqua"/>
          <w:b/>
          <w:sz w:val="24"/>
          <w:lang w:eastAsia="zh-CN"/>
        </w:rPr>
      </w:pPr>
    </w:p>
    <w:bookmarkEnd w:id="0"/>
    <w:bookmarkEnd w:id="1"/>
    <w:p w14:paraId="3B83E2C4" w14:textId="076DF4E2" w:rsidR="007D141F" w:rsidRPr="00B77A30" w:rsidRDefault="00332DA1" w:rsidP="00CB2DFE">
      <w:pPr>
        <w:spacing w:after="0" w:line="360" w:lineRule="auto"/>
        <w:jc w:val="both"/>
        <w:rPr>
          <w:rFonts w:ascii="Book Antiqua" w:hAnsi="Book Antiqua" w:cs="Times New Roman"/>
          <w:b/>
          <w:sz w:val="24"/>
          <w:szCs w:val="24"/>
          <w:lang w:eastAsia="zh-CN"/>
        </w:rPr>
      </w:pPr>
      <w:r w:rsidRPr="00B77A30">
        <w:rPr>
          <w:rFonts w:ascii="Book Antiqua" w:hAnsi="Book Antiqua" w:cs="Times New Roman"/>
          <w:b/>
          <w:sz w:val="24"/>
          <w:szCs w:val="24"/>
        </w:rPr>
        <w:t xml:space="preserve">Role of </w:t>
      </w:r>
      <w:r w:rsidR="00116D54" w:rsidRPr="00B77A30">
        <w:rPr>
          <w:rFonts w:ascii="Book Antiqua" w:hAnsi="Book Antiqua" w:cs="Times New Roman"/>
          <w:b/>
          <w:sz w:val="24"/>
          <w:szCs w:val="24"/>
        </w:rPr>
        <w:t>frailty and sarc</w:t>
      </w:r>
      <w:r w:rsidRPr="00B77A30">
        <w:rPr>
          <w:rFonts w:ascii="Book Antiqua" w:hAnsi="Book Antiqua" w:cs="Times New Roman"/>
          <w:b/>
          <w:sz w:val="24"/>
          <w:szCs w:val="24"/>
        </w:rPr>
        <w:t>openia in</w:t>
      </w:r>
      <w:r w:rsidR="00116D54" w:rsidRPr="00B77A30">
        <w:rPr>
          <w:rFonts w:ascii="Book Antiqua" w:hAnsi="Book Antiqua" w:cs="Times New Roman"/>
          <w:b/>
          <w:sz w:val="24"/>
          <w:szCs w:val="24"/>
        </w:rPr>
        <w:t xml:space="preserve"> predicting outcomes</w:t>
      </w:r>
      <w:r w:rsidR="00116D54" w:rsidRPr="00B77A30">
        <w:rPr>
          <w:rFonts w:ascii="Book Antiqua" w:hAnsi="Book Antiqua" w:cs="Times New Roman"/>
          <w:b/>
          <w:sz w:val="24"/>
          <w:szCs w:val="24"/>
          <w:lang w:eastAsia="zh-CN"/>
        </w:rPr>
        <w:t xml:space="preserve"> </w:t>
      </w:r>
      <w:r w:rsidR="00116D54" w:rsidRPr="00B77A30">
        <w:rPr>
          <w:rFonts w:ascii="Book Antiqua" w:hAnsi="Book Antiqua" w:cs="Times New Roman"/>
          <w:b/>
          <w:sz w:val="24"/>
          <w:szCs w:val="24"/>
        </w:rPr>
        <w:t>among patients undergoing gastrointestinal surgery</w:t>
      </w:r>
    </w:p>
    <w:p w14:paraId="299EEE01" w14:textId="77777777" w:rsidR="00116D54" w:rsidRPr="00B77A30" w:rsidRDefault="00116D54" w:rsidP="00CB2DFE">
      <w:pPr>
        <w:spacing w:after="0" w:line="360" w:lineRule="auto"/>
        <w:jc w:val="both"/>
        <w:rPr>
          <w:rFonts w:ascii="Book Antiqua" w:hAnsi="Book Antiqua" w:cs="Times New Roman"/>
          <w:b/>
          <w:sz w:val="24"/>
          <w:szCs w:val="24"/>
          <w:lang w:eastAsia="zh-CN"/>
        </w:rPr>
      </w:pPr>
    </w:p>
    <w:p w14:paraId="28C13EB0" w14:textId="737D5125" w:rsidR="00116D54" w:rsidRPr="00B77A30" w:rsidRDefault="00116D54" w:rsidP="00CB2DFE">
      <w:pPr>
        <w:spacing w:after="0" w:line="360" w:lineRule="auto"/>
        <w:jc w:val="both"/>
        <w:rPr>
          <w:rFonts w:ascii="Book Antiqua" w:hAnsi="Book Antiqua" w:cs="Times New Roman"/>
          <w:sz w:val="24"/>
          <w:szCs w:val="24"/>
        </w:rPr>
      </w:pPr>
      <w:r w:rsidRPr="00B77A30">
        <w:rPr>
          <w:rFonts w:ascii="Book Antiqua" w:hAnsi="Book Antiqua" w:cs="Times New Roman"/>
          <w:sz w:val="24"/>
          <w:szCs w:val="24"/>
        </w:rPr>
        <w:t>Wagner</w:t>
      </w:r>
      <w:r w:rsidRPr="00B77A30">
        <w:rPr>
          <w:rFonts w:ascii="Book Antiqua" w:hAnsi="Book Antiqua" w:cs="Times New Roman"/>
          <w:sz w:val="24"/>
          <w:szCs w:val="24"/>
          <w:lang w:eastAsia="zh-CN"/>
        </w:rPr>
        <w:t xml:space="preserve"> D</w:t>
      </w:r>
      <w:r w:rsidRPr="00B77A30">
        <w:rPr>
          <w:rFonts w:ascii="Book Antiqua" w:hAnsi="Book Antiqua" w:cs="Times New Roman"/>
          <w:i/>
          <w:sz w:val="24"/>
          <w:szCs w:val="24"/>
          <w:lang w:eastAsia="zh-CN"/>
        </w:rPr>
        <w:t xml:space="preserve"> et al.</w:t>
      </w:r>
      <w:r w:rsidRPr="00B77A30">
        <w:rPr>
          <w:rFonts w:ascii="Book Antiqua" w:hAnsi="Book Antiqua" w:cs="Times New Roman"/>
          <w:b/>
          <w:i/>
          <w:sz w:val="24"/>
          <w:szCs w:val="24"/>
        </w:rPr>
        <w:t xml:space="preserve"> </w:t>
      </w:r>
      <w:r w:rsidRPr="00B77A30">
        <w:rPr>
          <w:rFonts w:ascii="Book Antiqua" w:hAnsi="Book Antiqua" w:cs="Times New Roman"/>
          <w:sz w:val="24"/>
          <w:szCs w:val="24"/>
        </w:rPr>
        <w:t>Sarcopenia and frailty in GI surgery</w:t>
      </w:r>
    </w:p>
    <w:p w14:paraId="26D6843C" w14:textId="77777777" w:rsidR="00116D54" w:rsidRPr="00B77A30" w:rsidRDefault="00116D54" w:rsidP="00CB2DFE">
      <w:pPr>
        <w:spacing w:after="0" w:line="360" w:lineRule="auto"/>
        <w:jc w:val="both"/>
        <w:rPr>
          <w:rFonts w:ascii="Book Antiqua" w:hAnsi="Book Antiqua" w:cs="Times New Roman"/>
          <w:b/>
          <w:sz w:val="24"/>
          <w:szCs w:val="24"/>
          <w:lang w:eastAsia="zh-CN"/>
        </w:rPr>
      </w:pPr>
    </w:p>
    <w:p w14:paraId="3662137C" w14:textId="4DF2947F" w:rsidR="00116D54" w:rsidRPr="00CD7B76" w:rsidRDefault="00116D54" w:rsidP="00CB2DFE">
      <w:pPr>
        <w:spacing w:after="0" w:line="360" w:lineRule="auto"/>
        <w:jc w:val="both"/>
        <w:rPr>
          <w:rFonts w:ascii="Book Antiqua" w:hAnsi="Book Antiqua" w:cs="Times New Roman"/>
          <w:b/>
          <w:sz w:val="24"/>
          <w:szCs w:val="24"/>
          <w:lang w:eastAsia="zh-CN"/>
        </w:rPr>
      </w:pPr>
      <w:r w:rsidRPr="00CD7B76">
        <w:rPr>
          <w:rFonts w:ascii="Book Antiqua" w:hAnsi="Book Antiqua" w:cs="Times New Roman"/>
          <w:b/>
          <w:sz w:val="24"/>
          <w:szCs w:val="24"/>
        </w:rPr>
        <w:t>Doris Wagner,</w:t>
      </w:r>
      <w:r w:rsidRPr="00CD7B76">
        <w:rPr>
          <w:rFonts w:ascii="Book Antiqua" w:hAnsi="Book Antiqua" w:cs="Times New Roman"/>
          <w:b/>
          <w:sz w:val="24"/>
          <w:szCs w:val="24"/>
          <w:lang w:eastAsia="zh-CN"/>
        </w:rPr>
        <w:t xml:space="preserve"> </w:t>
      </w:r>
      <w:r w:rsidRPr="00CD7B76">
        <w:rPr>
          <w:rFonts w:ascii="Book Antiqua" w:hAnsi="Book Antiqua" w:cs="Times New Roman"/>
          <w:b/>
          <w:sz w:val="24"/>
          <w:szCs w:val="24"/>
        </w:rPr>
        <w:t xml:space="preserve">Mara McAdams DeMarco, Neda </w:t>
      </w:r>
      <w:proofErr w:type="spellStart"/>
      <w:r w:rsidRPr="00CD7B76">
        <w:rPr>
          <w:rFonts w:ascii="Book Antiqua" w:hAnsi="Book Antiqua" w:cs="Times New Roman"/>
          <w:b/>
          <w:sz w:val="24"/>
          <w:szCs w:val="24"/>
        </w:rPr>
        <w:t>Amini</w:t>
      </w:r>
      <w:proofErr w:type="spellEnd"/>
      <w:r w:rsidRPr="00CD7B76">
        <w:rPr>
          <w:rFonts w:ascii="Book Antiqua" w:hAnsi="Book Antiqua" w:cs="Times New Roman"/>
          <w:b/>
          <w:sz w:val="24"/>
          <w:szCs w:val="24"/>
        </w:rPr>
        <w:t>,</w:t>
      </w:r>
      <w:r w:rsidRPr="00CD7B76">
        <w:rPr>
          <w:rFonts w:ascii="Book Antiqua" w:hAnsi="Book Antiqua" w:cs="Times New Roman"/>
          <w:b/>
          <w:sz w:val="24"/>
          <w:szCs w:val="24"/>
          <w:lang w:eastAsia="zh-CN"/>
        </w:rPr>
        <w:t xml:space="preserve"> </w:t>
      </w:r>
      <w:r w:rsidRPr="00CD7B76">
        <w:rPr>
          <w:rFonts w:ascii="Book Antiqua" w:hAnsi="Book Antiqua" w:cs="Times New Roman"/>
          <w:b/>
          <w:sz w:val="24"/>
          <w:szCs w:val="24"/>
        </w:rPr>
        <w:t xml:space="preserve">Stefan </w:t>
      </w:r>
      <w:proofErr w:type="spellStart"/>
      <w:r w:rsidRPr="00CD7B76">
        <w:rPr>
          <w:rFonts w:ascii="Book Antiqua" w:hAnsi="Book Antiqua" w:cs="Times New Roman"/>
          <w:b/>
          <w:sz w:val="24"/>
          <w:szCs w:val="24"/>
        </w:rPr>
        <w:t>Buttner</w:t>
      </w:r>
      <w:proofErr w:type="spellEnd"/>
      <w:r w:rsidRPr="00CD7B76">
        <w:rPr>
          <w:rFonts w:ascii="Book Antiqua" w:hAnsi="Book Antiqua" w:cs="Times New Roman"/>
          <w:b/>
          <w:sz w:val="24"/>
          <w:szCs w:val="24"/>
        </w:rPr>
        <w:t xml:space="preserve">, </w:t>
      </w:r>
      <w:proofErr w:type="spellStart"/>
      <w:r w:rsidRPr="00CD7B76">
        <w:rPr>
          <w:rFonts w:ascii="Book Antiqua" w:hAnsi="Book Antiqua" w:cs="Times New Roman"/>
          <w:b/>
          <w:sz w:val="24"/>
          <w:szCs w:val="24"/>
        </w:rPr>
        <w:t>Dorry</w:t>
      </w:r>
      <w:proofErr w:type="spellEnd"/>
      <w:r w:rsidRPr="00CD7B76">
        <w:rPr>
          <w:rFonts w:ascii="Book Antiqua" w:hAnsi="Book Antiqua" w:cs="Times New Roman"/>
          <w:b/>
          <w:sz w:val="24"/>
          <w:szCs w:val="24"/>
        </w:rPr>
        <w:t xml:space="preserve"> </w:t>
      </w:r>
      <w:proofErr w:type="spellStart"/>
      <w:r w:rsidRPr="00CD7B76">
        <w:rPr>
          <w:rFonts w:ascii="Book Antiqua" w:hAnsi="Book Antiqua" w:cs="Times New Roman"/>
          <w:b/>
          <w:sz w:val="24"/>
          <w:szCs w:val="24"/>
        </w:rPr>
        <w:t>Segev</w:t>
      </w:r>
      <w:proofErr w:type="spellEnd"/>
      <w:r w:rsidRPr="00CD7B76">
        <w:rPr>
          <w:rFonts w:ascii="Book Antiqua" w:hAnsi="Book Antiqua" w:cs="Times New Roman"/>
          <w:b/>
          <w:sz w:val="24"/>
          <w:szCs w:val="24"/>
        </w:rPr>
        <w:t>,</w:t>
      </w:r>
      <w:r w:rsidR="000A0F89" w:rsidRPr="00CD7B76">
        <w:rPr>
          <w:rFonts w:ascii="Book Antiqua" w:hAnsi="Book Antiqua" w:cs="Times New Roman"/>
          <w:b/>
          <w:sz w:val="24"/>
          <w:szCs w:val="24"/>
        </w:rPr>
        <w:t xml:space="preserve"> </w:t>
      </w:r>
      <w:proofErr w:type="spellStart"/>
      <w:r w:rsidRPr="00CD7B76">
        <w:rPr>
          <w:rFonts w:ascii="Book Antiqua" w:hAnsi="Book Antiqua" w:cs="Times New Roman"/>
          <w:b/>
          <w:sz w:val="24"/>
          <w:szCs w:val="24"/>
        </w:rPr>
        <w:t>Faiz</w:t>
      </w:r>
      <w:proofErr w:type="spellEnd"/>
      <w:r w:rsidRPr="00CD7B76">
        <w:rPr>
          <w:rFonts w:ascii="Book Antiqua" w:hAnsi="Book Antiqua" w:cs="Times New Roman"/>
          <w:b/>
          <w:sz w:val="24"/>
          <w:szCs w:val="24"/>
        </w:rPr>
        <w:t xml:space="preserve"> </w:t>
      </w:r>
      <w:proofErr w:type="spellStart"/>
      <w:r w:rsidRPr="00CD7B76">
        <w:rPr>
          <w:rFonts w:ascii="Book Antiqua" w:hAnsi="Book Antiqua" w:cs="Times New Roman"/>
          <w:b/>
          <w:sz w:val="24"/>
          <w:szCs w:val="24"/>
        </w:rPr>
        <w:t>Gani</w:t>
      </w:r>
      <w:proofErr w:type="spellEnd"/>
      <w:r w:rsidRPr="00CD7B76">
        <w:rPr>
          <w:rFonts w:ascii="Book Antiqua" w:hAnsi="Book Antiqua" w:cs="Times New Roman"/>
          <w:b/>
          <w:sz w:val="24"/>
          <w:szCs w:val="24"/>
        </w:rPr>
        <w:t xml:space="preserve">, Timothy M </w:t>
      </w:r>
      <w:proofErr w:type="spellStart"/>
      <w:r w:rsidRPr="00CD7B76">
        <w:rPr>
          <w:rFonts w:ascii="Book Antiqua" w:hAnsi="Book Antiqua" w:cs="Times New Roman"/>
          <w:b/>
          <w:sz w:val="24"/>
          <w:szCs w:val="24"/>
        </w:rPr>
        <w:t>Pawlik</w:t>
      </w:r>
      <w:proofErr w:type="spellEnd"/>
    </w:p>
    <w:p w14:paraId="65DF0F30" w14:textId="77777777" w:rsidR="00116D54" w:rsidRPr="00B77A30" w:rsidRDefault="00116D54" w:rsidP="00CB2DFE">
      <w:pPr>
        <w:spacing w:after="0" w:line="360" w:lineRule="auto"/>
        <w:jc w:val="both"/>
        <w:rPr>
          <w:rFonts w:ascii="Book Antiqua" w:hAnsi="Book Antiqua" w:cs="Times New Roman"/>
          <w:b/>
          <w:sz w:val="24"/>
          <w:szCs w:val="24"/>
          <w:lang w:eastAsia="zh-CN"/>
        </w:rPr>
      </w:pPr>
    </w:p>
    <w:p w14:paraId="03D829C0" w14:textId="6A73BC22" w:rsidR="00116D54" w:rsidRPr="00B77A30" w:rsidRDefault="00116D54" w:rsidP="00CB2DFE">
      <w:pPr>
        <w:spacing w:after="0" w:line="360" w:lineRule="auto"/>
        <w:jc w:val="both"/>
        <w:rPr>
          <w:rFonts w:ascii="Book Antiqua" w:hAnsi="Book Antiqua" w:cs="Times New Roman"/>
          <w:sz w:val="24"/>
          <w:szCs w:val="24"/>
        </w:rPr>
      </w:pPr>
      <w:r w:rsidRPr="00B77A30">
        <w:rPr>
          <w:rFonts w:ascii="Book Antiqua" w:hAnsi="Book Antiqua" w:cs="Times New Roman"/>
          <w:b/>
          <w:sz w:val="24"/>
          <w:szCs w:val="24"/>
        </w:rPr>
        <w:t>Doris Wagner,</w:t>
      </w:r>
      <w:r w:rsidRPr="00B77A30">
        <w:rPr>
          <w:rFonts w:ascii="Book Antiqua" w:hAnsi="Book Antiqua" w:cs="Times New Roman"/>
          <w:b/>
          <w:sz w:val="24"/>
          <w:szCs w:val="24"/>
          <w:lang w:eastAsia="zh-CN"/>
        </w:rPr>
        <w:t xml:space="preserve"> </w:t>
      </w:r>
      <w:r w:rsidRPr="00B77A30">
        <w:rPr>
          <w:rFonts w:ascii="Book Antiqua" w:hAnsi="Book Antiqua" w:cs="Times New Roman"/>
          <w:b/>
          <w:sz w:val="24"/>
          <w:szCs w:val="24"/>
        </w:rPr>
        <w:t xml:space="preserve">Mara McAdams DeMarco, Neda </w:t>
      </w:r>
      <w:proofErr w:type="spellStart"/>
      <w:r w:rsidRPr="00B77A30">
        <w:rPr>
          <w:rFonts w:ascii="Book Antiqua" w:hAnsi="Book Antiqua" w:cs="Times New Roman"/>
          <w:b/>
          <w:sz w:val="24"/>
          <w:szCs w:val="24"/>
        </w:rPr>
        <w:t>Amini</w:t>
      </w:r>
      <w:proofErr w:type="spellEnd"/>
      <w:r w:rsidRPr="00B77A30">
        <w:rPr>
          <w:rFonts w:ascii="Book Antiqua" w:hAnsi="Book Antiqua" w:cs="Times New Roman"/>
          <w:b/>
          <w:sz w:val="24"/>
          <w:szCs w:val="24"/>
        </w:rPr>
        <w:t>,</w:t>
      </w:r>
      <w:r w:rsidRPr="00B77A30">
        <w:rPr>
          <w:rFonts w:ascii="Book Antiqua" w:hAnsi="Book Antiqua" w:cs="Times New Roman"/>
          <w:b/>
          <w:sz w:val="24"/>
          <w:szCs w:val="24"/>
          <w:lang w:eastAsia="zh-CN"/>
        </w:rPr>
        <w:t xml:space="preserve"> </w:t>
      </w:r>
      <w:r w:rsidRPr="00B77A30">
        <w:rPr>
          <w:rFonts w:ascii="Book Antiqua" w:hAnsi="Book Antiqua" w:cs="Times New Roman"/>
          <w:b/>
          <w:sz w:val="24"/>
          <w:szCs w:val="24"/>
        </w:rPr>
        <w:t xml:space="preserve">Stefan </w:t>
      </w:r>
      <w:proofErr w:type="spellStart"/>
      <w:r w:rsidRPr="00B77A30">
        <w:rPr>
          <w:rFonts w:ascii="Book Antiqua" w:hAnsi="Book Antiqua" w:cs="Times New Roman"/>
          <w:b/>
          <w:sz w:val="24"/>
          <w:szCs w:val="24"/>
        </w:rPr>
        <w:t>Buttner</w:t>
      </w:r>
      <w:proofErr w:type="spellEnd"/>
      <w:r w:rsidRPr="00B77A30">
        <w:rPr>
          <w:rFonts w:ascii="Book Antiqua" w:hAnsi="Book Antiqua" w:cs="Times New Roman"/>
          <w:b/>
          <w:sz w:val="24"/>
          <w:szCs w:val="24"/>
        </w:rPr>
        <w:t xml:space="preserve">, </w:t>
      </w:r>
      <w:proofErr w:type="spellStart"/>
      <w:r w:rsidRPr="00B77A30">
        <w:rPr>
          <w:rFonts w:ascii="Book Antiqua" w:hAnsi="Book Antiqua" w:cs="Times New Roman"/>
          <w:b/>
          <w:sz w:val="24"/>
          <w:szCs w:val="24"/>
        </w:rPr>
        <w:t>Dorry</w:t>
      </w:r>
      <w:proofErr w:type="spellEnd"/>
      <w:r w:rsidRPr="00B77A30">
        <w:rPr>
          <w:rFonts w:ascii="Book Antiqua" w:hAnsi="Book Antiqua" w:cs="Times New Roman"/>
          <w:b/>
          <w:sz w:val="24"/>
          <w:szCs w:val="24"/>
        </w:rPr>
        <w:t xml:space="preserve"> </w:t>
      </w:r>
      <w:proofErr w:type="spellStart"/>
      <w:r w:rsidRPr="00B77A30">
        <w:rPr>
          <w:rFonts w:ascii="Book Antiqua" w:hAnsi="Book Antiqua" w:cs="Times New Roman"/>
          <w:b/>
          <w:sz w:val="24"/>
          <w:szCs w:val="24"/>
        </w:rPr>
        <w:t>Segev</w:t>
      </w:r>
      <w:proofErr w:type="spellEnd"/>
      <w:r w:rsidRPr="00B77A30">
        <w:rPr>
          <w:rFonts w:ascii="Book Antiqua" w:hAnsi="Book Antiqua" w:cs="Times New Roman"/>
          <w:b/>
          <w:sz w:val="24"/>
          <w:szCs w:val="24"/>
        </w:rPr>
        <w:t>,</w:t>
      </w:r>
      <w:r w:rsidR="000A0F89">
        <w:rPr>
          <w:rFonts w:ascii="Book Antiqua" w:hAnsi="Book Antiqua" w:cs="Times New Roman"/>
          <w:b/>
          <w:sz w:val="24"/>
          <w:szCs w:val="24"/>
        </w:rPr>
        <w:t xml:space="preserve"> </w:t>
      </w:r>
      <w:proofErr w:type="spellStart"/>
      <w:r w:rsidRPr="00B77A30">
        <w:rPr>
          <w:rFonts w:ascii="Book Antiqua" w:hAnsi="Book Antiqua" w:cs="Times New Roman"/>
          <w:b/>
          <w:sz w:val="24"/>
          <w:szCs w:val="24"/>
        </w:rPr>
        <w:t>Faiz</w:t>
      </w:r>
      <w:proofErr w:type="spellEnd"/>
      <w:r w:rsidRPr="00B77A30">
        <w:rPr>
          <w:rFonts w:ascii="Book Antiqua" w:hAnsi="Book Antiqua" w:cs="Times New Roman"/>
          <w:b/>
          <w:sz w:val="24"/>
          <w:szCs w:val="24"/>
        </w:rPr>
        <w:t xml:space="preserve"> </w:t>
      </w:r>
      <w:proofErr w:type="spellStart"/>
      <w:r w:rsidRPr="00B77A30">
        <w:rPr>
          <w:rFonts w:ascii="Book Antiqua" w:hAnsi="Book Antiqua" w:cs="Times New Roman"/>
          <w:b/>
          <w:sz w:val="24"/>
          <w:szCs w:val="24"/>
        </w:rPr>
        <w:t>Gani</w:t>
      </w:r>
      <w:proofErr w:type="spellEnd"/>
      <w:r w:rsidRPr="00B77A30">
        <w:rPr>
          <w:rFonts w:ascii="Book Antiqua" w:hAnsi="Book Antiqua" w:cs="Times New Roman"/>
          <w:b/>
          <w:sz w:val="24"/>
          <w:szCs w:val="24"/>
        </w:rPr>
        <w:t xml:space="preserve">, Timothy M </w:t>
      </w:r>
      <w:proofErr w:type="spellStart"/>
      <w:r w:rsidRPr="00B77A30">
        <w:rPr>
          <w:rFonts w:ascii="Book Antiqua" w:hAnsi="Book Antiqua" w:cs="Times New Roman"/>
          <w:b/>
          <w:sz w:val="24"/>
          <w:szCs w:val="24"/>
        </w:rPr>
        <w:t>Pawlik</w:t>
      </w:r>
      <w:proofErr w:type="spellEnd"/>
      <w:r w:rsidRPr="00B77A30">
        <w:rPr>
          <w:rFonts w:ascii="Book Antiqua" w:hAnsi="Book Antiqua" w:cs="Times New Roman"/>
          <w:b/>
          <w:sz w:val="24"/>
          <w:szCs w:val="24"/>
        </w:rPr>
        <w:t>,</w:t>
      </w:r>
      <w:r w:rsidRPr="00B77A30">
        <w:rPr>
          <w:rFonts w:ascii="Book Antiqua" w:hAnsi="Book Antiqua" w:cs="Times New Roman"/>
          <w:b/>
          <w:sz w:val="24"/>
          <w:szCs w:val="24"/>
          <w:lang w:eastAsia="zh-CN"/>
        </w:rPr>
        <w:t xml:space="preserve"> </w:t>
      </w:r>
      <w:r w:rsidR="0031337D" w:rsidRPr="00B77A30">
        <w:rPr>
          <w:rFonts w:ascii="Book Antiqua" w:hAnsi="Book Antiqua" w:cs="Times New Roman"/>
          <w:sz w:val="24"/>
          <w:szCs w:val="24"/>
        </w:rPr>
        <w:t>Department of Surgery</w:t>
      </w:r>
      <w:r w:rsidRPr="00B77A30">
        <w:rPr>
          <w:rFonts w:ascii="Book Antiqua" w:hAnsi="Book Antiqua" w:cs="Times New Roman"/>
          <w:sz w:val="24"/>
          <w:szCs w:val="24"/>
          <w:lang w:eastAsia="zh-CN"/>
        </w:rPr>
        <w:t>,</w:t>
      </w:r>
      <w:r w:rsidR="00332DA1" w:rsidRPr="00B77A30">
        <w:rPr>
          <w:rFonts w:ascii="Book Antiqua" w:hAnsi="Book Antiqua" w:cs="Times New Roman"/>
          <w:sz w:val="24"/>
          <w:szCs w:val="24"/>
        </w:rPr>
        <w:t xml:space="preserve"> </w:t>
      </w:r>
      <w:r w:rsidRPr="00B77A30">
        <w:rPr>
          <w:rFonts w:ascii="Book Antiqua" w:hAnsi="Book Antiqua" w:cs="Times New Roman"/>
          <w:sz w:val="24"/>
          <w:szCs w:val="24"/>
        </w:rPr>
        <w:t xml:space="preserve">the Johns Hopkins Hospital, Baltimore, </w:t>
      </w:r>
      <w:r w:rsidR="00307147" w:rsidRPr="00B77A30">
        <w:rPr>
          <w:rFonts w:ascii="Book Antiqua" w:hAnsi="Book Antiqua" w:cs="Times New Roman"/>
          <w:sz w:val="24"/>
          <w:szCs w:val="24"/>
        </w:rPr>
        <w:t>MD 21287</w:t>
      </w:r>
      <w:r w:rsidR="00307147" w:rsidRPr="00B77A30">
        <w:rPr>
          <w:rFonts w:ascii="Book Antiqua" w:hAnsi="Book Antiqua" w:cs="Times New Roman"/>
          <w:sz w:val="24"/>
          <w:szCs w:val="24"/>
          <w:lang w:eastAsia="zh-CN"/>
        </w:rPr>
        <w:t>, United States</w:t>
      </w:r>
    </w:p>
    <w:p w14:paraId="737F1F58" w14:textId="77777777" w:rsidR="00116D54" w:rsidRPr="00B77A30" w:rsidRDefault="00116D54" w:rsidP="00CB2DFE">
      <w:pPr>
        <w:spacing w:after="0" w:line="360" w:lineRule="auto"/>
        <w:jc w:val="both"/>
        <w:rPr>
          <w:rFonts w:ascii="Book Antiqua" w:hAnsi="Book Antiqua" w:cs="Times New Roman"/>
          <w:sz w:val="24"/>
          <w:szCs w:val="24"/>
          <w:lang w:eastAsia="zh-CN"/>
        </w:rPr>
      </w:pPr>
    </w:p>
    <w:p w14:paraId="65753DCD" w14:textId="411A0D8A" w:rsidR="009F5F2A" w:rsidRPr="00B77A30" w:rsidRDefault="00116D54" w:rsidP="00CB2DFE">
      <w:pPr>
        <w:spacing w:after="0" w:line="360" w:lineRule="auto"/>
        <w:jc w:val="both"/>
        <w:rPr>
          <w:rFonts w:ascii="Book Antiqua" w:hAnsi="Book Antiqua" w:cs="Times New Roman"/>
          <w:sz w:val="24"/>
          <w:szCs w:val="24"/>
        </w:rPr>
      </w:pPr>
      <w:r w:rsidRPr="00B77A30">
        <w:rPr>
          <w:rFonts w:ascii="Book Antiqua" w:hAnsi="Book Antiqua" w:cs="Times New Roman"/>
          <w:b/>
          <w:sz w:val="24"/>
          <w:szCs w:val="24"/>
        </w:rPr>
        <w:t>Mara McAdams DeMarco,</w:t>
      </w:r>
      <w:r w:rsidRPr="00B77A30">
        <w:rPr>
          <w:rFonts w:ascii="Book Antiqua" w:hAnsi="Book Antiqua" w:cs="Times New Roman"/>
          <w:sz w:val="24"/>
          <w:szCs w:val="24"/>
        </w:rPr>
        <w:t xml:space="preserve"> Department </w:t>
      </w:r>
      <w:r w:rsidR="00307147" w:rsidRPr="00B77A30">
        <w:rPr>
          <w:rFonts w:ascii="Book Antiqua" w:hAnsi="Book Antiqua" w:cs="Times New Roman"/>
          <w:sz w:val="24"/>
          <w:szCs w:val="24"/>
        </w:rPr>
        <w:t xml:space="preserve">of </w:t>
      </w:r>
      <w:r w:rsidR="00307147" w:rsidRPr="00B77A30">
        <w:rPr>
          <w:rFonts w:ascii="Book Antiqua" w:hAnsi="Book Antiqua" w:cs="Times New Roman"/>
          <w:sz w:val="24"/>
          <w:szCs w:val="24"/>
          <w:lang w:eastAsia="zh-CN"/>
        </w:rPr>
        <w:t>Epidemiology</w:t>
      </w:r>
      <w:r w:rsidR="00332DA1" w:rsidRPr="00B77A30">
        <w:rPr>
          <w:rFonts w:ascii="Book Antiqua" w:hAnsi="Book Antiqua" w:cs="Times New Roman"/>
          <w:sz w:val="24"/>
          <w:szCs w:val="24"/>
        </w:rPr>
        <w:t>,</w:t>
      </w:r>
      <w:r w:rsidRPr="00B77A30">
        <w:rPr>
          <w:rFonts w:ascii="Book Antiqua" w:hAnsi="Book Antiqua" w:cs="Times New Roman"/>
          <w:sz w:val="24"/>
          <w:szCs w:val="24"/>
          <w:vertAlign w:val="superscript"/>
          <w:lang w:eastAsia="zh-CN"/>
        </w:rPr>
        <w:t xml:space="preserve"> </w:t>
      </w:r>
      <w:r w:rsidR="0031337D" w:rsidRPr="00B77A30">
        <w:rPr>
          <w:rFonts w:ascii="Book Antiqua" w:hAnsi="Book Antiqua" w:cs="Times New Roman"/>
          <w:sz w:val="24"/>
          <w:szCs w:val="24"/>
        </w:rPr>
        <w:t>t</w:t>
      </w:r>
      <w:r w:rsidR="009F5F2A" w:rsidRPr="00B77A30">
        <w:rPr>
          <w:rFonts w:ascii="Book Antiqua" w:hAnsi="Book Antiqua" w:cs="Times New Roman"/>
          <w:sz w:val="24"/>
          <w:szCs w:val="24"/>
        </w:rPr>
        <w:t xml:space="preserve">he Johns Hopkins </w:t>
      </w:r>
      <w:r w:rsidR="00332DA1" w:rsidRPr="00B77A30">
        <w:rPr>
          <w:rFonts w:ascii="Book Antiqua" w:hAnsi="Book Antiqua" w:cs="Times New Roman"/>
          <w:sz w:val="24"/>
          <w:szCs w:val="24"/>
        </w:rPr>
        <w:t>Hospital</w:t>
      </w:r>
      <w:r w:rsidR="009F5F2A" w:rsidRPr="00B77A30">
        <w:rPr>
          <w:rFonts w:ascii="Book Antiqua" w:hAnsi="Book Antiqua" w:cs="Times New Roman"/>
          <w:sz w:val="24"/>
          <w:szCs w:val="24"/>
        </w:rPr>
        <w:t xml:space="preserve">, Baltimore, </w:t>
      </w:r>
      <w:r w:rsidR="00307147" w:rsidRPr="00B77A30">
        <w:rPr>
          <w:rFonts w:ascii="Book Antiqua" w:hAnsi="Book Antiqua" w:cs="Times New Roman"/>
          <w:sz w:val="24"/>
          <w:szCs w:val="24"/>
        </w:rPr>
        <w:t>MD 21287</w:t>
      </w:r>
      <w:r w:rsidR="00307147" w:rsidRPr="00B77A30">
        <w:rPr>
          <w:rFonts w:ascii="Book Antiqua" w:hAnsi="Book Antiqua" w:cs="Times New Roman"/>
          <w:sz w:val="24"/>
          <w:szCs w:val="24"/>
          <w:lang w:eastAsia="zh-CN"/>
        </w:rPr>
        <w:t>, United States</w:t>
      </w:r>
    </w:p>
    <w:p w14:paraId="797E3D4D" w14:textId="77777777" w:rsidR="009F5F2A" w:rsidRPr="00B77A30" w:rsidRDefault="009F5F2A" w:rsidP="00CB2DFE">
      <w:pPr>
        <w:spacing w:after="0" w:line="360" w:lineRule="auto"/>
        <w:jc w:val="both"/>
        <w:rPr>
          <w:rFonts w:ascii="Book Antiqua" w:hAnsi="Book Antiqua" w:cs="Times New Roman"/>
          <w:b/>
          <w:sz w:val="24"/>
          <w:szCs w:val="24"/>
          <w:lang w:eastAsia="zh-CN"/>
        </w:rPr>
      </w:pPr>
    </w:p>
    <w:p w14:paraId="27A5DB6F" w14:textId="354F3E40" w:rsidR="00E722F0" w:rsidRPr="00B77A30" w:rsidRDefault="00526173" w:rsidP="00CB2DFE">
      <w:pPr>
        <w:spacing w:after="0" w:line="360" w:lineRule="auto"/>
        <w:jc w:val="both"/>
        <w:rPr>
          <w:rFonts w:ascii="Book Antiqua" w:hAnsi="Book Antiqua"/>
          <w:sz w:val="24"/>
          <w:szCs w:val="24"/>
          <w:lang w:eastAsia="zh-CN"/>
        </w:rPr>
      </w:pPr>
      <w:bookmarkStart w:id="2" w:name="OLE_LINK231"/>
      <w:bookmarkStart w:id="3" w:name="OLE_LINK234"/>
      <w:bookmarkStart w:id="4" w:name="OLE_LINK342"/>
      <w:bookmarkStart w:id="5" w:name="OLE_LINK473"/>
      <w:r w:rsidRPr="00B77A30">
        <w:rPr>
          <w:rFonts w:ascii="Book Antiqua" w:eastAsia="MS Mincho" w:hAnsi="Book Antiqua"/>
          <w:b/>
          <w:sz w:val="24"/>
          <w:lang w:eastAsia="ja-JP"/>
        </w:rPr>
        <w:t>Author contributions:</w:t>
      </w:r>
      <w:r w:rsidR="00116D54" w:rsidRPr="00B77A30">
        <w:rPr>
          <w:rFonts w:ascii="Book Antiqua" w:hAnsi="Book Antiqua"/>
          <w:sz w:val="24"/>
          <w:szCs w:val="24"/>
          <w:lang w:eastAsia="zh-CN"/>
        </w:rPr>
        <w:t xml:space="preserve"> </w:t>
      </w:r>
      <w:r w:rsidR="00E722F0" w:rsidRPr="00B77A30">
        <w:rPr>
          <w:rFonts w:ascii="Book Antiqua" w:eastAsia="MS Mincho" w:hAnsi="Book Antiqua"/>
          <w:sz w:val="24"/>
          <w:lang w:eastAsia="ja-JP"/>
        </w:rPr>
        <w:t>Wagner</w:t>
      </w:r>
      <w:r w:rsidR="00307147" w:rsidRPr="00B77A30">
        <w:rPr>
          <w:rFonts w:ascii="Book Antiqua" w:hAnsi="Book Antiqua"/>
          <w:sz w:val="24"/>
          <w:lang w:eastAsia="zh-CN"/>
        </w:rPr>
        <w:t xml:space="preserve"> D</w:t>
      </w:r>
      <w:r w:rsidR="00E722F0" w:rsidRPr="00B77A30">
        <w:rPr>
          <w:rFonts w:ascii="Book Antiqua" w:eastAsia="MS Mincho" w:hAnsi="Book Antiqua"/>
          <w:sz w:val="24"/>
          <w:lang w:eastAsia="ja-JP"/>
        </w:rPr>
        <w:t>, DeMarco</w:t>
      </w:r>
      <w:r w:rsidR="00307147" w:rsidRPr="00B77A30">
        <w:rPr>
          <w:rFonts w:ascii="Book Antiqua" w:hAnsi="Book Antiqua"/>
          <w:sz w:val="24"/>
          <w:lang w:eastAsia="zh-CN"/>
        </w:rPr>
        <w:t xml:space="preserve"> MM</w:t>
      </w:r>
      <w:r w:rsidR="00E722F0" w:rsidRPr="00B77A30">
        <w:rPr>
          <w:rFonts w:ascii="Book Antiqua" w:eastAsia="MS Mincho" w:hAnsi="Book Antiqua"/>
          <w:sz w:val="24"/>
          <w:lang w:eastAsia="ja-JP"/>
        </w:rPr>
        <w:t xml:space="preserve">, </w:t>
      </w:r>
      <w:proofErr w:type="spellStart"/>
      <w:r w:rsidR="00E722F0" w:rsidRPr="00B77A30">
        <w:rPr>
          <w:rFonts w:ascii="Book Antiqua" w:eastAsia="MS Mincho" w:hAnsi="Book Antiqua"/>
          <w:sz w:val="24"/>
          <w:lang w:eastAsia="ja-JP"/>
        </w:rPr>
        <w:t>Amini</w:t>
      </w:r>
      <w:proofErr w:type="spellEnd"/>
      <w:r w:rsidR="00307147" w:rsidRPr="00B77A30">
        <w:rPr>
          <w:rFonts w:ascii="Book Antiqua" w:hAnsi="Book Antiqua"/>
          <w:sz w:val="24"/>
          <w:lang w:eastAsia="zh-CN"/>
        </w:rPr>
        <w:t xml:space="preserve"> N</w:t>
      </w:r>
      <w:r w:rsidR="00E722F0" w:rsidRPr="00B77A30">
        <w:rPr>
          <w:rFonts w:ascii="Book Antiqua" w:eastAsia="MS Mincho" w:hAnsi="Book Antiqua"/>
          <w:sz w:val="24"/>
          <w:lang w:eastAsia="ja-JP"/>
        </w:rPr>
        <w:t xml:space="preserve">, </w:t>
      </w:r>
      <w:proofErr w:type="spellStart"/>
      <w:r w:rsidR="00E722F0" w:rsidRPr="00B77A30">
        <w:rPr>
          <w:rFonts w:ascii="Book Antiqua" w:eastAsia="MS Mincho" w:hAnsi="Book Antiqua"/>
          <w:sz w:val="24"/>
          <w:lang w:eastAsia="ja-JP"/>
        </w:rPr>
        <w:t>Pawlik</w:t>
      </w:r>
      <w:proofErr w:type="spellEnd"/>
      <w:r w:rsidR="00E722F0" w:rsidRPr="00B77A30">
        <w:rPr>
          <w:rFonts w:ascii="Book Antiqua" w:eastAsia="MS Mincho" w:hAnsi="Book Antiqua"/>
          <w:sz w:val="24"/>
          <w:lang w:eastAsia="ja-JP"/>
        </w:rPr>
        <w:t xml:space="preserve"> </w:t>
      </w:r>
      <w:r w:rsidR="00307147" w:rsidRPr="00B77A30">
        <w:rPr>
          <w:rFonts w:ascii="Book Antiqua" w:hAnsi="Book Antiqua"/>
          <w:sz w:val="24"/>
          <w:lang w:eastAsia="zh-CN"/>
        </w:rPr>
        <w:t xml:space="preserve">TM </w:t>
      </w:r>
      <w:r w:rsidR="00116D54" w:rsidRPr="00B77A30">
        <w:rPr>
          <w:rFonts w:ascii="Book Antiqua" w:eastAsia="MS Mincho" w:hAnsi="Book Antiqua"/>
          <w:sz w:val="24"/>
          <w:lang w:eastAsia="ja-JP"/>
        </w:rPr>
        <w:t>study concept and design</w:t>
      </w:r>
      <w:r w:rsidR="00116D54" w:rsidRPr="00B77A30">
        <w:rPr>
          <w:rFonts w:ascii="Book Antiqua" w:hAnsi="Book Antiqua"/>
          <w:sz w:val="24"/>
          <w:lang w:eastAsia="zh-CN"/>
        </w:rPr>
        <w:t>;</w:t>
      </w:r>
      <w:r w:rsidR="00E722F0" w:rsidRPr="00B77A30">
        <w:rPr>
          <w:rFonts w:ascii="Book Antiqua" w:eastAsia="MS Mincho" w:hAnsi="Book Antiqua"/>
          <w:sz w:val="24"/>
          <w:lang w:eastAsia="ja-JP"/>
        </w:rPr>
        <w:t xml:space="preserve"> Wagner</w:t>
      </w:r>
      <w:r w:rsidR="00307147" w:rsidRPr="00B77A30">
        <w:rPr>
          <w:rFonts w:ascii="Book Antiqua" w:hAnsi="Book Antiqua"/>
          <w:sz w:val="24"/>
          <w:lang w:eastAsia="zh-CN"/>
        </w:rPr>
        <w:t xml:space="preserve"> D</w:t>
      </w:r>
      <w:r w:rsidR="00E722F0" w:rsidRPr="00B77A30">
        <w:rPr>
          <w:rFonts w:ascii="Book Antiqua" w:eastAsia="MS Mincho" w:hAnsi="Book Antiqua"/>
          <w:sz w:val="24"/>
          <w:lang w:eastAsia="ja-JP"/>
        </w:rPr>
        <w:t>, DeMarc</w:t>
      </w:r>
      <w:r w:rsidR="00307147" w:rsidRPr="00B77A30">
        <w:rPr>
          <w:rFonts w:ascii="Book Antiqua" w:eastAsia="MS Mincho" w:hAnsi="Book Antiqua"/>
          <w:sz w:val="24"/>
          <w:lang w:eastAsia="ja-JP"/>
        </w:rPr>
        <w:t>o</w:t>
      </w:r>
      <w:r w:rsidR="00307147" w:rsidRPr="00B77A30">
        <w:rPr>
          <w:rFonts w:ascii="Book Antiqua" w:hAnsi="Book Antiqua"/>
          <w:sz w:val="24"/>
          <w:lang w:eastAsia="zh-CN"/>
        </w:rPr>
        <w:t xml:space="preserve"> MM</w:t>
      </w:r>
      <w:r w:rsidR="00307147" w:rsidRPr="00B77A30">
        <w:rPr>
          <w:rFonts w:ascii="Book Antiqua" w:eastAsia="MS Mincho" w:hAnsi="Book Antiqua"/>
          <w:sz w:val="24"/>
          <w:lang w:eastAsia="ja-JP"/>
        </w:rPr>
        <w:t xml:space="preserve">, </w:t>
      </w:r>
      <w:proofErr w:type="spellStart"/>
      <w:r w:rsidR="00307147" w:rsidRPr="00B77A30">
        <w:rPr>
          <w:rFonts w:ascii="Book Antiqua" w:eastAsia="MS Mincho" w:hAnsi="Book Antiqua"/>
          <w:sz w:val="24"/>
          <w:lang w:eastAsia="ja-JP"/>
        </w:rPr>
        <w:t>Amini</w:t>
      </w:r>
      <w:proofErr w:type="spellEnd"/>
      <w:r w:rsidR="00307147" w:rsidRPr="00B77A30">
        <w:rPr>
          <w:rFonts w:ascii="Book Antiqua" w:hAnsi="Book Antiqua"/>
          <w:sz w:val="24"/>
          <w:lang w:eastAsia="zh-CN"/>
        </w:rPr>
        <w:t xml:space="preserve"> N</w:t>
      </w:r>
      <w:r w:rsidR="00307147" w:rsidRPr="00B77A30">
        <w:rPr>
          <w:rFonts w:ascii="Book Antiqua" w:eastAsia="MS Mincho" w:hAnsi="Book Antiqua"/>
          <w:sz w:val="24"/>
          <w:lang w:eastAsia="ja-JP"/>
        </w:rPr>
        <w:t xml:space="preserve">, </w:t>
      </w:r>
      <w:proofErr w:type="spellStart"/>
      <w:r w:rsidR="00307147" w:rsidRPr="00B77A30">
        <w:rPr>
          <w:rFonts w:ascii="Book Antiqua" w:eastAsia="MS Mincho" w:hAnsi="Book Antiqua"/>
          <w:sz w:val="24"/>
          <w:lang w:eastAsia="ja-JP"/>
        </w:rPr>
        <w:t>Buttner</w:t>
      </w:r>
      <w:proofErr w:type="spellEnd"/>
      <w:r w:rsidR="00307147" w:rsidRPr="00B77A30">
        <w:rPr>
          <w:rFonts w:ascii="Book Antiqua" w:hAnsi="Book Antiqua"/>
          <w:sz w:val="24"/>
          <w:lang w:eastAsia="zh-CN"/>
        </w:rPr>
        <w:t xml:space="preserve"> S</w:t>
      </w:r>
      <w:r w:rsidR="00307147" w:rsidRPr="00B77A30">
        <w:rPr>
          <w:rFonts w:ascii="Book Antiqua" w:eastAsia="MS Mincho" w:hAnsi="Book Antiqua"/>
          <w:sz w:val="24"/>
          <w:lang w:eastAsia="ja-JP"/>
        </w:rPr>
        <w:t xml:space="preserve">, </w:t>
      </w:r>
      <w:proofErr w:type="spellStart"/>
      <w:r w:rsidR="00307147" w:rsidRPr="00B77A30">
        <w:rPr>
          <w:rFonts w:ascii="Book Antiqua" w:eastAsia="MS Mincho" w:hAnsi="Book Antiqua"/>
          <w:sz w:val="24"/>
          <w:lang w:eastAsia="ja-JP"/>
        </w:rPr>
        <w:t>Gani</w:t>
      </w:r>
      <w:proofErr w:type="spellEnd"/>
      <w:r w:rsidR="00307147" w:rsidRPr="00B77A30">
        <w:rPr>
          <w:rFonts w:ascii="Book Antiqua" w:hAnsi="Book Antiqua"/>
          <w:sz w:val="24"/>
          <w:lang w:eastAsia="zh-CN"/>
        </w:rPr>
        <w:t xml:space="preserve"> F</w:t>
      </w:r>
      <w:r w:rsidR="00307147" w:rsidRPr="00B77A30">
        <w:rPr>
          <w:rFonts w:ascii="Book Antiqua" w:eastAsia="MS Mincho" w:hAnsi="Book Antiqua"/>
          <w:sz w:val="24"/>
          <w:lang w:eastAsia="ja-JP"/>
        </w:rPr>
        <w:t xml:space="preserve">, </w:t>
      </w:r>
      <w:proofErr w:type="spellStart"/>
      <w:r w:rsidR="00307147" w:rsidRPr="00B77A30">
        <w:rPr>
          <w:rFonts w:ascii="Book Antiqua" w:eastAsia="MS Mincho" w:hAnsi="Book Antiqua"/>
          <w:sz w:val="24"/>
          <w:lang w:eastAsia="ja-JP"/>
        </w:rPr>
        <w:t>Pawlik</w:t>
      </w:r>
      <w:proofErr w:type="spellEnd"/>
      <w:r w:rsidR="00E722F0" w:rsidRPr="00B77A30">
        <w:rPr>
          <w:rFonts w:ascii="Book Antiqua" w:eastAsia="MS Mincho" w:hAnsi="Book Antiqua"/>
          <w:sz w:val="24"/>
          <w:lang w:eastAsia="ja-JP"/>
        </w:rPr>
        <w:t xml:space="preserve"> </w:t>
      </w:r>
      <w:r w:rsidR="00307147" w:rsidRPr="00B77A30">
        <w:rPr>
          <w:rFonts w:ascii="Book Antiqua" w:hAnsi="Book Antiqua"/>
          <w:sz w:val="24"/>
          <w:lang w:eastAsia="zh-CN"/>
        </w:rPr>
        <w:t xml:space="preserve">TM </w:t>
      </w:r>
      <w:proofErr w:type="spellStart"/>
      <w:r w:rsidR="00307147" w:rsidRPr="00B77A30">
        <w:rPr>
          <w:rFonts w:ascii="Book Antiqua" w:eastAsia="MS Mincho" w:hAnsi="Book Antiqua"/>
          <w:sz w:val="24"/>
          <w:lang w:eastAsia="ja-JP"/>
        </w:rPr>
        <w:t>a</w:t>
      </w:r>
      <w:r w:rsidR="00395C23" w:rsidRPr="00B77A30">
        <w:rPr>
          <w:rFonts w:ascii="Book Antiqua" w:eastAsia="MS Mincho" w:hAnsi="Book Antiqua"/>
          <w:sz w:val="24"/>
          <w:lang w:eastAsia="ja-JP"/>
        </w:rPr>
        <w:t>cquisit</w:t>
      </w:r>
      <w:r w:rsidR="00307147" w:rsidRPr="00B77A30">
        <w:rPr>
          <w:rFonts w:ascii="Book Antiqua" w:hAnsi="Book Antiqua"/>
          <w:sz w:val="24"/>
          <w:lang w:eastAsia="zh-CN"/>
        </w:rPr>
        <w:t>ed</w:t>
      </w:r>
      <w:proofErr w:type="spellEnd"/>
      <w:r w:rsidR="00395C23" w:rsidRPr="00B77A30">
        <w:rPr>
          <w:rFonts w:ascii="Book Antiqua" w:eastAsia="MS Mincho" w:hAnsi="Book Antiqua"/>
          <w:sz w:val="24"/>
          <w:lang w:eastAsia="ja-JP"/>
        </w:rPr>
        <w:t xml:space="preserve"> analysis or interpretation of </w:t>
      </w:r>
      <w:r w:rsidR="00307147" w:rsidRPr="00B77A30">
        <w:rPr>
          <w:rFonts w:ascii="Book Antiqua" w:eastAsia="MS Mincho" w:hAnsi="Book Antiqua"/>
          <w:sz w:val="24"/>
          <w:lang w:eastAsia="ja-JP"/>
        </w:rPr>
        <w:t>da</w:t>
      </w:r>
      <w:r w:rsidR="00395C23" w:rsidRPr="00B77A30">
        <w:rPr>
          <w:rFonts w:ascii="Book Antiqua" w:eastAsia="MS Mincho" w:hAnsi="Book Antiqua"/>
          <w:sz w:val="24"/>
          <w:lang w:eastAsia="ja-JP"/>
        </w:rPr>
        <w:t>ta</w:t>
      </w:r>
      <w:r w:rsidR="00307147" w:rsidRPr="00B77A30">
        <w:rPr>
          <w:rFonts w:ascii="Book Antiqua" w:hAnsi="Book Antiqua"/>
          <w:sz w:val="24"/>
          <w:lang w:eastAsia="zh-CN"/>
        </w:rPr>
        <w:t>;</w:t>
      </w:r>
      <w:r w:rsidR="00395C23" w:rsidRPr="00B77A30">
        <w:rPr>
          <w:rFonts w:ascii="Book Antiqua" w:hAnsi="Book Antiqua"/>
          <w:sz w:val="24"/>
          <w:lang w:eastAsia="zh-CN"/>
        </w:rPr>
        <w:t xml:space="preserve"> </w:t>
      </w:r>
      <w:bookmarkStart w:id="6" w:name="OLE_LINK379"/>
      <w:bookmarkStart w:id="7" w:name="OLE_LINK380"/>
      <w:bookmarkStart w:id="8" w:name="OLE_LINK534"/>
      <w:bookmarkEnd w:id="2"/>
      <w:bookmarkEnd w:id="3"/>
      <w:bookmarkEnd w:id="4"/>
      <w:bookmarkEnd w:id="5"/>
      <w:r w:rsidR="00307147" w:rsidRPr="00B77A30">
        <w:rPr>
          <w:rFonts w:ascii="Book Antiqua" w:hAnsi="Book Antiqua"/>
          <w:sz w:val="24"/>
          <w:szCs w:val="24"/>
          <w:lang w:eastAsia="zh-CN"/>
        </w:rPr>
        <w:t>all authors contributed to the manuscript.</w:t>
      </w:r>
    </w:p>
    <w:p w14:paraId="32C4BEAA" w14:textId="77777777" w:rsidR="00307147" w:rsidRPr="00B77A30" w:rsidRDefault="00307147" w:rsidP="00CB2DFE">
      <w:pPr>
        <w:spacing w:after="0" w:line="360" w:lineRule="auto"/>
        <w:jc w:val="both"/>
        <w:rPr>
          <w:rFonts w:ascii="Book Antiqua" w:hAnsi="Book Antiqua" w:cs="TimesNewRomanPS-BoldItalicMT"/>
          <w:b/>
          <w:bCs/>
          <w:iCs/>
          <w:color w:val="000000"/>
          <w:sz w:val="24"/>
        </w:rPr>
      </w:pPr>
    </w:p>
    <w:p w14:paraId="14C85B67" w14:textId="77777777" w:rsidR="00307147" w:rsidRPr="00B77A30" w:rsidRDefault="00526173" w:rsidP="00CB2DFE">
      <w:pPr>
        <w:autoSpaceDE w:val="0"/>
        <w:autoSpaceDN w:val="0"/>
        <w:adjustRightInd w:val="0"/>
        <w:spacing w:after="0" w:line="360" w:lineRule="auto"/>
        <w:jc w:val="both"/>
        <w:rPr>
          <w:rFonts w:ascii="Book Antiqua" w:hAnsi="Book Antiqua"/>
          <w:sz w:val="24"/>
          <w:lang w:eastAsia="zh-CN"/>
        </w:rPr>
      </w:pPr>
      <w:bookmarkStart w:id="9" w:name="OLE_LINK526"/>
      <w:bookmarkStart w:id="10" w:name="OLE_LINK527"/>
      <w:r w:rsidRPr="00B77A30">
        <w:rPr>
          <w:rFonts w:ascii="Book Antiqua" w:hAnsi="Book Antiqua" w:cs="TimesNewRomanPS-BoldItalicMT"/>
          <w:b/>
          <w:bCs/>
          <w:iCs/>
          <w:color w:val="000000"/>
          <w:sz w:val="24"/>
        </w:rPr>
        <w:t>Conflict-of-interest</w:t>
      </w:r>
      <w:r w:rsidRPr="00B77A30">
        <w:rPr>
          <w:rFonts w:ascii="Book Antiqua" w:hAnsi="Book Antiqua"/>
          <w:b/>
          <w:bCs/>
          <w:iCs/>
          <w:sz w:val="24"/>
        </w:rPr>
        <w:t xml:space="preserve"> statement</w:t>
      </w:r>
      <w:r w:rsidRPr="00B77A30">
        <w:rPr>
          <w:rFonts w:ascii="Book Antiqua" w:hAnsi="Book Antiqua" w:cs="TimesNewRomanPS-BoldItalicMT"/>
          <w:b/>
          <w:bCs/>
          <w:iCs/>
          <w:color w:val="000000"/>
          <w:sz w:val="24"/>
        </w:rPr>
        <w:t>:</w:t>
      </w:r>
      <w:r w:rsidR="005A19AC" w:rsidRPr="00B77A30">
        <w:rPr>
          <w:rFonts w:ascii="Book Antiqua" w:hAnsi="Book Antiqua" w:cs="TimesNewRomanPS-BoldItalicMT"/>
          <w:b/>
          <w:bCs/>
          <w:iCs/>
          <w:color w:val="000000"/>
          <w:sz w:val="24"/>
        </w:rPr>
        <w:t xml:space="preserve"> </w:t>
      </w:r>
      <w:r w:rsidR="00307147" w:rsidRPr="00B77A30">
        <w:rPr>
          <w:rFonts w:ascii="Book Antiqua" w:hAnsi="Book Antiqua"/>
          <w:sz w:val="24"/>
        </w:rPr>
        <w:t>No potential conflicts of interest relevant to this article were reported.</w:t>
      </w:r>
    </w:p>
    <w:p w14:paraId="5832A7D5" w14:textId="77777777" w:rsidR="00170819" w:rsidRPr="00B77A30" w:rsidRDefault="00170819" w:rsidP="00CB2DFE">
      <w:pPr>
        <w:autoSpaceDE w:val="0"/>
        <w:autoSpaceDN w:val="0"/>
        <w:adjustRightInd w:val="0"/>
        <w:spacing w:after="0" w:line="360" w:lineRule="auto"/>
        <w:jc w:val="both"/>
        <w:rPr>
          <w:rFonts w:ascii="Book Antiqua" w:hAnsi="Book Antiqua" w:cs="TimesNewRomanPS-BoldItalicMT"/>
          <w:b/>
          <w:bCs/>
          <w:iCs/>
          <w:sz w:val="24"/>
          <w:lang w:eastAsia="zh-CN"/>
        </w:rPr>
      </w:pPr>
    </w:p>
    <w:p w14:paraId="52F33B31" w14:textId="77777777" w:rsidR="00170819" w:rsidRPr="00B77A30" w:rsidRDefault="00170819" w:rsidP="00CB2DFE">
      <w:pPr>
        <w:spacing w:after="0" w:line="360" w:lineRule="auto"/>
        <w:jc w:val="both"/>
        <w:rPr>
          <w:rFonts w:ascii="Book Antiqua" w:hAnsi="Book Antiqua"/>
          <w:b/>
          <w:color w:val="000000"/>
          <w:sz w:val="24"/>
        </w:rPr>
      </w:pPr>
      <w:bookmarkStart w:id="11" w:name="OLE_LINK155"/>
      <w:bookmarkStart w:id="12" w:name="OLE_LINK183"/>
      <w:r w:rsidRPr="00B77A30">
        <w:rPr>
          <w:rFonts w:ascii="Book Antiqua" w:hAnsi="Book Antiqua"/>
          <w:b/>
          <w:color w:val="000000"/>
          <w:sz w:val="24"/>
        </w:rPr>
        <w:t xml:space="preserve">Open-Access: </w:t>
      </w:r>
      <w:r w:rsidRPr="00B77A30">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w:t>
      </w:r>
      <w:r w:rsidRPr="00B77A30">
        <w:rPr>
          <w:rFonts w:ascii="Book Antiqua" w:hAnsi="Book Antiqua"/>
          <w:color w:val="000000"/>
          <w:sz w:val="24"/>
        </w:rPr>
        <w:lastRenderedPageBreak/>
        <w:t>commercially, and license their derivative works on different terms, provided the original work is properly cited and the use is non-commercial. See: http://creativecommons.org/licenses/by-nc/4.0/</w:t>
      </w:r>
    </w:p>
    <w:bookmarkEnd w:id="11"/>
    <w:bookmarkEnd w:id="12"/>
    <w:p w14:paraId="7FEBAC4B" w14:textId="6DDEBB67" w:rsidR="00307147" w:rsidRPr="00B77A30" w:rsidRDefault="00307147" w:rsidP="00CB2DFE">
      <w:pPr>
        <w:autoSpaceDE w:val="0"/>
        <w:autoSpaceDN w:val="0"/>
        <w:adjustRightInd w:val="0"/>
        <w:spacing w:after="0" w:line="360" w:lineRule="auto"/>
        <w:jc w:val="both"/>
        <w:rPr>
          <w:rFonts w:ascii="Book Antiqua" w:hAnsi="Book Antiqua" w:cs="TimesNewRomanPS-BoldItalicMT"/>
          <w:b/>
          <w:bCs/>
          <w:iCs/>
          <w:color w:val="000000"/>
          <w:sz w:val="24"/>
          <w:lang w:eastAsia="zh-CN"/>
        </w:rPr>
      </w:pPr>
    </w:p>
    <w:bookmarkEnd w:id="6"/>
    <w:bookmarkEnd w:id="7"/>
    <w:bookmarkEnd w:id="8"/>
    <w:bookmarkEnd w:id="9"/>
    <w:bookmarkEnd w:id="10"/>
    <w:p w14:paraId="0C1A0DF3" w14:textId="03040ABA" w:rsidR="009F5F2A" w:rsidRPr="000A0F89" w:rsidRDefault="00116D54" w:rsidP="00CB2DFE">
      <w:pPr>
        <w:spacing w:after="0" w:line="360" w:lineRule="auto"/>
        <w:jc w:val="both"/>
        <w:rPr>
          <w:rFonts w:ascii="Book Antiqua" w:hAnsi="Book Antiqua" w:cs="Times New Roman"/>
          <w:b/>
          <w:sz w:val="24"/>
          <w:szCs w:val="24"/>
          <w:lang w:eastAsia="zh-CN"/>
        </w:rPr>
      </w:pPr>
      <w:r w:rsidRPr="00B77A30">
        <w:rPr>
          <w:rFonts w:ascii="Book Antiqua" w:hAnsi="Book Antiqua" w:cs="Times New Roman"/>
          <w:b/>
          <w:sz w:val="24"/>
          <w:szCs w:val="24"/>
        </w:rPr>
        <w:t xml:space="preserve">Correspondence </w:t>
      </w:r>
      <w:r w:rsidR="009F5F2A" w:rsidRPr="00B77A30">
        <w:rPr>
          <w:rFonts w:ascii="Book Antiqua" w:hAnsi="Book Antiqua" w:cs="Times New Roman"/>
          <w:b/>
          <w:sz w:val="24"/>
          <w:szCs w:val="24"/>
        </w:rPr>
        <w:t>to:</w:t>
      </w:r>
      <w:r w:rsidRPr="00B77A30">
        <w:rPr>
          <w:rFonts w:ascii="Book Antiqua" w:hAnsi="Book Antiqua" w:cs="Times New Roman"/>
          <w:b/>
          <w:sz w:val="24"/>
          <w:szCs w:val="24"/>
          <w:lang w:eastAsia="zh-CN"/>
        </w:rPr>
        <w:t xml:space="preserve"> </w:t>
      </w:r>
      <w:r w:rsidRPr="00B77A30">
        <w:rPr>
          <w:rFonts w:ascii="Book Antiqua" w:hAnsi="Book Antiqua" w:cs="Times New Roman"/>
          <w:b/>
          <w:sz w:val="24"/>
          <w:szCs w:val="24"/>
        </w:rPr>
        <w:t>Timothy M</w:t>
      </w:r>
      <w:r w:rsidR="009F5F2A" w:rsidRPr="00B77A30">
        <w:rPr>
          <w:rFonts w:ascii="Book Antiqua" w:hAnsi="Book Antiqua" w:cs="Times New Roman"/>
          <w:b/>
          <w:sz w:val="24"/>
          <w:szCs w:val="24"/>
        </w:rPr>
        <w:t xml:space="preserve"> </w:t>
      </w:r>
      <w:proofErr w:type="spellStart"/>
      <w:r w:rsidR="009F5F2A" w:rsidRPr="00B77A30">
        <w:rPr>
          <w:rFonts w:ascii="Book Antiqua" w:hAnsi="Book Antiqua" w:cs="Times New Roman"/>
          <w:b/>
          <w:sz w:val="24"/>
          <w:szCs w:val="24"/>
        </w:rPr>
        <w:t>Pawlik</w:t>
      </w:r>
      <w:proofErr w:type="spellEnd"/>
      <w:r w:rsidR="009F5F2A" w:rsidRPr="00B77A30">
        <w:rPr>
          <w:rFonts w:ascii="Book Antiqua" w:hAnsi="Book Antiqua" w:cs="Times New Roman"/>
          <w:b/>
          <w:sz w:val="24"/>
          <w:szCs w:val="24"/>
        </w:rPr>
        <w:t>, MD, MPH, PhD, FACS</w:t>
      </w:r>
      <w:r w:rsidRPr="00B77A30">
        <w:rPr>
          <w:rFonts w:ascii="Book Antiqua" w:hAnsi="Book Antiqua" w:cs="Times New Roman"/>
          <w:b/>
          <w:sz w:val="24"/>
          <w:szCs w:val="24"/>
          <w:lang w:eastAsia="zh-CN"/>
        </w:rPr>
        <w:t xml:space="preserve">, </w:t>
      </w:r>
      <w:r w:rsidR="009F5F2A" w:rsidRPr="00B77A30">
        <w:rPr>
          <w:rFonts w:ascii="Book Antiqua" w:hAnsi="Book Antiqua" w:cs="Times New Roman"/>
          <w:b/>
          <w:sz w:val="24"/>
          <w:szCs w:val="24"/>
        </w:rPr>
        <w:t>Professor</w:t>
      </w:r>
      <w:r w:rsidR="00307147" w:rsidRPr="00B77A30">
        <w:rPr>
          <w:rFonts w:ascii="Book Antiqua" w:hAnsi="Book Antiqua" w:cs="Times New Roman"/>
          <w:sz w:val="24"/>
          <w:szCs w:val="24"/>
          <w:lang w:eastAsia="zh-CN"/>
        </w:rPr>
        <w:t>,</w:t>
      </w:r>
      <w:r w:rsidR="00307147" w:rsidRPr="00B77A30">
        <w:rPr>
          <w:rFonts w:ascii="Book Antiqua" w:hAnsi="Book Antiqua" w:cs="Times New Roman"/>
          <w:b/>
          <w:sz w:val="24"/>
          <w:szCs w:val="24"/>
          <w:lang w:eastAsia="zh-CN"/>
        </w:rPr>
        <w:t xml:space="preserve"> </w:t>
      </w:r>
      <w:r w:rsidR="009F5F2A" w:rsidRPr="00B77A30">
        <w:rPr>
          <w:rFonts w:ascii="Book Antiqua" w:hAnsi="Book Antiqua" w:cs="Times New Roman"/>
          <w:b/>
          <w:sz w:val="24"/>
          <w:szCs w:val="24"/>
        </w:rPr>
        <w:t xml:space="preserve">Chief, </w:t>
      </w:r>
      <w:r w:rsidR="009F5F2A" w:rsidRPr="00B77A30">
        <w:rPr>
          <w:rFonts w:ascii="Book Antiqua" w:hAnsi="Book Antiqua" w:cs="Times New Roman"/>
          <w:sz w:val="24"/>
          <w:szCs w:val="24"/>
        </w:rPr>
        <w:t>Division of Surgical Oncology</w:t>
      </w:r>
      <w:r w:rsidR="00307147" w:rsidRPr="00B77A30">
        <w:rPr>
          <w:rFonts w:ascii="Book Antiqua" w:hAnsi="Book Antiqua" w:cs="Times New Roman"/>
          <w:b/>
          <w:sz w:val="24"/>
          <w:szCs w:val="24"/>
          <w:lang w:eastAsia="zh-CN"/>
        </w:rPr>
        <w:t xml:space="preserve">, </w:t>
      </w:r>
      <w:r w:rsidR="00307147" w:rsidRPr="00B77A30">
        <w:rPr>
          <w:rFonts w:ascii="Book Antiqua" w:hAnsi="Book Antiqua" w:cs="Times New Roman"/>
          <w:sz w:val="24"/>
          <w:szCs w:val="24"/>
        </w:rPr>
        <w:t>John L</w:t>
      </w:r>
      <w:r w:rsidR="009F5F2A" w:rsidRPr="00B77A30">
        <w:rPr>
          <w:rFonts w:ascii="Book Antiqua" w:hAnsi="Book Antiqua" w:cs="Times New Roman"/>
          <w:sz w:val="24"/>
          <w:szCs w:val="24"/>
        </w:rPr>
        <w:t xml:space="preserve"> Cameron Professor of Alimentary Surgery</w:t>
      </w:r>
      <w:r w:rsidR="00307147" w:rsidRPr="00B77A30">
        <w:rPr>
          <w:rFonts w:ascii="Book Antiqua" w:hAnsi="Book Antiqua" w:cs="Times New Roman"/>
          <w:b/>
          <w:sz w:val="24"/>
          <w:szCs w:val="24"/>
          <w:lang w:eastAsia="zh-CN"/>
        </w:rPr>
        <w:t xml:space="preserve">, </w:t>
      </w:r>
      <w:r w:rsidR="00307147" w:rsidRPr="00B77A30">
        <w:rPr>
          <w:rFonts w:ascii="Book Antiqua" w:hAnsi="Book Antiqua" w:cs="Times New Roman"/>
          <w:sz w:val="24"/>
          <w:szCs w:val="24"/>
        </w:rPr>
        <w:t>Department of Surgery</w:t>
      </w:r>
      <w:r w:rsidR="00307147" w:rsidRPr="00B77A30">
        <w:rPr>
          <w:rFonts w:ascii="Book Antiqua" w:hAnsi="Book Antiqua" w:cs="Times New Roman"/>
          <w:sz w:val="24"/>
          <w:szCs w:val="24"/>
          <w:lang w:eastAsia="zh-CN"/>
        </w:rPr>
        <w:t xml:space="preserve">, </w:t>
      </w:r>
      <w:r w:rsidR="009F5F2A" w:rsidRPr="00B77A30">
        <w:rPr>
          <w:rFonts w:ascii="Book Antiqua" w:hAnsi="Book Antiqua" w:cs="Times New Roman"/>
          <w:sz w:val="24"/>
          <w:szCs w:val="24"/>
        </w:rPr>
        <w:t>Johns Hopkins Hospital</w:t>
      </w:r>
      <w:r w:rsidR="00307147" w:rsidRPr="00B77A30">
        <w:rPr>
          <w:rFonts w:ascii="Book Antiqua" w:hAnsi="Book Antiqua" w:cs="Times New Roman"/>
          <w:b/>
          <w:sz w:val="24"/>
          <w:szCs w:val="24"/>
          <w:lang w:eastAsia="zh-CN"/>
        </w:rPr>
        <w:t xml:space="preserve">, </w:t>
      </w:r>
      <w:r w:rsidR="009F5F2A" w:rsidRPr="00B77A30">
        <w:rPr>
          <w:rFonts w:ascii="Book Antiqua" w:hAnsi="Book Antiqua" w:cs="Times New Roman"/>
          <w:sz w:val="24"/>
          <w:szCs w:val="24"/>
        </w:rPr>
        <w:t>600 N. Wolfe Street</w:t>
      </w:r>
      <w:r w:rsidR="00307147" w:rsidRPr="00B77A30">
        <w:rPr>
          <w:rFonts w:ascii="Book Antiqua" w:hAnsi="Book Antiqua" w:cs="Times New Roman"/>
          <w:b/>
          <w:sz w:val="24"/>
          <w:szCs w:val="24"/>
          <w:lang w:eastAsia="zh-CN"/>
        </w:rPr>
        <w:t xml:space="preserve">, </w:t>
      </w:r>
      <w:r w:rsidR="009F5F2A" w:rsidRPr="00B77A30">
        <w:rPr>
          <w:rFonts w:ascii="Book Antiqua" w:hAnsi="Book Antiqua" w:cs="Times New Roman"/>
          <w:sz w:val="24"/>
          <w:szCs w:val="24"/>
        </w:rPr>
        <w:t>Blalock 688</w:t>
      </w:r>
      <w:r w:rsidR="00307147" w:rsidRPr="00B77A30">
        <w:rPr>
          <w:rFonts w:ascii="Book Antiqua" w:hAnsi="Book Antiqua" w:cs="Times New Roman"/>
          <w:b/>
          <w:sz w:val="24"/>
          <w:szCs w:val="24"/>
          <w:lang w:eastAsia="zh-CN"/>
        </w:rPr>
        <w:t xml:space="preserve">, </w:t>
      </w:r>
      <w:r w:rsidR="009F5F2A" w:rsidRPr="00B77A30">
        <w:rPr>
          <w:rFonts w:ascii="Book Antiqua" w:hAnsi="Book Antiqua" w:cs="Times New Roman"/>
          <w:sz w:val="24"/>
          <w:szCs w:val="24"/>
        </w:rPr>
        <w:t>Baltimore, MD 21287</w:t>
      </w:r>
      <w:r w:rsidR="00307147" w:rsidRPr="00B77A30">
        <w:rPr>
          <w:rFonts w:ascii="Book Antiqua" w:hAnsi="Book Antiqua" w:cs="Times New Roman"/>
          <w:sz w:val="24"/>
          <w:szCs w:val="24"/>
          <w:lang w:eastAsia="zh-CN"/>
        </w:rPr>
        <w:t>, United States</w:t>
      </w:r>
      <w:r w:rsidR="00307147" w:rsidRPr="000A0F89">
        <w:rPr>
          <w:rFonts w:ascii="Book Antiqua" w:hAnsi="Book Antiqua" w:cs="Times New Roman"/>
          <w:sz w:val="24"/>
          <w:szCs w:val="24"/>
          <w:lang w:eastAsia="zh-CN"/>
        </w:rPr>
        <w:t>.</w:t>
      </w:r>
      <w:r w:rsidR="00307147" w:rsidRPr="000A0F89">
        <w:rPr>
          <w:rFonts w:ascii="Book Antiqua" w:hAnsi="Book Antiqua"/>
        </w:rPr>
        <w:t xml:space="preserve"> </w:t>
      </w:r>
      <w:hyperlink r:id="rId9" w:history="1">
        <w:r w:rsidR="00307147" w:rsidRPr="000A0F89">
          <w:rPr>
            <w:rStyle w:val="Hyperlink"/>
            <w:rFonts w:ascii="Book Antiqua" w:hAnsi="Book Antiqua" w:cs="Times New Roman"/>
            <w:color w:val="auto"/>
            <w:sz w:val="24"/>
            <w:szCs w:val="24"/>
            <w:u w:val="none"/>
            <w:lang w:val="fr-FR"/>
          </w:rPr>
          <w:t>tpawlik1@jhmi.edu</w:t>
        </w:r>
      </w:hyperlink>
    </w:p>
    <w:p w14:paraId="46589ED2" w14:textId="68AAC761" w:rsidR="00307147" w:rsidRPr="00B77A30" w:rsidRDefault="00307147" w:rsidP="00CB2DFE">
      <w:pPr>
        <w:spacing w:after="0" w:line="360" w:lineRule="auto"/>
        <w:jc w:val="both"/>
        <w:rPr>
          <w:rFonts w:ascii="Book Antiqua" w:hAnsi="Book Antiqua" w:cs="Times New Roman"/>
          <w:sz w:val="24"/>
          <w:szCs w:val="24"/>
          <w:lang w:val="fr-FR" w:eastAsia="zh-CN"/>
        </w:rPr>
      </w:pPr>
      <w:r w:rsidRPr="00B77A30">
        <w:rPr>
          <w:rFonts w:ascii="Book Antiqua" w:hAnsi="Book Antiqua" w:cs="Times New Roman"/>
          <w:b/>
          <w:sz w:val="24"/>
          <w:szCs w:val="24"/>
          <w:lang w:val="fr-FR" w:eastAsia="zh-CN"/>
        </w:rPr>
        <w:t>Tele</w:t>
      </w:r>
      <w:r w:rsidRPr="00B77A30">
        <w:rPr>
          <w:rFonts w:ascii="Book Antiqua" w:hAnsi="Book Antiqua" w:cs="Times New Roman"/>
          <w:b/>
          <w:sz w:val="24"/>
          <w:szCs w:val="24"/>
          <w:lang w:val="fr-FR"/>
        </w:rPr>
        <w:t>phone</w:t>
      </w:r>
      <w:r w:rsidR="009F5F2A" w:rsidRPr="00B77A30">
        <w:rPr>
          <w:rFonts w:ascii="Book Antiqua" w:hAnsi="Book Antiqua" w:cs="Times New Roman"/>
          <w:sz w:val="24"/>
          <w:szCs w:val="24"/>
          <w:lang w:val="fr-FR"/>
        </w:rPr>
        <w:t xml:space="preserve">: </w:t>
      </w:r>
      <w:r w:rsidRPr="00B77A30">
        <w:rPr>
          <w:rFonts w:ascii="Book Antiqua" w:hAnsi="Book Antiqua" w:cs="Times New Roman"/>
          <w:sz w:val="24"/>
          <w:szCs w:val="24"/>
          <w:lang w:val="fr-FR" w:eastAsia="zh-CN"/>
        </w:rPr>
        <w:t>+1-</w:t>
      </w:r>
      <w:r w:rsidR="009F5F2A" w:rsidRPr="00B77A30">
        <w:rPr>
          <w:rFonts w:ascii="Book Antiqua" w:hAnsi="Book Antiqua" w:cs="Times New Roman"/>
          <w:sz w:val="24"/>
          <w:szCs w:val="24"/>
          <w:lang w:val="fr-FR"/>
        </w:rPr>
        <w:t>410</w:t>
      </w:r>
      <w:r w:rsidRPr="00B77A30">
        <w:rPr>
          <w:rFonts w:ascii="Book Antiqua" w:hAnsi="Book Antiqua" w:cs="Times New Roman"/>
          <w:sz w:val="24"/>
          <w:szCs w:val="24"/>
          <w:lang w:val="fr-FR" w:eastAsia="zh-CN"/>
        </w:rPr>
        <w:t>-</w:t>
      </w:r>
      <w:r w:rsidRPr="00B77A30">
        <w:rPr>
          <w:rFonts w:ascii="Book Antiqua" w:hAnsi="Book Antiqua" w:cs="Times New Roman"/>
          <w:sz w:val="24"/>
          <w:szCs w:val="24"/>
          <w:lang w:val="fr-FR"/>
        </w:rPr>
        <w:t>5022387</w:t>
      </w:r>
      <w:r w:rsidR="000A0F89">
        <w:rPr>
          <w:rFonts w:ascii="Book Antiqua" w:hAnsi="Book Antiqua" w:cs="Times New Roman"/>
          <w:sz w:val="24"/>
          <w:szCs w:val="24"/>
          <w:lang w:val="fr-FR"/>
        </w:rPr>
        <w:t xml:space="preserve"> </w:t>
      </w:r>
      <w:r w:rsidRPr="00B77A30">
        <w:rPr>
          <w:rFonts w:ascii="Book Antiqua" w:hAnsi="Book Antiqua" w:cs="Times New Roman"/>
          <w:sz w:val="24"/>
          <w:szCs w:val="24"/>
          <w:lang w:val="fr-FR"/>
        </w:rPr>
        <w:t xml:space="preserve"> </w:t>
      </w:r>
    </w:p>
    <w:p w14:paraId="5E95E24A" w14:textId="50D1B0C9" w:rsidR="009F5F2A" w:rsidRPr="00B77A30" w:rsidRDefault="009F5F2A" w:rsidP="00CB2DFE">
      <w:pPr>
        <w:spacing w:after="0" w:line="360" w:lineRule="auto"/>
        <w:jc w:val="both"/>
        <w:rPr>
          <w:rFonts w:ascii="Book Antiqua" w:hAnsi="Book Antiqua" w:cs="Times New Roman"/>
          <w:sz w:val="24"/>
          <w:szCs w:val="24"/>
          <w:lang w:val="fr-FR"/>
        </w:rPr>
      </w:pPr>
      <w:r w:rsidRPr="00B77A30">
        <w:rPr>
          <w:rFonts w:ascii="Book Antiqua" w:hAnsi="Book Antiqua" w:cs="Times New Roman"/>
          <w:b/>
          <w:sz w:val="24"/>
          <w:szCs w:val="24"/>
          <w:lang w:val="fr-FR"/>
        </w:rPr>
        <w:t>Fax</w:t>
      </w:r>
      <w:r w:rsidRPr="00B77A30">
        <w:rPr>
          <w:rFonts w:ascii="Book Antiqua" w:hAnsi="Book Antiqua" w:cs="Times New Roman"/>
          <w:sz w:val="24"/>
          <w:szCs w:val="24"/>
          <w:lang w:val="fr-FR"/>
        </w:rPr>
        <w:t xml:space="preserve">: </w:t>
      </w:r>
      <w:r w:rsidR="00307147" w:rsidRPr="00B77A30">
        <w:rPr>
          <w:rFonts w:ascii="Book Antiqua" w:hAnsi="Book Antiqua" w:cs="Times New Roman"/>
          <w:sz w:val="24"/>
          <w:szCs w:val="24"/>
          <w:lang w:val="fr-FR" w:eastAsia="zh-CN"/>
        </w:rPr>
        <w:t>+1-</w:t>
      </w:r>
      <w:r w:rsidR="00307147" w:rsidRPr="00B77A30">
        <w:rPr>
          <w:rFonts w:ascii="Book Antiqua" w:hAnsi="Book Antiqua" w:cs="Times New Roman"/>
          <w:sz w:val="24"/>
          <w:szCs w:val="24"/>
          <w:lang w:val="fr-FR"/>
        </w:rPr>
        <w:t>410</w:t>
      </w:r>
      <w:r w:rsidR="00307147" w:rsidRPr="00B77A30">
        <w:rPr>
          <w:rFonts w:ascii="Book Antiqua" w:hAnsi="Book Antiqua" w:cs="Times New Roman"/>
          <w:sz w:val="24"/>
          <w:szCs w:val="24"/>
          <w:lang w:val="fr-FR" w:eastAsia="zh-CN"/>
        </w:rPr>
        <w:t>-</w:t>
      </w:r>
      <w:r w:rsidR="00307147" w:rsidRPr="00B77A30">
        <w:rPr>
          <w:rFonts w:ascii="Book Antiqua" w:hAnsi="Book Antiqua" w:cs="Times New Roman"/>
          <w:sz w:val="24"/>
          <w:szCs w:val="24"/>
          <w:lang w:val="fr-FR"/>
        </w:rPr>
        <w:t>502</w:t>
      </w:r>
      <w:r w:rsidRPr="00B77A30">
        <w:rPr>
          <w:rFonts w:ascii="Book Antiqua" w:hAnsi="Book Antiqua" w:cs="Times New Roman"/>
          <w:sz w:val="24"/>
          <w:szCs w:val="24"/>
          <w:lang w:val="fr-FR"/>
        </w:rPr>
        <w:t xml:space="preserve">2388 </w:t>
      </w:r>
    </w:p>
    <w:p w14:paraId="2FF55914" w14:textId="77777777" w:rsidR="00DE6D8B" w:rsidRPr="00B77A30" w:rsidRDefault="00DE6D8B" w:rsidP="00CB2DFE">
      <w:pPr>
        <w:spacing w:after="0" w:line="360" w:lineRule="auto"/>
        <w:jc w:val="both"/>
        <w:rPr>
          <w:rFonts w:ascii="Book Antiqua" w:hAnsi="Book Antiqua" w:cs="Times New Roman"/>
          <w:sz w:val="24"/>
          <w:szCs w:val="24"/>
          <w:lang w:val="fr-FR"/>
        </w:rPr>
      </w:pPr>
    </w:p>
    <w:p w14:paraId="5B75A06F" w14:textId="1A8669E8" w:rsidR="00526173" w:rsidRPr="00B77A30" w:rsidRDefault="00526173" w:rsidP="00CB2DFE">
      <w:pPr>
        <w:spacing w:after="0" w:line="360" w:lineRule="auto"/>
        <w:jc w:val="both"/>
        <w:rPr>
          <w:rFonts w:ascii="Book Antiqua" w:hAnsi="Book Antiqua"/>
          <w:b/>
          <w:sz w:val="24"/>
          <w:lang w:eastAsia="zh-CN"/>
        </w:rPr>
      </w:pPr>
      <w:bookmarkStart w:id="13" w:name="OLE_LINK476"/>
      <w:bookmarkStart w:id="14" w:name="OLE_LINK477"/>
      <w:bookmarkStart w:id="15" w:name="OLE_LINK117"/>
      <w:bookmarkStart w:id="16" w:name="OLE_LINK528"/>
      <w:r w:rsidRPr="00B77A30">
        <w:rPr>
          <w:rFonts w:ascii="Book Antiqua" w:hAnsi="Book Antiqua"/>
          <w:b/>
          <w:sz w:val="24"/>
        </w:rPr>
        <w:t>Received:</w:t>
      </w:r>
      <w:r w:rsidR="001756A1" w:rsidRPr="00B77A30">
        <w:rPr>
          <w:rFonts w:ascii="Book Antiqua" w:hAnsi="Book Antiqua"/>
          <w:b/>
          <w:sz w:val="24"/>
          <w:lang w:eastAsia="zh-CN"/>
        </w:rPr>
        <w:t xml:space="preserve"> </w:t>
      </w:r>
      <w:r w:rsidR="001756A1" w:rsidRPr="00B77A30">
        <w:rPr>
          <w:rFonts w:ascii="Book Antiqua" w:hAnsi="Book Antiqua"/>
          <w:sz w:val="24"/>
          <w:lang w:eastAsia="zh-CN"/>
        </w:rPr>
        <w:t>June 24, 2015</w:t>
      </w:r>
    </w:p>
    <w:p w14:paraId="4A98A06F" w14:textId="535BBF05" w:rsidR="00526173" w:rsidRPr="00B77A30" w:rsidRDefault="00526173" w:rsidP="00CB2DFE">
      <w:pPr>
        <w:spacing w:after="0" w:line="360" w:lineRule="auto"/>
        <w:jc w:val="both"/>
        <w:rPr>
          <w:rFonts w:ascii="Book Antiqua" w:hAnsi="Book Antiqua"/>
          <w:b/>
          <w:sz w:val="24"/>
        </w:rPr>
      </w:pPr>
      <w:r w:rsidRPr="00B77A30">
        <w:rPr>
          <w:rFonts w:ascii="Book Antiqua" w:hAnsi="Book Antiqua"/>
          <w:b/>
          <w:sz w:val="24"/>
        </w:rPr>
        <w:t>Peer-review started:</w:t>
      </w:r>
      <w:r w:rsidR="001756A1" w:rsidRPr="00B77A30">
        <w:rPr>
          <w:rFonts w:ascii="Book Antiqua" w:hAnsi="Book Antiqua"/>
          <w:sz w:val="24"/>
          <w:lang w:eastAsia="zh-CN"/>
        </w:rPr>
        <w:t xml:space="preserve"> June 24, 2015</w:t>
      </w:r>
    </w:p>
    <w:p w14:paraId="5C4FA18F" w14:textId="01BC0593" w:rsidR="00526173" w:rsidRPr="00B77A30" w:rsidRDefault="00526173" w:rsidP="00CB2DFE">
      <w:pPr>
        <w:spacing w:after="0" w:line="360" w:lineRule="auto"/>
        <w:jc w:val="both"/>
        <w:rPr>
          <w:rFonts w:ascii="Book Antiqua" w:hAnsi="Book Antiqua"/>
          <w:b/>
          <w:sz w:val="24"/>
          <w:lang w:eastAsia="zh-CN"/>
        </w:rPr>
      </w:pPr>
      <w:r w:rsidRPr="00B77A30">
        <w:rPr>
          <w:rFonts w:ascii="Book Antiqua" w:hAnsi="Book Antiqua"/>
          <w:b/>
          <w:sz w:val="24"/>
        </w:rPr>
        <w:t>First decision:</w:t>
      </w:r>
      <w:r w:rsidR="001756A1" w:rsidRPr="00B77A30">
        <w:rPr>
          <w:rFonts w:ascii="Book Antiqua" w:hAnsi="Book Antiqua"/>
          <w:b/>
          <w:sz w:val="24"/>
          <w:lang w:eastAsia="zh-CN"/>
        </w:rPr>
        <w:t xml:space="preserve"> </w:t>
      </w:r>
      <w:r w:rsidR="001756A1" w:rsidRPr="00B77A30">
        <w:rPr>
          <w:rFonts w:ascii="Book Antiqua" w:hAnsi="Book Antiqua"/>
          <w:sz w:val="24"/>
          <w:lang w:eastAsia="zh-CN"/>
        </w:rPr>
        <w:t>September 17, 2015</w:t>
      </w:r>
    </w:p>
    <w:p w14:paraId="75F5BF9D" w14:textId="147F6752" w:rsidR="00526173" w:rsidRPr="00B77A30" w:rsidRDefault="00526173" w:rsidP="00CB2DFE">
      <w:pPr>
        <w:spacing w:after="0" w:line="360" w:lineRule="auto"/>
        <w:jc w:val="both"/>
        <w:rPr>
          <w:rFonts w:ascii="Book Antiqua" w:hAnsi="Book Antiqua"/>
          <w:b/>
          <w:sz w:val="24"/>
        </w:rPr>
      </w:pPr>
      <w:r w:rsidRPr="00B77A30">
        <w:rPr>
          <w:rFonts w:ascii="Book Antiqua" w:hAnsi="Book Antiqua"/>
          <w:b/>
          <w:sz w:val="24"/>
        </w:rPr>
        <w:t>Revised:</w:t>
      </w:r>
      <w:r w:rsidR="001756A1" w:rsidRPr="00B77A30">
        <w:rPr>
          <w:rFonts w:ascii="Book Antiqua" w:hAnsi="Book Antiqua"/>
          <w:sz w:val="24"/>
          <w:lang w:eastAsia="zh-CN"/>
        </w:rPr>
        <w:t xml:space="preserve"> September 19, 2015</w:t>
      </w:r>
    </w:p>
    <w:p w14:paraId="6FC4F3FA" w14:textId="78ECF2D8" w:rsidR="00526173" w:rsidRPr="00763B72" w:rsidRDefault="00526173" w:rsidP="00763B72">
      <w:pPr>
        <w:rPr>
          <w:rFonts w:ascii="Book Antiqua" w:hAnsi="Book Antiqua"/>
          <w:iCs/>
          <w:sz w:val="24"/>
        </w:rPr>
      </w:pPr>
      <w:r w:rsidRPr="00B77A30">
        <w:rPr>
          <w:rFonts w:ascii="Book Antiqua" w:hAnsi="Book Antiqua"/>
          <w:b/>
          <w:sz w:val="24"/>
        </w:rPr>
        <w:t>Accepted:</w:t>
      </w:r>
      <w:r w:rsidR="000A0F89">
        <w:rPr>
          <w:rFonts w:ascii="Book Antiqua" w:hAnsi="Book Antiqua"/>
          <w:b/>
          <w:sz w:val="24"/>
        </w:rPr>
        <w:t xml:space="preserve"> </w:t>
      </w:r>
      <w:r w:rsidR="00763B72">
        <w:rPr>
          <w:rStyle w:val="Emphasis"/>
        </w:rPr>
        <w:t>October 20</w:t>
      </w:r>
      <w:r w:rsidR="00763B72" w:rsidRPr="00235CD4">
        <w:rPr>
          <w:rStyle w:val="Emphasis"/>
        </w:rPr>
        <w:t>, 2015</w:t>
      </w:r>
    </w:p>
    <w:p w14:paraId="71D0A718" w14:textId="77777777" w:rsidR="00526173" w:rsidRPr="00B77A30" w:rsidRDefault="00526173" w:rsidP="00CB2DFE">
      <w:pPr>
        <w:spacing w:after="0" w:line="360" w:lineRule="auto"/>
        <w:jc w:val="both"/>
        <w:rPr>
          <w:rFonts w:ascii="Book Antiqua" w:hAnsi="Book Antiqua"/>
          <w:b/>
          <w:sz w:val="24"/>
        </w:rPr>
      </w:pPr>
      <w:r w:rsidRPr="00B77A30">
        <w:rPr>
          <w:rFonts w:ascii="Book Antiqua" w:hAnsi="Book Antiqua"/>
          <w:b/>
          <w:sz w:val="24"/>
        </w:rPr>
        <w:t>Article in press:</w:t>
      </w:r>
    </w:p>
    <w:p w14:paraId="6CA7257F" w14:textId="77777777" w:rsidR="00526173" w:rsidRPr="00B77A30" w:rsidRDefault="00526173" w:rsidP="00CB2DFE">
      <w:pPr>
        <w:spacing w:after="0" w:line="360" w:lineRule="auto"/>
        <w:jc w:val="both"/>
        <w:rPr>
          <w:rFonts w:ascii="Book Antiqua" w:hAnsi="Book Antiqua"/>
          <w:b/>
          <w:sz w:val="24"/>
        </w:rPr>
      </w:pPr>
      <w:r w:rsidRPr="00B77A30">
        <w:rPr>
          <w:rFonts w:ascii="Book Antiqua" w:hAnsi="Book Antiqua"/>
          <w:b/>
          <w:sz w:val="24"/>
        </w:rPr>
        <w:t>Published online:</w:t>
      </w:r>
    </w:p>
    <w:bookmarkEnd w:id="13"/>
    <w:bookmarkEnd w:id="14"/>
    <w:bookmarkEnd w:id="15"/>
    <w:bookmarkEnd w:id="16"/>
    <w:p w14:paraId="47DC7498" w14:textId="65AA3235" w:rsidR="00537542" w:rsidRPr="00B77A30" w:rsidRDefault="00537542" w:rsidP="00CB2DFE">
      <w:pPr>
        <w:spacing w:after="0" w:line="360" w:lineRule="auto"/>
        <w:jc w:val="both"/>
        <w:rPr>
          <w:rFonts w:ascii="Book Antiqua" w:hAnsi="Book Antiqua" w:cs="Times New Roman"/>
          <w:i/>
          <w:sz w:val="24"/>
          <w:szCs w:val="24"/>
        </w:rPr>
      </w:pPr>
      <w:r w:rsidRPr="00B77A30">
        <w:rPr>
          <w:rFonts w:ascii="Book Antiqua" w:hAnsi="Book Antiqua" w:cs="Times New Roman"/>
          <w:i/>
          <w:sz w:val="24"/>
          <w:szCs w:val="24"/>
        </w:rPr>
        <w:br w:type="page"/>
      </w:r>
    </w:p>
    <w:p w14:paraId="6F71D816" w14:textId="77777777" w:rsidR="00A57008" w:rsidRPr="00B77A30" w:rsidRDefault="00A57008" w:rsidP="00CB2DFE">
      <w:pPr>
        <w:spacing w:after="0" w:line="360" w:lineRule="auto"/>
        <w:jc w:val="both"/>
        <w:rPr>
          <w:rFonts w:ascii="Book Antiqua" w:hAnsi="Book Antiqua" w:cs="Times New Roman"/>
          <w:b/>
          <w:sz w:val="24"/>
          <w:szCs w:val="24"/>
        </w:rPr>
      </w:pPr>
      <w:r w:rsidRPr="00B77A30">
        <w:rPr>
          <w:rFonts w:ascii="Book Antiqua" w:hAnsi="Book Antiqua" w:cs="Times New Roman"/>
          <w:b/>
          <w:sz w:val="24"/>
          <w:szCs w:val="24"/>
        </w:rPr>
        <w:lastRenderedPageBreak/>
        <w:t>Abstract</w:t>
      </w:r>
    </w:p>
    <w:p w14:paraId="0777C88B" w14:textId="299A81C6" w:rsidR="00A57008" w:rsidRPr="00B77A30" w:rsidRDefault="005D220C" w:rsidP="00CB2DFE">
      <w:pPr>
        <w:spacing w:after="0" w:line="360" w:lineRule="auto"/>
        <w:jc w:val="both"/>
        <w:rPr>
          <w:rFonts w:ascii="Book Antiqua" w:hAnsi="Book Antiqua" w:cs="Times New Roman"/>
          <w:sz w:val="24"/>
          <w:szCs w:val="24"/>
          <w:lang w:eastAsia="zh-CN"/>
        </w:rPr>
      </w:pPr>
      <w:r w:rsidRPr="00B77A30">
        <w:rPr>
          <w:rFonts w:ascii="Book Antiqua" w:hAnsi="Book Antiqua" w:cs="Times New Roman"/>
          <w:sz w:val="24"/>
          <w:szCs w:val="24"/>
        </w:rPr>
        <w:t xml:space="preserve">According to the United States census bureau 20% of Americans will be </w:t>
      </w:r>
      <w:r w:rsidR="00BA1C48" w:rsidRPr="00B77A30">
        <w:rPr>
          <w:rFonts w:ascii="Book Antiqua" w:hAnsi="Book Antiqua" w:cs="Times New Roman"/>
          <w:sz w:val="24"/>
          <w:szCs w:val="24"/>
        </w:rPr>
        <w:t>older than</w:t>
      </w:r>
      <w:r w:rsidRPr="00B77A30">
        <w:rPr>
          <w:rFonts w:ascii="Book Antiqua" w:hAnsi="Book Antiqua" w:cs="Times New Roman"/>
          <w:sz w:val="24"/>
          <w:szCs w:val="24"/>
        </w:rPr>
        <w:t xml:space="preserve"> 65 years in 2030 and half of them will need an operation – equating to about 36 million older surgical patients. Older adults are prone to complications during gastrointestinal cancer treatment and therefore </w:t>
      </w:r>
      <w:r w:rsidR="00BA1C48" w:rsidRPr="00B77A30">
        <w:rPr>
          <w:rFonts w:ascii="Book Antiqua" w:hAnsi="Book Antiqua" w:cs="Times New Roman"/>
          <w:sz w:val="24"/>
          <w:szCs w:val="24"/>
        </w:rPr>
        <w:t xml:space="preserve">may </w:t>
      </w:r>
      <w:r w:rsidRPr="00B77A30">
        <w:rPr>
          <w:rFonts w:ascii="Book Antiqua" w:hAnsi="Book Antiqua" w:cs="Times New Roman"/>
          <w:sz w:val="24"/>
          <w:szCs w:val="24"/>
        </w:rPr>
        <w:t xml:space="preserve">need to undergo special pretreatment assessments </w:t>
      </w:r>
      <w:r w:rsidR="00BA1C48" w:rsidRPr="00B77A30">
        <w:rPr>
          <w:rFonts w:ascii="Book Antiqua" w:hAnsi="Book Antiqua" w:cs="Times New Roman"/>
          <w:sz w:val="24"/>
          <w:szCs w:val="24"/>
        </w:rPr>
        <w:t>that incorporate</w:t>
      </w:r>
      <w:r w:rsidRPr="00B77A30">
        <w:rPr>
          <w:rFonts w:ascii="Book Antiqua" w:hAnsi="Book Antiqua" w:cs="Times New Roman"/>
          <w:sz w:val="24"/>
          <w:szCs w:val="24"/>
        </w:rPr>
        <w:t xml:space="preserve"> frailty and sarcopenia assessments. </w:t>
      </w:r>
      <w:r w:rsidR="004F267E" w:rsidRPr="00B77A30">
        <w:rPr>
          <w:rFonts w:ascii="Book Antiqua" w:hAnsi="Book Antiqua" w:cs="Times New Roman"/>
          <w:sz w:val="24"/>
          <w:szCs w:val="24"/>
        </w:rPr>
        <w:t>A focused, structured literature review on PubMed and Google Scholar was performed to identify primary research articles, review articles, as well as practice guidelines on frailty and sarcopenia among patients undergoing gastrointestinal surgery. The initial search identified 450 articles; after eliminating duplicates, reports that did not include surgical patients, case series, as well as case reports, 52 publications on the impact of frailty and/or sarcopenia on outcome of patients undergoing gastrointestinal surgery were included. Frailty is defined as a clinically recognizable state of increased vulnerability to physiologic stressors resulting from aging. Frailty is associated with a decline in physiologic reserve and function across multiple physiologic systems. Sarcopenia is a syndrome characterized by progressive and generalized loss of skeletal muscle mass and strength.</w:t>
      </w:r>
      <w:r w:rsidR="000A0F89">
        <w:rPr>
          <w:rFonts w:ascii="Book Antiqua" w:hAnsi="Book Antiqua" w:cs="Times New Roman"/>
          <w:sz w:val="24"/>
          <w:szCs w:val="24"/>
        </w:rPr>
        <w:t xml:space="preserve"> </w:t>
      </w:r>
      <w:r w:rsidR="004F267E" w:rsidRPr="00B77A30">
        <w:rPr>
          <w:rFonts w:ascii="Book Antiqua" w:eastAsia="Calibri" w:hAnsi="Book Antiqua" w:cs="Times New Roman"/>
          <w:sz w:val="24"/>
          <w:szCs w:val="24"/>
        </w:rPr>
        <w:t>Unlike cachexia, which is typically associated with weight loss due to chemotherapy or a general malignancy-related cachexia syndrome, sarcopenia relates to muscle mass rather than simply weight.</w:t>
      </w:r>
      <w:r w:rsidR="000A0F89">
        <w:rPr>
          <w:rFonts w:ascii="Book Antiqua" w:eastAsia="Calibri" w:hAnsi="Book Antiqua" w:cs="Times New Roman"/>
          <w:sz w:val="24"/>
          <w:szCs w:val="24"/>
        </w:rPr>
        <w:t xml:space="preserve"> </w:t>
      </w:r>
      <w:r w:rsidR="004F267E" w:rsidRPr="00B77A30">
        <w:rPr>
          <w:rFonts w:ascii="Book Antiqua" w:eastAsia="Calibri" w:hAnsi="Book Antiqua" w:cs="Times New Roman"/>
          <w:sz w:val="24"/>
          <w:szCs w:val="24"/>
        </w:rPr>
        <w:t xml:space="preserve"> </w:t>
      </w:r>
      <w:r w:rsidR="004F267E" w:rsidRPr="00B77A30">
        <w:rPr>
          <w:rFonts w:ascii="Book Antiqua" w:hAnsi="Book Antiqua" w:cs="Times New Roman"/>
          <w:sz w:val="24"/>
          <w:szCs w:val="24"/>
        </w:rPr>
        <w:t>As such, w</w:t>
      </w:r>
      <w:r w:rsidR="004F267E" w:rsidRPr="00B77A30">
        <w:rPr>
          <w:rFonts w:ascii="Book Antiqua" w:eastAsia="Calibri" w:hAnsi="Book Antiqua" w:cs="Times New Roman"/>
          <w:sz w:val="24"/>
          <w:szCs w:val="24"/>
        </w:rPr>
        <w:t>hile weight reflects nutritional status, sarcopenia – the loss of muscle mass – is a more accurate and quantitative global marker of frailty.</w:t>
      </w:r>
      <w:r w:rsidR="000A0F89">
        <w:rPr>
          <w:rFonts w:ascii="Book Antiqua" w:eastAsia="Calibri" w:hAnsi="Book Antiqua" w:cs="Times New Roman"/>
          <w:sz w:val="24"/>
          <w:szCs w:val="24"/>
        </w:rPr>
        <w:t xml:space="preserve"> </w:t>
      </w:r>
      <w:r w:rsidR="004F267E" w:rsidRPr="00B77A30">
        <w:rPr>
          <w:rFonts w:ascii="Book Antiqua" w:hAnsi="Book Antiqua" w:cs="Times New Roman"/>
          <w:sz w:val="24"/>
          <w:szCs w:val="24"/>
        </w:rPr>
        <w:t>While chronologic age is an important element in assessing a patient</w:t>
      </w:r>
      <w:r w:rsidR="00BA1C48" w:rsidRPr="00B77A30">
        <w:rPr>
          <w:rFonts w:ascii="Book Antiqua" w:hAnsi="Book Antiqua" w:cs="Times New Roman"/>
          <w:sz w:val="24"/>
          <w:szCs w:val="24"/>
        </w:rPr>
        <w:t>’</w:t>
      </w:r>
      <w:r w:rsidR="004F267E" w:rsidRPr="00B77A30">
        <w:rPr>
          <w:rFonts w:ascii="Book Antiqua" w:hAnsi="Book Antiqua" w:cs="Times New Roman"/>
          <w:sz w:val="24"/>
          <w:szCs w:val="24"/>
        </w:rPr>
        <w:t xml:space="preserve">s </w:t>
      </w:r>
      <w:proofErr w:type="spellStart"/>
      <w:r w:rsidR="004F267E" w:rsidRPr="00B77A30">
        <w:rPr>
          <w:rFonts w:ascii="Book Antiqua" w:hAnsi="Book Antiqua" w:cs="Times New Roman"/>
          <w:sz w:val="24"/>
          <w:szCs w:val="24"/>
        </w:rPr>
        <w:t>peri</w:t>
      </w:r>
      <w:proofErr w:type="spellEnd"/>
      <w:r w:rsidR="004F267E" w:rsidRPr="00B77A30">
        <w:rPr>
          <w:rFonts w:ascii="Book Antiqua" w:hAnsi="Book Antiqua" w:cs="Times New Roman"/>
          <w:sz w:val="24"/>
          <w:szCs w:val="24"/>
        </w:rPr>
        <w:t xml:space="preserve">-operative risk, physiologic age is </w:t>
      </w:r>
      <w:r w:rsidR="00BA1C48" w:rsidRPr="00B77A30">
        <w:rPr>
          <w:rFonts w:ascii="Book Antiqua" w:hAnsi="Book Antiqua" w:cs="Times New Roman"/>
          <w:sz w:val="24"/>
          <w:szCs w:val="24"/>
        </w:rPr>
        <w:t>a</w:t>
      </w:r>
      <w:r w:rsidR="004F267E" w:rsidRPr="00B77A30">
        <w:rPr>
          <w:rFonts w:ascii="Book Antiqua" w:hAnsi="Book Antiqua" w:cs="Times New Roman"/>
          <w:sz w:val="24"/>
          <w:szCs w:val="24"/>
        </w:rPr>
        <w:t xml:space="preserve"> more important determinant of outcomes.</w:t>
      </w:r>
      <w:r w:rsidR="000A0F89">
        <w:rPr>
          <w:rFonts w:ascii="Book Antiqua" w:hAnsi="Book Antiqua" w:cs="Times New Roman"/>
          <w:sz w:val="24"/>
          <w:szCs w:val="24"/>
        </w:rPr>
        <w:t xml:space="preserve"> </w:t>
      </w:r>
      <w:r w:rsidR="004F267E" w:rsidRPr="00B77A30">
        <w:rPr>
          <w:rFonts w:ascii="Book Antiqua" w:hAnsi="Book Antiqua" w:cs="Times New Roman"/>
          <w:sz w:val="24"/>
          <w:szCs w:val="24"/>
        </w:rPr>
        <w:t>Geriatric assessment tools are important components of the pre-operative work-up and can help identify patients who suffer from frailty.</w:t>
      </w:r>
      <w:r w:rsidR="000A0F89">
        <w:rPr>
          <w:rFonts w:ascii="Book Antiqua" w:hAnsi="Book Antiqua" w:cs="Times New Roman"/>
          <w:sz w:val="24"/>
          <w:szCs w:val="24"/>
        </w:rPr>
        <w:t xml:space="preserve"> </w:t>
      </w:r>
      <w:r w:rsidR="004F267E" w:rsidRPr="00B77A30">
        <w:rPr>
          <w:rFonts w:ascii="Book Antiqua" w:hAnsi="Book Antiqua" w:cs="Times New Roman"/>
          <w:sz w:val="24"/>
          <w:szCs w:val="24"/>
        </w:rPr>
        <w:t xml:space="preserve"> Such data are important, as frailty and sarcopenia have repeatedly been demonstrated among the strongest predictors of both short- and long-term outcome following complicated surgical procedures such as esophageal, gastric, colorectal, and HPB resections.</w:t>
      </w:r>
    </w:p>
    <w:p w14:paraId="206D889C" w14:textId="77777777" w:rsidR="003E762E" w:rsidRPr="00B77A30" w:rsidRDefault="003E762E" w:rsidP="00CB2DFE">
      <w:pPr>
        <w:spacing w:after="0" w:line="360" w:lineRule="auto"/>
        <w:jc w:val="both"/>
        <w:rPr>
          <w:rFonts w:ascii="Book Antiqua" w:hAnsi="Book Antiqua" w:cs="Times New Roman"/>
          <w:sz w:val="24"/>
          <w:szCs w:val="24"/>
          <w:lang w:eastAsia="zh-CN"/>
        </w:rPr>
      </w:pPr>
    </w:p>
    <w:p w14:paraId="70EC4F6C" w14:textId="2769102C" w:rsidR="00116D54" w:rsidRPr="00B77A30" w:rsidRDefault="00116D54" w:rsidP="00CB2DFE">
      <w:pPr>
        <w:spacing w:after="0" w:line="360" w:lineRule="auto"/>
        <w:jc w:val="both"/>
        <w:rPr>
          <w:rFonts w:ascii="Book Antiqua" w:hAnsi="Book Antiqua" w:cs="Times New Roman"/>
          <w:sz w:val="24"/>
          <w:szCs w:val="24"/>
        </w:rPr>
      </w:pPr>
      <w:bookmarkStart w:id="17" w:name="OLE_LINK363"/>
      <w:bookmarkStart w:id="18" w:name="OLE_LINK364"/>
      <w:bookmarkStart w:id="19" w:name="OLE_LINK254"/>
      <w:r w:rsidRPr="00B77A30">
        <w:rPr>
          <w:rFonts w:ascii="Book Antiqua" w:hAnsi="Book Antiqua" w:cs="Times New Roman"/>
          <w:b/>
          <w:sz w:val="24"/>
          <w:szCs w:val="24"/>
        </w:rPr>
        <w:t xml:space="preserve">Key </w:t>
      </w:r>
      <w:r w:rsidR="003E762E" w:rsidRPr="00B77A30">
        <w:rPr>
          <w:rFonts w:ascii="Book Antiqua" w:hAnsi="Book Antiqua" w:cs="Times New Roman"/>
          <w:b/>
          <w:sz w:val="24"/>
          <w:szCs w:val="24"/>
        </w:rPr>
        <w:t>words</w:t>
      </w:r>
      <w:r w:rsidRPr="00B77A30">
        <w:rPr>
          <w:rFonts w:ascii="Book Antiqua" w:hAnsi="Book Antiqua" w:cs="Times New Roman"/>
          <w:b/>
          <w:sz w:val="24"/>
          <w:szCs w:val="24"/>
        </w:rPr>
        <w:t xml:space="preserve">: </w:t>
      </w:r>
      <w:r w:rsidR="003E762E" w:rsidRPr="00B77A30">
        <w:rPr>
          <w:rFonts w:ascii="Book Antiqua" w:hAnsi="Book Antiqua" w:cs="Times New Roman"/>
          <w:sz w:val="24"/>
          <w:szCs w:val="24"/>
        </w:rPr>
        <w:t>Sarcopenia</w:t>
      </w:r>
      <w:r w:rsidRPr="00B77A30">
        <w:rPr>
          <w:rFonts w:ascii="Book Antiqua" w:hAnsi="Book Antiqua" w:cs="Times New Roman"/>
          <w:sz w:val="24"/>
          <w:szCs w:val="24"/>
        </w:rPr>
        <w:t xml:space="preserve">; </w:t>
      </w:r>
      <w:r w:rsidR="003E762E" w:rsidRPr="00B77A30">
        <w:rPr>
          <w:rFonts w:ascii="Book Antiqua" w:hAnsi="Book Antiqua" w:cs="Times New Roman"/>
          <w:sz w:val="24"/>
          <w:szCs w:val="24"/>
        </w:rPr>
        <w:t>Outcomes</w:t>
      </w:r>
      <w:r w:rsidRPr="00B77A30">
        <w:rPr>
          <w:rFonts w:ascii="Book Antiqua" w:hAnsi="Book Antiqua" w:cs="Times New Roman"/>
          <w:sz w:val="24"/>
          <w:szCs w:val="24"/>
        </w:rPr>
        <w:t xml:space="preserve">; </w:t>
      </w:r>
      <w:r w:rsidR="003E762E" w:rsidRPr="00B77A30">
        <w:rPr>
          <w:rFonts w:ascii="Book Antiqua" w:hAnsi="Book Antiqua" w:cs="Times New Roman"/>
          <w:sz w:val="24"/>
          <w:szCs w:val="24"/>
        </w:rPr>
        <w:t>Frailty</w:t>
      </w:r>
      <w:r w:rsidR="003E762E" w:rsidRPr="00B77A30">
        <w:rPr>
          <w:rFonts w:ascii="Book Antiqua" w:hAnsi="Book Antiqua" w:cs="Times New Roman"/>
          <w:sz w:val="24"/>
          <w:szCs w:val="24"/>
          <w:lang w:eastAsia="zh-CN"/>
        </w:rPr>
        <w:t xml:space="preserve">; </w:t>
      </w:r>
      <w:r w:rsidR="003E762E" w:rsidRPr="00B77A30">
        <w:rPr>
          <w:rFonts w:ascii="Book Antiqua" w:hAnsi="Book Antiqua" w:cs="Times New Roman"/>
          <w:sz w:val="24"/>
          <w:szCs w:val="24"/>
        </w:rPr>
        <w:t>Morbidity</w:t>
      </w:r>
      <w:r w:rsidR="003E762E" w:rsidRPr="00B77A30">
        <w:rPr>
          <w:rFonts w:ascii="Book Antiqua" w:hAnsi="Book Antiqua" w:cs="Times New Roman"/>
          <w:sz w:val="24"/>
          <w:szCs w:val="24"/>
          <w:lang w:eastAsia="zh-CN"/>
        </w:rPr>
        <w:t xml:space="preserve">; </w:t>
      </w:r>
      <w:r w:rsidR="003E762E" w:rsidRPr="00B77A30">
        <w:rPr>
          <w:rFonts w:ascii="Book Antiqua" w:hAnsi="Book Antiqua" w:cs="Times New Roman"/>
          <w:sz w:val="24"/>
          <w:szCs w:val="24"/>
        </w:rPr>
        <w:t>Mortality</w:t>
      </w:r>
    </w:p>
    <w:p w14:paraId="04AF112C" w14:textId="77777777" w:rsidR="00526173" w:rsidRPr="00B77A30" w:rsidRDefault="00526173" w:rsidP="00CB2DFE">
      <w:pPr>
        <w:spacing w:after="0" w:line="360" w:lineRule="auto"/>
        <w:jc w:val="both"/>
        <w:rPr>
          <w:rFonts w:ascii="Book Antiqua" w:hAnsi="Book Antiqua" w:cs="Arial Unicode MS"/>
          <w:b/>
          <w:sz w:val="24"/>
        </w:rPr>
      </w:pPr>
    </w:p>
    <w:p w14:paraId="4B326CB2" w14:textId="77777777" w:rsidR="00526173" w:rsidRPr="00B77A30" w:rsidRDefault="00526173" w:rsidP="00CB2DFE">
      <w:pPr>
        <w:spacing w:after="0" w:line="360" w:lineRule="auto"/>
        <w:jc w:val="both"/>
        <w:rPr>
          <w:rFonts w:ascii="Book Antiqua" w:hAnsi="Book Antiqua" w:cs="Arial"/>
          <w:sz w:val="24"/>
          <w:lang w:eastAsia="zh-CN"/>
        </w:rPr>
      </w:pPr>
      <w:bookmarkStart w:id="20" w:name="OLE_LINK55"/>
      <w:bookmarkStart w:id="21" w:name="OLE_LINK56"/>
      <w:bookmarkStart w:id="22" w:name="OLE_LINK105"/>
      <w:bookmarkStart w:id="23" w:name="OLE_LINK116"/>
      <w:bookmarkStart w:id="24" w:name="OLE_LINK89"/>
      <w:bookmarkStart w:id="25" w:name="OLE_LINK489"/>
      <w:bookmarkStart w:id="26" w:name="OLE_LINK490"/>
      <w:bookmarkStart w:id="27" w:name="OLE_LINK101"/>
      <w:bookmarkStart w:id="28" w:name="OLE_LINK107"/>
      <w:bookmarkStart w:id="29" w:name="OLE_LINK412"/>
      <w:bookmarkStart w:id="30" w:name="OLE_LINK413"/>
      <w:bookmarkStart w:id="31" w:name="OLE_LINK434"/>
      <w:bookmarkStart w:id="32" w:name="OLE_LINK442"/>
      <w:bookmarkStart w:id="33" w:name="OLE_LINK504"/>
      <w:bookmarkStart w:id="34" w:name="OLE_LINK350"/>
      <w:bookmarkStart w:id="35" w:name="OLE_LINK351"/>
      <w:bookmarkStart w:id="36" w:name="OLE_LINK408"/>
      <w:bookmarkStart w:id="37" w:name="OLE_LINK481"/>
      <w:bookmarkStart w:id="38" w:name="OLE_LINK482"/>
      <w:bookmarkStart w:id="39" w:name="OLE_LINK509"/>
      <w:bookmarkEnd w:id="17"/>
      <w:bookmarkEnd w:id="18"/>
      <w:proofErr w:type="gramStart"/>
      <w:r w:rsidRPr="00B77A30">
        <w:rPr>
          <w:rFonts w:ascii="Book Antiqua" w:hAnsi="Book Antiqua"/>
          <w:b/>
          <w:sz w:val="24"/>
        </w:rPr>
        <w:lastRenderedPageBreak/>
        <w:t>©</w:t>
      </w:r>
      <w:bookmarkEnd w:id="20"/>
      <w:bookmarkEnd w:id="21"/>
      <w:r w:rsidRPr="00B77A30">
        <w:rPr>
          <w:rFonts w:ascii="Book Antiqua" w:hAnsi="Book Antiqua"/>
          <w:b/>
          <w:sz w:val="24"/>
        </w:rPr>
        <w:t xml:space="preserve"> </w:t>
      </w:r>
      <w:r w:rsidRPr="00B77A30">
        <w:rPr>
          <w:rFonts w:ascii="Book Antiqua" w:hAnsi="Book Antiqua" w:cs="Arial"/>
          <w:b/>
          <w:sz w:val="24"/>
        </w:rPr>
        <w:t>The Author(s) 2015.</w:t>
      </w:r>
      <w:proofErr w:type="gramEnd"/>
      <w:r w:rsidRPr="00B77A30">
        <w:rPr>
          <w:rFonts w:ascii="Book Antiqua" w:hAnsi="Book Antiqua" w:cs="Arial"/>
          <w:b/>
          <w:sz w:val="24"/>
        </w:rPr>
        <w:t xml:space="preserve"> </w:t>
      </w:r>
      <w:r w:rsidRPr="00B77A30">
        <w:rPr>
          <w:rFonts w:ascii="Book Antiqua" w:hAnsi="Book Antiqua" w:cs="Arial"/>
          <w:sz w:val="24"/>
        </w:rPr>
        <w:t xml:space="preserve">Published by </w:t>
      </w:r>
      <w:proofErr w:type="spellStart"/>
      <w:r w:rsidRPr="00B77A30">
        <w:rPr>
          <w:rFonts w:ascii="Book Antiqua" w:hAnsi="Book Antiqua" w:cs="Arial"/>
          <w:sz w:val="24"/>
        </w:rPr>
        <w:t>Baishideng</w:t>
      </w:r>
      <w:proofErr w:type="spellEnd"/>
      <w:r w:rsidRPr="00B77A30">
        <w:rPr>
          <w:rFonts w:ascii="Book Antiqua" w:hAnsi="Book Antiqua" w:cs="Arial"/>
          <w:sz w:val="24"/>
        </w:rPr>
        <w:t xml:space="preserve"> Publishing Group Inc. All rights reserved.</w:t>
      </w:r>
    </w:p>
    <w:p w14:paraId="049E219C" w14:textId="77777777" w:rsidR="003E762E" w:rsidRPr="00B77A30" w:rsidRDefault="003E762E" w:rsidP="00CB2DFE">
      <w:pPr>
        <w:spacing w:after="0" w:line="360" w:lineRule="auto"/>
        <w:jc w:val="both"/>
        <w:rPr>
          <w:rFonts w:ascii="Book Antiqua" w:hAnsi="Book Antiqua" w:cs="Arial"/>
          <w:sz w:val="24"/>
          <w:lang w:eastAsia="zh-CN"/>
        </w:rPr>
      </w:pPr>
    </w:p>
    <w:p w14:paraId="5BF35B3B" w14:textId="3BF9AC12" w:rsidR="00BF0BA3" w:rsidRPr="00B77A30" w:rsidRDefault="00BF0BA3" w:rsidP="00CB2DFE">
      <w:pPr>
        <w:spacing w:after="0" w:line="360" w:lineRule="auto"/>
        <w:jc w:val="both"/>
        <w:rPr>
          <w:rFonts w:ascii="Book Antiqua" w:hAnsi="Book Antiqua" w:cs="Arial"/>
          <w:sz w:val="24"/>
        </w:rPr>
      </w:pPr>
      <w:r w:rsidRPr="00B77A30">
        <w:rPr>
          <w:rFonts w:ascii="Book Antiqua" w:hAnsi="Book Antiqua" w:cs="Arial"/>
          <w:b/>
          <w:sz w:val="24"/>
        </w:rPr>
        <w:t>Core tip:</w:t>
      </w:r>
      <w:r w:rsidRPr="00B77A30">
        <w:rPr>
          <w:rFonts w:ascii="Book Antiqua" w:hAnsi="Book Antiqua" w:cs="Arial"/>
          <w:sz w:val="24"/>
        </w:rPr>
        <w:t xml:space="preserve"> </w:t>
      </w:r>
      <w:r w:rsidR="00815B6E" w:rsidRPr="00B77A30">
        <w:rPr>
          <w:rFonts w:ascii="Book Antiqua" w:hAnsi="Book Antiqua" w:cs="Arial"/>
          <w:sz w:val="24"/>
        </w:rPr>
        <w:t xml:space="preserve">It is estimated that by the year 2030, 36 million Americans </w:t>
      </w:r>
      <w:r w:rsidR="00593262" w:rsidRPr="00B77A30">
        <w:rPr>
          <w:rFonts w:ascii="Book Antiqua" w:hAnsi="Book Antiqua" w:cs="Arial"/>
          <w:sz w:val="24"/>
        </w:rPr>
        <w:t>&gt;</w:t>
      </w:r>
      <w:r w:rsidR="00815B6E" w:rsidRPr="00B77A30">
        <w:rPr>
          <w:rFonts w:ascii="Book Antiqua" w:hAnsi="Book Antiqua" w:cs="Arial"/>
          <w:sz w:val="24"/>
        </w:rPr>
        <w:t xml:space="preserve"> 65 years will require surgery. Frailty as defined by a clinically recognizable state of increased vulnerability due to physiologic stressors resulting from aging has been associated with a decreased physiologic reserve and function across multiple physiological systems. Recently, a loss of muscle mass or sarcopenia has been proposed as an accurate and quantitative global marker of frailty. The current review demonstrates that frailty as defined by sarcopenia can be accurately used as a preoperative predictor of poor short- and long-term postoperative outcomes following complex gastrointestinal surgery.</w:t>
      </w:r>
    </w:p>
    <w:p w14:paraId="5E757624" w14:textId="77777777" w:rsidR="00F1478B" w:rsidRPr="00B77A30" w:rsidRDefault="00F1478B" w:rsidP="00CB2DFE">
      <w:pPr>
        <w:spacing w:after="0" w:line="360" w:lineRule="auto"/>
        <w:jc w:val="both"/>
        <w:rPr>
          <w:rFonts w:ascii="Book Antiqua" w:hAnsi="Book Antiqua" w:cs="Arial"/>
          <w:sz w:val="24"/>
        </w:rPr>
      </w:pPr>
    </w:p>
    <w:p w14:paraId="30A36C29" w14:textId="43069817" w:rsidR="00526173" w:rsidRPr="00B77A30" w:rsidRDefault="00BF0BA3" w:rsidP="00CB2DFE">
      <w:pPr>
        <w:spacing w:after="0" w:line="360" w:lineRule="auto"/>
        <w:jc w:val="both"/>
        <w:rPr>
          <w:rFonts w:ascii="Book Antiqua" w:hAnsi="Book Antiqua"/>
          <w:sz w:val="24"/>
        </w:rPr>
      </w:pPr>
      <w:r w:rsidRPr="00B77A30">
        <w:rPr>
          <w:rFonts w:ascii="Book Antiqua" w:hAnsi="Book Antiqua" w:cs="Arial"/>
          <w:sz w:val="24"/>
        </w:rPr>
        <w:t xml:space="preserve">Wagner D, DeMarco M, </w:t>
      </w:r>
      <w:proofErr w:type="spellStart"/>
      <w:r w:rsidRPr="00B77A30">
        <w:rPr>
          <w:rFonts w:ascii="Book Antiqua" w:hAnsi="Book Antiqua" w:cs="Arial"/>
          <w:sz w:val="24"/>
        </w:rPr>
        <w:t>Amini</w:t>
      </w:r>
      <w:proofErr w:type="spellEnd"/>
      <w:r w:rsidRPr="00B77A30">
        <w:rPr>
          <w:rFonts w:ascii="Book Antiqua" w:hAnsi="Book Antiqua" w:cs="Arial"/>
          <w:sz w:val="24"/>
        </w:rPr>
        <w:t xml:space="preserve"> N, </w:t>
      </w:r>
      <w:proofErr w:type="spellStart"/>
      <w:r w:rsidRPr="00B77A30">
        <w:rPr>
          <w:rFonts w:ascii="Book Antiqua" w:hAnsi="Book Antiqua" w:cs="Arial"/>
          <w:sz w:val="24"/>
        </w:rPr>
        <w:t>Buttner</w:t>
      </w:r>
      <w:proofErr w:type="spellEnd"/>
      <w:r w:rsidRPr="00B77A30">
        <w:rPr>
          <w:rFonts w:ascii="Book Antiqua" w:hAnsi="Book Antiqua" w:cs="Arial"/>
          <w:sz w:val="24"/>
        </w:rPr>
        <w:t xml:space="preserve"> S, </w:t>
      </w:r>
      <w:proofErr w:type="spellStart"/>
      <w:r w:rsidRPr="00B77A30">
        <w:rPr>
          <w:rFonts w:ascii="Book Antiqua" w:hAnsi="Book Antiqua" w:cs="Arial"/>
          <w:sz w:val="24"/>
        </w:rPr>
        <w:t>Segev</w:t>
      </w:r>
      <w:proofErr w:type="spellEnd"/>
      <w:r w:rsidRPr="00B77A30">
        <w:rPr>
          <w:rFonts w:ascii="Book Antiqua" w:hAnsi="Book Antiqua" w:cs="Arial"/>
          <w:sz w:val="24"/>
        </w:rPr>
        <w:t xml:space="preserve"> D, </w:t>
      </w:r>
      <w:proofErr w:type="spellStart"/>
      <w:r w:rsidRPr="00B77A30">
        <w:rPr>
          <w:rFonts w:ascii="Book Antiqua" w:hAnsi="Book Antiqua" w:cs="Arial"/>
          <w:sz w:val="24"/>
        </w:rPr>
        <w:t>Gani</w:t>
      </w:r>
      <w:proofErr w:type="spellEnd"/>
      <w:r w:rsidRPr="00B77A30">
        <w:rPr>
          <w:rFonts w:ascii="Book Antiqua" w:hAnsi="Book Antiqua" w:cs="Arial"/>
          <w:sz w:val="24"/>
        </w:rPr>
        <w:t xml:space="preserve"> F, </w:t>
      </w:r>
      <w:proofErr w:type="spellStart"/>
      <w:r w:rsidRPr="00B77A30">
        <w:rPr>
          <w:rFonts w:ascii="Book Antiqua" w:hAnsi="Book Antiqua" w:cs="Arial"/>
          <w:sz w:val="24"/>
        </w:rPr>
        <w:t>Pawlik</w:t>
      </w:r>
      <w:proofErr w:type="spellEnd"/>
      <w:r w:rsidRPr="00B77A30">
        <w:rPr>
          <w:rFonts w:ascii="Book Antiqua" w:hAnsi="Book Antiqua" w:cs="Arial"/>
          <w:sz w:val="24"/>
        </w:rPr>
        <w:t xml:space="preserve"> TM. </w:t>
      </w:r>
      <w:proofErr w:type="gramStart"/>
      <w:r w:rsidRPr="00B77A30">
        <w:rPr>
          <w:rFonts w:ascii="Book Antiqua" w:hAnsi="Book Antiqua" w:cs="Arial"/>
          <w:sz w:val="24"/>
        </w:rPr>
        <w:t xml:space="preserve">Role of </w:t>
      </w:r>
      <w:r w:rsidR="003E762E" w:rsidRPr="00B77A30">
        <w:rPr>
          <w:rFonts w:ascii="Book Antiqua" w:hAnsi="Book Antiqua" w:cs="Arial"/>
          <w:sz w:val="24"/>
        </w:rPr>
        <w:t xml:space="preserve">frailty </w:t>
      </w:r>
      <w:r w:rsidR="003E762E" w:rsidRPr="000A0F89">
        <w:rPr>
          <w:rFonts w:ascii="Book Antiqua" w:hAnsi="Book Antiqua" w:cs="Arial"/>
          <w:sz w:val="24"/>
        </w:rPr>
        <w:t>and sarcopenia in predicting outcomes among patients undergoing gastrointestinal s</w:t>
      </w:r>
      <w:r w:rsidRPr="000A0F89">
        <w:rPr>
          <w:rFonts w:ascii="Book Antiqua" w:hAnsi="Book Antiqua" w:cs="Arial"/>
          <w:sz w:val="24"/>
        </w:rPr>
        <w:t>urgery</w:t>
      </w:r>
      <w:bookmarkStart w:id="40" w:name="OLE_LINK130"/>
      <w:bookmarkStart w:id="41" w:name="OLE_LINK134"/>
      <w:bookmarkStart w:id="42" w:name="OLE_LINK455"/>
      <w:bookmarkStart w:id="43" w:name="OLE_LINK464"/>
      <w:bookmarkStart w:id="44" w:name="OLE_LINK73"/>
      <w:bookmarkStart w:id="45" w:name="OLE_LINK74"/>
      <w:bookmarkStart w:id="46" w:name="OLE_LINK424"/>
      <w:bookmarkStart w:id="47" w:name="OLE_LINK425"/>
      <w:bookmarkEnd w:id="22"/>
      <w:bookmarkEnd w:id="23"/>
      <w:bookmarkEnd w:id="24"/>
      <w:bookmarkEnd w:id="25"/>
      <w:bookmarkEnd w:id="26"/>
      <w:bookmarkEnd w:id="27"/>
      <w:bookmarkEnd w:id="28"/>
      <w:bookmarkEnd w:id="29"/>
      <w:bookmarkEnd w:id="30"/>
      <w:bookmarkEnd w:id="31"/>
      <w:bookmarkEnd w:id="32"/>
      <w:bookmarkEnd w:id="33"/>
      <w:r w:rsidRPr="000A0F89">
        <w:rPr>
          <w:rFonts w:ascii="Book Antiqua" w:hAnsi="Book Antiqua" w:cs="Arial"/>
          <w:sz w:val="24"/>
        </w:rPr>
        <w:t>.</w:t>
      </w:r>
      <w:proofErr w:type="gramEnd"/>
      <w:r w:rsidRPr="000A0F89">
        <w:rPr>
          <w:rFonts w:ascii="Book Antiqua" w:hAnsi="Book Antiqua" w:cs="Arial"/>
          <w:sz w:val="24"/>
        </w:rPr>
        <w:t xml:space="preserve"> </w:t>
      </w:r>
      <w:r w:rsidR="00526173" w:rsidRPr="000A0F89">
        <w:rPr>
          <w:rFonts w:ascii="Book Antiqua" w:hAnsi="Book Antiqua"/>
          <w:i/>
          <w:sz w:val="24"/>
        </w:rPr>
        <w:t xml:space="preserve">World J </w:t>
      </w:r>
      <w:proofErr w:type="spellStart"/>
      <w:r w:rsidR="00170819" w:rsidRPr="000A0F89">
        <w:rPr>
          <w:rFonts w:ascii="Book Antiqua" w:hAnsi="Book Antiqua"/>
          <w:i/>
          <w:sz w:val="24"/>
        </w:rPr>
        <w:t>Gastrointest</w:t>
      </w:r>
      <w:proofErr w:type="spellEnd"/>
      <w:r w:rsidR="00170819" w:rsidRPr="000A0F89">
        <w:rPr>
          <w:rFonts w:ascii="Book Antiqua" w:hAnsi="Book Antiqua"/>
          <w:i/>
          <w:sz w:val="24"/>
        </w:rPr>
        <w:t xml:space="preserve"> </w:t>
      </w:r>
      <w:proofErr w:type="spellStart"/>
      <w:r w:rsidR="00170819" w:rsidRPr="000A0F89">
        <w:rPr>
          <w:rFonts w:ascii="Book Antiqua" w:hAnsi="Book Antiqua"/>
          <w:i/>
          <w:sz w:val="24"/>
        </w:rPr>
        <w:t>Surg</w:t>
      </w:r>
      <w:proofErr w:type="spellEnd"/>
      <w:r w:rsidR="00170819" w:rsidRPr="000A0F89">
        <w:rPr>
          <w:rFonts w:ascii="Book Antiqua" w:hAnsi="Book Antiqua"/>
          <w:i/>
          <w:sz w:val="24"/>
          <w:lang w:eastAsia="zh-CN"/>
        </w:rPr>
        <w:t xml:space="preserve"> </w:t>
      </w:r>
      <w:r w:rsidR="00526173" w:rsidRPr="000A0F89">
        <w:rPr>
          <w:rFonts w:ascii="Book Antiqua" w:hAnsi="Book Antiqua"/>
          <w:sz w:val="24"/>
        </w:rPr>
        <w:t xml:space="preserve">2015; </w:t>
      </w:r>
      <w:bookmarkStart w:id="48" w:name="OLE_LINK1689"/>
      <w:bookmarkStart w:id="49" w:name="OLE_LINK1298"/>
      <w:bookmarkStart w:id="50" w:name="OLE_LINK1297"/>
      <w:proofErr w:type="gramStart"/>
      <w:r w:rsidR="00526173" w:rsidRPr="000A0F89">
        <w:rPr>
          <w:rFonts w:ascii="Book Antiqua" w:hAnsi="Book Antiqua"/>
          <w:sz w:val="24"/>
        </w:rPr>
        <w:t>In</w:t>
      </w:r>
      <w:proofErr w:type="gramEnd"/>
      <w:r w:rsidR="00526173" w:rsidRPr="000A0F89">
        <w:rPr>
          <w:rFonts w:ascii="Book Antiqua" w:hAnsi="Book Antiqua"/>
          <w:sz w:val="24"/>
        </w:rPr>
        <w:t xml:space="preserve"> press</w:t>
      </w:r>
      <w:bookmarkEnd w:id="48"/>
      <w:bookmarkEnd w:id="49"/>
      <w:bookmarkEnd w:id="50"/>
    </w:p>
    <w:bookmarkEnd w:id="19"/>
    <w:bookmarkEnd w:id="34"/>
    <w:bookmarkEnd w:id="35"/>
    <w:bookmarkEnd w:id="36"/>
    <w:bookmarkEnd w:id="37"/>
    <w:bookmarkEnd w:id="38"/>
    <w:bookmarkEnd w:id="39"/>
    <w:bookmarkEnd w:id="40"/>
    <w:bookmarkEnd w:id="41"/>
    <w:bookmarkEnd w:id="42"/>
    <w:bookmarkEnd w:id="43"/>
    <w:bookmarkEnd w:id="44"/>
    <w:bookmarkEnd w:id="45"/>
    <w:bookmarkEnd w:id="46"/>
    <w:bookmarkEnd w:id="47"/>
    <w:p w14:paraId="4EBDF5C7" w14:textId="77777777" w:rsidR="00A57008" w:rsidRPr="00B77A30" w:rsidRDefault="00A57008" w:rsidP="00CB2DFE">
      <w:pPr>
        <w:spacing w:after="0" w:line="360" w:lineRule="auto"/>
        <w:jc w:val="both"/>
        <w:rPr>
          <w:rFonts w:ascii="Book Antiqua" w:hAnsi="Book Antiqua" w:cs="Times New Roman"/>
          <w:sz w:val="24"/>
          <w:szCs w:val="24"/>
        </w:rPr>
      </w:pPr>
    </w:p>
    <w:p w14:paraId="4EC76560" w14:textId="12E03234" w:rsidR="00411B6C" w:rsidRPr="00B77A30" w:rsidRDefault="00411B6C" w:rsidP="00CB2DFE">
      <w:pPr>
        <w:spacing w:after="0" w:line="360" w:lineRule="auto"/>
        <w:jc w:val="both"/>
        <w:rPr>
          <w:rFonts w:ascii="Book Antiqua" w:hAnsi="Book Antiqua" w:cs="Times New Roman"/>
          <w:i/>
          <w:sz w:val="24"/>
          <w:szCs w:val="24"/>
        </w:rPr>
      </w:pPr>
      <w:r w:rsidRPr="00B77A30">
        <w:rPr>
          <w:rFonts w:ascii="Book Antiqua" w:hAnsi="Book Antiqua" w:cs="Times New Roman"/>
          <w:i/>
          <w:sz w:val="24"/>
          <w:szCs w:val="24"/>
        </w:rPr>
        <w:br w:type="page"/>
      </w:r>
    </w:p>
    <w:p w14:paraId="688AC15C" w14:textId="0C1012BE" w:rsidR="00605BE5" w:rsidRPr="00B77A30" w:rsidRDefault="003E762E" w:rsidP="00CB2DFE">
      <w:pPr>
        <w:spacing w:after="0" w:line="360" w:lineRule="auto"/>
        <w:jc w:val="both"/>
        <w:rPr>
          <w:rFonts w:ascii="Book Antiqua" w:hAnsi="Book Antiqua" w:cs="Times New Roman"/>
          <w:b/>
          <w:sz w:val="24"/>
          <w:szCs w:val="24"/>
        </w:rPr>
      </w:pPr>
      <w:r w:rsidRPr="00B77A30">
        <w:rPr>
          <w:rFonts w:ascii="Book Antiqua" w:hAnsi="Book Antiqua" w:cs="Times New Roman"/>
          <w:b/>
          <w:sz w:val="24"/>
          <w:szCs w:val="24"/>
        </w:rPr>
        <w:lastRenderedPageBreak/>
        <w:t>INTRODUCTION</w:t>
      </w:r>
    </w:p>
    <w:p w14:paraId="1C55AE09" w14:textId="40211CB1" w:rsidR="00892EA4" w:rsidRPr="00B77A30" w:rsidRDefault="00970995" w:rsidP="00CB2DFE">
      <w:pPr>
        <w:spacing w:after="0" w:line="360" w:lineRule="auto"/>
        <w:jc w:val="both"/>
        <w:rPr>
          <w:rFonts w:ascii="Book Antiqua" w:hAnsi="Book Antiqua" w:cs="Times New Roman"/>
          <w:sz w:val="24"/>
          <w:szCs w:val="24"/>
          <w:lang w:eastAsia="zh-CN"/>
        </w:rPr>
      </w:pPr>
      <w:r w:rsidRPr="00B77A30">
        <w:rPr>
          <w:rFonts w:ascii="Book Antiqua" w:hAnsi="Book Antiqua" w:cs="Times New Roman"/>
          <w:sz w:val="24"/>
          <w:szCs w:val="24"/>
        </w:rPr>
        <w:t>The l</w:t>
      </w:r>
      <w:r w:rsidR="00A22AFD" w:rsidRPr="00B77A30">
        <w:rPr>
          <w:rFonts w:ascii="Book Antiqua" w:hAnsi="Book Antiqua" w:cs="Times New Roman"/>
          <w:sz w:val="24"/>
          <w:szCs w:val="24"/>
        </w:rPr>
        <w:t>ife expectancy</w:t>
      </w:r>
      <w:r w:rsidRPr="00B77A30">
        <w:rPr>
          <w:rFonts w:ascii="Book Antiqua" w:hAnsi="Book Antiqua" w:cs="Times New Roman"/>
          <w:sz w:val="24"/>
          <w:szCs w:val="24"/>
        </w:rPr>
        <w:t xml:space="preserve"> of the average person</w:t>
      </w:r>
      <w:r w:rsidR="00473B08" w:rsidRPr="00B77A30">
        <w:rPr>
          <w:rFonts w:ascii="Book Antiqua" w:hAnsi="Book Antiqua" w:cs="Times New Roman"/>
          <w:sz w:val="24"/>
          <w:szCs w:val="24"/>
        </w:rPr>
        <w:t xml:space="preserve"> </w:t>
      </w:r>
      <w:r w:rsidR="00605BE5" w:rsidRPr="00B77A30">
        <w:rPr>
          <w:rFonts w:ascii="Book Antiqua" w:hAnsi="Book Antiqua" w:cs="Times New Roman"/>
          <w:sz w:val="24"/>
          <w:szCs w:val="24"/>
        </w:rPr>
        <w:t xml:space="preserve">doubled </w:t>
      </w:r>
      <w:r w:rsidRPr="00B77A30">
        <w:rPr>
          <w:rFonts w:ascii="Book Antiqua" w:hAnsi="Book Antiqua" w:cs="Times New Roman"/>
          <w:sz w:val="24"/>
          <w:szCs w:val="24"/>
        </w:rPr>
        <w:t>over</w:t>
      </w:r>
      <w:r w:rsidR="00605BE5" w:rsidRPr="00B77A30">
        <w:rPr>
          <w:rFonts w:ascii="Book Antiqua" w:hAnsi="Book Antiqua" w:cs="Times New Roman"/>
          <w:sz w:val="24"/>
          <w:szCs w:val="24"/>
        </w:rPr>
        <w:t xml:space="preserve"> the </w:t>
      </w:r>
      <w:r w:rsidRPr="00B77A30">
        <w:rPr>
          <w:rFonts w:ascii="Book Antiqua" w:hAnsi="Book Antiqua" w:cs="Times New Roman"/>
          <w:sz w:val="24"/>
          <w:szCs w:val="24"/>
        </w:rPr>
        <w:t xml:space="preserve">course of the </w:t>
      </w:r>
      <w:r w:rsidR="00605BE5" w:rsidRPr="00B77A30">
        <w:rPr>
          <w:rFonts w:ascii="Book Antiqua" w:hAnsi="Book Antiqua" w:cs="Times New Roman"/>
          <w:sz w:val="24"/>
          <w:szCs w:val="24"/>
        </w:rPr>
        <w:t>last century.</w:t>
      </w:r>
      <w:r w:rsidR="000A0F89">
        <w:rPr>
          <w:rFonts w:ascii="Book Antiqua" w:hAnsi="Book Antiqua" w:cs="Times New Roman"/>
          <w:sz w:val="24"/>
          <w:szCs w:val="24"/>
        </w:rPr>
        <w:t xml:space="preserve"> </w:t>
      </w:r>
      <w:r w:rsidRPr="00B77A30">
        <w:rPr>
          <w:rFonts w:ascii="Book Antiqua" w:hAnsi="Book Antiqua" w:cs="Times New Roman"/>
          <w:sz w:val="24"/>
          <w:szCs w:val="24"/>
        </w:rPr>
        <w:t>In addition, b</w:t>
      </w:r>
      <w:r w:rsidR="00605BE5" w:rsidRPr="00B77A30">
        <w:rPr>
          <w:rFonts w:ascii="Book Antiqua" w:hAnsi="Book Antiqua" w:cs="Times New Roman"/>
          <w:sz w:val="24"/>
          <w:szCs w:val="24"/>
        </w:rPr>
        <w:t>etween 1982 and 2003 the American population aged over 65 years doubled and the population</w:t>
      </w:r>
      <w:r w:rsidR="00170819" w:rsidRPr="00B77A30">
        <w:rPr>
          <w:rFonts w:ascii="Book Antiqua" w:hAnsi="Book Antiqua" w:cs="Times New Roman"/>
          <w:sz w:val="24"/>
          <w:szCs w:val="24"/>
        </w:rPr>
        <w:t xml:space="preserve"> older than 85 years quadrupled</w:t>
      </w:r>
      <w:r w:rsidR="00AB608C" w:rsidRPr="00B77A30">
        <w:rPr>
          <w:rFonts w:ascii="Book Antiqua" w:hAnsi="Book Antiqua" w:cs="Times New Roman"/>
          <w:sz w:val="24"/>
          <w:szCs w:val="24"/>
        </w:rPr>
        <w:fldChar w:fldCharType="begin" w:fldLock="1"/>
      </w:r>
      <w:r w:rsidR="00AB608C" w:rsidRPr="00B77A30">
        <w:rPr>
          <w:rFonts w:ascii="Book Antiqua" w:hAnsi="Book Antiqua" w:cs="Times New Roman"/>
          <w:sz w:val="24"/>
          <w:szCs w:val="24"/>
        </w:rPr>
        <w:instrText>ADDIN CSL_CITATION { "citationItems" : [ { "id" : "ITEM-1", "itemData" : { "DOI" : "10.1017/S1368980015001950", "ISSN" : "1475-2727", "PMID" : "26088702", "abstract" : "OBJECTIVE: To determine the prevalence of vitamin D supplement use in Canadian adults and associations with demographic and socio-economic variables.\n\nDESIGN: Data from the Healthy Aging module of the Canadian Community Health Survey were used to investigate the prevalence of vitamin D supplement use in Canadians aged 45 years and over. The prevalence of supplement use stratified by various behavioural and demographic characteristics was calculated and adjusted models were used to find associations with those factors.\n\nSETTING: The ten provinces of Canada.\n\nSUBJECTS: Canadians aged 45 years and over who participated in the Healthy Aging module of the Canadian Community Health Survey from 2008-2009.\n\nRESULTS: The highest observed prevalence for women was 48\u00b70 % in the 65-69 years age group and the highest prevalence for men was 25\u00b73 % in the 70-74 years age group. Women had higher odds of vitamin D supplement use than men in all age groups. Not using supplements was more common in smokers, those who did not engage in leisure-time physical activities and who were either overweight or obese. Vitamin D supplement use increased with household income and level of education, and decreased with self-perceived health. Supplement use was higher in those with chronic conditions.\n\nCONCLUSIONS: The inverse association with self-perceived health could be partly explained by age, chronic conditions and increased use of health-care services. Associations with higher income and education suggest a strong socio-economic influence and that individuals may not have the expendable income to purchase vitamin D supplements or knowledge of their health benefits.", "author" : [ { "dropping-particle" : "", "family" : "McCormack", "given" : "Daniel", "non-dropping-particle" : "", "parse-names" : false, "suffix" : "" }, { "dropping-particle" : "", "family" : "Mai", "given" : "Xiaomei", "non-dropping-particle" : "", "parse-names" : false, "suffix" : "" }, { "dropping-particle" : "", "family" : "Chen", "given" : "Yue", "non-dropping-particle" : "", "parse-names" : false, "suffix" : "" } ], "container-title" : "Public health nutrition", "id" : "ITEM-1", "issued" : { "date-parts" : [ [ "2015", "6", "19" ] ] }, "page" : "1-7", "title" : "Determinants of vitamin D supplement use in Canadians.", "type" : "article-journal" }, "uris" : [ "http://www.mendeley.com/documents/?uuid=df386d70-75a4-46f0-a3b3-8ebf9d582529" ] } ], "mendeley" : { "formattedCitation" : "&lt;sup&gt;[1]&lt;/sup&gt;", "plainTextFormattedCitation" : "[1]", "previouslyFormattedCitation" : "&lt;sup&gt;[1]&lt;/sup&gt;" }, "properties" : { "noteIndex" : 0 }, "schema" : "https://github.com/citation-style-language/schema/raw/master/csl-citation.json" }</w:instrText>
      </w:r>
      <w:r w:rsidR="00AB608C" w:rsidRPr="00B77A30">
        <w:rPr>
          <w:rFonts w:ascii="Book Antiqua" w:hAnsi="Book Antiqua" w:cs="Times New Roman"/>
          <w:sz w:val="24"/>
          <w:szCs w:val="24"/>
        </w:rPr>
        <w:fldChar w:fldCharType="separate"/>
      </w:r>
      <w:r w:rsidR="00AB608C" w:rsidRPr="00B77A30">
        <w:rPr>
          <w:rFonts w:ascii="Book Antiqua" w:hAnsi="Book Antiqua" w:cs="Times New Roman"/>
          <w:noProof/>
          <w:sz w:val="24"/>
          <w:szCs w:val="24"/>
          <w:vertAlign w:val="superscript"/>
        </w:rPr>
        <w:t>[1]</w:t>
      </w:r>
      <w:r w:rsidR="00AB608C"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 xml:space="preserve">. </w:t>
      </w:r>
      <w:r w:rsidR="000C265B" w:rsidRPr="00B77A30">
        <w:rPr>
          <w:rFonts w:ascii="Book Antiqua" w:hAnsi="Book Antiqua" w:cs="Times New Roman"/>
          <w:sz w:val="24"/>
          <w:szCs w:val="24"/>
        </w:rPr>
        <w:t xml:space="preserve">According </w:t>
      </w:r>
      <w:r w:rsidR="00731F01" w:rsidRPr="00B77A30">
        <w:rPr>
          <w:rFonts w:ascii="Book Antiqua" w:hAnsi="Book Antiqua" w:cs="Times New Roman"/>
          <w:sz w:val="24"/>
          <w:szCs w:val="24"/>
        </w:rPr>
        <w:t>to the United States</w:t>
      </w:r>
      <w:r w:rsidR="00BD5714" w:rsidRPr="00B77A30">
        <w:rPr>
          <w:rFonts w:ascii="Book Antiqua" w:hAnsi="Book Antiqua" w:cs="Times New Roman"/>
          <w:sz w:val="24"/>
          <w:szCs w:val="24"/>
        </w:rPr>
        <w:t xml:space="preserve"> (US)</w:t>
      </w:r>
      <w:r w:rsidR="00F76C1A" w:rsidRPr="00B77A30">
        <w:rPr>
          <w:rFonts w:ascii="Book Antiqua" w:hAnsi="Book Antiqua" w:cs="Times New Roman"/>
          <w:sz w:val="24"/>
          <w:szCs w:val="24"/>
        </w:rPr>
        <w:t xml:space="preserve"> c</w:t>
      </w:r>
      <w:r w:rsidR="00605BE5" w:rsidRPr="00B77A30">
        <w:rPr>
          <w:rFonts w:ascii="Book Antiqua" w:hAnsi="Book Antiqua" w:cs="Times New Roman"/>
          <w:sz w:val="24"/>
          <w:szCs w:val="24"/>
        </w:rPr>
        <w:t xml:space="preserve">ensus bureau 20% of Americans will be </w:t>
      </w:r>
      <w:r w:rsidR="00AD22F9" w:rsidRPr="00B77A30">
        <w:rPr>
          <w:rFonts w:ascii="Book Antiqua" w:hAnsi="Book Antiqua" w:cs="Times New Roman"/>
          <w:sz w:val="24"/>
          <w:szCs w:val="24"/>
        </w:rPr>
        <w:t>older than</w:t>
      </w:r>
      <w:r w:rsidR="00605BE5" w:rsidRPr="00B77A30">
        <w:rPr>
          <w:rFonts w:ascii="Book Antiqua" w:hAnsi="Book Antiqua" w:cs="Times New Roman"/>
          <w:sz w:val="24"/>
          <w:szCs w:val="24"/>
        </w:rPr>
        <w:t xml:space="preserve"> 65 years in 2030</w:t>
      </w:r>
      <w:r w:rsidR="00473B08" w:rsidRPr="00B77A30">
        <w:rPr>
          <w:rFonts w:ascii="Book Antiqua" w:hAnsi="Book Antiqua" w:cs="Times New Roman"/>
          <w:sz w:val="24"/>
          <w:szCs w:val="24"/>
        </w:rPr>
        <w:t xml:space="preserve"> and half of them will </w:t>
      </w:r>
      <w:r w:rsidR="000A1482" w:rsidRPr="00B77A30">
        <w:rPr>
          <w:rFonts w:ascii="Book Antiqua" w:hAnsi="Book Antiqua" w:cs="Times New Roman"/>
          <w:sz w:val="24"/>
          <w:szCs w:val="24"/>
        </w:rPr>
        <w:t>need</w:t>
      </w:r>
      <w:r w:rsidR="00473B08" w:rsidRPr="00B77A30">
        <w:rPr>
          <w:rFonts w:ascii="Book Antiqua" w:hAnsi="Book Antiqua" w:cs="Times New Roman"/>
          <w:sz w:val="24"/>
          <w:szCs w:val="24"/>
        </w:rPr>
        <w:t xml:space="preserve"> an operation </w:t>
      </w:r>
      <w:r w:rsidR="00E477E7" w:rsidRPr="00B77A30">
        <w:rPr>
          <w:rFonts w:ascii="Book Antiqua" w:hAnsi="Book Antiqua" w:cs="Times New Roman"/>
          <w:sz w:val="24"/>
          <w:szCs w:val="24"/>
        </w:rPr>
        <w:t>–</w:t>
      </w:r>
      <w:r w:rsidR="00605BE5" w:rsidRPr="00B77A30">
        <w:rPr>
          <w:rFonts w:ascii="Book Antiqua" w:hAnsi="Book Antiqua" w:cs="Times New Roman"/>
          <w:sz w:val="24"/>
          <w:szCs w:val="24"/>
        </w:rPr>
        <w:t xml:space="preserve"> </w:t>
      </w:r>
      <w:r w:rsidR="004E5A43" w:rsidRPr="00B77A30">
        <w:rPr>
          <w:rFonts w:ascii="Book Antiqua" w:hAnsi="Book Antiqua" w:cs="Times New Roman"/>
          <w:sz w:val="24"/>
          <w:szCs w:val="24"/>
        </w:rPr>
        <w:t>equating to</w:t>
      </w:r>
      <w:r w:rsidR="00E477E7" w:rsidRPr="00B77A30">
        <w:rPr>
          <w:rFonts w:ascii="Book Antiqua" w:hAnsi="Book Antiqua" w:cs="Times New Roman"/>
          <w:sz w:val="24"/>
          <w:szCs w:val="24"/>
        </w:rPr>
        <w:t xml:space="preserve"> about</w:t>
      </w:r>
      <w:r w:rsidR="00473B08" w:rsidRPr="00B77A30">
        <w:rPr>
          <w:rFonts w:ascii="Book Antiqua" w:hAnsi="Book Antiqua" w:cs="Times New Roman"/>
          <w:sz w:val="24"/>
          <w:szCs w:val="24"/>
        </w:rPr>
        <w:t xml:space="preserve"> 36 million </w:t>
      </w:r>
      <w:r w:rsidR="000C265B" w:rsidRPr="00B77A30">
        <w:rPr>
          <w:rFonts w:ascii="Book Antiqua" w:hAnsi="Book Antiqua" w:cs="Times New Roman"/>
          <w:sz w:val="24"/>
          <w:szCs w:val="24"/>
        </w:rPr>
        <w:t xml:space="preserve">older </w:t>
      </w:r>
      <w:r w:rsidR="000A1482" w:rsidRPr="00B77A30">
        <w:rPr>
          <w:rFonts w:ascii="Book Antiqua" w:hAnsi="Book Antiqua" w:cs="Times New Roman"/>
          <w:sz w:val="24"/>
          <w:szCs w:val="24"/>
        </w:rPr>
        <w:t>surgical patients</w:t>
      </w:r>
      <w:r w:rsidR="00AB608C" w:rsidRPr="00B77A30">
        <w:rPr>
          <w:rFonts w:ascii="Book Antiqua" w:hAnsi="Book Antiqua" w:cs="Times New Roman"/>
          <w:sz w:val="24"/>
          <w:szCs w:val="24"/>
        </w:rPr>
        <w:fldChar w:fldCharType="begin" w:fldLock="1"/>
      </w:r>
      <w:r w:rsidR="00AB608C" w:rsidRPr="00B77A30">
        <w:rPr>
          <w:rFonts w:ascii="Book Antiqua" w:hAnsi="Book Antiqua" w:cs="Times New Roman"/>
          <w:sz w:val="24"/>
          <w:szCs w:val="24"/>
        </w:rPr>
        <w:instrText>ADDIN CSL_CITATION { "citationItems" : [ { "id" : "ITEM-1", "itemData" : { "ISSN" : "0083-1972", "PMID" : "24819891", "abstract" : "OBJECTIVES: This report presents detailed tables from the 2012 National Health Interview Survey (NHIS) for the civilian noninstitutionalized adult population, classified by sex, age, race and Hispanic origin, education, current employment status, family income, poverty status, health insurance coverage, marital status, and place and region of residence. Estimates (frequencies and percentages) are presented for selected chronic conditions and mental health characteristics, functional limitations, health status, health behaviors, health care access and utilization, and human immunodeficiency virus testing. Percentages and percent distributions are presented in both age-adjusted and unadjusted versions.\n\nDATA SOURCE: NHIS is a household, multistage probability sample survey conducted annually by interviewers of the U.S. Census Bureau for the Centers for Disease Control and Prevention's National Center for Health Statistics. In 2012, data were collected on 34,525 adults in the Sample Adult questionnaire. The conditional response rate was 79.7%, and the final response rate was 61.2%. The health information for adults in this report was obtained from one randomly selected adult per family.\n\nHIGHLIGHTS: In 2012, 61% of adults aged 18 and over had excellent or very good health. Eleven percent of adults had been told by a doctor or other health professional that they had heart disease, 24% had been told on two or more visits that they had hypertension, 9% had been told that they had diabetes, and 21% had been told that they had some for of arthritis, rheumatoid arthritis, gout, lupus, or fibromyalgia. Eighteen percent of adults were current smokers and 21% were former smokers. Based on estimates of body mass index, 35% of adults were overweight and 28% were obese.", "author" : [ { "dropping-particle" : "", "family" : "Blackwell", "given" : "Debra L", "non-dropping-particle" : "", "parse-names" : false, "suffix" : "" }, { "dropping-particle" : "", "family" : "Lucas", "given" : "Jacqueline W", "non-dropping-particle" : "", "parse-names" : false, "suffix" : "" }, { "dropping-particle" : "", "family" : "Clarke", "given" : "Tainya C", "non-dropping-particle" : "", "parse-names" : false, "suffix" : "" } ], "container-title" : "Vital and health statistics. Series 10, Data from the National Health Survey", "id" : "ITEM-1", "issue" : "260", "issued" : { "date-parts" : [ [ "2014", "2" ] ] }, "page" : "1-161", "title" : "Summary health statistics for U.S. adults: national health interview survey, 2012.", "type" : "article-journal" }, "uris" : [ "http://www.mendeley.com/documents/?uuid=a6195aeb-4cb1-46f7-97b4-80dd647801ba" ] } ], "mendeley" : { "formattedCitation" : "&lt;sup&gt;[2]&lt;/sup&gt;", "plainTextFormattedCitation" : "[2]", "previouslyFormattedCitation" : "&lt;sup&gt;[2]&lt;/sup&gt;" }, "properties" : { "noteIndex" : 0 }, "schema" : "https://github.com/citation-style-language/schema/raw/master/csl-citation.json" }</w:instrText>
      </w:r>
      <w:r w:rsidR="00AB608C" w:rsidRPr="00B77A30">
        <w:rPr>
          <w:rFonts w:ascii="Book Antiqua" w:hAnsi="Book Antiqua" w:cs="Times New Roman"/>
          <w:sz w:val="24"/>
          <w:szCs w:val="24"/>
        </w:rPr>
        <w:fldChar w:fldCharType="separate"/>
      </w:r>
      <w:r w:rsidR="00AB608C" w:rsidRPr="00B77A30">
        <w:rPr>
          <w:rFonts w:ascii="Book Antiqua" w:hAnsi="Book Antiqua" w:cs="Times New Roman"/>
          <w:noProof/>
          <w:sz w:val="24"/>
          <w:szCs w:val="24"/>
          <w:vertAlign w:val="superscript"/>
        </w:rPr>
        <w:t>[2]</w:t>
      </w:r>
      <w:r w:rsidR="00AB608C"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 xml:space="preserve">. </w:t>
      </w:r>
      <w:r w:rsidR="00961BC0" w:rsidRPr="00B77A30">
        <w:rPr>
          <w:rFonts w:ascii="Book Antiqua" w:hAnsi="Book Antiqua" w:cs="Times New Roman"/>
          <w:sz w:val="24"/>
          <w:szCs w:val="24"/>
        </w:rPr>
        <w:t>T</w:t>
      </w:r>
      <w:r w:rsidR="000C265B" w:rsidRPr="00B77A30">
        <w:rPr>
          <w:rFonts w:ascii="Book Antiqua" w:hAnsi="Book Antiqua" w:cs="Times New Roman"/>
          <w:sz w:val="24"/>
          <w:szCs w:val="24"/>
        </w:rPr>
        <w:t>he process of a</w:t>
      </w:r>
      <w:r w:rsidR="00C567F3" w:rsidRPr="00B77A30">
        <w:rPr>
          <w:rFonts w:ascii="Book Antiqua" w:hAnsi="Book Antiqua" w:cs="Times New Roman"/>
          <w:sz w:val="24"/>
          <w:szCs w:val="24"/>
        </w:rPr>
        <w:t>g</w:t>
      </w:r>
      <w:r w:rsidR="00892EA4" w:rsidRPr="00B77A30">
        <w:rPr>
          <w:rFonts w:ascii="Book Antiqua" w:hAnsi="Book Antiqua" w:cs="Times New Roman"/>
          <w:sz w:val="24"/>
          <w:szCs w:val="24"/>
        </w:rPr>
        <w:t>ing is associated with an increasing prevalence of frailty, comorbidities, a decline of functional reserve and a progressive restriction in personal and social resources</w:t>
      </w:r>
      <w:r w:rsidR="00961BC0" w:rsidRPr="00B77A30">
        <w:rPr>
          <w:rFonts w:ascii="Book Antiqua" w:hAnsi="Book Antiqua" w:cs="Times New Roman"/>
          <w:sz w:val="24"/>
          <w:szCs w:val="24"/>
        </w:rPr>
        <w:t xml:space="preserve">. All of </w:t>
      </w:r>
      <w:r w:rsidR="00D61838" w:rsidRPr="00B77A30">
        <w:rPr>
          <w:rFonts w:ascii="Book Antiqua" w:hAnsi="Book Antiqua" w:cs="Times New Roman"/>
          <w:sz w:val="24"/>
          <w:szCs w:val="24"/>
        </w:rPr>
        <w:t xml:space="preserve">these factors can </w:t>
      </w:r>
      <w:r w:rsidR="00961BC0" w:rsidRPr="00B77A30">
        <w:rPr>
          <w:rFonts w:ascii="Book Antiqua" w:hAnsi="Book Antiqua" w:cs="Times New Roman"/>
          <w:sz w:val="24"/>
          <w:szCs w:val="24"/>
        </w:rPr>
        <w:t>contribute to l</w:t>
      </w:r>
      <w:r w:rsidR="00892EA4" w:rsidRPr="00B77A30">
        <w:rPr>
          <w:rFonts w:ascii="Book Antiqua" w:hAnsi="Book Antiqua" w:cs="Times New Roman"/>
          <w:sz w:val="24"/>
          <w:szCs w:val="24"/>
        </w:rPr>
        <w:t>ess favorable</w:t>
      </w:r>
      <w:r w:rsidR="00BB39EB" w:rsidRPr="00B77A30">
        <w:rPr>
          <w:rFonts w:ascii="Book Antiqua" w:hAnsi="Book Antiqua" w:cs="Times New Roman"/>
          <w:sz w:val="24"/>
          <w:szCs w:val="24"/>
        </w:rPr>
        <w:t xml:space="preserve"> postoperative</w:t>
      </w:r>
      <w:r w:rsidR="00892EA4" w:rsidRPr="00B77A30">
        <w:rPr>
          <w:rFonts w:ascii="Book Antiqua" w:hAnsi="Book Antiqua" w:cs="Times New Roman"/>
          <w:sz w:val="24"/>
          <w:szCs w:val="24"/>
        </w:rPr>
        <w:t xml:space="preserve"> outcome</w:t>
      </w:r>
      <w:r w:rsidR="00961BC0" w:rsidRPr="00B77A30">
        <w:rPr>
          <w:rFonts w:ascii="Book Antiqua" w:hAnsi="Book Antiqua" w:cs="Times New Roman"/>
          <w:sz w:val="24"/>
          <w:szCs w:val="24"/>
        </w:rPr>
        <w:t>s</w:t>
      </w:r>
      <w:r w:rsidR="00892EA4" w:rsidRPr="00B77A30">
        <w:rPr>
          <w:rFonts w:ascii="Book Antiqua" w:hAnsi="Book Antiqua" w:cs="Times New Roman"/>
          <w:sz w:val="24"/>
          <w:szCs w:val="24"/>
        </w:rPr>
        <w:t xml:space="preserve"> </w:t>
      </w:r>
      <w:r w:rsidR="00D61838" w:rsidRPr="00B77A30">
        <w:rPr>
          <w:rFonts w:ascii="Book Antiqua" w:hAnsi="Book Antiqua" w:cs="Times New Roman"/>
          <w:sz w:val="24"/>
          <w:szCs w:val="24"/>
        </w:rPr>
        <w:t>among older patients</w:t>
      </w:r>
      <w:r w:rsidR="00AB608C" w:rsidRPr="00B77A30">
        <w:rPr>
          <w:rFonts w:ascii="Book Antiqua" w:hAnsi="Book Antiqua" w:cs="Times New Roman"/>
          <w:sz w:val="24"/>
          <w:szCs w:val="24"/>
        </w:rPr>
        <w:fldChar w:fldCharType="begin" w:fldLock="1"/>
      </w:r>
      <w:r w:rsidR="00AB608C" w:rsidRPr="00B77A30">
        <w:rPr>
          <w:rFonts w:ascii="Book Antiqua" w:hAnsi="Book Antiqua" w:cs="Times New Roman"/>
          <w:sz w:val="24"/>
          <w:szCs w:val="24"/>
        </w:rPr>
        <w:instrText>ADDIN CSL_CITATION { "citationItems" : [ { "id" : "ITEM-1", "itemData" : { "DOI" : "10.1245/s10434-010-1327-2", "ISSN" : "1534-4681", "PMID" : "20859696", "author" : [ { "dropping-particle" : "", "family" : "Audisio", "given" : "Riccardo A", "non-dropping-particle" : "", "parse-names" : false, "suffix" : "" }, { "dropping-particle" : "", "family" : "Leeuwen", "given" : "Barbara", "non-dropping-particle" : "van", "parse-names" : false, "suffix" : "" } ], "container-title" : "Annals of surgical oncology", "id" : "ITEM-1", "issue" : "1", "issued" : { "date-parts" : [ [ "2011", "1" ] ] }, "page" : "4-5", "title" : "When reporting on older patients with cancer, frailty information is needed.", "type" : "article-journal", "volume" : "18" }, "uris" : [ "http://www.mendeley.com/documents/?uuid=a96c6a85-ebf3-4f23-aa48-dc85c6a4c082" ] } ], "mendeley" : { "formattedCitation" : "&lt;sup&gt;[3]&lt;/sup&gt;", "plainTextFormattedCitation" : "[3]", "previouslyFormattedCitation" : "&lt;sup&gt;[3]&lt;/sup&gt;" }, "properties" : { "noteIndex" : 0 }, "schema" : "https://github.com/citation-style-language/schema/raw/master/csl-citation.json" }</w:instrText>
      </w:r>
      <w:r w:rsidR="00AB608C" w:rsidRPr="00B77A30">
        <w:rPr>
          <w:rFonts w:ascii="Book Antiqua" w:hAnsi="Book Antiqua" w:cs="Times New Roman"/>
          <w:sz w:val="24"/>
          <w:szCs w:val="24"/>
        </w:rPr>
        <w:fldChar w:fldCharType="separate"/>
      </w:r>
      <w:r w:rsidR="00AB608C" w:rsidRPr="00B77A30">
        <w:rPr>
          <w:rFonts w:ascii="Book Antiqua" w:hAnsi="Book Antiqua" w:cs="Times New Roman"/>
          <w:noProof/>
          <w:sz w:val="24"/>
          <w:szCs w:val="24"/>
          <w:vertAlign w:val="superscript"/>
        </w:rPr>
        <w:t>[3]</w:t>
      </w:r>
      <w:r w:rsidR="00AB608C"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 xml:space="preserve">. </w:t>
      </w:r>
      <w:r w:rsidR="00E477E7" w:rsidRPr="00B77A30">
        <w:rPr>
          <w:rFonts w:ascii="Book Antiqua" w:hAnsi="Book Antiqua" w:cs="Times New Roman"/>
          <w:sz w:val="24"/>
          <w:szCs w:val="24"/>
        </w:rPr>
        <w:t>Older</w:t>
      </w:r>
      <w:r w:rsidR="000C265B" w:rsidRPr="00B77A30">
        <w:rPr>
          <w:rFonts w:ascii="Book Antiqua" w:hAnsi="Book Antiqua" w:cs="Times New Roman"/>
          <w:sz w:val="24"/>
          <w:szCs w:val="24"/>
        </w:rPr>
        <w:t xml:space="preserve"> </w:t>
      </w:r>
      <w:r w:rsidR="00892EA4" w:rsidRPr="00B77A30">
        <w:rPr>
          <w:rFonts w:ascii="Book Antiqua" w:hAnsi="Book Antiqua" w:cs="Times New Roman"/>
          <w:sz w:val="24"/>
          <w:szCs w:val="24"/>
        </w:rPr>
        <w:t>patients are at increased risk for complications which include delirium, urinary incontinence, pressure ulcers, depression, infection, functional d</w:t>
      </w:r>
      <w:r w:rsidR="007F7DE3" w:rsidRPr="00B77A30">
        <w:rPr>
          <w:rFonts w:ascii="Book Antiqua" w:hAnsi="Book Antiqua" w:cs="Times New Roman"/>
          <w:sz w:val="24"/>
          <w:szCs w:val="24"/>
        </w:rPr>
        <w:t>ecline and adverse drug affects</w:t>
      </w:r>
      <w:r w:rsidR="00AB608C" w:rsidRPr="00B77A30">
        <w:rPr>
          <w:rFonts w:ascii="Book Antiqua" w:hAnsi="Book Antiqua" w:cs="Times New Roman"/>
          <w:sz w:val="24"/>
          <w:szCs w:val="24"/>
        </w:rPr>
        <w:fldChar w:fldCharType="begin" w:fldLock="1"/>
      </w:r>
      <w:r w:rsidR="00AB608C" w:rsidRPr="00B77A30">
        <w:rPr>
          <w:rFonts w:ascii="Book Antiqua" w:hAnsi="Book Antiqua" w:cs="Times New Roman"/>
          <w:sz w:val="24"/>
          <w:szCs w:val="24"/>
        </w:rPr>
        <w:instrText>ADDIN CSL_CITATION { "citationItems" : [ { "id" : "ITEM-1", "itemData" : { "DOI" : "10.1016/j.suronc.2009.11.011", "ISSN" : "1879-3320", "PMID" : "20004566", "abstract" : "Aging itself only minimally increases operative risk, but with aging, there is an increase of the prevalence of chronic diseases and a progressive deterioration of organ function. Aging is associated with a progressive decrease in heart, lung and kidney performance. Under normal conditions, these physiologic changes do not produce any problems for the elderly, but when these patients are subjected to the stress of surgery or its complications, there may be inadequate functional reserve. It is very important to know age-related patho-physiological changes in order to be able to better evaluate elderly patients undergoing surgery, and to prevent and manage preoperative complications. In this review we try to identify and to describe the most frequent physiological changes in the elderly, how those impact pharmacodynamic and pharmacokinetic parameters, and how to assess and manage them.", "author" : [ { "dropping-particle" : "", "family" : "Colloca", "given" : "Giuseppe", "non-dropping-particle" : "", "parse-names" : false, "suffix" : "" }, { "dropping-particle" : "", "family" : "Santoro", "given" : "Michaela", "non-dropping-particle" : "", "parse-names" : false, "suffix" : "" }, { "dropping-particle" : "", "family" : "Gambassi", "given" : "Giovanni", "non-dropping-particle" : "", "parse-names" : false, "suffix" : "" } ], "container-title" : "Surgical oncology", "id" : "ITEM-1", "issue" : "3", "issued" : { "date-parts" : [ [ "2010", "9" ] ] }, "page" : "124-30", "title" : "Age-related physiologic changes and perioperative management of elderly patients.", "type" : "article-journal", "volume" : "19" }, "uris" : [ "http://www.mendeley.com/documents/?uuid=b6764d21-7215-4000-a936-a4ebcd469f5c" ] }, { "id" : "ITEM-2", "itemData" : { "ISSN" : "1528-9117", "PMID" : "16393479", "abstract" : "A gradual diminution in the physiologic reserve or functional capacity over time is the characteristic hallmark of aging, and this has a direct impact on the choice of cancer therapy and its toxicity profile in elderly patients with cancer. With the expected rapid rise of the older population as a subgroup, oncologists will increasingly treat elderly patients. Provision of competent care to this increasing pool of older patients with cancer necessitates that oncology professionals become familiar with age-associated changes in organ physiology and their impact on cancer treatment and toxicity. In this comprehensive review, we have listed changes in cardiovascular, gastrointestinal, pulmonary, and renal physiology with aging. Also enumerated is the impact of these changes on cancer therapy and toxicity in each organ system-based section. Cardiovascular changes primarily lead to reduction of the cardiac functional reserve, with a consequent increase in the risk of congestive heart failure. Changes in gastrointestinal physiology lead to increased mucosal damage. A reduction in pulmonary reserve has implications for postradiation complications, and a decline in renal function leads to an increased potential for nephrotoxicity. These changes impair the ability of older patients with cancer to tolerate cancer therapy and increase their risk of toxicities. This may lead to an overall decline in functional status, resulting frailty, poor quality of life, and ultimately poor outcomes. Becoming familiar with age-related physiologic changes is the first step for oncologists seeking to better tailor their treatments. This, combined with adoption of some of the clinical interventions suggested in this review, can help better manage the geriatric oncology patient. Further research is necessary for the development of more specific evidence-based recommendations.", "author" : [ { "dropping-particle" : "", "family" : "Sawhney", "given" : "Rishi", "non-dropping-particle" : "", "parse-names" : false, "suffix" : "" }, { "dropping-particle" : "", "family" : "Sehl", "given" : "Mary", "non-dropping-particle" : "", "parse-names" : false, "suffix" : "" }, { "dropping-particle" : "", "family" : "Naeim", "given" : "Arash", "non-dropping-particle" : "", "parse-names" : false, "suffix" : "" } ], "container-title" : "Cancer journal (Sudbury, Mass.)", "id" : "ITEM-2", "issue" : "6", "issued" : { "date-parts" : [ [ "0", "1" ] ] }, "page" : "449-60", "title" : "Physiologic aspects of aging: impact on cancer management and decision making, part I.", "type" : "article-journal", "volume" : "11" }, "uris" : [ "http://www.mendeley.com/documents/?uuid=589e84e6-c8c5-4324-b103-7baaab3a7053" ] }, { "id" : "ITEM-3", "itemData" : { "DOI" : "10.1097/SLA.0b013e3181b45598", "ISSN" : "1528-1140", "PMID" : "19730176", "abstract" : "OBJECTIVES: (1) Determine the relationship of geriatric assessment markers to 6-month postoperative mortality in elderly patients. (2) Create a clinical prediction rule using geriatric markers from preoperative assessment.\n\nBACKGROUND: Geriatric surgery patients have unique physiologic vulnerability requiring preoperative assessment beyond the traditional evaluation of older adults. The constellation of frailty, disability and comorbidity predict poor outcomes in elderly hospitalized patients.\n\nMETHODS: Prospectively, subjects &gt; or =65 years undergoing a major operation requiring postoperative intensive care unit admission were enrolled. Preoperative geriatric assessments included: Mini-Cog Test (cognition), albumin, having fallen in the past 6-months, hematocrit, Katz Score (function), and Charlson Index (comorbidities). Outcome measures included 6-month mortality (primary) and postdischarge institutionalization (secondary).\n\nRESULTS: One hundred ten subjects (age 74 +/- 6 years) were studied. Six-month mortality was 15% (16/110). Preoperative markers related to 6-month mortality included: impaired cognition (P &lt; 0.01), recent falls (P &lt; 0.01), lower albumin (P &lt; 0.01), greater anemia (P &lt; 0.01), functional dependence (P &lt; 0.01), and increased comorbidities (P &lt; 0.01). Similar statistical relationships were found for all 6 markers and postdischarge institutionalization. Logistic regression identified any functional dependence (odds ratio 13.9) as the strongest predictor of 6-month mortality. Four or more markers in any one patient predicted 6-month mortality with a sensitivity of 81% (13/16) and specificity of 86% (81/94).\n\nCONCLUSIONS: Geriatric assessment markers for frailty, disability and comorbidity predict 6-month postoperative mortality and postdischarge institutionalization. The preoperative presence of &gt; or =4 geriatric-specific markers has high sensitivity and specificity for 6-month mortality. Preoperative assessment using geriatric-specific markers is a substantial paradigm shift from the traditional preoperative evaluation of older adults.", "author" : [ { "dropping-particle" : "", "family" : "Robinson", "given" : "Thomas N", "non-dropping-particle" : "", "parse-names" : false, "suffix" : "" }, { "dropping-particle" : "", "family" : "Eiseman", "given" : "Ben", "non-dropping-particle" : "", "parse-names" : false, "suffix" : "" }, { "dropping-particle" : "", "family" : "Wallace", "given" : "Jeffrey I", "non-dropping-particle" : "", "parse-names" : false, "suffix" : "" }, { "dropping-particle" : "", "family" : "Church", "given" : "Skotti D", "non-dropping-particle" : "", "parse-names" : false, "suffix" : "" }, { "dropping-particle" : "", "family" : "McFann", "given" : "Kim K", "non-dropping-particle" : "", "parse-names" : false, "suffix" : "" }, { "dropping-particle" : "", "family" : "Pfister", "given" : "Shirley M", "non-dropping-particle" : "", "parse-names" : false, "suffix" : "" }, { "dropping-particle" : "", "family" : "Sharp", "given" : "Terra J", "non-dropping-particle" : "", "parse-names" : false, "suffix" : "" }, { "dropping-particle" : "", "family" : "Moss", "given" : "Marc", "non-dropping-particle" : "", "parse-names" : false, "suffix" : "" } ], "container-title" : "Annals of surgery", "id" : "ITEM-3", "issue" : "3", "issued" : { "date-parts" : [ [ "2009", "9" ] ] }, "page" : "449-55", "title" : "Redefining geriatric preoperative assessment using frailty, disability and co-morbidity.", "type" : "article-journal", "volume" : "250" }, "uris" : [ "http://www.mendeley.com/documents/?uuid=7aef4a2b-0dcf-4a6c-b001-76cc04446fa3" ] }, { "id" : "ITEM-4", "itemData" : { "ISSN" : "0003-4819", "PMID" : "8417639", "abstract" : "For many older persons, hospitalization results in functional decline despite cure or repair of the condition for which they were admitted. Hospitalization can result in complications unrelated to the problem that caused admission or to its specific treatment for reasons that are explainable and avoidable. Usual aging is often associated with functional change, such as a decline in muscle strength and aerobic capacity; vasomotor instability; reduced bone density; diminished pulmonary ventilation; altered sensory continence, appetite, and thirst; and a tendency toward urinary incontinence. Hospitalization and bed rest superimpose factors such as enforced immobilization, reduction of plasma volume, accelerated bone loss, increased closing volume, and sensory deprivation. Any of these factors may thrust vulnerable older persons into a state of irreversible functional decline. The factors that contribute to a cascade to dependency are identifiable and can be avoided by modification of the usual acute hospital environment by deemphasizing bed rest, removing the hazard of the high hospital bed with rails, and actively facilitating ambulation and socialization. The relationships among physicians, nurses, and other health professionals must reflect the importance of interdisciplinary care and the implementation of shared objectives.", "author" : [ { "dropping-particle" : "", "family" : "Creditor", "given" : "M C", "non-dropping-particle" : "", "parse-names" : false, "suffix" : "" } ], "container-title" : "Annals of internal medicine", "id" : "ITEM-4", "issue" : "3", "issued" : { "date-parts" : [ [ "1993", "2", "1" ] ] }, "page" : "219-23", "title" : "Hazards of hospitalization of the elderly.", "type" : "article-journal", "volume" : "118" }, "uris" : [ "http://www.mendeley.com/documents/?uuid=385db3f1-fcc1-481a-b70d-22ca44d5624e" ] }, { "id" : "ITEM-5", "itemData" : { "DOI" : "10.1056/NEJMra052321", "ISSN" : "1533-4406", "PMID" : "16540616", "author" : [ { "dropping-particle" : "", "family" : "Inouye", "given" : "Sharon K", "non-dropping-particle" : "", "parse-names" : false, "suffix" : "" } ], "container-title" : "The New England journal of medicine", "id" : "ITEM-5", "issue" : "11", "issued" : { "date-parts" : [ [ "2006", "3", "16" ] ] }, "page" : "1157-65", "title" : "Delirium in older persons.", "type" : "article-journal", "volume" : "354" }, "uris" : [ "http://www.mendeley.com/documents/?uuid=9c0d04e8-f4f3-4786-b197-edb8af1ec1c4" ] } ], "mendeley" : { "formattedCitation" : "&lt;sup&gt;[4\u20138]&lt;/sup&gt;", "plainTextFormattedCitation" : "[4\u20138]", "previouslyFormattedCitation" : "&lt;sup&gt;[4\u20138]&lt;/sup&gt;" }, "properties" : { "noteIndex" : 0 }, "schema" : "https://github.com/citation-style-language/schema/raw/master/csl-citation.json" }</w:instrText>
      </w:r>
      <w:r w:rsidR="00AB608C" w:rsidRPr="00B77A30">
        <w:rPr>
          <w:rFonts w:ascii="Book Antiqua" w:hAnsi="Book Antiqua" w:cs="Times New Roman"/>
          <w:sz w:val="24"/>
          <w:szCs w:val="24"/>
        </w:rPr>
        <w:fldChar w:fldCharType="separate"/>
      </w:r>
      <w:r w:rsidR="00AB608C" w:rsidRPr="00B77A30">
        <w:rPr>
          <w:rFonts w:ascii="Book Antiqua" w:hAnsi="Book Antiqua" w:cs="Times New Roman"/>
          <w:noProof/>
          <w:sz w:val="24"/>
          <w:szCs w:val="24"/>
          <w:vertAlign w:val="superscript"/>
        </w:rPr>
        <w:t>[4–8]</w:t>
      </w:r>
      <w:r w:rsidR="00AB608C"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 xml:space="preserve">. </w:t>
      </w:r>
      <w:r w:rsidR="00892EA4" w:rsidRPr="00B77A30">
        <w:rPr>
          <w:rFonts w:ascii="Book Antiqua" w:hAnsi="Book Antiqua" w:cs="Times New Roman"/>
          <w:sz w:val="24"/>
          <w:szCs w:val="24"/>
        </w:rPr>
        <w:t>Despite the fact that surgery is the most effective cancer therapy</w:t>
      </w:r>
      <w:r w:rsidR="00E477E7" w:rsidRPr="00B77A30">
        <w:rPr>
          <w:rFonts w:ascii="Book Antiqua" w:hAnsi="Book Antiqua" w:cs="Times New Roman"/>
          <w:sz w:val="24"/>
          <w:szCs w:val="24"/>
        </w:rPr>
        <w:t>,</w:t>
      </w:r>
      <w:r w:rsidR="00892EA4" w:rsidRPr="00B77A30">
        <w:rPr>
          <w:rFonts w:ascii="Book Antiqua" w:hAnsi="Book Antiqua" w:cs="Times New Roman"/>
          <w:sz w:val="24"/>
          <w:szCs w:val="24"/>
        </w:rPr>
        <w:t xml:space="preserve"> complication rates, mortality, length of hospital stay and intensive care unit admissions increase with patient age, which </w:t>
      </w:r>
      <w:r w:rsidR="00170819" w:rsidRPr="00B77A30">
        <w:rPr>
          <w:rFonts w:ascii="Book Antiqua" w:hAnsi="Book Antiqua" w:cs="Times New Roman"/>
          <w:sz w:val="24"/>
          <w:szCs w:val="24"/>
        </w:rPr>
        <w:t>can offset oncologic advantages</w:t>
      </w:r>
      <w:r w:rsidR="00AB608C" w:rsidRPr="00B77A30">
        <w:rPr>
          <w:rFonts w:ascii="Book Antiqua" w:hAnsi="Book Antiqua" w:cs="Times New Roman"/>
          <w:sz w:val="24"/>
          <w:szCs w:val="24"/>
        </w:rPr>
        <w:fldChar w:fldCharType="begin" w:fldLock="1"/>
      </w:r>
      <w:r w:rsidR="00AB608C" w:rsidRPr="00B77A30">
        <w:rPr>
          <w:rFonts w:ascii="Book Antiqua" w:hAnsi="Book Antiqua" w:cs="Times New Roman"/>
          <w:sz w:val="24"/>
          <w:szCs w:val="24"/>
        </w:rPr>
        <w:instrText>ADDIN CSL_CITATION { "citationItems" : [ { "id" : "ITEM-1", "itemData" : { "DOI" : "10.1016/j.ejca.2004.01.016", "ISSN" : "09598049", "PMID" : "15093567", "abstract" : "Although cancer in the elderly is extremely common, few health professionals in oncology are familiar with caring for series of oncogeriatric patients. Surgery is at present the first choice, but is frequently delivered suboptimally: under-treatment is justified by concerns about unsustainable toxicity, whilst over-treatment is explained by the lack of knowledge in optimising preoperative risk assessment. This article summarises the point of view of the Surgical Task Force @ SIOG (International Society for Geriatric Oncology), pointing out differences from, and similarities to, the younger cohorts of cancer patients, and highlighting the latest updates and trends specifically related to senior cancer patients.", "author" : [ { "dropping-particle" : "", "family" : "Audisio", "given" : "R.A", "non-dropping-particle" : "", "parse-names" : false, "suffix" : "" }, { "dropping-particle" : "", "family" : "Bozzetti", "given" : "F", "non-dropping-particle" : "", "parse-names" : false, "suffix" : "" }, { "dropping-particle" : "", "family" : "Gennari", "given" : "R", "non-dropping-particle" : "", "parse-names" : false, "suffix" : "" }, { "dropping-particle" : "", "family" : "Jaklitsch", "given" : "M.T", "non-dropping-particle" : "", "parse-names" : false, "suffix" : "" }, { "dropping-particle" : "", "family" : "Koperna", "given" : "T", "non-dropping-particle" : "", "parse-names" : false, "suffix" : "" }, { "dropping-particle" : "", "family" : "Longo", "given" : "W.E", "non-dropping-particle" : "", "parse-names" : false, "suffix" : "" }, { "dropping-particle" : "", "family" : "Wiggers", "given" : "T", "non-dropping-particle" : "", "parse-names" : false, "suffix" : "" }, { "dropping-particle" : "", "family" : "Zbar", "given" : "A.P", "non-dropping-particle" : "", "parse-names" : false, "suffix" : "" } ], "container-title" : "European Journal of Cancer", "id" : "ITEM-1", "issue" : "7", "issued" : { "date-parts" : [ [ "2004", "5" ] ] }, "page" : "926-938", "title" : "The surgical management of elderly cancer patients", "type" : "article-journal", "volume" : "40" }, "uris" : [ "http://www.mendeley.com/documents/?uuid=b9e83474-e547-40f8-b660-dcad6f4c0ec5" ] }, { "id" : "ITEM-2", "itemData" : { "ISSN" : "0002-8614", "PMID" : "10855596", "abstract" : "OBJECTIVE: To evaluate the role of delirium in the natural history of functional recovery after hip fracture surgery, independent of prefracture status.\n\nDESIGN: Prospective cohort study.\n\nSETTING: Orthopedic surgery service at a large academic tertiary hospital, with follow-up extending into rehabilitation hospitals, nursing homes, and the community.\n\nPARTICIPANTS: One hundred twenty-six consenting subjects older than 65 years (mean age 79 +/- 8 years, 79% women) admitted emergently for surgical repair of hip fracture.\n\nMEASUREMENTS: Detailed assessment at enrollment to ascertain prefracture status through interviews with the patient and designated proxy and review of the medical record. Interviews included administration of standardized instruments (Activities of Daily Living (ADL) Scale, Blessed Dementia Rating Scale, Delirium Symptom Interview) and assessment of ambulation, and prefracture living situation. Medical comorbidity, the nature of the hip fracture, and the surgical repair were obtained from the medical record. All subjects underwent daily interviews for the duration of the hospitalization, including the Mini-Mental State Examination and Delirium Symptom Interview, and delirium was diagnosed using the Confusion Assessment Methods algorithm. Patients and proxies were recontacted 1 and 6 months after fracture, and underwent interviews similar to those at enrollment to determine death, persistent delirium, decline in ADL function, decline in ambulation, or new nursing home placement.\n\nRESULTS: Delirium occurred in 52/126 (41%) of patients, and persisted in 20/52 (39%) at hospital discharge, 15/52 (32%) at 1 month, and 3/52 (6%) at 6 months. Patients aged 80 years or older, and those with prefracture cognitive impairment, ADL functional impairment, and high medical comorbidity were more likely to develop delirium. However, after adjusting for these factors, delirium was still significantly associated with outcomes indicative of poor functional recovery 1 month after hip fracture: ADL decline (odds ratio (OR) = 2.6; 95% confidence interval (95% CI), 1.1- 6.1), decline in ambulation (OR = 2.6; 95% CI, 1.03-6.5), and death or new nursing home placement (OR = 3.0; 95% CI, 1.1-8.4). Patients whose delirium persisted at 1 month had worse outcomes than those whose delirium had resolved.\n\nCONCLUSIONS: Delirium is common, persistent, and independently associated with poor functional recovery 1 month after hip fracture even after adjusting for prefractu\u2026", "author" : [ { "dropping-particle" : "", "family" : "Marcantonio", "given" : "E R", "non-dropping-particle" : "", "parse-names" : false, "suffix" : "" }, { "dropping-particle" : "", "family" : "Flacker", "given" : "J M", "non-dropping-particle" : "", "parse-names" : false, "suffix" : "" }, { "dropping-particle" : "", "family" : "Michaels", "given" : "M", "non-dropping-particle" : "", "parse-names" : false, "suffix" : "" }, { "dropping-particle" : "", "family" : "Resnick", "given" : "N M", "non-dropping-particle" : "", "parse-names" : false, "suffix" : "" } ], "container-title" : "Journal of the American Geriatrics Society", "id" : "ITEM-2", "issue" : "6", "issued" : { "date-parts" : [ [ "2000", "6" ] ] }, "page" : "618-24", "title" : "Delirium is independently associated with poor functional recovery after hip fracture.", "type" : "article-journal", "volume" : "48" }, "uris" : [ "http://www.mendeley.com/documents/?uuid=c7275ffa-fe03-4138-958a-91cf29c0d755" ] }, { "id" : "ITEM-3", "itemData" : { "DOI" : "10.1097/SLA.0b013e318216f56e", "ISSN" : "1528-1140", "PMID" : "21490452", "abstract" : "BACKGROUND: Resections for elderly colorectal cancer (CRC) are forecasted to grow, particularly in those beyond the age limit of screening (&gt;80 years). However, literature on operative outcomes after CRC procedures in the oldest old is focused primarily on operative mortality. We hypothesize that older age will additionally impact operative morbidity after CRC resections in a multihospital, risk-adjusted database.\n\nSTUDY DESIGN: We identified 19,375 patients &gt;40 years who underwent CRC procedures in the 2005 to 2008 American College of Surgeons National Surgical Quality Improvement Program (ACS NSQIP) database. Pre-, intra-, and postoperative factors were compared by age groups. Multivariable techniques were used to assess the effects of older age on operative outcome measures, adjusting for covariates.\n\nRESULTS: Over 20% of our cohort was older than 80 years. Of those, 17% developed major complications and 29% experienced prolonged length of stay (LOS). Older patients also experienced higher rates of 30-day operative mortality (&gt;80 years vs. 45-55 years; 6% vs. &lt;1%), major complications (&gt;80 years vs. 45-55 years; 21% vs. 14%), and prolonged LOS after open (&gt;80 years vs. 45-55 years; 37% vs. 24%) and laparoscopic procedures (&gt;80 years vs. 45-55 years; 40.5% vs. 18%). These unadjusted comparisons persisted in multivariable analyses demonstrating that older age independently predicted worse operative outcomes after CRC procedures.\n\nCONCLUSIONS: The effects of older age extend to other important outcome measures after CRC procedures beyond operative mortality. As one of the largest multihospital studies, our study identified increased morbidity in the oldest old, a growing population. Our results should stimulate review of current policy and resource allocation.", "author" : [ { "dropping-particle" : "", "family" : "Al-Refaie", "given" : "Waddah B", "non-dropping-particle" : "", "parse-names" : false, "suffix" : "" }, { "dropping-particle" : "", "family" : "Parsons", "given" : "Helen M", "non-dropping-particle" : "", "parse-names" : false, "suffix" : "" }, { "dropping-particle" : "", "family" : "Habermann", "given" : "Elizabeth B", "non-dropping-particle" : "", "parse-names" : false, "suffix" : "" }, { "dropping-particle" : "", "family" : "Kwaan", "given" : "Mary", "non-dropping-particle" : "", "parse-names" : false, "suffix" : "" }, { "dropping-particle" : "", "family" : "Spencer", "given" : "Michael P", "non-dropping-particle" : "", "parse-names" : false, "suffix" : "" }, { "dropping-particle" : "", "family" : "Henderson", "given" : "William G", "non-dropping-particle" : "", "parse-names" : false, "suffix" : "" }, { "dropping-particle" : "", "family" : "Rothenberger", "given" : "David A", "non-dropping-particle" : "", "parse-names" : false, "suffix" : "" } ], "container-title" : "Annals of surgery", "id" : "ITEM-3", "issue" : "5", "issued" : { "date-parts" : [ [ "2011", "5" ] ] }, "page" : "947-52", "title" : "Operative outcomes beyond 30-day mortality: colorectal cancer surgery in oldest old.", "type" : "article-journal", "volume" : "253" }, "uris" : [ "http://www.mendeley.com/documents/?uuid=0c8be6e1-9303-46d1-a20c-27138210bbe0" ] }, { "id" : "ITEM-4", "itemData" : { "ISSN" : "1040-8428", "PMID" : "12711357", "abstract" : "PURPOSES: To retrospectively determine the factors influencing treatment decisions in older breast cancer patients at a single center.\n\nEXPERIMENTAL DESIGN: 216 patients age &gt; or = 75 seen in post-treatment follow-up between January, 1997 and June, 2000 were identified in the Memorial Sloan-Kettering breast cancer database. Eligible patients were &gt; or = 75 years old at diagnosis, had a diagnosis of stage I, II, or III breast cancer, and received their follow-up care at Memorial Sloan Kettering Cancer Center. A retrospective chart review was performed. Patients were stratified by: (1) prognostic factors (age (75-79 or &gt; or = 80), Charlson comorbidity score, tumor size, nodal status, stage, ER, PR, creatinine, albumin, hemoglobin, and liver function tests), (2) local treatment (lumpectomy, axillary lymph node dissection (AxLND), radiation (XRT), modified radical mastectomy (MRM)) and (3) systemic treatment (tamoxifen, chemotherapy). Combined local treatment was defined as (a) lumpectomy, AxLND, XRT or (b) MRM, AxLND, XRT (if tumor &gt; or = 5 cm or &gt; or = 4+ lymph nodes).\n\nRESULTS: 96 patients were eligible for this study: 46 patients (75-79 years); 50 patients (&gt; or = 80 years). The majority of patients (74%) were treated with lumpectomy but those &gt; or = 80 were less likely to receive XRT (94% age 75-80; 45% age &gt;80; P&lt;0.01). Patients &gt; or = 80 were also less likely to receive AxLND (94% age 75-79; 62% age &gt; or = 80; P&lt;0.01). A logistic regression model identified two independent prognostic variables for not receiving combined local treatment: increased age (P&lt;0.01) and increased comorbidity score (P=0.01). Increased age did not correlate with increased comorbidity (P=0.48). 5.2% of patients received adjuvant chemotherapy (all age &lt;80). 83% of ER positive patients received tamoxifen (89% age 75-79; 79% age &gt;80).\n\nCONCLUSION: We hypothesize that both comorbidity and age play a significant role in influencing treatment decisions in the older breast cancer patient but these two variables are not necessarily correlated. Prospective studies are needed to determine the relative impact of these variables.", "author" : [ { "dropping-particle" : "", "family" : "Hurria", "given" : "Arti", "non-dropping-particle" : "", "parse-names" : false, "suffix" : "" }, { "dropping-particle" : "", "family" : "Leung", "given" : "Denis", "non-dropping-particle" : "", "parse-names" : false, "suffix" : "" }, { "dropping-particle" : "", "family" : "Trainor", "given" : "Kathleen", "non-dropping-particle" : "", "parse-names" : false, "suffix" : "" }, { "dropping-particle" : "", "family" : "Borgen", "given" : "Patrick", "non-dropping-particle" : "", "parse-names" : false, "suffix" : "" }, { "dropping-particle" : "", "family" : "Norton", "given" : "Larry", "non-dropping-particle" : "", "parse-names" : false, "suffix" : "" }, { "dropping-particle" : "", "family" : "Hudis", "given" : "Clifford", "non-dropping-particle" : "", "parse-names" : false, "suffix" : "" } ], "container-title" : "Critical reviews in oncology/hematology", "id" : "ITEM-4", "issue" : "2", "issued" : { "date-parts" : [ [ "2003", "5" ] ] }, "page" : "121-6", "title" : "Factors influencing treatment patterns of breast cancer patients age 75 and older.", "type" : "article-journal", "volume" : "46" }, "uris" : [ "http://www.mendeley.com/documents/?uuid=af54a1a7-3bc3-40ec-ae72-3e0c7c232d3a" ] }, { "id" : "ITEM-5", "itemData" : { "DOI" : "10.1016/j.cger.2011.09.002", "ISSN" : "1879-8853", "PMID" : "22326035", "abstract" : "Elderly patients constitute the largest group in oncologic medical practice, despite the fact that in solid cancers treated operatively, many patients are denied standard therapies and where such decision making is based solely on age. The \u201cnatural\u201d assumptions that we have are often misleading; namely, that the elderly cannot tolerate complex or difficult procedures, chemotherapy, or radiation schedules; that their overall predictable medical health determines survival (and not the malignancy); or that older patients typically have less aggressive tumors. Clearly, patient selection and a comprehensive geriatric assessment is key where well-selected cases have the same cancer-specific survival as younger cohorts in a range of tumors as outlined including upper and lower gastrointestinal malignancy, head and neck cancer, and breast cancer. The assessment of patient fitness for surgery and adjuvant therapies is therefore critical to outcomes, where studies have clearly shown that fit older patients experience the same benefits and toxicities of chemotherapy as do younger patients and that when normalized for preexisting medical conditions,that older patients tolerate major operative procedures designed with curative oncological intent. At present, our problem is the lack of true evidence-based medicine specifically designed with age in mind, which effectively limits surgical decision making in disease-based strategies. This can only be achieved by the utilization of more standardized, comprehensive geriatric assessments to identify vulnerable older patients, aggressive pre-habilitation with amelioration of vulnerability causation, improvement of patient-centered longitudinal outcomes, and an improved surgical and medical understanding of relatively subtle decreases in organ functioning, social support mechanisms and impairments of health-related quality of life as a feature specifically of advanced age.", "author" : [ { "dropping-particle" : "", "family" : "Zbar", "given" : "Andrew P", "non-dropping-particle" : "", "parse-names" : false, "suffix" : "" }, { "dropping-particle" : "", "family" : "Gravitz", "given" : "Aviad", "non-dropping-particle" : "", "parse-names" : false, "suffix" : "" }, { "dropping-particle" : "", "family" : "Audisio", "given" : "Riccardo A", "non-dropping-particle" : "", "parse-names" : false, "suffix" : "" } ], "container-title" : "Clinics in geriatric medicine", "id" : "ITEM-5", "issue" : "1", "issued" : { "date-parts" : [ [ "2012", "2" ] ] }, "page" : "51-71", "title" : "Principles of surgical oncology in the elderly.", "type" : "article-journal", "volume" : "28" }, "uris" : [ "http://www.mendeley.com/documents/?uuid=cf230fe7-f989-44d1-8037-b1fe5d5aac56" ] } ], "mendeley" : { "formattedCitation" : "&lt;sup&gt;[9\u201313]&lt;/sup&gt;", "plainTextFormattedCitation" : "[9\u201313]", "previouslyFormattedCitation" : "&lt;sup&gt;[9\u201313]&lt;/sup&gt;" }, "properties" : { "noteIndex" : 0 }, "schema" : "https://github.com/citation-style-language/schema/raw/master/csl-citation.json" }</w:instrText>
      </w:r>
      <w:r w:rsidR="00AB608C" w:rsidRPr="00B77A30">
        <w:rPr>
          <w:rFonts w:ascii="Book Antiqua" w:hAnsi="Book Antiqua" w:cs="Times New Roman"/>
          <w:sz w:val="24"/>
          <w:szCs w:val="24"/>
        </w:rPr>
        <w:fldChar w:fldCharType="separate"/>
      </w:r>
      <w:r w:rsidR="00AB608C" w:rsidRPr="00B77A30">
        <w:rPr>
          <w:rFonts w:ascii="Book Antiqua" w:hAnsi="Book Antiqua" w:cs="Times New Roman"/>
          <w:noProof/>
          <w:sz w:val="24"/>
          <w:szCs w:val="24"/>
          <w:vertAlign w:val="superscript"/>
        </w:rPr>
        <w:t>[9–13]</w:t>
      </w:r>
      <w:r w:rsidR="00AB608C"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 xml:space="preserve"> .</w:t>
      </w:r>
    </w:p>
    <w:p w14:paraId="4616AF4A" w14:textId="00C3CD53" w:rsidR="009A19C6" w:rsidRPr="00B77A30" w:rsidRDefault="003854A9" w:rsidP="00CB2DFE">
      <w:pPr>
        <w:spacing w:after="0" w:line="360" w:lineRule="auto"/>
        <w:ind w:firstLine="720"/>
        <w:jc w:val="both"/>
        <w:rPr>
          <w:rFonts w:ascii="Book Antiqua" w:hAnsi="Book Antiqua" w:cs="Times New Roman"/>
          <w:sz w:val="24"/>
          <w:szCs w:val="24"/>
        </w:rPr>
      </w:pPr>
      <w:r w:rsidRPr="00B77A30">
        <w:rPr>
          <w:rFonts w:ascii="Book Antiqua" w:hAnsi="Book Antiqua" w:cs="Times New Roman"/>
          <w:sz w:val="24"/>
          <w:szCs w:val="24"/>
        </w:rPr>
        <w:t xml:space="preserve">Many cancer treatment guidelines </w:t>
      </w:r>
      <w:r w:rsidR="009A1ABA" w:rsidRPr="00B77A30">
        <w:rPr>
          <w:rFonts w:ascii="Book Antiqua" w:hAnsi="Book Antiqua" w:cs="Times New Roman"/>
          <w:sz w:val="24"/>
          <w:szCs w:val="24"/>
        </w:rPr>
        <w:t>have been</w:t>
      </w:r>
      <w:r w:rsidRPr="00B77A30">
        <w:rPr>
          <w:rFonts w:ascii="Book Antiqua" w:hAnsi="Book Antiqua" w:cs="Times New Roman"/>
          <w:sz w:val="24"/>
          <w:szCs w:val="24"/>
        </w:rPr>
        <w:t xml:space="preserve"> formulated based on clinical data that may have under-represented older and more frail patients</w:t>
      </w:r>
      <w:r w:rsidR="009216CD" w:rsidRPr="00B77A30">
        <w:rPr>
          <w:rFonts w:ascii="Book Antiqua" w:hAnsi="Book Antiqua" w:cs="Times New Roman"/>
          <w:sz w:val="24"/>
          <w:szCs w:val="24"/>
        </w:rPr>
        <w:t xml:space="preserve">; </w:t>
      </w:r>
      <w:r w:rsidRPr="00B77A30">
        <w:rPr>
          <w:rFonts w:ascii="Book Antiqua" w:hAnsi="Book Antiqua" w:cs="Times New Roman"/>
          <w:sz w:val="24"/>
          <w:szCs w:val="24"/>
        </w:rPr>
        <w:t>therefore</w:t>
      </w:r>
      <w:r w:rsidR="009216CD" w:rsidRPr="00B77A30">
        <w:rPr>
          <w:rFonts w:ascii="Book Antiqua" w:hAnsi="Book Antiqua" w:cs="Times New Roman"/>
          <w:sz w:val="24"/>
          <w:szCs w:val="24"/>
        </w:rPr>
        <w:t>,</w:t>
      </w:r>
      <w:r w:rsidRPr="00B77A30">
        <w:rPr>
          <w:rFonts w:ascii="Book Antiqua" w:hAnsi="Book Antiqua" w:cs="Times New Roman"/>
          <w:sz w:val="24"/>
          <w:szCs w:val="24"/>
        </w:rPr>
        <w:t xml:space="preserve"> more attention is needed to guide the management o</w:t>
      </w:r>
      <w:r w:rsidR="00B97644" w:rsidRPr="00B77A30">
        <w:rPr>
          <w:rFonts w:ascii="Book Antiqua" w:hAnsi="Book Antiqua" w:cs="Times New Roman"/>
          <w:sz w:val="24"/>
          <w:szCs w:val="24"/>
        </w:rPr>
        <w:t>f this vulnerable population</w:t>
      </w:r>
      <w:r w:rsidR="000E7611" w:rsidRPr="00B77A30">
        <w:rPr>
          <w:rFonts w:ascii="Book Antiqua" w:hAnsi="Book Antiqua" w:cs="Times New Roman"/>
          <w:sz w:val="24"/>
          <w:szCs w:val="24"/>
        </w:rPr>
        <w:t>.</w:t>
      </w:r>
      <w:r w:rsidR="00AB608C" w:rsidRPr="00B77A30">
        <w:rPr>
          <w:rFonts w:ascii="Book Antiqua" w:hAnsi="Book Antiqua" w:cs="Times New Roman"/>
          <w:sz w:val="24"/>
          <w:szCs w:val="24"/>
        </w:rPr>
        <w:fldChar w:fldCharType="begin" w:fldLock="1"/>
      </w:r>
      <w:r w:rsidR="00AB608C" w:rsidRPr="00B77A30">
        <w:rPr>
          <w:rFonts w:ascii="Book Antiqua" w:hAnsi="Book Antiqua" w:cs="Times New Roman"/>
          <w:sz w:val="24"/>
          <w:szCs w:val="24"/>
        </w:rPr>
        <w:instrText>ADDIN CSL_CITATION { "citationItems" : [ { "id" : "ITEM-1", "itemData" : { "DOI" : "10.1200/JCO.2003.12.044", "ISSN" : "0732-183X", "PMID" : "12697888", "abstract" : "PURPOSE: To evaluate the enrollment of older patients (&gt;/= 65 years) in Canadian cancer treatment trials and compare accrual of older patients in Canada and the United States.\n\nPATIENTS AND METHODS: A retrospective analysis of the number of older patients enrolled in National Cancer Institute of Canada Clinical Trials Group (NCIC CTG) treatment trials between 1993 and 1996 was performed. These rates were compared with the corresponding rates in the general population of patients who were &gt;/= 65 years old and had cancer, obtained from Statistics Canada, and those published by the Southwest Oncology Group (SWOG) in the United States.\n\nRESULTS: Between 1993 and 1996, 4,174 patients were enrolled onto 69 NCIC CTG trials of 16 tumor types. Older patients accounted for 22% of trial enrollees, compared with 58% of the Canadian population with cancer. This discrepancy existed in all cancer types except for multiple myeloma. The percentages of older patients enrolled were also analyzed by study type: 15% in adjuvant trials, 25% in metastatic trials, 29% in investigational new drug trials, 24% in phase I trials, and 21% in supportive care trials. The overall proportion of older patients enrolled onto Canadian trials (22%) was slightly lower than that in SWOG trials (25%).\n\nCONCLUSION: Age remains a barrier for accrual onto cancer treatment trials, even when reimbursement is not an issue. Strategies to overcome this barrier, including the implementation of trials specifically tailored to patients aged &gt;/= 65 years, are prudent in light of our aging population.", "author" : [ { "dropping-particle" : "", "family" : "Yee", "given" : "Karen W L", "non-dropping-particle" : "", "parse-names" : false, "suffix" : "" }, { "dropping-particle" : "", "family" : "Pater", "given" : "Joseph L", "non-dropping-particle" : "", "parse-names" : false, "suffix" : "" }, { "dropping-particle" : "", "family" : "Pho", "given" : "Lam", "non-dropping-particle" : "", "parse-names" : false, "suffix" : "" }, { "dropping-particle" : "", "family" : "Zee", "given" : "Benny", "non-dropping-particle" : "", "parse-names" : false, "suffix" : "" }, { "dropping-particle" : "", "family" : "Siu", "given" : "Lillian L", "non-dropping-particle" : "", "parse-names" : false, "suffix" : "" } ], "container-title" : "Journal of clinical oncology : official journal of the American Society of Clinical Oncology", "id" : "ITEM-1", "issue" : "8", "issued" : { "date-parts" : [ [ "2003", "4", "15" ] ] }, "page" : "1618-23", "title" : "Enrollment of older patients in cancer treatment trials in Canada: why is age a barrier?", "type" : "article-journal", "volume" : "21" }, "uris" : [ "http://www.mendeley.com/documents/?uuid=54b968e1-0d62-4b65-8136-7ec54b9077ac" ] }, { "id" : "ITEM-2", "itemData" : { "DOI" : "10.1200/JCO.2003.09.124", "ISSN" : "0732-183X", "PMID" : "12805325", "abstract" : "PURPOSE: Although 48% of breast cancer patients are 65 years old or older, these older patients are severely underrepresented in breast cancer clinical trials. This study tested whether older patients were offered trials significantly less often than younger patients and whether older patients who were offered trials were more likely to refuse participation than younger patients.\n\nPATIENTS AND METHODS: In 10 Cancer and Leukemia Group B institutions, using a retrospective case-control design, breast cancer patients eligible for an open treatment trial were paired: less than 65 years old and &gt; or = 65 years old. Each of the 77 pairs were matched by disease stage and treating physician. Patients were interviewed as to their reasons for participating or refusing to participate in a trial. The treating physicians were also given questionnaires about their reasons for offering or not offering a trial.\n\nRESULTS: Sixty-eight percent of younger stage II patients were offered a trial compared with 34% of the older patients (P =.0004). In multivariate analyses, disease stage and age remained highly significant in predicting trial offering (P =.0008), when controlling for physical functioning and comorbidity. Of those offered a trial, there was no significant difference in participation between younger (56%) and older (50%) patients (P =.67).\n\nCONCLUSION: In a multivariate analysis including comorbid conditions, age and stage were the only predictors of whether a patient was offered a trial. The greatest impediment to enrolling older women onto trials in the setting of this study was the physicians' perceptions about age and tolerance of toxicity.", "author" : [ { "dropping-particle" : "", "family" : "Kemeny", "given" : "M Margaret", "non-dropping-particle" : "", "parse-names" : false, "suffix" : "" }, { "dropping-particle" : "", "family" : "Peterson", "given" : "Bercedis L", "non-dropping-particle" : "", "parse-names" : false, "suffix" : "" }, { "dropping-particle" : "", "family" : "Kornblith", "given" : "Alice B", "non-dropping-particle" : "", "parse-names" : false, "suffix" : "" }, { "dropping-particle" : "", "family" : "Muss", "given" : "Hyman B", "non-dropping-particle" : "", "parse-names" : false, "suffix" : "" }, { "dropping-particle" : "", "family" : "Wheeler", "given" : "Judith", "non-dropping-particle" : "", "parse-names" : false, "suffix" : "" }, { "dropping-particle" : "", "family" : "Levine", "given" : "Ellis", "non-dropping-particle" : "", "parse-names" : false, "suffix" : "" }, { "dropping-particle" : "", "family" : "Bartlett", "given" : "Nancy", "non-dropping-particle" : "", "parse-names" : false, "suffix" : "" }, { "dropping-particle" : "", "family" : "Fleming", "given" : "Gini", "non-dropping-particle" : "", "parse-names" : false, "suffix" : "" }, { "dropping-particle" : "", "family" : "Cohen", "given" : "Harvey J", "non-dropping-particle" : "", "parse-names" : false, "suffix" : "" } ], "container-title" : "Journal of clinical oncology : official journal of the American Society of Clinical Oncology", "id" : "ITEM-2", "issue" : "12", "issued" : { "date-parts" : [ [ "2003", "6", "15" ] ] }, "page" : "2268-75", "title" : "Barriers to clinical trial participation by older women with breast cancer.", "type" : "article-journal", "volume" : "21" }, "uris" : [ "http://www.mendeley.com/documents/?uuid=9340adb5-f082-47d1-ba2b-bc8139c86855" ] } ], "mendeley" : { "formattedCitation" : "&lt;sup&gt;[14,15]&lt;/sup&gt;", "plainTextFormattedCitation" : "[14,15]", "previouslyFormattedCitation" : "&lt;sup&gt;[14,15]&lt;/sup&gt;" }, "properties" : { "noteIndex" : 0 }, "schema" : "https://github.com/citation-style-language/schema/raw/master/csl-citation.json" }</w:instrText>
      </w:r>
      <w:r w:rsidR="00AB608C" w:rsidRPr="00B77A30">
        <w:rPr>
          <w:rFonts w:ascii="Book Antiqua" w:hAnsi="Book Antiqua" w:cs="Times New Roman"/>
          <w:sz w:val="24"/>
          <w:szCs w:val="24"/>
        </w:rPr>
        <w:fldChar w:fldCharType="separate"/>
      </w:r>
      <w:r w:rsidR="00AB608C" w:rsidRPr="00B77A30">
        <w:rPr>
          <w:rFonts w:ascii="Book Antiqua" w:hAnsi="Book Antiqua" w:cs="Times New Roman"/>
          <w:noProof/>
          <w:sz w:val="24"/>
          <w:szCs w:val="24"/>
          <w:vertAlign w:val="superscript"/>
        </w:rPr>
        <w:t>[14,15]</w:t>
      </w:r>
      <w:r w:rsidR="00AB608C" w:rsidRPr="00B77A30">
        <w:rPr>
          <w:rFonts w:ascii="Book Antiqua" w:hAnsi="Book Antiqua" w:cs="Times New Roman"/>
          <w:sz w:val="24"/>
          <w:szCs w:val="24"/>
        </w:rPr>
        <w:fldChar w:fldCharType="end"/>
      </w:r>
      <w:r w:rsidR="009216CD" w:rsidRPr="00B77A30">
        <w:rPr>
          <w:rFonts w:ascii="Book Antiqua" w:hAnsi="Book Antiqua" w:cs="Times New Roman"/>
          <w:sz w:val="24"/>
          <w:szCs w:val="24"/>
        </w:rPr>
        <w:t xml:space="preserve"> </w:t>
      </w:r>
      <w:r w:rsidR="00961BC0" w:rsidRPr="00B77A30">
        <w:rPr>
          <w:rFonts w:ascii="Book Antiqua" w:hAnsi="Book Antiqua" w:cs="Times New Roman"/>
          <w:sz w:val="24"/>
          <w:szCs w:val="24"/>
        </w:rPr>
        <w:t>Several</w:t>
      </w:r>
      <w:r w:rsidRPr="00B77A30">
        <w:rPr>
          <w:rFonts w:ascii="Book Antiqua" w:hAnsi="Book Antiqua" w:cs="Times New Roman"/>
          <w:sz w:val="24"/>
          <w:szCs w:val="24"/>
        </w:rPr>
        <w:t xml:space="preserve"> studies have noted potential differences in gastrointestinal surgical care bet</w:t>
      </w:r>
      <w:r w:rsidR="00170819" w:rsidRPr="00B77A30">
        <w:rPr>
          <w:rFonts w:ascii="Book Antiqua" w:hAnsi="Book Antiqua" w:cs="Times New Roman"/>
          <w:sz w:val="24"/>
          <w:szCs w:val="24"/>
        </w:rPr>
        <w:t>ween older and younger patients</w:t>
      </w:r>
      <w:r w:rsidR="00AB608C" w:rsidRPr="00B77A30">
        <w:rPr>
          <w:rFonts w:ascii="Book Antiqua" w:hAnsi="Book Antiqua" w:cs="Times New Roman"/>
          <w:sz w:val="24"/>
          <w:szCs w:val="24"/>
        </w:rPr>
        <w:fldChar w:fldCharType="begin" w:fldLock="1"/>
      </w:r>
      <w:r w:rsidR="00AB608C" w:rsidRPr="00B77A30">
        <w:rPr>
          <w:rFonts w:ascii="Book Antiqua" w:hAnsi="Book Antiqua" w:cs="Times New Roman"/>
          <w:sz w:val="24"/>
          <w:szCs w:val="24"/>
        </w:rPr>
        <w:instrText>ADDIN CSL_CITATION { "citationItems" : [ { "id" : "ITEM-1", "itemData" : { "DOI" : "10.1200/JCO.2014.55.1960", "ISSN" : "1527-7755", "PMID" : "25071118", "abstract" : "Population studies support an increased incidence of most cancers among older adults. Colorectal cancer has high prevalence in the aging population, with a median age of 69 years at diagnosis and 74 years at death. The vast majority of patients with colon cancer (CC) will require chemotherapy treatments during their disease course, challenging oncologists with the task of tailoring therapy for older patients with CC in the face of limited evidence-based data to guide them. Factors such as comorbidity, performance status, cognitive function, and social support may affect decision making and complicate tolerance of any recommended therapy. In recent years, attention to the specific needs of the aging population with cancer has given rise to the field of geriatric oncology in general, and has generated an increasing fund of knowledge on which to base chemotherapy delivery for this specific population of patients with CC. This article will review the available data specifically for chemotherapy management of older patients with CC in the postoperative and metastatic settings.", "author" : [ { "dropping-particle" : "", "family" : "McCleary", "given" : "Nadine J", "non-dropping-particle" : "", "parse-names" : false, "suffix" : "" }, { "dropping-particle" : "", "family" : "Dotan", "given" : "Efrat", "non-dropping-particle" : "", "parse-names" : false, "suffix" : "" }, { "dropping-particle" : "", "family" : "Browner", "given" : "Ilene", "non-dropping-particle" : "", "parse-names" : false, "suffix" : "" } ], "container-title" : "Journal of clinical oncology : official journal of the American Society of Clinical Oncology", "id" : "ITEM-1", "issue" : "24", "issued" : { "date-parts" : [ [ "2014", "8", "20" ] ] }, "page" : "2570-80", "title" : "Refining the chemotherapy approach for older patients with colon cancer.", "type" : "article-journal", "volume" : "32" }, "uris" : [ "http://www.mendeley.com/documents/?uuid=11e479d9-fee0-4d26-8a5a-9b8159b77712" ] }, { "id" : "ITEM-2", "itemData" : { "DOI" : "10.1056/NEJM198908173210711", "ISSN" : "0028-4793", "PMID" : "2761581", "container-title" : "The New England journal of medicine", "id" : "ITEM-2", "issue" : "7", "issued" : { "date-parts" : [ [ "1989", "8", "17" ] ] }, "page" : "469-73", "title" : "Adjuvant therapy for node-negative breast cancer.", "type" : "article-journal", "volume" : "321" }, "uris" : [ "http://www.mendeley.com/documents/?uuid=447428b8-526e-4f1b-a2af-2b5d6933d017" ] } ], "mendeley" : { "formattedCitation" : "&lt;sup&gt;[16,17]&lt;/sup&gt;", "plainTextFormattedCitation" : "[16,17]", "previouslyFormattedCitation" : "&lt;sup&gt;[16,17]&lt;/sup&gt;" }, "properties" : { "noteIndex" : 0 }, "schema" : "https://github.com/citation-style-language/schema/raw/master/csl-citation.json" }</w:instrText>
      </w:r>
      <w:r w:rsidR="00AB608C" w:rsidRPr="00B77A30">
        <w:rPr>
          <w:rFonts w:ascii="Book Antiqua" w:hAnsi="Book Antiqua" w:cs="Times New Roman"/>
          <w:sz w:val="24"/>
          <w:szCs w:val="24"/>
        </w:rPr>
        <w:fldChar w:fldCharType="separate"/>
      </w:r>
      <w:r w:rsidR="00AB608C" w:rsidRPr="00B77A30">
        <w:rPr>
          <w:rFonts w:ascii="Book Antiqua" w:hAnsi="Book Antiqua" w:cs="Times New Roman"/>
          <w:noProof/>
          <w:sz w:val="24"/>
          <w:szCs w:val="24"/>
          <w:vertAlign w:val="superscript"/>
        </w:rPr>
        <w:t>[16,17]</w:t>
      </w:r>
      <w:r w:rsidR="00AB608C"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w:t>
      </w:r>
      <w:r w:rsidR="009A19C6" w:rsidRPr="00B77A30">
        <w:rPr>
          <w:rFonts w:ascii="Book Antiqua" w:hAnsi="Book Antiqua" w:cs="Times New Roman"/>
          <w:sz w:val="24"/>
          <w:szCs w:val="24"/>
        </w:rPr>
        <w:t>For example, commonly used predictor scores for postoperative complications like the American Society of Anesthesiology (ASA) score have substantial limitations in older patients, as most are based on a single organ system, are subjective and none measures th</w:t>
      </w:r>
      <w:r w:rsidR="00170819" w:rsidRPr="00B77A30">
        <w:rPr>
          <w:rFonts w:ascii="Book Antiqua" w:hAnsi="Book Antiqua" w:cs="Times New Roman"/>
          <w:sz w:val="24"/>
          <w:szCs w:val="24"/>
        </w:rPr>
        <w:t>e patients’ physiologic reserve</w:t>
      </w:r>
      <w:r w:rsidR="00AB608C" w:rsidRPr="00B77A30">
        <w:rPr>
          <w:rFonts w:ascii="Book Antiqua" w:hAnsi="Book Antiqua" w:cs="Times New Roman"/>
          <w:sz w:val="24"/>
          <w:szCs w:val="24"/>
        </w:rPr>
        <w:fldChar w:fldCharType="begin" w:fldLock="1"/>
      </w:r>
      <w:r w:rsidR="00AB608C" w:rsidRPr="00B77A30">
        <w:rPr>
          <w:rFonts w:ascii="Book Antiqua" w:hAnsi="Book Antiqua" w:cs="Times New Roman"/>
          <w:sz w:val="24"/>
          <w:szCs w:val="24"/>
        </w:rPr>
        <w:instrText>ADDIN CSL_CITATION { "citationItems" : [ { "id" : "ITEM-1", "itemData" : { "DOI" : "10.1016/j.critrevonc.2009.11.002", "ISSN" : "1879-0461", "PMID" : "20005123", "abstract" : "OBJECTIVE: To examine the association between the outcomes of a pre-operative comprehensive geriatric assessment (CGA) and the risk of severe post-operative complications in elderly patients electively operated for colorectal cancer.\n\nMETHODS: One hundred seventy-eight consecutive patients \u2265 70 years electively operated for all stages of colorectal cancer were prospectively examined. A pre-operative CGA was performed, and patients were categorized as fit, intermediate, or frail. The main outcome measure was severe complications within 30 days of surgery.\n\nRESULTS: Twenty-one patients (12%) were categorized as fit, 81 (46%) as intermediate, and 76 (43%) as frail. Eighty-three patients experienced severe complications, including three deaths; 7/21 (33%) of fit patients, 29/81 (36%) of intermediate patients and 47/76 (62%) of frail patients (p=0.002). Increasing age and ASA classification were not associated with complications in this series.\n\nCONCLUSION: CGA can identify frail patients who have a significantly increased risk of severe complications after elective surgery for colorectal cancer.", "author" : [ { "dropping-particle" : "", "family" : "Kristjansson", "given" : "Siri R", "non-dropping-particle" : "", "parse-names" : false, "suffix" : "" }, { "dropping-particle" : "", "family" : "Nesbakken", "given" : "Arild", "non-dropping-particle" : "", "parse-names" : false, "suffix" : "" }, { "dropping-particle" : "", "family" : "Jordh\u00f8y", "given" : "Marit S", "non-dropping-particle" : "", "parse-names" : false, "suffix" : "" }, { "dropping-particle" : "", "family" : "Skovlund", "given" : "Eva", "non-dropping-particle" : "", "parse-names" : false, "suffix" : "" }, { "dropping-particle" : "", "family" : "Audisio", "given" : "Riccardo A", "non-dropping-particle" : "", "parse-names" : false, "suffix" : "" }, { "dropping-particle" : "", "family" : "Johannessen", "given" : "Hans-Olaf", "non-dropping-particle" : "", "parse-names" : false, "suffix" : "" }, { "dropping-particle" : "", "family" : "Bakka", "given" : "Arne", "non-dropping-particle" : "", "parse-names" : false, "suffix" : "" }, { "dropping-particle" : "", "family" : "Wyller", "given" : "Torgeir B", "non-dropping-particle" : "", "parse-names" : false, "suffix" : "" } ], "container-title" : "Critical reviews in oncology/hematology", "id" : "ITEM-1", "issue" : "3", "issued" : { "date-parts" : [ [ "2010", "12" ] ] }, "page" : "208-17", "title" : "Comprehensive geriatric assessment can predict complications in elderly patients after elective surgery for colorectal cancer: a prospective observational cohort study.", "type" : "article-journal", "volume" : "76" }, "uris" : [ "http://www.mendeley.com/documents/?uuid=58cdd5fe-38c4-4777-8776-0e01dd5da464" ] } ], "mendeley" : { "formattedCitation" : "&lt;sup&gt;[18]&lt;/sup&gt;", "plainTextFormattedCitation" : "[18]", "previouslyFormattedCitation" : "&lt;sup&gt;[18]&lt;/sup&gt;" }, "properties" : { "noteIndex" : 0 }, "schema" : "https://github.com/citation-style-language/schema/raw/master/csl-citation.json" }</w:instrText>
      </w:r>
      <w:r w:rsidR="00AB608C" w:rsidRPr="00B77A30">
        <w:rPr>
          <w:rFonts w:ascii="Book Antiqua" w:hAnsi="Book Antiqua" w:cs="Times New Roman"/>
          <w:sz w:val="24"/>
          <w:szCs w:val="24"/>
        </w:rPr>
        <w:fldChar w:fldCharType="separate"/>
      </w:r>
      <w:r w:rsidR="00AB608C" w:rsidRPr="00B77A30">
        <w:rPr>
          <w:rFonts w:ascii="Book Antiqua" w:hAnsi="Book Antiqua" w:cs="Times New Roman"/>
          <w:noProof/>
          <w:sz w:val="24"/>
          <w:szCs w:val="24"/>
          <w:vertAlign w:val="superscript"/>
        </w:rPr>
        <w:t>[18]</w:t>
      </w:r>
      <w:r w:rsidR="00AB608C"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w:t>
      </w:r>
      <w:r w:rsidR="009A19C6" w:rsidRPr="00B77A30">
        <w:rPr>
          <w:rFonts w:ascii="Book Antiqua" w:hAnsi="Book Antiqua" w:cs="Times New Roman"/>
          <w:sz w:val="24"/>
          <w:szCs w:val="24"/>
        </w:rPr>
        <w:t xml:space="preserve"> In fact, a</w:t>
      </w:r>
      <w:r w:rsidR="00041FEB" w:rsidRPr="00B77A30">
        <w:rPr>
          <w:rFonts w:ascii="Book Antiqua" w:hAnsi="Book Antiqua" w:cs="Times New Roman"/>
          <w:sz w:val="24"/>
          <w:szCs w:val="24"/>
        </w:rPr>
        <w:t xml:space="preserve"> recent review by </w:t>
      </w:r>
      <w:proofErr w:type="spellStart"/>
      <w:r w:rsidR="00041FEB" w:rsidRPr="00B77A30">
        <w:rPr>
          <w:rFonts w:ascii="Book Antiqua" w:hAnsi="Book Antiqua" w:cs="Times New Roman"/>
          <w:sz w:val="24"/>
          <w:szCs w:val="24"/>
        </w:rPr>
        <w:t>McCleary</w:t>
      </w:r>
      <w:proofErr w:type="spellEnd"/>
      <w:r w:rsidR="00041FEB" w:rsidRPr="00B77A30">
        <w:rPr>
          <w:rFonts w:ascii="Book Antiqua" w:hAnsi="Book Antiqua" w:cs="Times New Roman"/>
          <w:i/>
          <w:sz w:val="24"/>
          <w:szCs w:val="24"/>
        </w:rPr>
        <w:t xml:space="preserve"> et al</w:t>
      </w:r>
      <w:r w:rsidR="00170819" w:rsidRPr="00B77A30">
        <w:rPr>
          <w:rFonts w:ascii="Book Antiqua" w:hAnsi="Book Antiqua" w:cs="Times New Roman"/>
          <w:sz w:val="24"/>
          <w:szCs w:val="24"/>
        </w:rPr>
        <w:fldChar w:fldCharType="begin" w:fldLock="1"/>
      </w:r>
      <w:r w:rsidR="00170819" w:rsidRPr="00B77A30">
        <w:rPr>
          <w:rFonts w:ascii="Book Antiqua" w:hAnsi="Book Antiqua" w:cs="Times New Roman"/>
          <w:sz w:val="24"/>
          <w:szCs w:val="24"/>
        </w:rPr>
        <w:instrText>ADDIN CSL_CITATION { "citationItems" : [ { "id" : "ITEM-1", "itemData" : { "DOI" : "10.1200/JCO.2014.55.1960", "ISSN" : "1527-7755", "PMID" : "25071118", "abstract" : "Population studies support an increased incidence of most cancers among older adults. Colorectal cancer has high prevalence in the aging population, with a median age of 69 years at diagnosis and 74 years at death. The vast majority of patients with colon cancer (CC) will require chemotherapy treatments during their disease course, challenging oncologists with the task of tailoring therapy for older patients with CC in the face of limited evidence-based data to guide them. Factors such as comorbidity, performance status, cognitive function, and social support may affect decision making and complicate tolerance of any recommended therapy. In recent years, attention to the specific needs of the aging population with cancer has given rise to the field of geriatric oncology in general, and has generated an increasing fund of knowledge on which to base chemotherapy delivery for this specific population of patients with CC. This article will review the available data specifically for chemotherapy management of older patients with CC in the postoperative and metastatic settings.", "author" : [ { "dropping-particle" : "", "family" : "McCleary", "given" : "Nadine J", "non-dropping-particle" : "", "parse-names" : false, "suffix" : "" }, { "dropping-particle" : "", "family" : "Dotan", "given" : "Efrat", "non-dropping-particle" : "", "parse-names" : false, "suffix" : "" }, { "dropping-particle" : "", "family" : "Browner", "given" : "Ilene", "non-dropping-particle" : "", "parse-names" : false, "suffix" : "" } ], "container-title" : "Journal of clinical oncology : official journal of the American Society of Clinical Oncology", "id" : "ITEM-1", "issue" : "24", "issued" : { "date-parts" : [ [ "2014", "8", "20" ] ] }, "page" : "2570-80", "title" : "Refining the chemotherapy approach for older patients with colon cancer.", "type" : "article-journal", "volume" : "32" }, "uris" : [ "http://www.mendeley.com/documents/?uuid=11e479d9-fee0-4d26-8a5a-9b8159b77712" ] } ], "mendeley" : { "formattedCitation" : "&lt;sup&gt;[16]&lt;/sup&gt;", "plainTextFormattedCitation" : "[16]", "previouslyFormattedCitation" : "&lt;sup&gt;[16]&lt;/sup&gt;" }, "properties" : { "noteIndex" : 0 }, "schema" : "https://github.com/citation-style-language/schema/raw/master/csl-citation.json" }</w:instrText>
      </w:r>
      <w:r w:rsidR="00170819" w:rsidRPr="00B77A30">
        <w:rPr>
          <w:rFonts w:ascii="Book Antiqua" w:hAnsi="Book Antiqua" w:cs="Times New Roman"/>
          <w:sz w:val="24"/>
          <w:szCs w:val="24"/>
        </w:rPr>
        <w:fldChar w:fldCharType="separate"/>
      </w:r>
      <w:r w:rsidR="00170819" w:rsidRPr="00B77A30">
        <w:rPr>
          <w:rFonts w:ascii="Book Antiqua" w:hAnsi="Book Antiqua" w:cs="Times New Roman"/>
          <w:noProof/>
          <w:sz w:val="24"/>
          <w:szCs w:val="24"/>
          <w:vertAlign w:val="superscript"/>
        </w:rPr>
        <w:t>[16]</w:t>
      </w:r>
      <w:r w:rsidR="00170819" w:rsidRPr="00B77A30">
        <w:rPr>
          <w:rFonts w:ascii="Book Antiqua" w:hAnsi="Book Antiqua" w:cs="Times New Roman"/>
          <w:sz w:val="24"/>
          <w:szCs w:val="24"/>
        </w:rPr>
        <w:fldChar w:fldCharType="end"/>
      </w:r>
      <w:r w:rsidR="000A0F89">
        <w:rPr>
          <w:rFonts w:ascii="Book Antiqua" w:hAnsi="Book Antiqua" w:cs="Times New Roman"/>
          <w:sz w:val="24"/>
          <w:szCs w:val="24"/>
        </w:rPr>
        <w:t xml:space="preserve"> </w:t>
      </w:r>
      <w:r w:rsidR="00E477E7" w:rsidRPr="00B77A30">
        <w:rPr>
          <w:rFonts w:ascii="Book Antiqua" w:hAnsi="Book Antiqua" w:cs="Times New Roman"/>
          <w:sz w:val="24"/>
          <w:szCs w:val="24"/>
        </w:rPr>
        <w:t>stressed</w:t>
      </w:r>
      <w:r w:rsidR="00041FEB" w:rsidRPr="00B77A30">
        <w:rPr>
          <w:rFonts w:ascii="Book Antiqua" w:hAnsi="Book Antiqua" w:cs="Times New Roman"/>
          <w:sz w:val="24"/>
          <w:szCs w:val="24"/>
        </w:rPr>
        <w:t xml:space="preserve"> that older adults are prone </w:t>
      </w:r>
      <w:r w:rsidR="00B2681E" w:rsidRPr="00B77A30">
        <w:rPr>
          <w:rFonts w:ascii="Book Antiqua" w:hAnsi="Book Antiqua" w:cs="Times New Roman"/>
          <w:sz w:val="24"/>
          <w:szCs w:val="24"/>
        </w:rPr>
        <w:t xml:space="preserve">to </w:t>
      </w:r>
      <w:r w:rsidR="00041FEB" w:rsidRPr="00B77A30">
        <w:rPr>
          <w:rFonts w:ascii="Book Antiqua" w:hAnsi="Book Antiqua" w:cs="Times New Roman"/>
          <w:sz w:val="24"/>
          <w:szCs w:val="24"/>
        </w:rPr>
        <w:t xml:space="preserve">complications during </w:t>
      </w:r>
      <w:r w:rsidR="00316787" w:rsidRPr="00B77A30">
        <w:rPr>
          <w:rFonts w:ascii="Book Antiqua" w:hAnsi="Book Antiqua" w:cs="Times New Roman"/>
          <w:sz w:val="24"/>
          <w:szCs w:val="24"/>
        </w:rPr>
        <w:t>gastrointestinal cancer treatment and therefore need to undergo special pretreatment assessments incorporating frailty and sarcopenia</w:t>
      </w:r>
      <w:r w:rsidR="00622BBF" w:rsidRPr="00B77A30">
        <w:rPr>
          <w:rFonts w:ascii="Book Antiqua" w:hAnsi="Book Antiqua" w:cs="Times New Roman"/>
          <w:sz w:val="24"/>
          <w:szCs w:val="24"/>
        </w:rPr>
        <w:t xml:space="preserve"> assessments</w:t>
      </w:r>
      <w:r w:rsidR="00316787" w:rsidRPr="00B77A30">
        <w:rPr>
          <w:rFonts w:ascii="Book Antiqua" w:hAnsi="Book Antiqua" w:cs="Times New Roman"/>
          <w:sz w:val="24"/>
          <w:szCs w:val="24"/>
        </w:rPr>
        <w:t>.</w:t>
      </w:r>
      <w:r w:rsidR="00041FEB" w:rsidRPr="00B77A30">
        <w:rPr>
          <w:rFonts w:ascii="Book Antiqua" w:hAnsi="Book Antiqua" w:cs="Times New Roman"/>
          <w:sz w:val="24"/>
          <w:szCs w:val="24"/>
        </w:rPr>
        <w:t xml:space="preserve"> </w:t>
      </w:r>
    </w:p>
    <w:p w14:paraId="4A1DE9B1" w14:textId="468B40D2" w:rsidR="000D0363" w:rsidRPr="00B77A30" w:rsidRDefault="003854A9" w:rsidP="00CB2DFE">
      <w:pPr>
        <w:spacing w:after="0" w:line="360" w:lineRule="auto"/>
        <w:ind w:firstLine="720"/>
        <w:jc w:val="both"/>
        <w:rPr>
          <w:rFonts w:ascii="Book Antiqua" w:hAnsi="Book Antiqua" w:cs="Times New Roman"/>
          <w:sz w:val="24"/>
          <w:szCs w:val="24"/>
        </w:rPr>
      </w:pPr>
      <w:r w:rsidRPr="00B77A30">
        <w:rPr>
          <w:rFonts w:ascii="Book Antiqua" w:hAnsi="Book Antiqua" w:cs="Times New Roman"/>
          <w:sz w:val="24"/>
          <w:szCs w:val="24"/>
        </w:rPr>
        <w:t xml:space="preserve">More recently, sarcopenia and frailty have increasingly been recognized </w:t>
      </w:r>
      <w:r w:rsidR="00961BC0" w:rsidRPr="00B77A30">
        <w:rPr>
          <w:rFonts w:ascii="Book Antiqua" w:hAnsi="Book Antiqua" w:cs="Times New Roman"/>
          <w:sz w:val="24"/>
          <w:szCs w:val="24"/>
        </w:rPr>
        <w:t>as important factors</w:t>
      </w:r>
      <w:r w:rsidRPr="00B77A30">
        <w:rPr>
          <w:rFonts w:ascii="Book Antiqua" w:hAnsi="Book Antiqua" w:cs="Times New Roman"/>
          <w:sz w:val="24"/>
          <w:szCs w:val="24"/>
        </w:rPr>
        <w:t xml:space="preserve"> that </w:t>
      </w:r>
      <w:r w:rsidR="00961BC0" w:rsidRPr="00B77A30">
        <w:rPr>
          <w:rFonts w:ascii="Book Antiqua" w:hAnsi="Book Antiqua" w:cs="Times New Roman"/>
          <w:sz w:val="24"/>
          <w:szCs w:val="24"/>
        </w:rPr>
        <w:t>can</w:t>
      </w:r>
      <w:r w:rsidRPr="00B77A30">
        <w:rPr>
          <w:rFonts w:ascii="Book Antiqua" w:hAnsi="Book Antiqua" w:cs="Times New Roman"/>
          <w:sz w:val="24"/>
          <w:szCs w:val="24"/>
        </w:rPr>
        <w:t xml:space="preserve"> be markers of decreased</w:t>
      </w:r>
      <w:r w:rsidR="00961BC0" w:rsidRPr="00B77A30">
        <w:rPr>
          <w:rFonts w:ascii="Book Antiqua" w:hAnsi="Book Antiqua" w:cs="Times New Roman"/>
          <w:sz w:val="24"/>
          <w:szCs w:val="24"/>
        </w:rPr>
        <w:t xml:space="preserve"> physiologic reserve</w:t>
      </w:r>
      <w:r w:rsidRPr="00B77A30">
        <w:rPr>
          <w:rFonts w:ascii="Book Antiqua" w:hAnsi="Book Antiqua" w:cs="Times New Roman"/>
          <w:sz w:val="24"/>
          <w:szCs w:val="24"/>
        </w:rPr>
        <w:t>.</w:t>
      </w:r>
      <w:r w:rsidR="000A0F89">
        <w:rPr>
          <w:rFonts w:ascii="Book Antiqua" w:hAnsi="Book Antiqua" w:cs="Times New Roman"/>
          <w:sz w:val="24"/>
          <w:szCs w:val="24"/>
        </w:rPr>
        <w:t xml:space="preserve"> </w:t>
      </w:r>
      <w:r w:rsidR="00961BC0" w:rsidRPr="00B77A30">
        <w:rPr>
          <w:rFonts w:ascii="Book Antiqua" w:hAnsi="Book Antiqua" w:cs="Times New Roman"/>
          <w:sz w:val="24"/>
          <w:szCs w:val="24"/>
        </w:rPr>
        <w:t>S</w:t>
      </w:r>
      <w:r w:rsidRPr="00B77A30">
        <w:rPr>
          <w:rFonts w:ascii="Book Antiqua" w:hAnsi="Book Antiqua" w:cs="Times New Roman"/>
          <w:sz w:val="24"/>
          <w:szCs w:val="24"/>
        </w:rPr>
        <w:t xml:space="preserve">everal studies have highlighted the importance of </w:t>
      </w:r>
      <w:r w:rsidR="0052664C" w:rsidRPr="00B77A30">
        <w:rPr>
          <w:rFonts w:ascii="Book Antiqua" w:hAnsi="Book Antiqua" w:cs="Times New Roman"/>
          <w:sz w:val="24"/>
          <w:szCs w:val="24"/>
        </w:rPr>
        <w:t xml:space="preserve">frailty and sarcopenia </w:t>
      </w:r>
      <w:r w:rsidRPr="00B77A30">
        <w:rPr>
          <w:rFonts w:ascii="Book Antiqua" w:hAnsi="Book Antiqua" w:cs="Times New Roman"/>
          <w:sz w:val="24"/>
          <w:szCs w:val="24"/>
        </w:rPr>
        <w:t>to predict</w:t>
      </w:r>
      <w:r w:rsidR="00731F01" w:rsidRPr="00B77A30">
        <w:rPr>
          <w:rFonts w:ascii="Book Antiqua" w:hAnsi="Book Antiqua" w:cs="Times New Roman"/>
          <w:sz w:val="24"/>
          <w:szCs w:val="24"/>
        </w:rPr>
        <w:t xml:space="preserve"> perioperative outcomes among patients undergoing surgery for gastrointestinal cancer</w:t>
      </w:r>
      <w:r w:rsidR="00AB608C" w:rsidRPr="00B77A30">
        <w:rPr>
          <w:rFonts w:ascii="Book Antiqua" w:hAnsi="Book Antiqua" w:cs="Times New Roman"/>
          <w:sz w:val="24"/>
          <w:szCs w:val="24"/>
        </w:rPr>
        <w:fldChar w:fldCharType="begin" w:fldLock="1"/>
      </w:r>
      <w:r w:rsidR="00AB608C" w:rsidRPr="00B77A30">
        <w:rPr>
          <w:rFonts w:ascii="Book Antiqua" w:hAnsi="Book Antiqua" w:cs="Times New Roman"/>
          <w:sz w:val="24"/>
          <w:szCs w:val="24"/>
        </w:rPr>
        <w:instrText>ADDIN CSL_CITATION { "citationItems" : [ { "id" : "ITEM-1", "itemData" : { "DOI" : "10.1097/SLA.0b013e318070838f", "ISSN" : "0003-4932", "PMID" : "17667499", "abstract" : "OBJECTIVE: To better understand the reasons for decreased survival rates in elderly patients with rectal cancer by performing an epidemiologic evaluation of age-related differences in treatment and survival.\n\nSUMMARY BACKGROUND DATA: The incidence of rectal cancer increases with older age, and localized disease can be curatively treated with stage-appropriate radical surgery. However, older patients have been noted to experience decreased survival.\n\nMETHODS: Patients with localized rectal adenocarcinoma were identified in the Surveillance, Epidemiology, and End Results database (1991-2002). Cancer-specific survival by age, sex, surgery type, tumor grade, lymph node status, and use of radiation therapy was evaluated using univariate and multivariate regression analysis.\n\nRESULTS: We identified 21,390 patients who met the selection criteria. The median age was 68 years. Each half-decade increase in age &gt; or =70 years was associated with a 37% increase in the relative risk (RR) for cancer-related mortality (RR = 1.37; 95% confidence interval [CI], 1.33-1.42); decreased receipt of cancer-directed surgery (odds ratio [OR] = 0.56; 95% CI, 0.36-0.63); more local excision and less radical surgery (OR = 0.76; 95% CI, 0.72-0.81); less radiotherapy (OR = 0.64; 95% CI, 0.61-0.67); and greater likelihood of N0 pathologic stage classification (OR = 1.10; 95% CI, 1.05-1.15) (P &lt; 0.0001 for each factor). The effect of age on cancer-specific mortality persisted in multivariate analysis with each half-decade increase in age &gt; or =70 years resulting in a 31% increase in cancer-specific mortality (RR = 1.31; 95% CI, 1.25-1.36; P &lt; 0.0001).\n\nCONCLUSIONS: In elderly patients, rectal cancer is characterized by decreased cancer-related survival rates that are associated with less aggressive treatment overall and decreased disease stages at presentation. Investigation into the reasons for these treatment differences may help to define interventions to improve cancer outcomes.", "author" : [ { "dropping-particle" : "", "family" : "Chang", "given" : "George J", "non-dropping-particle" : "", "parse-names" : false, "suffix" : "" }, { "dropping-particle" : "", "family" : "Skibber", "given" : "John M", "non-dropping-particle" : "", "parse-names" : false, "suffix" : "" }, { "dropping-particle" : "", "family" : "Feig", "given" : "Barry W", "non-dropping-particle" : "", "parse-names" : false, "suffix" : "" }, { "dropping-particle" : "", "family" : "Rodriguez-Bigas", "given" : "Miguel", "non-dropping-particle" : "", "parse-names" : false, "suffix" : "" } ], "container-title" : "Annals of surgery", "id" : "ITEM-1", "issue" : "2", "issued" : { "date-parts" : [ [ "2007", "8" ] ] }, "page" : "215-21", "title" : "Are we undertreating rectal cancer in the elderly? An epidemiologic study.", "type" : "article-journal", "volume" : "246" }, "uris" : [ "http://www.mendeley.com/documents/?uuid=85456ab2-6a1b-4cde-be37-398974104550" ] }, { "id" : "ITEM-2", "itemData" : { "ISSN" : "1079-5006", "PMID" : "11253156", "abstract" : "BACKGROUND: Frailty is considered highly prevalent in old age and to confer high risk for falls, disability, hospitalization, and mortality. Frailty has been considered synonymous with disability, comorbidity, and other characteristics, but it is recognized that it may have a biologic basis and be a distinct clinical syndrome. A standardized definition has not yet been established.\n\nMETHODS: To develop and operationalize a phenotype of frailty in older adults and assess concurrent and predictive validity, the study used data from the Cardiovascular Health Study. Participants were 5,317 men and women 65 years and older (4,735 from an original cohort recruited in 1989-90 and 582 from an African American cohort recruited in 1992-93). Both cohorts received almost identical baseline evaluations and 7 and 4 years of follow-up, respectively, with annual examinations and surveillance for outcomes including incident disease, hospitalization, falls, disability, and mortality.\n\nRESULTS: Frailty was defined as a clinical syndrome in which three or more of the following criteria were present: unintentional weight loss (10 lbs in past year), self-reported exhaustion, weakness (grip strength), slow walking speed, and low physical activity. The overall prevalence of frailty in this community-dwelling population was 6.9%; it increased with age and was greater in women than men. Four-year incidence was 7.2%. Frailty was associated with being African American, having lower education and income, poorer health, and having higher rates of comorbid chronic diseases and disability. There was overlap, but not concordance, in the cooccurrence of frailty, comorbidity, and disability. This frailty phenotype was independently predictive (over 3 years) of incident falls, worsening mobility or ADL disability, hospitalization, and death, with hazard ratios ranging from 1.82 to 4.46, unadjusted, and 1.29-2.24, adjusted for a number of health, disease, and social characteristics predictive of 5-year mortality. Intermediate frailty status, as indicated by the presence of one or two criteria, showed intermediate risk of these outcomes as well as increased risk of becoming frail over 3-4 years of follow-up (odds ratios for incident frailty = 4.51 unadjusted and 2.63 adjusted for covariates, compared to those with no frailty criteria at baseline).\n\nCONCLUSIONS: This study provides a potential standardized definition for frailty in community-dwelling older adults and offers concurrent and pr\u2026", "author" : [ { "dropping-particle" : "", "family" : "Fried", "given" : "L P", "non-dropping-particle" : "", "parse-names" : false, "suffix" : "" }, { "dropping-particle" : "", "family" : "Tangen", "given" : "C M", "non-dropping-particle" : "", "parse-names" : false, "suffix" : "" }, { "dropping-particle" : "", "family" : "Walston", "given" : "J", "non-dropping-particle" : "", "parse-names" : false, "suffix" : "" }, { "dropping-particle" : "", "family" : "Newman", "given" : "A B", "non-dropping-particle" : "", "parse-names" : false, "suffix" : "" }, { "dropping-particle" : "", "family" : "Hirsch", "given" : "C", "non-dropping-particle" : "", "parse-names" : false, "suffix" : "" }, { "dropping-particle" : "", "family" : "Gottdiener", "given" : "J", "non-dropping-particle" : "", "parse-names" : false, "suffix" : "" }, { "dropping-particle" : "", "family" : "Seeman", "given" : "T", "non-dropping-particle" : "", "parse-names" : false, "suffix" : "" }, { "dropping-particle" : "", "family" : "Tracy", "given" : "R", "non-dropping-particle" : "", "parse-names" : false, "suffix" : "" }, { "dropping-particle" : "", "family" : "Kop", "given" : "W J", "non-dropping-particle" : "", "parse-names" : false, "suffix" : "" }, { "dropping-particle" : "", "family" : "Burke", "given" : "G", "non-dropping-particle" : "", "parse-names" : false, "suffix" : "" }, { "dropping-particle" : "", "family" : "McBurnie", "given" : "M A", "non-dropping-particle" : "", "parse-names" : false, "suffix" : "" } ], "container-title" : "The journals of gerontology. Series A, Biological sciences and medical sciences", "id" : "ITEM-2", "issue" : "3", "issued" : { "date-parts" : [ [ "2001", "3" ] ] }, "page" : "M146-56", "title" : "Frailty in older adults: evidence for a phenotype.", "type" : "article-journal", "volume" : "56" }, "uris" : [ "http://www.mendeley.com/documents/?uuid=63b2051d-83ea-4d40-9434-b93bd25ad4e4" ] }, { "id" : "ITEM-3", "itemData" : { "DOI" : "10.1378/chest.127.3.886", "ISSN" : "0012-3692", "PMID" : "15764772", "abstract" : "BACKGROUND: The prevalence of comorbidities and functional impairment among elderly patients may enhance the risk of operation-related complications, but the importance of these conditions in elderly patients undergoing thoracic surgery remains unclear.\n\nMETHODS: One hundred twenty patients &gt;/= 60 years of age who underwent thoracic surgery were registered prospectively and examined. A comprehensive geriatric assessment (CGA) that evaluated such diverse areas as functional status (ie, performance status and activities of daily living [ADLs] using the Barthel index), comorbidity, nutrition (ie, body mass index, arm-muscle circumference, albumin level, transferrin level, lymphocyte count, and cholinesterase level), and cognitive function (ie, mini-mental state examination [MMSE] and negative emotions for operation) was performed in the 2 weeks before patients underwent the operation.\n\nRESULTS: The diseases of the 120 patients were as follows: lung cancer, 85 patients; mediastinal tumor, 14 patients; bullas, 12 patients; and other diseases, 9 patients. Postoperative complications developed in 20 patients (16.7%). The patients with dependence for performing the ADLs, and dementia were more likely to develop postoperative complications (p = 0.041, and p = 0.0065, respectively). The patients who experienced longer operation times (ie, &gt;/= 300 min; p = 0.018) were more likely to have complications. The incidence of prolonged air leak in the patients with malnutrition increased seven-fold (p = 0.045) and that of postoperative infectious diseases in those patients with obesity increased 24-fold (p = 0.0013), while all patients who developed delirium had low scores in the MMSE preoperatively (p = 0.0003). Using multiple logistic regression, the best model was obtained with a combination of MMSE (p = 0.031) and the Barthel index (p = 0.04). When the operation variables were added to this model, the operation time had the strongest effect (p = 0.016).\n\nCONCLUSIONS: Dependence for the performance of ADLs and impaired cognitive conditions are important predictors of postoperative complications, especially when the operation time is long. CGA is necessary in addition to the conventional cardiopulmonary functional assessment in elderly patients.", "author" : [ { "dropping-particle" : "", "family" : "Fukuse", "given" : "Tatsuo", "non-dropping-particle" : "", "parse-names" : false, "suffix" : "" }, { "dropping-particle" : "", "family" : "Satoda", "given" : "Naoki", "non-dropping-particle" : "", "parse-names" : false, "suffix" : "" }, { "dropping-particle" : "", "family" : "Hijiya", "given" : "Kyoko", "non-dropping-particle" : "", "parse-names" : false, "suffix" : "" }, { "dropping-particle" : "", "family" : "Fujinaga", "given" : "Takuji", "non-dropping-particle" : "", "parse-names" : false, "suffix" : "" } ], "container-title" : "Chest", "id" : "ITEM-3", "issue" : "3", "issued" : { "date-parts" : [ [ "2005", "3" ] ] }, "page" : "886-91", "title" : "Importance of a comprehensive geriatric assessment in prediction of complications following thoracic surgery in elderly patients.", "type" : "article-journal", "volume" : "127" }, "uris" : [ "http://www.mendeley.com/documents/?uuid=9d492824-5283-417c-a314-81613c0ef9ad" ] }, { "id" : "ITEM-4", "itemData" : { "DOI" : "10.1016/j.jamcollsurg.2010.01.028", "ISSN" : "1879-1190", "PMID" : "20510798", "abstract" : "BACKGROUND: Preoperative risk assessment is important yet inexact in older patients because physiologic reserves are difficult to measure. Frailty is thought to estimate physiologic reserves, although its use has not been evaluated in surgical patients. We designed a study to determine if frailty predicts surgical complications and enhances current perioperative risk models.\n\nSTUDY DESIGN: We prospectively measured frailty in 594 patients (age 65 years or older) presenting to a university hospital for elective surgery between July 2005 and July 2006. Frailty was classified using a validated scale (0 to 5) that included weakness, weight loss, exhaustion, low physical activity, and slowed walking speed. Patients scoring 4 to 5 were classified as frail, 2 to 3 were intermediately frail, and 0 to 1 were nonfrail. Main outcomes measures were 30-day surgical complications, length of stay, and discharge disposition. Multiple logistic regression (complications and discharge) and negative binomial regression (length of stay) were done to analyze frailty and postoperative outcomes associations.\n\nRESULTS: Preoperative frailty was associated with an increased risk for postoperative complications (intermediately frail: odds ratio [OR] 2.06; 95% CI 1.18-3.60; frail: OR 2.54; 95% CI 1.12-5.77), length of stay (intermediately frail: incidence rate ratio 1.49; 95% CI 1.24-1.80; frail: incidence rate ratio 1.69; 95% CI 1.28-2.23), and discharge to a skilled or assisted-living facility after previously living at home (intermediately frail: OR 3.16; 95% CI 1.0-9.99; frail: OR 20.48; 95% CI 5.54-75.68). Frailty improved predictive power (p &lt; 0.01) of each risk index (ie, American Society of Anesthesiologists, Lee, and Eagle scores).\n\nCONCLUSIONS: Frailty independently predicts postoperative complications, length of stay, and discharge to a skilled or assisted-living facility in older surgical patients and enhances conventional risk models. Assessing frailty using a standardized definition can help patients and physicians make more informed decisions.", "author" : [ { "dropping-particle" : "", "family" : "Makary", "given" : "Martin A", "non-dropping-particle" : "", "parse-names" : false, "suffix" : "" }, { "dropping-particle" : "", "family" : "Segev", "given" : "Dorry L", "non-dropping-particle" : "", "parse-names" : false, "suffix" : "" }, { "dropping-particle" : "", "family" : "Pronovost", "given" : "Peter J", "non-dropping-particle" : "", "parse-names" : false, "suffix" : "" }, { "dropping-particle" : "", "family" : "Syin", "given" : "Dora", "non-dropping-particle" : "", "parse-names" : false, "suffix" : "" }, { "dropping-particle" : "", "family" : "Bandeen-Roche", "given" : "Karen", "non-dropping-particle" : "", "parse-names" : false, "suffix" : "" }, { "dropping-particle" : "", "family" : "Patel", "given" : "Purvi", "non-dropping-particle" : "", "parse-names" : false, "suffix" : "" }, { "dropping-particle" : "", "family" : "Takenaga", "given" : "Ryan", "non-dropping-particle" : "", "parse-names" : false, "suffix" : "" }, { "dropping-particle" : "", "family" : "Devgan", "given" : "Lara", "non-dropping-particle" : "", "parse-names" : false, "suffix" : "" }, { "dropping-particle" : "", "family" : "Holzmueller", "given" : "Christine G", "non-dropping-particle" : "", "parse-names" : false, "suffix" : "" }, { "dropping-particle" : "", "family" : "Tian", "given" : "Jing", "non-dropping-particle" : "", "parse-names" : false, "suffix" : "" }, { "dropping-particle" : "", "family" : "Fried", "given" : "Linda P", "non-dropping-particle" : "", "parse-names" : false, "suffix" : "" } ], "container-title" : "Journal of the American College of Surgeons", "id" : "ITEM-4", "issue" : "6", "issued" : { "date-parts" : [ [ "2010", "6" ] ] }, "page" : "901-8", "title" : "Frailty as a predictor of surgical outcomes in older patients.", "type" : "article-journal", "volume" : "210" }, "uris" : [ "http://www.mendeley.com/documents/?uuid=80a5f905-3fe1-402f-a20e-113c97eba28e" ] } ], "mendeley" : { "formattedCitation" : "&lt;sup&gt;[19\u201322]&lt;/sup&gt;", "plainTextFormattedCitation" : "[19\u201322]", "previouslyFormattedCitation" : "&lt;sup&gt;[19\u201322]&lt;/sup&gt;" }, "properties" : { "noteIndex" : 0 }, "schema" : "https://github.com/citation-style-language/schema/raw/master/csl-citation.json" }</w:instrText>
      </w:r>
      <w:r w:rsidR="00AB608C" w:rsidRPr="00B77A30">
        <w:rPr>
          <w:rFonts w:ascii="Book Antiqua" w:hAnsi="Book Antiqua" w:cs="Times New Roman"/>
          <w:sz w:val="24"/>
          <w:szCs w:val="24"/>
        </w:rPr>
        <w:fldChar w:fldCharType="separate"/>
      </w:r>
      <w:r w:rsidR="00AB608C" w:rsidRPr="00B77A30">
        <w:rPr>
          <w:rFonts w:ascii="Book Antiqua" w:hAnsi="Book Antiqua" w:cs="Times New Roman"/>
          <w:noProof/>
          <w:sz w:val="24"/>
          <w:szCs w:val="24"/>
          <w:vertAlign w:val="superscript"/>
        </w:rPr>
        <w:t>[19–22]</w:t>
      </w:r>
      <w:r w:rsidR="00AB608C"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 xml:space="preserve">. </w:t>
      </w:r>
      <w:r w:rsidR="009A1855" w:rsidRPr="00B77A30">
        <w:rPr>
          <w:rFonts w:ascii="Book Antiqua" w:hAnsi="Book Antiqua" w:cs="Times New Roman"/>
          <w:sz w:val="24"/>
          <w:szCs w:val="24"/>
        </w:rPr>
        <w:t>R</w:t>
      </w:r>
      <w:r w:rsidR="003F40BC" w:rsidRPr="00B77A30">
        <w:rPr>
          <w:rFonts w:ascii="Book Antiqua" w:hAnsi="Book Antiqua" w:cs="Times New Roman"/>
          <w:sz w:val="24"/>
          <w:szCs w:val="24"/>
        </w:rPr>
        <w:t xml:space="preserve">ecent </w:t>
      </w:r>
      <w:r w:rsidR="0052664C" w:rsidRPr="00B77A30">
        <w:rPr>
          <w:rFonts w:ascii="Book Antiqua" w:hAnsi="Book Antiqua" w:cs="Times New Roman"/>
          <w:sz w:val="24"/>
          <w:szCs w:val="24"/>
        </w:rPr>
        <w:lastRenderedPageBreak/>
        <w:t xml:space="preserve">guidelines </w:t>
      </w:r>
      <w:r w:rsidR="00731F01" w:rsidRPr="00B77A30">
        <w:rPr>
          <w:rFonts w:ascii="Book Antiqua" w:hAnsi="Book Antiqua" w:cs="Times New Roman"/>
          <w:sz w:val="24"/>
          <w:szCs w:val="24"/>
        </w:rPr>
        <w:t>from the</w:t>
      </w:r>
      <w:r w:rsidR="009E68F2" w:rsidRPr="00B77A30">
        <w:rPr>
          <w:rFonts w:ascii="Book Antiqua" w:hAnsi="Book Antiqua" w:cs="Times New Roman"/>
          <w:sz w:val="24"/>
          <w:szCs w:val="24"/>
        </w:rPr>
        <w:t xml:space="preserve"> American </w:t>
      </w:r>
      <w:r w:rsidR="000647B4" w:rsidRPr="00B77A30">
        <w:rPr>
          <w:rFonts w:ascii="Book Antiqua" w:hAnsi="Book Antiqua" w:cs="Times New Roman"/>
          <w:sz w:val="24"/>
          <w:szCs w:val="24"/>
        </w:rPr>
        <w:t>College</w:t>
      </w:r>
      <w:r w:rsidR="009E68F2" w:rsidRPr="00B77A30">
        <w:rPr>
          <w:rFonts w:ascii="Book Antiqua" w:hAnsi="Book Antiqua" w:cs="Times New Roman"/>
          <w:sz w:val="24"/>
          <w:szCs w:val="24"/>
        </w:rPr>
        <w:t xml:space="preserve"> of </w:t>
      </w:r>
      <w:r w:rsidR="009B7EE5" w:rsidRPr="00B77A30">
        <w:rPr>
          <w:rFonts w:ascii="Book Antiqua" w:hAnsi="Book Antiqua" w:cs="Times New Roman"/>
          <w:sz w:val="24"/>
          <w:szCs w:val="24"/>
        </w:rPr>
        <w:t>S</w:t>
      </w:r>
      <w:r w:rsidR="009E68F2" w:rsidRPr="00B77A30">
        <w:rPr>
          <w:rFonts w:ascii="Book Antiqua" w:hAnsi="Book Antiqua" w:cs="Times New Roman"/>
          <w:sz w:val="24"/>
          <w:szCs w:val="24"/>
        </w:rPr>
        <w:t xml:space="preserve">urgeons </w:t>
      </w:r>
      <w:r w:rsidRPr="00B77A30">
        <w:rPr>
          <w:rFonts w:ascii="Book Antiqua" w:hAnsi="Book Antiqua" w:cs="Times New Roman"/>
          <w:sz w:val="24"/>
          <w:szCs w:val="24"/>
        </w:rPr>
        <w:t>have</w:t>
      </w:r>
      <w:r w:rsidR="00731F01" w:rsidRPr="00B77A30">
        <w:rPr>
          <w:rFonts w:ascii="Book Antiqua" w:hAnsi="Book Antiqua" w:cs="Times New Roman"/>
          <w:sz w:val="24"/>
          <w:szCs w:val="24"/>
        </w:rPr>
        <w:t xml:space="preserve"> highlighted the importance of assessing </w:t>
      </w:r>
      <w:r w:rsidR="00A33A51" w:rsidRPr="00B77A30">
        <w:rPr>
          <w:rFonts w:ascii="Book Antiqua" w:hAnsi="Book Antiqua" w:cs="Times New Roman"/>
          <w:sz w:val="24"/>
          <w:szCs w:val="24"/>
        </w:rPr>
        <w:t xml:space="preserve">both </w:t>
      </w:r>
      <w:r w:rsidR="00961BC0" w:rsidRPr="00B77A30">
        <w:rPr>
          <w:rFonts w:ascii="Book Antiqua" w:hAnsi="Book Antiqua" w:cs="Times New Roman"/>
          <w:sz w:val="24"/>
          <w:szCs w:val="24"/>
        </w:rPr>
        <w:t xml:space="preserve">frailty and </w:t>
      </w:r>
      <w:r w:rsidR="00892EA4" w:rsidRPr="00B77A30">
        <w:rPr>
          <w:rFonts w:ascii="Book Antiqua" w:hAnsi="Book Antiqua" w:cs="Times New Roman"/>
          <w:sz w:val="24"/>
          <w:szCs w:val="24"/>
        </w:rPr>
        <w:t xml:space="preserve">sarcopenia </w:t>
      </w:r>
      <w:r w:rsidR="00731F01" w:rsidRPr="00B77A30">
        <w:rPr>
          <w:rFonts w:ascii="Book Antiqua" w:hAnsi="Book Antiqua" w:cs="Times New Roman"/>
          <w:sz w:val="24"/>
          <w:szCs w:val="24"/>
        </w:rPr>
        <w:t>prior</w:t>
      </w:r>
      <w:r w:rsidR="00A33A51" w:rsidRPr="00B77A30">
        <w:rPr>
          <w:rFonts w:ascii="Book Antiqua" w:hAnsi="Book Antiqua" w:cs="Times New Roman"/>
          <w:sz w:val="24"/>
          <w:szCs w:val="24"/>
        </w:rPr>
        <w:t xml:space="preserve"> to on</w:t>
      </w:r>
      <w:r w:rsidR="00170819" w:rsidRPr="00B77A30">
        <w:rPr>
          <w:rFonts w:ascii="Book Antiqua" w:hAnsi="Book Antiqua" w:cs="Times New Roman"/>
          <w:sz w:val="24"/>
          <w:szCs w:val="24"/>
        </w:rPr>
        <w:t>cologic surgery in the elderly</w:t>
      </w:r>
      <w:r w:rsidR="00AB608C" w:rsidRPr="00B77A30">
        <w:rPr>
          <w:rFonts w:ascii="Book Antiqua" w:hAnsi="Book Antiqua" w:cs="Times New Roman"/>
          <w:sz w:val="24"/>
          <w:szCs w:val="24"/>
        </w:rPr>
        <w:fldChar w:fldCharType="begin" w:fldLock="1"/>
      </w:r>
      <w:r w:rsidR="00EA0F61" w:rsidRPr="00B77A30">
        <w:rPr>
          <w:rFonts w:ascii="Book Antiqua" w:hAnsi="Book Antiqua" w:cs="Times New Roman"/>
          <w:sz w:val="24"/>
          <w:szCs w:val="24"/>
        </w:rPr>
        <w:instrText>ADDIN CSL_CITATION { "citationItems" : [ { "id" : "ITEM-1", "itemData" : { "DOI" : "10.1016/j.jamcollsurg.2012.06.017", "ISSN" : "1879-1190", "PMID" : "22917646", "author" : [ { "dropping-particle" : "", "family" : "Chow", "given" : "Warren B", "non-dropping-particle" : "", "parse-names" : false, "suffix" : "" }, { "dropping-particle" : "", "family" : "Rosenthal", "given" : "Ronnie A", "non-dropping-particle" : "", "parse-names" : false, "suffix" : "" }, { "dropping-particle" : "", "family" : "Merkow", "given" : "Ryan P", "non-dropping-particle" : "", "parse-names" : false, "suffix" : "" }, { "dropping-particle" : "", "family" : "Ko", "given" : "Clifford Y", "non-dropping-particle" : "", "parse-names" : false, "suffix" : "" }, { "dropping-particle" : "", "family" : "Esnaola", "given" : "Nestor F", "non-dropping-particle" : "", "parse-names" : false, "suffix" : "" } ], "container-title" : "Journal of the American College of Surgeons", "id" : "ITEM-1", "issue" : "4", "issued" : { "date-parts" : [ [ "2012", "10" ] ] }, "page" : "453-66", "title" : "Optimal preoperative assessment of the geriatric surgical patient: a best practices guideline from the American College of Surgeons National Surgical Quality Improvement Program and the American Geriatrics Society.", "type" : "article-journal", "volume" : "215" }, "uris" : [ "http://www.mendeley.com/documents/?uuid=33b47bc5-56dd-4664-bdc4-47ae6a3226e0" ] } ], "mendeley" : { "formattedCitation" : "&lt;sup&gt;[23]&lt;/sup&gt;", "plainTextFormattedCitation" : "[23]", "previouslyFormattedCitation" : "&lt;sup&gt;[23]&lt;/sup&gt;" }, "properties" : { "noteIndex" : 0 }, "schema" : "https://github.com/citation-style-language/schema/raw/master/csl-citation.json" }</w:instrText>
      </w:r>
      <w:r w:rsidR="00AB608C" w:rsidRPr="00B77A30">
        <w:rPr>
          <w:rFonts w:ascii="Book Antiqua" w:hAnsi="Book Antiqua" w:cs="Times New Roman"/>
          <w:sz w:val="24"/>
          <w:szCs w:val="24"/>
        </w:rPr>
        <w:fldChar w:fldCharType="separate"/>
      </w:r>
      <w:r w:rsidR="00AB608C" w:rsidRPr="00B77A30">
        <w:rPr>
          <w:rFonts w:ascii="Book Antiqua" w:hAnsi="Book Antiqua" w:cs="Times New Roman"/>
          <w:noProof/>
          <w:sz w:val="24"/>
          <w:szCs w:val="24"/>
          <w:vertAlign w:val="superscript"/>
        </w:rPr>
        <w:t>[23]</w:t>
      </w:r>
      <w:r w:rsidR="00AB608C"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As such, there is increasing interest in screening patients for </w:t>
      </w:r>
      <w:r w:rsidR="00A33A51" w:rsidRPr="00B77A30">
        <w:rPr>
          <w:rFonts w:ascii="Book Antiqua" w:hAnsi="Book Antiqua" w:cs="Times New Roman"/>
          <w:sz w:val="24"/>
          <w:szCs w:val="24"/>
        </w:rPr>
        <w:t xml:space="preserve">frailty and sarcopenia </w:t>
      </w:r>
      <w:r w:rsidRPr="00B77A30">
        <w:rPr>
          <w:rFonts w:ascii="Book Antiqua" w:hAnsi="Book Antiqua" w:cs="Times New Roman"/>
          <w:sz w:val="24"/>
          <w:szCs w:val="24"/>
        </w:rPr>
        <w:t>to better predict patients at highest risk of complications after surgery</w:t>
      </w:r>
      <w:r w:rsidR="00EA0F61" w:rsidRPr="00B77A30">
        <w:rPr>
          <w:rFonts w:ascii="Book Antiqua" w:hAnsi="Book Antiqua" w:cs="Times New Roman"/>
          <w:sz w:val="24"/>
          <w:szCs w:val="24"/>
        </w:rPr>
        <w:fldChar w:fldCharType="begin" w:fldLock="1"/>
      </w:r>
      <w:r w:rsidR="00EA0F61" w:rsidRPr="00B77A30">
        <w:rPr>
          <w:rFonts w:ascii="Book Antiqua" w:hAnsi="Book Antiqua" w:cs="Times New Roman"/>
          <w:sz w:val="24"/>
          <w:szCs w:val="24"/>
        </w:rPr>
        <w:instrText>ADDIN CSL_CITATION { "citationItems" : [ { "id" : "ITEM-1", "itemData" : { "DOI" : "10.1016/j.critrevonc.2005.06.003", "ISSN" : "1040-8428", "PMID" : "16084735", "abstract" : "BACKGROUND: As more and more cancers occur in elderly people, oncologists are increasingly confronted with the necessity of integrating geriatric parameters in the treatment of their patients.\n\nMETHODS: The International Society of Geriatric Oncology (SIOG) created a task force to review the evidence on the use of a comprehensive geriatric assessment (CGA) in cancer patients. A systematic review of the evidence was conducted.\n\nRESULTS: Several biological and clinical correlates of aging have been identified. Their relative weight and clinical usefulness is still poorly defined. There is strong evidence that a CGA detects many problems missed by a regular assessment in general geriatric and in cancer patients. There is also strong evidence that a CGA improves function and reduces hospitalization in the elderly. There is heterogeneous evidence that it improves survival and that it is cost-effective. There is corroborative evidence from a few studies conducted in cancer patients. Screening tools exist and were successfully used in settings such as the emergency room, but globally were poorly tested. The article contains recommendations for the use of CGA in research and clinical care for older cancer patients.\n\nCONCLUSIONS: A CGA, with or without screening, and with follow-up, should be used in older cancer patients, in order to detect unaddressed problems, improve their functional status, and possibly their survival. The task force cannot recommend any specific tool or approach above others at this point and general geriatric experience should be used.", "author" : [ { "dropping-particle" : "", "family" : "Extermann", "given" : "Martine", "non-dropping-particle" : "", "parse-names" : false, "suffix" : "" }, { "dropping-particle" : "", "family" : "Aapro", "given" : "Matti", "non-dropping-particle" : "", "parse-names" : false, "suffix" : "" }, { "dropping-particle" : "", "family" : "Bernabei", "given" : "Roberto", "non-dropping-particle" : "", "parse-names" : false, "suffix" : "" }, { "dropping-particle" : "", "family" : "Cohen", "given" : "Harvey Jay", "non-dropping-particle" : "", "parse-names" : false, "suffix" : "" }, { "dropping-particle" : "", "family" : "Droz", "given" : "Jean-Pierre", "non-dropping-particle" : "", "parse-names" : false, "suffix" : "" }, { "dropping-particle" : "", "family" : "Lichtman", "given" : "Stuart", "non-dropping-particle" : "", "parse-names" : false, "suffix" : "" }, { "dropping-particle" : "", "family" : "Mor", "given" : "Vincent", "non-dropping-particle" : "", "parse-names" : false, "suffix" : "" }, { "dropping-particle" : "", "family" : "Monfardini", "given" : "Silvio", "non-dropping-particle" : "", "parse-names" : false, "suffix" : "" }, { "dropping-particle" : "", "family" : "Repetto", "given" : "Lazzaro", "non-dropping-particle" : "", "parse-names" : false, "suffix" : "" }, { "dropping-particle" : "", "family" : "S\u00f8rbye", "given" : "Liv", "non-dropping-particle" : "", "parse-names" : false, "suffix" : "" }, { "dropping-particle" : "", "family" : "Topinkova", "given" : "Eva", "non-dropping-particle" : "", "parse-names" : false, "suffix" : "" } ], "container-title" : "Critical reviews in oncology/hematology", "id" : "ITEM-1", "issue" : "3", "issued" : { "date-parts" : [ [ "2005", "9" ] ] }, "page" : "241-52", "title" : "Use of comprehensive geriatric assessment in older cancer patients: recommendations from the task force on CGA of the International Society of Geriatric Oncology (SIOG).", "type" : "article-journal", "volume" : "55" }, "uris" : [ "http://www.mendeley.com/documents/?uuid=d1fcbcc3-eb1b-4f26-82aa-ff29e53bcb18" ] } ], "mendeley" : { "formattedCitation" : "&lt;sup&gt;[24]&lt;/sup&gt;", "plainTextFormattedCitation" : "[24]", "previouslyFormattedCitation" : "&lt;sup&gt;[24]&lt;/sup&gt;" }, "properties" : { "noteIndex" : 0 }, "schema" : "https://github.com/citation-style-language/schema/raw/master/csl-citation.json" }</w:instrText>
      </w:r>
      <w:r w:rsidR="00EA0F61" w:rsidRPr="00B77A30">
        <w:rPr>
          <w:rFonts w:ascii="Book Antiqua" w:hAnsi="Book Antiqua" w:cs="Times New Roman"/>
          <w:sz w:val="24"/>
          <w:szCs w:val="24"/>
        </w:rPr>
        <w:fldChar w:fldCharType="separate"/>
      </w:r>
      <w:r w:rsidR="00EA0F61" w:rsidRPr="00B77A30">
        <w:rPr>
          <w:rFonts w:ascii="Book Antiqua" w:hAnsi="Book Antiqua" w:cs="Times New Roman"/>
          <w:noProof/>
          <w:sz w:val="24"/>
          <w:szCs w:val="24"/>
          <w:vertAlign w:val="superscript"/>
        </w:rPr>
        <w:t>[24]</w:t>
      </w:r>
      <w:r w:rsidR="00EA0F61"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Given this, we sought to review the</w:t>
      </w:r>
      <w:r w:rsidR="00961BC0" w:rsidRPr="00B77A30">
        <w:rPr>
          <w:rFonts w:ascii="Book Antiqua" w:hAnsi="Book Antiqua" w:cs="Times New Roman"/>
          <w:sz w:val="24"/>
          <w:szCs w:val="24"/>
        </w:rPr>
        <w:t xml:space="preserve"> available literature on the</w:t>
      </w:r>
      <w:r w:rsidRPr="00B77A30">
        <w:rPr>
          <w:rFonts w:ascii="Book Antiqua" w:hAnsi="Book Antiqua" w:cs="Times New Roman"/>
          <w:sz w:val="24"/>
          <w:szCs w:val="24"/>
        </w:rPr>
        <w:t xml:space="preserve"> association of </w:t>
      </w:r>
      <w:r w:rsidR="00171AF5" w:rsidRPr="00B77A30">
        <w:rPr>
          <w:rFonts w:ascii="Book Antiqua" w:hAnsi="Book Antiqua" w:cs="Times New Roman"/>
          <w:sz w:val="24"/>
          <w:szCs w:val="24"/>
        </w:rPr>
        <w:t>frailty and sarcopenia</w:t>
      </w:r>
      <w:r w:rsidR="009335AA" w:rsidRPr="00B77A30">
        <w:rPr>
          <w:rFonts w:ascii="Book Antiqua" w:hAnsi="Book Antiqua" w:cs="Times New Roman"/>
          <w:sz w:val="24"/>
          <w:szCs w:val="24"/>
        </w:rPr>
        <w:t xml:space="preserve"> </w:t>
      </w:r>
      <w:r w:rsidRPr="00B77A30">
        <w:rPr>
          <w:rFonts w:ascii="Book Antiqua" w:hAnsi="Book Antiqua" w:cs="Times New Roman"/>
          <w:sz w:val="24"/>
          <w:szCs w:val="24"/>
        </w:rPr>
        <w:t>with patient</w:t>
      </w:r>
      <w:r w:rsidR="009335AA" w:rsidRPr="00B77A30">
        <w:rPr>
          <w:rFonts w:ascii="Book Antiqua" w:hAnsi="Book Antiqua" w:cs="Times New Roman"/>
          <w:sz w:val="24"/>
          <w:szCs w:val="24"/>
        </w:rPr>
        <w:t xml:space="preserve"> outcome</w:t>
      </w:r>
      <w:r w:rsidRPr="00B77A30">
        <w:rPr>
          <w:rFonts w:ascii="Book Antiqua" w:hAnsi="Book Antiqua" w:cs="Times New Roman"/>
          <w:sz w:val="24"/>
          <w:szCs w:val="24"/>
        </w:rPr>
        <w:t>, as well as</w:t>
      </w:r>
      <w:r w:rsidR="009335AA" w:rsidRPr="00B77A30">
        <w:rPr>
          <w:rFonts w:ascii="Book Antiqua" w:hAnsi="Book Antiqua" w:cs="Times New Roman"/>
          <w:sz w:val="24"/>
          <w:szCs w:val="24"/>
        </w:rPr>
        <w:t xml:space="preserve"> </w:t>
      </w:r>
      <w:r w:rsidRPr="00B77A30">
        <w:rPr>
          <w:rFonts w:ascii="Book Antiqua" w:hAnsi="Book Antiqua" w:cs="Times New Roman"/>
          <w:sz w:val="24"/>
          <w:szCs w:val="24"/>
        </w:rPr>
        <w:t xml:space="preserve">the risk of perioperative morbidity and mortality </w:t>
      </w:r>
      <w:r w:rsidR="009335AA" w:rsidRPr="00B77A30">
        <w:rPr>
          <w:rFonts w:ascii="Book Antiqua" w:hAnsi="Book Antiqua" w:cs="Times New Roman"/>
          <w:sz w:val="24"/>
          <w:szCs w:val="24"/>
        </w:rPr>
        <w:t xml:space="preserve">after gastrointestinal surgeries. </w:t>
      </w:r>
    </w:p>
    <w:p w14:paraId="0BAC30D3" w14:textId="77777777" w:rsidR="005A19AC" w:rsidRPr="00B77A30" w:rsidRDefault="005A19AC" w:rsidP="00CB2DFE">
      <w:pPr>
        <w:spacing w:after="0" w:line="360" w:lineRule="auto"/>
        <w:jc w:val="both"/>
        <w:rPr>
          <w:rFonts w:ascii="Book Antiqua" w:hAnsi="Book Antiqua" w:cs="Times New Roman"/>
          <w:i/>
          <w:sz w:val="24"/>
          <w:szCs w:val="24"/>
        </w:rPr>
      </w:pPr>
    </w:p>
    <w:p w14:paraId="2F95F469" w14:textId="4EE22D3F" w:rsidR="005A19AC" w:rsidRPr="00B77A30" w:rsidRDefault="00170819" w:rsidP="00CB2DFE">
      <w:pPr>
        <w:spacing w:after="0" w:line="360" w:lineRule="auto"/>
        <w:jc w:val="both"/>
        <w:rPr>
          <w:rFonts w:ascii="Book Antiqua" w:hAnsi="Book Antiqua" w:cs="Times New Roman"/>
          <w:b/>
          <w:sz w:val="24"/>
          <w:szCs w:val="24"/>
        </w:rPr>
      </w:pPr>
      <w:r w:rsidRPr="00B77A30">
        <w:rPr>
          <w:rFonts w:ascii="Book Antiqua" w:hAnsi="Book Antiqua" w:cs="Times New Roman"/>
          <w:b/>
          <w:sz w:val="24"/>
          <w:szCs w:val="24"/>
        </w:rPr>
        <w:t>SYSTEMATIC LITERATURE REVIEW</w:t>
      </w:r>
    </w:p>
    <w:p w14:paraId="26CE1CC3" w14:textId="5DC3665B" w:rsidR="005A19AC" w:rsidRPr="00B77A30" w:rsidRDefault="005A19AC" w:rsidP="00CB2DFE">
      <w:pPr>
        <w:spacing w:after="0" w:line="360" w:lineRule="auto"/>
        <w:jc w:val="both"/>
        <w:rPr>
          <w:rFonts w:ascii="Book Antiqua" w:hAnsi="Book Antiqua" w:cs="Times New Roman"/>
          <w:sz w:val="24"/>
          <w:szCs w:val="24"/>
        </w:rPr>
      </w:pPr>
      <w:r w:rsidRPr="00B77A30">
        <w:rPr>
          <w:rFonts w:ascii="Book Antiqua" w:hAnsi="Book Antiqua" w:cs="Times New Roman"/>
          <w:sz w:val="24"/>
          <w:szCs w:val="24"/>
        </w:rPr>
        <w:t>A focused, structured literature review was performed using PubMed and Google Scholar to identify primary research articles, review articles, as well as practice guidelines on frailty and sarcopenia among patients undergoing gastrointestinal surgery. Articles published between January 2000 to March 2015 were identified using the search terms “sarcopenia and gastrointestinal surgery,” “frailty and gastrointestinal surgery,” “sarcopenia and outcome and surgery,” as well as “frailty and outcome and surgery.” In addition, references of relevant articles were also reviewed to identify potentially eligible studies. As per the methodology specified under the PRISMA guidelines, only studies published in English were included, while conference abstracts that did not proceed to publication in peer-</w:t>
      </w:r>
      <w:r w:rsidR="00170819" w:rsidRPr="00B77A30">
        <w:rPr>
          <w:rFonts w:ascii="Book Antiqua" w:hAnsi="Book Antiqua" w:cs="Times New Roman"/>
          <w:sz w:val="24"/>
          <w:szCs w:val="24"/>
        </w:rPr>
        <w:t>reviewed journals were excluded</w:t>
      </w:r>
      <w:r w:rsidR="00EA0F61" w:rsidRPr="00B77A30">
        <w:rPr>
          <w:rFonts w:ascii="Book Antiqua" w:hAnsi="Book Antiqua" w:cs="Times New Roman"/>
          <w:sz w:val="24"/>
          <w:szCs w:val="24"/>
        </w:rPr>
        <w:fldChar w:fldCharType="begin" w:fldLock="1"/>
      </w:r>
      <w:r w:rsidR="003A2862" w:rsidRPr="00B77A30">
        <w:rPr>
          <w:rFonts w:ascii="Book Antiqua" w:hAnsi="Book Antiqua" w:cs="Times New Roman"/>
          <w:sz w:val="24"/>
          <w:szCs w:val="24"/>
        </w:rPr>
        <w:instrText>ADDIN CSL_CITATION { "citationItems" : [ { "id" : "ITEM-1", "itemData" : { "DOI" : "10.1016/j.jclinepi.2009.06.005", "ISSN" : "1878-5921", "PMID" : "19631508", "author" : [ { "dropping-particle" : "", "family" : "Moher", "given" : "David", "non-dropping-particle" : "", "parse-names" : false, "suffix" : "" }, { "dropping-particle" : "", "family" : "Liberati", "given" : "Alessandro", "non-dropping-particle" : "", "parse-names" : false, "suffix" : "" }, { "dropping-particle" : "", "family" : "Tetzlaff", "given" : "Jennifer", "non-dropping-particle" : "", "parse-names" : false, "suffix" : "" }, { "dropping-particle" : "", "family" : "Altman", "given" : "Douglas G", "non-dropping-particle" : "", "parse-names" : false, "suffix" : "" } ], "container-title" : "Journal of clinical epidemiology", "id" : "ITEM-1", "issue" : "10", "issued" : { "date-parts" : [ [ "2009", "10" ] ] }, "page" : "1006-12", "title" : "Preferred reporting items for systematic reviews and meta-analyses: the PRISMA statement.", "type" : "article-journal", "volume" : "62" }, "uris" : [ "http://www.mendeley.com/documents/?uuid=5fac4af8-e8aa-4e76-b12e-b15f0f19cc7b" ] } ], "mendeley" : { "formattedCitation" : "&lt;sup&gt;[25]&lt;/sup&gt;", "plainTextFormattedCitation" : "[25]", "previouslyFormattedCitation" : "&lt;sup&gt;[25]&lt;/sup&gt;" }, "properties" : { "noteIndex" : 0 }, "schema" : "https://github.com/citation-style-language/schema/raw/master/csl-citation.json" }</w:instrText>
      </w:r>
      <w:r w:rsidR="00EA0F61" w:rsidRPr="00B77A30">
        <w:rPr>
          <w:rFonts w:ascii="Book Antiqua" w:hAnsi="Book Antiqua" w:cs="Times New Roman"/>
          <w:sz w:val="24"/>
          <w:szCs w:val="24"/>
        </w:rPr>
        <w:fldChar w:fldCharType="separate"/>
      </w:r>
      <w:r w:rsidR="00EA0F61" w:rsidRPr="00B77A30">
        <w:rPr>
          <w:rFonts w:ascii="Book Antiqua" w:hAnsi="Book Antiqua" w:cs="Times New Roman"/>
          <w:noProof/>
          <w:sz w:val="24"/>
          <w:szCs w:val="24"/>
          <w:vertAlign w:val="superscript"/>
        </w:rPr>
        <w:t>[25]</w:t>
      </w:r>
      <w:r w:rsidR="00EA0F61"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The initial search identified 343 articles; 53 duplicates were eliminated and 290 abstracts were reviewed for further assessment. Among these 25 editorials, 97 studies that did not include gastrointestinal patients, 99 articles that did not use standard frailty or sarcopenia assessments, 19 case series, as well as 5 case reports and 3 consensus statements</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were eliminated (Figure 1). In total 42 publications assessing the impact of frailty and/or sarcopenia on postoperative outcomes among patients undergoing gastrointestinal surgery were identified that met inclusion criteria. Among all studies that were included, 10 studies were performed prospectively (2 gastroesophageal surgery, 6 colorectal surgery, and 2 </w:t>
      </w:r>
      <w:proofErr w:type="spellStart"/>
      <w:r w:rsidRPr="00B77A30">
        <w:rPr>
          <w:rFonts w:ascii="Book Antiqua" w:hAnsi="Book Antiqua" w:cs="Times New Roman"/>
          <w:sz w:val="24"/>
          <w:szCs w:val="24"/>
        </w:rPr>
        <w:t>hepato</w:t>
      </w:r>
      <w:proofErr w:type="spellEnd"/>
      <w:r w:rsidRPr="00B77A30">
        <w:rPr>
          <w:rFonts w:ascii="Book Antiqua" w:hAnsi="Book Antiqua" w:cs="Times New Roman"/>
          <w:sz w:val="24"/>
          <w:szCs w:val="24"/>
        </w:rPr>
        <w:t>-</w:t>
      </w:r>
      <w:proofErr w:type="spellStart"/>
      <w:r w:rsidRPr="00B77A30">
        <w:rPr>
          <w:rFonts w:ascii="Book Antiqua" w:hAnsi="Book Antiqua" w:cs="Times New Roman"/>
          <w:sz w:val="24"/>
          <w:szCs w:val="24"/>
        </w:rPr>
        <w:t>pancreatico</w:t>
      </w:r>
      <w:proofErr w:type="spellEnd"/>
      <w:r w:rsidRPr="00B77A30">
        <w:rPr>
          <w:rFonts w:ascii="Book Antiqua" w:hAnsi="Book Antiqua" w:cs="Times New Roman"/>
          <w:sz w:val="24"/>
          <w:szCs w:val="24"/>
        </w:rPr>
        <w:t>-biliary s</w:t>
      </w:r>
      <w:r w:rsidR="00EA0F61" w:rsidRPr="00B77A30">
        <w:rPr>
          <w:rFonts w:ascii="Book Antiqua" w:hAnsi="Book Antiqua" w:cs="Times New Roman"/>
          <w:sz w:val="24"/>
          <w:szCs w:val="24"/>
        </w:rPr>
        <w:t xml:space="preserve">urgery, </w:t>
      </w:r>
      <w:r w:rsidRPr="00B77A30">
        <w:rPr>
          <w:rFonts w:ascii="Book Antiqua" w:hAnsi="Book Antiqua" w:cs="Times New Roman"/>
          <w:sz w:val="24"/>
          <w:szCs w:val="24"/>
        </w:rPr>
        <w:t>Tables 1</w:t>
      </w:r>
      <w:r w:rsidR="00A0242D">
        <w:rPr>
          <w:rFonts w:ascii="Book Antiqua" w:hAnsi="Book Antiqua" w:cs="Times New Roman" w:hint="eastAsia"/>
          <w:sz w:val="24"/>
          <w:szCs w:val="24"/>
          <w:lang w:eastAsia="zh-CN"/>
        </w:rPr>
        <w:t>, 2 and 3</w:t>
      </w:r>
      <w:r w:rsidRPr="00B77A30">
        <w:rPr>
          <w:rFonts w:ascii="Book Antiqua" w:hAnsi="Book Antiqua" w:cs="Times New Roman"/>
          <w:sz w:val="24"/>
          <w:szCs w:val="24"/>
        </w:rPr>
        <w:t>)</w:t>
      </w:r>
      <w:r w:rsidR="003A2862" w:rsidRPr="00B77A30">
        <w:rPr>
          <w:rFonts w:ascii="Book Antiqua" w:hAnsi="Book Antiqua" w:cs="Times New Roman"/>
          <w:sz w:val="24"/>
          <w:szCs w:val="24"/>
        </w:rPr>
        <w:fldChar w:fldCharType="begin" w:fldLock="1"/>
      </w:r>
      <w:r w:rsidR="003A2862" w:rsidRPr="00B77A30">
        <w:rPr>
          <w:rFonts w:ascii="Book Antiqua" w:hAnsi="Book Antiqua" w:cs="Times New Roman"/>
          <w:sz w:val="24"/>
          <w:szCs w:val="24"/>
        </w:rPr>
        <w:instrText>ADDIN CSL_CITATION { "citationItems" : [ { "id" : "ITEM-1", "itemData" : { "DOI" : "10.1007/s00330-014-3110-4", "ISSN" : "1432-1084", "PMID" : "24535076", "abstract" : "OBJECTIVES: Sarcopenia and changes in body composition following neoadjuvant chemotherapy (NAC) may affect clinical outcome. We assessed the associations between CT body composition changes following NAC and outcomes in oesophageal cancer.\n\nMETHODS: A total of 35 patients who received NAC followed by oesophagectomy, and underwent CT assessment pre- and post-NAC were included. Fat mass (FM), fat-free mass (FFM), subcutaneous fat to muscle ratio (FMR) and visceral to subcutaneous adipose tissue ratio (VA/SA) were derived from CT. Changes in FM, FFM, FMR, VA/SA and sarcopenia were correlated to chemotherapy dose reductions, postoperative complications, length of hospital stay (LOS), circumferential resection margin (CRM), pathological chemotherapy response, disease-free survival (DFS) and overall survival (OS).\n\nRESULTS: Nine (26 %) patients were sarcopenic before NAC and this increased to 15 (43 %) after NAC. Average weight loss was 3.7 %\u2009\u00b1\u20096.4 (SD) in comparison to FM index (-1.2\u2009\u00b1\u20094.2), FFM index (-4.6\u2009\u00b1\u20096.8), FMR (-1.2\u2009\u00b1\u200924.3) and VA/SA (-62.3\u2009\u00b1\u200912.7). Changes in FM index (p\u2009=\u20090.022), FMR (p\u2009=\u20090.028), VA/SA (p\u2009=\u20090.024) and weight (p\u2009=\u20090.007) were significant univariable factors for CRM status. There was no significant association between changes in body composition and survival.\n\nCONCLUSIONS: Loss of FM, differential loss of VA/SA and skeletal muscle were associated with risk of CRM positivity.\n\nKEY POINTS: \u2022 Changes in CT body composition occur after neoadjuvant chemotherapy in oesophageal cancer. \u2022 Sarcopenia was more prevalent after neoadjuvant chemotherapy. \u2022 Fat mass, fat-free mass and weight decreased after neoadjuvant chemotherapy. \u2022 Changes in body composition were associated with CRM positivity. \u2022 Changes in body composition did not affect perioperative complications and survival.", "author" : [ { "dropping-particle" : "", "family" : "Yip", "given" : "Connie", "non-dropping-particle" : "", "parse-names" : false, "suffix" : "" }, { "dropping-particle" : "", "family" : "Goh", "given" : "Vicky", "non-dropping-particle" : "", "parse-names" : false, "suffix" : "" }, { "dropping-particle" : "", "family" : "Davies", "given" : "Andrew", "non-dropping-particle" : "", "parse-names" : false, "suffix" : "" }, { "dropping-particle" : "", "family" : "Gossage", "given" : "James", "non-dropping-particle" : "", "parse-names" : false, "suffix" : "" }, { "dropping-particle" : "", "family" : "Mitchell-Hay", "given" : "Rosalind", "non-dropping-particle" : "", "parse-names" : false, "suffix" : "" }, { "dropping-particle" : "", "family" : "Hynes", "given" : "Orla", "non-dropping-particle" : "", "parse-names" : false, "suffix" : "" }, { "dropping-particle" : "", "family" : "Maisey", "given" : "Nick", "non-dropping-particle" : "", "parse-names" : false, "suffix" : "" }, { "dropping-particle" : "", "family" : "Ross", "given" : "Paul", "non-dropping-particle" : "", "parse-names" : false, "suffix" : "" }, { "dropping-particle" : "", "family" : "Gaya", "given" : "Andrew", "non-dropping-particle" : "", "parse-names" : false, "suffix" : "" }, { "dropping-particle" : "", "family" : "Landau", "given" : "David B", "non-dropping-particle" : "", "parse-names" : false, "suffix" : "" }, { "dropping-particle" : "", "family" : "Cook", "given" : "Gary J", "non-dropping-particle" : "", "parse-names" : false, "suffix" : "" }, { "dropping-particle" : "", "family" : "Griffin", "given" : "Nyree", "non-dropping-particle" : "", "parse-names" : false, "suffix" : "" }, { "dropping-particle" : "", "family" : "Mason", "given" : "Robert", "non-dropping-particle" : "", "parse-names" : false, "suffix" : "" } ], "container-title" : "European radiology", "id" : "ITEM-1", "issue" : "5", "issued" : { "date-parts" : [ [ "2014", "5" ] ] }, "page" : "998-1005", "title" : "Assessment of sarcopenia and changes in body composition after neoadjuvant chemotherapy and associations with clinical outcomes in oesophageal cancer.", "type" : "article-journal", "volume" : "24" }, "uris" : [ "http://www.mendeley.com/documents/?uuid=2c3b1f64-0b6e-4804-a031-45fc3f7f6c2f" ] }, { "id" : "ITEM-2", "itemData" : { "DOI" : "10.1016/j.clnu.2011.08.008", "ISSN" : "1532-1983", "PMID" : "21875767", "abstract" : "BACKGROUND &amp; AIMS: Patients with sarcopenia [reduced fat free mass (FFM)] have a higher incidence of chemotherapy-related toxicity and decreased survival. As there are no such data in patients with oesophagogastric cancer (OGC), this study investigated changes in body composition in OGC patients receiving neoadjuvant chemotherapy (NAC).\n\nMETHODS: OGC patients who had CT scans before and after NAC were studied. CT images at the L3 vertebral level were analysed using SliceOmatic(\u00ae) software to derive estimates of FFM and fat mass (FM). Comparisons were made between pre- and post-NAC CT images. Data are reported as mean\u00a0\u00b1\u00a0SD.\n\nRESULTS: Forty-seven patients (34 male) aged 63\u00a0\u00b1\u00a012 years were studied and 79% completed their course of NAC. The interval between CT scans was 107\u00a0\u00b1\u00a027 days. The proportion of patients with sarcopenia increased from 57% pre-NAC to 79% post-NAC (p\u00a0=\u00a00.046). During NAC there were significant reductions in estimated FFM and FM (2.9\u00a0\u00b1\u00a04.7\u00a0kg, p\u00a0&lt;\u00a00.0001 and 1.3\u00a0\u00b1\u00a03.2\u00a0kg, p\u00a0=\u00a00.007, respectively). No association was demonstrated between loss of FFM and non-completion of NAC, increased hospital stay or mortality.\n\nCONCLUSIONS: In patients with OGC commencing NAC, sarcopenia was present in 57%. NAC was associated with further reductions in FFM and an increase in the proportion of patients becoming sarcopenic.", "author" : [ { "dropping-particle" : "", "family" : "Awad", "given" : "Sherif", "non-dropping-particle" : "", "parse-names" : false, "suffix" : "" }, { "dropping-particle" : "", "family" : "Tan", "given" : "Benjamin H", "non-dropping-particle" : "", "parse-names" : false, "suffix" : "" }, { "dropping-particle" : "", "family" : "Cui", "given" : "Helen", "non-dropping-particle" : "", "parse-names" : false, "suffix" : "" }, { "dropping-particle" : "", "family" : "Bhalla", "given" : "Ashish", "non-dropping-particle" : "", "parse-names" : false, "suffix" : "" }, { "dropping-particle" : "", "family" : "Fearon", "given" : "Kenneth C H", "non-dropping-particle" : "", "parse-names" : false, "suffix" : "" }, { "dropping-particle" : "", "family" : "Parsons", "given" : "Simon L", "non-dropping-particle" : "", "parse-names" : false, "suffix" : "" }, { "dropping-particle" : "", "family" : "Catton", "given" : "James A", "non-dropping-particle" : "", "parse-names" : false, "suffix" : "" }, { "dropping-particle" : "", "family" : "Lobo", "given" : "Dileep N", "non-dropping-particle" : "", "parse-names" : false, "suffix" : "" } ], "container-title" : "Clinical nutrition (Edinburgh, Scotland)", "id" : "ITEM-2", "issue" : "1", "issued" : { "date-parts" : [ [ "2012", "2" ] ] }, "page" : "74-7", "title" : "Marked changes in body composition following neoadjuvant chemotherapy for oesophagogastric cancer.", "type" : "article-journal", "volume" : "31" }, "uris" : [ "http://www.mendeley.com/documents/?uuid=8a8779da-6f33-4ea7-bbd6-924386210794" ] }, { "id" : "ITEM-3", "itemData" : { "DOI" : "10.1016/j.amjsurg.2013.03.012", "ISSN" : "1879-1883", "PMID" : "23880071", "abstract" : "BACKGROUND: Our purpose was to determine the relationship between preoperative frailty and the occurrence of postoperative complications after colorectal and cardiac operations.\n\nMETHODS: Patients 65 years or older undergoing elective colorectal or cardiac surgery were enrolled. Seven baseline frailty traits were measured preoperatively: Katz score less than or equal to\u00a05, Timed Up and Go test greater than or equal to 15 seconds, Charlson Index greater than or equal to 3, anemia less than 35%, Mini-Cog score less than or equal to 3, albumin less than 3.4 g/dL, and 1 or more falls within 6 months. Patients were categorized by the number of positive traits as follows: nonfrail: 0 to 1 traits, prefrail: 2 to 3 traits, and frail: 4 or more traits.\n\nRESULTS: Two hundred one subjects (age 74 \u00b1 6 years) were studied. Preoperative frailty was associated with increased postoperative complications after colorectal (nonfrail: 21%, prefrail: 40%, frail: 58%; P = .016) and cardiac operations (nonfrail: 17%, prefrail: 28%, frail: 56%; P &lt; .001). This finding in both groups was independent of advancing age. Frail individuals in both groups had longer hospital stays and higher 30-day readmission rates. Receiver operating characteristic curves examining frailty's ability to forecast complications were colorectal (.702, P = .004) and cardiac (.711, P &lt; .001).\n\nCONCLUSIONS: A simple preoperative frailty score defines older adults at higher risk for postoperative complications across surgical specialties.", "author" : [ { "dropping-particle" : "", "family" : "Robinson", "given" : "Thomas N", "non-dropping-particle" : "", "parse-names" : false, "suffix" : "" }, { "dropping-particle" : "", "family" : "Wu", "given" : "Daniel S", "non-dropping-particle" : "", "parse-names" : false, "suffix" : "" }, { "dropping-particle" : "", "family" : "Pointer", "given" : "Lauren", "non-dropping-particle" : "", "parse-names" : false, "suffix" : "" }, { "dropping-particle" : "", "family" : "Dunn", "given" : "Christina L", "non-dropping-particle" : "", "parse-names" : false, "suffix" : "" }, { "dropping-particle" : "", "family" : "Cleveland", "given" : "Joseph C", "non-dropping-particle" : "", "parse-names" : false, "suffix" : "" }, { "dropping-particle" : "", "family" : "Moss", "given" : "Marc", "non-dropping-particle" : "", "parse-names" : false, "suffix" : "" } ], "container-title" : "American journal of surgery", "id" : "ITEM-3", "issue" : "4", "issued" : { "date-parts" : [ [ "2013", "10" ] ] }, "page" : "544-50", "title" : "Simple frailty score predicts postoperative complications across surgical specialties.", "type" : "article-journal", "volume" : "206" }, "uris" : [ "http://www.mendeley.com/documents/?uuid=6e96e77b-58fe-439c-8a04-f89b0e68cf5b" ] }, { "id" : "ITEM-4", "itemData" : { "DOI" : "10.1002/bjs.6903", "ISSN" : "1365-2168", "PMID" : "20112252", "abstract" : "BACKGROUND: Several scores have been developed to evaluate surgical unit mortality and morbidity. The Physiological and Operative Severity Score for the enUmeration of Mortality and morbidity (POSSUM) and derivatives use preoperative and intraoperative factors, whereas the Surgical Risk Scale (SRS) and Association Fran\u00e7aise de Chirurgie (AFC) score use four simple factors. To allow for advanced age in patients undergoing colorectal surgery, a dedicated score-the Elderly (E) POSSUM-has been developed and its accuracy compared with these scores.\n\nMETHODS: From 2002 to 2004, 1186 elderly patients, at least 65 years old, undergoing major colorectal surgery in France were enrolled. Accuracy was assessed by calculating the area under the receiver operating characteristic curve (AUC) (discrimination) and calibration.\n\nRESULTS: The mortality and morbidity rates were 9 and 41 per cent respectively. The E-POSSUM had both a good discrimination (AUC = 0.86) and good calibration (P = 0.178) in predicting mortality and a reasonable discrimination (AUC = 0.77) and good calibration (P = 0.166) in predicting morbidity. The E-POSSUM was significantly better at predicting mortality and morbidity than the AFC score (P(c) = 0.014 and P(c) &lt; 0.001 respectively).\n\nCONCLUSION: The E-POSSUM is a good tool for predicting mortality, and the only efficient scoring system for predicting morbidity after major colorectal surgery in the elderly.", "author" : [ { "dropping-particle" : "", "family" : "Tran Ba Loc", "given" : "P", "non-dropping-particle" : "", "parse-names" : false, "suffix" : "" }, { "dropping-particle" : "", "family" : "Montcel", "given" : "S Tezenas", "non-dropping-particle" : "du", "parse-names" : false, "suffix" : "" }, { "dropping-particle" : "", "family" : "Duron", "given" : "J J", "non-dropping-particle" : "", "parse-names" : false, "suffix" : "" }, { "dropping-particle" : "", "family" : "Levard", "given" : "H", "non-dropping-particle" : "", "parse-names" : false, "suffix" : "" }, { "dropping-particle" : "", "family" : "Suc", "given" : "B", "non-dropping-particle" : "", "parse-names" : false, "suffix" : "" }, { "dropping-particle" : "", "family" : "Descottes", "given" : "B", "non-dropping-particle" : "", "parse-names" : false, "suffix" : "" }, { "dropping-particle" : "", "family" : "Desrousseaux", "given" : "B", "non-dropping-particle" : "", "parse-names" : false, "suffix" : "" }, { "dropping-particle" : "", "family" : "Hay", "given" : "J M", "non-dropping-particle" : "", "parse-names" : false, "suffix" : "" } ], "container-title" : "The British journal of surgery", "id" : "ITEM-4", "issue" : "3", "issued" : { "date-parts" : [ [ "2010", "3" ] ] }, "page" : "396-403", "title" : "Elderly POSSUM, a dedicated score for prediction of mortality and morbidity after major colorectal surgery in older patients.", "type" : "article-journal", "volume" : "97" }, "uris" : [ "http://www.mendeley.com/documents/?uuid=5600ffe1-ca24-4686-b835-ae6d7f250613" ] }, { "id" : "ITEM-5", "itemData" : { "DOI" : "10.1111/codi.13067", "ISSN" : "1463-1318", "PMID" : "26194849", "abstract" : "AIM: Recent studies have shown that sarcopenia is associated with negative postoperative outcomes. However, none of these studies analyzed muscle strength or physical performance, which are also important components of sarcopenia. The present study aimed to investigate whether sarcopenia itself, as defined by low muscle mass, strength and physical performance, would predict complications after colorectal cancer surgery.\n\nMETHOD: We conducted a prospective study of patients who underwent colorectal cancer surgery at our department between August 2014 and February 2015. Sarcopenia was diagnosed by a combination of third lumbar vertebra muscle index (L3 MI), handgrip strength and 6-meter usual gait speed. Univariate and multivariate analyses evaluating the risk factors for postoperative complications were performed. Only complications classified as grade II or above according to the Clavien-Dindo classification were analyzed in this study.\n\nRESULTS: A total of 142 patients were included in the study, and 17 patients were diagnosed as having sarcopenia. Postoperative complications \u2265 grade II occurred in 40 patients, including 10 sarcopenic and 30 nonsarcopenic patients. Multivariate analysis showed that sarcopenia and previous abdominal surgery were independent risk factors for postoperative complications. Sarcopenic patients also had an obvious tendency of a higher incidence of infectious complications. By comparing two logistic regression models, sarcopenia showed a better predictive power for postoperative complications than did low muscle mass.\n\nCONCLUSIONS: Sarcopenia and previous abdominal surgery are independent risk factors for complications after colorectal cancer surgery. Including a functional aspect to the definition of sarcopenia may result in a better prediction for postoperative complications. This article is protected by copyright. All rights reserved.", "author" : [ { "dropping-particle" : "", "family" : "Huang", "given" : "Dong-Dong", "non-dropping-particle" : "", "parse-names" : false, "suffix" : "" }, { "dropping-particle" : "", "family" : "Wang", "given" : "Su-Lin", "non-dropping-particle" : "", "parse-names" : false, "suffix" : "" }, { "dropping-particle" : "", "family" : "Zhuang", "given" : "Cheng-Le", "non-dropping-particle" : "", "parse-names" : false, "suffix" : "" }, { "dropping-particle" : "", "family" : "Zheng", "given" : "Bei-Shi", "non-dropping-particle" : "", "parse-names" : false, "suffix" : "" }, { "dropping-particle" : "", "family" : "Lu", "given" : "Jin-Xiao", "non-dropping-particle" : "", "parse-names" : false, "suffix" : "" }, { "dropping-particle" : "", "family" : "Chen", "given" : "Fan-Feng", "non-dropping-particle" : "", "parse-names" : false, "suffix" : "" }, { "dropping-particle" : "", "family" : "Zhou", "given" : "Chong-Jun", "non-dropping-particle" : "", "parse-names" : false, "suffix" : "" }, { "dropping-particle" : "", "family" : "Shen", "given" : "Xian", "non-dropping-particle" : "", "parse-names" : false, "suffix" : "" }, { "dropping-particle" : "", "family" : "Yu", "given" : "Zhen", "non-dropping-particle" : "", "parse-names" : false, "suffix" : "" } ], "container-title" : "Colorectal disease : the official journal of the Association of Coloproctology of Great Britain and Ireland", "id" : "ITEM-5", "issued" : { "date-parts" : [ [ "2015", "7", "20" ] ] }, "title" : "Sarcopenia, as defined by low muscle mass, strength and physical performance, predicts complications after colorectal cancer surgery.", "type" : "article-journal" }, "uris" : [ "http://www.mendeley.com/documents/?uuid=39ea6373-6adc-4ddb-bea9-2a5265380a6c" ] }, { "id" : "ITEM-6", "itemData" : { "DOI" : "10.1016/j.amjsurg.2011.08.012", "ISSN" : "1879-1883", "PMID" : "22178483", "abstract" : "BACKGROUND: The clinical syndrome of frailty identified through the assessment of weight loss, gait speed, grip strength, physical activity, and physical exhaustion has been used to identify patients with reduced reserves. We hypothesized that frailty is useful in predicting adverse outcomes in optimized elective elderly colorectal surgery patients.\n\nMETHODS: A prospective study was conducted at 2 centers (Singapore and Japan). All patients over 75 years of age undergoing colorectal resection were assessed for the presence of the syndrome of frailty. All these patients had already had their comorbidities optimized for surgery. The outcome measure was postoperative major complications (defined as Clavien-Dindo type II and above complications).\n\nRESULTS: Eighty-three patients were studied from February 2008 to April 2010. The mean age was 81.5 years (range 75-93 years). The mean comorbidity index was 3.37 (range 0-11). Twenty-six (31.3%) patients were an American Society of Anesthesiologists (ASA) score of 3 and above. Chi-square analysis revealed that the odds ratio of postoperative major complications was 4.083 (95% confidence interval, 1.433-11.638) when the patient satisfied the criteria for frailty. Albumin &lt;35, ASA &gt;3, comorbidity index &gt;5, and Physiologic and Operative Severity Score for the enUmeration of Mortality and Morbidity (POSSUM) scores were not predictive of postoperative major complications.\n\nCONCLUSIONS: Preliminary findings show that frailty is a potent adjunctive tool of predicting postoperative morbidity. Frailty can be used to identify elderly patients needing further optimization before major surgery.", "author" : [ { "dropping-particle" : "", "family" : "Tan", "given" : "Kok-Yang", "non-dropping-particle" : "", "parse-names" : false, "suffix" : "" }, { "dropping-particle" : "", "family" : "Kawamura", "given" : "Yutaka J", "non-dropping-particle" : "", "parse-names" : false, "suffix" : "" }, { "dropping-particle" : "", "family" : "Tokomitsu", "given" : "Aika", "non-dropping-particle" : "", "parse-names" : false, "suffix" : "" }, { "dropping-particle" : "", "family" : "Tang", "given" : "Terence", "non-dropping-particle" : "", "parse-names" : false, "suffix" : "" } ], "container-title" : "American journal of surgery", "id" : "ITEM-6", "issue" : "2", "issued" : { "date-parts" : [ [ "2012", "8" ] ] }, "page" : "139-43", "title" : "Assessment for frailty is useful for predicting morbidity in elderly patients undergoing colorectal cancer resection whose comorbidities are already optimized.", "type" : "article-journal", "volume" : "204" }, "uris" : [ "http://www.mendeley.com/documents/?uuid=137afb14-e25d-4278-835c-61ef6bc6cbe9" ] }, { "id" : "ITEM-7", "itemData" : { "DOI" : "10.1111/ajt.12221", "ISSN" : "1600-6143", "PMID" : "23601159", "abstract" : "Skeletal muscle depletion, referred to as sarcopenia, predicts morbidity and mortality in patients undergoing digestive surgery. However, the impact on liver transplantation is unclear. The present study investigated the impact of sarcopenia on patients undergoing living donor liver transplantation (LDLT). Sarcopenia was assessed by a body composition analyzer in 124 adult patients undergoing LDLT between February 2008 and April 2012. The correlation of sarcopenia with other patient factors and the impact of sarcopenia on survival after LDLT were analyzed. The median ratio of preoperative skeletal muscle mass was 92% (range, 67-130%) of the standard mass. Preoperative skeletal muscle mass was significantly correlated with the branched-chain amino acids to tyrosine ratio (r = -0.254, p = 0.005) and body cell mass (r = 0.636, p &lt; 0.001). The overall survival rate in patients with low skeletal muscle mass was significantly lower than in patients with normal/high skeletal muscle mass (p &lt; 0.001). Perioperative nutritional therapy significantly increased overall survival in patients with low skeletal muscle mass (p = 0.009). Multivariate analysis showed that low skeletal muscle mass was an independent risk factor for death after transplantation. In conclusion, sarcopenia was closely involved with posttransplant mortality in patients undergoing LDLT. Perioperative nutritional therapy significantly improved overall survival in patients with sarcopenia.", "author" : [ { "dropping-particle" : "", "family" : "Kaido", "given" : "T", "non-dropping-particle" : "", "parse-names" : false, "suffix" : "" }, { "dropping-particle" : "", "family" : "Ogawa", "given" : "K", "non-dropping-particle" : "", "parse-names" : false, "suffix" : "" }, { "dropping-particle" : "", "family" : "Fujimoto", "given" : "Y", "non-dropping-particle" : "", "parse-names" : false, "suffix" : "" }, { "dropping-particle" : "", "family" : "Ogura", "given" : "Y", "non-dropping-particle" : "", "parse-names" : false, "suffix" : "" }, { "dropping-particle" : "", "family" : "Hata", "given" : "K", "non-dropping-particle" : "", "parse-names" : false, "suffix" : "" }, { "dropping-particle" : "", "family" : "Ito", "given" : "T", "non-dropping-particle" : "", "parse-names" : false, "suffix" : "" }, { "dropping-particle" : "", "family" : "Tomiyama", "given" : "K", "non-dropping-particle" : "", "parse-names" : false, "suffix" : "" }, { "dropping-particle" : "", "family" : "Yagi", "given" : "S", "non-dropping-particle" : "", "parse-names" : false, "suffix" : "" }, { "dropping-particle" : "", "family" : "Mori", "given" : "A", "non-dropping-particle" : "", "parse-names" : false, "suffix" : "" }, { "dropping-particle" : "", "family" : "Uemoto", "given" : "S", "non-dropping-particle" : "", "parse-names" : false, "suffix" : "" } ], "container-title" : "American journal of transplantation : official journal of the American Society of Transplantation and the American Society of Transplant Surgeons", "id" : "ITEM-7", "issue" : "6", "issued" : { "date-parts" : [ [ "2013", "6" ] ] }, "page" : "1549-56", "title" : "Impact of sarcopenia on survival in patients undergoing living donor liver transplantation.", "type" : "article-journal", "volume" : "13" }, "uris" : [ "http://www.mendeley.com/documents/?uuid=43f86122-eced-403e-ae74-9209d27146fe" ] }, { "id" : "ITEM-8", "itemData" : { "DOI" : "10.1097/SLA.0000000000000226", "ISSN" : "0003-4932", "PMID" : "24096757", "abstract" : "OBJECTIVE: To prospectively evaluate the additional value of geriatric assessment (GA) for predicting surgical outcomes in a cohort of older patients undergoing a pancreaticoduodenectomy (PD) for pancreatic tumors.\n\nBACKGROUND: Older patients are less often referred for possible PD. Standard preoperative assessments may underestimate the likelihood of significant adverse outcomes. The prospective utility of validated GA has not been studied in this group.\n\nMETHODS: PD-eligible patients were enrolled in a prospective outcome study. Standard preoperative assessments were recorded. Elements of validated GA were also measured, including components of Fried's model of frailty, the Vulnerable Elders Survey (VES-13), and the Short Physical Performance Battery (SPPB). All postoperative adverse events were recorded, systematically reviewed, and graded using the Clavien-Dindo system by a surgeon blinded to the GA results. Multivariate regression analyses were conducted.\n\nRESULTS: Seventy-six older patients underwent a PD. Significant unrecognized vulnerability was identified at the baseline: Fried's \"exhaustion\" (37.3%), SPPB &lt;10 (28.5%), and VES-13 &gt;3 (15.4%). Within 30 days of PD, 46% experienced a severe complication (Clavien-Dindo grade \u2265III). In regression analyses controlling for age, the body mass index, the American Society of Anesthesiologists score, and comorbidity burden, Fried's \"exhaustion\" predicted major complications [odds ratio (OR) = 4.06; P = 0.01], longer hospital stays (\u03b2 = 0.27; P = 0.02), and surgical intensive care unit admissions (OR = 4.30; P = 0.01). Both SPPB (OR = 0.61; P = 0.04) and older age predicted discharge to a rehabilitation facility (OR = 1.1; P &lt; 0.05) and age correlated with a lower likelihood of hospital readmission (OR = 0.94; P = 0.02).\n\nCONCLUSIONS: Controlling for standard preoperative assessments, worse scores on GA prospectively and independently predicted important adverse outcomes. Geriatric assessment may help identify older patients at high risk for complications from PD.", "author" : [ { "dropping-particle" : "", "family" : "Dale", "given" : "William", "non-dropping-particle" : "", "parse-names" : false, "suffix" : "" }, { "dropping-particle" : "", "family" : "Hemmerich", "given" : "Joshua", "non-dropping-particle" : "", "parse-names" : false, "suffix" : "" }, { "dropping-particle" : "", "family" : "Kamm", "given" : "Alaine", "non-dropping-particle" : "", "parse-names" : false, "suffix" : "" }, { "dropping-particle" : "", "family" : "Posner", "given" : "Mitchell C.", "non-dropping-particle" : "", "parse-names" : false, "suffix" : "" }, { "dropping-particle" : "", "family" : "Matthews", "given" : "Jeffrey B.", "non-dropping-particle" : "", "parse-names" : false, "suffix" : "" }, { "dropping-particle" : "", "family" : "Rothman", "given" : "Randi", "non-dropping-particle" : "", "parse-names" : false, "suffix" : "" }, { "dropping-particle" : "", "family" : "Palakodeti", "given" : "Aparna", "non-dropping-particle" : "", "parse-names" : false, "suffix" : "" }, { "dropping-particle" : "", "family" : "Roggin", "given" : "Kevin K.", "non-dropping-particle" : "", "parse-names" : false, "suffix" : "" } ], "container-title" : "Annals of Surgery", "id" : "ITEM-8", "issue" : "5", "issued" : { "date-parts" : [ [ "2014", "5" ] ] }, "page" : "960-965", "title" : "Geriatric Assessment Improves Prediction of Surgical Outcomes in Older Adults Undergoing Pancreaticoduodenectomy", "type" : "article-journal", "volume" : "259" }, "uris" : [ "http://www.mendeley.com/documents/?uuid=38880529-59e0-472e-8c04-d67fcab4ef8d" ] } ], "mendeley" : { "formattedCitation" : "&lt;sup&gt;[26\u201333]&lt;/sup&gt;", "plainTextFormattedCitation" : "[26\u201333]", "previouslyFormattedCitation" : "&lt;sup&gt;[26\u201333]&lt;/sup&gt;" }, "properties" : { "noteIndex" : 0 }, "schema" : "https://github.com/citation-style-language/schema/raw/master/csl-citation.json" }</w:instrText>
      </w:r>
      <w:r w:rsidR="003A2862" w:rsidRPr="00B77A30">
        <w:rPr>
          <w:rFonts w:ascii="Book Antiqua" w:hAnsi="Book Antiqua" w:cs="Times New Roman"/>
          <w:sz w:val="24"/>
          <w:szCs w:val="24"/>
        </w:rPr>
        <w:fldChar w:fldCharType="separate"/>
      </w:r>
      <w:r w:rsidR="003A2862" w:rsidRPr="00B77A30">
        <w:rPr>
          <w:rFonts w:ascii="Book Antiqua" w:hAnsi="Book Antiqua" w:cs="Times New Roman"/>
          <w:noProof/>
          <w:sz w:val="24"/>
          <w:szCs w:val="24"/>
          <w:vertAlign w:val="superscript"/>
        </w:rPr>
        <w:t>[26–33]</w:t>
      </w:r>
      <w:r w:rsidR="003A2862"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Sixteen studies were conducted retrospectively on an unmatched cohort (2 gastroesophageal, 4 colorectal, and 10 </w:t>
      </w:r>
      <w:proofErr w:type="spellStart"/>
      <w:r w:rsidRPr="00B77A30">
        <w:rPr>
          <w:rFonts w:ascii="Book Antiqua" w:hAnsi="Book Antiqua" w:cs="Times New Roman"/>
          <w:sz w:val="24"/>
          <w:szCs w:val="24"/>
        </w:rPr>
        <w:t>hepato</w:t>
      </w:r>
      <w:proofErr w:type="spellEnd"/>
      <w:r w:rsidRPr="00B77A30">
        <w:rPr>
          <w:rFonts w:ascii="Book Antiqua" w:hAnsi="Book Antiqua" w:cs="Times New Roman"/>
          <w:sz w:val="24"/>
          <w:szCs w:val="24"/>
        </w:rPr>
        <w:t>-</w:t>
      </w:r>
      <w:proofErr w:type="spellStart"/>
      <w:r w:rsidRPr="00B77A30">
        <w:rPr>
          <w:rFonts w:ascii="Book Antiqua" w:hAnsi="Book Antiqua" w:cs="Times New Roman"/>
          <w:sz w:val="24"/>
          <w:szCs w:val="24"/>
        </w:rPr>
        <w:t>pancreatico</w:t>
      </w:r>
      <w:proofErr w:type="spellEnd"/>
      <w:r w:rsidRPr="00B77A30">
        <w:rPr>
          <w:rFonts w:ascii="Book Antiqua" w:hAnsi="Book Antiqua" w:cs="Times New Roman"/>
          <w:sz w:val="24"/>
          <w:szCs w:val="24"/>
        </w:rPr>
        <w:t xml:space="preserve">-biliary), 2 studies </w:t>
      </w:r>
      <w:r w:rsidRPr="00B77A30">
        <w:rPr>
          <w:rFonts w:ascii="Book Antiqua" w:hAnsi="Book Antiqua" w:cs="Times New Roman"/>
          <w:sz w:val="24"/>
          <w:szCs w:val="24"/>
        </w:rPr>
        <w:lastRenderedPageBreak/>
        <w:t>retrospectively analyzed prospectively collected data</w:t>
      </w:r>
      <w:r w:rsidR="000A0F89">
        <w:rPr>
          <w:rFonts w:ascii="Book Antiqua" w:hAnsi="Book Antiqua" w:cs="Times New Roman"/>
          <w:sz w:val="24"/>
          <w:szCs w:val="24"/>
        </w:rPr>
        <w:t xml:space="preserve"> </w:t>
      </w:r>
      <w:r w:rsidRPr="00B77A30">
        <w:rPr>
          <w:rFonts w:ascii="Book Antiqua" w:hAnsi="Book Antiqua" w:cs="Times New Roman"/>
          <w:sz w:val="24"/>
          <w:szCs w:val="24"/>
        </w:rPr>
        <w:t>while two articles analyzed data from multiple centers in the United States</w:t>
      </w:r>
      <w:r w:rsidR="003A2862" w:rsidRPr="00B77A30">
        <w:rPr>
          <w:rFonts w:ascii="Book Antiqua" w:hAnsi="Book Antiqua" w:cs="Times New Roman"/>
          <w:sz w:val="24"/>
          <w:szCs w:val="24"/>
        </w:rPr>
        <w:fldChar w:fldCharType="begin" w:fldLock="1"/>
      </w:r>
      <w:r w:rsidR="003A2862" w:rsidRPr="00B77A30">
        <w:rPr>
          <w:rFonts w:ascii="Book Antiqua" w:hAnsi="Book Antiqua" w:cs="Times New Roman"/>
          <w:sz w:val="24"/>
          <w:szCs w:val="24"/>
        </w:rPr>
        <w:instrText>ADDIN CSL_CITATION { "citationItems" : [ { "id" : "ITEM-1", "itemData" : { "DOI" : "10.1016/j.athoracsur.2013.05.051", "ISSN" : "1552-6259", "PMID" : "23915593", "abstract" : "BACKGROUND: Esophagectomy is associated with\u00a0significant morbidity and mortality. This retrospective study examined use of a modified frailty index as a potential predictor of morbidity and mortality in esophagectomy patients.\n\nMETHODS: National Surgical Quality Improvement Program Participant Use Files were reviewed for 2005 through 2010. Patients undergoing esophagectomy were selected based on CPT codes. A modified frailty index with 11 variables was used to determine correlation between frailty and postesophagectomy morbidity and mortality. Data were analyzed using \u03c7(2) test and logistic regression.\n\nRESULTS: A total of 2,095 patients were included in the analysis. Higher frailty scores were associated with a statistically significant increase in morbidity and mortality. A frailty score of 0, 1, 2, 3, 4, and 5 had associated morbidity rates of 17.9% (142 of 795 patients), 25.1% (178 of 710 patients), 31.4% (126 of 401 patients), 34.4% (48 of 140 patients), 44.4% (16 of 36 patients), and 61.5% (8 of 13 patients), respectively. A frailty score of 0, 1, 2, 3, 4, and 5 had associated mortality rates of 1.8% (14\u00a0of 795 patients), 3.8% (27 of 710 patients), 4% (16 of 401 patients), 7.1% (10 of 140 patients), 8.3% (3 of 36 patients), and 23.1% (3 of 13 patients), respectively. When using multivariate logistic regression for mortality comparing age, functional status, prealbumin, emergency surgery, wound class, American Society of Anesthesiologists score, and sex, only age and frailty were statistically significant. The odds ratio was 31.84 for frailty (p\u00a0= 0.015) and 1.05 (p\u00a0= 0.001) for age.\n\nCONCLUSIONS: Using a large national database, a modified frailty index was shown to correlate with postesophagectomy morbidity and mortality. Such an index may be used to aid in improving risk assessment and patient selection for esophagectomy.", "author" : [ { "dropping-particle" : "", "family" : "Hodari", "given" : "Arielle", "non-dropping-particle" : "", "parse-names" : false, "suffix" : "" }, { "dropping-particle" : "", "family" : "Hammoud", "given" : "Zane T", "non-dropping-particle" : "", "parse-names" : false, "suffix" : "" }, { "dropping-particle" : "", "family" : "Borgi", "given" : "Jamil F", "non-dropping-particle" : "", "parse-names" : false, "suffix" : "" }, { "dropping-particle" : "", "family" : "Tsiouris", "given" : "Athanasios", "non-dropping-particle" : "", "parse-names" : false, "suffix" : "" }, { "dropping-particle" : "", "family" : "Rubinfeld", "given" : "Ilan S", "non-dropping-particle" : "", "parse-names" : false, "suffix" : "" } ], "container-title" : "The Annals of thoracic surgery", "id" : "ITEM-1", "issue" : "4", "issued" : { "date-parts" : [ [ "2013", "10" ] ] }, "page" : "1240-5", "title" : "Assessment of morbidity and mortality after esophagectomy using a modified frailty index.", "type" : "article-journal", "volume" : "96" }, "uris" : [ "http://www.mendeley.com/documents/?uuid=f17cd9a2-1e41-48e2-b60a-ef3a43dd72f0" ] }, { "id" : "ITEM-2", "itemData" : { "DOI" : "10.1111/dote.12020", "ISSN" : "1442-2050", "PMID" : "23350746", "abstract" : "Preoperative risk assessment, particularly for patient frailty, remains largely subjective. This study evaluated the relationship between core muscle size and patient outcomes following esophagectomy for malignancy. Using preoperative computed tomography scans in 230 subjects who had undergone transhiatal esophagectomy for cancer between 2001 and 2010, lean psoas area (LPA), measured at the fourth lumbar vertebra, was determined. Cox proportional hazards regression was employed to analyze overall survival (OS) and disease-free survival (DFS) adjusted for age, gender, and stage, and the Akaike information criterion was used to determine each covariate contribution to OS and DFS. Univariate analysis demonstrated that increasing LPA correlated with both OS (P = 0.017) and DFS (P = 0.038). In multivariate analysis controlling for patient and tumor characteristics, LPA correlated with OS and DFS in patients who had not received neoadjuvant treatment (n = 64), with higher LPA associated with improved OS and DFS. Moreover, LPA was of equivalent, or slightly higher importance than pathologic stage. These measures were not predictive among patients (n = 166) receiving neoadjuvant chemoradiation. Core muscle size appears to be an independent predictor of both OS and DFS, as significant as tumor stage, in patients following transhiatal esophagectomy. Changes in muscle mass related to preoperative treatment may confound this effect. Assessment of core muscle size may provide an additional objective measure for risk stratification prior to undergoing esophagectomy.", "author" : [ { "dropping-particle" : "", "family" : "Sheetz", "given" : "K H", "non-dropping-particle" : "", "parse-names" : false, "suffix" : "" }, { "dropping-particle" : "", "family" : "Zhao", "given" : "L", "non-dropping-particle" : "", "parse-names" : false, "suffix" : "" }, { "dropping-particle" : "", "family" : "Holcombe", "given" : "S A", "non-dropping-particle" : "", "parse-names" : false, "suffix" : "" }, { "dropping-particle" : "", "family" : "Wang", "given" : "S C", "non-dropping-particle" : "", "parse-names" : false, "suffix" : "" }, { "dropping-particle" : "", "family" : "Reddy", "given" : "R M", "non-dropping-particle" : "", "parse-names" : false, "suffix" : "" }, { "dropping-particle" : "", "family" : "Lin", "given" : "J", "non-dropping-particle" : "", "parse-names" : false, "suffix" : "" }, { "dropping-particle" : "", "family" : "Orringer", "given" : "M B", "non-dropping-particle" : "", "parse-names" : false, "suffix" : "" }, { "dropping-particle" : "", "family" : "Chang", "given" : "A C", "non-dropping-particle" : "", "parse-names" : false, "suffix" : "" } ], "container-title" : "Diseases of the esophagus : official journal of the International Society for Diseases of the Esophagus / I.S.D.E", "id" : "ITEM-2", "issue" : "7", "issued" : { "date-parts" : [ [ "0", "1" ] ] }, "page" : "716-22", "title" : "Decreased core muscle size is associated with worse patient survival following esophagectomy for cancer.", "type" : "article-journal", "volume" : "26" }, "uris" : [ "http://www.mendeley.com/documents/?uuid=2b046a97-7e92-4418-b216-23eea72f707c" ] }, { "id" : "ITEM-3", "itemData" : { "DOI" : "10.1097/TA.0b013e31824d0f70", "ISSN" : "2163-0763", "PMID" : "22491599", "abstract" : "BACKGROUND: Colectomy patients experience a broad set of adverse outcomes. Complications requiring critical care support are common in this group. We hypothesized that as frailty increases, the risk of Clavien class IV and V complications will increase in colectomy patients.\n\nMETHODS: Using the National Surgical Quality Improvement Program (NSQIP) participant use files for 2005-2009, we identified patients who underwent laparoscopic and open colectomies by Current Procedural Terminology code. Using the Clavien classification for postoperative complications, we identified NSQIP data points most consistent with Clavien class IV requiring intensive care unit (ICU) care or class V complications (death). We used a modified frailty index with 11 variables based on mapping the Canadian Study of Health and Aging Frailty Index and existing NSQIP variables. Logistic regression was performed to acuity adjust the findings.\n\nRESULTS: A total of 58,448 colectomies were identified. As frailty index increased from 0 to 0.55, the proportion of those experiencing Clavien class IV or V complications increased from 3.2% at baseline to 56.3%. Variables found to be significant by logistic regression (odds ratio) were frailty index (14.4; p = 0.001), open procedure (2.35; p &lt; 0.001), and American Society of Anesthesiologists class 4 (3.2; p = 0.038) or 5 (7.1; p = 0.001) while emergency operation and wound classification 3 or 4 were not.\n\nCONCLUSIONS: Complications requiring ICU care represent a significant morbidity in the colectomy patient population. Frailty index seems to be an important predictor of ICU-level complications and death, and laparoscopy seems to be protective.", "author" : [ { "dropping-particle" : "", "family" : "Obeid", "given" : "Nadia M", "non-dropping-particle" : "", "parse-names" : false, "suffix" : "" }, { "dropping-particle" : "", "family" : "Azuh", "given" : "Ogochukwu", "non-dropping-particle" : "", "parse-names" : false, "suffix" : "" }, { "dropping-particle" : "", "family" : "Reddy", "given" : "Subhash", "non-dropping-particle" : "", "parse-names" : false, "suffix" : "" }, { "dropping-particle" : "", "family" : "Webb", "given" : "Shawn", "non-dropping-particle" : "", "parse-names" : false, "suffix" : "" }, { "dropping-particle" : "", "family" : "Reickert", "given" : "Craig", "non-dropping-particle" : "", "parse-names" : false, "suffix" : "" }, { "dropping-particle" : "", "family" : "Velanovich", "given" : "Vic", "non-dropping-particle" : "", "parse-names" : false, "suffix" : "" }, { "dropping-particle" : "", "family" : "Horst", "given" : "H Mathilda", "non-dropping-particle" : "", "parse-names" : false, "suffix" : "" }, { "dropping-particle" : "", "family" : "Rubinfeld", "given" : "Ilan", "non-dropping-particle" : "", "parse-names" : false, "suffix" : "" } ], "container-title" : "The journal of trauma and acute care surgery", "id" : "ITEM-3", "issue" : "4", "issued" : { "date-parts" : [ [ "2012", "4" ] ] }, "page" : "878-83", "title" : "Predictors of critical care-related complications in colectomy patients using the National Surgical Quality Improvement Program: exploring frailty and aggressive laparoscopic approaches.", "type" : "article-journal", "volume" : "72" }, "uris" : [ "http://www.mendeley.com/documents/?uuid=2c4fe1f4-0887-4c84-a0f1-9496f6215725" ] }, { "id" : "ITEM-4", "itemData" : { "DOI" : "10.1245/s10434-012-2721-8", "ISSN" : "1534-4681", "PMID" : "23292483", "abstract" : "BACKGROUND: Individuals \u2265 80 years of age represent an increasing proportion of colon cancer diagnoses. Selecting these patients for elective surgery is challenging because of diminished overall health, functional decline, and limited data to guide decisions. The objective was to identify overall health measures that are predictive of poor survival after elective surgery in these oldest-old colon cancer patients.\n\nMETHODS: Medicare beneficiaries \u2265 80 years who underwent elective colectomy for stage I-III colon cancer from 1992-2005 were identified from the Surveillance, Epidemiology and End Results(SEER)-Medicare database. Kaplan-Meier survival analysis determined 90-day and 1-year overall survival. Multivariable logistic regression assessed factors associated with short-term postoperative survival.\n\nRESULTS: Overall survival for the 12,979 oldest-old patients undergoing elective colectomy for colon cancer was 93.4 and 85.7 %, at 90 days and 1 year. Older age, male gender, frailty, increased hospitalizations in prior year, and dementia were most strongly associated with decreased survival. In addition, AJCC stage III (vs stage I) disease and widowed (vs married) were highly associated with decreased survival at 1 year. Although only 4.4 % of patients were considered frail, this had the strongest association with mortality, with an odds ratio of 8.4 (95 % confidence interval, 6.4-11.1).\n\nCONCLUSIONS: Although most oldest-old colon cancer patients do well after elective colectomy, a significant proportion (6.6 %) die by postoperative day 90 and frailty is the strongest predictor. The ability to identify frailty through billing claims is intriguing and suggests the potential to prospectively identify, through the electronic medical record, patients at highest risk of decreased survival.", "author" : [ { "dropping-particle" : "", "family" : "Neuman", "given" : "Heather B", "non-dropping-particle" : "", "parse-names" : false, "suffix" : "" }, { "dropping-particle" : "", "family" : "Weiss", "given" : "Jennifer M", "non-dropping-particle" : "", "parse-names" : false, "suffix" : "" }, { "dropping-particle" : "", "family" : "Leverson", "given" : "Glen", "non-dropping-particle" : "", "parse-names" : false, "suffix" : "" }, { "dropping-particle" : "", "family" : "O'Connor", "given" : "Erin S", "non-dropping-particle" : "", "parse-names" : false, "suffix" : "" }, { "dropping-particle" : "", "family" : "Greenblatt", "given" : "David Y", "non-dropping-particle" : "", "parse-names" : false, "suffix" : "" }, { "dropping-particle" : "", "family" : "Loconte", "given" : "Noelle K", "non-dropping-particle" : "", "parse-names" : false, "suffix" : "" }, { "dropping-particle" : "", "family" : "Greenberg", "given" : "Caprice C", "non-dropping-particle" : "", "parse-names" : false, "suffix" : "" }, { "dropping-particle" : "", "family" : "Smith", "given" : "Maureen A", "non-dropping-particle" : "", "parse-names" : false, "suffix" : "" } ], "container-title" : "Annals of surgical oncology", "id" : "ITEM-4", "issue" : "5", "issued" : { "date-parts" : [ [ "2013", "5" ] ] }, "page" : "1427-35", "title" : "Predictors of short-term postoperative survival after elective colectomy in colon cancer patients \u2265 80 years of age.", "type" : "article-journal", "volume" : "20" }, "uris" : [ "http://www.mendeley.com/documents/?uuid=0b46448b-6dcd-418a-ba04-165741ee3471" ] }, { "id" : "ITEM-5", "itemData" : { "DOI" : "10.1002/jso.23366", "ISSN" : "1096-9098", "PMID" : "23846976", "abstract" : "BACKGROUND: Analytic morphometrics provides objective data that may better stratify risk. We investigated morphometrics and outcome among colon cancer patients.\n\nMETHODS: An IRB-approved review identified 302 patients undergoing colectomy who had CT scans. These were processed to measure psoas area (PA), density (PD), subcutaneous fat (SFD), visceral fat (VF), and total body fat (TBF). Correlation with complications, recurrence, and survival were obtained by t-tests and linear regression models after adjusting for age and Charlson index.\n\nRESULTS: The best predictor of surgical complications was PD. PMH, Charlson, BMI, and age were not significant when PD was considered. SF area was the single best predictor of a wound infection. While all measures of obesity correlated with outcome, TBF was most predictive. Final multivariate Cox models for survival included age, Charlson score, nodal positivity, and TBF.\n\nCONCLUSIONS: Analytic morphometric analysis provided objective data that stratified complications and outcome better than age, BMI, or co-morbidities.", "author" : [ { "dropping-particle" : "", "family" : "Sabel", "given" : "Michael S", "non-dropping-particle" : "", "parse-names" : false, "suffix" : "" }, { "dropping-particle" : "", "family" : "Terjimanian", "given" : "Michael", "non-dropping-particle" : "", "parse-names" : false, "suffix" : "" }, { "dropping-particle" : "", "family" : "Conlon", "given" : "Anna S C", "non-dropping-particle" : "", "parse-names" : false, "suffix" : "" }, { "dropping-particle" : "", "family" : "Griffith", "given" : "Kent A", "non-dropping-particle" : "", "parse-names" : false, "suffix" : "" }, { "dropping-particle" : "", "family" : "Morris", "given" : "Arden M", "non-dropping-particle" : "", "parse-names" : false, "suffix" : "" }, { "dropping-particle" : "", "family" : "Mulholland", "given" : "Michael W", "non-dropping-particle" : "", "parse-names" : false, "suffix" : "" }, { "dropping-particle" : "", "family" : "Englesbe", "given" : "Michael J", "non-dropping-particle" : "", "parse-names" : false, "suffix" : "" }, { "dropping-particle" : "", "family" : "Holcombe", "given" : "Stephan", "non-dropping-particle" : "", "parse-names" : false, "suffix" : "" }, { "dropping-particle" : "", "family" : "Wang", "given" : "Stewart C", "non-dropping-particle" : "", "parse-names" : false, "suffix" : "" } ], "container-title" : "Journal of surgical oncology", "id" : "ITEM-5", "issue" : "3", "issued" : { "date-parts" : [ [ "2013", "9" ] ] }, "page" : "169-75", "title" : "Analytic morphometric assessment of patients undergoing colectomy for colon cancer.", "type" : "article-journal", "volume" : "108" }, "uris" : [ "http://www.mendeley.com/documents/?uuid=e6313af2-141c-4d53-bd52-48f99ad7bf82" ] }, { "id" : "ITEM-6", "itemData" : { "DOI" : "10.1038/bjc.2012.350", "ISSN" : "0007-0920", "PMID" : "22871883", "abstract" : "BACKGROUND: Skeletal muscle depletion (sarcopenia) predicts morbidity and mortality in the elderly and cancer patients.\n\nMETHODS: We tested whether sarcopenia predicts primary colorectal cancer resection outcomes in stage II-IV patients (n=234). Sarcopenia was assessed using preoperative computed tomography images. Administrative hospitalisation data encompassing the index surgical admission, direct transfers for inpatient rehabilitation care and hospital re-admissions within 30 days was searched for International Classification of Disease (ICD)-10 codes for postoperative infections and inpatient rehabilitation care and used to calculate length of stay (LOS).\n\nRESULTS: Overall, 38.9% were sarcopenic; 16.7% had an infection and 9.0% had inpatient rehabilitation care. Length of stay was longer for sarcopenic patients overall (15.9 \u00b1 14.2 days vs 12.3 \u00b1 9.8 days, P=0.038) and especially in those \u2265 65 years (20.2 \u00b1 16.9 days vs 13.1 \u00b1 8.3 days, P=0.008). Infection risk was greater for sarcopenic patients overall (23.7% vs 12.5%; P=0.025), and especially those \u2265 65 years (29.6% vs 8.8%, P=0.005). Most (90%) inpatient rehabilitation care was in patients \u2265 65 years. Inpatient rehabilitation was more common in sarcopenic patients overall (14.3% vs 5.6%; P=0.024) and those \u2265 65 years (24.1% vs 10.7%, P=0.06). In a multivariate model in patients \u2265 65 years, sarcopenia was an independent predictor of both infection (odds ratio (OR) 4.6, (95% confidence interval (CI) 1.5, 13.9) P&lt;0.01) and rehabilitation care (OR 3.1 (95% CI 1.04, 9.4) P&lt;0.04).\n\nCONCLUSION: Sarcopenia predicts postoperative infections, inpatient rehabilitation care and consequently a longer LOS.", "author" : [ { "dropping-particle" : "", "family" : "Lieffers", "given" : "J R", "non-dropping-particle" : "", "parse-names" : false, "suffix" : "" }, { "dropping-particle" : "", "family" : "Bathe", "given" : "O F", "non-dropping-particle" : "", "parse-names" : false, "suffix" : "" }, { "dropping-particle" : "", "family" : "Fassbender", "given" : "K", "non-dropping-particle" : "", "parse-names" : false, "suffix" : "" }, { "dropping-particle" : "", "family" : "Winget", "given" : "M", "non-dropping-particle" : "", "parse-names" : false, "suffix" : "" }, { "dropping-particle" : "", "family" : "Baracos", "given" : "V E", "non-dropping-particle" : "", "parse-names" : false, "suffix" : "" } ], "container-title" : "British Journal of Cancer", "id" : "ITEM-6", "issue" : "6", "issued" : { "date-parts" : [ [ "2012", "8", "7" ] ] }, "page" : "931-936", "title" : "Sarcopenia is associated with postoperative infection and delayed recovery from colorectal cancer resection surgery", "type" : "article-journal", "volume" : "107" }, "uris" : [ "http://www.mendeley.com/documents/?uuid=e82e6930-95b9-4dd8-a482-1f5d339d916b" ] }, { "id" : "ITEM-7", "itemData" : { "DOI" : "10.1002/bjs.9258", "ISSN" : "1365-2168", "PMID" : "24037576", "abstract" : "BACKGROUND: Sarcopenia was identified recently as a poor prognostic factor in patients with cancer. The present study investigated the effect of sarcopenia on short- and long-term outcomes following partial hepatectomy for hepatocellular carcinoma (HCC), and aimed to identify prognostic factors.\n\nMETHODS: Data were collected retrospectively for all consecutive patients who underwent hepatectomy for HCC with curative intent between January 2004 and December 2009. Patients were assigned to one of two groups according to the presence or absence of sarcopenia, assessed by computed tomographic measurement of muscle mass at the level of the third lumbar vertebra. Clinicopathological, surgical outcome and long-term survival data were analysed.\n\nRESULTS: Sarcopenia was present in 75 (40\u00b73 per cent) of 186 patients, and was significantly correlated with female sex, lower body mass index and liver dysfunction, as indicated by abnormal serum albumin levels and indocyanine green retention test at 15\u2009min values. In patients with, and without sarcopenia, the 5-year overall survival rate was 71 and 83\u00b77 per cent respectively, and the 5-year recurrence-free survival rate was 13 and 33\u00b72 per cent respectively. Multivariable analysis revealed that reduced skeletal muscle mass was predictive of an unfavourable prognosis.\n\nCONCLUSION: Sarcopenia was predictive of worse overall survival even when adjusted for other known predictors in patients with HCC after partial hepatectomy.", "author" : [ { "dropping-particle" : "", "family" : "Harimoto", "given" : "N", "non-dropping-particle" : "", "parse-names" : false, "suffix" : "" }, { "dropping-particle" : "", "family" : "Shirabe", "given" : "K", "non-dropping-particle" : "", "parse-names" : false, "suffix" : "" }, { "dropping-particle" : "", "family" : "Yamashita", "given" : "Y-I", "non-dropping-particle" : "", "parse-names" : false, "suffix" : "" }, { "dropping-particle" : "", "family" : "Ikegami", "given" : "T", "non-dropping-particle" : "", "parse-names" : false, "suffix" : "" }, { "dropping-particle" : "", "family" : "Yoshizumi", "given" : "T", "non-dropping-particle" : "", "parse-names" : false, "suffix" : "" }, { "dropping-particle" : "", "family" : "Soejima", "given" : "Y", "non-dropping-particle" : "", "parse-names" : false, "suffix" : "" }, { "dropping-particle" : "", "family" : "Ikeda", "given" : "T", "non-dropping-particle" : "", "parse-names" : false, "suffix" : "" }, { "dropping-particle" : "", "family" : "Maehara", "given" : "Y", "non-dropping-particle" : "", "parse-names" : false, "suffix" : "" }, { "dropping-particle" : "", "family" : "Nishie", "given" : "A", "non-dropping-particle" : "", "parse-names" : false, "suffix" : "" }, { "dropping-particle" : "", "family" : "Yamanaka", "given" : "T", "non-dropping-particle" : "", "parse-names" : false, "suffix" : "" } ], "container-title" : "The British journal of surgery", "id" : "ITEM-7", "issue" : "11", "issued" : { "date-parts" : [ [ "2013", "10" ] ] }, "page" : "1523-30", "title" : "Sarcopenia as a predictor of prognosis in patients following hepatectomy for hepatocellular carcinoma.", "type" : "article-journal", "volume" : "100" }, "uris" : [ "http://www.mendeley.com/documents/?uuid=4a0561fe-0052-47f0-90d6-6aa9622e4798" ] }, { "id" : "ITEM-8", "itemData" : { "DOI" : "10.1002/bjs.7823", "ISSN" : "00071323", "PMID" : "22246799", "abstract" : "BACKGROUND: Recent evidence suggests that depletion of skeletal muscle mass (sarcopenia) and an increased amount of intra-abdominal fat (central obesity) influence cancer statistics. This study investigated the impact of sarcopenia and central obesity on survival in patients undergoing liver resection for colorectal liver metastases (CLM).\n\nMETHODS: Diagnostic imaging from patients who had hepatic resection for CLM in one centre between 2001 and 2009, and who had assessable perioperative computed tomograms, was analysed retrospectively. Total cross-sectional areas of skeletal muscle and intra-abdominal fat, and their influence on outcome, were analysed.\n\nRESULTS: Of the 196 patients included in the study, 38 (19\u00b74 per cent) were classified as having sarcopenia. Five-year disease-free (15 per cent versus 28\u00b75 per cent in patients without sarcopenia; P = 0\u00b7002) and overall (20 per cent versus 49\u00b79 per cent respectively; P &lt; 0\u00b7001) survival rates were lower for patients with sarcopenia at a median follow-up of 29 (range 1-97) months. Sarcopenia was an independent predictor of worse recurrence-free (hazard ratio (HR) 1\u00b788, 95 per cent confidence interval 1\u00b725 to 2\u00b782; P = 0\u00b7002) and overall (HR 2\u00b753, 1\u00b760 to 4\u00b701; P &lt; 0\u00b7001) survival. Central obesity was associated with an increased risk of recurrence in men (P = 0\u00b7032), but not in women (P = 0\u00b7712).\n\nCONCLUSION: Sarcopenia has a negative impact on cancer outcomes following resection of CLM.", "author" : [ { "dropping-particle" : "", "family" : "Vledder", "given" : "M. G.", "non-dropping-particle" : "van", "parse-names" : false, "suffix" : "" }, { "dropping-particle" : "", "family" : "Levolger", "given" : "S.", "non-dropping-particle" : "", "parse-names" : false, "suffix" : "" }, { "dropping-particle" : "", "family" : "Ayez", "given" : "N.", "non-dropping-particle" : "", "parse-names" : false, "suffix" : "" }, { "dropping-particle" : "", "family" : "Verhoef", "given" : "C.", "non-dropping-particle" : "", "parse-names" : false, "suffix" : "" }, { "dropping-particle" : "", "family" : "Tran", "given" : "T. C. K.", "non-dropping-particle" : "", "parse-names" : false, "suffix" : "" }, { "dropping-particle" : "", "family" : "IJzermans", "given" : "J. N. M.", "non-dropping-particle" : "", "parse-names" : false, "suffix" : "" } ], "container-title" : "British Journal of Surgery", "id" : "ITEM-8", "issue" : "4", "issued" : { "date-parts" : [ [ "2012", "4", "13" ] ] }, "page" : "550-557", "title" : "Body composition and outcome in patients undergoing resection of colorectal liver metastases", "type" : "article-journal", "volume" : "99" }, "uris" : [ "http://www.mendeley.com/documents/?uuid=9a920544-3f08-4add-befb-777bd2f69766" ] }, { "id" : "ITEM-9", "itemData" : { "DOI" : "10.1007/s11605-014-2680-4", "ISSN" : "1873-4626", "PMID" : "25389056", "abstract" : "BACKGROUND: Sarcopenia is a surrogate marker of patient frailty that estimates the physiologic reserve of an individual patient. We sought to investigate the impact of sarcopenia on short- and long-term outcomes in patients having undergone surgical intervention for primary hepatic malignancies.\n\nMETHODS: Ninety-six patients who underwent hepatic resection or liver transplantation for HCC or ICC at the John Hopkins Hospital between 2000 and 2013 met inclusion criteria. Sarcopenia was assessed by the measurement of total psoas major volume (TPV) and total psoas area (TPA). The impact of sarcopenia on perioperative complications and survival was assessed.\n\nRESULTS: Mean age was 61.9 years and most patients were men (61.4 %). Mean adjusted TPV was lower in women (23.3 cm(3)/m) versus men (34.9 cm(3)/m) (P\u2009&lt;\u20090.01); 47 patients (48.9 %) had sarcopenia. The incidence of a postoperative complication was 40.4 % among patients with sarcopenia versus 18.4 % among patients who did not have sarcopenia (P\u2009=\u20090.01). Of note, all Clavien grade \u22653 complications (n\u2009=\u200911, 23.4 %) occurred in the sarcopenic group. On multivariable analysis, the presence of sarcopenia was an independent predictive factor of postoperative complications (OR\u2009=\u20093.06). Sarcopenia was not associated with long-term survival (HR\u2009=\u20091.23; P\u2009=\u20090.51).\n\nCONCLUSIONS: Sarcopenia, as assessed by TPV, was an independent factor predictive of postoperative complications following surgical intervention for primary hepatic malignancies.", "author" : [ { "dropping-particle" : "", "family" : "Valero", "given" : "Vicente", "non-dropping-particle" : "", "parse-names" : false, "suffix" : "" }, { "dropping-particle" : "", "family" : "Amini", "given" : "Neda", "non-dropping-particle" : "", "parse-names" : false, "suffix" : "" }, { "dropping-particle" : "", "family" : "Spolverato", "given" : "Gaya", "non-dropping-particle" : "", "parse-names" : false, "suffix" : "" }, { "dropping-particle" : "", "family" : "Weiss", "given" : "Matthew J", "non-dropping-particle" : "", "parse-names" : false, "suffix" : "" }, { "dropping-particle" : "", "family" : "Hirose", "given" : "Kenzo", "non-dropping-particle" : "", "parse-names" : false, "suffix" : "" }, { "dropping-particle" : "", "family" : "Dagher", "given" : "Nabil N", "non-dropping-particle" : "", "parse-names" : false, "suffix" : "" }, { "dropping-particle" : "", "family" : "Wolfgang", "given" : "Christopher L", "non-dropping-particle" : "", "parse-names" : false, "suffix" : "" }, { "dropping-particle" : "", "family" : "Cameron", "given" : "Andrew A", "non-dropping-particle" : "", "parse-names" : false, "suffix" : "" }, { "dropping-particle" : "", "family" : "Philosophe", "given" : "Benjamin", "non-dropping-particle" : "", "parse-names" : false, "suffix" : "" }, { "dropping-particle" : "", "family" : "Kamel", "given" : "Ihab R", "non-dropping-particle" : "", "parse-names" : false, "suffix" : "" }, { "dropping-particle" : "", "family" : "Pawlik", "given" : "Timothy M", "non-dropping-particle" : "", "parse-names" : false, "suffix" : "" } ], "container-title" : "Journal of gastrointestinal surgery : official journal of the Society for Surgery of the Alimentary Tract", "id" : "ITEM-9", "issue" : "2", "issued" : { "date-parts" : [ [ "2015", "3" ] ] }, "page" : "272-81", "title" : "Sarcopenia adversely impacts postoperative complications following resection or transplantation in patients with primary liver tumors.", "type" : "article-journal", "volume" : "19" }, "uris" : [ "http://www.mendeley.com/documents/?uuid=4073b87d-cebb-47b2-98aa-b7b349cd0d42" ] }, { "id" : "ITEM-10", "itemData" : { "DOI" : "10.1016/j.jamcollsurg.2010.03.039", "ISSN" : "1879-1190", "PMID" : "20670867", "abstract" : "BACKGROUND: Surgeons frequently struggle to determine patient suitability for liver transplantation. Objective and comprehensive measures of overall burden of disease, such as sarcopenia, could inform clinicians and help avoid futile transplantations.\n\nSTUDY DESIGN: The cross-sectional area of the psoas muscle was measured on CT scans of 163 liver transplant recipients. After controlling for donor and recipient characteristics using Cox regression models, we described the relationship between psoas area and post-transplantation mortality.\n\nRESULTS: Psoas area correlated poorly with Model for End-Stage Liver Disease score and serum albumin. Cox regression revealed a strong association between psoas area and post-transplantation mortality (hazard ratio = 3.7/1,000 mm(2) decrease in psoas area; p &lt; 0.0001). When stratified into quartiles based on psoas area (holding donor and recipient characteristics constant), 1-year survival ranged from 49.7% for the quartile with the smallest psoas area to 87.0% for the quartile with the largest. Survival at 3 years among these groups was 26.4% and 77.2%, respectively. The impact of psoas area on survival exceeded that of all other covariates in these models.\n\nCONCLUSIONS: Central sarcopenia strongly correlates with mortality after liver transplantation. Such objective measures of patient frailty, such as sarcopenia, can inform clinical decision making and, potentially, allocation policy. Additional work is needed develop valid and clinically relevant measures of sarcopenia and frailty in liver transplantation.", "author" : [ { "dropping-particle" : "", "family" : "Englesbe", "given" : "Michael J", "non-dropping-particle" : "", "parse-names" : false, "suffix" : "" }, { "dropping-particle" : "", "family" : "Patel", "given" : "Shaun P", "non-dropping-particle" : "", "parse-names" : false, "suffix" : "" }, { "dropping-particle" : "", "family" : "He", "given" : "Kevin", "non-dropping-particle" : "", "parse-names" : false, "suffix" : "" }, { "dropping-particle" : "", "family" : "Lynch", "given" : "Raymond J", "non-dropping-particle" : "", "parse-names" : false, "suffix" : "" }, { "dropping-particle" : "", "family" : "Schaubel", "given" : "Douglas E", "non-dropping-particle" : "", "parse-names" : false, "suffix" : "" }, { "dropping-particle" : "", "family" : "Harbaugh", "given" : "Calista", "non-dropping-particle" : "", "parse-names" : false, "suffix" : "" }, { "dropping-particle" : "", "family" : "Holcombe", "given" : "Sven A", "non-dropping-particle" : "", "parse-names" : false, "suffix" : "" }, { "dropping-particle" : "", "family" : "Wang", "given" : "Stewart C", "non-dropping-particle" : "", "parse-names" : false, "suffix" : "" }, { "dropping-particle" : "", "family" : "Segev", "given" : "Dorry L", "non-dropping-particle" : "", "parse-names" : false, "suffix" : "" }, { "dropping-particle" : "", "family" : "Sonnenday", "given" : "Christopher J", "non-dropping-particle" : "", "parse-names" : false, "suffix" : "" } ], "container-title" : "Journal of the American College of Surgeons", "id" : "ITEM-10", "issue" : "2", "issued" : { "date-parts" : [ [ "2010", "8" ] ] }, "page" : "271-8", "title" : "Sarcopenia and mortality after liver transplantation.", "type" : "article-journal", "volume" : "211" }, "uris" : [ "http://www.mendeley.com/documents/?uuid=49a4a94a-3f96-49a2-a1f8-ca16d833f4bf" ] }, { "id" : "ITEM-11", "itemData" : { "DOI" : "10.1001/jamasurg.2013.4823", "ISSN" : "2168-6262", "PMID" : "24500820", "abstract" : "IMPORTANCE: Morphometric assessment has emerged as a strong predictor of postoperative morbidity and mortality. However, a gap exists in translating this knowledge to bedside decision making. We introduced a novel measure of patient-centered surgical risk assessment: morphometric age.\n\nOBJECTIVE: To investigate the relationship between morphometric age and posttransplant survival.\n\nDATA SOURCES: Medical records of recipients of deceased-donor liver transplants (study population) and kidney donors/trauma patients (morphometric age control population).\n\nSTUDY SELECTION: A retrospective cohort study of 348 liver transplant patients and 3313 control patients. We assessed medical records for validated morphometric characteristics of aging (psoas area, psoas density, and abdominal aortic calcification). We created a model (stratified by sex) for a morphometric age equation, which we then calculated for the control population using multivariate linear regression modeling (covariates). These models were then applied to the study population to determine each patient's morphometric age.\n\nDATA EXTRACTION AND SYNTHESIS: All analytic steps related to measuring morphometric characteristics were obtained via custom algorithms programmed into commercially available software. An independent observer confirmed all algorithm outputs. Trained assistants performed medical record review to obtain patient characteristics.\n\nRESULTS: Cox proportional hazards regression model showed that morphometric age was a significant independent predictor of overall mortality (hazard ratio, 1.03 per morphometric year [95% CI, 1.02-1.04; P\u2009&lt;\u2009.001]) after liver transplant. Chronologic age was not a significant covariate for survival (hazard ratio, 1.02 per year [95% CI, 0.99-1.04; P\u2009=\u2009.21]). Morphometric age stratified patients at high and low risk for mortality. For example, patients in the middle chronologic age tertile who jumped to the oldest morphometric tertile have worse outcomes than those who jumped to the youngest morphometric tertile (74.4% vs 93.2% survival at 1 year [P\u2009=\u2009.03]; 45.2% vs 75.0% at 5 years [P\u2009=\u2009.03]).\n\nCONCLUSIONS AND RELEVANCE: Morphometric age correlated with mortality after liver transplant with better discrimination than chronologic age. Assigning a morphometric age to potential liver transplant recipients could improve prediction of postoperative mortality risk.", "author" : [ { "dropping-particle" : "", "family" : "Waits", "given" : "Seth A", "non-dropping-particle" : "", "parse-names" : false, "suffix" : "" }, { "dropping-particle" : "", "family" : "Kim", "given" : "Edward K", "non-dropping-particle" : "", "parse-names" : false, "suffix" : "" }, { "dropping-particle" : "", "family" : "Terjimanian", "given" : "Michael N", "non-dropping-particle" : "", "parse-names" : false, "suffix" : "" }, { "dropping-particle" : "", "family" : "Tishberg", "given" : "Lindsay M", "non-dropping-particle" : "", "parse-names" : false, "suffix" : "" }, { "dropping-particle" : "", "family" : "Harbaugh", "given" : "Calista M", "non-dropping-particle" : "", "parse-names" : false, "suffix" : "" }, { "dropping-particle" : "", "family" : "Sheetz", "given" : "Kyle H", "non-dropping-particle" : "", "parse-names" : false, "suffix" : "" }, { "dropping-particle" : "", "family" : "Sonnenday", "given" : "Christopher J", "non-dropping-particle" : "", "parse-names" : false, "suffix" : "" }, { "dropping-particle" : "", "family" : "Sullivan", "given" : "June", "non-dropping-particle" : "", "parse-names" : false, "suffix" : "" }, { "dropping-particle" : "", "family" : "Wang", "given" : "Stewart C", "non-dropping-particle" : "", "parse-names" : false, "suffix" : "" }, { "dropping-particle" : "", "family" : "Englesbe", "given" : "Michael J", "non-dropping-particle" : "", "parse-names" : false, "suffix" : "" } ], "container-title" : "JAMA surgery", "id" : "ITEM-11", "issue" : "4", "issued" : { "date-parts" : [ [ "2014", "4" ] ] }, "page" : "335-40", "title" : "Morphometric age and mortality after liver transplant.", "type" : "article-journal", "volume" : "149" }, "uris" : [ "http://www.mendeley.com/documents/?uuid=f06eab95-778b-4e62-856a-3f72519e4b7a" ] }, { "id" : "ITEM-12", "itemData" : { "DOI" : "10.1007/s11605-012-1923-5", "ISSN" : "1873-4626", "PMID" : "22692586", "abstract" : "INTRODUCTION: Assessing patient-specific risk factors for long-term mortality following resection of pancreatic adenocarcinoma can be difficult. Sarcopenia--the measurement of muscle wasting--may be a more objective and comprehensive patient-specific factor associated with long-term survival.\n\nMETHODS: Total psoas area (TPA) was measured on preoperative cross-sectional imaging in 557 patients undergoing resection of pancreatic adenocarcinoma between 1996 and 2010. Sarcopenia was defined as the presence of a TPA in the lowest sex-specific quartile. The impact of sarcopenia on 90-day, 1-year, and 3-year mortality was assessed relative to other clinicopathological factors.\n\nRESULTS: Mean patient age was 65.7 years and 53.1 % was male. Mean TPA among men (611 mm\u00b2/m\u00b2) was greater than among women (454 mm\u00b2/m\u00b2). Surgery involved pancreaticoduodenectomy (86.0 %) or distal pancreatectomy (14.0 %). Mean tumor size was 3.4 cm; 49.9 % and 88.5 % of patients had vascular and perineural invasion, respectively. Margin status was R0 (59.0 %) and 77.7 % patients had lymph node metastasis. Overall 90-day mortality was 3.1 % and overall 1- and 3-year survival was 67.9 % and 35.7 %, respectively. Sarcopenia was associated with increased risk of 3-year mortality (HR\u2009=\u20091.68; P\u2009&lt;\u20090.001). Tumor-specific factors such as poor differentiation on histology (HR\u2009=\u20091.75), margin status (HR\u2009=\u20091.66), and lymph node metastasis (HR\u2009=\u20092.06) were associated with risk of death at 3-years (all P\u2009&lt;\u20090.001). After controlling for these factors, sarcopenia remained independently associated with an increased risk of death at 3 years (HR\u2009=\u20091.63; P\u2009&lt;\u20090.001).\n\nCONCLUSIONS: Sarcopenia was a predictor of survival following pancreatic surgery, with sarcopenic patients having a 63 % increased risk of death at 3 years. Sarcopenia was an objective measure of patient frailty that was strongly associated with long-term outcome independent of tumor-specific factors.", "author" : [ { "dropping-particle" : "", "family" : "Peng", "given" : "Peter", "non-dropping-particle" : "", "parse-names" : false, "suffix" : "" }, { "dropping-particle" : "", "family" : "Hyder", "given" : "Omar", "non-dropping-particle" : "", "parse-names" : false, "suffix" : "" }, { "dropping-particle" : "", "family" : "Firoozmand", "given" : "Amin", "non-dropping-particle" : "", "parse-names" : false, "suffix" : "" }, { "dropping-particle" : "", "family" : "Kneuertz", "given" : "Peter", "non-dropping-particle" : "", "parse-names" : false, "suffix" : "" }, { "dropping-particle" : "", "family" : "Schulick", "given" : "Richard D", "non-dropping-particle" : "", "parse-names" : false, "suffix" : "" }, { "dropping-particle" : "", "family" : "Huang", "given" : "Donghang", "non-dropping-particle" : "", "parse-names" : false, "suffix" : "" }, { "dropping-particle" : "", "family" : "Makary", "given" : "Martin", "non-dropping-particle" : "", "parse-names" : false, "suffix" : "" }, { "dropping-particle" : "", "family" : "Hirose", "given" : "Kenzo", "non-dropping-particle" : "", "parse-names" : false, "suffix" : "" }, { "dropping-particle" : "", "family" : "Edil", "given" : "Barish", "non-dropping-particle" : "", "parse-names" : false, "suffix" : "" }, { "dropping-particle" : "", "family" : "Choti", "given" : "Michael A", "non-dropping-particle" : "", "parse-names" : false, "suffix" : "" }, { "dropping-particle" : "", "family" : "Herman", "given" : "Joseph", "non-dropping-particle" : "", "parse-names" : false, "suffix" : "" }, { "dropping-particle" : "", "family" : "Cameron", "given" : "John L", "non-dropping-particle" : "", "parse-names" : false, "suffix" : "" }, { "dropping-particle" : "", "family" : "Wolfgang", "given" : "Christopher L", "non-dropping-particle" : "", "parse-names" : false, "suffix" : "" }, { "dropping-particle" : "", "family" : "Pawlik", "given" : "Timothy M", "non-dropping-particle" : "", "parse-names" : false, "suffix" : "" } ], "container-title" : "Journal of gastrointestinal surgery : official journal of the Society for Surgery of the Alimentary Tract", "id" : "ITEM-12", "issue" : "8", "issued" : { "date-parts" : [ [ "2012", "8" ] ] }, "page" : "1478-86", "title" : "Impact of sarcopenia on outcomes following resection of pancreatic adenocarcinoma.", "type" : "article-journal", "volume" : "16" }, "uris" : [ "http://www.mendeley.com/documents/?uuid=2787952f-40c4-4a90-95a6-79ca7164e074" ] }, { "id" : "ITEM-13", "itemData" : { "DOI" : "10.1111/j.1477-2574.2011.00301.x", "ISSN" : "1477-2574", "PMID" : "21689226", "abstract" : "BACKGROUND: As indications for liver resection expand, objective measures to assess the risk of peri-operative morbidity are needed. The impact of sarcopenia on patients undergoing liver resection for colorectal liver metastasis (CRLM) was investigated.\n\nMETHODS: Sarcopenia was assessed in 259 patients undergoing liver resection for CRLM by measuring total psoas area (TPA) on computed tomography (CT). The impact of sarcopenia was assessed after controlling for clinicopathological factors using multivariate modelling.\n\nRESULTS: Median patient age was 58 years and most patients (60%) were male. Forty-one (16%) patients had sarcopenia (TPA \u2264 500 mm(2) /m(2) ). Post-operatively, 60 patients had a complication for an overall morbidity of 23%; 26 patients (10%) had a major complication (Clavien grade \u22653). The presence of sarcopenia was strongly associated with an increased risk of major post-operative complications [odds ratio (OR) 3.33; P= 0.008]. Patients with sarcopenia had longer hospital stays (6.6 vs. 5.4 days; P= 0.03) and a higher chance of an extended intensive care unit (ICU) stay (&gt;2 days; P= 0.004). On multivariate analysis, sarcopenia remained independently associated with an increased risk of post-operative complications (OR 3.12; P= 0.02). Sarcopenia was not significantly associated with recurrence-free [hazard ratio (HR) = 1.07] or overall (HR = 1.05) survival (both P &gt; 0.05).\n\nCONCLUSIONS: Sarcopenia impacts short-, but not long-term outcomes after resection of CRLM. While patients with sarcopenia are at an increased risk of post-operative morbidity and longer hospital stay, long-term survival is not impacted by the presence of sarcopenia.", "author" : [ { "dropping-particle" : "", "family" : "Peng", "given" : "Peter D", "non-dropping-particle" : "", "parse-names" : false, "suffix" : "" }, { "dropping-particle" : "", "family" : "Vledder", "given" : "Mark G", "non-dropping-particle" : "van", "parse-names" : false, "suffix" : "" }, { "dropping-particle" : "", "family" : "Tsai", "given" : "Susan", "non-dropping-particle" : "", "parse-names" : false, "suffix" : "" }, { "dropping-particle" : "", "family" : "Jong", "given" : "Mechteld C", "non-dropping-particle" : "de", "parse-names" : false, "suffix" : "" }, { "dropping-particle" : "", "family" : "Makary", "given" : "Martin", "non-dropping-particle" : "", "parse-names" : false, "suffix" : "" }, { "dropping-particle" : "", "family" : "Ng", "given" : "Julie", "non-dropping-particle" : "", "parse-names" : false, "suffix" : "" }, { "dropping-particle" : "", "family" : "Edil", "given" : "Barish H", "non-dropping-particle" : "", "parse-names" : false, "suffix" : "" }, { "dropping-particle" : "", "family" : "Wolfgang", "given" : "Christopher L", "non-dropping-particle" : "", "parse-names" : false, "suffix" : "" }, { "dropping-particle" : "", "family" : "Schulick", "given" : "Richard D", "non-dropping-particle" : "", "parse-names" : false, "suffix" : "" }, { "dropping-particle" : "", "family" : "Choti", "given" : "Michael A", "non-dropping-particle" : "", "parse-names" : false, "suffix" : "" }, { "dropping-particle" : "", "family" : "Kamel", "given" : "Ihab", "non-dropping-particle" : "", "parse-names" : false, "suffix" : "" }, { "dropping-particle" : "", "family" : "Pawlik", "given" : "Timothy M", "non-dropping-particle" : "", "parse-names" : false, "suffix" : "" } ], "container-title" : "HPB : the official journal of the International Hepato Pancreato Biliary Association", "id" : "ITEM-13", "issue" : "7", "issued" : { "date-parts" : [ [ "2011", "7" ] ] }, "page" : "439-46", "title" : "Sarcopenia negatively impacts short-term outcomes in patients undergoing hepatic resection for colorectal liver metastasis.", "type" : "article-journal", "volume" : "13" }, "uris" : [ "http://www.mendeley.com/documents/?uuid=640e02ad-59f1-46de-9854-951ab22a2c6f" ] }, { "id" : "ITEM-14", "itemData" : { "DOI" : "10.1007/s11605-015-2835-y", "ISSN" : "1873-4626", "PMID" : "25925237", "abstract" : "BACKGROUND: While sarcopenia is typically defined using total psoas area (TPA), characterizing sarcopenia using only a single axial cross-sectional image may be inadequate. We sought to evaluate total psoas volume (TPV) as a new tool to define sarcopenia and compare patient outcomes relative to TPA and TPV.\n\nMETHOD: Sarcopenia was assessed in 763 patients who underwent pancreatectomy for pancreatic adenocarcinoma between 1996 and 2014. It was defined as the TPA and TPV in the lowest sex-specific quartile. The impact of sarcopenia defined by TPA and TPV on overall morbidity and mortality was assessed using multivariable analysis.\n\nRESULT: Median TPA and TPV were both lower in women versus men (both P\u2009&lt;\u20090.001). TPA identified 192 (25.1\u00a0%) patients as sarcopenic, while TPV identified 152 patients (19.9\u00a0%). Three hundred sixty-nine (48.4\u00a0%) patients experienced a postoperative complication. While TPA-sarcopenia was not associated with higher risk of postoperative complications (OR 1.06; P\u2009=\u20090.72), sarcopenia defined by TPV was associated with morbidity (OR 1.79; P\u2009=\u20090.002). On multivariable analysis, TPV-sarcopenia remained independently associated with an increased risk of postoperative complications (OR 1.69; P\u2009=\u20090.006), as well as long-term survival (HR 1.46; P\u2009=\u20090.006).\n\nCONCLUSION: The use of TPV to define sarcopenia was associated with both short- and long-term outcomes following resection of pancreatic cancer. Assessment of the entire volume of the psoas muscle (TPV) may be a better means to define sarcopenia rather than a single axial image.", "author" : [ { "dropping-particle" : "", "family" : "Amini", "given" : "Neda", "non-dropping-particle" : "", "parse-names" : false, "suffix" : "" }, { "dropping-particle" : "", "family" : "Spolverato", "given" : "Gaya", "non-dropping-particle" : "", "parse-names" : false, "suffix" : "" }, { "dropping-particle" : "", "family" : "Gupta", "given" : "Rohan", "non-dropping-particle" : "", "parse-names" : false, "suffix" : "" }, { "dropping-particle" : "", "family" : "Margonis", "given" : "Georgios A", "non-dropping-particle" : "", "parse-names" : false, "suffix" : "" }, { "dropping-particle" : "", "family" : "Kim", "given" : "Yuhree", "non-dropping-particle" : "", "parse-names" : false, "suffix" : "" }, { "dropping-particle" : "", "family" : "Wagner", "given" : "Doris", "non-dropping-particle" : "", "parse-names" : false, "suffix" : "" }, { "dropping-particle" : "", "family" : "Rezaee", "given" : "Neda", "non-dropping-particle" : "", "parse-names" : false, "suffix" : "" }, { "dropping-particle" : "", "family" : "Weiss", "given" : "Matthew J", "non-dropping-particle" : "", "parse-names" : false, "suffix" : "" }, { "dropping-particle" : "", "family" : "Wolfgang", "given" : "Christopher L", "non-dropping-particle" : "", "parse-names" : false, "suffix" : "" }, { "dropping-particle" : "", "family" : "Makary", "given" : "Martin M", "non-dropping-particle" : "", "parse-names" : false, "suffix" : "" }, { "dropping-particle" : "", "family" : "Kamel", "given" : "Ihab R", "non-dropping-particle" : "", "parse-names" : false, "suffix" : "" }, { "dropping-particle" : "", "family" : "Pawlik", "given" : "Timothy M", "non-dropping-particle" : "", "parse-names" : false, "suffix" : "" } ], "container-title" : "Journal of gastrointestinal surgery : official journal of the Society for Surgery of the Alimentary Tract", "id" : "ITEM-14", "issued" : { "date-parts" : [ [ "2015", "4", "30" ] ] }, "title" : "Impact Total Psoas Volume on Short- and Long-Term Outcomes in Patients Undergoing Curative Resection for Pancreatic Adenocarcinoma: a New Tool to Assess Sarcopenia.", "type" : "article-journal" }, "uris" : [ "http://www.mendeley.com/documents/?uuid=069871f5-b451-4104-a8de-a79ca8f489fd" ] }, { "id" : "ITEM-15", "itemData" : { "DOI" : "10.1002/jso.23862", "ISSN" : "1096-9098", "PMID" : "25556324", "abstract" : "BACKGROUND AND OBJECTIVES: Sarcopenia, which is subclinical loss of skeletal muscle mass, is commonly observed in patients with malignancy. The objective of this study is to determine the correlation between sarcopenia and operative complications following pancreatectomy for cancer.\n\nMETHODS: A retrospective review of a pancreatectomy database was performed. The Hounsfield Unit Average Calculation (HUAC) of the psoas muscle, a marker of muscle density and fatty infiltration, was measured from preoperative CT scans. Complications were graded and multivariate logistic regression analysis was performed.\n\nRESULTS: One hundred eighteen patients met criteria for analysis; the overall morbidity rate was 78.8% (n = 93). There were 31 (26.3%) patients who met criteria for sarcopenia using the HUAC. When analyzed as a continuous variable, sarcopenia was an independent predictor of major grade III complications, length of stay, intensive care unit admission, delayed gastric emptying, and infectious, gastrointestinal, pulmonary, and cardiac complications.\n\nCONCLUSIONS: These data suggest that sarcopenia as measured with the HUAC, a value that can be obtained from a preoperative CT scan, is a significant independent predictor of surgical outcome and can be used to improve patient selection and informed consent prior to pancreatectomy in patients with cancer.", "author" : [ { "dropping-particle" : "", "family" : "Joglekar", "given" : "Savita", "non-dropping-particle" : "", "parse-names" : false, "suffix" : "" }, { "dropping-particle" : "", "family" : "Asghar", "given" : "Aeen", "non-dropping-particle" : "", "parse-names" : false, "suffix" : "" }, { "dropping-particle" : "", "family" : "Mott", "given" : "Sarah L", "non-dropping-particle" : "", "parse-names" : false, "suffix" : "" }, { "dropping-particle" : "", "family" : "Johnson", "given" : "Benjamin E", "non-dropping-particle" : "", "parse-names" : false, "suffix" : "" }, { "dropping-particle" : "", "family" : "Button", "given" : "Anna M", "non-dropping-particle" : "", "parse-names" : false, "suffix" : "" }, { "dropping-particle" : "", "family" : "Clark", "given" : "Eve", "non-dropping-particle" : "", "parse-names" : false, "suffix" : "" }, { "dropping-particle" : "", "family" : "Mezhir", "given" : "James J", "non-dropping-particle" : "", "parse-names" : false, "suffix" : "" } ], "container-title" : "Journal of surgical oncology", "id" : "ITEM-15", "issue" : "6", "issued" : { "date-parts" : [ [ "2015", "5" ] ] }, "page" : "771-5", "title" : "Sarcopenia is an independent predictor of complications following pancreatectomy for adenocarcinoma.", "type" : "article-journal", "volume" : "111" }, "uris" : [ "http://www.mendeley.com/documents/?uuid=8fb9bc48-f8c2-4932-9b0d-b2baed2a4d47" ] }, { "id" : "ITEM-16", "itemData" : { "DOI" : "10.3748/wjg.v20.i38.13692", "ISSN" : "1007-9327", "PMID" : "25320507", "abstract" : "Gastric cancer remains a significant health problem worldwide and surgery is currently the only potentially curative treatment option. Gastric cancer surgery is generally considered to be high risk surgery and five-year survival rates are poor, therefore a continuous strive to improve outcomes for these patients is warranted. Fortunately, in the last decades several potential advances have been introduced that intervene at various stages of the treatment process. This review provides an overview of methods implemented in pre-, intra- and postoperative stage of gastric cancer surgery to improve outcome. Better preoperative risk assessment using comorbidity index (e.g., Charlson comorbidity index), assessment of nutritional status (e.g., short nutritional assessment questionnaire, nutritional risk screening - 2002) and frailty assessment (Groningen frailty indicator, Edmonton frail scale, Hopkins frailty) was introduced. Also preoperative optimization of patients using prehabilitation has future potential. Implementation of fast-track or enhanced recovery after surgery programs is showing promising results, although future studies have to determine what the exact optimal strategy is. Introduction of laparoscopic surgery has shown improvement of results as well as optimization of lymph node dissection. Hyperthermic intraperitoneal chemotherapy has not shown to be beneficial in peritoneal metastatic disease thus far. Advances in postoperative care include optimal timing of oral diet, which has been shown to reduce hospital stay. In general, hospital volume, i.e., centralization, and clinical audits might further improve the outcome in gastric cancer surgery. In conclusion, progress has been made in improving the surgical treatment of gastric cancer. However, gastric cancer treatment is high risk surgery and many areas for future research remain.", "author" : [ { "dropping-particle" : "", "family" : "Tegels", "given" : "Juul JW", "non-dropping-particle" : "", "parse-names" : false, "suffix" : "" } ], "container-title" : "World Journal of Gastroenterology", "id" : "ITEM-16", "issue" : "38", "issued" : { "date-parts" : [ [ "2014", "10", "14" ] ] }, "page" : "13692", "title" : "Improving the outcomes in gastric cancer surgery", "type" : "article-journal", "volume" : "20" }, "uris" : [ "http://www.mendeley.com/documents/?uuid=d778cf90-431f-4666-aeb5-cd2029588f72" ] }, { "id" : "ITEM-17", "itemData" : { "DOI" : "10.1097/SLA.0000000000000628", "ISSN" : "1528-1140", "PMID" : "24651133", "abstract" : "OBJECTIVE: To determine the association of sarcopenia with postoperative morbidity and mortality after colorectal surgery.\n\nBACKGROUND: Functional compromise in elderly colorectal surgical patients is considered as a significant factor of impaired postoperative recovery. Therefore, the predictive value of preoperative functional compromise assessment was investigated. Sarcopenia is a hallmark of functional compromise.\n\nMETHODS: A total of 310 consecutive patients who underwent oncologic colorectal surgery were included in a prospective digital database. Sarcopenia was assessed using the L3 muscle index utilizing Osirix on preoperative computed tomography. Groningen Frailty Indicator and Short Nutritional Assessment Questionnaire scores were used to assess frailty and nutritional compromise. Predictors for anastomotic leakage, sepsis, and mortality were analyzed by logistic regression analysis.\n\nRESULTS: Age was an independent predictor of mortality [P = 0.04; odds ratio, 1.17; 95% confidence interval (CI), 1.01-1.37]. Thirty-day/in-hospital mortality rate in sarcopenic patients was 8.8% versus 0.7% in nonsarcopenic patients (P = 0.001; odds ratio, 15.5; 95% CI, 2.00-120). Sarcopenia was not predictive for anastomotic leakage or sepsis. Combination of high Short Nutritional Assessment Questionnaire score, high Groningen Frailty Indicator score, and sarcopenia strongly predicted sepsis (P = 0.001; odds ratio, 25.1; 95% CI, 5.11-123), sensitivity, 46%; specificity, 97%; positive likelihood ratio, 13 (95% CI, 4.4-38); negative likelihood ratio, 0.57 (95% CI, 0.33-0.97).\n\nCONCLUSIONS: Functional compromise in colorectal cancer surgery is associated with adverse postoperative outcome. Assessment of functional compromise by means of a nutritional questionnaire (Short Nutritional Assessment Questionnaire), a frailty questionnaire (Groningen Frailty Indicator), and sarcopenia measurement (L3 muscle index) can accurately predict postoperative sepsis.", "author" : [ { "dropping-particle" : "", "family" : "Reisinger", "given" : "Kostan W", "non-dropping-particle" : "", "parse-names" : false, "suffix" : "" }, { "dropping-particle" : "", "family" : "Vugt", "given" : "Jeroen L A", "non-dropping-particle" : "van", "parse-names" : false, "suffix" : "" }, { "dropping-particle" : "", "family" : "Tegels", "given" : "Juul J W", "non-dropping-particle" : "", "parse-names" : false, "suffix" : "" }, { "dropping-particle" : "", "family" : "Snijders", "given" : "Claire", "non-dropping-particle" : "", "parse-names" : false, "suffix" : "" }, { "dropping-particle" : "", "family" : "Hulsew\u00e9", "given" : "Karel W E", "non-dropping-particle" : "", "parse-names" : false, "suffix" : "" }, { "dropping-particle" : "", "family" : "Hoofwijk", "given" : "Anton G M", "non-dropping-particle" : "", "parse-names" : false, "suffix" : "" }, { "dropping-particle" : "", "family" : "Stoot", "given" : "Jan H", "non-dropping-particle" : "", "parse-names" : false, "suffix" : "" }, { "dropping-particle" : "", "family" : "Meyenfeldt", "given" : "Maarten F", "non-dropping-particle" : "Von", "parse-names" : false, "suffix" : "" }, { "dropping-particle" : "", "family" : "Beets", "given" : "Geerard L", "non-dropping-particle" : "", "parse-names" : false, "suffix" : "" }, { "dropping-particle" : "", "family" : "Derikx", "given" : "Joep P M", "non-dropping-particle" : "", "parse-names" : false, "suffix" : "" }, { "dropping-particle" : "", "family" : "Poeze", "given" : "Martijn", "non-dropping-particle" : "", "parse-names" : false, "suffix" : "" } ], "container-title" : "Annals of surgery", "id" : "ITEM-17", "issue" : "2", "issued" : { "date-parts" : [ [ "2015", "2" ] ] }, "page" : "345-52", "title" : "Functional compromise reflected by sarcopenia, frailty, and nutritional depletion predicts adverse postoperative outcome after colorectal cancer surgery.", "type" : "article-journal", "volume" : "261" }, "uris" : [ "http://www.mendeley.com/documents/?uuid=a7e26908-8f82-4c60-92c9-5f9bd65525e8" ] } ], "mendeley" : { "formattedCitation" : "&lt;sup&gt;[34\u201350]&lt;/sup&gt;", "plainTextFormattedCitation" : "[34\u201350]", "previouslyFormattedCitation" : "&lt;sup&gt;[34\u201350]&lt;/sup&gt;" }, "properties" : { "noteIndex" : 0 }, "schema" : "https://github.com/citation-style-language/schema/raw/master/csl-citation.json" }</w:instrText>
      </w:r>
      <w:r w:rsidR="003A2862" w:rsidRPr="00B77A30">
        <w:rPr>
          <w:rFonts w:ascii="Book Antiqua" w:hAnsi="Book Antiqua" w:cs="Times New Roman"/>
          <w:sz w:val="24"/>
          <w:szCs w:val="24"/>
        </w:rPr>
        <w:fldChar w:fldCharType="separate"/>
      </w:r>
      <w:r w:rsidR="003A2862" w:rsidRPr="00B77A30">
        <w:rPr>
          <w:rFonts w:ascii="Book Antiqua" w:hAnsi="Book Antiqua" w:cs="Times New Roman"/>
          <w:noProof/>
          <w:sz w:val="24"/>
          <w:szCs w:val="24"/>
          <w:vertAlign w:val="superscript"/>
        </w:rPr>
        <w:t>[34–50]</w:t>
      </w:r>
      <w:r w:rsidR="003A2862"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Additionally, 15 narrative reviews were included in the study. The quality of each study was assessed using the Newcastle-Ottawa Scale based on case selection, compa</w:t>
      </w:r>
      <w:r w:rsidR="00170819" w:rsidRPr="00B77A30">
        <w:rPr>
          <w:rFonts w:ascii="Book Antiqua" w:hAnsi="Book Antiqua" w:cs="Times New Roman"/>
          <w:sz w:val="24"/>
          <w:szCs w:val="24"/>
        </w:rPr>
        <w:t>rability, and outcome reporting</w:t>
      </w:r>
      <w:r w:rsidRPr="00B77A30">
        <w:rPr>
          <w:rFonts w:ascii="Book Antiqua" w:hAnsi="Book Antiqua" w:cs="Times New Roman"/>
          <w:sz w:val="24"/>
          <w:szCs w:val="24"/>
        </w:rPr>
        <w:t xml:space="preserve"> (Tables </w:t>
      </w:r>
      <w:r w:rsidR="00A0242D" w:rsidRPr="00B77A30">
        <w:rPr>
          <w:rFonts w:ascii="Book Antiqua" w:hAnsi="Book Antiqua" w:cs="Times New Roman"/>
          <w:sz w:val="24"/>
          <w:szCs w:val="24"/>
        </w:rPr>
        <w:t>1</w:t>
      </w:r>
      <w:r w:rsidR="00A0242D">
        <w:rPr>
          <w:rFonts w:ascii="Book Antiqua" w:hAnsi="Book Antiqua" w:cs="Times New Roman" w:hint="eastAsia"/>
          <w:sz w:val="24"/>
          <w:szCs w:val="24"/>
          <w:lang w:eastAsia="zh-CN"/>
        </w:rPr>
        <w:t>, 2 and 3</w:t>
      </w:r>
      <w:r w:rsidRPr="00B77A30">
        <w:rPr>
          <w:rFonts w:ascii="Book Antiqua" w:hAnsi="Book Antiqua" w:cs="Times New Roman"/>
          <w:sz w:val="24"/>
          <w:szCs w:val="24"/>
        </w:rPr>
        <w:t>); the median quality score of the studies was 6.5 (range 4-9).</w:t>
      </w:r>
    </w:p>
    <w:p w14:paraId="4C323CA8" w14:textId="42A1BD52" w:rsidR="005A19AC" w:rsidRPr="00B77A30" w:rsidRDefault="005A19AC" w:rsidP="00CB2DFE">
      <w:pPr>
        <w:spacing w:after="0" w:line="360" w:lineRule="auto"/>
        <w:ind w:firstLine="720"/>
        <w:jc w:val="both"/>
        <w:rPr>
          <w:rFonts w:ascii="Book Antiqua" w:hAnsi="Book Antiqua" w:cs="Times New Roman"/>
          <w:sz w:val="24"/>
          <w:szCs w:val="24"/>
          <w:lang w:eastAsia="zh-CN"/>
        </w:rPr>
      </w:pPr>
      <w:r w:rsidRPr="00B77A30">
        <w:rPr>
          <w:rFonts w:ascii="Book Antiqua" w:hAnsi="Book Antiqua" w:cs="Times New Roman"/>
          <w:sz w:val="24"/>
          <w:szCs w:val="24"/>
        </w:rPr>
        <w:t xml:space="preserve"> Data pertaining to patient demographics (age and sex), assessment used, type of surgery and the number of patients were collected for each article and are displayed in Table </w:t>
      </w:r>
      <w:r w:rsidR="00A0242D">
        <w:rPr>
          <w:rFonts w:ascii="Book Antiqua" w:hAnsi="Book Antiqua" w:cs="Times New Roman" w:hint="eastAsia"/>
          <w:sz w:val="24"/>
          <w:szCs w:val="24"/>
          <w:lang w:eastAsia="zh-CN"/>
        </w:rPr>
        <w:t>4</w:t>
      </w:r>
      <w:r w:rsidRPr="00B77A30">
        <w:rPr>
          <w:rFonts w:ascii="Book Antiqua" w:hAnsi="Book Antiqua" w:cs="Times New Roman"/>
          <w:sz w:val="24"/>
          <w:szCs w:val="24"/>
        </w:rPr>
        <w:t>. Additionally, data relating to short-term clinical outcomes such as 30-day morbidity and mortality, as well as long-term outcomes including median, 5-year overall and 1-year overall survival were recorded from each study. Sarcopenia and frailty, as well as other end points used for analyses were not homogenously defined throughout the studies. The different approaches to define sarcopenia and frailty along with relevant clinical and outcome parameters used along with the quality scale o</w:t>
      </w:r>
      <w:r w:rsidR="00170819" w:rsidRPr="00B77A30">
        <w:rPr>
          <w:rFonts w:ascii="Book Antiqua" w:hAnsi="Book Antiqua" w:cs="Times New Roman"/>
          <w:sz w:val="24"/>
          <w:szCs w:val="24"/>
        </w:rPr>
        <w:t xml:space="preserve">f the included studies (Tables </w:t>
      </w:r>
      <w:r w:rsidR="00A0242D" w:rsidRPr="00B77A30">
        <w:rPr>
          <w:rFonts w:ascii="Book Antiqua" w:hAnsi="Book Antiqua" w:cs="Times New Roman"/>
          <w:sz w:val="24"/>
          <w:szCs w:val="24"/>
        </w:rPr>
        <w:t>1</w:t>
      </w:r>
      <w:r w:rsidR="00A0242D">
        <w:rPr>
          <w:rFonts w:ascii="Book Antiqua" w:hAnsi="Book Antiqua" w:cs="Times New Roman" w:hint="eastAsia"/>
          <w:sz w:val="24"/>
          <w:szCs w:val="24"/>
          <w:lang w:eastAsia="zh-CN"/>
        </w:rPr>
        <w:t>, 2 and 3</w:t>
      </w:r>
      <w:r w:rsidRPr="00B77A30">
        <w:rPr>
          <w:rFonts w:ascii="Book Antiqua" w:hAnsi="Book Antiqua" w:cs="Times New Roman"/>
          <w:sz w:val="24"/>
          <w:szCs w:val="24"/>
        </w:rPr>
        <w:t>). While a direct comparison between the studies was therefore not possible due to their heterogeneity, data were amassed from these studies to inform a comprehensive review.</w:t>
      </w:r>
    </w:p>
    <w:p w14:paraId="62102CE6" w14:textId="77777777" w:rsidR="00170819" w:rsidRPr="00B77A30" w:rsidRDefault="00170819" w:rsidP="00CB2DFE">
      <w:pPr>
        <w:spacing w:after="0" w:line="360" w:lineRule="auto"/>
        <w:ind w:firstLine="720"/>
        <w:jc w:val="both"/>
        <w:rPr>
          <w:rFonts w:ascii="Book Antiqua" w:hAnsi="Book Antiqua" w:cs="Times New Roman"/>
          <w:sz w:val="24"/>
          <w:szCs w:val="24"/>
          <w:lang w:eastAsia="zh-CN"/>
        </w:rPr>
      </w:pPr>
    </w:p>
    <w:p w14:paraId="49F30E71" w14:textId="2D196708" w:rsidR="005A19AC" w:rsidRPr="00B77A30" w:rsidRDefault="00723D9F" w:rsidP="00CB2DFE">
      <w:pPr>
        <w:spacing w:after="0" w:line="360" w:lineRule="auto"/>
        <w:jc w:val="both"/>
        <w:rPr>
          <w:rFonts w:ascii="Book Antiqua" w:hAnsi="Book Antiqua" w:cs="Times New Roman"/>
          <w:b/>
          <w:sz w:val="24"/>
          <w:szCs w:val="24"/>
        </w:rPr>
      </w:pPr>
      <w:r w:rsidRPr="00B77A30">
        <w:rPr>
          <w:rFonts w:ascii="Book Antiqua" w:hAnsi="Book Antiqua" w:cs="Times New Roman"/>
          <w:b/>
          <w:sz w:val="24"/>
          <w:szCs w:val="24"/>
        </w:rPr>
        <w:t>FRAILTY AND SARCOPENIA IN OLDER ADULTS UNDERGOING SURGERY: GENERAL CONSIDERATIONS</w:t>
      </w:r>
    </w:p>
    <w:p w14:paraId="0C7DEF87" w14:textId="7B3C18BF" w:rsidR="005A19AC" w:rsidRPr="00B77A30" w:rsidRDefault="005A19AC" w:rsidP="00CB2DFE">
      <w:pPr>
        <w:spacing w:after="0" w:line="360" w:lineRule="auto"/>
        <w:jc w:val="both"/>
        <w:rPr>
          <w:rFonts w:ascii="Book Antiqua" w:hAnsi="Book Antiqua" w:cs="Times New Roman"/>
          <w:sz w:val="24"/>
          <w:szCs w:val="24"/>
        </w:rPr>
      </w:pPr>
      <w:r w:rsidRPr="00B77A30">
        <w:rPr>
          <w:rFonts w:ascii="Book Antiqua" w:hAnsi="Book Antiqua" w:cs="Times New Roman"/>
          <w:sz w:val="24"/>
          <w:szCs w:val="24"/>
        </w:rPr>
        <w:t>Frailty is associated with a decline in physiologic reserve and function acro</w:t>
      </w:r>
      <w:r w:rsidR="00170819" w:rsidRPr="00B77A30">
        <w:rPr>
          <w:rFonts w:ascii="Book Antiqua" w:hAnsi="Book Antiqua" w:cs="Times New Roman"/>
          <w:sz w:val="24"/>
          <w:szCs w:val="24"/>
        </w:rPr>
        <w:t>ss multiple physiologic systems</w:t>
      </w:r>
      <w:r w:rsidR="003A2862" w:rsidRPr="00B77A30">
        <w:rPr>
          <w:rFonts w:ascii="Book Antiqua" w:hAnsi="Book Antiqua" w:cs="Times New Roman"/>
          <w:sz w:val="24"/>
          <w:szCs w:val="24"/>
        </w:rPr>
        <w:fldChar w:fldCharType="begin" w:fldLock="1"/>
      </w:r>
      <w:r w:rsidR="003A2862" w:rsidRPr="00B77A30">
        <w:rPr>
          <w:rFonts w:ascii="Book Antiqua" w:hAnsi="Book Antiqua" w:cs="Times New Roman"/>
          <w:sz w:val="24"/>
          <w:szCs w:val="24"/>
        </w:rPr>
        <w:instrText>ADDIN CSL_CITATION { "citationItems" : [ { "id" : "ITEM-1", "itemData" : { "DOI" : "10.1016/j.cger.2010.08.009", "ISSN" : "1879-8853", "PMID" : "21093718", "abstract" : "This article reviews the current state of knowledge regarding the epidemiology of frailty by focusing on 6 specific areas: (1) clinical definitions of frailty, (2) evidence of frailty as a medical syndrome, (3) prevalence and incidence of frailty by age, gender, race, and ethnicity, (4) transitions between discrete frailty states, (5) natural history of manifestations of frailty criteria, and (6) behavior modifications as precursors to the development of clinical frailty.", "author" : [ { "dropping-particle" : "", "family" : "Xue", "given" : "Qian-Li", "non-dropping-particle" : "", "parse-names" : false, "suffix" : "" } ], "container-title" : "Clinics in geriatric medicine", "id" : "ITEM-1", "issue" : "1", "issued" : { "date-parts" : [ [ "2011", "2" ] ] }, "page" : "1-15", "title" : "The frailty syndrome: definition and natural history.", "type" : "article-journal", "volume" : "27" }, "uris" : [ "http://www.mendeley.com/documents/?uuid=3a976540-978b-497f-8ddc-63159deb7f31" ] } ], "mendeley" : { "formattedCitation" : "&lt;sup&gt;[51]&lt;/sup&gt;", "plainTextFormattedCitation" : "[51]", "previouslyFormattedCitation" : "&lt;sup&gt;[51]&lt;/sup&gt;" }, "properties" : { "noteIndex" : 0 }, "schema" : "https://github.com/citation-style-language/schema/raw/master/csl-citation.json" }</w:instrText>
      </w:r>
      <w:r w:rsidR="003A2862" w:rsidRPr="00B77A30">
        <w:rPr>
          <w:rFonts w:ascii="Book Antiqua" w:hAnsi="Book Antiqua" w:cs="Times New Roman"/>
          <w:sz w:val="24"/>
          <w:szCs w:val="24"/>
        </w:rPr>
        <w:fldChar w:fldCharType="separate"/>
      </w:r>
      <w:r w:rsidR="003A2862" w:rsidRPr="00B77A30">
        <w:rPr>
          <w:rFonts w:ascii="Book Antiqua" w:hAnsi="Book Antiqua" w:cs="Times New Roman"/>
          <w:noProof/>
          <w:sz w:val="24"/>
          <w:szCs w:val="24"/>
          <w:vertAlign w:val="superscript"/>
        </w:rPr>
        <w:t>[51]</w:t>
      </w:r>
      <w:r w:rsidR="003A2862"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In the absence of a gold standard, frailty has been operationally defined by Fried </w:t>
      </w:r>
      <w:r w:rsidRPr="00B77A30">
        <w:rPr>
          <w:rFonts w:ascii="Book Antiqua" w:hAnsi="Book Antiqua" w:cs="Times New Roman"/>
          <w:i/>
          <w:sz w:val="24"/>
          <w:szCs w:val="24"/>
        </w:rPr>
        <w:t>et al</w:t>
      </w:r>
      <w:r w:rsidR="00170819" w:rsidRPr="00B77A30">
        <w:rPr>
          <w:rFonts w:ascii="Book Antiqua" w:hAnsi="Book Antiqua" w:cs="Times New Roman"/>
          <w:sz w:val="24"/>
          <w:szCs w:val="24"/>
        </w:rPr>
        <w:fldChar w:fldCharType="begin" w:fldLock="1"/>
      </w:r>
      <w:r w:rsidR="00170819" w:rsidRPr="00B77A30">
        <w:rPr>
          <w:rFonts w:ascii="Book Antiqua" w:hAnsi="Book Antiqua" w:cs="Times New Roman"/>
          <w:sz w:val="24"/>
          <w:szCs w:val="24"/>
        </w:rPr>
        <w:instrText>ADDIN CSL_CITATION { "citationItems" : [ { "id" : "ITEM-1", "itemData" : { "ISSN" : "1079-5006", "PMID" : "11253156", "abstract" : "BACKGROUND: Frailty is considered highly prevalent in old age and to confer high risk for falls, disability, hospitalization, and mortality. Frailty has been considered synonymous with disability, comorbidity, and other characteristics, but it is recognized that it may have a biologic basis and be a distinct clinical syndrome. A standardized definition has not yet been established.\n\nMETHODS: To develop and operationalize a phenotype of frailty in older adults and assess concurrent and predictive validity, the study used data from the Cardiovascular Health Study. Participants were 5,317 men and women 65 years and older (4,735 from an original cohort recruited in 1989-90 and 582 from an African American cohort recruited in 1992-93). Both cohorts received almost identical baseline evaluations and 7 and 4 years of follow-up, respectively, with annual examinations and surveillance for outcomes including incident disease, hospitalization, falls, disability, and mortality.\n\nRESULTS: Frailty was defined as a clinical syndrome in which three or more of the following criteria were present: unintentional weight loss (10 lbs in past year), self-reported exhaustion, weakness (grip strength), slow walking speed, and low physical activity. The overall prevalence of frailty in this community-dwelling population was 6.9%; it increased with age and was greater in women than men. Four-year incidence was 7.2%. Frailty was associated with being African American, having lower education and income, poorer health, and having higher rates of comorbid chronic diseases and disability. There was overlap, but not concordance, in the cooccurrence of frailty, comorbidity, and disability. This frailty phenotype was independently predictive (over 3 years) of incident falls, worsening mobility or ADL disability, hospitalization, and death, with hazard ratios ranging from 1.82 to 4.46, unadjusted, and 1.29-2.24, adjusted for a number of health, disease, and social characteristics predictive of 5-year mortality. Intermediate frailty status, as indicated by the presence of one or two criteria, showed intermediate risk of these outcomes as well as increased risk of becoming frail over 3-4 years of follow-up (odds ratios for incident frailty = 4.51 unadjusted and 2.63 adjusted for covariates, compared to those with no frailty criteria at baseline).\n\nCONCLUSIONS: This study provides a potential standardized definition for frailty in community-dwelling older adults and offers concurrent and pr\u2026", "author" : [ { "dropping-particle" : "", "family" : "Fried", "given" : "L P", "non-dropping-particle" : "", "parse-names" : false, "suffix" : "" }, { "dropping-particle" : "", "family" : "Tangen", "given" : "C M", "non-dropping-particle" : "", "parse-names" : false, "suffix" : "" }, { "dropping-particle" : "", "family" : "Walston", "given" : "J", "non-dropping-particle" : "", "parse-names" : false, "suffix" : "" }, { "dropping-particle" : "", "family" : "Newman", "given" : "A B", "non-dropping-particle" : "", "parse-names" : false, "suffix" : "" }, { "dropping-particle" : "", "family" : "Hirsch", "given" : "C", "non-dropping-particle" : "", "parse-names" : false, "suffix" : "" }, { "dropping-particle" : "", "family" : "Gottdiener", "given" : "J", "non-dropping-particle" : "", "parse-names" : false, "suffix" : "" }, { "dropping-particle" : "", "family" : "Seeman", "given" : "T", "non-dropping-particle" : "", "parse-names" : false, "suffix" : "" }, { "dropping-particle" : "", "family" : "Tracy", "given" : "R", "non-dropping-particle" : "", "parse-names" : false, "suffix" : "" }, { "dropping-particle" : "", "family" : "Kop", "given" : "W J", "non-dropping-particle" : "", "parse-names" : false, "suffix" : "" }, { "dropping-particle" : "", "family" : "Burke", "given" : "G", "non-dropping-particle" : "", "parse-names" : false, "suffix" : "" }, { "dropping-particle" : "", "family" : "McBurnie", "given" : "M A", "non-dropping-particle" : "", "parse-names" : false, "suffix" : "" } ], "container-title" : "The journals of gerontology. Series A, Biological sciences and medical sciences", "id" : "ITEM-1", "issue" : "3", "issued" : { "date-parts" : [ [ "2001", "3" ] ] }, "page" : "M146-56", "title" : "Frailty in older adults: evidence for a phenotype.", "type" : "article-journal", "volume" : "56" }, "uris" : [ "http://www.mendeley.com/documents/?uuid=63b2051d-83ea-4d40-9434-b93bd25ad4e4" ] } ], "mendeley" : { "formattedCitation" : "&lt;sup&gt;[20]&lt;/sup&gt;", "plainTextFormattedCitation" : "[20]", "previouslyFormattedCitation" : "&lt;sup&gt;[20]&lt;/sup&gt;" }, "properties" : { "noteIndex" : 0 }, "schema" : "https://github.com/citation-style-language/schema/raw/master/csl-citation.json" }</w:instrText>
      </w:r>
      <w:r w:rsidR="00170819" w:rsidRPr="00B77A30">
        <w:rPr>
          <w:rFonts w:ascii="Book Antiqua" w:hAnsi="Book Antiqua" w:cs="Times New Roman"/>
          <w:sz w:val="24"/>
          <w:szCs w:val="24"/>
        </w:rPr>
        <w:fldChar w:fldCharType="separate"/>
      </w:r>
      <w:r w:rsidR="00170819" w:rsidRPr="00B77A30">
        <w:rPr>
          <w:rFonts w:ascii="Book Antiqua" w:hAnsi="Book Antiqua" w:cs="Times New Roman"/>
          <w:noProof/>
          <w:sz w:val="24"/>
          <w:szCs w:val="24"/>
          <w:vertAlign w:val="superscript"/>
        </w:rPr>
        <w:t>[20]</w:t>
      </w:r>
      <w:r w:rsidR="00170819" w:rsidRPr="00B77A30">
        <w:rPr>
          <w:rFonts w:ascii="Book Antiqua" w:hAnsi="Book Antiqua" w:cs="Times New Roman"/>
          <w:sz w:val="24"/>
          <w:szCs w:val="24"/>
        </w:rPr>
        <w:fldChar w:fldCharType="end"/>
      </w:r>
      <w:r w:rsidRPr="00B77A30">
        <w:rPr>
          <w:rFonts w:ascii="Book Antiqua" w:hAnsi="Book Antiqua" w:cs="Times New Roman"/>
          <w:sz w:val="24"/>
          <w:szCs w:val="24"/>
        </w:rPr>
        <w:t xml:space="preserve"> as meeting three out of five phenotypic criteria indicating compromised energetics: low grip strength, low energy, slowed waking speed, low physical activity, and/or unintentional weight loss.</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While frailty has not been widely evaluated in surgical patients, </w:t>
      </w:r>
      <w:proofErr w:type="spellStart"/>
      <w:r w:rsidRPr="00B77A30">
        <w:rPr>
          <w:rFonts w:ascii="Book Antiqua" w:hAnsi="Book Antiqua" w:cs="Times New Roman"/>
          <w:sz w:val="24"/>
          <w:szCs w:val="24"/>
        </w:rPr>
        <w:t>Makary</w:t>
      </w:r>
      <w:proofErr w:type="spellEnd"/>
      <w:r w:rsidRPr="00B77A30">
        <w:rPr>
          <w:rFonts w:ascii="Book Antiqua" w:hAnsi="Book Antiqua" w:cs="Times New Roman"/>
          <w:sz w:val="24"/>
          <w:szCs w:val="24"/>
        </w:rPr>
        <w:t xml:space="preserve"> and colleagues did report on the surgical outcomes of a large cohort of older patients in which frailty was assessed using a frailty scale based on the Fr</w:t>
      </w:r>
      <w:r w:rsidR="00170819" w:rsidRPr="00B77A30">
        <w:rPr>
          <w:rFonts w:ascii="Book Antiqua" w:hAnsi="Book Antiqua" w:cs="Times New Roman"/>
          <w:sz w:val="24"/>
          <w:szCs w:val="24"/>
        </w:rPr>
        <w:t xml:space="preserve">ied frailty phenotype (Table </w:t>
      </w:r>
      <w:r w:rsidR="00A0242D">
        <w:rPr>
          <w:rFonts w:ascii="Book Antiqua" w:hAnsi="Book Antiqua" w:cs="Times New Roman" w:hint="eastAsia"/>
          <w:sz w:val="24"/>
          <w:szCs w:val="24"/>
          <w:lang w:eastAsia="zh-CN"/>
        </w:rPr>
        <w:t>4</w:t>
      </w:r>
      <w:r w:rsidR="00170819" w:rsidRPr="00B77A30">
        <w:rPr>
          <w:rFonts w:ascii="Book Antiqua" w:hAnsi="Book Antiqua" w:cs="Times New Roman"/>
          <w:sz w:val="24"/>
          <w:szCs w:val="24"/>
        </w:rPr>
        <w:t>)</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"10.1016/j.jamcollsurg.2010.01.028", "ISSN" : "1879-1190", "PMID" : "20510798", "abstract" : "BACKGROUND: Preoperative risk assessment is important yet inexact in older patients because physiologic reserves are difficult to measure. Frailty is thought to estimate physiologic reserves, although its use has not been evaluated in surgical patients. We designed a study to determine if frailty predicts surgical complications and enhances current perioperative risk models.\n\nSTUDY DESIGN: We prospectively measured frailty in 594 patients (age 65 years or older) presenting to a university hospital for elective surgery between July 2005 and July 2006. Frailty was classified using a validated scale (0 to 5) that included weakness, weight loss, exhaustion, low physical activity, and slowed walking speed. Patients scoring 4 to 5 were classified as frail, 2 to 3 were intermediately frail, and 0 to 1 were nonfrail. Main outcomes measures were 30-day surgical complications, length of stay, and discharge disposition. Multiple logistic regression (complications and discharge) and negative binomial regression (length of stay) were done to analyze frailty and postoperative outcomes associations.\n\nRESULTS: Preoperative frailty was associated with an increased risk for postoperative complications (intermediately frail: odds ratio [OR] 2.06; 95% CI 1.18-3.60; frail: OR 2.54; 95% CI 1.12-5.77), length of stay (intermediately frail: incidence rate ratio 1.49; 95% CI 1.24-1.80; frail: incidence rate ratio 1.69; 95% CI 1.28-2.23), and discharge to a skilled or assisted-living facility after previously living at home (intermediately frail: OR 3.16; 95% CI 1.0-9.99; frail: OR 20.48; 95% CI 5.54-75.68). Frailty improved predictive power (p &lt; 0.01) of each risk index (ie, American Society of Anesthesiologists, Lee, and Eagle scores).\n\nCONCLUSIONS: Frailty independently predicts postoperative complications, length of stay, and discharge to a skilled or assisted-living facility in older surgical patients and enhances conventional risk models. Assessing frailty using a standardized definition can help patients and physicians make more informed decisions.", "author" : [ { "dropping-particle" : "", "family" : "Makary", "given" : "Martin A", "non-dropping-particle" : "", "parse-names" : false, "suffix" : "" }, { "dropping-particle" : "", "family" : "Segev", "given" : "Dorry L", "non-dropping-particle" : "", "parse-names" : false, "suffix" : "" }, { "dropping-particle" : "", "family" : "Pronovost", "given" : "Peter J", "non-dropping-particle" : "", "parse-names" : false, "suffix" : "" }, { "dropping-particle" : "", "family" : "Syin", "given" : "Dora", "non-dropping-particle" : "", "parse-names" : false, "suffix" : "" }, { "dropping-particle" : "", "family" : "Bandeen-Roche", "given" : "Karen", "non-dropping-particle" : "", "parse-names" : false, "suffix" : "" }, { "dropping-particle" : "", "family" : "Patel", "given" : "Purvi", "non-dropping-particle" : "", "parse-names" : false, "suffix" : "" }, { "dropping-particle" : "", "family" : "Takenaga", "given" : "Ryan", "non-dropping-particle" : "", "parse-names" : false, "suffix" : "" }, { "dropping-particle" : "", "family" : "Devgan", "given" : "Lara", "non-dropping-particle" : "", "parse-names" : false, "suffix" : "" }, { "dropping-particle" : "", "family" : "Holzmueller", "given" : "Christine G", "non-dropping-particle" : "", "parse-names" : false, "suffix" : "" }, { "dropping-particle" : "", "family" : "Tian", "given" : "Jing", "non-dropping-particle" : "", "parse-names" : false, "suffix" : "" }, { "dropping-particle" : "", "family" : "Fried", "given" : "Linda P", "non-dropping-particle" : "", "parse-names" : false, "suffix" : "" } ], "container-title" : "Journal of the American College of Surgeons", "id" : "ITEM-1", "issue" : "6", "issued" : { "date-parts" : [ [ "2010", "6" ] ] }, "page" : "901-8", "title" : "Frailty as a predictor of surgical outcomes in older patients.", "type" : "article-journal", "volume" : "210" }, "uris" : [ "http://www.mendeley.com/documents/?uuid=80a5f905-3fe1-402f-a20e-113c97eba28e" ] } ], "mendeley" : { "formattedCitation" : "&lt;sup&gt;[22]&lt;/sup&gt;", "plainTextFormattedCitation" : "[22]", "previouslyFormattedCitation" : "&lt;sup&gt;[22]&lt;/sup&gt;"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[22]</w:t>
      </w:r>
      <w:r w:rsidR="002D038D"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The authors reported that preoperative frailty was associated with an increased risk of postoperative complications.</w:t>
      </w:r>
      <w:r w:rsidR="000A0F89">
        <w:rPr>
          <w:rFonts w:ascii="Book Antiqua" w:hAnsi="Book Antiqua" w:cs="Times New Roman"/>
          <w:sz w:val="24"/>
          <w:szCs w:val="24"/>
        </w:rPr>
        <w:t xml:space="preserve"> </w:t>
      </w:r>
      <w:r w:rsidRPr="00B77A30">
        <w:rPr>
          <w:rFonts w:ascii="Book Antiqua" w:hAnsi="Book Antiqua" w:cs="Times New Roman"/>
          <w:sz w:val="24"/>
          <w:szCs w:val="24"/>
        </w:rPr>
        <w:t>Specifically, patients with moderate or severe frailty had roughl</w:t>
      </w:r>
      <w:r w:rsidR="00170819" w:rsidRPr="00B77A30">
        <w:rPr>
          <w:rFonts w:ascii="Book Antiqua" w:hAnsi="Book Antiqua" w:cs="Times New Roman"/>
          <w:sz w:val="24"/>
          <w:szCs w:val="24"/>
        </w:rPr>
        <w:t>y twice (moderate: OR</w:t>
      </w:r>
      <w:r w:rsidR="00170819" w:rsidRPr="00B77A30">
        <w:rPr>
          <w:rFonts w:ascii="Book Antiqua" w:hAnsi="Book Antiqua" w:cs="Times New Roman"/>
          <w:sz w:val="24"/>
          <w:szCs w:val="24"/>
          <w:lang w:eastAsia="zh-CN"/>
        </w:rPr>
        <w:t xml:space="preserve"> =</w:t>
      </w:r>
      <w:r w:rsidR="00170819" w:rsidRPr="00B77A30">
        <w:rPr>
          <w:rFonts w:ascii="Book Antiqua" w:hAnsi="Book Antiqua" w:cs="Times New Roman"/>
          <w:sz w:val="24"/>
          <w:szCs w:val="24"/>
        </w:rPr>
        <w:t xml:space="preserve"> 2.06, 95%</w:t>
      </w:r>
      <w:r w:rsidRPr="00B77A30">
        <w:rPr>
          <w:rFonts w:ascii="Book Antiqua" w:hAnsi="Book Antiqua" w:cs="Times New Roman"/>
          <w:sz w:val="24"/>
          <w:szCs w:val="24"/>
        </w:rPr>
        <w:t>CI</w:t>
      </w:r>
      <w:r w:rsidR="00170819"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1.18-3.6; severe: OR </w:t>
      </w:r>
      <w:r w:rsidR="00170819" w:rsidRPr="00B77A30">
        <w:rPr>
          <w:rFonts w:ascii="Book Antiqua" w:hAnsi="Book Antiqua" w:cs="Times New Roman"/>
          <w:sz w:val="24"/>
          <w:szCs w:val="24"/>
          <w:lang w:eastAsia="zh-CN"/>
        </w:rPr>
        <w:t xml:space="preserve">= </w:t>
      </w:r>
      <w:r w:rsidR="00170819" w:rsidRPr="00B77A30">
        <w:rPr>
          <w:rFonts w:ascii="Book Antiqua" w:hAnsi="Book Antiqua" w:cs="Times New Roman"/>
          <w:sz w:val="24"/>
          <w:szCs w:val="24"/>
        </w:rPr>
        <w:t>2.54, 95%</w:t>
      </w:r>
      <w:r w:rsidRPr="00B77A30">
        <w:rPr>
          <w:rFonts w:ascii="Book Antiqua" w:hAnsi="Book Antiqua" w:cs="Times New Roman"/>
          <w:sz w:val="24"/>
          <w:szCs w:val="24"/>
        </w:rPr>
        <w:t>CI</w:t>
      </w:r>
      <w:r w:rsidR="00170819"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1.12-5.77) the odds of </w:t>
      </w:r>
      <w:r w:rsidRPr="00B77A30">
        <w:rPr>
          <w:rFonts w:ascii="Book Antiqua" w:hAnsi="Book Antiqua" w:cs="Times New Roman"/>
          <w:sz w:val="24"/>
          <w:szCs w:val="24"/>
        </w:rPr>
        <w:lastRenderedPageBreak/>
        <w:t>complications compared with non-frail patients.</w:t>
      </w:r>
      <w:r w:rsidR="000A0F89">
        <w:rPr>
          <w:rFonts w:ascii="Book Antiqua" w:hAnsi="Book Antiqua" w:cs="Times New Roman"/>
          <w:sz w:val="24"/>
          <w:szCs w:val="24"/>
        </w:rPr>
        <w:t xml:space="preserve"> </w:t>
      </w:r>
      <w:r w:rsidRPr="00B77A30">
        <w:rPr>
          <w:rFonts w:ascii="Book Antiqua" w:hAnsi="Book Antiqua" w:cs="Times New Roman"/>
          <w:sz w:val="24"/>
          <w:szCs w:val="24"/>
        </w:rPr>
        <w:t>The authors also reported that frailty independently predicted length of stay with moderate or severe frailty having a 44%-53% and 65%-89%, respectively, longer hospital stays than non-frail patients.</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Of note, the power of frailty to predict worse outcomes was much higher than traditional </w:t>
      </w:r>
      <w:proofErr w:type="spellStart"/>
      <w:r w:rsidRPr="00B77A30">
        <w:rPr>
          <w:rFonts w:ascii="Book Antiqua" w:hAnsi="Book Antiqua" w:cs="Times New Roman"/>
          <w:sz w:val="24"/>
          <w:szCs w:val="24"/>
        </w:rPr>
        <w:t>peri</w:t>
      </w:r>
      <w:proofErr w:type="spellEnd"/>
      <w:r w:rsidRPr="00B77A30">
        <w:rPr>
          <w:rFonts w:ascii="Book Antiqua" w:hAnsi="Book Antiqua" w:cs="Times New Roman"/>
          <w:sz w:val="24"/>
          <w:szCs w:val="24"/>
        </w:rPr>
        <w:t>-operative assessments alone (Figure 2).</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These data emphasize how frailty adds valuable information to standard preoperative risk assessments, yet highlight how defining frailty in the </w:t>
      </w:r>
      <w:proofErr w:type="spellStart"/>
      <w:r w:rsidRPr="00B77A30">
        <w:rPr>
          <w:rFonts w:ascii="Book Antiqua" w:hAnsi="Book Antiqua" w:cs="Times New Roman"/>
          <w:sz w:val="24"/>
          <w:szCs w:val="24"/>
        </w:rPr>
        <w:t>peri</w:t>
      </w:r>
      <w:proofErr w:type="spellEnd"/>
      <w:r w:rsidRPr="00B77A30">
        <w:rPr>
          <w:rFonts w:ascii="Book Antiqua" w:hAnsi="Book Antiqua" w:cs="Times New Roman"/>
          <w:sz w:val="24"/>
          <w:szCs w:val="24"/>
        </w:rPr>
        <w:t xml:space="preserve">-operative period can be challenging. </w:t>
      </w:r>
    </w:p>
    <w:p w14:paraId="565AC5CA" w14:textId="6771E3E1" w:rsidR="005A19AC" w:rsidRPr="00B77A30" w:rsidRDefault="005A19AC" w:rsidP="00CB2DFE">
      <w:pPr>
        <w:spacing w:after="0" w:line="360" w:lineRule="auto"/>
        <w:ind w:firstLine="720"/>
        <w:jc w:val="both"/>
        <w:rPr>
          <w:rFonts w:ascii="Book Antiqua" w:hAnsi="Book Antiqua" w:cs="Times New Roman"/>
          <w:sz w:val="24"/>
          <w:szCs w:val="24"/>
        </w:rPr>
      </w:pPr>
      <w:r w:rsidRPr="00B77A30">
        <w:rPr>
          <w:rFonts w:ascii="Book Antiqua" w:hAnsi="Book Antiqua" w:cs="Times New Roman"/>
          <w:sz w:val="24"/>
          <w:szCs w:val="24"/>
        </w:rPr>
        <w:t>A full combined geriatric assessment (CGA) can take several hours and includes assessments such as activities of daily living (ADL), geriatric depression scor</w:t>
      </w:r>
      <w:r w:rsidR="00170819" w:rsidRPr="00B77A30">
        <w:rPr>
          <w:rFonts w:ascii="Book Antiqua" w:hAnsi="Book Antiqua" w:cs="Times New Roman"/>
          <w:sz w:val="24"/>
          <w:szCs w:val="24"/>
        </w:rPr>
        <w:t>es, and timed “up and go” tests</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"10.1016/j.jss.2014.07.004", "ISSN" : "1095-8673", "PMID" : "25091339", "abstract" : "BACKGROUND: The comprehensive geriatric assessment (CGA) has developed as an important prognostic tool to risk stratify older adults and has recently been applied to the surgical field. In this systematic review, we examined the utility of CGA components as predictors of adverse outcomes among geriatric patients undergoing major oncologic surgery.\n\nMATERIALS AND METHODS: MEDLINE, Embase, and the Cochrane Library were searched for prospective studies examining the association of components of the CGA with specific outcomes among geriatric patients undergoing elective oncologic surgery. Outcome parameters included 30-d postoperative complications (POC), mortality, and discharge to a nonhome institution.\n\nRESULTS: The initial search identified 178 potentially relevant articles, with six studies meeting inclusion criteria. Deficiencies in instrumental activities of daily living, activities of daily living, fatigue, cognition, frailty, and cognitive impairment were associated with increased POC. No CGA predictors were identified for postoperative mortality whereas frailty, deficiencies in instrumental activities of daily living, and depression predicted discharge to a nonhome institution.\n\nCONCLUSIONS: Across a variety of surgical oncologic populations and cancer types, components of the CGA appear to be predictive of POC and discharge to a nonhome institution. These results argue for inclusion of focused geriatric assessments as part of routine preoperative care in the geriatric surgical oncology population.", "author" : [ { "dropping-particle" : "", "family" : "Feng", "given" : "Megan A", "non-dropping-particle" : "", "parse-names" : false, "suffix" : "" }, { "dropping-particle" : "", "family" : "McMillan", "given" : "Daniel T", "non-dropping-particle" : "", "parse-names" : false, "suffix" : "" }, { "dropping-particle" : "", "family" : "Crowell", "given" : "Karen", "non-dropping-particle" : "", "parse-names" : false, "suffix" : "" }, { "dropping-particle" : "", "family" : "Muss", "given" : "Hyman", "non-dropping-particle" : "", "parse-names" : false, "suffix" : "" }, { "dropping-particle" : "", "family" : "Nielsen", "given" : "Matthew E", "non-dropping-particle" : "", "parse-names" : false, "suffix" : "" }, { "dropping-particle" : "", "family" : "Smith", "given" : "Angela B", "non-dropping-particle" : "", "parse-names" : false, "suffix" : "" } ], "container-title" : "The Journal of surgical research", "id" : "ITEM-1", "issue" : "1", "issued" : { "date-parts" : [ [ "2015", "1" ] ] }, "page" : "265-72", "title" : "Geriatric assessment in surgical oncology: a systematic review.", "type" : "article-journal", "volume" : "193" }, "uris" : [ "http://www.mendeley.com/documents/?uuid=80eb56cf-5bcf-4c59-a936-a8a7d03937eb" ] } ], "mendeley" : { "formattedCitation" : "&lt;sup&gt;[52]&lt;/sup&gt;", "plainTextFormattedCitation" : "[52]", "previouslyFormattedCitation" : "&lt;sup&gt;[52]&lt;/sup&gt;"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[52]</w:t>
      </w:r>
      <w:r w:rsidR="002D038D"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w:t>
      </w:r>
      <w:r w:rsidR="000A0F89">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Specifically, the risk of mortality among patients with frailty ranged from 1.1%-11.7%, with frail patients up to 12 times more likely to die compared with non-frail patients in a recent review on the use of </w:t>
      </w:r>
      <w:r w:rsidR="00170819" w:rsidRPr="00B77A30">
        <w:rPr>
          <w:rFonts w:ascii="Book Antiqua" w:hAnsi="Book Antiqua" w:cs="Times New Roman"/>
          <w:sz w:val="24"/>
          <w:szCs w:val="24"/>
        </w:rPr>
        <w:t>CGA in gastrointestinal surgery</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"10.1016/j.jss.2014.07.004", "ISSN" : "1095-8673", "PMID" : "25091339", "abstract" : "BACKGROUND: The comprehensive geriatric assessment (CGA) has developed as an important prognostic tool to risk stratify older adults and has recently been applied to the surgical field. In this systematic review, we examined the utility of CGA components as predictors of adverse outcomes among geriatric patients undergoing major oncologic surgery.\n\nMATERIALS AND METHODS: MEDLINE, Embase, and the Cochrane Library were searched for prospective studies examining the association of components of the CGA with specific outcomes among geriatric patients undergoing elective oncologic surgery. Outcome parameters included 30-d postoperative complications (POC), mortality, and discharge to a nonhome institution.\n\nRESULTS: The initial search identified 178 potentially relevant articles, with six studies meeting inclusion criteria. Deficiencies in instrumental activities of daily living, activities of daily living, fatigue, cognition, frailty, and cognitive impairment were associated with increased POC. No CGA predictors were identified for postoperative mortality whereas frailty, deficiencies in instrumental activities of daily living, and depression predicted discharge to a nonhome institution.\n\nCONCLUSIONS: Across a variety of surgical oncologic populations and cancer types, components of the CGA appear to be predictive of POC and discharge to a nonhome institution. These results argue for inclusion of focused geriatric assessments as part of routine preoperative care in the geriatric surgical oncology population.", "author" : [ { "dropping-particle" : "", "family" : "Feng", "given" : "Megan A", "non-dropping-particle" : "", "parse-names" : false, "suffix" : "" }, { "dropping-particle" : "", "family" : "McMillan", "given" : "Daniel T", "non-dropping-particle" : "", "parse-names" : false, "suffix" : "" }, { "dropping-particle" : "", "family" : "Crowell", "given" : "Karen", "non-dropping-particle" : "", "parse-names" : false, "suffix" : "" }, { "dropping-particle" : "", "family" : "Muss", "given" : "Hyman", "non-dropping-particle" : "", "parse-names" : false, "suffix" : "" }, { "dropping-particle" : "", "family" : "Nielsen", "given" : "Matthew E", "non-dropping-particle" : "", "parse-names" : false, "suffix" : "" }, { "dropping-particle" : "", "family" : "Smith", "given" : "Angela B", "non-dropping-particle" : "", "parse-names" : false, "suffix" : "" } ], "container-title" : "The Journal of surgical research", "id" : "ITEM-1", "issue" : "1", "issued" : { "date-parts" : [ [ "2015", "1" ] ] }, "page" : "265-72", "title" : "Geriatric assessment in surgical oncology: a systematic review.", "type" : "article-journal", "volume" : "193" }, "uris" : [ "http://www.mendeley.com/documents/?uuid=80eb56cf-5bcf-4c59-a936-a8a7d03937eb" ] } ], "mendeley" : { "formattedCitation" : "&lt;sup&gt;[52]&lt;/sup&gt;", "plainTextFormattedCitation" : "[52]", "previouslyFormattedCitation" : "&lt;sup&gt;[52]&lt;/sup&gt;"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[52]</w:t>
      </w:r>
      <w:r w:rsidR="002D038D"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Due to its time consuming nature, the National Cancer Institute and the National Institute of Aging recommends this scoring system only for patients with special ne</w:t>
      </w:r>
      <w:r w:rsidR="00170819" w:rsidRPr="00B77A30">
        <w:rPr>
          <w:rFonts w:ascii="Book Antiqua" w:hAnsi="Book Antiqua" w:cs="Times New Roman"/>
          <w:sz w:val="24"/>
          <w:szCs w:val="24"/>
        </w:rPr>
        <w:t>eds who are deemed at high risk</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"ISSN" : "0003-4819", "PMID" : "8417639", "abstract" : "For many older persons, hospitalization results in functional decline despite cure or repair of the condition for which they were admitted. Hospitalization can result in complications unrelated to the problem that caused admission or to its specific treatment for reasons that are explainable and avoidable. Usual aging is often associated with functional change, such as a decline in muscle strength and aerobic capacity; vasomotor instability; reduced bone density; diminished pulmonary ventilation; altered sensory continence, appetite, and thirst; and a tendency toward urinary incontinence. Hospitalization and bed rest superimpose factors such as enforced immobilization, reduction of plasma volume, accelerated bone loss, increased closing volume, and sensory deprivation. Any of these factors may thrust vulnerable older persons into a state of irreversible functional decline. The factors that contribute to a cascade to dependency are identifiable and can be avoided by modification of the usual acute hospital environment by deemphasizing bed rest, removing the hazard of the high hospital bed with rails, and actively facilitating ambulation and socialization. The relationships among physicians, nurses, and other health professionals must reflect the importance of interdisciplinary care and the implementation of shared objectives.", "author" : [ { "dropping-particle" : "", "family" : "Creditor", "given" : "M C", "non-dropping-particle" : "", "parse-names" : false, "suffix" : "" } ], "container-title" : "Annals of internal medicine", "id" : "ITEM-1", "issue" : "3", "issued" : { "date-parts" : [ [ "1993", "2", "1" ] ] }, "page" : "219-23", "title" : "Hazards of hospitalization of the elderly.", "type" : "article-journal", "volume" : "118" }, "uris" : [ "http://www.mendeley.com/documents/?uuid=385db3f1-fcc1-481a-b70d-22ca44d5624e" ] } ], "mendeley" : { "formattedCitation" : "&lt;sup&gt;[7]&lt;/sup&gt;", "plainTextFormattedCitation" : "[7]", "previouslyFormattedCitation" : "&lt;sup&gt;[7]&lt;/sup&gt;"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[7]</w:t>
      </w:r>
      <w:r w:rsidR="002D038D"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In addition to CGA, other parameters have been used to assess frailty and sarcopenia in older patients undergoing gastrointestinal surgery. For example</w:t>
      </w:r>
      <w:r w:rsidR="00170819" w:rsidRPr="00B77A30">
        <w:rPr>
          <w:rFonts w:ascii="Book Antiqua" w:hAnsi="Book Antiqua" w:cs="Times New Roman"/>
          <w:sz w:val="24"/>
          <w:szCs w:val="24"/>
        </w:rPr>
        <w:t>, in a large cohort study of 76</w:t>
      </w:r>
      <w:r w:rsidRPr="00B77A30">
        <w:rPr>
          <w:rFonts w:ascii="Book Antiqua" w:hAnsi="Book Antiqua" w:cs="Times New Roman"/>
          <w:sz w:val="24"/>
          <w:szCs w:val="24"/>
        </w:rPr>
        <w:t xml:space="preserve">106 patients from the NSQIP database, </w:t>
      </w:r>
      <w:proofErr w:type="spellStart"/>
      <w:r w:rsidRPr="00B77A30">
        <w:rPr>
          <w:rFonts w:ascii="Book Antiqua" w:hAnsi="Book Antiqua" w:cs="Times New Roman"/>
          <w:sz w:val="24"/>
          <w:szCs w:val="24"/>
        </w:rPr>
        <w:t>Amrock</w:t>
      </w:r>
      <w:proofErr w:type="spellEnd"/>
      <w:r w:rsidRPr="00B77A30">
        <w:rPr>
          <w:rFonts w:ascii="Book Antiqua" w:hAnsi="Book Antiqua" w:cs="Times New Roman"/>
          <w:sz w:val="24"/>
          <w:szCs w:val="24"/>
        </w:rPr>
        <w:t xml:space="preserve"> </w:t>
      </w:r>
      <w:r w:rsidRPr="00B77A30">
        <w:rPr>
          <w:rFonts w:ascii="Book Antiqua" w:hAnsi="Book Antiqua" w:cs="Times New Roman"/>
          <w:i/>
          <w:sz w:val="24"/>
          <w:szCs w:val="24"/>
        </w:rPr>
        <w:t>et al</w:t>
      </w:r>
      <w:r w:rsidR="00170819" w:rsidRPr="00B77A30">
        <w:rPr>
          <w:rFonts w:ascii="Book Antiqua" w:hAnsi="Book Antiqua" w:cs="Times New Roman"/>
          <w:sz w:val="24"/>
          <w:szCs w:val="24"/>
        </w:rPr>
        <w:fldChar w:fldCharType="begin" w:fldLock="1"/>
      </w:r>
      <w:r w:rsidR="00170819" w:rsidRPr="00B77A30">
        <w:rPr>
          <w:rFonts w:ascii="Book Antiqua" w:hAnsi="Book Antiqua" w:cs="Times New Roman"/>
          <w:sz w:val="24"/>
          <w:szCs w:val="24"/>
        </w:rPr>
        <w:instrText>ADDIN CSL_CITATION { "citationItems" : [ { "id" : "ITEM-1", "itemData" : { "DOI" : "10.1016/j.jamcollsurg.2014.04.018", "ISSN" : "1879-1190", "PMID" : "25154667", "abstract" : "BACKGROUND: Frailty has emerged as an important predictor of operative risk among elderly surgical patients. However, the complexity of prospective frailty scores has limited their widespread use. Our goal was to develop two frailty-based surgical risk models using only routine preoperative data. Our hypothesis was that these models could easily integrate into an electronic medical record to predict 30-day morbidity and mortality.\n\nSTUDY DESIGN: American College of Surgeons NSQIP Participant Use Data Files from 2005 to 2010 were reviewed, and patients 65 years and older who underwent elective lower gastrointestinal surgery were identified. Two multivariate logistic regression models were constructed and internally cross-validated. The first included simple functional data, a comorbidity index based on the Charlson Comorbidity Index, demographics, BMI, and laboratory data (ie, albumin &lt;3.4 g/dL, hematocrit &lt;35%, and creatinine &gt;2 mg/dL). The second model contained only parameters that can directly autopopulate from an electronic medical record (ie, demographics, laboratory data, BMI, and American Society of Anesthesiologists score). To assess diagnostic accuracy, receiver operating characteristic curves were constructed.\n\nRESULTS: There were 76,106 patients who met criteria for inclusion. Thirty-day mortality was seen in 2,853 patients or 3.7% of the study population and 18,436 patients (24.2%) experienced a major complication. The c-statistic of the first expanded model was 0.813 for mortality and 0.629 for morbidity. The second simplified model had a c-statistic of 0.795 for mortality and 0.621 for morbidity. Both models were well calibrated per the Hosmer-Lemeshow test.\n\nCONCLUSIONS: Our work demonstrates that routine preoperative data can approximate frailty and predict geriatric-specific surgical risk. The models' predicative powers were comparable with that of established prospective frailty scores. Our calculator could be used as a low-cost simple screen for high-risk individuals who might require additional evaluation or specialized services.", "author" : [ { "dropping-particle" : "", "family" : "Amrock", "given" : "Levana G", "non-dropping-particle" : "", "parse-names" : false, "suffix" : "" }, { "dropping-particle" : "", "family" : "Neuman", "given" : "Mark D", "non-dropping-particle" : "", "parse-names" : false, "suffix" : "" }, { "dropping-particle" : "", "family" : "Lin", "given" : "Hung-Mo", "non-dropping-particle" : "", "parse-names" : false, "suffix" : "" }, { "dropping-particle" : "", "family" : "Deiner", "given" : "Stacie", "non-dropping-particle" : "", "parse-names" : false, "suffix" : "" } ], "container-title" : "Journal of the American College of Surgeons", "id" : "ITEM-1", "issue" : "4", "issued" : { "date-parts" : [ [ "2014", "10" ] ] }, "page" : "684-94", "title" : "Can routine preoperative data predict adverse outcomes in the elderly? Development and validation of a simple risk model incorporating a chart-derived frailty score.", "type" : "article-journal", "volume" : "219" }, "uris" : [ "http://www.mendeley.com/documents/?uuid=9c5a4cd5-648a-47a8-9c71-3c9cd7a1ec73" ] } ], "mendeley" : { "formattedCitation" : "&lt;sup&gt;[53]&lt;/sup&gt;", "plainTextFormattedCitation" : "[53]", "previouslyFormattedCitation" : "&lt;sup&gt;[53]&lt;/sup&gt;" }, "properties" : { "noteIndex" : 0 }, "schema" : "https://github.com/citation-style-language/schema/raw/master/csl-citation.json" }</w:instrText>
      </w:r>
      <w:r w:rsidR="00170819" w:rsidRPr="00B77A30">
        <w:rPr>
          <w:rFonts w:ascii="Book Antiqua" w:hAnsi="Book Antiqua" w:cs="Times New Roman"/>
          <w:sz w:val="24"/>
          <w:szCs w:val="24"/>
        </w:rPr>
        <w:fldChar w:fldCharType="separate"/>
      </w:r>
      <w:r w:rsidR="00170819" w:rsidRPr="00B77A30">
        <w:rPr>
          <w:rFonts w:ascii="Book Antiqua" w:hAnsi="Book Antiqua" w:cs="Times New Roman"/>
          <w:noProof/>
          <w:sz w:val="24"/>
          <w:szCs w:val="24"/>
          <w:vertAlign w:val="superscript"/>
        </w:rPr>
        <w:t>[53]</w:t>
      </w:r>
      <w:r w:rsidR="00170819" w:rsidRPr="00B77A30">
        <w:rPr>
          <w:rFonts w:ascii="Book Antiqua" w:hAnsi="Book Antiqua" w:cs="Times New Roman"/>
          <w:sz w:val="24"/>
          <w:szCs w:val="24"/>
        </w:rPr>
        <w:fldChar w:fldCharType="end"/>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reported that preoperative impaired cognition, low albumin level, previous falls, low hematocrit levels and a high prevalence of comorbidities were associated with an increased 6 </w:t>
      </w:r>
      <w:proofErr w:type="spellStart"/>
      <w:r w:rsidRPr="00B77A30">
        <w:rPr>
          <w:rFonts w:ascii="Book Antiqua" w:hAnsi="Book Antiqua" w:cs="Times New Roman"/>
          <w:sz w:val="24"/>
          <w:szCs w:val="24"/>
        </w:rPr>
        <w:t>mo</w:t>
      </w:r>
      <w:proofErr w:type="spellEnd"/>
      <w:r w:rsidRPr="00B77A30">
        <w:rPr>
          <w:rFonts w:ascii="Book Antiqua" w:hAnsi="Book Antiqua" w:cs="Times New Roman"/>
          <w:sz w:val="24"/>
          <w:szCs w:val="24"/>
        </w:rPr>
        <w:t xml:space="preserve"> mortality and post discharge institutionalization among older patients underg</w:t>
      </w:r>
      <w:r w:rsidR="001F26E9" w:rsidRPr="00B77A30">
        <w:rPr>
          <w:rFonts w:ascii="Book Antiqua" w:hAnsi="Book Antiqua" w:cs="Times New Roman"/>
          <w:sz w:val="24"/>
          <w:szCs w:val="24"/>
        </w:rPr>
        <w:t>oing major abdominal operations</w:t>
      </w:r>
      <w:r w:rsidRPr="00B77A30">
        <w:rPr>
          <w:rFonts w:ascii="Book Antiqua" w:hAnsi="Book Antiqua" w:cs="Times New Roman"/>
          <w:sz w:val="24"/>
          <w:szCs w:val="24"/>
        </w:rPr>
        <w:fldChar w:fldCharType="begin">
          <w:fldData xml:space="preserve">PEVuZE5vdGU+PENpdGU+PEF1dGhvcj5BbXJvY2s8L0F1dGhvcj48WWVhcj4yMDE0PC9ZZWFyPjxS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</w:fldData>
        </w:fldChar>
      </w:r>
      <w:r w:rsidRPr="00B77A30">
        <w:rPr>
          <w:rFonts w:ascii="Book Antiqua" w:hAnsi="Book Antiqua" w:cs="Times New Roman"/>
          <w:sz w:val="24"/>
          <w:szCs w:val="24"/>
        </w:rPr>
        <w:instrText xml:space="preserve"> ADDIN EN.CITE </w:instrText>
      </w:r>
      <w:r w:rsidRPr="00B77A30">
        <w:rPr>
          <w:rFonts w:ascii="Book Antiqua" w:hAnsi="Book Antiqua" w:cs="Times New Roman"/>
          <w:sz w:val="24"/>
          <w:szCs w:val="24"/>
        </w:rPr>
        <w:fldChar w:fldCharType="begin">
          <w:fldData xml:space="preserve">PEVuZE5vdGU+PENpdGU+PEF1dGhvcj5BbXJvY2s8L0F1dGhvcj48WWVhcj4yMDE0PC9ZZWFyPjxS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</w:fldData>
        </w:fldChar>
      </w:r>
      <w:r w:rsidRPr="00B77A30">
        <w:rPr>
          <w:rFonts w:ascii="Book Antiqua" w:hAnsi="Book Antiqua" w:cs="Times New Roman"/>
          <w:sz w:val="24"/>
          <w:szCs w:val="24"/>
        </w:rPr>
        <w:instrText xml:space="preserve"> ADDIN EN.CITE.DATA </w:instrText>
      </w:r>
      <w:r w:rsidRPr="00B77A30">
        <w:rPr>
          <w:rFonts w:ascii="Book Antiqua" w:hAnsi="Book Antiqua" w:cs="Times New Roman"/>
          <w:sz w:val="24"/>
          <w:szCs w:val="24"/>
        </w:rPr>
      </w:r>
      <w:r w:rsidRPr="00B77A30">
        <w:rPr>
          <w:rFonts w:ascii="Book Antiqua" w:hAnsi="Book Antiqua" w:cs="Times New Roman"/>
          <w:sz w:val="24"/>
          <w:szCs w:val="24"/>
        </w:rPr>
        <w:fldChar w:fldCharType="end"/>
      </w:r>
      <w:r w:rsidRPr="00B77A30">
        <w:rPr>
          <w:rFonts w:ascii="Book Antiqua" w:hAnsi="Book Antiqua" w:cs="Times New Roman"/>
          <w:sz w:val="24"/>
          <w:szCs w:val="24"/>
        </w:rPr>
      </w:r>
      <w:r w:rsidRPr="00B77A30">
        <w:rPr>
          <w:rFonts w:ascii="Book Antiqua" w:hAnsi="Book Antiqua" w:cs="Times New Roman"/>
          <w:sz w:val="24"/>
          <w:szCs w:val="24"/>
        </w:rPr>
        <w:fldChar w:fldCharType="end"/>
      </w:r>
      <w:r w:rsidRPr="00B77A30">
        <w:rPr>
          <w:rFonts w:ascii="Book Antiqua" w:hAnsi="Book Antiqua" w:cs="Times New Roman"/>
          <w:sz w:val="24"/>
          <w:szCs w:val="24"/>
        </w:rPr>
        <w:t>. While the authors concluded that preoperative data could help define frailty and predict the geriatric-specific surgical risk, the study failed to provide a clear definition for frailty in gastrointestinal surgical patients.</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Other studies have suggested that the </w:t>
      </w:r>
      <w:proofErr w:type="spellStart"/>
      <w:r w:rsidRPr="00B77A30">
        <w:rPr>
          <w:rFonts w:ascii="Book Antiqua" w:hAnsi="Book Antiqua" w:cs="Times New Roman"/>
          <w:sz w:val="24"/>
          <w:szCs w:val="24"/>
        </w:rPr>
        <w:t>Charlson</w:t>
      </w:r>
      <w:proofErr w:type="spellEnd"/>
      <w:r w:rsidRPr="00B77A30">
        <w:rPr>
          <w:rFonts w:ascii="Book Antiqua" w:hAnsi="Book Antiqua" w:cs="Times New Roman"/>
          <w:sz w:val="24"/>
          <w:szCs w:val="24"/>
        </w:rPr>
        <w:t xml:space="preserve"> index, timed “up and go” tests, Katz score or the Mini cog score, as well as serum albumin levels below 3.4 g/</w:t>
      </w:r>
      <w:proofErr w:type="spellStart"/>
      <w:r w:rsidRPr="00B77A30">
        <w:rPr>
          <w:rFonts w:ascii="Book Antiqua" w:hAnsi="Book Antiqua" w:cs="Times New Roman"/>
          <w:sz w:val="24"/>
          <w:szCs w:val="24"/>
        </w:rPr>
        <w:t>dL</w:t>
      </w:r>
      <w:proofErr w:type="spellEnd"/>
      <w:r w:rsidRPr="00B77A30">
        <w:rPr>
          <w:rFonts w:ascii="Book Antiqua" w:hAnsi="Book Antiqua" w:cs="Times New Roman"/>
          <w:sz w:val="24"/>
          <w:szCs w:val="24"/>
        </w:rPr>
        <w:t xml:space="preserve"> and the Braden score all may be associa</w:t>
      </w:r>
      <w:r w:rsidR="00170819" w:rsidRPr="00B77A30">
        <w:rPr>
          <w:rFonts w:ascii="Book Antiqua" w:hAnsi="Book Antiqua" w:cs="Times New Roman"/>
          <w:sz w:val="24"/>
          <w:szCs w:val="24"/>
        </w:rPr>
        <w:t>ted with postoperative outcomes</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"10.1016/j.amjsurg.2013.03.012", "ISSN" : "1879-1883", "PMID" : "23880071", "abstract" : "BACKGROUND: Our purpose was to determine the relationship between preoperative frailty and the occurrence of postoperative complications after colorectal and cardiac operations.\n\nMETHODS: Patients 65 years or older undergoing elective colorectal or cardiac surgery were enrolled. Seven baseline frailty traits were measured preoperatively: Katz score less than or equal to\u00a05, Timed Up and Go test greater than or equal to 15 seconds, Charlson Index greater than or equal to 3, anemia less than 35%, Mini-Cog score less than or equal to 3, albumin less than 3.4 g/dL, and 1 or more falls within 6 months. Patients were categorized by the number of positive traits as follows: nonfrail: 0 to 1 traits, prefrail: 2 to 3 traits, and frail: 4 or more traits.\n\nRESULTS: Two hundred one subjects (age 74 \u00b1 6 years) were studied. Preoperative frailty was associated with increased postoperative complications after colorectal (nonfrail: 21%, prefrail: 40%, frail: 58%; P = .016) and cardiac operations (nonfrail: 17%, prefrail: 28%, frail: 56%; P &lt; .001). This finding in both groups was independent of advancing age. Frail individuals in both groups had longer hospital stays and higher 30-day readmission rates. Receiver operating characteristic curves examining frailty's ability to forecast complications were colorectal (.702, P = .004) and cardiac (.711, P &lt; .001).\n\nCONCLUSIONS: A simple preoperative frailty score defines older adults at higher risk for postoperative complications across surgical specialties.", "author" : [ { "dropping-particle" : "", "family" : "Robinson", "given" : "Thomas N", "non-dropping-particle" : "", "parse-names" : false, "suffix" : "" }, { "dropping-particle" : "", "family" : "Wu", "given" : "Daniel S", "non-dropping-particle" : "", "parse-names" : false, "suffix" : "" }, { "dropping-particle" : "", "family" : "Pointer", "given" : "Lauren", "non-dropping-particle" : "", "parse-names" : false, "suffix" : "" }, { "dropping-particle" : "", "family" : "Dunn", "given" : "Christina L", "non-dropping-particle" : "", "parse-names" : false, "suffix" : "" }, { "dropping-particle" : "", "family" : "Cleveland", "given" : "Joseph C", "non-dropping-particle" : "", "parse-names" : false, "suffix" : "" }, { "dropping-particle" : "", "family" : "Moss", "given" : "Marc", "non-dropping-particle" : "", "parse-names" : false, "suffix" : "" } ], "container-title" : "American journal of surgery", "id" : "ITEM-1", "issue" : "4", "issued" : { "date-parts" : [ [ "2013", "10" ] ] }, "page" : "544-50", "title" : "Simple frailty score predicts postoperative complications across surgical specialties.", "type" : "article-journal", "volume" : "206" }, "uris" : [ "http://www.mendeley.com/documents/?uuid=6e96e77b-58fe-439c-8a04-f89b0e68cf5b" ] }, { "id" : "ITEM-2", "itemData" : { "DOI" : "10.1001/jamasurg.2014.241", "ISSN" : "2168-6262", "PMID" : "24804971", "abstract" : "IMPORTANCE: The number of geriatric patients who undergo surgery has been increasing, but there are insufficient tools to predict postoperative outcomes in the elderly.\n\nOBJECTIVE: To design a predictive model for adverse outcomes in older surgical patients.\n\nDESIGN, SETTING, AND PARTICIPANTS: From October 19, 2011, to July 31, 2012, a single tertiary care center enrolled 275 consecutive elderly patients (aged \u226565 years) undergoing intermediate-risk or high-risk elective operations in the Department of Surgery.\n\nMAIN OUTCOMES AND MEASURES: The primary outcome was the 1-year all-cause mortality rate. The secondary outcomes were postoperative complications (eg, pneumonia, urinary tract infection, delirium, acute pulmonary thromboembolism, and unplanned intensive care unit admission), length of hospital stay, and discharge to nursing facility.\n\nRESULTS: Twenty-five patients (9.1%) died during the follow-up period (median [interquartile range], 13.3 [11.5-16.1] months), including 4 in-hospital deaths after surgery. Twenty-nine patients (10.5%) experienced at least 1 complication after surgery and 24 (8.7%) were discharged to nursing facilities. Malignant disease and low serum albumin levels were more common in the patients who died. Among the geriatric assessment domains, Charlson Comorbidity Index, dependence in activities of daily living, dependence in instrumental activities of daily living, dementia, risk of delirium, short midarm circumference, and malnutrition were associated with increased mortality rates. A multidimensional frailty score model composed of the above items predicted all-cause mortality rates more accurately than the American Society of Anesthesiologists classification (area under the receiver operating characteristic curve, 0.821 vs 0.647; P\u2009=\u2009.01). The sensitivity and specificity for predicting all-cause mortality rates were 84.0% and 69.2%, respectively, according to the model's cutoff point (&gt;5 vs \u22645). High-risk patients (multidimensional frailty score &gt;5) showed increased postoperative mortality risk (hazard ratio, 9.01; 95% CI, 2.15-37.78; P\u2009=\u2009.003) and longer hospital stays after surgery (median [interquartile range], 9 [5-15] vs 6 [3-9] days; P\u2009&lt;\u2009.001).\n\nCONCLUSIONS AND RELEVANCE: The multidimensional frailty score based on comprehensive geriatric assessment is more useful than conventional methods for predicting outcomes in geriatric patients undergoing surgery.", "author" : [ { "dropping-particle" : "", "family" : "Kim", "given" : "Sun-wook", "non-dropping-particle" : "", "parse-names" : false, "suffix" : "" }, { "dropping-particle" : "", "family" : "Han", "given" : "Ho-Seong", "non-dropping-particle" : "", "parse-names" : false, "suffix" : "" }, { "dropping-particle" : "", "family" : "Jung", "given" : "Hee-won", "non-dropping-particle" : "", "parse-names" : false, "suffix" : "" }, { "dropping-particle" : "", "family" : "Kim", "given" : "Kwang-il", "non-dropping-particle" : "", "parse-names" : false, "suffix" : "" }, { "dropping-particle" : "", "family" : "Hwang", "given" : "Dae Wook", "non-dropping-particle" : "", "parse-names" : false, "suffix" : "" }, { "dropping-particle" : "", "family" : "Kang", "given" : "Sung-Bum", "non-dropping-particle" : "", "parse-names" : false, "suffix" : "" }, { "dropping-particle" : "", "family" : "Kim", "given" : "Cheol-Ho", "non-dropping-particle" : "", "parse-names" : false, "suffix" : "" } ], "container-title" : "JAMA surgery", "id" : "ITEM-2", "issue" : "7", "issued" : { "date-parts" : [ [ "2014", "7" ] ] }, "page" : "633-40", "title" : "Multidimensional frailty score for the prediction of postoperative mortality risk.", "type" : "article-journal", "volume" : "149" }, "uris" : [ "http://www.mendeley.com/documents/?uuid=9579a7f1-1dbf-4e21-a46f-df45d2b8458c" ] }, { "id" : "ITEM-3", "itemData" : { "DOI" : "10.1111/j.1532-5415.2012.04109.x", "ISSN" : "1532-5415", "PMID" : "22906222", "abstract" : "OBJECTIVES: To determine whether readily collected perioperative information might identify older surgical patients at higher risk of complications.\n\nDESIGN: Retrospective cohort study.\n\nSETTING: Medical chart review at a single academic institution.\n\nPARTICIPANTS: One hundred two individuals aged 65 and older who underwent abdominal surgery between January 2007 and December 2009.\n\nMEASUREMENTS: Primary predictor variables were first postoperative Braden Scale score (within 24 hours of surgery) and a Deficit Accumulation Index (DAI) constructed based on 39 available preoperative variables. The primary outcome was presence or absence of complication within 30 days of surgery.\n\nRESULTS: Of 102 patients, 64 experienced at least one complication, with wound infection being the most common. In models adjusted for age, race, sex, and open versus laparoscopic surgery, lower Braden Scale scores were predictive of 30-day postoperative complication (odds ratio (OR) = 1.30, 95% confidence interval (CI) = 1.06-1.60), longer length of stay (\u03b2 = 1.44 (0.25) days; P \u2264 .001), and discharge to an institution rather than home (OR = 1.23, 95% CI = 1.02-1.48). The cut-off value for the Braden score with the highest predictive value for complication was \u2264 18 (OR = 3.63, 95% CI = 1.43-9.19; c statistic 0.744). The DAI and several traditional surgical risk factors were not significantly associated with 30-day postoperative complications.\n\nCONCLUSION: This is the first study to identify the perioperative Braden Scale score, a widely used risk-stratifier for pressure ulcers, as an independent predictor of other adverse outcomes in geriatric surgical patients. Further studies are needed to confirm this finding and to investigate other uses for this tool, which correlates well to phenotypic models of frailty.", "author" : [ { "dropping-particle" : "", "family" : "Cohen", "given" : "Rachel-Rose", "non-dropping-particle" : "", "parse-names" : false, "suffix" : "" }, { "dropping-particle" : "", "family" : "Lagoo-Deenadayalan", "given" : "Sandhya A", "non-dropping-particle" : "", "parse-names" : false, "suffix" : "" }, { "dropping-particle" : "", "family" : "Heflin", "given" : "Mitchell T", "non-dropping-particle" : "", "parse-names" : false, "suffix" : "" }, { "dropping-particle" : "", "family" : "Sloane", "given" : "Richard", "non-dropping-particle" : "", "parse-names" : false, "suffix" : "" }, { "dropping-particle" : "", "family" : "Eisen", "given" : "Irvin", "non-dropping-particle" : "", "parse-names" : false, "suffix" : "" }, { "dropping-particle" : "", "family" : "Thacker", "given" : "Julie M", "non-dropping-particle" : "", "parse-names" : false, "suffix" : "" }, { "dropping-particle" : "", "family" : "Whitson", "given" : "Heather E", "non-dropping-particle" : "", "parse-names" : false, "suffix" : "" } ], "container-title" : "Journal of the American Geriatrics Society", "id" : "ITEM-3", "issue" : "9", "issued" : { "date-parts" : [ [ "2012", "9" ] ] }, "page" : "1609-15", "title" : "Exploring predictors of complication in older surgical patients: a deficit accumulation index and the Braden Scale.", "type" : "article-journal", "volume" : "60" }, "uris" : [ "http://www.mendeley.com/documents/?uuid=a0d2b292-007d-4152-a0ad-fa04e5cab167" ] } ], "mendeley" : { "formattedCitation" : "&lt;sup&gt;[28,54,55]&lt;/sup&gt;", "plainTextFormattedCitation" : "[28,54,55]", "previouslyFormattedCitation" : "&lt;sup&gt;[28,54,55]&lt;/sup&gt;"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[28,54,55]</w:t>
      </w:r>
      <w:r w:rsidR="002D038D"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Each of these parameters has not been shown, however, to improve the risk prediction compared with the Fried Frailty Phenotype when used alone. </w:t>
      </w:r>
    </w:p>
    <w:p w14:paraId="7362B59D" w14:textId="26A612B7" w:rsidR="005A19AC" w:rsidRPr="00B77A30" w:rsidRDefault="005A19AC" w:rsidP="00CB2DFE">
      <w:pPr>
        <w:spacing w:after="0" w:line="360" w:lineRule="auto"/>
        <w:ind w:firstLine="720"/>
        <w:jc w:val="both"/>
        <w:rPr>
          <w:rFonts w:ascii="Book Antiqua" w:hAnsi="Book Antiqua" w:cs="Times New Roman"/>
          <w:sz w:val="24"/>
          <w:szCs w:val="24"/>
        </w:rPr>
      </w:pPr>
      <w:r w:rsidRPr="00B77A30">
        <w:rPr>
          <w:rFonts w:ascii="Book Antiqua" w:hAnsi="Book Antiqua" w:cs="Times New Roman"/>
          <w:sz w:val="24"/>
          <w:szCs w:val="24"/>
        </w:rPr>
        <w:t xml:space="preserve">Sarcopenia has been proposed as another means to assess frailty. In fact, when Fried </w:t>
      </w:r>
      <w:r w:rsidRPr="00B77A30">
        <w:rPr>
          <w:rFonts w:ascii="Book Antiqua" w:hAnsi="Book Antiqua" w:cs="Times New Roman"/>
          <w:i/>
          <w:sz w:val="24"/>
          <w:szCs w:val="24"/>
        </w:rPr>
        <w:t>et al</w:t>
      </w:r>
      <w:r w:rsidR="004F24F1" w:rsidRPr="00B77A30">
        <w:rPr>
          <w:rFonts w:ascii="Book Antiqua" w:hAnsi="Book Antiqua" w:cs="Times New Roman"/>
          <w:sz w:val="24"/>
          <w:szCs w:val="24"/>
        </w:rPr>
        <w:fldChar w:fldCharType="begin" w:fldLock="1"/>
      </w:r>
      <w:r w:rsidR="004F24F1" w:rsidRPr="00B77A30">
        <w:rPr>
          <w:rFonts w:ascii="Book Antiqua" w:hAnsi="Book Antiqua" w:cs="Times New Roman"/>
          <w:sz w:val="24"/>
          <w:szCs w:val="24"/>
        </w:rPr>
        <w:instrText>ADDIN CSL_CITATION { "citationItems" : [ { "id" : "ITEM-1", "itemData" : { "ISSN" : "1079-5006", "PMID" : "11253156", "abstract" : "BACKGROUND: Frailty is considered highly prevalent in old age and to confer high risk for falls, disability, hospitalization, and mortality. Frailty has been considered synonymous with disability, comorbidity, and other characteristics, but it is recognized that it may have a biologic basis and be a distinct clinical syndrome. A standardized definition has not yet been established.\n\nMETHODS: To develop and operationalize a phenotype of frailty in older adults and assess concurrent and predictive validity, the study used data from the Cardiovascular Health Study. Participants were 5,317 men and women 65 years and older (4,735 from an original cohort recruited in 1989-90 and 582 from an African American cohort recruited in 1992-93). Both cohorts received almost identical baseline evaluations and 7 and 4 years of follow-up, respectively, with annual examinations and surveillance for outcomes including incident disease, hospitalization, falls, disability, and mortality.\n\nRESULTS: Frailty was defined as a clinical syndrome in which three or more of the following criteria were present: unintentional weight loss (10 lbs in past year), self-reported exhaustion, weakness (grip strength), slow walking speed, and low physical activity. The overall prevalence of frailty in this community-dwelling population was 6.9%; it increased with age and was greater in women than men. Four-year incidence was 7.2%. Frailty was associated with being African American, having lower education and income, poorer health, and having higher rates of comorbid chronic diseases and disability. There was overlap, but not concordance, in the cooccurrence of frailty, comorbidity, and disability. This frailty phenotype was independently predictive (over 3 years) of incident falls, worsening mobility or ADL disability, hospitalization, and death, with hazard ratios ranging from 1.82 to 4.46, unadjusted, and 1.29-2.24, adjusted for a number of health, disease, and social characteristics predictive of 5-year mortality. Intermediate frailty status, as indicated by the presence of one or two criteria, showed intermediate risk of these outcomes as well as increased risk of becoming frail over 3-4 years of follow-up (odds ratios for incident frailty = 4.51 unadjusted and 2.63 adjusted for covariates, compared to those with no frailty criteria at baseline).\n\nCONCLUSIONS: This study provides a potential standardized definition for frailty in community-dwelling older adults and offers concurrent and pr\u2026", "author" : [ { "dropping-particle" : "", "family" : "Fried", "given" : "L P", "non-dropping-particle" : "", "parse-names" : false, "suffix" : "" }, { "dropping-particle" : "", "family" : "Tangen", "given" : "C M", "non-dropping-particle" : "", "parse-names" : false, "suffix" : "" }, { "dropping-particle" : "", "family" : "Walston", "given" : "J", "non-dropping-particle" : "", "parse-names" : false, "suffix" : "" }, { "dropping-particle" : "", "family" : "Newman", "given" : "A B", "non-dropping-particle" : "", "parse-names" : false, "suffix" : "" }, { "dropping-particle" : "", "family" : "Hirsch", "given" : "C", "non-dropping-particle" : "", "parse-names" : false, "suffix" : "" }, { "dropping-particle" : "", "family" : "Gottdiener", "given" : "J", "non-dropping-particle" : "", "parse-names" : false, "suffix" : "" }, { "dropping-particle" : "", "family" : "Seeman", "given" : "T", "non-dropping-particle" : "", "parse-names" : false, "suffix" : "" }, { "dropping-particle" : "", "family" : "Tracy", "given" : "R", "non-dropping-particle" : "", "parse-names" : false, "suffix" : "" }, { "dropping-particle" : "", "family" : "Kop", "given" : "W J", "non-dropping-particle" : "", "parse-names" : false, "suffix" : "" }, { "dropping-particle" : "", "family" : "Burke", "given" : "G", "non-dropping-particle" : "", "parse-names" : false, "suffix" : "" }, { "dropping-particle" : "", "family" : "McBurnie", "given" : "M A", "non-dropping-particle" : "", "parse-names" : false, "suffix" : "" } ], "container-title" : "The journals of gerontology. Series A, Biological sciences and medical sciences", "id" : "ITEM-1", "issue" : "3", "issued" : { "date-parts" : [ [ "2001", "3" ] ] }, "page" : "M146-56", "title" : "Frailty in older adults: evidence for a phenotype.", "type" : "article-journal", "volume" : "56" }, "uris" : [ "http://www.mendeley.com/documents/?uuid=63b2051d-83ea-4d40-9434-b93bd25ad4e4" ] } ], "mendeley" : { "formattedCitation" : "&lt;sup&gt;[20]&lt;/sup&gt;", "plainTextFormattedCitation" : "[20]", "previouslyFormattedCitation" : "&lt;sup&gt;[20]&lt;/sup&gt;" }, "properties" : { "noteIndex" : 0 }, "schema" : "https://github.com/citation-style-language/schema/raw/master/csl-citation.json" }</w:instrText>
      </w:r>
      <w:r w:rsidR="004F24F1" w:rsidRPr="00B77A30">
        <w:rPr>
          <w:rFonts w:ascii="Book Antiqua" w:hAnsi="Book Antiqua" w:cs="Times New Roman"/>
          <w:sz w:val="24"/>
          <w:szCs w:val="24"/>
        </w:rPr>
        <w:fldChar w:fldCharType="separate"/>
      </w:r>
      <w:r w:rsidR="004F24F1" w:rsidRPr="00B77A30">
        <w:rPr>
          <w:rFonts w:ascii="Book Antiqua" w:hAnsi="Book Antiqua" w:cs="Times New Roman"/>
          <w:noProof/>
          <w:sz w:val="24"/>
          <w:szCs w:val="24"/>
          <w:vertAlign w:val="superscript"/>
        </w:rPr>
        <w:t>[20]</w:t>
      </w:r>
      <w:r w:rsidR="004F24F1" w:rsidRPr="00B77A30">
        <w:rPr>
          <w:rFonts w:ascii="Book Antiqua" w:hAnsi="Book Antiqua" w:cs="Times New Roman"/>
          <w:sz w:val="24"/>
          <w:szCs w:val="24"/>
        </w:rPr>
        <w:fldChar w:fldCharType="end"/>
      </w:r>
      <w:r w:rsidRPr="00B77A30">
        <w:rPr>
          <w:rFonts w:ascii="Book Antiqua" w:hAnsi="Book Antiqua" w:cs="Times New Roman"/>
          <w:sz w:val="24"/>
          <w:szCs w:val="24"/>
        </w:rPr>
        <w:t xml:space="preserve"> first described the frailty phenotype and its association with mortality and </w:t>
      </w:r>
      <w:r w:rsidRPr="00B77A30">
        <w:rPr>
          <w:rFonts w:ascii="Book Antiqua" w:hAnsi="Book Antiqua" w:cs="Times New Roman"/>
          <w:sz w:val="24"/>
          <w:szCs w:val="24"/>
        </w:rPr>
        <w:lastRenderedPageBreak/>
        <w:t>morbidity, the potential link between frailty and sarcopenia was noted. Specifically, patients deemed to be frail who had a concomitant decrease in muscle mass were more likely to suffer from disabilities and a worsening in their mob</w:t>
      </w:r>
      <w:r w:rsidR="00170819" w:rsidRPr="00B77A30">
        <w:rPr>
          <w:rFonts w:ascii="Book Antiqua" w:hAnsi="Book Antiqua" w:cs="Times New Roman"/>
          <w:sz w:val="24"/>
          <w:szCs w:val="24"/>
        </w:rPr>
        <w:t>ility versus non-frail patients</w:t>
      </w:r>
      <w:r w:rsidR="00170819"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Sarcopenia is a syndrome characterized by progressive and generalized loss of skeletal muscle mass and strength.</w:t>
      </w:r>
      <w:r w:rsidR="000A0F89">
        <w:rPr>
          <w:rFonts w:ascii="Book Antiqua" w:hAnsi="Book Antiqua" w:cs="Times New Roman"/>
          <w:sz w:val="24"/>
          <w:szCs w:val="24"/>
        </w:rPr>
        <w:t xml:space="preserve"> </w:t>
      </w:r>
      <w:r w:rsidRPr="00B77A30">
        <w:rPr>
          <w:rFonts w:ascii="Book Antiqua" w:hAnsi="Book Antiqua" w:cs="Times New Roman"/>
          <w:sz w:val="24"/>
          <w:szCs w:val="24"/>
        </w:rPr>
        <w:t>Unlike cachexia, which is typically associated with weight loss due to chemotherapy or a general malignancy-related cachexia syndrome, sarcopenia relates to muscle mass rather than simply weight.</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 As such, while weight reflects nutritional status, sarcopenia – the loss of muscle mass – is a more accurate and quanti</w:t>
      </w:r>
      <w:r w:rsidR="004F24F1" w:rsidRPr="00B77A30">
        <w:rPr>
          <w:rFonts w:ascii="Book Antiqua" w:hAnsi="Book Antiqua" w:cs="Times New Roman"/>
          <w:sz w:val="24"/>
          <w:szCs w:val="24"/>
        </w:rPr>
        <w:t>tative global marker of frailty</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"10.1111/j.1532-5415.2007.01140.x", "ISSN" : "0002-8614", "PMID" : "17493199", "abstract" : "OBJECTIVES: To compare two methods for classifying an individual as sarcopenic for predicting decline in physical function in the Health, Aging and Body Composition Study.\n\nDESIGN: Observational cohort study with 5 years of follow-up.\n\nSETTING: Communities in Memphis, Tennessee, and Pittsburgh, Pennsylvania.\n\nPARTICIPANTS: Men and women aged 70 to 79 (N=2,976, 52% women, 41% black).\n\nMEASUREMENTS: Appendicular lean mass (aLM) was measured using dual energy x-ray absorptiometry, and participants were classified as sarcopenic first using aLM divided by height squared and then using aLM adjusted for height and body fat mass (residuals). Incidence of persistent lower extremity limitation (PLL) was measured according to self-report, and change in objective lower extremity performance (LEP) measures were observed using the Short Physical Performance Battery.\n\nRESULTS: There was a greater risk of incident PLL in women who were sarcopenic using the residuals sarcopenia method than in women who were not sarcopenic (hazard ratio (HR)=1.34, 95% confidence interval (CI)=1.11-1.61) but not in men. Those defined as sarcopenic using the aLM/ht(2) method had lower incident PLL than nonsarcopenic men (HR=0.76, 95% CI=0.60-0.96) and women (HR=0.75, 95% CI=0.60-0.93), but these were no longer significant with adjustment for body fat mass. Using the residuals method, there were significantly poorer LEP scores in sarcopenic men and women at baseline and Year 6 and greater 5-year decline, whereas sarcopenic men defined using the aLM/ht(2) method had lower 5-year decline. Additional adjustment for fat mass attenuated this protective effect.\n\nCONCLUSION: These findings suggest that sarcopenia defined using the residuals method, a method that considers height and fat mass together, is better for predicting disability in an individual than the aLM/ht(2) method, because it considers fat as part of the definition.", "author" : [ { "dropping-particle" : "", "family" : "Delmonico", "given" : "Matthew J", "non-dropping-particle" : "", "parse-names" : false, "suffix" : "" }, { "dropping-particle" : "", "family" : "Harris", "given" : "Tamara B", "non-dropping-particle" : "", "parse-names" : false, "suffix" : "" }, { "dropping-particle" : "", "family" : "Lee", "given" : "Jung-Sun", "non-dropping-particle" : "", "parse-names" : false, "suffix" : "" }, { "dropping-particle" : "", "family" : "Visser", "given" : "Marjolein", "non-dropping-particle" : "", "parse-names" : false, "suffix" : "" }, { "dropping-particle" : "", "family" : "Nevitt", "given" : "Michael", "non-dropping-particle" : "", "parse-names" : false, "suffix" : "" }, { "dropping-particle" : "", "family" : "Kritchevsky", "given" : "Stephen B", "non-dropping-particle" : "", "parse-names" : false, "suffix" : "" }, { "dropping-particle" : "", "family" : "Tylavsky", "given" : "Frances A", "non-dropping-particle" : "", "parse-names" : false, "suffix" : "" }, { "dropping-particle" : "", "family" : "Newman", "given" : "Anne B", "non-dropping-particle" : "", "parse-names" : false, "suffix" : "" } ], "container-title" : "Journal of the American Geriatrics Society", "id" : "ITEM-1", "issue" : "5", "issued" : { "date-parts" : [ [ "2007", "5" ] ] }, "page" : "769-74", "title" : "Alternative definitions of sarcopenia, lower extremity performance, and functional impairment with aging in older men and women.", "type" : "article-journal", "volume" : "55" }, "uris" : [ "http://www.mendeley.com/documents/?uuid=72948151-6c6d-45a4-9385-627f253d9255" ] } ], "mendeley" : { "formattedCitation" : "&lt;sup&gt;[56]&lt;/sup&gt;", "plainTextFormattedCitation" : "[56]", "previouslyFormattedCitation" : "&lt;sup&gt;[56]&lt;/sup&gt;"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[56]</w:t>
      </w:r>
      <w:r w:rsidR="002D038D"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Usually characterized as low muscle mass and low muscle function (strength/performance), sarcopenia is typically defined using an axial cross-sectional image of the </w:t>
      </w:r>
      <w:r w:rsidR="004F24F1" w:rsidRPr="00B77A30">
        <w:rPr>
          <w:rFonts w:ascii="Book Antiqua" w:hAnsi="Book Antiqua" w:cs="Times New Roman"/>
          <w:sz w:val="24"/>
          <w:szCs w:val="24"/>
        </w:rPr>
        <w:t>psoas muscle at the level of L3</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"10.1093/ageing/afq034", "ISSN" : "1468-2834", "PMID" : "20392703", "abstract" : "The European Working Group on Sarcopenia in Older People (EWGSOP) developed a practical clinical definition and consensus diagnostic criteria for age-related sarcopenia. EWGSOP included representatives from four participant organisations, i.e. the European Geriatric Medicine Society, the European Society for Clinical Nutrition and Metabolism, the International Association of Gerontology and Geriatrics-European Region and the International Association of Nutrition and Aging. These organisations endorsed the findings in the final document. The group met and addressed the following questions, using the medical literature to build evidence-based answers: (i) What is sarcopenia? (ii) What parameters define sarcopenia? (iii) What variables reflect these parameters, and what measurement tools and cut-off points can be used? (iv) How does sarcopenia relate to cachexia, frailty and sarcopenic obesity? For the diagnosis of sarcopenia, EWGSOP recommends using the presence of both low muscle mass + low muscle function (strength or performance). EWGSOP variously applies these characteristics to further define conceptual stages as 'presarcopenia', 'sarcopenia' and 'severe sarcopenia'. EWGSOP reviewed a wide range of tools that can be used to measure the specific variables of muscle mass, muscle strength and physical performance. Our paper summarises currently available data defining sarcopenia cut-off points by age and gender; suggests an algorithm for sarcopenia case finding in older individuals based on measurements of gait speed, grip strength and muscle mass; and presents a list of suggested primary and secondary outcome domains for research. Once an operational definition of sarcopenia is adopted and included in the mainstream of comprehensive geriatric assessment, the next steps are to define the natural course of sarcopenia and to develop and define effective treatment.", "author" : [ { "dropping-particle" : "", "family" : "Cruz-Jentoft", "given" : "Alfonso J", "non-dropping-particle" : "", "parse-names" : false, "suffix" : "" }, { "dropping-particle" : "", "family" : "Baeyens", "given" : "Jean Pierre", "non-dropping-particle" : "", "parse-names" : false, "suffix" : "" }, { "dropping-particle" : "", "family" : "Bauer", "given" : "J\u00fcrgen M", "non-dropping-particle" : "", "parse-names" : false, "suffix" : "" }, { "dropping-particle" : "", "family" : "Boirie", "given" : "Yves", "non-dropping-particle" : "", "parse-names" : false, "suffix" : "" }, { "dropping-particle" : "", "family" : "Cederholm", "given" : "Tommy", "non-dropping-particle" : "", "parse-names" : false, "suffix" : "" }, { "dropping-particle" : "", "family" : "Landi", "given" : "Francesco", "non-dropping-particle" : "", "parse-names" : false, "suffix" : "" }, { "dropping-particle" : "", "family" : "Martin", "given" : "Finbarr C", "non-dropping-particle" : "", "parse-names" : false, "suffix" : "" }, { "dropping-particle" : "", "family" : "Michel", "given" : "Jean-Pierre", "non-dropping-particle" : "", "parse-names" : false, "suffix" : "" }, { "dropping-particle" : "", "family" : "Rolland", "given" : "Yves", "non-dropping-particle" : "", "parse-names" : false, "suffix" : "" }, { "dropping-particle" : "", "family" : "Schneider", "given" : "St\u00e9phane M", "non-dropping-particle" : "", "parse-names" : false, "suffix" : "" }, { "dropping-particle" : "", "family" : "Topinkov\u00e1", "given" : "Eva", "non-dropping-particle" : "", "parse-names" : false, "suffix" : "" }, { "dropping-particle" : "", "family" : "Vandewoude", "given" : "Maurits", "non-dropping-particle" : "", "parse-names" : false, "suffix" : "" }, { "dropping-particle" : "", "family" : "Zamboni", "given" : "Mauro", "non-dropping-particle" : "", "parse-names" : false, "suffix" : "" } ], "container-title" : "Age and ageing", "id" : "ITEM-1", "issue" : "4", "issued" : { "date-parts" : [ [ "2010", "7" ] ] }, "page" : "412-23", "title" : "Sarcopenia: European consensus on definition and diagnosis: Report of the European Working Group on Sarcopenia in Older People.", "type" : "article-journal", "volume" : "39" }, "uris" : [ "http://www.mendeley.com/documents/?uuid=1bef3366-159b-4922-8d5e-4ace6f8fa458" ] }, { "id" : "ITEM-2", "itemData" : { "DOI" : "10.1039/c5ob00387c", "ISSN" : "1477-0539", "PMID" : "25778983", "abstract" : "The base-promoted reaction of 3-sulfolene with bis-vinyl ketones was shown in earlier work to proceed through a \u03b3-1,2 addition/anionic oxy-Cope cascade; a subsequent treatment with base induced a second \u03b3-1,2 addition to provide a [3.3.0] bicyclic framework that our group then exploited in the design of rigidified enzyme inhibitors for influenza neuraminidase. Out of a desire to expand the range of structural archetypes accessible through these couplings (and hopefully access additional conformationally-constrained inhibitor platforms) we have revisited this methodology, this time using substituted starting reagents. We show that judicious choice of the newly added substituent can control the exclusive formation of one of four new structural types, each formed as a single diastereomer. These include bicyclo[3.2.1] sulfones and spiro[5.4] sulfones, as well as an expanded collection of our original bicyclo[3.3.0] sulfone scaffolds, this time incorporating adjacent quaternary centres or additional rings.", "author" : [ { "dropping-particle" : "", "family" : "Brant", "given" : "Michael G", "non-dropping-particle" : "", "parse-names" : false, "suffix" : "" }, { "dropping-particle" : "", "family" : "Friedmann", "given" : "Jordan N", "non-dropping-particle" : "", "parse-names" : false, "suffix" : "" }, { "dropping-particle" : "", "family" : "Bohlken", "given" : "Connor G", "non-dropping-particle" : "", "parse-names" : false, "suffix" : "" }, { "dropping-particle" : "", "family" : "Oliver", "given" : "Allen G", "non-dropping-particle" : "", "parse-names" : false, "suffix" : "" }, { "dropping-particle" : "", "family" : "Wulff", "given" : "Jeremy E", "non-dropping-particle" : "", "parse-names" : false, "suffix" : "" } ], "container-title" : "Organic &amp; biomolecular chemistry", "id" : "ITEM-2", "issue" : "15", "issued" : { "date-parts" : [ [ "2015", "4", "21" ] ] }, "page" : "4581-8", "title" : "Diastereoselective tandem reactions of substituted 3-sulfolenes with bis-vinyl ketones leading to highly functionalized bicyclic and tricyclic frameworks.", "type" : "article-journal", "volume" : "13" }, "uris" : [ "http://www.mendeley.com/documents/?uuid=eb6267c7-4833-40aa-9c09-8d65a2f2bfd2" ] } ], "mendeley" : { "formattedCitation" : "&lt;sup&gt;[57,58]&lt;/sup&gt;", "plainTextFormattedCitation" : "[57,58]", "previouslyFormattedCitation" : "&lt;sup&gt;[57,58]&lt;/sup&gt;"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[57,58]</w:t>
      </w:r>
      <w:r w:rsidR="002D038D"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Using this technique, sarcopenia is defined as the total psoas area (TPA), with </w:t>
      </w:r>
      <w:proofErr w:type="spellStart"/>
      <w:r w:rsidRPr="00B77A30">
        <w:rPr>
          <w:rFonts w:ascii="Book Antiqua" w:hAnsi="Book Antiqua" w:cs="Times New Roman"/>
          <w:sz w:val="24"/>
          <w:szCs w:val="24"/>
        </w:rPr>
        <w:t>sarcopeni</w:t>
      </w:r>
      <w:r w:rsidR="004F24F1" w:rsidRPr="00B77A30">
        <w:rPr>
          <w:rFonts w:ascii="Book Antiqua" w:hAnsi="Book Antiqua" w:cs="Times New Roman"/>
          <w:sz w:val="24"/>
          <w:szCs w:val="24"/>
        </w:rPr>
        <w:t>c</w:t>
      </w:r>
      <w:proofErr w:type="spellEnd"/>
      <w:r w:rsidR="004F24F1" w:rsidRPr="00B77A30">
        <w:rPr>
          <w:rFonts w:ascii="Book Antiqua" w:hAnsi="Book Antiqua" w:cs="Times New Roman"/>
          <w:sz w:val="24"/>
          <w:szCs w:val="24"/>
        </w:rPr>
        <w:t xml:space="preserve"> patients having a smaller TPA</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"10.1039/c5ob00387c", "ISSN" : "1477-0539", "PMID" : "25778983", "abstract" : "The base-promoted reaction of 3-sulfolene with bis-vinyl ketones was shown in earlier work to proceed through a \u03b3-1,2 addition/anionic oxy-Cope cascade; a subsequent treatment with base induced a second \u03b3-1,2 addition to provide a [3.3.0] bicyclic framework that our group then exploited in the design of rigidified enzyme inhibitors for influenza neuraminidase. Out of a desire to expand the range of structural archetypes accessible through these couplings (and hopefully access additional conformationally-constrained inhibitor platforms) we have revisited this methodology, this time using substituted starting reagents. We show that judicious choice of the newly added substituent can control the exclusive formation of one of four new structural types, each formed as a single diastereomer. These include bicyclo[3.2.1] sulfones and spiro[5.4] sulfones, as well as an expanded collection of our original bicyclo[3.3.0] sulfone scaffolds, this time incorporating adjacent quaternary centres or additional rings.", "author" : [ { "dropping-particle" : "", "family" : "Brant", "given" : "Michael G", "non-dropping-particle" : "", "parse-names" : false, "suffix" : "" }, { "dropping-particle" : "", "family" : "Friedmann", "given" : "Jordan N", "non-dropping-particle" : "", "parse-names" : false, "suffix" : "" }, { "dropping-particle" : "", "family" : "Bohlken", "given" : "Connor G", "non-dropping-particle" : "", "parse-names" : false, "suffix" : "" }, { "dropping-particle" : "", "family" : "Oliver", "given" : "Allen G", "non-dropping-particle" : "", "parse-names" : false, "suffix" : "" }, { "dropping-particle" : "", "family" : "Wulff", "given" : "Jeremy E", "non-dropping-particle" : "", "parse-names" : false, "suffix" : "" } ], "container-title" : "Organic &amp; biomolecular chemistry", "id" : "ITEM-1", "issue" : "15", "issued" : { "date-parts" : [ [ "2015", "4", "21" ] ] }, "page" : "4581-8", "title" : "Diastereoselective tandem reactions of substituted 3-sulfolenes with bis-vinyl ketones leading to highly functionalized bicyclic and tricyclic frameworks.", "type" : "article-journal", "volume" : "13" }, "uris" : [ "http://www.mendeley.com/documents/?uuid=eb6267c7-4833-40aa-9c09-8d65a2f2bfd2" ] } ], "mendeley" : { "formattedCitation" : "&lt;sup&gt;[58]&lt;/sup&gt;", "plainTextFormattedCitation" : "[58]", "previouslyFormattedCitation" : "&lt;sup&gt;[58]&lt;/sup&gt;"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[58]</w:t>
      </w:r>
      <w:r w:rsidR="002D038D"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More recent studies have suggested that assessment of the entire volume of the psoas muscle (TPV) may be a better means to define sarcopenia rather than a single axial image (Figure 3</w:t>
      </w:r>
      <w:r w:rsidR="004F24F1" w:rsidRPr="00B77A30">
        <w:rPr>
          <w:rFonts w:ascii="Book Antiqua" w:hAnsi="Book Antiqua" w:cs="Times New Roman"/>
          <w:sz w:val="24"/>
          <w:szCs w:val="24"/>
        </w:rPr>
        <w:t>A</w:t>
      </w:r>
      <w:r w:rsidRPr="00B77A30">
        <w:rPr>
          <w:rFonts w:ascii="Book Antiqua" w:hAnsi="Book Antiqua" w:cs="Times New Roman"/>
          <w:sz w:val="24"/>
          <w:szCs w:val="24"/>
        </w:rPr>
        <w:t xml:space="preserve"> and </w:t>
      </w:r>
      <w:r w:rsidR="004F24F1" w:rsidRPr="00B77A30">
        <w:rPr>
          <w:rFonts w:ascii="Book Antiqua" w:hAnsi="Book Antiqua" w:cs="Times New Roman"/>
          <w:sz w:val="24"/>
          <w:szCs w:val="24"/>
        </w:rPr>
        <w:t>B)</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"10.1007/s11605-015-2835-y", "ISSN" : "1873-4626", "PMID" : "25925237", "abstract" : "BACKGROUND: While sarcopenia is typically defined using total psoas area (TPA), characterizing sarcopenia using only a single axial cross-sectional image may be inadequate. We sought to evaluate total psoas volume (TPV) as a new tool to define sarcopenia and compare patient outcomes relative to TPA and TPV.\n\nMETHOD: Sarcopenia was assessed in 763 patients who underwent pancreatectomy for pancreatic adenocarcinoma between 1996 and 2014. It was defined as the TPA and TPV in the lowest sex-specific quartile. The impact of sarcopenia defined by TPA and TPV on overall morbidity and mortality was assessed using multivariable analysis.\n\nRESULT: Median TPA and TPV were both lower in women versus men (both P\u2009&lt;\u20090.001). TPA identified 192 (25.1\u00a0%) patients as sarcopenic, while TPV identified 152 patients (19.9\u00a0%). Three hundred sixty-nine (48.4\u00a0%) patients experienced a postoperative complication. While TPA-sarcopenia was not associated with higher risk of postoperative complications (OR 1.06; P\u2009=\u20090.72), sarcopenia defined by TPV was associated with morbidity (OR 1.79; P\u2009=\u20090.002). On multivariable analysis, TPV-sarcopenia remained independently associated with an increased risk of postoperative complications (OR 1.69; P\u2009=\u20090.006), as well as long-term survival (HR 1.46; P\u2009=\u20090.006).\n\nCONCLUSION: The use of TPV to define sarcopenia was associated with both short- and long-term outcomes following resection of pancreatic cancer. Assessment of the entire volume of the psoas muscle (TPV) may be a better means to define sarcopenia rather than a single axial image.", "author" : [ { "dropping-particle" : "", "family" : "Amini", "given" : "Neda", "non-dropping-particle" : "", "parse-names" : false, "suffix" : "" }, { "dropping-particle" : "", "family" : "Spolverato", "given" : "Gaya", "non-dropping-particle" : "", "parse-names" : false, "suffix" : "" }, { "dropping-particle" : "", "family" : "Gupta", "given" : "Rohan", "non-dropping-particle" : "", "parse-names" : false, "suffix" : "" }, { "dropping-particle" : "", "family" : "Margonis", "given" : "Georgios A", "non-dropping-particle" : "", "parse-names" : false, "suffix" : "" }, { "dropping-particle" : "", "family" : "Kim", "given" : "Yuhree", "non-dropping-particle" : "", "parse-names" : false, "suffix" : "" }, { "dropping-particle" : "", "family" : "Wagner", "given" : "Doris", "non-dropping-particle" : "", "parse-names" : false, "suffix" : "" }, { "dropping-particle" : "", "family" : "Rezaee", "given" : "Neda", "non-dropping-particle" : "", "parse-names" : false, "suffix" : "" }, { "dropping-particle" : "", "family" : "Weiss", "given" : "Matthew J", "non-dropping-particle" : "", "parse-names" : false, "suffix" : "" }, { "dropping-particle" : "", "family" : "Wolfgang", "given" : "Christopher L", "non-dropping-particle" : "", "parse-names" : false, "suffix" : "" }, { "dropping-particle" : "", "family" : "Makary", "given" : "Martin M", "non-dropping-particle" : "", "parse-names" : false, "suffix" : "" }, { "dropping-particle" : "", "family" : "Kamel", "given" : "Ihab R", "non-dropping-particle" : "", "parse-names" : false, "suffix" : "" }, { "dropping-particle" : "", "family" : "Pawlik", "given" : "Timothy M", "non-dropping-particle" : "", "parse-names" : false, "suffix" : "" } ], "container-title" : "Journal of gastrointestinal surgery : official journal of the Society for Surgery of the Alimentary Tract", "id" : "ITEM-1", "issued" : { "date-parts" : [ [ "2015", "4", "30" ] ] }, "title" : "Impact Total Psoas Volume on Short- and Long-Term Outcomes in Patients Undergoing Curative Resection for Pancreatic Adenocarcinoma: a New Tool to Assess Sarcopenia.", "type" : "article-journal" }, "uris" : [ "http://www.mendeley.com/documents/?uuid=069871f5-b451-4104-a8de-a79ca8f489fd" ] }, { "id" : "ITEM-2", "itemData" : { "ISSN" : "0002-9165", "PMID" : "17921370", "abstract" : "BACKGROUND: Thigh muscle mass and cross-sectional area (CSA) are useful indexes of sarcopenia and the response to treatment in older patients. Current criterion methods are computed tomography (CT) and magnetic resonance imaging.\n\nOBJECTIVE: The objective was to compare thigh muscle mass estimated by dual-energy X-ray absorptiometry (DXA), a less expensive and more accessible method, with thigh muscle CSA determined by CT in a group of elderly patients recovering from hip fracture.\n\nDESIGN: Midthigh muscle CSA (in cm(2)) was assessed from a 1-mm CT slice and midthigh muscle mass (g) from a 1.3-cm DXA slice in 30 patients (24 women) aged 81 +/- 8 y during 12 mo of follow-up. Fat-to-lean soft tissue ratios were calculated with each technique to permit direct comparison of a variable in the same units.\n\nRESULTS: Baseline midthigh muscle CSA was highly correlated with midthigh muscle mass (r = 0.86, P &lt; 0.001) such that DXA predicted CT-determined CSA with an SEE of 10 cm(2) (an error of approximately 12% of the mean CSA value). CT- and DXA-determined ratios of midthigh fat to lean mass were similarly related (intraclass correlation coefficient = 0.87, P &lt; 0.001). When data were expressed as the changes from baseline to follow-up, CT and DXA changes were weakly correlated (intraclass correlation coefficient = 0.51, P = 0.019).\n\nCONCLUSIONS: Assessment of sarcopenia by DXA midthigh slice is a potential low-radiation, accessible alternative to CT scanning of older patients. The errors inherent in this technique indicate, however, that it should be applied to groups of patients rather than to individuals or to evaluate the response to interventions.", "author" : [ { "dropping-particle" : "", "family" : "Hansen", "given" : "Ross D", "non-dropping-particle" : "", "parse-names" : false, "suffix" : "" }, { "dropping-particle" : "", "family" : "Williamson", "given" : "Dominique A", "non-dropping-particle" : "", "parse-names" : false, "suffix" : "" }, { "dropping-particle" : "", "family" : "Finnegan", "given" : "Terence P", "non-dropping-particle" : "", "parse-names" : false, "suffix" : "" }, { "dropping-particle" : "", "family" : "Lloyd", "given" : "Brad D", "non-dropping-particle" : "", "parse-names" : false, "suffix" : "" }, { "dropping-particle" : "", "family" : "Grady", "given" : "Jodie N", "non-dropping-particle" : "", "parse-names" : false, "suffix" : "" }, { "dropping-particle" : "", "family" : "Diamond", "given" : "Terrence H", "non-dropping-particle" : "", "parse-names" : false, "suffix" : "" }, { "dropping-particle" : "", "family" : "Smith", "given" : "Emma Ur", "non-dropping-particle" : "", "parse-names" : false, "suffix" : "" }, { "dropping-particle" : "", "family" : "Stavrinos", "given" : "Theodora M", "non-dropping-particle" : "", "parse-names" : false, "suffix" : "" }, { "dropping-particle" : "", "family" : "Thompson", "given" : "Martin W", "non-dropping-particle" : "", "parse-names" : false, "suffix" : "" }, { "dropping-particle" : "", "family" : "Gwinn", "given" : "Tom H", "non-dropping-particle" : "", "parse-names" : false, "suffix" : "" }, { "dropping-particle" : "", "family" : "Allen", "given" : "Barry J", "non-dropping-particle" : "", "parse-names" : false, "suffix" : "" }, { "dropping-particle" : "", "family" : "Smerdely", "given" : "Peter I", "non-dropping-particle" : "", "parse-names" : false, "suffix" : "" }, { "dropping-particle" : "", "family" : "Diwan", "given" : "Ashish D", "non-dropping-particle" : "", "parse-names" : false, "suffix" : "" }, { "dropping-particle" : "", "family" : "Singh", "given" : "Nalin A", "non-dropping-particle" : "", "parse-names" : false, "suffix" : "" }, { "dropping-particle" : "", "family" : "Singh", "given" : "Maria A Fiatarone", "non-dropping-particle" : "", "parse-names" : false, "suffix" : "" } ], "container-title" : "The American journal of clinical nutrition", "id" : "ITEM-2", "issue" : "4", "issued" : { "date-parts" : [ [ "2007", "10" ] ] }, "page" : "952-8", "title" : "Estimation of thigh muscle cross-sectional area by dual-energy X-ray absorptiometry in frail elderly patients.", "type" : "article-journal", "volume" : "86" }, "uris" : [ "http://www.mendeley.com/documents/?uuid=c11f8ff0-4353-4ee9-9ec6-4721a5f56591" ] } ], "mendeley" : { "formattedCitation" : "&lt;sup&gt;[47,59]&lt;/sup&gt;", "plainTextFormattedCitation" : "[47,59]", "previouslyFormattedCitation" : "&lt;sup&gt;[47,59]&lt;/sup&gt;"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[47,59]</w:t>
      </w:r>
      <w:r w:rsidR="002D038D"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In addition, other investigators have suggested the use of dual X-ray absorptiometry (DXA) as an alternative means to screen for sarcopenia. This tool has not been widely adopted, however, as routine CT is more commonly utilized in patients prior to surgery. </w:t>
      </w:r>
    </w:p>
    <w:p w14:paraId="2CDE4312" w14:textId="512C353C" w:rsidR="005A19AC" w:rsidRPr="00B77A30" w:rsidRDefault="005A19AC" w:rsidP="00CB2DFE">
      <w:pPr>
        <w:spacing w:after="0" w:line="360" w:lineRule="auto"/>
        <w:ind w:firstLine="720"/>
        <w:jc w:val="both"/>
        <w:rPr>
          <w:rFonts w:ascii="Book Antiqua" w:hAnsi="Book Antiqua" w:cs="Times New Roman"/>
          <w:sz w:val="24"/>
          <w:szCs w:val="24"/>
          <w:lang w:eastAsia="zh-CN"/>
        </w:rPr>
      </w:pPr>
      <w:r w:rsidRPr="00B77A30">
        <w:rPr>
          <w:rFonts w:ascii="Book Antiqua" w:hAnsi="Book Antiqua" w:cs="Times New Roman"/>
          <w:sz w:val="24"/>
          <w:szCs w:val="24"/>
        </w:rPr>
        <w:t>Both the European and the American Society of Ageing have recommended that sarcopenia be rec</w:t>
      </w:r>
      <w:r w:rsidR="004F24F1" w:rsidRPr="00B77A30">
        <w:rPr>
          <w:rFonts w:ascii="Book Antiqua" w:hAnsi="Book Antiqua" w:cs="Times New Roman"/>
          <w:sz w:val="24"/>
          <w:szCs w:val="24"/>
        </w:rPr>
        <w:t>ognized as a geriatric syndrome</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"10.1093/ageing/afq034", "ISSN" : "1468-2834", "PMID" : "20392703", "abstract" : "The European Working Group on Sarcopenia in Older People (EWGSOP) developed a practical clinical definition and consensus diagnostic criteria for age-related sarcopenia. EWGSOP included representatives from four participant organisations, i.e. the European Geriatric Medicine Society, the European Society for Clinical Nutrition and Metabolism, the International Association of Gerontology and Geriatrics-European Region and the International Association of Nutrition and Aging. These organisations endorsed the findings in the final document. The group met and addressed the following questions, using the medical literature to build evidence-based answers: (i) What is sarcopenia? (ii) What parameters define sarcopenia? (iii) What variables reflect these parameters, and what measurement tools and cut-off points can be used? (iv) How does sarcopenia relate to cachexia, frailty and sarcopenic obesity? For the diagnosis of sarcopenia, EWGSOP recommends using the presence of both low muscle mass + low muscle function (strength or performance). EWGSOP variously applies these characteristics to further define conceptual stages as 'presarcopenia', 'sarcopenia' and 'severe sarcopenia'. EWGSOP reviewed a wide range of tools that can be used to measure the specific variables of muscle mass, muscle strength and physical performance. Our paper summarises currently available data defining sarcopenia cut-off points by age and gender; suggests an algorithm for sarcopenia case finding in older individuals based on measurements of gait speed, grip strength and muscle mass; and presents a list of suggested primary and secondary outcome domains for research. Once an operational definition of sarcopenia is adopted and included in the mainstream of comprehensive geriatric assessment, the next steps are to define the natural course of sarcopenia and to develop and define effective treatment.", "author" : [ { "dropping-particle" : "", "family" : "Cruz-Jentoft", "given" : "Alfonso J", "non-dropping-particle" : "", "parse-names" : false, "suffix" : "" }, { "dropping-particle" : "", "family" : "Baeyens", "given" : "Jean Pierre", "non-dropping-particle" : "", "parse-names" : false, "suffix" : "" }, { "dropping-particle" : "", "family" : "Bauer", "given" : "J\u00fcrgen M", "non-dropping-particle" : "", "parse-names" : false, "suffix" : "" }, { "dropping-particle" : "", "family" : "Boirie", "given" : "Yves", "non-dropping-particle" : "", "parse-names" : false, "suffix" : "" }, { "dropping-particle" : "", "family" : "Cederholm", "given" : "Tommy", "non-dropping-particle" : "", "parse-names" : false, "suffix" : "" }, { "dropping-particle" : "", "family" : "Landi", "given" : "Francesco", "non-dropping-particle" : "", "parse-names" : false, "suffix" : "" }, { "dropping-particle" : "", "family" : "Martin", "given" : "Finbarr C", "non-dropping-particle" : "", "parse-names" : false, "suffix" : "" }, { "dropping-particle" : "", "family" : "Michel", "given" : "Jean-Pierre", "non-dropping-particle" : "", "parse-names" : false, "suffix" : "" }, { "dropping-particle" : "", "family" : "Rolland", "given" : "Yves", "non-dropping-particle" : "", "parse-names" : false, "suffix" : "" }, { "dropping-particle" : "", "family" : "Schneider", "given" : "St\u00e9phane M", "non-dropping-particle" : "", "parse-names" : false, "suffix" : "" }, { "dropping-particle" : "", "family" : "Topinkov\u00e1", "given" : "Eva", "non-dropping-particle" : "", "parse-names" : false, "suffix" : "" }, { "dropping-particle" : "", "family" : "Vandewoude", "given" : "Maurits", "non-dropping-particle" : "", "parse-names" : false, "suffix" : "" }, { "dropping-particle" : "", "family" : "Zamboni", "given" : "Mauro", "non-dropping-particle" : "", "parse-names" : false, "suffix" : "" } ], "container-title" : "Age and ageing", "id" : "ITEM-1", "issue" : "4", "issued" : { "date-parts" : [ [ "2010", "7" ] ] }, "page" : "412-23", "title" : "Sarcopenia: European consensus on definition and diagnosis: Report of the European Working Group on Sarcopenia in Older People.", "type" : "article-journal", "volume" : "39" }, "uris" : [ "http://www.mendeley.com/documents/?uuid=1bef3366-159b-4922-8d5e-4ace6f8fa458" ] } ], "mendeley" : { "formattedCitation" : "&lt;sup&gt;[57]&lt;/sup&gt;", "plainTextFormattedCitation" : "[57]", "previouslyFormattedCitation" : "&lt;sup&gt;[57]&lt;/sup&gt;"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[57]</w:t>
      </w:r>
      <w:r w:rsidR="002D038D"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In addition, several studies have noted an association between sarcopenia and increased risk of adv</w:t>
      </w:r>
      <w:r w:rsidR="004F24F1" w:rsidRPr="00B77A30">
        <w:rPr>
          <w:rFonts w:ascii="Book Antiqua" w:hAnsi="Book Antiqua" w:cs="Times New Roman"/>
          <w:sz w:val="24"/>
          <w:szCs w:val="24"/>
        </w:rPr>
        <w:t>erse outcomes following surgery</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"10.1200/JCO.2003.09.124", "ISSN" : "0732-183X", "PMID" : "12805325", "abstract" : "PURPOSE: Although 48% of breast cancer patients are 65 years old or older, these older patients are severely underrepresented in breast cancer clinical trials. This study tested whether older patients were offered trials significantly less often than younger patients and whether older patients who were offered trials were more likely to refuse participation than younger patients.\n\nPATIENTS AND METHODS: In 10 Cancer and Leukemia Group B institutions, using a retrospective case-control design, breast cancer patients eligible for an open treatment trial were paired: less than 65 years old and &gt; or = 65 years old. Each of the 77 pairs were matched by disease stage and treating physician. Patients were interviewed as to their reasons for participating or refusing to participate in a trial. The treating physicians were also given questionnaires about their reasons for offering or not offering a trial.\n\nRESULTS: Sixty-eight percent of younger stage II patients were offered a trial compared with 34% of the older patients (P =.0004). In multivariate analyses, disease stage and age remained highly significant in predicting trial offering (P =.0008), when controlling for physical functioning and comorbidity. Of those offered a trial, there was no significant difference in participation between younger (56%) and older (50%) patients (P =.67).\n\nCONCLUSION: In a multivariate analysis including comorbid conditions, age and stage were the only predictors of whether a patient was offered a trial. The greatest impediment to enrolling older women onto trials in the setting of this study was the physicians' perceptions about age and tolerance of toxicity.", "author" : [ { "dropping-particle" : "", "family" : "Kemeny", "given" : "M Margaret", "non-dropping-particle" : "", "parse-names" : false, "suffix" : "" }, { "dropping-particle" : "", "family" : "Peterson", "given" : "Bercedis L", "non-dropping-particle" : "", "parse-names" : false, "suffix" : "" }, { "dropping-particle" : "", "family" : "Kornblith", "given" : "Alice B", "non-dropping-particle" : "", "parse-names" : false, "suffix" : "" }, { "dropping-particle" : "", "family" : "Muss", "given" : "Hyman B", "non-dropping-particle" : "", "parse-names" : false, "suffix" : "" }, { "dropping-particle" : "", "family" : "Wheeler", "given" : "Judith", "non-dropping-particle" : "", "parse-names" : false, "suffix" : "" }, { "dropping-particle" : "", "family" : "Levine", "given" : "Ellis", "non-dropping-particle" : "", "parse-names" : false, "suffix" : "" }, { "dropping-particle" : "", "family" : "Bartlett", "given" : "Nancy", "non-dropping-particle" : "", "parse-names" : false, "suffix" : "" }, { "dropping-particle" : "", "family" : "Fleming", "given" : "Gini", "non-dropping-particle" : "", "parse-names" : false, "suffix" : "" }, { "dropping-particle" : "", "family" : "Cohen", "given" : "Harvey J", "non-dropping-particle" : "", "parse-names" : false, "suffix" : "" } ], "container-title" : "Journal of clinical oncology : official journal of the American Society of Clinical Oncology", "id" : "ITEM-1", "issue" : "12", "issued" : { "date-parts" : [ [ "2003", "6", "15" ] ] }, "page" : "2268-75", "title" : "Barriers to clinical trial participation by older women with breast cancer.", "type" : "article-journal", "volume" : "21" }, "uris" : [ "http://www.mendeley.com/documents/?uuid=9340adb5-f082-47d1-ba2b-bc8139c86855" ] }, { "id" : "ITEM-2", "itemData" : { "ISSN" : "0002-9165", "PMID" : "17921370", "abstract" : "BACKGROUND: Thigh muscle mass and cross-sectional area (CSA) are useful indexes of sarcopenia and the response to treatment in older patients. Current criterion methods are computed tomography (CT) and magnetic resonance imaging.\n\nOBJECTIVE: The objective was to compare thigh muscle mass estimated by dual-energy X-ray absorptiometry (DXA), a less expensive and more accessible method, with thigh muscle CSA determined by CT in a group of elderly patients recovering from hip fracture.\n\nDESIGN: Midthigh muscle CSA (in cm(2)) was assessed from a 1-mm CT slice and midthigh muscle mass (g) from a 1.3-cm DXA slice in 30 patients (24 women) aged 81 +/- 8 y during 12 mo of follow-up. Fat-to-lean soft tissue ratios were calculated with each technique to permit direct comparison of a variable in the same units.\n\nRESULTS: Baseline midthigh muscle CSA was highly correlated with midthigh muscle mass (r = 0.86, P &lt; 0.001) such that DXA predicted CT-determined CSA with an SEE of 10 cm(2) (an error of approximately 12% of the mean CSA value). CT- and DXA-determined ratios of midthigh fat to lean mass were similarly related (intraclass correlation coefficient = 0.87, P &lt; 0.001). When data were expressed as the changes from baseline to follow-up, CT and DXA changes were weakly correlated (intraclass correlation coefficient = 0.51, P = 0.019).\n\nCONCLUSIONS: Assessment of sarcopenia by DXA midthigh slice is a potential low-radiation, accessible alternative to CT scanning of older patients. The errors inherent in this technique indicate, however, that it should be applied to groups of patients rather than to individuals or to evaluate the response to interventions.", "author" : [ { "dropping-particle" : "", "family" : "Hansen", "given" : "Ross D", "non-dropping-particle" : "", "parse-names" : false, "suffix" : "" }, { "dropping-particle" : "", "family" : "Williamson", "given" : "Dominique A", "non-dropping-particle" : "", "parse-names" : false, "suffix" : "" }, { "dropping-particle" : "", "family" : "Finnegan", "given" : "Terence P", "non-dropping-particle" : "", "parse-names" : false, "suffix" : "" }, { "dropping-particle" : "", "family" : "Lloyd", "given" : "Brad D", "non-dropping-particle" : "", "parse-names" : false, "suffix" : "" }, { "dropping-particle" : "", "family" : "Grady", "given" : "Jodie N", "non-dropping-particle" : "", "parse-names" : false, "suffix" : "" }, { "dropping-particle" : "", "family" : "Diamond", "given" : "Terrence H", "non-dropping-particle" : "", "parse-names" : false, "suffix" : "" }, { "dropping-particle" : "", "family" : "Smith", "given" : "Emma Ur", "non-dropping-particle" : "", "parse-names" : false, "suffix" : "" }, { "dropping-particle" : "", "family" : "Stavrinos", "given" : "Theodora M", "non-dropping-particle" : "", "parse-names" : false, "suffix" : "" }, { "dropping-particle" : "", "family" : "Thompson", "given" : "Martin W", "non-dropping-particle" : "", "parse-names" : false, "suffix" : "" }, { "dropping-particle" : "", "family" : "Gwinn", "given" : "Tom H", "non-dropping-particle" : "", "parse-names" : false, "suffix" : "" }, { "dropping-particle" : "", "family" : "Allen", "given" : "Barry J", "non-dropping-particle" : "", "parse-names" : false, "suffix" : "" }, { "dropping-particle" : "", "family" : "Smerdely", "given" : "Peter I", "non-dropping-particle" : "", "parse-names" : false, "suffix" : "" }, { "dropping-particle" : "", "family" : "Diwan", "given" : "Ashish D", "non-dropping-particle" : "", "parse-names" : false, "suffix" : "" }, { "dropping-particle" : "", "family" : "Singh", "given" : "Nalin A", "non-dropping-particle" : "", "parse-names" : false, "suffix" : "" }, { "dropping-particle" : "", "family" : "Singh", "given" : "Maria A Fiatarone", "non-dropping-particle" : "", "parse-names" : false, "suffix" : "" } ], "container-title" : "The American journal of clinical nutrition", "id" : "ITEM-2", "issue" : "4", "issued" : { "date-parts" : [ [ "2007", "10" ] ] }, "page" : "952-8", "title" : "Estimation of thigh muscle cross-sectional area by dual-energy X-ray absorptiometry in frail elderly patients.", "type" : "article-journal", "volume" : "86" }, "uris" : [ "http://www.mendeley.com/documents/?uuid=c11f8ff0-4353-4ee9-9ec6-4721a5f56591" ] } ], "mendeley" : { "formattedCitation" : "&lt;sup&gt;[15,59]&lt;/sup&gt;", "plainTextFormattedCitation" : "[15,59]", "previouslyFormattedCitation" : "&lt;sup&gt;[15,59]&lt;/sup&gt;"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[15,59]</w:t>
      </w:r>
      <w:r w:rsidR="002D038D"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w:t>
      </w:r>
      <w:r w:rsidR="004F24F1" w:rsidRPr="00B77A30">
        <w:rPr>
          <w:rFonts w:ascii="Book Antiqua" w:hAnsi="Book Antiqua" w:cs="Times New Roman"/>
          <w:sz w:val="24"/>
          <w:szCs w:val="24"/>
        </w:rPr>
        <w:t xml:space="preserve"> </w:t>
      </w:r>
      <w:r w:rsidRPr="00B77A30">
        <w:rPr>
          <w:rFonts w:ascii="Book Antiqua" w:hAnsi="Book Antiqua" w:cs="Times New Roman"/>
          <w:sz w:val="24"/>
          <w:szCs w:val="24"/>
        </w:rPr>
        <w:t xml:space="preserve">For example, Friedman </w:t>
      </w:r>
      <w:r w:rsidRPr="00B77A30">
        <w:rPr>
          <w:rFonts w:ascii="Book Antiqua" w:hAnsi="Book Antiqua" w:cs="Times New Roman"/>
          <w:i/>
          <w:sz w:val="24"/>
          <w:szCs w:val="24"/>
        </w:rPr>
        <w:t>et al</w:t>
      </w:r>
      <w:r w:rsidR="004F24F1" w:rsidRPr="00B77A30">
        <w:rPr>
          <w:rFonts w:ascii="Book Antiqua" w:hAnsi="Book Antiqua" w:cs="Times New Roman"/>
          <w:sz w:val="24"/>
          <w:szCs w:val="24"/>
        </w:rPr>
        <w:fldChar w:fldCharType="begin" w:fldLock="1"/>
      </w:r>
      <w:r w:rsidR="004F24F1" w:rsidRPr="00B77A30">
        <w:rPr>
          <w:rFonts w:ascii="Book Antiqua" w:hAnsi="Book Antiqua" w:cs="Times New Roman"/>
          <w:sz w:val="24"/>
          <w:szCs w:val="24"/>
        </w:rPr>
        <w:instrText>ADDIN CSL_CITATION { "citationItems" : [ { "id" : "ITEM-1", "itemData" : { "DOI" : "10.1039/c5ob00387c", "ISSN" : "1477-0539", "PMID" : "25778983", "abstract" : "The base-promoted reaction of 3-sulfolene with bis-vinyl ketones was shown in earlier work to proceed through a \u03b3-1,2 addition/anionic oxy-Cope cascade; a subsequent treatment with base induced a second \u03b3-1,2 addition to provide a [3.3.0] bicyclic framework that our group then exploited in the design of rigidified enzyme inhibitors for influenza neuraminidase. Out of a desire to expand the range of structural archetypes accessible through these couplings (and hopefully access additional conformationally-constrained inhibitor platforms) we have revisited this methodology, this time using substituted starting reagents. We show that judicious choice of the newly added substituent can control the exclusive formation of one of four new structural types, each formed as a single diastereomer. These include bicyclo[3.2.1] sulfones and spiro[5.4] sulfones, as well as an expanded collection of our original bicyclo[3.3.0] sulfone scaffolds, this time incorporating adjacent quaternary centres or additional rings.", "author" : [ { "dropping-particle" : "", "family" : "Brant", "given" : "Michael G", "non-dropping-particle" : "", "parse-names" : false, "suffix" : "" }, { "dropping-particle" : "", "family" : "Friedmann", "given" : "Jordan N", "non-dropping-particle" : "", "parse-names" : false, "suffix" : "" }, { "dropping-particle" : "", "family" : "Bohlken", "given" : "Connor G", "non-dropping-particle" : "", "parse-names" : false, "suffix" : "" }, { "dropping-particle" : "", "family" : "Oliver", "given" : "Allen G", "non-dropping-particle" : "", "parse-names" : false, "suffix" : "" }, { "dropping-particle" : "", "family" : "Wulff", "given" : "Jeremy E", "non-dropping-particle" : "", "parse-names" : false, "suffix" : "" } ], "container-title" : "Organic &amp; biomolecular chemistry", "id" : "ITEM-1", "issue" : "15", "issued" : { "date-parts" : [ [ "2015", "4", "21" ] ] }, "page" : "4581-8", "title" : "Diastereoselective tandem reactions of substituted 3-sulfolenes with bis-vinyl ketones leading to highly functionalized bicyclic and tricyclic frameworks.", "type" : "article-journal", "volume" : "13" }, "uris" : [ "http://www.mendeley.com/documents/?uuid=eb6267c7-4833-40aa-9c09-8d65a2f2bfd2" ] } ], "mendeley" : { "formattedCitation" : "&lt;sup&gt;[58]&lt;/sup&gt;", "plainTextFormattedCitation" : "[58]", "previouslyFormattedCitation" : "&lt;sup&gt;[58]&lt;/sup&gt;" }, "properties" : { "noteIndex" : 0 }, "schema" : "https://github.com/citation-style-language/schema/raw/master/csl-citation.json" }</w:instrText>
      </w:r>
      <w:r w:rsidR="004F24F1" w:rsidRPr="00B77A30">
        <w:rPr>
          <w:rFonts w:ascii="Book Antiqua" w:hAnsi="Book Antiqua" w:cs="Times New Roman"/>
          <w:sz w:val="24"/>
          <w:szCs w:val="24"/>
        </w:rPr>
        <w:fldChar w:fldCharType="separate"/>
      </w:r>
      <w:r w:rsidR="004F24F1" w:rsidRPr="00B77A30">
        <w:rPr>
          <w:rFonts w:ascii="Book Antiqua" w:hAnsi="Book Antiqua" w:cs="Times New Roman"/>
          <w:noProof/>
          <w:sz w:val="24"/>
          <w:szCs w:val="24"/>
          <w:vertAlign w:val="superscript"/>
        </w:rPr>
        <w:t>[58]</w:t>
      </w:r>
      <w:r w:rsidR="004F24F1" w:rsidRPr="00B77A30">
        <w:rPr>
          <w:rFonts w:ascii="Book Antiqua" w:hAnsi="Book Antiqua" w:cs="Times New Roman"/>
          <w:sz w:val="24"/>
          <w:szCs w:val="24"/>
        </w:rPr>
        <w:fldChar w:fldCharType="end"/>
      </w:r>
      <w:r w:rsidRPr="00B77A30">
        <w:rPr>
          <w:rFonts w:ascii="Book Antiqua" w:hAnsi="Book Antiqua" w:cs="Times New Roman"/>
          <w:sz w:val="24"/>
          <w:szCs w:val="24"/>
        </w:rPr>
        <w:t>reported that patients with sarcopenia were particularly vulnerable in the setting of significant physiologic stressors like major surgery.</w:t>
      </w:r>
      <w:r w:rsidR="000A0F89">
        <w:rPr>
          <w:rFonts w:ascii="Book Antiqua" w:hAnsi="Book Antiqua" w:cs="Times New Roman"/>
          <w:sz w:val="24"/>
          <w:szCs w:val="24"/>
        </w:rPr>
        <w:t xml:space="preserve"> </w:t>
      </w:r>
      <w:r w:rsidRPr="00B77A30">
        <w:rPr>
          <w:rFonts w:ascii="Book Antiqua" w:hAnsi="Book Antiqua" w:cs="Times New Roman"/>
          <w:sz w:val="24"/>
          <w:szCs w:val="24"/>
        </w:rPr>
        <w:t>The importance of sarcopenia in the prediction of outcome after gastrointestinal surgery has been particularly</w:t>
      </w:r>
      <w:r w:rsidR="004F24F1" w:rsidRPr="00B77A30">
        <w:rPr>
          <w:rFonts w:ascii="Book Antiqua" w:hAnsi="Book Antiqua" w:cs="Times New Roman"/>
          <w:sz w:val="24"/>
          <w:szCs w:val="24"/>
        </w:rPr>
        <w:t xml:space="preserve"> highlighted in several studies</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"10.1016/j.jamcollsurg.2010.03.039", "ISSN" : "1879-1190", "PMID" : "20670867", "abstract" : "BACKGROUND: Surgeons frequently struggle to determine patient suitability for liver transplantation. Objective and comprehensive measures of overall burden of disease, such as sarcopenia, could inform clinicians and help avoid futile transplantations.\n\nSTUDY DESIGN: The cross-sectional area of the psoas muscle was measured on CT scans of 163 liver transplant recipients. After controlling for donor and recipient characteristics using Cox regression models, we described the relationship between psoas area and post-transplantation mortality.\n\nRESULTS: Psoas area correlated poorly with Model for End-Stage Liver Disease score and serum albumin. Cox regression revealed a strong association between psoas area and post-transplantation mortality (hazard ratio = 3.7/1,000 mm(2) decrease in psoas area; p &lt; 0.0001). When stratified into quartiles based on psoas area (holding donor and recipient characteristics constant), 1-year survival ranged from 49.7% for the quartile with the smallest psoas area to 87.0% for the quartile with the largest. Survival at 3 years among these groups was 26.4% and 77.2%, respectively. The impact of psoas area on survival exceeded that of all other covariates in these models.\n\nCONCLUSIONS: Central sarcopenia strongly correlates with mortality after liver transplantation. Such objective measures of patient frailty, such as sarcopenia, can inform clinical decision making and, potentially, allocation policy. Additional work is needed develop valid and clinically relevant measures of sarcopenia and frailty in liver transplantation.", "author" : [ { "dropping-particle" : "", "family" : "Englesbe", "given" : "Michael J", "non-dropping-particle" : "", "parse-names" : false, "suffix" : "" }, { "dropping-particle" : "", "family" : "Patel", "given" : "Shaun P", "non-dropping-particle" : "", "parse-names" : false, "suffix" : "" }, { "dropping-particle" : "", "family" : "He", "given" : "Kevin", "non-dropping-particle" : "", "parse-names" : false, "suffix" : "" }, { "dropping-particle" : "", "family" : "Lynch", "given" : "Raymond J", "non-dropping-particle" : "", "parse-names" : false, "suffix" : "" }, { "dropping-particle" : "", "family" : "Schaubel", "given" : "Douglas E", "non-dropping-particle" : "", "parse-names" : false, "suffix" : "" }, { "dropping-particle" : "", "family" : "Harbaugh", "given" : "Calista", "non-dropping-particle" : "", "parse-names" : false, "suffix" : "" }, { "dropping-particle" : "", "family" : "Holcombe", "given" : "Sven A", "non-dropping-particle" : "", "parse-names" : false, "suffix" : "" }, { "dropping-particle" : "", "family" : "Wang", "given" : "Stewart C", "non-dropping-particle" : "", "parse-names" : false, "suffix" : "" }, { "dropping-particle" : "", "family" : "Segev", "given" : "Dorry L", "non-dropping-particle" : "", "parse-names" : false, "suffix" : "" }, { "dropping-particle" : "", "family" : "Sonnenday", "given" : "Christopher J", "non-dropping-particle" : "", "parse-names" : false, "suffix" : "" } ], "container-title" : "Journal of the American College of Surgeons", "id" : "ITEM-1", "issue" : "2", "issued" : { "date-parts" : [ [ "2010", "8" ] ] }, "page" : "271-8", "title" : "Sarcopenia and mortality after liver transplantation.", "type" : "article-journal", "volume" : "211" }, "uris" : [ "http://www.mendeley.com/documents/?uuid=49a4a94a-3f96-49a2-a1f8-ca16d833f4bf" ] }, { "id" : "ITEM-2", "itemData" : { "DOI" : "10.1007/s11605-015-2835-y", "ISSN" : "1873-4626", "PMID" : "25925237", "abstract" : "BACKGROUND: While sarcopenia is typically defined using total psoas area (TPA), characterizing sarcopenia using only a single axial cross-sectional image may be inadequate. We sought to evaluate total psoas volume (TPV) as a new tool to define sarcopenia and compare patient outcomes relative to TPA and TPV.\n\nMETHOD: Sarcopenia was assessed in 763 patients who underwent pancreatectomy for pancreatic adenocarcinoma between 1996 and 2014. It was defined as the TPA and TPV in the lowest sex-specific quartile. The impact of sarcopenia defined by TPA and TPV on overall morbidity and mortality was assessed using multivariable analysis.\n\nRESULT: Median TPA and TPV were both lower in women versus men (both P\u2009&lt;\u20090.001). TPA identified 192 (25.1\u00a0%) patients as sarcopenic, while TPV identified 152 patients (19.9\u00a0%). Three hundred sixty-nine (48.4\u00a0%) patients experienced a postoperative complication. While TPA-sarcopenia was not associated with higher risk of postoperative complications (OR 1.06; P\u2009=\u20090.72), sarcopenia defined by TPV was associated with morbidity (OR 1.79; P\u2009=\u20090.002). On multivariable analysis, TPV-sarcopenia remained independently associated with an increased risk of postoperative complications (OR 1.69; P\u2009=\u20090.006), as well as long-term survival (HR 1.46; P\u2009=\u20090.006).\n\nCONCLUSION: The use of TPV to define sarcopenia was associated with both short- and long-term outcomes following resection of pancreatic cancer. Assessment of the entire volume of the psoas muscle (TPV) may be a better means to define sarcopenia rather than a single axial image.", "author" : [ { "dropping-particle" : "", "family" : "Amini", "given" : "Neda", "non-dropping-particle" : "", "parse-names" : false, "suffix" : "" }, { "dropping-particle" : "", "family" : "Spolverato", "given" : "Gaya", "non-dropping-particle" : "", "parse-names" : false, "suffix" : "" }, { "dropping-particle" : "", "family" : "Gupta", "given" : "Rohan", "non-dropping-particle" : "", "parse-names" : false, "suffix" : "" }, { "dropping-particle" : "", "family" : "Margonis", "given" : "Georgios A", "non-dropping-particle" : "", "parse-names" : false, "suffix" : "" }, { "dropping-particle" : "", "family" : "Kim", "given" : "Yuhree", "non-dropping-particle" : "", "parse-names" : false, "suffix" : "" }, { "dropping-particle" : "", "family" : "Wagner", "given" : "Doris", "non-dropping-particle" : "", "parse-names" : false, "suffix" : "" }, { "dropping-particle" : "", "family" : "Rezaee", "given" : "Neda", "non-dropping-particle" : "", "parse-names" : false, "suffix" : "" }, { "dropping-particle" : "", "family" : "Weiss", "given" : "Matthew J", "non-dropping-particle" : "", "parse-names" : false, "suffix" : "" }, { "dropping-particle" : "", "family" : "Wolfgang", "given" : "Christopher L", "non-dropping-particle" : "", "parse-names" : false, "suffix" : "" }, { "dropping-particle" : "", "family" : "Makary", "given" : "Martin M", "non-dropping-particle" : "", "parse-names" : false, "suffix" : "" }, { "dropping-particle" : "", "family" : "Kamel", "given" : "Ihab R", "non-dropping-particle" : "", "parse-names" : false, "suffix" : "" }, { "dropping-particle" : "", "family" : "Pawlik", "given" : "Timothy M", "non-dropping-particle" : "", "parse-names" : false, "suffix" : "" } ], "container-title" : "Journal of gastrointestinal surgery : official journal of the Society for Surgery of the Alimentary Tract", "id" : "ITEM-2", "issued" : { "date-parts" : [ [ "2015", "4", "30" ] ] }, "title" : "Impact Total Psoas Volume on Short- and Long-Term Outcomes in Patients Undergoing Curative Resection for Pancreatic Adenocarcinoma: a New Tool to Assess Sarcopenia.", "type" : "article-journal" }, "uris" : [ "http://www.mendeley.com/documents/?uuid=069871f5-b451-4104-a8de-a79ca8f489fd" ] }, { "id" : "ITEM-3", "itemData" : { "ISSN" : "0002-9165", "PMID" : "17921370", "abstract" : "BACKGROUND: Thigh muscle mass and cross-sectional area (CSA) are useful indexes of sarcopenia and the response to treatment in older patients. Current criterion methods are computed tomography (CT) and magnetic resonance imaging.\n\nOBJECTIVE: The objective was to compare thigh muscle mass estimated by dual-energy X-ray absorptiometry (DXA), a less expensive and more accessible method, with thigh muscle CSA determined by CT in a group of elderly patients recovering from hip fracture.\n\nDESIGN: Midthigh muscle CSA (in cm(2)) was assessed from a 1-mm CT slice and midthigh muscle mass (g) from a 1.3-cm DXA slice in 30 patients (24 women) aged 81 +/- 8 y during 12 mo of follow-up. Fat-to-lean soft tissue ratios were calculated with each technique to permit direct comparison of a variable in the same units.\n\nRESULTS: Baseline midthigh muscle CSA was highly correlated with midthigh muscle mass (r = 0.86, P &lt; 0.001) such that DXA predicted CT-determined CSA with an SEE of 10 cm(2) (an error of approximately 12% of the mean CSA value). CT- and DXA-determined ratios of midthigh fat to lean mass were similarly related (intraclass correlation coefficient = 0.87, P &lt; 0.001). When data were expressed as the changes from baseline to follow-up, CT and DXA changes were weakly correlated (intraclass correlation coefficient = 0.51, P = 0.019).\n\nCONCLUSIONS: Assessment of sarcopenia by DXA midthigh slice is a potential low-radiation, accessible alternative to CT scanning of older patients. The errors inherent in this technique indicate, however, that it should be applied to groups of patients rather than to individuals or to evaluate the response to interventions.", "author" : [ { "dropping-particle" : "", "family" : "Hansen", "given" : "Ross D", "non-dropping-particle" : "", "parse-names" : false, "suffix" : "" }, { "dropping-particle" : "", "family" : "Williamson", "given" : "Dominique A", "non-dropping-particle" : "", "parse-names" : false, "suffix" : "" }, { "dropping-particle" : "", "family" : "Finnegan", "given" : "Terence P", "non-dropping-particle" : "", "parse-names" : false, "suffix" : "" }, { "dropping-particle" : "", "family" : "Lloyd", "given" : "Brad D", "non-dropping-particle" : "", "parse-names" : false, "suffix" : "" }, { "dropping-particle" : "", "family" : "Grady", "given" : "Jodie N", "non-dropping-particle" : "", "parse-names" : false, "suffix" : "" }, { "dropping-particle" : "", "family" : "Diamond", "given" : "Terrence H", "non-dropping-particle" : "", "parse-names" : false, "suffix" : "" }, { "dropping-particle" : "", "family" : "Smith", "given" : "Emma Ur", "non-dropping-particle" : "", "parse-names" : false, "suffix" : "" }, { "dropping-particle" : "", "family" : "Stavrinos", "given" : "Theodora M", "non-dropping-particle" : "", "parse-names" : false, "suffix" : "" }, { "dropping-particle" : "", "family" : "Thompson", "given" : "Martin W", "non-dropping-particle" : "", "parse-names" : false, "suffix" : "" }, { "dropping-particle" : "", "family" : "Gwinn", "given" : "Tom H", "non-dropping-particle" : "", "parse-names" : false, "suffix" : "" }, { "dropping-particle" : "", "family" : "Allen", "given" : "Barry J", "non-dropping-particle" : "", "parse-names" : false, "suffix" : "" }, { "dropping-particle" : "", "family" : "Smerdely", "given" : "Peter I", "non-dropping-particle" : "", "parse-names" : false, "suffix" : "" }, { "dropping-particle" : "", "family" : "Diwan", "given" : "Ashish D", "non-dropping-particle" : "", "parse-names" : false, "suffix" : "" }, { "dropping-particle" : "", "family" : "Singh", "given" : "Nalin A", "non-dropping-particle" : "", "parse-names" : false, "suffix" : "" }, { "dropping-particle" : "", "family" : "Singh", "given" : "Maria A Fiatarone", "non-dropping-particle" : "", "parse-names" : false, "suffix" : "" } ], "container-title" : "The American journal of clinical nutrition", "id" : "ITEM-3", "issue" : "4", "issued" : { "date-parts" : [ [ "2007", "10" ] ] }, "page" : "952-8", "title" : "Estimation of thigh muscle cross-sectional area by dual-energy X-ray absorptiometry in frail elderly patients.", "type" : "article-journal", "volume" : "86" }, "uris" : [ "http://www.mendeley.com/documents/?uuid=c11f8ff0-4353-4ee9-9ec6-4721a5f56591" ] } ], "mendeley" : { "formattedCitation" : "&lt;sup&gt;[43,47,59]&lt;/sup&gt;", "plainTextFormattedCitation" : "[43,47,59]", "previouslyFormattedCitation" : "&lt;sup&gt;[43,47,59]&lt;/sup&gt;"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[43,47,59]</w:t>
      </w:r>
      <w:r w:rsidR="002D038D"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The hope is that identification of patients with frailty or sarcopenia who are at high risk of perioperative morbidity can guide patient-physician discussions prior to surgery, as well as identify appropriate </w:t>
      </w:r>
      <w:r w:rsidR="004F24F1" w:rsidRPr="00B77A30">
        <w:rPr>
          <w:rFonts w:ascii="Book Antiqua" w:hAnsi="Book Antiqua" w:cs="Times New Roman"/>
          <w:sz w:val="24"/>
          <w:szCs w:val="24"/>
        </w:rPr>
        <w:t>patients for “pre-habilitation”</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"10.1016/j.surg.2014.04.027", "ISSN" : "1532-7361", "PMID" : "24929435", "abstract" : "BACKGROUND: With the increasing aging population, the number of very elderly patients (age \u226580 years) undergoing emergency operations is increasing. Evaluating patient-specific risk factors for postoperative morbidity and mortality in the acute care surgery setting is crucial to improving outcomes. We hypothesize that sarcopenia, a severe depletion of skeletal muscles, is a predictor of morbidity and mortality in very elderly patients undergoing emergency surgery.\n\nMETHODS: A total of 170 patients older than the age of 80 underwent emergency surgery between 2008 and 2010 at a tertiary care facility; 100 of these patients had abdominal computed tomography images within 30 days of the operation that were adequate for the assessment of sarcopenia. The impact of sarcopenia on the operative outcomes was evaluated using both univariate and multivariate analysis.\n\nRESULTS: The mean patient age was 84 years, with an in-hospital mortality of 18%. Sarcopenia was present in 73% of patients. More sarcopenic patients had postoperative complications (45% sarcopenic versus 15% nonsarcopenic, P = .005) and more died in hospital (23 vs 4%, P = .037). There were no differences in duration of stay or requirement for intensive care unit postoperatively. After we controlled for confounding factors, increasing skeletal muscle index (per incremental cm(2)/m(2)) was associated with decreased in-hospital mortality (odds ratio \u223c0.834, 95% confidence interval 0.731-0.952, P = .007) in multivariate analysis.\n\nCONCLUSION: Sarcopenia was independently predictive of greater complication rates, discharge disposition, and in-hospital mortality in the very elderly emergency surgery population. Using sarcopenia as an objective tool to identify high-risk patients would be beneficial in developing tailored preventative strategies and potentially resource allocation in the future.", "author" : [ { "dropping-particle" : "", "family" : "Du", "given" : "Yang", "non-dropping-particle" : "", "parse-names" : false, "suffix" : "" }, { "dropping-particle" : "", "family" : "Karvellas", "given" : "Constantine J", "non-dropping-particle" : "", "parse-names" : false, "suffix" : "" }, { "dropping-particle" : "", "family" : "Baracos", "given" : "Vickie", "non-dropping-particle" : "", "parse-names" : false, "suffix" : "" }, { "dropping-particle" : "", "family" : "Williams", "given" : "David C", "non-dropping-particle" : "", "parse-names" : false, "suffix" : "" }, { "dropping-particle" : "", "family" : "Khadaroo", "given" : "Rachel G", "non-dropping-particle" : "", "parse-names" : false, "suffix" : "" } ], "container-title" : "Surgery", "id" : "ITEM-1", "issue" : "3", "issued" : { "date-parts" : [ [ "2014", "9" ] ] }, "page" : "521-7", "title" : "Sarcopenia is a predictor of outcomes in very elderly patients undergoing emergency surgery.", "type" : "article-journal", "volume" : "156" }, "uris" : [ "http://www.mendeley.com/documents/?uuid=5f16a68e-4424-42b9-b9df-734b973af719" ] } ], "mendeley" : { "formattedCitation" : "&lt;sup&gt;[60]&lt;/sup&gt;", "plainTextFormattedCitation" : "[60]", "previouslyFormattedCitation" : "&lt;sup&gt;[60]&lt;/sup&gt;"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[60]</w:t>
      </w:r>
      <w:r w:rsidR="002D038D"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w:t>
      </w:r>
    </w:p>
    <w:p w14:paraId="47AF3243" w14:textId="77777777" w:rsidR="00170819" w:rsidRPr="00B77A30" w:rsidRDefault="00170819" w:rsidP="00CB2DFE">
      <w:pPr>
        <w:spacing w:after="0" w:line="360" w:lineRule="auto"/>
        <w:ind w:firstLine="720"/>
        <w:jc w:val="both"/>
        <w:rPr>
          <w:rFonts w:ascii="Book Antiqua" w:hAnsi="Book Antiqua" w:cs="Times New Roman"/>
          <w:sz w:val="24"/>
          <w:szCs w:val="24"/>
          <w:lang w:eastAsia="zh-CN"/>
        </w:rPr>
      </w:pPr>
    </w:p>
    <w:p w14:paraId="093E830F" w14:textId="2DEA4A4C" w:rsidR="005A19AC" w:rsidRPr="00B77A30" w:rsidRDefault="00723D9F" w:rsidP="00CB2DFE">
      <w:pPr>
        <w:spacing w:after="0" w:line="360" w:lineRule="auto"/>
        <w:jc w:val="both"/>
        <w:rPr>
          <w:rFonts w:ascii="Book Antiqua" w:hAnsi="Book Antiqua" w:cs="Times New Roman"/>
          <w:b/>
          <w:sz w:val="24"/>
          <w:szCs w:val="24"/>
        </w:rPr>
      </w:pPr>
      <w:r w:rsidRPr="00B77A30">
        <w:rPr>
          <w:rFonts w:ascii="Book Antiqua" w:hAnsi="Book Antiqua" w:cs="Times New Roman"/>
          <w:b/>
          <w:sz w:val="24"/>
          <w:szCs w:val="24"/>
        </w:rPr>
        <w:t xml:space="preserve">GASTRO-ESOPHAGEAL MALIGNANCIES </w:t>
      </w:r>
    </w:p>
    <w:p w14:paraId="3E368295" w14:textId="7E46FBE8" w:rsidR="005A19AC" w:rsidRDefault="005A19AC" w:rsidP="00CB2DFE">
      <w:pPr>
        <w:spacing w:after="0" w:line="360" w:lineRule="auto"/>
        <w:jc w:val="both"/>
        <w:rPr>
          <w:rFonts w:ascii="Book Antiqua" w:hAnsi="Book Antiqua" w:cs="Times New Roman"/>
          <w:sz w:val="24"/>
          <w:szCs w:val="24"/>
          <w:lang w:eastAsia="zh-CN"/>
        </w:rPr>
      </w:pPr>
      <w:r w:rsidRPr="00B77A30">
        <w:rPr>
          <w:rFonts w:ascii="Book Antiqua" w:hAnsi="Book Antiqua" w:cs="Times New Roman"/>
          <w:sz w:val="24"/>
          <w:szCs w:val="24"/>
        </w:rPr>
        <w:lastRenderedPageBreak/>
        <w:t>Gastric and esophageal cancer represent a worldwide major health problem. While the incidence in Western countries is re</w:t>
      </w:r>
      <w:r w:rsidR="004F24F1" w:rsidRPr="00B77A30">
        <w:rPr>
          <w:rFonts w:ascii="Book Antiqua" w:hAnsi="Book Antiqua" w:cs="Times New Roman"/>
          <w:sz w:val="24"/>
          <w:szCs w:val="24"/>
        </w:rPr>
        <w:t>latively low with 18170 and 22</w:t>
      </w:r>
      <w:r w:rsidRPr="00B77A30">
        <w:rPr>
          <w:rFonts w:ascii="Book Antiqua" w:hAnsi="Book Antiqua" w:cs="Times New Roman"/>
          <w:sz w:val="24"/>
          <w:szCs w:val="24"/>
        </w:rPr>
        <w:t>220 new esophageal and gastric malignancies, respectively, diagnosed in the US in 2014, gastro-esophageal cancer is a leading indication for cancer rese</w:t>
      </w:r>
      <w:r w:rsidR="00170819" w:rsidRPr="00B77A30">
        <w:rPr>
          <w:rFonts w:ascii="Book Antiqua" w:hAnsi="Book Antiqua" w:cs="Times New Roman"/>
          <w:sz w:val="24"/>
          <w:szCs w:val="24"/>
        </w:rPr>
        <w:t>ction in the Eastern hemisphere</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"URL" : "http://www.cancer.org/cancer/esophaguscancer/detailedguide/esophagus-cancer-key-statistics", "accessed" : { "date-parts" : [ [ "2015", "9", "18" ] ] }, "id" : "ITEM-1", "issued" : { "date-parts" : [ [ "0" ] ] }, "title" : "What are the key statistics about cancer of the esophagus?", "type" : "webpage" }, "uris" : [ "http://www.mendeley.com/documents/?uuid=c054f86a-ee15-48dd-a76f-4aa505897c74" ] }, { "id" : "ITEM-2", "itemData" : { "URL" : "http://www.cancer.org/cancer/stomachcancer/detailedguide/stomach-cancer-key-statistics", "accessed" : { "date-parts" : [ [ "2015", "9", "18" ] ] }, "id" : "ITEM-2", "issued" : { "date-parts" : [ [ "0" ] ] }, "title" : "What are the key statistics about stomach cancer?", "type" : "webpage" }, "uris" : [ "http://www.mendeley.com/documents/?uuid=f54efcd2-dd6c-4598-aaa1-10e5252ebf69" ] } ], "mendeley" : { "formattedCitation" : "&lt;sup&gt;[61,62]&lt;/sup&gt;", "plainTextFormattedCitation" : "[61,62]", "previouslyFormattedCitation" : "&lt;sup&gt;[61,62]&lt;/sup&gt;"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[61,62]</w:t>
      </w:r>
      <w:r w:rsidR="002D038D" w:rsidRPr="00B77A30">
        <w:rPr>
          <w:rFonts w:ascii="Book Antiqua" w:hAnsi="Book Antiqua" w:cs="Times New Roman"/>
          <w:sz w:val="24"/>
          <w:szCs w:val="24"/>
        </w:rPr>
        <w:fldChar w:fldCharType="end"/>
      </w:r>
      <w:r w:rsidR="00170819" w:rsidRPr="00B77A30">
        <w:rPr>
          <w:rFonts w:ascii="Book Antiqua" w:hAnsi="Book Antiqua" w:cs="Times New Roman"/>
          <w:sz w:val="24"/>
          <w:szCs w:val="24"/>
          <w:lang w:eastAsia="zh-CN"/>
        </w:rPr>
        <w:t>.</w:t>
      </w:r>
    </w:p>
    <w:p w14:paraId="043AEA0C" w14:textId="77777777" w:rsidR="00CB2DFE" w:rsidRPr="00CB2DFE" w:rsidRDefault="00CB2DFE" w:rsidP="00CB2DFE">
      <w:pPr>
        <w:spacing w:after="0" w:line="360" w:lineRule="auto"/>
        <w:jc w:val="both"/>
        <w:rPr>
          <w:rFonts w:ascii="Book Antiqua" w:hAnsi="Book Antiqua" w:cs="Times New Roman"/>
          <w:sz w:val="24"/>
          <w:szCs w:val="24"/>
          <w:lang w:eastAsia="zh-CN"/>
        </w:rPr>
      </w:pPr>
    </w:p>
    <w:p w14:paraId="445947AC" w14:textId="1C64290E" w:rsidR="005A19AC" w:rsidRPr="00B77A30" w:rsidRDefault="004F24F1" w:rsidP="00CB2DFE">
      <w:pPr>
        <w:spacing w:after="0" w:line="360" w:lineRule="auto"/>
        <w:jc w:val="both"/>
        <w:rPr>
          <w:rFonts w:ascii="Book Antiqua" w:hAnsi="Book Antiqua" w:cs="Times New Roman"/>
          <w:b/>
          <w:i/>
          <w:sz w:val="24"/>
          <w:szCs w:val="24"/>
        </w:rPr>
      </w:pPr>
      <w:r w:rsidRPr="00B77A30">
        <w:rPr>
          <w:rFonts w:ascii="Book Antiqua" w:hAnsi="Book Antiqua" w:cs="Times New Roman"/>
          <w:b/>
          <w:i/>
          <w:sz w:val="24"/>
          <w:szCs w:val="24"/>
        </w:rPr>
        <w:t>F</w:t>
      </w:r>
      <w:r w:rsidR="00723D9F" w:rsidRPr="00B77A30">
        <w:rPr>
          <w:rFonts w:ascii="Book Antiqua" w:hAnsi="Book Antiqua" w:cs="Times New Roman"/>
          <w:b/>
          <w:i/>
          <w:sz w:val="24"/>
          <w:szCs w:val="24"/>
        </w:rPr>
        <w:t>railty and gastro-esophageal malignancies</w:t>
      </w:r>
    </w:p>
    <w:p w14:paraId="301F615C" w14:textId="68D69E23" w:rsidR="005A19AC" w:rsidRPr="00B77A30" w:rsidRDefault="005A19AC" w:rsidP="00CB2DFE">
      <w:pPr>
        <w:spacing w:after="0" w:line="360" w:lineRule="auto"/>
        <w:jc w:val="both"/>
        <w:rPr>
          <w:rFonts w:ascii="Book Antiqua" w:hAnsi="Book Antiqua" w:cs="Times New Roman"/>
          <w:sz w:val="24"/>
          <w:szCs w:val="24"/>
        </w:rPr>
      </w:pPr>
      <w:r w:rsidRPr="00B77A30">
        <w:rPr>
          <w:rFonts w:ascii="Book Antiqua" w:hAnsi="Book Antiqua" w:cs="Times New Roman"/>
          <w:sz w:val="24"/>
          <w:szCs w:val="24"/>
        </w:rPr>
        <w:t xml:space="preserve">Because the incidence of esophageal and gastric cancer increases with age, there has been a particular interest in the management of these diseases in older patients. In fact, in 2014 </w:t>
      </w:r>
      <w:proofErr w:type="spellStart"/>
      <w:r w:rsidRPr="00B77A30">
        <w:rPr>
          <w:rFonts w:ascii="Book Antiqua" w:hAnsi="Book Antiqua" w:cs="Times New Roman"/>
          <w:sz w:val="24"/>
          <w:szCs w:val="24"/>
        </w:rPr>
        <w:t>Balducci</w:t>
      </w:r>
      <w:proofErr w:type="spellEnd"/>
      <w:r w:rsidRPr="00B77A30">
        <w:rPr>
          <w:rFonts w:ascii="Book Antiqua" w:hAnsi="Book Antiqua" w:cs="Times New Roman"/>
          <w:sz w:val="24"/>
          <w:szCs w:val="24"/>
        </w:rPr>
        <w:t xml:space="preserve"> and colleagues published guidelines on the treatment of older patients with</w:t>
      </w:r>
      <w:r w:rsidR="004F24F1" w:rsidRPr="00B77A30">
        <w:rPr>
          <w:rFonts w:ascii="Book Antiqua" w:hAnsi="Book Antiqua" w:cs="Times New Roman"/>
          <w:sz w:val="24"/>
          <w:szCs w:val="24"/>
        </w:rPr>
        <w:t xml:space="preserve"> gastro-esophageal malignancies</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"10.3978/j.issn.2078-6891.2014.093", "ISSN" : "2078-6891", "PMID" : "25642340", "abstract" : "This article explores the treatment of cancer of the stomach and of the lower esophagus in older individuals. The incidence of both malignancies increases with age and, at present, the biology of the diseases, including sensitivity to chemotherapy, does not seem to change with age. The treatment of these cancers in patients 70 and over includes assessment of life expectancy secondary to physiologic age and evaluation of the individual's tolerance to stress. For this purpose a comprehensive geriatric assessment (CGA) is the best validated instrument. For individuals whose life expectancy without cancer exceeds that with cancer, the estimate of the risk of chemotherapy complications may reveal those patients in need of additional care and those patients in whom the risk of treatment may exceed the potential benefits. All older individuals receiving chemotherapy may need adjustment of the doses to the glomerular filtration rate, support with myelopoietic growth factors, and special care to prevent severe and irreversible neurotoxicity.", "author" : [ { "dropping-particle" : "", "family" : "Balducci", "given" : "Lodovico", "non-dropping-particle" : "", "parse-names" : false, "suffix" : "" } ], "container-title" : "Journal of gastrointestinal oncology", "id" : "ITEM-1", "issue" : "1", "issued" : { "date-parts" : [ [ "2015", "2" ] ] }, "page" : "75-8", "title" : "Systemic treatment of gastric and esophageal adenocarcinoma in elderly patients.", "type" : "article-journal", "volume" : "6" }, "uris" : [ "http://www.mendeley.com/documents/?uuid=6d06ff8b-e27f-45dc-9f2b-c8fdb6c8fde0" ] } ], "mendeley" : { "formattedCitation" : "&lt;sup&gt;[63]&lt;/sup&gt;", "plainTextFormattedCitation" : "[63]", "previouslyFormattedCitation" : "&lt;sup&gt;[63]&lt;/sup&gt;"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[63]</w:t>
      </w:r>
      <w:r w:rsidR="002D038D"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The authors noted that for individuals whose life expectancy without cancer exceed that with cancer, the estimated risk of chemotherapy complications may reveal those patients in need of additional care and those patients in whom the risk of treatment may exceed the potential benefits.</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Importantly, the authors noted that the individual’s general life expectancy should be defined using the CGA and an assessment of patient frailty. </w:t>
      </w:r>
    </w:p>
    <w:p w14:paraId="3EE6D206" w14:textId="77777777" w:rsidR="005A19AC" w:rsidRPr="00B77A30" w:rsidRDefault="005A19AC" w:rsidP="00CB2DFE">
      <w:pPr>
        <w:spacing w:after="0" w:line="360" w:lineRule="auto"/>
        <w:ind w:firstLine="720"/>
        <w:jc w:val="both"/>
        <w:rPr>
          <w:rFonts w:ascii="Book Antiqua" w:hAnsi="Book Antiqua" w:cs="Times New Roman"/>
          <w:i/>
          <w:sz w:val="24"/>
          <w:szCs w:val="24"/>
        </w:rPr>
      </w:pPr>
    </w:p>
    <w:p w14:paraId="38141496" w14:textId="68A3B31F" w:rsidR="005A19AC" w:rsidRPr="00B77A30" w:rsidRDefault="004F24F1" w:rsidP="00CB2DFE">
      <w:pPr>
        <w:spacing w:after="0" w:line="360" w:lineRule="auto"/>
        <w:jc w:val="both"/>
        <w:rPr>
          <w:rFonts w:ascii="Book Antiqua" w:hAnsi="Book Antiqua" w:cs="Times New Roman"/>
          <w:b/>
          <w:i/>
          <w:sz w:val="24"/>
          <w:szCs w:val="24"/>
        </w:rPr>
      </w:pPr>
      <w:r w:rsidRPr="00B77A30">
        <w:rPr>
          <w:rFonts w:ascii="Book Antiqua" w:hAnsi="Book Antiqua" w:cs="Times New Roman"/>
          <w:b/>
          <w:i/>
          <w:sz w:val="24"/>
          <w:szCs w:val="24"/>
        </w:rPr>
        <w:t>S</w:t>
      </w:r>
      <w:r w:rsidR="00723D9F" w:rsidRPr="00B77A30">
        <w:rPr>
          <w:rFonts w:ascii="Book Antiqua" w:hAnsi="Book Antiqua" w:cs="Times New Roman"/>
          <w:b/>
          <w:i/>
          <w:sz w:val="24"/>
          <w:szCs w:val="24"/>
        </w:rPr>
        <w:t>arcopenia and gastro-esophageal malignancies</w:t>
      </w:r>
    </w:p>
    <w:p w14:paraId="75668140" w14:textId="7D34E7D3" w:rsidR="005A19AC" w:rsidRPr="00B77A30" w:rsidRDefault="005A19AC" w:rsidP="00CB2DFE">
      <w:pPr>
        <w:spacing w:after="0" w:line="360" w:lineRule="auto"/>
        <w:jc w:val="both"/>
        <w:rPr>
          <w:rFonts w:ascii="Book Antiqua" w:hAnsi="Book Antiqua" w:cs="Times New Roman"/>
          <w:sz w:val="24"/>
          <w:szCs w:val="24"/>
          <w:lang w:eastAsia="zh-CN"/>
        </w:rPr>
      </w:pPr>
      <w:r w:rsidRPr="00B77A30">
        <w:rPr>
          <w:rFonts w:ascii="Book Antiqua" w:hAnsi="Book Antiqua" w:cs="Times New Roman"/>
          <w:sz w:val="24"/>
          <w:szCs w:val="24"/>
        </w:rPr>
        <w:t>Specific publications on the impact of frailty and sarcopenia on postoperative outcomes following gastro-esophageal surgery are rather scarce (Table 1</w:t>
      </w:r>
      <w:r w:rsidR="004F24F1" w:rsidRPr="00B77A30">
        <w:rPr>
          <w:rFonts w:ascii="Book Antiqua" w:hAnsi="Book Antiqua" w:cs="Times New Roman"/>
          <w:sz w:val="24"/>
          <w:szCs w:val="24"/>
        </w:rPr>
        <w:t>)</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"10.1016/j.athoracsur.2013.05.051", "ISSN" : "1552-6259", "PMID" : "23915593", "abstract" : "BACKGROUND: Esophagectomy is associated with\u00a0significant morbidity and mortality. This retrospective study examined use of a modified frailty index as a potential predictor of morbidity and mortality in esophagectomy patients.\n\nMETHODS: National Surgical Quality Improvement Program Participant Use Files were reviewed for 2005 through 2010. Patients undergoing esophagectomy were selected based on CPT codes. A modified frailty index with 11 variables was used to determine correlation between frailty and postesophagectomy morbidity and mortality. Data were analyzed using \u03c7(2) test and logistic regression.\n\nRESULTS: A total of 2,095 patients were included in the analysis. Higher frailty scores were associated with a statistically significant increase in morbidity and mortality. A frailty score of 0, 1, 2, 3, 4, and 5 had associated morbidity rates of 17.9% (142 of 795 patients), 25.1% (178 of 710 patients), 31.4% (126 of 401 patients), 34.4% (48 of 140 patients), 44.4% (16 of 36 patients), and 61.5% (8 of 13 patients), respectively. A frailty score of 0, 1, 2, 3, 4, and 5 had associated mortality rates of 1.8% (14\u00a0of 795 patients), 3.8% (27 of 710 patients), 4% (16 of 401 patients), 7.1% (10 of 140 patients), 8.3% (3 of 36 patients), and 23.1% (3 of 13 patients), respectively. When using multivariate logistic regression for mortality comparing age, functional status, prealbumin, emergency surgery, wound class, American Society of Anesthesiologists score, and sex, only age and frailty were statistically significant. The odds ratio was 31.84 for frailty (p\u00a0= 0.015) and 1.05 (p\u00a0= 0.001) for age.\n\nCONCLUSIONS: Using a large national database, a modified frailty index was shown to correlate with postesophagectomy morbidity and mortality. Such an index may be used to aid in improving risk assessment and patient selection for esophagectomy.", "author" : [ { "dropping-particle" : "", "family" : "Hodari", "given" : "Arielle", "non-dropping-particle" : "", "parse-names" : false, "suffix" : "" }, { "dropping-particle" : "", "family" : "Hammoud", "given" : "Zane T", "non-dropping-particle" : "", "parse-names" : false, "suffix" : "" }, { "dropping-particle" : "", "family" : "Borgi", "given" : "Jamil F", "non-dropping-particle" : "", "parse-names" : false, "suffix" : "" }, { "dropping-particle" : "", "family" : "Tsiouris", "given" : "Athanasios", "non-dropping-particle" : "", "parse-names" : false, "suffix" : "" }, { "dropping-particle" : "", "family" : "Rubinfeld", "given" : "Ilan S", "non-dropping-particle" : "", "parse-names" : false, "suffix" : "" } ], "container-title" : "The Annals of thoracic surgery", "id" : "ITEM-1", "issue" : "4", "issued" : { "date-parts" : [ [ "2013", "10" ] ] }, "page" : "1240-5", "title" : "Assessment of morbidity and mortality after esophagectomy using a modified frailty index.", "type" : "article-journal", "volume" : "96" }, "uris" : [ "http://www.mendeley.com/documents/?uuid=f17cd9a2-1e41-48e2-b60a-ef3a43dd72f0" ] }, { "id" : "ITEM-2", "itemData" : { "DOI" : "10.1111/dote.12020", "ISSN" : "1442-2050", "PMID" : "23350746", "abstract" : "Preoperative risk assessment, particularly for patient frailty, remains largely subjective. This study evaluated the relationship between core muscle size and patient outcomes following esophagectomy for malignancy. Using preoperative computed tomography scans in 230 subjects who had undergone transhiatal esophagectomy for cancer between 2001 and 2010, lean psoas area (LPA), measured at the fourth lumbar vertebra, was determined. Cox proportional hazards regression was employed to analyze overall survival (OS) and disease-free survival (DFS) adjusted for age, gender, and stage, and the Akaike information criterion was used to determine each covariate contribution to OS and DFS. Univariate analysis demonstrated that increasing LPA correlated with both OS (P = 0.017) and DFS (P = 0.038). In multivariate analysis controlling for patient and tumor characteristics, LPA correlated with OS and DFS in patients who had not received neoadjuvant treatment (n = 64), with higher LPA associated with improved OS and DFS. Moreover, LPA was of equivalent, or slightly higher importance than pathologic stage. These measures were not predictive among patients (n = 166) receiving neoadjuvant chemoradiation. Core muscle size appears to be an independent predictor of both OS and DFS, as significant as tumor stage, in patients following transhiatal esophagectomy. Changes in muscle mass related to preoperative treatment may confound this effect. Assessment of core muscle size may provide an additional objective measure for risk stratification prior to undergoing esophagectomy.", "author" : [ { "dropping-particle" : "", "family" : "Sheetz", "given" : "K H", "non-dropping-particle" : "", "parse-names" : false, "suffix" : "" }, { "dropping-particle" : "", "family" : "Zhao", "given" : "L", "non-dropping-particle" : "", "parse-names" : false, "suffix" : "" }, { "dropping-particle" : "", "family" : "Holcombe", "given" : "S A", "non-dropping-particle" : "", "parse-names" : false, "suffix" : "" }, { "dropping-particle" : "", "family" : "Wang", "given" : "S C", "non-dropping-particle" : "", "parse-names" : false, "suffix" : "" }, { "dropping-particle" : "", "family" : "Reddy", "given" : "R M", "non-dropping-particle" : "", "parse-names" : false, "suffix" : "" }, { "dropping-particle" : "", "family" : "Lin", "given" : "J", "non-dropping-particle" : "", "parse-names" : false, "suffix" : "" }, { "dropping-particle" : "", "family" : "Orringer", "given" : "M B", "non-dropping-particle" : "", "parse-names" : false, "suffix" : "" }, { "dropping-particle" : "", "family" : "Chang", "given" : "A C", "non-dropping-particle" : "", "parse-names" : false, "suffix" : "" } ], "container-title" : "Diseases of the esophagus : official journal of the International Society for Diseases of the Esophagus / I.S.D.E", "id" : "ITEM-2", "issue" : "7", "issued" : { "date-parts" : [ [ "0", "1" ] ] }, "page" : "716-22", "title" : "Decreased core muscle size is associated with worse patient survival following esophagectomy for cancer.", "type" : "article-journal", "volume" : "26" }, "uris" : [ "http://www.mendeley.com/documents/?uuid=2b046a97-7e92-4418-b216-23eea72f707c" ] }, { "id" : "ITEM-3", "itemData" : { "DOI" : "10.3978/j.issn.2078-6891.2014.093", "ISSN" : "2078-6891", "PMID" : "25642340", "abstract" : "This article explores the treatment of cancer of the stomach and of the lower esophagus in older individuals. The incidence of both malignancies increases with age and, at present, the biology of the diseases, including sensitivity to chemotherapy, does not seem to change with age. The treatment of these cancers in patients 70 and over includes assessment of life expectancy secondary to physiologic age and evaluation of the individual's tolerance to stress. For this purpose a comprehensive geriatric assessment (CGA) is the best validated instrument. For individuals whose life expectancy without cancer exceeds that with cancer, the estimate of the risk of chemotherapy complications may reveal those patients in need of additional care and those patients in whom the risk of treatment may exceed the potential benefits. All older individuals receiving chemotherapy may need adjustment of the doses to the glomerular filtration rate, support with myelopoietic growth factors, and special care to prevent severe and irreversible neurotoxicity.", "author" : [ { "dropping-particle" : "", "family" : "Balducci", "given" : "Lodovico", "non-dropping-particle" : "", "parse-names" : false, "suffix" : "" } ], "container-title" : "Journal of gastrointestinal oncology", "id" : "ITEM-3", "issue" : "1", "issued" : { "date-parts" : [ [ "2015", "2" ] ] }, "page" : "75-8", "title" : "Systemic treatment of gastric and esophageal adenocarcinoma in elderly patients.", "type" : "article-journal", "volume" : "6" }, "uris" : [ "http://www.mendeley.com/documents/?uuid=6d06ff8b-e27f-45dc-9f2b-c8fdb6c8fde0" ] } ], "mendeley" : { "formattedCitation" : "&lt;sup&gt;[34,35,63]&lt;/sup&gt;", "plainTextFormattedCitation" : "[34,35,63]", "previouslyFormattedCitation" : "&lt;sup&gt;[34,35,63]&lt;/sup&gt;"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[34,35,63]</w:t>
      </w:r>
      <w:r w:rsidR="002D038D"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In a small study, </w:t>
      </w:r>
      <w:proofErr w:type="spellStart"/>
      <w:r w:rsidRPr="00B77A30">
        <w:rPr>
          <w:rFonts w:ascii="Book Antiqua" w:hAnsi="Book Antiqua" w:cs="Times New Roman"/>
          <w:sz w:val="24"/>
          <w:szCs w:val="24"/>
        </w:rPr>
        <w:t>Pultrum</w:t>
      </w:r>
      <w:proofErr w:type="spellEnd"/>
      <w:r w:rsidRPr="00B77A30">
        <w:rPr>
          <w:rFonts w:ascii="Book Antiqua" w:hAnsi="Book Antiqua" w:cs="Times New Roman"/>
          <w:sz w:val="24"/>
          <w:szCs w:val="24"/>
        </w:rPr>
        <w:t xml:space="preserve"> </w:t>
      </w:r>
      <w:r w:rsidRPr="00B77A30">
        <w:rPr>
          <w:rFonts w:ascii="Book Antiqua" w:hAnsi="Book Antiqua" w:cs="Times New Roman"/>
          <w:i/>
          <w:sz w:val="24"/>
          <w:szCs w:val="24"/>
        </w:rPr>
        <w:t>et al</w:t>
      </w:r>
      <w:r w:rsidR="004F24F1" w:rsidRPr="00B77A30">
        <w:rPr>
          <w:rFonts w:ascii="Book Antiqua" w:hAnsi="Book Antiqua" w:cs="Times New Roman"/>
          <w:sz w:val="24"/>
          <w:szCs w:val="24"/>
        </w:rPr>
        <w:fldChar w:fldCharType="begin" w:fldLock="1"/>
      </w:r>
      <w:r w:rsidR="004F24F1" w:rsidRPr="00B77A30">
        <w:rPr>
          <w:rFonts w:ascii="Book Antiqua" w:hAnsi="Book Antiqua" w:cs="Times New Roman"/>
          <w:sz w:val="24"/>
          <w:szCs w:val="24"/>
        </w:rPr>
        <w:instrText>ADDIN CSL_CITATION { "citationItems" : [ { "id" : "ITEM-1", "itemData" : { "DOI" : "10.1245/s10434-010-0966-7", "ISSN" : "1534-4681", "PMID" : "20180031", "abstract" : "BACKGROUND: Elderly patients who undergo esophagectomy for cancer often have a high prevalence of coexisting diseases, which may adversely affect their postoperative course. We determined the relationship of advanced age (i.e., &gt; or =70 years) with outcome and evaluated age as a selection criterion for surgery.\n\nMETHODS: Between January 1991 and January 2007, we performed a curative-intent extended transthoracic esophagectomy in 234 patients with cancer of the esophagus. Patients were divided into two age groups: &lt;70 years (group I; 170 patients) and &gt; or =70 years (group II; 64 patients).\n\nRESULTS: Both groups were comparable regarding comorbidity (American Society of Anesthesiologists classification), and tumor and surgical characteristics. The overall in-hospital mortality rate was 6.2% (group I, 5%, vs. group II, 11%, P = 0.09). Advanced age was not a prognostic factor for developing postoperative complications (odds ratio, 1.578; 95% confidence interval, 0.857-2.904; P = 0.143). The overall number of complications was equal with 58% in group I vs. 69% in group II (P = 0.142). Moreover, the occurrence of complications in elderly patients did not influence survival (P = 0.174). Recurrences developed more in patients &lt;70 years (58% vs. 42%, P = 0.028). The overall 5-year survival was 35%, and, when included, postoperative mortality was 33% in both groups (P = 0.676).The presence of comorbidity was an independent prognostic factor for survival (P = 0.002).\n\nCONCLUSIONS: Advanced age (&gt; or =70 years) has minor influence on postoperative course, recurrent disease, and survival in patients who underwent an extended esophagectomy. Age alone is not a prognostic indicator for survival. We propose that a radical resection should not be withheld in elderly patients with limited frailty and comorbidity.", "author" : [ { "dropping-particle" : "", "family" : "Pultrum", "given" : "B B", "non-dropping-particle" : "", "parse-names" : false, "suffix" : "" }, { "dropping-particle" : "", "family" : "Bosch", "given" : "D J", "non-dropping-particle" : "", "parse-names" : false, "suffix" : "" }, { "dropping-particle" : "", "family" : "Nijsten", "given" : "M W N", "non-dropping-particle" : "", "parse-names" : false, "suffix" : "" }, { "dropping-particle" : "", "family" : "Rodgers", "given" : "M G G", "non-dropping-particle" : "", "parse-names" : false, "suffix" : "" }, { "dropping-particle" : "", "family" : "Groen", "given" : "H", "non-dropping-particle" : "", "parse-names" : false, "suffix" : "" }, { "dropping-particle" : "", "family" : "Slaets", "given" : "J P J", "non-dropping-particle" : "", "parse-names" : false, "suffix" : "" }, { "dropping-particle" : "", "family" : "Plukker", "given" : "J Th M", "non-dropping-particle" : "", "parse-names" : false, "suffix" : "" } ], "container-title" : "Annals of surgical oncology", "id" : "ITEM-1", "issue" : "6", "issued" : { "date-parts" : [ [ "2010", "6" ] ] }, "page" : "1572-80", "title" : "Extended esophagectomy in elderly patients with esophageal cancer: minor effect of age alone in determining the postoperative course and survival.", "type" : "article-journal", "volume" : "17" }, "uris" : [ "http://www.mendeley.com/documents/?uuid=5c5f10ad-a0f8-44df-995b-12ed22bc9809" ] } ], "mendeley" : { "formattedCitation" : "&lt;sup&gt;[64]&lt;/sup&gt;", "plainTextFormattedCitation" : "[64]", "previouslyFormattedCitation" : "&lt;sup&gt;[64]&lt;/sup&gt;" }, "properties" : { "noteIndex" : 0 }, "schema" : "https://github.com/citation-style-language/schema/raw/master/csl-citation.json" }</w:instrText>
      </w:r>
      <w:r w:rsidR="004F24F1" w:rsidRPr="00B77A30">
        <w:rPr>
          <w:rFonts w:ascii="Book Antiqua" w:hAnsi="Book Antiqua" w:cs="Times New Roman"/>
          <w:sz w:val="24"/>
          <w:szCs w:val="24"/>
        </w:rPr>
        <w:fldChar w:fldCharType="separate"/>
      </w:r>
      <w:r w:rsidR="004F24F1" w:rsidRPr="00B77A30">
        <w:rPr>
          <w:rFonts w:ascii="Book Antiqua" w:hAnsi="Book Antiqua" w:cs="Times New Roman"/>
          <w:noProof/>
          <w:sz w:val="24"/>
          <w:szCs w:val="24"/>
          <w:vertAlign w:val="superscript"/>
        </w:rPr>
        <w:t>[64]</w:t>
      </w:r>
      <w:r w:rsidR="004F24F1"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reported that </w:t>
      </w:r>
      <w:proofErr w:type="spellStart"/>
      <w:r w:rsidRPr="00B77A30">
        <w:rPr>
          <w:rFonts w:ascii="Book Antiqua" w:hAnsi="Book Antiqua" w:cs="Times New Roman"/>
          <w:sz w:val="24"/>
          <w:szCs w:val="24"/>
        </w:rPr>
        <w:t>esophagectomy</w:t>
      </w:r>
      <w:proofErr w:type="spellEnd"/>
      <w:r w:rsidRPr="00B77A30">
        <w:rPr>
          <w:rFonts w:ascii="Book Antiqua" w:hAnsi="Book Antiqua" w:cs="Times New Roman"/>
          <w:sz w:val="24"/>
          <w:szCs w:val="24"/>
        </w:rPr>
        <w:t xml:space="preserve"> was justified in older patients as advanced age alone had only a minor impact on a patients’ postoperative course.</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The authors noted, however, that frailty was much more strongly associated with both short- and long-term outcomes among patients undergoing esophageal surgery. In a separate study, </w:t>
      </w:r>
      <w:proofErr w:type="spellStart"/>
      <w:r w:rsidRPr="00B77A30">
        <w:rPr>
          <w:rFonts w:ascii="Book Antiqua" w:hAnsi="Book Antiqua" w:cs="Times New Roman"/>
          <w:sz w:val="24"/>
          <w:szCs w:val="24"/>
        </w:rPr>
        <w:t>Hodari</w:t>
      </w:r>
      <w:proofErr w:type="spellEnd"/>
      <w:r w:rsidRPr="00B77A30">
        <w:rPr>
          <w:rFonts w:ascii="Book Antiqua" w:hAnsi="Book Antiqua" w:cs="Times New Roman"/>
          <w:sz w:val="24"/>
          <w:szCs w:val="24"/>
        </w:rPr>
        <w:t xml:space="preserve"> </w:t>
      </w:r>
      <w:r w:rsidRPr="00B77A30">
        <w:rPr>
          <w:rFonts w:ascii="Book Antiqua" w:hAnsi="Book Antiqua" w:cs="Times New Roman"/>
          <w:i/>
          <w:sz w:val="24"/>
          <w:szCs w:val="24"/>
        </w:rPr>
        <w:t>et al</w:t>
      </w:r>
      <w:r w:rsidR="004F24F1" w:rsidRPr="00B77A30">
        <w:rPr>
          <w:rFonts w:ascii="Book Antiqua" w:hAnsi="Book Antiqua" w:cs="Times New Roman"/>
          <w:sz w:val="24"/>
          <w:szCs w:val="24"/>
        </w:rPr>
        <w:fldChar w:fldCharType="begin" w:fldLock="1"/>
      </w:r>
      <w:r w:rsidR="004F24F1" w:rsidRPr="00B77A30">
        <w:rPr>
          <w:rFonts w:ascii="Book Antiqua" w:hAnsi="Book Antiqua" w:cs="Times New Roman"/>
          <w:sz w:val="24"/>
          <w:szCs w:val="24"/>
        </w:rPr>
        <w:instrText>ADDIN CSL_CITATION { "citationItems" : [ { "id" : "ITEM-1", "itemData" : { "DOI" : "10.1016/j.athoracsur.2013.05.051", "ISSN" : "1552-6259", "PMID" : "23915593", "abstract" : "BACKGROUND: Esophagectomy is associated with\u00a0significant morbidity and mortality. This retrospective study examined use of a modified frailty index as a potential predictor of morbidity and mortality in esophagectomy patients.\n\nMETHODS: National Surgical Quality Improvement Program Participant Use Files were reviewed for 2005 through 2010. Patients undergoing esophagectomy were selected based on CPT codes. A modified frailty index with 11 variables was used to determine correlation between frailty and postesophagectomy morbidity and mortality. Data were analyzed using \u03c7(2) test and logistic regression.\n\nRESULTS: A total of 2,095 patients were included in the analysis. Higher frailty scores were associated with a statistically significant increase in morbidity and mortality. A frailty score of 0, 1, 2, 3, 4, and 5 had associated morbidity rates of 17.9% (142 of 795 patients), 25.1% (178 of 710 patients), 31.4% (126 of 401 patients), 34.4% (48 of 140 patients), 44.4% (16 of 36 patients), and 61.5% (8 of 13 patients), respectively. A frailty score of 0, 1, 2, 3, 4, and 5 had associated mortality rates of 1.8% (14\u00a0of 795 patients), 3.8% (27 of 710 patients), 4% (16 of 401 patients), 7.1% (10 of 140 patients), 8.3% (3 of 36 patients), and 23.1% (3 of 13 patients), respectively. When using multivariate logistic regression for mortality comparing age, functional status, prealbumin, emergency surgery, wound class, American Society of Anesthesiologists score, and sex, only age and frailty were statistically significant. The odds ratio was 31.84 for frailty (p\u00a0= 0.015) and 1.05 (p\u00a0= 0.001) for age.\n\nCONCLUSIONS: Using a large national database, a modified frailty index was shown to correlate with postesophagectomy morbidity and mortality. Such an index may be used to aid in improving risk assessment and patient selection for esophagectomy.", "author" : [ { "dropping-particle" : "", "family" : "Hodari", "given" : "Arielle", "non-dropping-particle" : "", "parse-names" : false, "suffix" : "" }, { "dropping-particle" : "", "family" : "Hammoud", "given" : "Zane T", "non-dropping-particle" : "", "parse-names" : false, "suffix" : "" }, { "dropping-particle" : "", "family" : "Borgi", "given" : "Jamil F", "non-dropping-particle" : "", "parse-names" : false, "suffix" : "" }, { "dropping-particle" : "", "family" : "Tsiouris", "given" : "Athanasios", "non-dropping-particle" : "", "parse-names" : false, "suffix" : "" }, { "dropping-particle" : "", "family" : "Rubinfeld", "given" : "Ilan S", "non-dropping-particle" : "", "parse-names" : false, "suffix" : "" } ], "container-title" : "The Annals of thoracic surgery", "id" : "ITEM-1", "issue" : "4", "issued" : { "date-parts" : [ [ "2013", "10" ] ] }, "page" : "1240-5", "title" : "Assessment of morbidity and mortality after esophagectomy using a modified frailty index.", "type" : "article-journal", "volume" : "96" }, "uris" : [ "http://www.mendeley.com/documents/?uuid=f17cd9a2-1e41-48e2-b60a-ef3a43dd72f0" ] } ], "mendeley" : { "formattedCitation" : "&lt;sup&gt;[34]&lt;/sup&gt;", "plainTextFormattedCitation" : "[34]", "previouslyFormattedCitation" : "&lt;sup&gt;[34]&lt;/sup&gt;" }, "properties" : { "noteIndex" : 0 }, "schema" : "https://github.com/citation-style-language/schema/raw/master/csl-citation.json" }</w:instrText>
      </w:r>
      <w:r w:rsidR="004F24F1" w:rsidRPr="00B77A30">
        <w:rPr>
          <w:rFonts w:ascii="Book Antiqua" w:hAnsi="Book Antiqua" w:cs="Times New Roman"/>
          <w:sz w:val="24"/>
          <w:szCs w:val="24"/>
        </w:rPr>
        <w:fldChar w:fldCharType="separate"/>
      </w:r>
      <w:r w:rsidR="004F24F1" w:rsidRPr="00B77A30">
        <w:rPr>
          <w:rFonts w:ascii="Book Antiqua" w:hAnsi="Book Antiqua" w:cs="Times New Roman"/>
          <w:noProof/>
          <w:sz w:val="24"/>
          <w:szCs w:val="24"/>
          <w:vertAlign w:val="superscript"/>
        </w:rPr>
        <w:t>[34]</w:t>
      </w:r>
      <w:r w:rsidR="004F24F1" w:rsidRPr="00B77A30">
        <w:rPr>
          <w:rFonts w:ascii="Book Antiqua" w:hAnsi="Book Antiqua" w:cs="Times New Roman"/>
          <w:sz w:val="24"/>
          <w:szCs w:val="24"/>
        </w:rPr>
        <w:fldChar w:fldCharType="end"/>
      </w:r>
      <w:r w:rsidRPr="00B77A30">
        <w:rPr>
          <w:rFonts w:ascii="Book Antiqua" w:hAnsi="Book Antiqua" w:cs="Times New Roman"/>
          <w:sz w:val="24"/>
          <w:szCs w:val="24"/>
        </w:rPr>
        <w:t xml:space="preserve"> exa</w:t>
      </w:r>
      <w:r w:rsidR="004F24F1" w:rsidRPr="00B77A30">
        <w:rPr>
          <w:rFonts w:ascii="Book Antiqua" w:hAnsi="Book Antiqua" w:cs="Times New Roman"/>
          <w:sz w:val="24"/>
          <w:szCs w:val="24"/>
        </w:rPr>
        <w:t>mined a much larger cohort of 2</w:t>
      </w:r>
      <w:r w:rsidRPr="00B77A30">
        <w:rPr>
          <w:rFonts w:ascii="Book Antiqua" w:hAnsi="Book Antiqua" w:cs="Times New Roman"/>
          <w:sz w:val="24"/>
          <w:szCs w:val="24"/>
        </w:rPr>
        <w:t xml:space="preserve">095 patients undergoing </w:t>
      </w:r>
      <w:proofErr w:type="spellStart"/>
      <w:r w:rsidRPr="00B77A30">
        <w:rPr>
          <w:rFonts w:ascii="Book Antiqua" w:hAnsi="Book Antiqua" w:cs="Times New Roman"/>
          <w:sz w:val="24"/>
          <w:szCs w:val="24"/>
        </w:rPr>
        <w:t>esophagectomy</w:t>
      </w:r>
      <w:proofErr w:type="spellEnd"/>
      <w:r w:rsidRPr="00B77A30">
        <w:rPr>
          <w:rFonts w:ascii="Book Antiqua" w:hAnsi="Book Antiqua" w:cs="Times New Roman"/>
          <w:sz w:val="24"/>
          <w:szCs w:val="24"/>
        </w:rPr>
        <w:t xml:space="preserve"> and reported that higher frailty scores were associated with increased postoperative morbidity and mortality.</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In this study, the frailty score was divided into 5 different categories and the incidence of </w:t>
      </w:r>
      <w:proofErr w:type="spellStart"/>
      <w:r w:rsidRPr="00B77A30">
        <w:rPr>
          <w:rFonts w:ascii="Book Antiqua" w:hAnsi="Book Antiqua" w:cs="Times New Roman"/>
          <w:sz w:val="24"/>
          <w:szCs w:val="24"/>
        </w:rPr>
        <w:t>peri</w:t>
      </w:r>
      <w:proofErr w:type="spellEnd"/>
      <w:r w:rsidRPr="00B77A30">
        <w:rPr>
          <w:rFonts w:ascii="Book Antiqua" w:hAnsi="Book Antiqua" w:cs="Times New Roman"/>
          <w:sz w:val="24"/>
          <w:szCs w:val="24"/>
        </w:rPr>
        <w:t xml:space="preserve">-operative mortality incrementally increased with the frailty score, with mortality only 1.8% among patients with a frailty score 0 </w:t>
      </w:r>
      <w:r w:rsidRPr="00B77A30">
        <w:rPr>
          <w:rFonts w:ascii="Book Antiqua" w:hAnsi="Book Antiqua" w:cs="Times New Roman"/>
          <w:i/>
          <w:sz w:val="24"/>
          <w:szCs w:val="24"/>
        </w:rPr>
        <w:t>vs</w:t>
      </w:r>
      <w:r w:rsidRPr="00B77A30">
        <w:rPr>
          <w:rFonts w:ascii="Book Antiqua" w:hAnsi="Book Antiqua" w:cs="Times New Roman"/>
          <w:sz w:val="24"/>
          <w:szCs w:val="24"/>
        </w:rPr>
        <w:t xml:space="preserve"> 23.1% among those patients with a frailty score 5 (</w:t>
      </w:r>
      <w:r w:rsidR="004F24F1" w:rsidRPr="00B77A30">
        <w:rPr>
          <w:rFonts w:ascii="Book Antiqua" w:hAnsi="Book Antiqua" w:cs="Times New Roman"/>
          <w:i/>
          <w:sz w:val="24"/>
          <w:szCs w:val="24"/>
        </w:rPr>
        <w:t>P</w:t>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w:t>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0.001).</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While the authors assessed several other parameters associated with postoperative </w:t>
      </w:r>
      <w:r w:rsidRPr="00B77A30">
        <w:rPr>
          <w:rFonts w:ascii="Book Antiqua" w:hAnsi="Book Antiqua" w:cs="Times New Roman"/>
          <w:sz w:val="24"/>
          <w:szCs w:val="24"/>
        </w:rPr>
        <w:lastRenderedPageBreak/>
        <w:t xml:space="preserve">outcomes, only age and frailty were significantly associated with risk of </w:t>
      </w:r>
      <w:proofErr w:type="spellStart"/>
      <w:r w:rsidRPr="00B77A30">
        <w:rPr>
          <w:rFonts w:ascii="Book Antiqua" w:hAnsi="Book Antiqua" w:cs="Times New Roman"/>
          <w:sz w:val="24"/>
          <w:szCs w:val="24"/>
        </w:rPr>
        <w:t>peri</w:t>
      </w:r>
      <w:proofErr w:type="spellEnd"/>
      <w:r w:rsidRPr="00B77A30">
        <w:rPr>
          <w:rFonts w:ascii="Book Antiqua" w:hAnsi="Book Antiqua" w:cs="Times New Roman"/>
          <w:sz w:val="24"/>
          <w:szCs w:val="24"/>
        </w:rPr>
        <w:t>-ope</w:t>
      </w:r>
      <w:r w:rsidR="004F24F1" w:rsidRPr="00B77A30">
        <w:rPr>
          <w:rFonts w:ascii="Book Antiqua" w:hAnsi="Book Antiqua" w:cs="Times New Roman"/>
          <w:sz w:val="24"/>
          <w:szCs w:val="24"/>
        </w:rPr>
        <w:t>rative morbidity and mortality.</w:t>
      </w:r>
      <w:r w:rsidRPr="00B77A30">
        <w:rPr>
          <w:rFonts w:ascii="Book Antiqua" w:hAnsi="Book Antiqua" w:cs="Times New Roman"/>
          <w:sz w:val="24"/>
          <w:szCs w:val="24"/>
        </w:rPr>
        <w:t xml:space="preserve"> Examining a separate cohort of patients undergoing esophageal cancer, Sheetz</w:t>
      </w:r>
      <w:r w:rsidRPr="00B77A30">
        <w:rPr>
          <w:rFonts w:ascii="Book Antiqua" w:hAnsi="Book Antiqua" w:cs="Times New Roman"/>
          <w:i/>
          <w:sz w:val="24"/>
          <w:szCs w:val="24"/>
        </w:rPr>
        <w:t xml:space="preserve"> et al</w:t>
      </w:r>
      <w:r w:rsidR="004F24F1" w:rsidRPr="00B77A30">
        <w:rPr>
          <w:rFonts w:ascii="Book Antiqua" w:hAnsi="Book Antiqua" w:cs="Times New Roman"/>
          <w:sz w:val="24"/>
          <w:szCs w:val="24"/>
        </w:rPr>
        <w:fldChar w:fldCharType="begin" w:fldLock="1"/>
      </w:r>
      <w:r w:rsidR="004F24F1" w:rsidRPr="00B77A30">
        <w:rPr>
          <w:rFonts w:ascii="Book Antiqua" w:hAnsi="Book Antiqua" w:cs="Times New Roman"/>
          <w:sz w:val="24"/>
          <w:szCs w:val="24"/>
        </w:rPr>
        <w:instrText>ADDIN CSL_CITATION { "citationItems" : [ { "id" : "ITEM-1", "itemData" : { "DOI" : "10.1111/dote.12020", "ISSN" : "1442-2050", "PMID" : "23350746", "abstract" : "Preoperative risk assessment, particularly for patient frailty, remains largely subjective. This study evaluated the relationship between core muscle size and patient outcomes following esophagectomy for malignancy. Using preoperative computed tomography scans in 230 subjects who had undergone transhiatal esophagectomy for cancer between 2001 and 2010, lean psoas area (LPA), measured at the fourth lumbar vertebra, was determined. Cox proportional hazards regression was employed to analyze overall survival (OS) and disease-free survival (DFS) adjusted for age, gender, and stage, and the Akaike information criterion was used to determine each covariate contribution to OS and DFS. Univariate analysis demonstrated that increasing LPA correlated with both OS (P = 0.017) and DFS (P = 0.038). In multivariate analysis controlling for patient and tumor characteristics, LPA correlated with OS and DFS in patients who had not received neoadjuvant treatment (n = 64), with higher LPA associated with improved OS and DFS. Moreover, LPA was of equivalent, or slightly higher importance than pathologic stage. These measures were not predictive among patients (n = 166) receiving neoadjuvant chemoradiation. Core muscle size appears to be an independent predictor of both OS and DFS, as significant as tumor stage, in patients following transhiatal esophagectomy. Changes in muscle mass related to preoperative treatment may confound this effect. Assessment of core muscle size may provide an additional objective measure for risk stratification prior to undergoing esophagectomy.", "author" : [ { "dropping-particle" : "", "family" : "Sheetz", "given" : "K H", "non-dropping-particle" : "", "parse-names" : false, "suffix" : "" }, { "dropping-particle" : "", "family" : "Zhao", "given" : "L", "non-dropping-particle" : "", "parse-names" : false, "suffix" : "" }, { "dropping-particle" : "", "family" : "Holcombe", "given" : "S A", "non-dropping-particle" : "", "parse-names" : false, "suffix" : "" }, { "dropping-particle" : "", "family" : "Wang", "given" : "S C", "non-dropping-particle" : "", "parse-names" : false, "suffix" : "" }, { "dropping-particle" : "", "family" : "Reddy", "given" : "R M", "non-dropping-particle" : "", "parse-names" : false, "suffix" : "" }, { "dropping-particle" : "", "family" : "Lin", "given" : "J", "non-dropping-particle" : "", "parse-names" : false, "suffix" : "" }, { "dropping-particle" : "", "family" : "Orringer", "given" : "M B", "non-dropping-particle" : "", "parse-names" : false, "suffix" : "" }, { "dropping-particle" : "", "family" : "Chang", "given" : "A C", "non-dropping-particle" : "", "parse-names" : false, "suffix" : "" } ], "container-title" : "Diseases of the esophagus : official journal of the International Society for Diseases of the Esophagus / I.S.D.E", "id" : "ITEM-1", "issue" : "7", "issued" : { "date-parts" : [ [ "0", "1" ] ] }, "page" : "716-22", "title" : "Decreased core muscle size is associated with worse patient survival following esophagectomy for cancer.", "type" : "article-journal", "volume" : "26" }, "uris" : [ "http://www.mendeley.com/documents/?uuid=2b046a97-7e92-4418-b216-23eea72f707c" ] } ], "mendeley" : { "formattedCitation" : "&lt;sup&gt;[35]&lt;/sup&gt;", "plainTextFormattedCitation" : "[35]", "previouslyFormattedCitation" : "&lt;sup&gt;[35]&lt;/sup&gt;" }, "properties" : { "noteIndex" : 0 }, "schema" : "https://github.com/citation-style-language/schema/raw/master/csl-citation.json" }</w:instrText>
      </w:r>
      <w:r w:rsidR="004F24F1" w:rsidRPr="00B77A30">
        <w:rPr>
          <w:rFonts w:ascii="Book Antiqua" w:hAnsi="Book Antiqua" w:cs="Times New Roman"/>
          <w:sz w:val="24"/>
          <w:szCs w:val="24"/>
        </w:rPr>
        <w:fldChar w:fldCharType="separate"/>
      </w:r>
      <w:r w:rsidR="004F24F1" w:rsidRPr="00B77A30">
        <w:rPr>
          <w:rFonts w:ascii="Book Antiqua" w:hAnsi="Book Antiqua" w:cs="Times New Roman"/>
          <w:noProof/>
          <w:sz w:val="24"/>
          <w:szCs w:val="24"/>
          <w:vertAlign w:val="superscript"/>
        </w:rPr>
        <w:t>[35]</w:t>
      </w:r>
      <w:r w:rsidR="004F24F1" w:rsidRPr="00B77A30">
        <w:rPr>
          <w:rFonts w:ascii="Book Antiqua" w:hAnsi="Book Antiqua" w:cs="Times New Roman"/>
          <w:sz w:val="24"/>
          <w:szCs w:val="24"/>
        </w:rPr>
        <w:fldChar w:fldCharType="end"/>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confirmed a strong association between frailty, sarcopenia and </w:t>
      </w:r>
      <w:proofErr w:type="spellStart"/>
      <w:r w:rsidRPr="00B77A30">
        <w:rPr>
          <w:rFonts w:ascii="Book Antiqua" w:hAnsi="Book Antiqua" w:cs="Times New Roman"/>
          <w:sz w:val="24"/>
          <w:szCs w:val="24"/>
        </w:rPr>
        <w:t>peri</w:t>
      </w:r>
      <w:proofErr w:type="spellEnd"/>
      <w:r w:rsidRPr="00B77A30">
        <w:rPr>
          <w:rFonts w:ascii="Book Antiqua" w:hAnsi="Book Antiqua" w:cs="Times New Roman"/>
          <w:sz w:val="24"/>
          <w:szCs w:val="24"/>
        </w:rPr>
        <w:t xml:space="preserve">-operative risk of morbidity among patients undergoing </w:t>
      </w:r>
      <w:proofErr w:type="spellStart"/>
      <w:r w:rsidRPr="00B77A30">
        <w:rPr>
          <w:rFonts w:ascii="Book Antiqua" w:hAnsi="Book Antiqua" w:cs="Times New Roman"/>
          <w:sz w:val="24"/>
          <w:szCs w:val="24"/>
        </w:rPr>
        <w:t>esophagectomy</w:t>
      </w:r>
      <w:proofErr w:type="spellEnd"/>
      <w:r w:rsidRPr="00B77A30">
        <w:rPr>
          <w:rFonts w:ascii="Book Antiqua" w:hAnsi="Book Antiqua" w:cs="Times New Roman"/>
          <w:sz w:val="24"/>
          <w:szCs w:val="24"/>
        </w:rPr>
        <w:t xml:space="preserve">. Using preoperative computed tomography scans in 230 subjects who had undergone </w:t>
      </w:r>
      <w:proofErr w:type="spellStart"/>
      <w:r w:rsidRPr="00B77A30">
        <w:rPr>
          <w:rFonts w:ascii="Book Antiqua" w:hAnsi="Book Antiqua" w:cs="Times New Roman"/>
          <w:sz w:val="24"/>
          <w:szCs w:val="24"/>
        </w:rPr>
        <w:t>transhiatal</w:t>
      </w:r>
      <w:proofErr w:type="spellEnd"/>
      <w:r w:rsidRPr="00B77A30">
        <w:rPr>
          <w:rFonts w:ascii="Book Antiqua" w:hAnsi="Book Antiqua" w:cs="Times New Roman"/>
          <w:sz w:val="24"/>
          <w:szCs w:val="24"/>
        </w:rPr>
        <w:t xml:space="preserve"> </w:t>
      </w:r>
      <w:proofErr w:type="spellStart"/>
      <w:r w:rsidRPr="00B77A30">
        <w:rPr>
          <w:rFonts w:ascii="Book Antiqua" w:hAnsi="Book Antiqua" w:cs="Times New Roman"/>
          <w:sz w:val="24"/>
          <w:szCs w:val="24"/>
        </w:rPr>
        <w:t>esophagectomy</w:t>
      </w:r>
      <w:proofErr w:type="spellEnd"/>
      <w:r w:rsidRPr="00B77A30">
        <w:rPr>
          <w:rFonts w:ascii="Book Antiqua" w:hAnsi="Book Antiqua" w:cs="Times New Roman"/>
          <w:sz w:val="24"/>
          <w:szCs w:val="24"/>
        </w:rPr>
        <w:t xml:space="preserve"> for malignancy, the authors assessed lean psoas area (LPA) and correlated it with ov</w:t>
      </w:r>
      <w:r w:rsidR="004F24F1" w:rsidRPr="00B77A30">
        <w:rPr>
          <w:rFonts w:ascii="Book Antiqua" w:hAnsi="Book Antiqua" w:cs="Times New Roman"/>
          <w:sz w:val="24"/>
          <w:szCs w:val="24"/>
        </w:rPr>
        <w:t>erall and disease-free survival</w:t>
      </w:r>
      <w:r w:rsidR="002D038D" w:rsidRPr="00B77A30">
        <w:rPr>
          <w:rFonts w:ascii="Book Antiqua" w:hAnsi="Book Antiqua" w:cs="Times New Roman"/>
          <w:sz w:val="24"/>
          <w:szCs w:val="24"/>
        </w:rPr>
        <w:fldChar w:fldCharType="begin" w:fldLock="1"/>
      </w:r>
      <w:r w:rsidR="002D038D" w:rsidRPr="00B77A30">
        <w:rPr>
          <w:rFonts w:ascii="Book Antiqua" w:hAnsi="Book Antiqua" w:cs="Times New Roman"/>
          <w:sz w:val="24"/>
          <w:szCs w:val="24"/>
        </w:rPr>
        <w:instrText>ADDIN CSL_CITATION { "citationItems" : [ { "id" : "ITEM-1", "itemData" : { "DOI" : "10.1111/dote.12020", "ISSN" : "1442-2050", "PMID" : "23350746", "abstract" : "Preoperative risk assessment, particularly for patient frailty, remains largely subjective. This study evaluated the relationship between core muscle size and patient outcomes following esophagectomy for malignancy. Using preoperative computed tomography scans in 230 subjects who had undergone transhiatal esophagectomy for cancer between 2001 and 2010, lean psoas area (LPA), measured at the fourth lumbar vertebra, was determined. Cox proportional hazards regression was employed to analyze overall survival (OS) and disease-free survival (DFS) adjusted for age, gender, and stage, and the Akaike information criterion was used to determine each covariate contribution to OS and DFS. Univariate analysis demonstrated that increasing LPA correlated with both OS (P = 0.017) and DFS (P = 0.038). In multivariate analysis controlling for patient and tumor characteristics, LPA correlated with OS and DFS in patients who had not received neoadjuvant treatment (n = 64), with higher LPA associated with improved OS and DFS. Moreover, LPA was of equivalent, or slightly higher importance than pathologic stage. These measures were not predictive among patients (n = 166) receiving neoadjuvant chemoradiation. Core muscle size appears to be an independent predictor of both OS and DFS, as significant as tumor stage, in patients following transhiatal esophagectomy. Changes in muscle mass related to preoperative treatment may confound this effect. Assessment of core muscle size may provide an additional objective measure for risk stratification prior to undergoing esophagectomy.", "author" : [ { "dropping-particle" : "", "family" : "Sheetz", "given" : "K H", "non-dropping-particle" : "", "parse-names" : false, "suffix" : "" }, { "dropping-particle" : "", "family" : "Zhao", "given" : "L", "non-dropping-particle" : "", "parse-names" : false, "suffix" : "" }, { "dropping-particle" : "", "family" : "Holcombe", "given" : "S A", "non-dropping-particle" : "", "parse-names" : false, "suffix" : "" }, { "dropping-particle" : "", "family" : "Wang", "given" : "S C", "non-dropping-particle" : "", "parse-names" : false, "suffix" : "" }, { "dropping-particle" : "", "family" : "Reddy", "given" : "R M", "non-dropping-particle" : "", "parse-names" : false, "suffix" : "" }, { "dropping-particle" : "", "family" : "Lin", "given" : "J", "non-dropping-particle" : "", "parse-names" : false, "suffix" : "" }, { "dropping-particle" : "", "family" : "Orringer", "given" : "M B", "non-dropping-particle" : "", "parse-names" : false, "suffix" : "" }, { "dropping-particle" : "", "family" : "Chang", "given" : "A C", "non-dropping-particle" : "", "parse-names" : false, "suffix" : "" } ], "container-title" : "Diseases of the esophagus : official journal of the International Society for Diseases of the Esophagus / I.S.D.E", "id" : "ITEM-1", "issue" : "7", "issued" : { "date-parts" : [ [ "0", "1" ] ] }, "page" : "716-22", "title" : "Decreased core muscle size is associated with worse patient survival following esophagectomy for cancer.", "type" : "article-journal", "volume" : "26" }, "uris" : [ "http://www.mendeley.com/documents/?uuid=2b046a97-7e92-4418-b216-23eea72f707c" ] } ], "mendeley" : { "formattedCitation" : "&lt;sup&gt;[35]&lt;/sup&gt;", "plainTextFormattedCitation" : "[35]", "previouslyFormattedCitation" : "&lt;sup&gt;[35]&lt;/sup&gt;"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[35]</w:t>
      </w:r>
      <w:r w:rsidR="002D038D"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Analyses demonstrated that increasing LPA correlated with both overall and disease-free survival and the authors concluded that core muscle size appeared to be an i</w:t>
      </w:r>
      <w:r w:rsidR="004F24F1" w:rsidRPr="00B77A30">
        <w:rPr>
          <w:rFonts w:ascii="Book Antiqua" w:hAnsi="Book Antiqua" w:cs="Times New Roman"/>
          <w:sz w:val="24"/>
          <w:szCs w:val="24"/>
        </w:rPr>
        <w:t>ndependent predictor of outcome</w:t>
      </w:r>
      <w:r w:rsidR="002D038D" w:rsidRPr="00B77A30">
        <w:rPr>
          <w:rFonts w:ascii="Book Antiqua" w:hAnsi="Book Antiqua" w:cs="Times New Roman"/>
          <w:sz w:val="24"/>
          <w:szCs w:val="24"/>
        </w:rPr>
        <w:fldChar w:fldCharType="begin" w:fldLock="1"/>
      </w:r>
      <w:r w:rsidR="003F1EB8" w:rsidRPr="00B77A30">
        <w:rPr>
          <w:rFonts w:ascii="Book Antiqua" w:hAnsi="Book Antiqua" w:cs="Times New Roman"/>
          <w:sz w:val="24"/>
          <w:szCs w:val="24"/>
        </w:rPr>
        <w:instrText>ADDIN CSL_CITATION { "citationItems" : [ { "id" : "ITEM-1", "itemData" : { "DOI" : "10.1111/dote.12020", "ISSN" : "1442-2050", "PMID" : "23350746", "abstract" : "Preoperative risk assessment, particularly for patient frailty, remains largely subjective. This study evaluated the relationship between core muscle size and patient outcomes following esophagectomy for malignancy. Using preoperative computed tomography scans in 230 subjects who had undergone transhiatal esophagectomy for cancer between 2001 and 2010, lean psoas area (LPA), measured at the fourth lumbar vertebra, was determined. Cox proportional hazards regression was employed to analyze overall survival (OS) and disease-free survival (DFS) adjusted for age, gender, and stage, and the Akaike information criterion was used to determine each covariate contribution to OS and DFS. Univariate analysis demonstrated that increasing LPA correlated with both OS (P = 0.017) and DFS (P = 0.038). In multivariate analysis controlling for patient and tumor characteristics, LPA correlated with OS and DFS in patients who had not received neoadjuvant treatment (n = 64), with higher LPA associated with improved OS and DFS. Moreover, LPA was of equivalent, or slightly higher importance than pathologic stage. These measures were not predictive among patients (n = 166) receiving neoadjuvant chemoradiation. Core muscle size appears to be an independent predictor of both OS and DFS, as significant as tumor stage, in patients following transhiatal esophagectomy. Changes in muscle mass related to preoperative treatment may confound this effect. Assessment of core muscle size may provide an additional objective measure for risk stratification prior to undergoing esophagectomy.", "author" : [ { "dropping-particle" : "", "family" : "Sheetz", "given" : "K H", "non-dropping-particle" : "", "parse-names" : false, "suffix" : "" }, { "dropping-particle" : "", "family" : "Zhao", "given" : "L", "non-dropping-particle" : "", "parse-names" : false, "suffix" : "" }, { "dropping-particle" : "", "family" : "Holcombe", "given" : "S A", "non-dropping-particle" : "", "parse-names" : false, "suffix" : "" }, { "dropping-particle" : "", "family" : "Wang", "given" : "S C", "non-dropping-particle" : "", "parse-names" : false, "suffix" : "" }, { "dropping-particle" : "", "family" : "Reddy", "given" : "R M", "non-dropping-particle" : "", "parse-names" : false, "suffix" : "" }, { "dropping-particle" : "", "family" : "Lin", "given" : "J", "non-dropping-particle" : "", "parse-names" : false, "suffix" : "" }, { "dropping-particle" : "", "family" : "Orringer", "given" : "M B", "non-dropping-particle" : "", "parse-names" : false, "suffix" : "" }, { "dropping-particle" : "", "family" : "Chang", "given" : "A C", "non-dropping-particle" : "", "parse-names" : false, "suffix" : "" } ], "container-title" : "Diseases of the esophagus : official journal of the International Society for Diseases of the Esophagus / I.S.D.E", "id" : "ITEM-1", "issue" : "7", "issued" : { "date-parts" : [ [ "0", "1" ] ] }, "page" : "716-22", "title" : "Decreased core muscle size is associated with worse patient survival following esophagectomy for cancer.", "type" : "article-journal", "volume" : "26" }, "uris" : [ "http://www.mendeley.com/documents/?uuid=2b046a97-7e92-4418-b216-23eea72f707c" ] } ], "mendeley" : { "formattedCitation" : "&lt;sup&gt;[35]&lt;/sup&gt;", "plainTextFormattedCitation" : "[35]", "previouslyFormattedCitation" : "&lt;sup&gt;[35]&lt;/sup&gt;" }, "properties" : { "noteIndex" : 0 }, "schema" : "https://github.com/citation-style-language/schema/raw/master/csl-citation.json" }</w:instrText>
      </w:r>
      <w:r w:rsidR="002D038D" w:rsidRPr="00B77A30">
        <w:rPr>
          <w:rFonts w:ascii="Book Antiqua" w:hAnsi="Book Antiqua" w:cs="Times New Roman"/>
          <w:sz w:val="24"/>
          <w:szCs w:val="24"/>
        </w:rPr>
        <w:fldChar w:fldCharType="separate"/>
      </w:r>
      <w:r w:rsidR="002D038D" w:rsidRPr="00B77A30">
        <w:rPr>
          <w:rFonts w:ascii="Book Antiqua" w:hAnsi="Book Antiqua" w:cs="Times New Roman"/>
          <w:noProof/>
          <w:sz w:val="24"/>
          <w:szCs w:val="24"/>
          <w:vertAlign w:val="superscript"/>
        </w:rPr>
        <w:t>[35]</w:t>
      </w:r>
      <w:r w:rsidR="002D038D"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w:t>
      </w:r>
    </w:p>
    <w:p w14:paraId="78796E61" w14:textId="78248AA7" w:rsidR="005A19AC" w:rsidRPr="00B77A30" w:rsidRDefault="005A19AC" w:rsidP="00CB2DFE">
      <w:pPr>
        <w:spacing w:after="0" w:line="360" w:lineRule="auto"/>
        <w:ind w:firstLine="720"/>
        <w:jc w:val="both"/>
        <w:rPr>
          <w:rFonts w:ascii="Book Antiqua" w:hAnsi="Book Antiqua" w:cs="Times New Roman"/>
          <w:sz w:val="24"/>
          <w:szCs w:val="24"/>
        </w:rPr>
      </w:pPr>
      <w:r w:rsidRPr="00B77A30">
        <w:rPr>
          <w:rFonts w:ascii="Book Antiqua" w:hAnsi="Book Antiqua" w:cs="Times New Roman"/>
          <w:sz w:val="24"/>
          <w:szCs w:val="24"/>
        </w:rPr>
        <w:t xml:space="preserve">To date, the role of sarcopenia to predict </w:t>
      </w:r>
      <w:proofErr w:type="spellStart"/>
      <w:r w:rsidRPr="00B77A30">
        <w:rPr>
          <w:rFonts w:ascii="Book Antiqua" w:hAnsi="Book Antiqua" w:cs="Times New Roman"/>
          <w:sz w:val="24"/>
          <w:szCs w:val="24"/>
        </w:rPr>
        <w:t>peri</w:t>
      </w:r>
      <w:proofErr w:type="spellEnd"/>
      <w:r w:rsidRPr="00B77A30">
        <w:rPr>
          <w:rFonts w:ascii="Book Antiqua" w:hAnsi="Book Antiqua" w:cs="Times New Roman"/>
          <w:sz w:val="24"/>
          <w:szCs w:val="24"/>
        </w:rPr>
        <w:t xml:space="preserve">-operative outcomes among patients undergoing </w:t>
      </w:r>
      <w:proofErr w:type="spellStart"/>
      <w:r w:rsidRPr="00B77A30">
        <w:rPr>
          <w:rFonts w:ascii="Book Antiqua" w:hAnsi="Book Antiqua" w:cs="Times New Roman"/>
          <w:sz w:val="24"/>
          <w:szCs w:val="24"/>
        </w:rPr>
        <w:t>esophagectomy</w:t>
      </w:r>
      <w:proofErr w:type="spellEnd"/>
      <w:r w:rsidRPr="00B77A30">
        <w:rPr>
          <w:rFonts w:ascii="Book Antiqua" w:hAnsi="Book Antiqua" w:cs="Times New Roman"/>
          <w:sz w:val="24"/>
          <w:szCs w:val="24"/>
        </w:rPr>
        <w:t xml:space="preserve"> has been evaluated</w:t>
      </w:r>
      <w:r w:rsidR="004F24F1" w:rsidRPr="00B77A30">
        <w:rPr>
          <w:rFonts w:ascii="Book Antiqua" w:hAnsi="Book Antiqua" w:cs="Times New Roman"/>
          <w:sz w:val="24"/>
          <w:szCs w:val="24"/>
        </w:rPr>
        <w:t xml:space="preserve"> in only a handful of studies</w:t>
      </w:r>
      <w:r w:rsidR="003F1EB8" w:rsidRPr="00B77A30">
        <w:rPr>
          <w:rFonts w:ascii="Book Antiqua" w:hAnsi="Book Antiqua" w:cs="Times New Roman"/>
          <w:sz w:val="24"/>
          <w:szCs w:val="24"/>
        </w:rPr>
        <w:fldChar w:fldCharType="begin" w:fldLock="1"/>
      </w:r>
      <w:r w:rsidR="003F1EB8" w:rsidRPr="00B77A30">
        <w:rPr>
          <w:rFonts w:ascii="Book Antiqua" w:hAnsi="Book Antiqua" w:cs="Times New Roman"/>
          <w:sz w:val="24"/>
          <w:szCs w:val="24"/>
        </w:rPr>
        <w:instrText>ADDIN CSL_CITATION { "citationItems" : [ { "id" : "ITEM-1", "itemData" : { "DOI" : "10.1007/s00330-014-3110-4", "ISSN" : "1432-1084", "PMID" : "24535076", "abstract" : "OBJECTIVES: Sarcopenia and changes in body composition following neoadjuvant chemotherapy (NAC) may affect clinical outcome. We assessed the associations between CT body composition changes following NAC and outcomes in oesophageal cancer.\n\nMETHODS: A total of 35 patients who received NAC followed by oesophagectomy, and underwent CT assessment pre- and post-NAC were included. Fat mass (FM), fat-free mass (FFM), subcutaneous fat to muscle ratio (FMR) and visceral to subcutaneous adipose tissue ratio (VA/SA) were derived from CT. Changes in FM, FFM, FMR, VA/SA and sarcopenia were correlated to chemotherapy dose reductions, postoperative complications, length of hospital stay (LOS), circumferential resection margin (CRM), pathological chemotherapy response, disease-free survival (DFS) and overall survival (OS).\n\nRESULTS: Nine (26 %) patients were sarcopenic before NAC and this increased to 15 (43 %) after NAC. Average weight loss was 3.7 %\u2009\u00b1\u20096.4 (SD) in comparison to FM index (-1.2\u2009\u00b1\u20094.2), FFM index (-4.6\u2009\u00b1\u20096.8), FMR (-1.2\u2009\u00b1\u200924.3) and VA/SA (-62.3\u2009\u00b1\u200912.7). Changes in FM index (p\u2009=\u20090.022), FMR (p\u2009=\u20090.028), VA/SA (p\u2009=\u20090.024) and weight (p\u2009=\u20090.007) were significant univariable factors for CRM status. There was no significant association between changes in body composition and survival.\n\nCONCLUSIONS: Loss of FM, differential loss of VA/SA and skeletal muscle were associated with risk of CRM positivity.\n\nKEY POINTS: \u2022 Changes in CT body composition occur after neoadjuvant chemotherapy in oesophageal cancer. \u2022 Sarcopenia was more prevalent after neoadjuvant chemotherapy. \u2022 Fat mass, fat-free mass and weight decreased after neoadjuvant chemotherapy. \u2022 Changes in body composition were associated with CRM positivity. \u2022 Changes in body composition did not affect perioperative complications and survival.", "author" : [ { "dropping-particle" : "", "family" : "Yip", "given" : "Connie", "non-dropping-particle" : "", "parse-names" : false, "suffix" : "" }, { "dropping-particle" : "", "family" : "Goh", "given" : "Vicky", "non-dropping-particle" : "", "parse-names" : false, "suffix" : "" }, { "dropping-particle" : "", "family" : "Davies", "given" : "Andrew", "non-dropping-particle" : "", "parse-names" : false, "suffix" : "" }, { "dropping-particle" : "", "family" : "Gossage", "given" : "James", "non-dropping-particle" : "", "parse-names" : false, "suffix" : "" }, { "dropping-particle" : "", "family" : "Mitchell-Hay", "given" : "Rosalind", "non-dropping-particle" : "", "parse-names" : false, "suffix" : "" }, { "dropping-particle" : "", "family" : "Hynes", "given" : "Orla", "non-dropping-particle" : "", "parse-names" : false, "suffix" : "" }, { "dropping-particle" : "", "family" : "Maisey", "given" : "Nick", "non-dropping-particle" : "", "parse-names" : false, "suffix" : "" }, { "dropping-particle" : "", "family" : "Ross", "given" : "Paul", "non-dropping-particle" : "", "parse-names" : false, "suffix" : "" }, { "dropping-particle" : "", "family" : "Gaya", "given" : "Andrew", "non-dropping-particle" : "", "parse-names" : false, "suffix" : "" }, { "dropping-particle" : "", "family" : "Landau", "given" : "David B", "non-dropping-particle" : "", "parse-names" : false, "suffix" : "" }, { "dropping-particle" : "", "family" : "Cook", "given" : "Gary J", "non-dropping-particle" : "", "parse-names" : false, "suffix" : "" }, { "dropping-particle" : "", "family" : "Griffin", "given" : "Nyree", "non-dropping-particle" : "", "parse-names" : false, "suffix" : "" }, { "dropping-particle" : "", "family" : "Mason", "given" : "Robert", "non-dropping-particle" : "", "parse-names" : false, "suffix" : "" } ], "container-title" : "European radiology", "id" : "ITEM-1", "issue" : "5", "issued" : { "date-parts" : [ [ "2014", "5" ] ] }, "page" : "998-1005", "title" : "Assessment of sarcopenia and changes in body composition after neoadjuvant chemotherapy and associations with clinical outcomes in oesophageal cancer.", "type" : "article-journal", "volume" : "24" }, "uris" : [ "http://www.mendeley.com/documents/?uuid=2c3b1f64-0b6e-4804-a031-45fc3f7f6c2f" ] }, { "id" : "ITEM-2", "itemData" : { "DOI" : "10.1016/j.clnu.2011.08.008", "ISSN" : "1532-1983", "PMID" : "21875767", "abstract" : "BACKGROUND &amp; AIMS: Patients with sarcopenia [reduced fat free mass (FFM)] have a higher incidence of chemotherapy-related toxicity and decreased survival. As there are no such data in patients with oesophagogastric cancer (OGC), this study investigated changes in body composition in OGC patients receiving neoadjuvant chemotherapy (NAC).\n\nMETHODS: OGC patients who had CT scans before and after NAC were studied. CT images at the L3 vertebral level were analysed using SliceOmatic(\u00ae) software to derive estimates of FFM and fat mass (FM). Comparisons were made between pre- and post-NAC CT images. Data are reported as mean\u00a0\u00b1\u00a0SD.\n\nRESULTS: Forty-seven patients (34 male) aged 63\u00a0\u00b1\u00a012 years were studied and 79% completed their course of NAC. The interval between CT scans was 107\u00a0\u00b1\u00a027 days. The proportion of patients with sarcopenia increased from 57% pre-NAC to 79% post-NAC (p\u00a0=\u00a00.046). During NAC there were significant reductions in estimated FFM and FM (2.9\u00a0\u00b1\u00a04.7\u00a0kg, p\u00a0&lt;\u00a00.0001 and 1.3\u00a0\u00b1\u00a03.2\u00a0kg, p\u00a0=\u00a00.007, respectively). No association was demonstrated between loss of FFM and non-completion of NAC, increased hospital stay or mortality.\n\nCONCLUSIONS: In patients with OGC commencing NAC, sarcopenia was present in 57%. NAC was associated with further reductions in FFM and an increase in the proportion of patients becoming sarcopenic.", "author" : [ { "dropping-particle" : "", "family" : "Awad", "given" : "Sherif", "non-dropping-particle" : "", "parse-names" : false, "suffix" : "" }, { "dropping-particle" : "", "family" : "Tan", "given" : "Benjamin H", "non-dropping-particle" : "", "parse-names" : false, "suffix" : "" }, { "dropping-particle" : "", "family" : "Cui", "given" : "Helen", "non-dropping-particle" : "", "parse-names" : false, "suffix" : "" }, { "dropping-particle" : "", "family" : "Bhalla", "given" : "Ashish", "non-dropping-particle" : "", "parse-names" : false, "suffix" : "" }, { "dropping-particle" : "", "family" : "Fearon", "given" : "Kenneth C H", "non-dropping-particle" : "", "parse-names" : false, "suffix" : "" }, { "dropping-particle" : "", "family" : "Parsons", "given" : "Simon L", "non-dropping-particle" : "", "parse-names" : false, "suffix" : "" }, { "dropping-particle" : "", "family" : "Catton", "given" : "James A", "non-dropping-particle" : "", "parse-names" : false, "suffix" : "" }, { "dropping-particle" : "", "family" : "Lobo", "given" : "Dileep N", "non-dropping-particle" : "", "parse-names" : false, "suffix" : "" } ], "container-title" : "Clinical nutrition (Edinburgh, Scotland)", "id" : "ITEM-2", "issue" : "1", "issued" : { "date-parts" : [ [ "2012", "2" ] ] }, "page" : "74-7", "title" : "Marked changes in body composition following neoadjuvant chemotherapy for oesophagogastric cancer.", "type" : "article-journal", "volume" : "31" }, "uris" : [ "http://www.mendeley.com/documents/?uuid=8a8779da-6f33-4ea7-bbd6-924386210794" ] } ], "mendeley" : { "formattedCitation" : "&lt;sup&gt;[26,27]&lt;/sup&gt;", "plainTextFormattedCitation" : "[26,27]", "previouslyFormattedCitation" : "&lt;sup&gt;[26,27]&lt;/sup&gt;" }, "properties" : { "noteIndex" : 0 }, "schema" : "https://github.com/citation-style-language/schema/raw/master/csl-citation.json" }</w:instrText>
      </w:r>
      <w:r w:rsidR="003F1EB8" w:rsidRPr="00B77A30">
        <w:rPr>
          <w:rFonts w:ascii="Book Antiqua" w:hAnsi="Book Antiqua" w:cs="Times New Roman"/>
          <w:sz w:val="24"/>
          <w:szCs w:val="24"/>
        </w:rPr>
        <w:fldChar w:fldCharType="separate"/>
      </w:r>
      <w:r w:rsidR="003F1EB8" w:rsidRPr="00B77A30">
        <w:rPr>
          <w:rFonts w:ascii="Book Antiqua" w:hAnsi="Book Antiqua" w:cs="Times New Roman"/>
          <w:noProof/>
          <w:sz w:val="24"/>
          <w:szCs w:val="24"/>
          <w:vertAlign w:val="superscript"/>
        </w:rPr>
        <w:t>[26,27]</w:t>
      </w:r>
      <w:r w:rsidR="003F1EB8"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Yip </w:t>
      </w:r>
      <w:r w:rsidRPr="00B77A30">
        <w:rPr>
          <w:rFonts w:ascii="Book Antiqua" w:hAnsi="Book Antiqua" w:cs="Times New Roman"/>
          <w:i/>
          <w:sz w:val="24"/>
          <w:szCs w:val="24"/>
        </w:rPr>
        <w:t>et al</w:t>
      </w:r>
      <w:r w:rsidR="004F24F1" w:rsidRPr="00B77A30">
        <w:rPr>
          <w:rFonts w:ascii="Book Antiqua" w:hAnsi="Book Antiqua" w:cs="Times New Roman"/>
          <w:sz w:val="24"/>
          <w:szCs w:val="24"/>
        </w:rPr>
        <w:fldChar w:fldCharType="begin" w:fldLock="1"/>
      </w:r>
      <w:r w:rsidR="004F24F1" w:rsidRPr="00B77A30">
        <w:rPr>
          <w:rFonts w:ascii="Book Antiqua" w:hAnsi="Book Antiqua" w:cs="Times New Roman"/>
          <w:sz w:val="24"/>
          <w:szCs w:val="24"/>
        </w:rPr>
        <w:instrText>ADDIN CSL_CITATION { "citationItems" : [ { "id" : "ITEM-1", "itemData" : { "DOI" : "10.1007/s00330-014-3110-4", "ISSN" : "1432-1084", "PMID" : "24535076", "abstract" : "OBJECTIVES: Sarcopenia and changes in body composition following neoadjuvant chemotherapy (NAC) may affect clinical outcome. We assessed the associations between CT body composition changes following NAC and outcomes in oesophageal cancer.\n\nMETHODS: A total of 35 patients who received NAC followed by oesophagectomy, and underwent CT assessment pre- and post-NAC were included. Fat mass (FM), fat-free mass (FFM), subcutaneous fat to muscle ratio (FMR) and visceral to subcutaneous adipose tissue ratio (VA/SA) were derived from CT. Changes in FM, FFM, FMR, VA/SA and sarcopenia were correlated to chemotherapy dose reductions, postoperative complications, length of hospital stay (LOS), circumferential resection margin (CRM), pathological chemotherapy response, disease-free survival (DFS) and overall survival (OS).\n\nRESULTS: Nine (26 %) patients were sarcopenic before NAC and this increased to 15 (43 %) after NAC. Average weight loss was 3.7 %\u2009\u00b1\u20096.4 (SD) in comparison to FM index (-1.2\u2009\u00b1\u20094.2), FFM index (-4.6\u2009\u00b1\u20096.8), FMR (-1.2\u2009\u00b1\u200924.3) and VA/SA (-62.3\u2009\u00b1\u200912.7). Changes in FM index (p\u2009=\u20090.022), FMR (p\u2009=\u20090.028), VA/SA (p\u2009=\u20090.024) and weight (p\u2009=\u20090.007) were significant univariable factors for CRM status. There was no significant association between changes in body composition and survival.\n\nCONCLUSIONS: Loss of FM, differential loss of VA/SA and skeletal muscle were associated with risk of CRM positivity.\n\nKEY POINTS: \u2022 Changes in CT body composition occur after neoadjuvant chemotherapy in oesophageal cancer. \u2022 Sarcopenia was more prevalent after neoadjuvant chemotherapy. \u2022 Fat mass, fat-free mass and weight decreased after neoadjuvant chemotherapy. \u2022 Changes in body composition were associated with CRM positivity. \u2022 Changes in body composition did not affect perioperative complications and survival.", "author" : [ { "dropping-particle" : "", "family" : "Yip", "given" : "Connie", "non-dropping-particle" : "", "parse-names" : false, "suffix" : "" }, { "dropping-particle" : "", "family" : "Goh", "given" : "Vicky", "non-dropping-particle" : "", "parse-names" : false, "suffix" : "" }, { "dropping-particle" : "", "family" : "Davies", "given" : "Andrew", "non-dropping-particle" : "", "parse-names" : false, "suffix" : "" }, { "dropping-particle" : "", "family" : "Gossage", "given" : "James", "non-dropping-particle" : "", "parse-names" : false, "suffix" : "" }, { "dropping-particle" : "", "family" : "Mitchell-Hay", "given" : "Rosalind", "non-dropping-particle" : "", "parse-names" : false, "suffix" : "" }, { "dropping-particle" : "", "family" : "Hynes", "given" : "Orla", "non-dropping-particle" : "", "parse-names" : false, "suffix" : "" }, { "dropping-particle" : "", "family" : "Maisey", "given" : "Nick", "non-dropping-particle" : "", "parse-names" : false, "suffix" : "" }, { "dropping-particle" : "", "family" : "Ross", "given" : "Paul", "non-dropping-particle" : "", "parse-names" : false, "suffix" : "" }, { "dropping-particle" : "", "family" : "Gaya", "given" : "Andrew", "non-dropping-particle" : "", "parse-names" : false, "suffix" : "" }, { "dropping-particle" : "", "family" : "Landau", "given" : "David B", "non-dropping-particle" : "", "parse-names" : false, "suffix" : "" }, { "dropping-particle" : "", "family" : "Cook", "given" : "Gary J", "non-dropping-particle" : "", "parse-names" : false, "suffix" : "" }, { "dropping-particle" : "", "family" : "Griffin", "given" : "Nyree", "non-dropping-particle" : "", "parse-names" : false, "suffix" : "" }, { "dropping-particle" : "", "family" : "Mason", "given" : "Robert", "non-dropping-particle" : "", "parse-names" : false, "suffix" : "" } ], "container-title" : "European radiology", "id" : "ITEM-1", "issue" : "5", "issued" : { "date-parts" : [ [ "2014", "5" ] ] }, "page" : "998-1005", "title" : "Assessment of sarcopenia and changes in body composition after neoadjuvant chemotherapy and associations with clinical outcomes in oesophageal cancer.", "type" : "article-journal", "volume" : "24" }, "uris" : [ "http://www.mendeley.com/documents/?uuid=2c3b1f64-0b6e-4804-a031-45fc3f7f6c2f" ] } ], "mendeley" : { "formattedCitation" : "&lt;sup&gt;[26]&lt;/sup&gt;", "plainTextFormattedCitation" : "[26]", "previouslyFormattedCitation" : "&lt;sup&gt;[26]&lt;/sup&gt;" }, "properties" : { "noteIndex" : 0 }, "schema" : "https://github.com/citation-style-language/schema/raw/master/csl-citation.json" }</w:instrText>
      </w:r>
      <w:r w:rsidR="004F24F1" w:rsidRPr="00B77A30">
        <w:rPr>
          <w:rFonts w:ascii="Book Antiqua" w:hAnsi="Book Antiqua" w:cs="Times New Roman"/>
          <w:sz w:val="24"/>
          <w:szCs w:val="24"/>
        </w:rPr>
        <w:fldChar w:fldCharType="separate"/>
      </w:r>
      <w:r w:rsidR="004F24F1" w:rsidRPr="00B77A30">
        <w:rPr>
          <w:rFonts w:ascii="Book Antiqua" w:hAnsi="Book Antiqua" w:cs="Times New Roman"/>
          <w:noProof/>
          <w:sz w:val="24"/>
          <w:szCs w:val="24"/>
          <w:vertAlign w:val="superscript"/>
        </w:rPr>
        <w:t>[26]</w:t>
      </w:r>
      <w:r w:rsidR="004F24F1"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studied 35 patients who received neoadjuvant chemotherapy followed by surgical </w:t>
      </w:r>
      <w:r w:rsidR="004F24F1" w:rsidRPr="00B77A30">
        <w:rPr>
          <w:rFonts w:ascii="Book Antiqua" w:hAnsi="Book Antiqua" w:cs="Times New Roman"/>
          <w:sz w:val="24"/>
          <w:szCs w:val="24"/>
        </w:rPr>
        <w:t>resection for esophageal cancer</w:t>
      </w:r>
      <w:r w:rsidR="004F24F1" w:rsidRPr="00B77A30">
        <w:rPr>
          <w:rFonts w:ascii="Book Antiqua" w:hAnsi="Book Antiqua" w:cs="Times New Roman"/>
          <w:sz w:val="24"/>
          <w:szCs w:val="24"/>
          <w:lang w:eastAsia="zh-CN"/>
        </w:rPr>
        <w:t>.</w:t>
      </w:r>
      <w:r w:rsidR="003F1EB8" w:rsidRPr="00B77A30">
        <w:rPr>
          <w:rFonts w:ascii="Book Antiqua" w:hAnsi="Book Antiqua" w:cs="Times New Roman"/>
          <w:sz w:val="24"/>
          <w:szCs w:val="24"/>
        </w:rPr>
        <w:t xml:space="preserve"> </w:t>
      </w:r>
      <w:r w:rsidRPr="00B77A30">
        <w:rPr>
          <w:rFonts w:ascii="Book Antiqua" w:hAnsi="Book Antiqua" w:cs="Times New Roman"/>
          <w:sz w:val="24"/>
          <w:szCs w:val="24"/>
        </w:rPr>
        <w:t>The authors noted that changes in computed tomography body composition were associated with outcomes.</w:t>
      </w:r>
      <w:r w:rsidR="000A0F89">
        <w:rPr>
          <w:rFonts w:ascii="Book Antiqua" w:hAnsi="Book Antiqua" w:cs="Times New Roman"/>
          <w:sz w:val="24"/>
          <w:szCs w:val="24"/>
        </w:rPr>
        <w:t xml:space="preserve"> </w:t>
      </w:r>
      <w:r w:rsidRPr="00B77A30">
        <w:rPr>
          <w:rFonts w:ascii="Book Antiqua" w:hAnsi="Book Antiqua" w:cs="Times New Roman"/>
          <w:sz w:val="24"/>
          <w:szCs w:val="24"/>
        </w:rPr>
        <w:t>Specifically, fat mass, subcutaneous fat to muscle ratio (FMR) and visceral to subcutaneous adipose tissue ratio were each associated with circumferential resection margin.</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While sarcopenia was more prevalent after neoadjuvant chemotherapy, changes in body composition were not associated with perioperative complication or survival. In a separate study, </w:t>
      </w:r>
      <w:proofErr w:type="spellStart"/>
      <w:r w:rsidRPr="00B77A30">
        <w:rPr>
          <w:rFonts w:ascii="Book Antiqua" w:hAnsi="Book Antiqua" w:cs="Times New Roman"/>
          <w:sz w:val="24"/>
          <w:szCs w:val="24"/>
        </w:rPr>
        <w:t>Awad</w:t>
      </w:r>
      <w:proofErr w:type="spellEnd"/>
      <w:r w:rsidRPr="00B77A30">
        <w:rPr>
          <w:rFonts w:ascii="Book Antiqua" w:hAnsi="Book Antiqua" w:cs="Times New Roman"/>
          <w:sz w:val="24"/>
          <w:szCs w:val="24"/>
        </w:rPr>
        <w:t xml:space="preserve"> </w:t>
      </w:r>
      <w:r w:rsidRPr="00B77A30">
        <w:rPr>
          <w:rFonts w:ascii="Book Antiqua" w:hAnsi="Book Antiqua" w:cs="Times New Roman"/>
          <w:i/>
          <w:sz w:val="24"/>
          <w:szCs w:val="24"/>
        </w:rPr>
        <w:t>et al</w:t>
      </w:r>
      <w:r w:rsidR="004F24F1" w:rsidRPr="00B77A30">
        <w:rPr>
          <w:rFonts w:ascii="Book Antiqua" w:hAnsi="Book Antiqua" w:cs="Times New Roman"/>
          <w:sz w:val="24"/>
          <w:szCs w:val="24"/>
        </w:rPr>
        <w:fldChar w:fldCharType="begin" w:fldLock="1"/>
      </w:r>
      <w:r w:rsidR="004F24F1" w:rsidRPr="00B77A30">
        <w:rPr>
          <w:rFonts w:ascii="Book Antiqua" w:hAnsi="Book Antiqua" w:cs="Times New Roman"/>
          <w:sz w:val="24"/>
          <w:szCs w:val="24"/>
        </w:rPr>
        <w:instrText>ADDIN CSL_CITATION { "citationItems" : [ { "id" : "ITEM-1", "itemData" : { "DOI" : "10.1016/j.clnu.2011.08.008", "ISSN" : "1532-1983", "PMID" : "21875767", "abstract" : "BACKGROUND &amp; AIMS: Patients with sarcopenia [reduced fat free mass (FFM)] have a higher incidence of chemotherapy-related toxicity and decreased survival. As there are no such data in patients with oesophagogastric cancer (OGC), this study investigated changes in body composition in OGC patients receiving neoadjuvant chemotherapy (NAC).\n\nMETHODS: OGC patients who had CT scans before and after NAC were studied. CT images at the L3 vertebral level were analysed using SliceOmatic(\u00ae) software to derive estimates of FFM and fat mass (FM). Comparisons were made between pre- and post-NAC CT images. Data are reported as mean\u00a0\u00b1\u00a0SD.\n\nRESULTS: Forty-seven patients (34 male) aged 63\u00a0\u00b1\u00a012 years were studied and 79% completed their course of NAC. The interval between CT scans was 107\u00a0\u00b1\u00a027 days. The proportion of patients with sarcopenia increased from 57% pre-NAC to 79% post-NAC (p\u00a0=\u00a00.046). During NAC there were significant reductions in estimated FFM and FM (2.9\u00a0\u00b1\u00a04.7\u00a0kg, p\u00a0&lt;\u00a00.0001 and 1.3\u00a0\u00b1\u00a03.2\u00a0kg, p\u00a0=\u00a00.007, respectively). No association was demonstrated between loss of FFM and non-completion of NAC, increased hospital stay or mortality.\n\nCONCLUSIONS: In patients with OGC commencing NAC, sarcopenia was present in 57%. NAC was associated with further reductions in FFM and an increase in the proportion of patients becoming sarcopenic.", "author" : [ { "dropping-particle" : "", "family" : "Awad", "given" : "Sherif", "non-dropping-particle" : "", "parse-names" : false, "suffix" : "" }, { "dropping-particle" : "", "family" : "Tan", "given" : "Benjamin H", "non-dropping-particle" : "", "parse-names" : false, "suffix" : "" }, { "dropping-particle" : "", "family" : "Cui", "given" : "Helen", "non-dropping-particle" : "", "parse-names" : false, "suffix" : "" }, { "dropping-particle" : "", "family" : "Bhalla", "given" : "Ashish", "non-dropping-particle" : "", "parse-names" : false, "suffix" : "" }, { "dropping-particle" : "", "family" : "Fearon", "given" : "Kenneth C H", "non-dropping-particle" : "", "parse-names" : false, "suffix" : "" }, { "dropping-particle" : "", "family" : "Parsons", "given" : "Simon L", "non-dropping-particle" : "", "parse-names" : false, "suffix" : "" }, { "dropping-particle" : "", "family" : "Catton", "given" : "James A", "non-dropping-particle" : "", "parse-names" : false, "suffix" : "" }, { "dropping-particle" : "", "family" : "Lobo", "given" : "Dileep N", "non-dropping-particle" : "", "parse-names" : false, "suffix" : "" } ], "container-title" : "Clinical nutrition (Edinburgh, Scotland)", "id" : "ITEM-1", "issue" : "1", "issued" : { "date-parts" : [ [ "2012", "2" ] ] }, "page" : "74-7", "title" : "Marked changes in body composition following neoadjuvant chemotherapy for oesophagogastric cancer.", "type" : "article-journal", "volume" : "31" }, "uris" : [ "http://www.mendeley.com/documents/?uuid=8a8779da-6f33-4ea7-bbd6-924386210794" ] } ], "mendeley" : { "formattedCitation" : "&lt;sup&gt;[27]&lt;/sup&gt;", "plainTextFormattedCitation" : "[27]", "previouslyFormattedCitation" : "&lt;sup&gt;[27]&lt;/sup&gt;" }, "properties" : { "noteIndex" : 0 }, "schema" : "https://github.com/citation-style-language/schema/raw/master/csl-citation.json" }</w:instrText>
      </w:r>
      <w:r w:rsidR="004F24F1" w:rsidRPr="00B77A30">
        <w:rPr>
          <w:rFonts w:ascii="Book Antiqua" w:hAnsi="Book Antiqua" w:cs="Times New Roman"/>
          <w:sz w:val="24"/>
          <w:szCs w:val="24"/>
        </w:rPr>
        <w:fldChar w:fldCharType="separate"/>
      </w:r>
      <w:r w:rsidR="004F24F1" w:rsidRPr="00B77A30">
        <w:rPr>
          <w:rFonts w:ascii="Book Antiqua" w:hAnsi="Book Antiqua" w:cs="Times New Roman"/>
          <w:noProof/>
          <w:sz w:val="24"/>
          <w:szCs w:val="24"/>
          <w:vertAlign w:val="superscript"/>
        </w:rPr>
        <w:t>[27]</w:t>
      </w:r>
      <w:r w:rsidR="004F24F1"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similarly noted marked changes in body composition following neoadjuvant chemotherapy for esophageal cancer.</w:t>
      </w:r>
      <w:r w:rsidR="000A0F89">
        <w:rPr>
          <w:rFonts w:ascii="Book Antiqua" w:hAnsi="Book Antiqua" w:cs="Times New Roman"/>
          <w:sz w:val="24"/>
          <w:szCs w:val="24"/>
        </w:rPr>
        <w:t xml:space="preserve"> </w:t>
      </w:r>
      <w:r w:rsidRPr="00B77A30">
        <w:rPr>
          <w:rFonts w:ascii="Book Antiqua" w:hAnsi="Book Antiqua" w:cs="Times New Roman"/>
          <w:sz w:val="24"/>
          <w:szCs w:val="24"/>
        </w:rPr>
        <w:t>In this study, the authors reported on 47 patients treated with neoadjuvant chemo</w:t>
      </w:r>
      <w:r w:rsidR="004F24F1" w:rsidRPr="00B77A30">
        <w:rPr>
          <w:rFonts w:ascii="Book Antiqua" w:hAnsi="Book Antiqua" w:cs="Times New Roman"/>
          <w:sz w:val="24"/>
          <w:szCs w:val="24"/>
        </w:rPr>
        <w:t xml:space="preserve">therapy for esophageal cancer. </w:t>
      </w:r>
      <w:r w:rsidRPr="00B77A30">
        <w:rPr>
          <w:rFonts w:ascii="Book Antiqua" w:hAnsi="Book Antiqua" w:cs="Times New Roman"/>
          <w:sz w:val="24"/>
          <w:szCs w:val="24"/>
        </w:rPr>
        <w:t>The proportion of patients with sarcopenia increased from 57% pre-therapy to 79% post-neoadjuvant therapy.</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Similar to the study by </w:t>
      </w:r>
      <w:r w:rsidR="004F24F1" w:rsidRPr="00B77A30">
        <w:rPr>
          <w:rFonts w:ascii="Book Antiqua" w:hAnsi="Book Antiqua" w:cs="Times New Roman"/>
          <w:i/>
          <w:sz w:val="24"/>
          <w:szCs w:val="24"/>
        </w:rPr>
        <w:t>et al</w:t>
      </w:r>
      <w:r w:rsidR="004F24F1" w:rsidRPr="00B77A30">
        <w:rPr>
          <w:rFonts w:ascii="Book Antiqua" w:hAnsi="Book Antiqua" w:cs="Times New Roman"/>
          <w:sz w:val="24"/>
          <w:szCs w:val="24"/>
        </w:rPr>
        <w:fldChar w:fldCharType="begin" w:fldLock="1"/>
      </w:r>
      <w:r w:rsidR="004F24F1" w:rsidRPr="00B77A30">
        <w:rPr>
          <w:rFonts w:ascii="Book Antiqua" w:hAnsi="Book Antiqua" w:cs="Times New Roman"/>
          <w:sz w:val="24"/>
          <w:szCs w:val="24"/>
        </w:rPr>
        <w:instrText>ADDIN CSL_CITATION { "citationItems" : [ { "id" : "ITEM-1", "itemData" : { "DOI" : "10.1007/s00330-014-3110-4", "ISSN" : "1432-1084", "PMID" : "24535076", "abstract" : "OBJECTIVES: Sarcopenia and changes in body composition following neoadjuvant chemotherapy (NAC) may affect clinical outcome. We assessed the associations between CT body composition changes following NAC and outcomes in oesophageal cancer.\n\nMETHODS: A total of 35 patients who received NAC followed by oesophagectomy, and underwent CT assessment pre- and post-NAC were included. Fat mass (FM), fat-free mass (FFM), subcutaneous fat to muscle ratio (FMR) and visceral to subcutaneous adipose tissue ratio (VA/SA) were derived from CT. Changes in FM, FFM, FMR, VA/SA and sarcopenia were correlated to chemotherapy dose reductions, postoperative complications, length of hospital stay (LOS), circumferential resection margin (CRM), pathological chemotherapy response, disease-free survival (DFS) and overall survival (OS).\n\nRESULTS: Nine (26 %) patients were sarcopenic before NAC and this increased to 15 (43 %) after NAC. Average weight loss was 3.7 %\u2009\u00b1\u20096.4 (SD) in comparison to FM index (-1.2\u2009\u00b1\u20094.2), FFM index (-4.6\u2009\u00b1\u20096.8), FMR (-1.2\u2009\u00b1\u200924.3) and VA/SA (-62.3\u2009\u00b1\u200912.7). Changes in FM index (p\u2009=\u20090.022), FMR (p\u2009=\u20090.028), VA/SA (p\u2009=\u20090.024) and weight (p\u2009=\u20090.007) were significant univariable factors for CRM status. There was no significant association between changes in body composition and survival.\n\nCONCLUSIONS: Loss of FM, differential loss of VA/SA and skeletal muscle were associated with risk of CRM positivity.\n\nKEY POINTS: \u2022 Changes in CT body composition occur after neoadjuvant chemotherapy in oesophageal cancer. \u2022 Sarcopenia was more prevalent after neoadjuvant chemotherapy. \u2022 Fat mass, fat-free mass and weight decreased after neoadjuvant chemotherapy. \u2022 Changes in body composition were associated with CRM positivity. \u2022 Changes in body composition did not affect perioperative complications and survival.", "author" : [ { "dropping-particle" : "", "family" : "Yip", "given" : "Connie", "non-dropping-particle" : "", "parse-names" : false, "suffix" : "" }, { "dropping-particle" : "", "family" : "Goh", "given" : "Vicky", "non-dropping-particle" : "", "parse-names" : false, "suffix" : "" }, { "dropping-particle" : "", "family" : "Davies", "given" : "Andrew", "non-dropping-particle" : "", "parse-names" : false, "suffix" : "" }, { "dropping-particle" : "", "family" : "Gossage", "given" : "James", "non-dropping-particle" : "", "parse-names" : false, "suffix" : "" }, { "dropping-particle" : "", "family" : "Mitchell-Hay", "given" : "Rosalind", "non-dropping-particle" : "", "parse-names" : false, "suffix" : "" }, { "dropping-particle" : "", "family" : "Hynes", "given" : "Orla", "non-dropping-particle" : "", "parse-names" : false, "suffix" : "" }, { "dropping-particle" : "", "family" : "Maisey", "given" : "Nick", "non-dropping-particle" : "", "parse-names" : false, "suffix" : "" }, { "dropping-particle" : "", "family" : "Ross", "given" : "Paul", "non-dropping-particle" : "", "parse-names" : false, "suffix" : "" }, { "dropping-particle" : "", "family" : "Gaya", "given" : "Andrew", "non-dropping-particle" : "", "parse-names" : false, "suffix" : "" }, { "dropping-particle" : "", "family" : "Landau", "given" : "David B", "non-dropping-particle" : "", "parse-names" : false, "suffix" : "" }, { "dropping-particle" : "", "family" : "Cook", "given" : "Gary J", "non-dropping-particle" : "", "parse-names" : false, "suffix" : "" }, { "dropping-particle" : "", "family" : "Griffin", "given" : "Nyree", "non-dropping-particle" : "", "parse-names" : false, "suffix" : "" }, { "dropping-particle" : "", "family" : "Mason", "given" : "Robert", "non-dropping-particle" : "", "parse-names" : false, "suffix" : "" } ], "container-title" : "European radiology", "id" : "ITEM-1", "issue" : "5", "issued" : { "date-parts" : [ [ "2014", "5" ] ] }, "page" : "998-1005", "title" : "Assessment of sarcopenia and changes in body composition after neoadjuvant chemotherapy and associations with clinical outcomes in oesophageal cancer.", "type" : "article-journal", "volume" : "24" }, "uris" : [ "http://www.mendeley.com/documents/?uuid=2c3b1f64-0b6e-4804-a031-45fc3f7f6c2f" ] } ], "mendeley" : { "formattedCitation" : "&lt;sup&gt;[26]&lt;/sup&gt;", "plainTextFormattedCitation" : "[26]", "previouslyFormattedCitation" : "&lt;sup&gt;[26]&lt;/sup&gt;" }, "properties" : { "noteIndex" : 0 }, "schema" : "https://github.com/citation-style-language/schema/raw/master/csl-citation.json" }</w:instrText>
      </w:r>
      <w:r w:rsidR="004F24F1" w:rsidRPr="00B77A30">
        <w:rPr>
          <w:rFonts w:ascii="Book Antiqua" w:hAnsi="Book Antiqua" w:cs="Times New Roman"/>
          <w:sz w:val="24"/>
          <w:szCs w:val="24"/>
        </w:rPr>
        <w:fldChar w:fldCharType="separate"/>
      </w:r>
      <w:r w:rsidR="004F24F1" w:rsidRPr="00B77A30">
        <w:rPr>
          <w:rFonts w:ascii="Book Antiqua" w:hAnsi="Book Antiqua" w:cs="Times New Roman"/>
          <w:noProof/>
          <w:sz w:val="24"/>
          <w:szCs w:val="24"/>
          <w:vertAlign w:val="superscript"/>
        </w:rPr>
        <w:t>[26]</w:t>
      </w:r>
      <w:r w:rsidR="004F24F1" w:rsidRPr="00B77A30">
        <w:rPr>
          <w:rFonts w:ascii="Book Antiqua" w:hAnsi="Book Antiqua" w:cs="Times New Roman"/>
          <w:sz w:val="24"/>
          <w:szCs w:val="24"/>
        </w:rPr>
        <w:fldChar w:fldCharType="end"/>
      </w:r>
      <w:r w:rsidRPr="00B77A30">
        <w:rPr>
          <w:rFonts w:ascii="Book Antiqua" w:hAnsi="Book Antiqua" w:cs="Times New Roman"/>
          <w:sz w:val="24"/>
          <w:szCs w:val="24"/>
        </w:rPr>
        <w:t>, no association was demonstrated between sarcopenia and hospital stay, morbidity or mortality.</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Given the very small number of patients included in the studies by Yip </w:t>
      </w:r>
      <w:r w:rsidR="004F24F1" w:rsidRPr="00B77A30">
        <w:rPr>
          <w:rFonts w:ascii="Book Antiqua" w:hAnsi="Book Antiqua" w:cs="Times New Roman"/>
          <w:i/>
          <w:sz w:val="24"/>
          <w:szCs w:val="24"/>
        </w:rPr>
        <w:t>et al</w:t>
      </w:r>
      <w:r w:rsidR="004F24F1" w:rsidRPr="00B77A30">
        <w:rPr>
          <w:rFonts w:ascii="Book Antiqua" w:hAnsi="Book Antiqua" w:cs="Times New Roman"/>
          <w:sz w:val="24"/>
          <w:szCs w:val="24"/>
        </w:rPr>
        <w:fldChar w:fldCharType="begin" w:fldLock="1"/>
      </w:r>
      <w:r w:rsidR="004F24F1" w:rsidRPr="00B77A30">
        <w:rPr>
          <w:rFonts w:ascii="Book Antiqua" w:hAnsi="Book Antiqua" w:cs="Times New Roman"/>
          <w:sz w:val="24"/>
          <w:szCs w:val="24"/>
        </w:rPr>
        <w:instrText>ADDIN CSL_CITATION { "citationItems" : [ { "id" : "ITEM-1", "itemData" : { "DOI" : "10.1007/s00330-014-3110-4", "ISSN" : "1432-1084", "PMID" : "24535076", "abstract" : "OBJECTIVES: Sarcopenia and changes in body composition following neoadjuvant chemotherapy (NAC) may affect clinical outcome. We assessed the associations between CT body composition changes following NAC and outcomes in oesophageal cancer.\n\nMETHODS: A total of 35 patients who received NAC followed by oesophagectomy, and underwent CT assessment pre- and post-NAC were included. Fat mass (FM), fat-free mass (FFM), subcutaneous fat to muscle ratio (FMR) and visceral to subcutaneous adipose tissue ratio (VA/SA) were derived from CT. Changes in FM, FFM, FMR, VA/SA and sarcopenia were correlated to chemotherapy dose reductions, postoperative complications, length of hospital stay (LOS), circumferential resection margin (CRM), pathological chemotherapy response, disease-free survival (DFS) and overall survival (OS).\n\nRESULTS: Nine (26 %) patients were sarcopenic before NAC and this increased to 15 (43 %) after NAC. Average weight loss was 3.7 %\u2009\u00b1\u20096.4 (SD) in comparison to FM index (-1.2\u2009\u00b1\u20094.2), FFM index (-4.6\u2009\u00b1\u20096.8), FMR (-1.2\u2009\u00b1\u200924.3) and VA/SA (-62.3\u2009\u00b1\u200912.7). Changes in FM index (p\u2009=\u20090.022), FMR (p\u2009=\u20090.028), VA/SA (p\u2009=\u20090.024) and weight (p\u2009=\u20090.007) were significant univariable factors for CRM status. There was no significant association between changes in body composition and survival.\n\nCONCLUSIONS: Loss of FM, differential loss of VA/SA and skeletal muscle were associated with risk of CRM positivity.\n\nKEY POINTS: \u2022 Changes in CT body composition occur after neoadjuvant chemotherapy in oesophageal cancer. \u2022 Sarcopenia was more prevalent after neoadjuvant chemotherapy. \u2022 Fat mass, fat-free mass and weight decreased after neoadjuvant chemotherapy. \u2022 Changes in body composition were associated with CRM positivity. \u2022 Changes in body composition did not affect perioperative complications and survival.", "author" : [ { "dropping-particle" : "", "family" : "Yip", "given" : "Connie", "non-dropping-particle" : "", "parse-names" : false, "suffix" : "" }, { "dropping-particle" : "", "family" : "Goh", "given" : "Vicky", "non-dropping-particle" : "", "parse-names" : false, "suffix" : "" }, { "dropping-particle" : "", "family" : "Davies", "given" : "Andrew", "non-dropping-particle" : "", "parse-names" : false, "suffix" : "" }, { "dropping-particle" : "", "family" : "Gossage", "given" : "James", "non-dropping-particle" : "", "parse-names" : false, "suffix" : "" }, { "dropping-particle" : "", "family" : "Mitchell-Hay", "given" : "Rosalind", "non-dropping-particle" : "", "parse-names" : false, "suffix" : "" }, { "dropping-particle" : "", "family" : "Hynes", "given" : "Orla", "non-dropping-particle" : "", "parse-names" : false, "suffix" : "" }, { "dropping-particle" : "", "family" : "Maisey", "given" : "Nick", "non-dropping-particle" : "", "parse-names" : false, "suffix" : "" }, { "dropping-particle" : "", "family" : "Ross", "given" : "Paul", "non-dropping-particle" : "", "parse-names" : false, "suffix" : "" }, { "dropping-particle" : "", "family" : "Gaya", "given" : "Andrew", "non-dropping-particle" : "", "parse-names" : false, "suffix" : "" }, { "dropping-particle" : "", "family" : "Landau", "given" : "David B", "non-dropping-particle" : "", "parse-names" : false, "suffix" : "" }, { "dropping-particle" : "", "family" : "Cook", "given" : "Gary J", "non-dropping-particle" : "", "parse-names" : false, "suffix" : "" }, { "dropping-particle" : "", "family" : "Griffin", "given" : "Nyree", "non-dropping-particle" : "", "parse-names" : false, "suffix" : "" }, { "dropping-particle" : "", "family" : "Mason", "given" : "Robert", "non-dropping-particle" : "", "parse-names" : false, "suffix" : "" } ], "container-title" : "European radiology", "id" : "ITEM-1", "issue" : "5", "issued" : { "date-parts" : [ [ "2014", "5" ] ] }, "page" : "998-1005", "title" : "Assessment of sarcopenia and changes in body composition after neoadjuvant chemotherapy and associations with clinical outcomes in oesophageal cancer.", "type" : "article-journal", "volume" : "24" }, "uris" : [ "http://www.mendeley.com/documents/?uuid=2c3b1f64-0b6e-4804-a031-45fc3f7f6c2f" ] } ], "mendeley" : { "formattedCitation" : "&lt;sup&gt;[26]&lt;/sup&gt;", "plainTextFormattedCitation" : "[26]", "previouslyFormattedCitation" : "&lt;sup&gt;[26]&lt;/sup&gt;" }, "properties" : { "noteIndex" : 0 }, "schema" : "https://github.com/citation-style-language/schema/raw/master/csl-citation.json" }</w:instrText>
      </w:r>
      <w:r w:rsidR="004F24F1" w:rsidRPr="00B77A30">
        <w:rPr>
          <w:rFonts w:ascii="Book Antiqua" w:hAnsi="Book Antiqua" w:cs="Times New Roman"/>
          <w:sz w:val="24"/>
          <w:szCs w:val="24"/>
        </w:rPr>
        <w:fldChar w:fldCharType="separate"/>
      </w:r>
      <w:r w:rsidR="004F24F1" w:rsidRPr="00B77A30">
        <w:rPr>
          <w:rFonts w:ascii="Book Antiqua" w:hAnsi="Book Antiqua" w:cs="Times New Roman"/>
          <w:noProof/>
          <w:sz w:val="24"/>
          <w:szCs w:val="24"/>
          <w:vertAlign w:val="superscript"/>
        </w:rPr>
        <w:t>[26]</w:t>
      </w:r>
      <w:r w:rsidR="004F24F1" w:rsidRPr="00B77A30">
        <w:rPr>
          <w:rFonts w:ascii="Book Antiqua" w:hAnsi="Book Antiqua" w:cs="Times New Roman"/>
          <w:sz w:val="24"/>
          <w:szCs w:val="24"/>
        </w:rPr>
        <w:fldChar w:fldCharType="end"/>
      </w:r>
      <w:r w:rsidRPr="00B77A30">
        <w:rPr>
          <w:rFonts w:ascii="Book Antiqua" w:hAnsi="Book Antiqua" w:cs="Times New Roman"/>
          <w:sz w:val="24"/>
          <w:szCs w:val="24"/>
        </w:rPr>
        <w:t xml:space="preserve"> (</w:t>
      </w:r>
      <w:r w:rsidRPr="00B77A30">
        <w:rPr>
          <w:rFonts w:ascii="Book Antiqua" w:hAnsi="Book Antiqua" w:cs="Times New Roman"/>
          <w:i/>
          <w:sz w:val="24"/>
          <w:szCs w:val="24"/>
        </w:rPr>
        <w:t>n</w:t>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w:t>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35) and </w:t>
      </w:r>
      <w:proofErr w:type="spellStart"/>
      <w:r w:rsidRPr="00B77A30">
        <w:rPr>
          <w:rFonts w:ascii="Book Antiqua" w:hAnsi="Book Antiqua" w:cs="Times New Roman"/>
          <w:sz w:val="24"/>
          <w:szCs w:val="24"/>
        </w:rPr>
        <w:t>Awad</w:t>
      </w:r>
      <w:proofErr w:type="spellEnd"/>
      <w:r w:rsidRPr="00B77A30">
        <w:rPr>
          <w:rFonts w:ascii="Book Antiqua" w:hAnsi="Book Antiqua" w:cs="Times New Roman"/>
          <w:sz w:val="24"/>
          <w:szCs w:val="24"/>
        </w:rPr>
        <w:t xml:space="preserve"> </w:t>
      </w:r>
      <w:r w:rsidR="004F24F1" w:rsidRPr="00B77A30">
        <w:rPr>
          <w:rFonts w:ascii="Book Antiqua" w:hAnsi="Book Antiqua" w:cs="Times New Roman"/>
          <w:i/>
          <w:sz w:val="24"/>
          <w:szCs w:val="24"/>
        </w:rPr>
        <w:t>et al</w:t>
      </w:r>
      <w:r w:rsidR="004F24F1" w:rsidRPr="00B77A30">
        <w:rPr>
          <w:rFonts w:ascii="Book Antiqua" w:hAnsi="Book Antiqua" w:cs="Times New Roman"/>
          <w:sz w:val="24"/>
          <w:szCs w:val="24"/>
        </w:rPr>
        <w:fldChar w:fldCharType="begin" w:fldLock="1"/>
      </w:r>
      <w:r w:rsidR="004F24F1" w:rsidRPr="00B77A30">
        <w:rPr>
          <w:rFonts w:ascii="Book Antiqua" w:hAnsi="Book Antiqua" w:cs="Times New Roman"/>
          <w:sz w:val="24"/>
          <w:szCs w:val="24"/>
        </w:rPr>
        <w:instrText>ADDIN CSL_CITATION { "citationItems" : [ { "id" : "ITEM-1", "itemData" : { "DOI" : "10.1007/s00330-014-3110-4", "ISSN" : "1432-1084", "PMID" : "24535076", "abstract" : "OBJECTIVES: Sarcopenia and changes in body composition following neoadjuvant chemotherapy (NAC) may affect clinical outcome. We assessed the associations between CT body composition changes following NAC and outcomes in oesophageal cancer.\n\nMETHODS: A total of 35 patients who received NAC followed by oesophagectomy, and underwent CT assessment pre- and post-NAC were included. Fat mass (FM), fat-free mass (FFM), subcutaneous fat to muscle ratio (FMR) and visceral to subcutaneous adipose tissue ratio (VA/SA) were derived from CT. Changes in FM, FFM, FMR, VA/SA and sarcopenia were correlated to chemotherapy dose reductions, postoperative complications, length of hospital stay (LOS), circumferential resection margin (CRM), pathological chemotherapy response, disease-free survival (DFS) and overall survival (OS).\n\nRESULTS: Nine (26 %) patients were sarcopenic before NAC and this increased to 15 (43 %) after NAC. Average weight loss was 3.7 %\u2009\u00b1\u20096.4 (SD) in comparison to FM index (-1.2\u2009\u00b1\u20094.2), FFM index (-4.6\u2009\u00b1\u20096.8), FMR (-1.2\u2009\u00b1\u200924.3) and VA/SA (-62.3\u2009\u00b1\u200912.7). Changes in FM index (p\u2009=\u20090.022), FMR (p\u2009=\u20090.028), VA/SA (p\u2009=\u20090.024) and weight (p\u2009=\u20090.007) were significant univariable factors for CRM status. There was no significant association between changes in body composition and survival.\n\nCONCLUSIONS: Loss of FM, differential loss of VA/SA and skeletal muscle were associated with risk of CRM positivity.\n\nKEY POINTS: \u2022 Changes in CT body composition occur after neoadjuvant chemotherapy in oesophageal cancer. \u2022 Sarcopenia was more prevalent after neoadjuvant chemotherapy. \u2022 Fat mass, fat-free mass and weight decreased after neoadjuvant chemotherapy. \u2022 Changes in body composition were associated with CRM positivity. \u2022 Changes in body composition did not affect perioperative complications and survival.", "author" : [ { "dropping-particle" : "", "family" : "Yip", "given" : "Connie", "non-dropping-particle" : "", "parse-names" : false, "suffix" : "" }, { "dropping-particle" : "", "family" : "Goh", "given" : "Vicky", "non-dropping-particle" : "", "parse-names" : false, "suffix" : "" }, { "dropping-particle" : "", "family" : "Davies", "given" : "Andrew", "non-dropping-particle" : "", "parse-names" : false, "suffix" : "" }, { "dropping-particle" : "", "family" : "Gossage", "given" : "James", "non-dropping-particle" : "", "parse-names" : false, "suffix" : "" }, { "dropping-particle" : "", "family" : "Mitchell-Hay", "given" : "Rosalind", "non-dropping-particle" : "", "parse-names" : false, "suffix" : "" }, { "dropping-particle" : "", "family" : "Hynes", "given" : "Orla", "non-dropping-particle" : "", "parse-names" : false, "suffix" : "" }, { "dropping-particle" : "", "family" : "Maisey", "given" : "Nick", "non-dropping-particle" : "", "parse-names" : false, "suffix" : "" }, { "dropping-particle" : "", "family" : "Ross", "given" : "Paul", "non-dropping-particle" : "", "parse-names" : false, "suffix" : "" }, { "dropping-particle" : "", "family" : "Gaya", "given" : "Andrew", "non-dropping-particle" : "", "parse-names" : false, "suffix" : "" }, { "dropping-particle" : "", "family" : "Landau", "given" : "David B", "non-dropping-particle" : "", "parse-names" : false, "suffix" : "" }, { "dropping-particle" : "", "family" : "Cook", "given" : "Gary J", "non-dropping-particle" : "", "parse-names" : false, "suffix" : "" }, { "dropping-particle" : "", "family" : "Griffin", "given" : "Nyree", "non-dropping-particle" : "", "parse-names" : false, "suffix" : "" }, { "dropping-particle" : "", "family" : "Mason", "given" : "Robert", "non-dropping-particle" : "", "parse-names" : false, "suffix" : "" } ], "container-title" : "European radiology", "id" : "ITEM-1", "issue" : "5", "issued" : { "date-parts" : [ [ "2014", "5" ] ] }, "page" : "998-1005", "title" : "Assessment of sarcopenia and changes in body composition after neoadjuvant chemotherapy and associations with clinical outcomes in oesophageal cancer.", "type" : "article-journal", "volume" : "24" }, "uris" : [ "http://www.mendeley.com/documents/?uuid=2c3b1f64-0b6e-4804-a031-45fc3f7f6c2f" ] } ], "mendeley" : { "formattedCitation" : "&lt;sup&gt;[26]&lt;/sup&gt;", "plainTextFormattedCitation" : "[26]", "previouslyFormattedCitation" : "&lt;sup&gt;[26]&lt;/sup&gt;" }, "properties" : { "noteIndex" : 0 }, "schema" : "https://github.com/citation-style-language/schema/raw/master/csl-citation.json" }</w:instrText>
      </w:r>
      <w:r w:rsidR="004F24F1" w:rsidRPr="00B77A30">
        <w:rPr>
          <w:rFonts w:ascii="Book Antiqua" w:hAnsi="Book Antiqua" w:cs="Times New Roman"/>
          <w:sz w:val="24"/>
          <w:szCs w:val="24"/>
        </w:rPr>
        <w:fldChar w:fldCharType="separate"/>
      </w:r>
      <w:r w:rsidR="004F24F1" w:rsidRPr="00B77A30">
        <w:rPr>
          <w:rFonts w:ascii="Book Antiqua" w:hAnsi="Book Antiqua" w:cs="Times New Roman"/>
          <w:noProof/>
          <w:sz w:val="24"/>
          <w:szCs w:val="24"/>
          <w:vertAlign w:val="superscript"/>
        </w:rPr>
        <w:t>[</w:t>
      </w:r>
      <w:r w:rsidR="004F24F1" w:rsidRPr="00B77A30">
        <w:rPr>
          <w:rFonts w:ascii="Book Antiqua" w:hAnsi="Book Antiqua" w:cs="Times New Roman"/>
          <w:noProof/>
          <w:sz w:val="24"/>
          <w:szCs w:val="24"/>
          <w:vertAlign w:val="superscript"/>
          <w:lang w:eastAsia="zh-CN"/>
        </w:rPr>
        <w:t>27</w:t>
      </w:r>
      <w:r w:rsidR="004F24F1" w:rsidRPr="00B77A30">
        <w:rPr>
          <w:rFonts w:ascii="Book Antiqua" w:hAnsi="Book Antiqua" w:cs="Times New Roman"/>
          <w:noProof/>
          <w:sz w:val="24"/>
          <w:szCs w:val="24"/>
          <w:vertAlign w:val="superscript"/>
        </w:rPr>
        <w:t>]</w:t>
      </w:r>
      <w:r w:rsidR="004F24F1" w:rsidRPr="00B77A30">
        <w:rPr>
          <w:rFonts w:ascii="Book Antiqua" w:hAnsi="Book Antiqua" w:cs="Times New Roman"/>
          <w:sz w:val="24"/>
          <w:szCs w:val="24"/>
        </w:rPr>
        <w:fldChar w:fldCharType="end"/>
      </w:r>
      <w:r w:rsidRPr="00B77A30">
        <w:rPr>
          <w:rFonts w:ascii="Book Antiqua" w:hAnsi="Book Antiqua" w:cs="Times New Roman"/>
          <w:sz w:val="24"/>
          <w:szCs w:val="24"/>
        </w:rPr>
        <w:t xml:space="preserve"> (</w:t>
      </w:r>
      <w:r w:rsidR="004F24F1" w:rsidRPr="00B77A30">
        <w:rPr>
          <w:rFonts w:ascii="Book Antiqua" w:hAnsi="Book Antiqua" w:cs="Times New Roman"/>
          <w:i/>
          <w:sz w:val="24"/>
          <w:szCs w:val="24"/>
        </w:rPr>
        <w:t>n</w:t>
      </w:r>
      <w:r w:rsidR="004F24F1" w:rsidRPr="00B77A30">
        <w:rPr>
          <w:rFonts w:ascii="Book Antiqua" w:hAnsi="Book Antiqua" w:cs="Times New Roman"/>
          <w:sz w:val="24"/>
          <w:szCs w:val="24"/>
        </w:rPr>
        <w:t xml:space="preserve"> </w:t>
      </w:r>
      <w:r w:rsidRPr="00B77A30">
        <w:rPr>
          <w:rFonts w:ascii="Book Antiqua" w:hAnsi="Book Antiqua" w:cs="Times New Roman"/>
          <w:sz w:val="24"/>
          <w:szCs w:val="24"/>
        </w:rPr>
        <w:t>=</w:t>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47), the lack of association between sarcopenia and </w:t>
      </w:r>
      <w:proofErr w:type="spellStart"/>
      <w:r w:rsidRPr="00B77A30">
        <w:rPr>
          <w:rFonts w:ascii="Book Antiqua" w:hAnsi="Book Antiqua" w:cs="Times New Roman"/>
          <w:sz w:val="24"/>
          <w:szCs w:val="24"/>
        </w:rPr>
        <w:t>peri</w:t>
      </w:r>
      <w:proofErr w:type="spellEnd"/>
      <w:r w:rsidRPr="00B77A30">
        <w:rPr>
          <w:rFonts w:ascii="Book Antiqua" w:hAnsi="Book Antiqua" w:cs="Times New Roman"/>
          <w:sz w:val="24"/>
          <w:szCs w:val="24"/>
        </w:rPr>
        <w:t>-operative outcomes may have been due to low sample size and a type II statistical error.</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Future larger studies are necessary to better delineate the impact of sarcopenia on </w:t>
      </w:r>
      <w:proofErr w:type="spellStart"/>
      <w:r w:rsidRPr="00B77A30">
        <w:rPr>
          <w:rFonts w:ascii="Book Antiqua" w:hAnsi="Book Antiqua" w:cs="Times New Roman"/>
          <w:sz w:val="24"/>
          <w:szCs w:val="24"/>
        </w:rPr>
        <w:t>peri</w:t>
      </w:r>
      <w:proofErr w:type="spellEnd"/>
      <w:r w:rsidRPr="00B77A30">
        <w:rPr>
          <w:rFonts w:ascii="Book Antiqua" w:hAnsi="Book Antiqua" w:cs="Times New Roman"/>
          <w:sz w:val="24"/>
          <w:szCs w:val="24"/>
        </w:rPr>
        <w:t>-operative and long-term outcomes among patients with esophageal cancer undergoing surgical resection.</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 </w:t>
      </w:r>
    </w:p>
    <w:p w14:paraId="658C8270" w14:textId="5D787EC3" w:rsidR="005A19AC" w:rsidRPr="00B77A30" w:rsidRDefault="005A19AC" w:rsidP="00CB2DFE">
      <w:pPr>
        <w:spacing w:after="0" w:line="360" w:lineRule="auto"/>
        <w:ind w:firstLine="720"/>
        <w:jc w:val="both"/>
        <w:rPr>
          <w:rFonts w:ascii="Book Antiqua" w:hAnsi="Book Antiqua" w:cs="Times New Roman"/>
          <w:sz w:val="24"/>
          <w:szCs w:val="24"/>
          <w:lang w:eastAsia="zh-CN"/>
        </w:rPr>
      </w:pPr>
      <w:r w:rsidRPr="00B77A30">
        <w:rPr>
          <w:rFonts w:ascii="Book Antiqua" w:hAnsi="Book Antiqua" w:cs="Times New Roman"/>
          <w:sz w:val="24"/>
          <w:szCs w:val="24"/>
        </w:rPr>
        <w:lastRenderedPageBreak/>
        <w:t>Similar to esophageal cancer, gastric cancer patients are at high risk for malnutrition and therefore older patients with gastric cancer may be at a particularly high risk of frailty.</w:t>
      </w:r>
      <w:r w:rsidR="000A0F89">
        <w:rPr>
          <w:rFonts w:ascii="Book Antiqua" w:hAnsi="Book Antiqua" w:cs="Times New Roman"/>
          <w:sz w:val="24"/>
          <w:szCs w:val="24"/>
        </w:rPr>
        <w:t xml:space="preserve"> </w:t>
      </w:r>
      <w:r w:rsidRPr="00B77A30">
        <w:rPr>
          <w:rFonts w:ascii="Book Antiqua" w:hAnsi="Book Antiqua" w:cs="Times New Roman"/>
          <w:sz w:val="24"/>
          <w:szCs w:val="24"/>
        </w:rPr>
        <w:t>In fact, the prevalence of frailty and sarcopenia among patients with gastric cancer has been reported to be as hi</w:t>
      </w:r>
      <w:r w:rsidR="004F24F1" w:rsidRPr="00B77A30">
        <w:rPr>
          <w:rFonts w:ascii="Book Antiqua" w:hAnsi="Book Antiqua" w:cs="Times New Roman"/>
          <w:sz w:val="24"/>
          <w:szCs w:val="24"/>
        </w:rPr>
        <w:t>gh as 30% and 38%, respectively</w:t>
      </w:r>
      <w:r w:rsidR="003F1EB8" w:rsidRPr="00B77A30">
        <w:rPr>
          <w:rFonts w:ascii="Book Antiqua" w:hAnsi="Book Antiqua" w:cs="Times New Roman"/>
          <w:sz w:val="24"/>
          <w:szCs w:val="24"/>
        </w:rPr>
        <w:fldChar w:fldCharType="begin" w:fldLock="1"/>
      </w:r>
      <w:r w:rsidR="003F1EB8" w:rsidRPr="00B77A30">
        <w:rPr>
          <w:rFonts w:ascii="Book Antiqua" w:hAnsi="Book Antiqua" w:cs="Times New Roman"/>
          <w:sz w:val="24"/>
          <w:szCs w:val="24"/>
        </w:rPr>
        <w:instrText>ADDIN CSL_CITATION { "citationItems" : [ { "id" : "ITEM-1", "itemData" : { "DOI" : "10.3748/wjg.v20.i38.13692", "ISSN" : "1007-9327", "PMID" : "25320507", "abstract" : "Gastric cancer remains a significant health problem worldwide and surgery is currently the only potentially curative treatment option. Gastric cancer surgery is generally considered to be high risk surgery and five-year survival rates are poor, therefore a continuous strive to improve outcomes for these patients is warranted. Fortunately, in the last decades several potential advances have been introduced that intervene at various stages of the treatment process. This review provides an overview of methods implemented in pre-, intra- and postoperative stage of gastric cancer surgery to improve outcome. Better preoperative risk assessment using comorbidity index (e.g., Charlson comorbidity index), assessment of nutritional status (e.g., short nutritional assessment questionnaire, nutritional risk screening - 2002) and frailty assessment (Groningen frailty indicator, Edmonton frail scale, Hopkins frailty) was introduced. Also preoperative optimization of patients using prehabilitation has future potential. Implementation of fast-track or enhanced recovery after surgery programs is showing promising results, although future studies have to determine what the exact optimal strategy is. Introduction of laparoscopic surgery has shown improvement of results as well as optimization of lymph node dissection. Hyperthermic intraperitoneal chemotherapy has not shown to be beneficial in peritoneal metastatic disease thus far. Advances in postoperative care include optimal timing of oral diet, which has been shown to reduce hospital stay. In general, hospital volume, i.e., centralization, and clinical audits might further improve the outcome in gastric cancer surgery. In conclusion, progress has been made in improving the surgical treatment of gastric cancer. However, gastric cancer treatment is high risk surgery and many areas for future research remain.", "author" : [ { "dropping-particle" : "", "family" : "Tegels", "given" : "Juul JW", "non-dropping-particle" : "", "parse-names" : false, "suffix" : "" } ], "container-title" : "World Journal of Gastroenterology", "id" : "ITEM-1", "issue" : "38", "issued" : { "date-parts" : [ [ "2014", "10", "14" ] ] }, "page" : "13692", "title" : "Improving the outcomes in gastric cancer surgery", "type" : "article-journal", "volume" : "20" }, "uris" : [ "http://www.mendeley.com/documents/?uuid=d778cf90-431f-4666-aeb5-cd2029588f72" ] }, { "id" : "ITEM-2", "itemData" : { "DOI" : "10.1007/s11605-013-2443-7", "ISSN" : "1873-4626", "PMID" : "24420730", "abstract" : "OBJECTIVES: This study seeks to evaluate assessment of geriatric frailty and nutritional status in predicting postoperative mortality in gastric cancer surgery.\n\nMETHODS: Preoperatively, patients operated for gastric adenocarcinoma underwent assessment of Groningen Frailty Indicator (GFI) and Short Nutritional Assessment Questionnaire (SNAQ). We studied retrospectively whether these scores were associated with in-hospital mortality.\n\nRESULTS: From 2005 to September 2012 180 patients underwent surgery with an overall mortality of 8.3%. Patients with a GFI\u2009\u2265 3 (n = 30, 24%) had a mortality rate of 23.3% versus 5.2% in the lower GFI group (OR 4.0, 95%CI 1.1-14.1, P = 0.03). For patients who underwent surgery with curative intent (n = 125), this was 27.3% for patients with GFI\u2009\u2265 3 (n = 22, 18%) versus 5.7% with GFI\u2009&lt; 3 (OR 4.6, 95% CI 1.0-20.9, P = 0.05). SNAQ\u2009\u2265\u20091 (n = 98, 61%) was associated with a mortality rate of 13.3% versus 3.2% in patients with SNAQ\u2009=0 (OR 5.1, 95% CI 1.1-23.8, P = 0.04). Given odds ratios are corrected in multivariate analyses for age, neoadjuvant chemotherapy, type of surgery, tumor stage and ASA classification.\n\nCONCLUSIONS: This study shows a significant relationship between gastric cancer surgical mortality and geriatric frailty as well as nutritional status using a simple questionnaire. This may have implications in preoperative decision making in selecting patients who optimally benefit from surgery.", "author" : [ { "dropping-particle" : "", "family" : "Tegels", "given" : "Juul J W", "non-dropping-particle" : "", "parse-names" : false, "suffix" : "" }, { "dropping-particle" : "", "family" : "Maat", "given" : "M F G", "non-dropping-particle" : "de", "parse-names" : false, "suffix" : "" }, { "dropping-particle" : "", "family" : "Hulsew\u00e9", "given" : "K W E", "non-dropping-particle" : "", "parse-names" : false, "suffix" : "" }, { "dropping-particle" : "", "family" : "Hoofwijk", "given" : "A G M", "non-dropping-particle" : "", "parse-names" : false, "suffix" : "" }, { "dropping-particle" : "", "family" : "Stoot", "given" : "J H M B", "non-dropping-particle" : "", "parse-names" : false, "suffix" : "" } ], "container-title" : "Journal of gastrointestinal surgery : official journal of the Society for Surgery of the Alimentary Tract", "id" : "ITEM-2", "issue" : "3", "issued" : { "date-parts" : [ [ "2014", "3" ] ] }, "page" : "439-45; discussion 445-6", "title" : "Value of geriatric frailty and nutritional status assessment in predicting postoperative mortality in gastric cancer surgery.", "type" : "article-journal", "volume" : "18" }, "uris" : [ "http://www.mendeley.com/documents/?uuid=c0df0c00-b90b-4759-9abc-487f04251248" ] } ], "mendeley" : { "formattedCitation" : "&lt;sup&gt;[49,65]&lt;/sup&gt;", "plainTextFormattedCitation" : "[49,65]", "previouslyFormattedCitation" : "&lt;sup&gt;[49,65]&lt;/sup&gt;" }, "properties" : { "noteIndex" : 0 }, "schema" : "https://github.com/citation-style-language/schema/raw/master/csl-citation.json" }</w:instrText>
      </w:r>
      <w:r w:rsidR="003F1EB8" w:rsidRPr="00B77A30">
        <w:rPr>
          <w:rFonts w:ascii="Book Antiqua" w:hAnsi="Book Antiqua" w:cs="Times New Roman"/>
          <w:sz w:val="24"/>
          <w:szCs w:val="24"/>
        </w:rPr>
        <w:fldChar w:fldCharType="separate"/>
      </w:r>
      <w:r w:rsidR="003F1EB8" w:rsidRPr="00B77A30">
        <w:rPr>
          <w:rFonts w:ascii="Book Antiqua" w:hAnsi="Book Antiqua" w:cs="Times New Roman"/>
          <w:noProof/>
          <w:sz w:val="24"/>
          <w:szCs w:val="24"/>
          <w:vertAlign w:val="superscript"/>
        </w:rPr>
        <w:t>[49,65]</w:t>
      </w:r>
      <w:r w:rsidR="003F1EB8" w:rsidRPr="00B77A30">
        <w:rPr>
          <w:rFonts w:ascii="Book Antiqua" w:hAnsi="Book Antiqua" w:cs="Times New Roman"/>
          <w:sz w:val="24"/>
          <w:szCs w:val="24"/>
        </w:rPr>
        <w:fldChar w:fldCharType="end"/>
      </w:r>
      <w:r w:rsidR="004F24F1"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Despite the high incidence, data on the association of frailty, sarcopenia and outcomes of patients after gastric resection are limited.</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In a review on the topic of gastric cancer surgery, </w:t>
      </w:r>
      <w:proofErr w:type="spellStart"/>
      <w:r w:rsidRPr="00B77A30">
        <w:rPr>
          <w:rFonts w:ascii="Book Antiqua" w:hAnsi="Book Antiqua" w:cs="Times New Roman"/>
          <w:sz w:val="24"/>
          <w:szCs w:val="24"/>
        </w:rPr>
        <w:t>Tegels</w:t>
      </w:r>
      <w:proofErr w:type="spellEnd"/>
      <w:r w:rsidRPr="00B77A30">
        <w:rPr>
          <w:rFonts w:ascii="Book Antiqua" w:hAnsi="Book Antiqua" w:cs="Times New Roman"/>
          <w:i/>
          <w:sz w:val="24"/>
          <w:szCs w:val="24"/>
        </w:rPr>
        <w:t xml:space="preserve"> et al</w:t>
      </w:r>
      <w:r w:rsidR="004F24F1" w:rsidRPr="00B77A30">
        <w:rPr>
          <w:rFonts w:ascii="Book Antiqua" w:hAnsi="Book Antiqua" w:cs="Times New Roman"/>
          <w:sz w:val="24"/>
          <w:szCs w:val="24"/>
        </w:rPr>
        <w:fldChar w:fldCharType="begin" w:fldLock="1"/>
      </w:r>
      <w:r w:rsidR="004F24F1" w:rsidRPr="00B77A30">
        <w:rPr>
          <w:rFonts w:ascii="Book Antiqua" w:hAnsi="Book Antiqua" w:cs="Times New Roman"/>
          <w:sz w:val="24"/>
          <w:szCs w:val="24"/>
        </w:rPr>
        <w:instrText>ADDIN CSL_CITATION { "citationItems" : [ { "id" : "ITEM-1", "itemData" : { "DOI" : "10.3748/wjg.v20.i38.13692", "ISSN" : "1007-9327", "PMID" : "25320507", "abstract" : "Gastric cancer remains a significant health problem worldwide and surgery is currently the only potentially curative treatment option. Gastric cancer surgery is generally considered to be high risk surgery and five-year survival rates are poor, therefore a continuous strive to improve outcomes for these patients is warranted. Fortunately, in the last decades several potential advances have been introduced that intervene at various stages of the treatment process. This review provides an overview of methods implemented in pre-, intra- and postoperative stage of gastric cancer surgery to improve outcome. Better preoperative risk assessment using comorbidity index (e.g., Charlson comorbidity index), assessment of nutritional status (e.g., short nutritional assessment questionnaire, nutritional risk screening - 2002) and frailty assessment (Groningen frailty indicator, Edmonton frail scale, Hopkins frailty) was introduced. Also preoperative optimization of patients using prehabilitation has future potential. Implementation of fast-track or enhanced recovery after surgery programs is showing promising results, although future studies have to determine what the exact optimal strategy is. Introduction of laparoscopic surgery has shown improvement of results as well as optimization of lymph node dissection. Hyperthermic intraperitoneal chemotherapy has not shown to be beneficial in peritoneal metastatic disease thus far. Advances in postoperative care include optimal timing of oral diet, which has been shown to reduce hospital stay. In general, hospital volume, i.e., centralization, and clinical audits might further improve the outcome in gastric cancer surgery. In conclusion, progress has been made in improving the surgical treatment of gastric cancer. However, gastric cancer treatment is high risk surgery and many areas for future research remain.", "author" : [ { "dropping-particle" : "", "family" : "Tegels", "given" : "Juul JW", "non-dropping-particle" : "", "parse-names" : false, "suffix" : "" } ], "container-title" : "World Journal of Gastroenterology", "id" : "ITEM-1", "issue" : "38", "issued" : { "date-parts" : [ [ "2014", "10", "14" ] ] }, "page" : "13692", "title" : "Improving the outcomes in gastric cancer surgery", "type" : "article-journal", "volume" : "20" }, "uris" : [ "http://www.mendeley.com/documents/?uuid=d778cf90-431f-4666-aeb5-cd2029588f72" ] } ], "mendeley" : { "formattedCitation" : "&lt;sup&gt;[49]&lt;/sup&gt;", "plainTextFormattedCitation" : "[49]", "previouslyFormattedCitation" : "&lt;sup&gt;[49]&lt;/sup&gt;" }, "properties" : { "noteIndex" : 0 }, "schema" : "https://github.com/citation-style-language/schema/raw/master/csl-citation.json" }</w:instrText>
      </w:r>
      <w:r w:rsidR="004F24F1" w:rsidRPr="00B77A30">
        <w:rPr>
          <w:rFonts w:ascii="Book Antiqua" w:hAnsi="Book Antiqua" w:cs="Times New Roman"/>
          <w:sz w:val="24"/>
          <w:szCs w:val="24"/>
        </w:rPr>
        <w:fldChar w:fldCharType="separate"/>
      </w:r>
      <w:r w:rsidR="004F24F1" w:rsidRPr="00B77A30">
        <w:rPr>
          <w:rFonts w:ascii="Book Antiqua" w:hAnsi="Book Antiqua" w:cs="Times New Roman"/>
          <w:noProof/>
          <w:sz w:val="24"/>
          <w:szCs w:val="24"/>
          <w:vertAlign w:val="superscript"/>
        </w:rPr>
        <w:t>[49]</w:t>
      </w:r>
      <w:r w:rsidR="004F24F1" w:rsidRPr="00B77A30">
        <w:rPr>
          <w:rFonts w:ascii="Book Antiqua" w:hAnsi="Book Antiqua" w:cs="Times New Roman"/>
          <w:sz w:val="24"/>
          <w:szCs w:val="24"/>
        </w:rPr>
        <w:fldChar w:fldCharType="end"/>
      </w:r>
      <w:r w:rsidRPr="00B77A30">
        <w:rPr>
          <w:rFonts w:ascii="Book Antiqua" w:hAnsi="Book Antiqua" w:cs="Times New Roman"/>
          <w:sz w:val="24"/>
          <w:szCs w:val="24"/>
        </w:rPr>
        <w:t xml:space="preserve"> described a strong association between frailty, sarcopenia and increased postoperative mor</w:t>
      </w:r>
      <w:r w:rsidR="004F24F1" w:rsidRPr="00B77A30">
        <w:rPr>
          <w:rFonts w:ascii="Book Antiqua" w:hAnsi="Book Antiqua" w:cs="Times New Roman"/>
          <w:sz w:val="24"/>
          <w:szCs w:val="24"/>
        </w:rPr>
        <w:t>tality after gastric resections</w:t>
      </w:r>
      <w:r w:rsidR="004F24F1"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Specifically, the authors highlighted the need for better preoperative risk assessment using comorbidity index, assessment of nutritional status, and frailty assessment.</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In particular, </w:t>
      </w:r>
      <w:proofErr w:type="spellStart"/>
      <w:r w:rsidRPr="00B77A30">
        <w:rPr>
          <w:rFonts w:ascii="Book Antiqua" w:hAnsi="Book Antiqua" w:cs="Times New Roman"/>
          <w:sz w:val="24"/>
          <w:szCs w:val="24"/>
        </w:rPr>
        <w:t>Tegel</w:t>
      </w:r>
      <w:proofErr w:type="spellEnd"/>
      <w:r w:rsidRPr="00B77A30">
        <w:rPr>
          <w:rFonts w:ascii="Book Antiqua" w:hAnsi="Book Antiqua" w:cs="Times New Roman"/>
          <w:sz w:val="24"/>
          <w:szCs w:val="24"/>
        </w:rPr>
        <w:t xml:space="preserve"> </w:t>
      </w:r>
      <w:r w:rsidR="009C5244" w:rsidRPr="00B77A30">
        <w:rPr>
          <w:rFonts w:ascii="Book Antiqua" w:hAnsi="Book Antiqua" w:cs="Times New Roman"/>
          <w:i/>
          <w:sz w:val="24"/>
          <w:szCs w:val="24"/>
        </w:rPr>
        <w:t>et al</w:t>
      </w:r>
      <w:r w:rsidR="009C5244" w:rsidRPr="00B77A30">
        <w:rPr>
          <w:rFonts w:ascii="Book Antiqua" w:hAnsi="Book Antiqua" w:cs="Times New Roman"/>
          <w:sz w:val="24"/>
          <w:szCs w:val="24"/>
        </w:rPr>
        <w:fldChar w:fldCharType="begin" w:fldLock="1"/>
      </w:r>
      <w:r w:rsidR="009C5244" w:rsidRPr="00B77A30">
        <w:rPr>
          <w:rFonts w:ascii="Book Antiqua" w:hAnsi="Book Antiqua" w:cs="Times New Roman"/>
          <w:sz w:val="24"/>
          <w:szCs w:val="24"/>
        </w:rPr>
        <w:instrText>ADDIN CSL_CITATION { "citationItems" : [ { "id" : "ITEM-1", "itemData" : { "DOI" : "10.3748/wjg.v20.i38.13692", "ISSN" : "1007-9327", "PMID" : "25320507", "abstract" : "Gastric cancer remains a significant health problem worldwide and surgery is currently the only potentially curative treatment option. Gastric cancer surgery is generally considered to be high risk surgery and five-year survival rates are poor, therefore a continuous strive to improve outcomes for these patients is warranted. Fortunately, in the last decades several potential advances have been introduced that intervene at various stages of the treatment process. This review provides an overview of methods implemented in pre-, intra- and postoperative stage of gastric cancer surgery to improve outcome. Better preoperative risk assessment using comorbidity index (e.g., Charlson comorbidity index), assessment of nutritional status (e.g., short nutritional assessment questionnaire, nutritional risk screening - 2002) and frailty assessment (Groningen frailty indicator, Edmonton frail scale, Hopkins frailty) was introduced. Also preoperative optimization of patients using prehabilitation has future potential. Implementation of fast-track or enhanced recovery after surgery programs is showing promising results, although future studies have to determine what the exact optimal strategy is. Introduction of laparoscopic surgery has shown improvement of results as well as optimization of lymph node dissection. Hyperthermic intraperitoneal chemotherapy has not shown to be beneficial in peritoneal metastatic disease thus far. Advances in postoperative care include optimal timing of oral diet, which has been shown to reduce hospital stay. In general, hospital volume, i.e., centralization, and clinical audits might further improve the outcome in gastric cancer surgery. In conclusion, progress has been made in improving the surgical treatment of gastric cancer. However, gastric cancer treatment is high risk surgery and many areas for future research remain.", "author" : [ { "dropping-particle" : "", "family" : "Tegels", "given" : "Juul JW", "non-dropping-particle" : "", "parse-names" : false, "suffix" : "" } ], "container-title" : "World Journal of Gastroenterology", "id" : "ITEM-1", "issue" : "38", "issued" : { "date-parts" : [ [ "2014", "10", "14" ] ] }, "page" : "13692", "title" : "Improving the outcomes in gastric cancer surgery", "type" : "article-journal", "volume" : "20" }, "uris" : [ "http://www.mendeley.com/documents/?uuid=d778cf90-431f-4666-aeb5-cd2029588f72" ] } ], "mendeley" : { "formattedCitation" : "&lt;sup&gt;[49]&lt;/sup&gt;", "plainTextFormattedCitation" : "[49]", "previouslyFormattedCitation" : "&lt;sup&gt;[49]&lt;/sup&gt;" }, "properties" : { "noteIndex" : 0 }, "schema" : "https://github.com/citation-style-language/schema/raw/master/csl-citation.json" }</w:instrText>
      </w:r>
      <w:r w:rsidR="009C5244" w:rsidRPr="00B77A30">
        <w:rPr>
          <w:rFonts w:ascii="Book Antiqua" w:hAnsi="Book Antiqua" w:cs="Times New Roman"/>
          <w:sz w:val="24"/>
          <w:szCs w:val="24"/>
        </w:rPr>
        <w:fldChar w:fldCharType="separate"/>
      </w:r>
      <w:r w:rsidR="009C5244" w:rsidRPr="00B77A30">
        <w:rPr>
          <w:rFonts w:ascii="Book Antiqua" w:hAnsi="Book Antiqua" w:cs="Times New Roman"/>
          <w:noProof/>
          <w:sz w:val="24"/>
          <w:szCs w:val="24"/>
          <w:vertAlign w:val="superscript"/>
        </w:rPr>
        <w:t>[</w:t>
      </w:r>
      <w:r w:rsidR="009C5244" w:rsidRPr="00B77A30">
        <w:rPr>
          <w:rFonts w:ascii="Book Antiqua" w:hAnsi="Book Antiqua" w:cs="Times New Roman"/>
          <w:noProof/>
          <w:sz w:val="24"/>
          <w:szCs w:val="24"/>
          <w:vertAlign w:val="superscript"/>
          <w:lang w:eastAsia="zh-CN"/>
        </w:rPr>
        <w:t>65</w:t>
      </w:r>
      <w:r w:rsidR="009C5244" w:rsidRPr="00B77A30">
        <w:rPr>
          <w:rFonts w:ascii="Book Antiqua" w:hAnsi="Book Antiqua" w:cs="Times New Roman"/>
          <w:noProof/>
          <w:sz w:val="24"/>
          <w:szCs w:val="24"/>
          <w:vertAlign w:val="superscript"/>
        </w:rPr>
        <w:t>]</w:t>
      </w:r>
      <w:r w:rsidR="009C5244" w:rsidRPr="00B77A30">
        <w:rPr>
          <w:rFonts w:ascii="Book Antiqua" w:hAnsi="Book Antiqua" w:cs="Times New Roman"/>
          <w:sz w:val="24"/>
          <w:szCs w:val="24"/>
        </w:rPr>
        <w:fldChar w:fldCharType="end"/>
      </w:r>
      <w:r w:rsidRPr="00B77A30">
        <w:rPr>
          <w:rFonts w:ascii="Book Antiqua" w:hAnsi="Book Antiqua" w:cs="Times New Roman"/>
          <w:sz w:val="24"/>
          <w:szCs w:val="24"/>
        </w:rPr>
        <w:t xml:space="preserve"> noted that assessment tools such as the Groningen Frailty Indicator (GFI), Edmonton frail scale, or the Hopkins frailty scale should be used to help identify patients for preoperative optimization using pre-habilitation.</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 In a separate prospective study of 180 patients with gastric cancer, the same authors examined the association of frailty with morbidity and mortality after gastric cancer surgery.</w:t>
      </w:r>
      <w:r w:rsidR="000A0F89">
        <w:rPr>
          <w:rFonts w:ascii="Book Antiqua" w:hAnsi="Book Antiqua" w:cs="Times New Roman"/>
          <w:sz w:val="24"/>
          <w:szCs w:val="24"/>
        </w:rPr>
        <w:t xml:space="preserve"> </w:t>
      </w:r>
      <w:r w:rsidRPr="00B77A30">
        <w:rPr>
          <w:rFonts w:ascii="Book Antiqua" w:hAnsi="Book Antiqua" w:cs="Times New Roman"/>
          <w:sz w:val="24"/>
          <w:szCs w:val="24"/>
        </w:rPr>
        <w:t>In this study, patients scheduled for gastric cancer surgery were preoperatively assessed with the GFI and the Short Nutritional Assessment Questionnaire (SNAQ).</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Of note, patients with a GFI ≥ 3 had a mortality of 23.3% </w:t>
      </w:r>
      <w:r w:rsidRPr="00B77A30">
        <w:rPr>
          <w:rFonts w:ascii="Book Antiqua" w:hAnsi="Book Antiqua" w:cs="Times New Roman"/>
          <w:i/>
          <w:sz w:val="24"/>
          <w:szCs w:val="24"/>
        </w:rPr>
        <w:t>vs</w:t>
      </w:r>
      <w:r w:rsidRPr="00B77A30">
        <w:rPr>
          <w:rFonts w:ascii="Book Antiqua" w:hAnsi="Book Antiqua" w:cs="Times New Roman"/>
          <w:sz w:val="24"/>
          <w:szCs w:val="24"/>
        </w:rPr>
        <w:t xml:space="preserve"> 5.2% in the lower GFI group.</w:t>
      </w:r>
      <w:r w:rsidR="000A0F89">
        <w:rPr>
          <w:rFonts w:ascii="Book Antiqua" w:hAnsi="Book Antiqua" w:cs="Times New Roman"/>
          <w:sz w:val="24"/>
          <w:szCs w:val="24"/>
        </w:rPr>
        <w:t xml:space="preserve"> </w:t>
      </w:r>
      <w:r w:rsidRPr="00B77A30">
        <w:rPr>
          <w:rFonts w:ascii="Book Antiqua" w:hAnsi="Book Antiqua" w:cs="Times New Roman"/>
          <w:sz w:val="24"/>
          <w:szCs w:val="24"/>
        </w:rPr>
        <w:t>Similarly, those patients who scored poorly on the SNAQ had a higher mortality (13.3%) versus those deemed to have better nutritional status (3.2%).</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The authors concluded that frailty and nutritional status were important factors in preoperative decision making among elderly patients being considered for gastric resection. While the impact of frailty and malnutrition on </w:t>
      </w:r>
      <w:proofErr w:type="spellStart"/>
      <w:r w:rsidRPr="00B77A30">
        <w:rPr>
          <w:rFonts w:ascii="Book Antiqua" w:hAnsi="Book Antiqua" w:cs="Times New Roman"/>
          <w:sz w:val="24"/>
          <w:szCs w:val="24"/>
        </w:rPr>
        <w:t>peri</w:t>
      </w:r>
      <w:proofErr w:type="spellEnd"/>
      <w:r w:rsidRPr="00B77A30">
        <w:rPr>
          <w:rFonts w:ascii="Book Antiqua" w:hAnsi="Book Antiqua" w:cs="Times New Roman"/>
          <w:sz w:val="24"/>
          <w:szCs w:val="24"/>
        </w:rPr>
        <w:t xml:space="preserve">-operative outcomes has been examined, no study on the role sarcopenia to predict morbidity and mortality of patients undergoing gastric surgery has been reported to date. </w:t>
      </w:r>
    </w:p>
    <w:p w14:paraId="0F6D108A" w14:textId="77777777" w:rsidR="009C5244" w:rsidRPr="00B77A30" w:rsidRDefault="009C5244" w:rsidP="00CB2DFE">
      <w:pPr>
        <w:spacing w:after="0" w:line="360" w:lineRule="auto"/>
        <w:ind w:firstLine="720"/>
        <w:jc w:val="both"/>
        <w:rPr>
          <w:rFonts w:ascii="Book Antiqua" w:hAnsi="Book Antiqua" w:cs="Times New Roman"/>
          <w:sz w:val="24"/>
          <w:szCs w:val="24"/>
          <w:lang w:eastAsia="zh-CN"/>
        </w:rPr>
      </w:pPr>
    </w:p>
    <w:p w14:paraId="5DD1F2CF" w14:textId="08B6DF9B" w:rsidR="005A19AC" w:rsidRPr="00B77A30" w:rsidRDefault="009C5244" w:rsidP="00CB2DFE">
      <w:pPr>
        <w:spacing w:after="0" w:line="360" w:lineRule="auto"/>
        <w:jc w:val="both"/>
        <w:rPr>
          <w:rFonts w:ascii="Book Antiqua" w:hAnsi="Book Antiqua" w:cs="Times New Roman"/>
          <w:b/>
          <w:sz w:val="24"/>
          <w:szCs w:val="24"/>
        </w:rPr>
      </w:pPr>
      <w:r w:rsidRPr="00B77A30">
        <w:rPr>
          <w:rFonts w:ascii="Book Antiqua" w:hAnsi="Book Antiqua" w:cs="Times New Roman"/>
          <w:b/>
          <w:sz w:val="24"/>
          <w:szCs w:val="24"/>
        </w:rPr>
        <w:t xml:space="preserve">COLORECTAL CANCER </w:t>
      </w:r>
    </w:p>
    <w:p w14:paraId="5A5CC7EA" w14:textId="023A398D" w:rsidR="005A19AC" w:rsidRPr="00B77A30" w:rsidRDefault="009C5244" w:rsidP="00CB2DFE">
      <w:pPr>
        <w:spacing w:after="0" w:line="360" w:lineRule="auto"/>
        <w:jc w:val="both"/>
        <w:rPr>
          <w:rFonts w:ascii="Book Antiqua" w:hAnsi="Book Antiqua" w:cs="Times New Roman"/>
          <w:sz w:val="24"/>
          <w:szCs w:val="24"/>
          <w:lang w:eastAsia="zh-CN"/>
        </w:rPr>
      </w:pPr>
      <w:r w:rsidRPr="00B77A30">
        <w:rPr>
          <w:rFonts w:ascii="Book Antiqua" w:hAnsi="Book Antiqua" w:cs="Times New Roman"/>
          <w:sz w:val="24"/>
          <w:szCs w:val="24"/>
        </w:rPr>
        <w:t>In 2014, 132</w:t>
      </w:r>
      <w:r w:rsidR="005A19AC" w:rsidRPr="00B77A30">
        <w:rPr>
          <w:rFonts w:ascii="Book Antiqua" w:hAnsi="Book Antiqua" w:cs="Times New Roman"/>
          <w:sz w:val="24"/>
          <w:szCs w:val="24"/>
        </w:rPr>
        <w:t xml:space="preserve">700 patients were diagnosed with colorectal cancer in the US. More than half of patients with colorectal cancer are older than 65 years and approximately 70% are diagnosed at early stages, when </w:t>
      </w:r>
      <w:r w:rsidRPr="00B77A30">
        <w:rPr>
          <w:rFonts w:ascii="Book Antiqua" w:hAnsi="Book Antiqua" w:cs="Times New Roman"/>
          <w:sz w:val="24"/>
          <w:szCs w:val="24"/>
        </w:rPr>
        <w:t>surgical resection is feasible</w:t>
      </w:r>
      <w:r w:rsidR="003F1EB8" w:rsidRPr="00B77A30">
        <w:rPr>
          <w:rFonts w:ascii="Book Antiqua" w:hAnsi="Book Antiqua" w:cs="Times New Roman"/>
          <w:sz w:val="24"/>
          <w:szCs w:val="24"/>
        </w:rPr>
        <w:fldChar w:fldCharType="begin" w:fldLock="1"/>
      </w:r>
      <w:r w:rsidR="003F1EB8" w:rsidRPr="00B77A30">
        <w:rPr>
          <w:rFonts w:ascii="Book Antiqua" w:hAnsi="Book Antiqua" w:cs="Times New Roman"/>
          <w:sz w:val="24"/>
          <w:szCs w:val="24"/>
        </w:rPr>
        <w:instrText>ADDIN CSL_CITATION { "citationItems" : [ { "id" : "ITEM-1", "itemData" : { "URL" : "http://seer.cancer.gov/statfacts/html/colorect.html", "accessed" : { "date-parts" : [ [ "2015", "9", "18" ] ] }, "id" : "ITEM-1", "issued" : { "date-parts" : [ [ "0" ] ] }, "title" : "Cancer of the Colon and Rectum - SEER Stat Fact Sheets", "type" : "webpage" }, "uris" : [ "http://www.mendeley.com/documents/?uuid=5197df38-22c4-4f05-8787-cb3f5e7b9e38" ] } ], "mendeley" : { "formattedCitation" : "&lt;sup&gt;[66]&lt;/sup&gt;", "plainTextFormattedCitation" : "[66]", "previouslyFormattedCitation" : "&lt;sup&gt;[66]&lt;/sup&gt;" }, "properties" : { "noteIndex" : 0 }, "schema" : "https://github.com/citation-style-language/schema/raw/master/csl-citation.json" }</w:instrText>
      </w:r>
      <w:r w:rsidR="003F1EB8" w:rsidRPr="00B77A30">
        <w:rPr>
          <w:rFonts w:ascii="Book Antiqua" w:hAnsi="Book Antiqua" w:cs="Times New Roman"/>
          <w:sz w:val="24"/>
          <w:szCs w:val="24"/>
        </w:rPr>
        <w:fldChar w:fldCharType="separate"/>
      </w:r>
      <w:r w:rsidR="003F1EB8" w:rsidRPr="00B77A30">
        <w:rPr>
          <w:rFonts w:ascii="Book Antiqua" w:hAnsi="Book Antiqua" w:cs="Times New Roman"/>
          <w:noProof/>
          <w:sz w:val="24"/>
          <w:szCs w:val="24"/>
          <w:vertAlign w:val="superscript"/>
        </w:rPr>
        <w:t>[66]</w:t>
      </w:r>
      <w:r w:rsidR="003F1EB8" w:rsidRPr="00B77A30">
        <w:rPr>
          <w:rFonts w:ascii="Book Antiqua" w:hAnsi="Book Antiqua" w:cs="Times New Roman"/>
          <w:sz w:val="24"/>
          <w:szCs w:val="24"/>
        </w:rPr>
        <w:fldChar w:fldCharType="end"/>
      </w:r>
      <w:r w:rsidRPr="00B77A30">
        <w:rPr>
          <w:rFonts w:ascii="Book Antiqua" w:hAnsi="Book Antiqua" w:cs="Times New Roman"/>
          <w:sz w:val="24"/>
          <w:szCs w:val="24"/>
          <w:lang w:eastAsia="zh-CN"/>
        </w:rPr>
        <w:t>.</w:t>
      </w:r>
    </w:p>
    <w:p w14:paraId="6AACF008" w14:textId="77777777" w:rsidR="009C5244" w:rsidRPr="00B77A30" w:rsidRDefault="009C5244" w:rsidP="00CB2DFE">
      <w:pPr>
        <w:spacing w:after="0" w:line="360" w:lineRule="auto"/>
        <w:jc w:val="both"/>
        <w:rPr>
          <w:rFonts w:ascii="Book Antiqua" w:hAnsi="Book Antiqua" w:cs="Times New Roman"/>
          <w:sz w:val="24"/>
          <w:szCs w:val="24"/>
          <w:lang w:eastAsia="zh-CN"/>
        </w:rPr>
      </w:pPr>
    </w:p>
    <w:p w14:paraId="0370935F" w14:textId="0FF75A55" w:rsidR="005A19AC" w:rsidRPr="00B77A30" w:rsidRDefault="005A19AC" w:rsidP="00CB2DFE">
      <w:pPr>
        <w:spacing w:after="0" w:line="360" w:lineRule="auto"/>
        <w:jc w:val="both"/>
        <w:rPr>
          <w:rFonts w:ascii="Book Antiqua" w:hAnsi="Book Antiqua" w:cs="Times New Roman"/>
          <w:b/>
          <w:i/>
          <w:sz w:val="24"/>
          <w:szCs w:val="24"/>
        </w:rPr>
      </w:pPr>
      <w:r w:rsidRPr="00B77A30">
        <w:rPr>
          <w:rFonts w:ascii="Book Antiqua" w:hAnsi="Book Antiqua" w:cs="Times New Roman"/>
          <w:b/>
          <w:i/>
          <w:sz w:val="24"/>
          <w:szCs w:val="24"/>
        </w:rPr>
        <w:t xml:space="preserve">Frailty and </w:t>
      </w:r>
      <w:r w:rsidR="009C5244" w:rsidRPr="00B77A30">
        <w:rPr>
          <w:rFonts w:ascii="Book Antiqua" w:hAnsi="Book Antiqua" w:cs="Times New Roman"/>
          <w:b/>
          <w:i/>
          <w:sz w:val="24"/>
          <w:szCs w:val="24"/>
        </w:rPr>
        <w:t>colorectal cancer</w:t>
      </w:r>
    </w:p>
    <w:p w14:paraId="10D245C2" w14:textId="7CBF06E0" w:rsidR="005A19AC" w:rsidRPr="00B77A30" w:rsidRDefault="005A19AC" w:rsidP="00CB2DFE">
      <w:pPr>
        <w:spacing w:after="0" w:line="360" w:lineRule="auto"/>
        <w:jc w:val="both"/>
        <w:rPr>
          <w:rFonts w:ascii="Book Antiqua" w:hAnsi="Book Antiqua" w:cs="Times New Roman"/>
          <w:sz w:val="24"/>
          <w:szCs w:val="24"/>
          <w:lang w:eastAsia="zh-CN"/>
        </w:rPr>
      </w:pPr>
      <w:r w:rsidRPr="00B77A30">
        <w:rPr>
          <w:rFonts w:ascii="Book Antiqua" w:hAnsi="Book Antiqua" w:cs="Times New Roman"/>
          <w:sz w:val="24"/>
          <w:szCs w:val="24"/>
        </w:rPr>
        <w:t xml:space="preserve">Among older patients undergoing surgery for colorectal cancer, frailty and sarcopenia have been investigated as predictors of outcome in a small number (Table </w:t>
      </w:r>
      <w:r w:rsidR="00A0242D">
        <w:rPr>
          <w:rFonts w:ascii="Book Antiqua" w:hAnsi="Book Antiqua" w:cs="Times New Roman" w:hint="eastAsia"/>
          <w:sz w:val="24"/>
          <w:szCs w:val="24"/>
          <w:lang w:eastAsia="zh-CN"/>
        </w:rPr>
        <w:t>2</w:t>
      </w:r>
      <w:r w:rsidRPr="00B77A30">
        <w:rPr>
          <w:rFonts w:ascii="Book Antiqua" w:hAnsi="Book Antiqua" w:cs="Times New Roman"/>
          <w:sz w:val="24"/>
          <w:szCs w:val="24"/>
        </w:rPr>
        <w:t>).</w:t>
      </w:r>
      <w:r w:rsidR="000A0F89">
        <w:rPr>
          <w:rFonts w:ascii="Book Antiqua" w:hAnsi="Book Antiqua" w:cs="Times New Roman"/>
          <w:sz w:val="24"/>
          <w:szCs w:val="24"/>
        </w:rPr>
        <w:t xml:space="preserve"> </w:t>
      </w:r>
      <w:r w:rsidRPr="00B77A30">
        <w:rPr>
          <w:rFonts w:ascii="Book Antiqua" w:hAnsi="Book Antiqua" w:cs="Times New Roman"/>
          <w:sz w:val="24"/>
          <w:szCs w:val="24"/>
        </w:rPr>
        <w:t>In particular, pre-operative frailty has been associated with a decline in the patients’ activities of daily living and the instrumental activities of dai</w:t>
      </w:r>
      <w:r w:rsidR="009C5244" w:rsidRPr="00B77A30">
        <w:rPr>
          <w:rFonts w:ascii="Book Antiqua" w:hAnsi="Book Antiqua" w:cs="Times New Roman"/>
          <w:sz w:val="24"/>
          <w:szCs w:val="24"/>
        </w:rPr>
        <w:t>ly living after colon resection</w:t>
      </w:r>
      <w:r w:rsidR="003F1EB8" w:rsidRPr="00B77A30">
        <w:rPr>
          <w:rFonts w:ascii="Book Antiqua" w:hAnsi="Book Antiqua" w:cs="Times New Roman"/>
          <w:sz w:val="24"/>
          <w:szCs w:val="24"/>
        </w:rPr>
        <w:fldChar w:fldCharType="begin" w:fldLock="1"/>
      </w:r>
      <w:r w:rsidR="003F1EB8" w:rsidRPr="00B77A30">
        <w:rPr>
          <w:rFonts w:ascii="Book Antiqua" w:hAnsi="Book Antiqua" w:cs="Times New Roman"/>
          <w:sz w:val="24"/>
          <w:szCs w:val="24"/>
        </w:rPr>
        <w:instrText>ADDIN CSL_CITATION { "citationItems" : [ { "id" : "ITEM-1", "itemData" : { "DOI" : "10.1016/j.jgo.2013.08.001", "ISSN" : "1879-4076", "PMID" : "24484715", "abstract" : "OBJECTIVES: The number of older survivors from colorectal cancer is increasing, but little is known regarding long-term consequences of cancer treatment in this patient group. Physical function is an important outcome for older patients, affecting both autonomy and quality of life. We aimed to investigate physical function in older patients with colorectal cancer before and after surgery, and to examine the role of individual frailty indicators as predictors of functional decline.\n\nMATERIAL AND METHODS: We present 16-28 months follow-up data of older patients after elective surgery for colorectal cancer. During a home-visit, physical function was evaluated by activities of daily living (ADL), instrumental activities of daily living (IADL), the timed up-and-go (TUG) test, and grip strength. Measurements were compared with those obtained preoperatively using the Wilcoxon signed rank test. Frailty indicators were dichotomized and implemented in logistic regression models to explore their associations to a decline in the physical function scores.\n\nRESULTS: Eighty-four patients were included and the median age was 82 years. There was a significant decrease in ADL (p = 0.04) and IADL scores (p \u2264 0.001) at follow-up. We found no associations between frailty indicators and the risk of decline in physical functioning.\n\nCONCLUSION: In our population of older patients with surgically treated colorectal cancer, there was a significant decline in ADL- and IADL-scores at follow-up. No change was found in TUG or grip strength, and frailty indicators did not predict decline in physical function.", "author" : [ { "dropping-particle" : "", "family" : "R\u00f8nning", "given" : "Benedicte", "non-dropping-particle" : "", "parse-names" : false, "suffix" : "" }, { "dropping-particle" : "", "family" : "Wyller", "given" : "Torgeir Bruun", "non-dropping-particle" : "", "parse-names" : false, "suffix" : "" }, { "dropping-particle" : "", "family" : "Jordh\u00f8y", "given" : "Marit Slaaen", "non-dropping-particle" : "", "parse-names" : false, "suffix" : "" }, { "dropping-particle" : "", "family" : "Nesbakken", "given" : "Arild", "non-dropping-particle" : "", "parse-names" : false, "suffix" : "" }, { "dropping-particle" : "", "family" : "Bakka", "given" : "Arne", "non-dropping-particle" : "", "parse-names" : false, "suffix" : "" }, { "dropping-particle" : "", "family" : "Seljeflot", "given" : "Ingebj\u00f8rg", "non-dropping-particle" : "", "parse-names" : false, "suffix" : "" }, { "dropping-particle" : "", "family" : "Kristjansson", "given" : "Siri Rostoft", "non-dropping-particle" : "", "parse-names" : false, "suffix" : "" } ], "container-title" : "Journal of geriatric oncology", "id" : "ITEM-1", "issue" : "1", "issued" : { "date-parts" : [ [ "2014", "1" ] ] }, "page" : "26-32", "title" : "Frailty indicators and functional status in older patients after colorectal cancer surgery.", "type" : "article-journal", "volume" : "5" }, "uris" : [ "http://www.mendeley.com/documents/?uuid=9c486bd6-2098-446e-bf7c-3c025ebc0a21" ] } ], "mendeley" : { "formattedCitation" : "&lt;sup&gt;[67]&lt;/sup&gt;", "plainTextFormattedCitation" : "[67]", "previouslyFormattedCitation" : "&lt;sup&gt;[67]&lt;/sup&gt;" }, "properties" : { "noteIndex" : 0 }, "schema" : "https://github.com/citation-style-language/schema/raw/master/csl-citation.json" }</w:instrText>
      </w:r>
      <w:r w:rsidR="003F1EB8" w:rsidRPr="00B77A30">
        <w:rPr>
          <w:rFonts w:ascii="Book Antiqua" w:hAnsi="Book Antiqua" w:cs="Times New Roman"/>
          <w:sz w:val="24"/>
          <w:szCs w:val="24"/>
        </w:rPr>
        <w:fldChar w:fldCharType="separate"/>
      </w:r>
      <w:r w:rsidR="003F1EB8" w:rsidRPr="00B77A30">
        <w:rPr>
          <w:rFonts w:ascii="Book Antiqua" w:hAnsi="Book Antiqua" w:cs="Times New Roman"/>
          <w:noProof/>
          <w:sz w:val="24"/>
          <w:szCs w:val="24"/>
          <w:vertAlign w:val="superscript"/>
        </w:rPr>
        <w:t>[67]</w:t>
      </w:r>
      <w:r w:rsidR="003F1EB8" w:rsidRPr="00B77A30">
        <w:rPr>
          <w:rFonts w:ascii="Book Antiqua" w:hAnsi="Book Antiqua" w:cs="Times New Roman"/>
          <w:sz w:val="24"/>
          <w:szCs w:val="24"/>
        </w:rPr>
        <w:fldChar w:fldCharType="end"/>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Other studies have noted that frailty can significantly impact </w:t>
      </w:r>
      <w:proofErr w:type="spellStart"/>
      <w:r w:rsidRPr="00B77A30">
        <w:rPr>
          <w:rFonts w:ascii="Book Antiqua" w:hAnsi="Book Antiqua" w:cs="Times New Roman"/>
          <w:sz w:val="24"/>
          <w:szCs w:val="24"/>
        </w:rPr>
        <w:t>peri</w:t>
      </w:r>
      <w:proofErr w:type="spellEnd"/>
      <w:r w:rsidRPr="00B77A30">
        <w:rPr>
          <w:rFonts w:ascii="Book Antiqua" w:hAnsi="Book Antiqua" w:cs="Times New Roman"/>
          <w:sz w:val="24"/>
          <w:szCs w:val="24"/>
        </w:rPr>
        <w:t>-operative outcomes.</w:t>
      </w:r>
      <w:r w:rsidR="000A0F89">
        <w:rPr>
          <w:rFonts w:ascii="Book Antiqua" w:hAnsi="Book Antiqua" w:cs="Times New Roman"/>
          <w:sz w:val="24"/>
          <w:szCs w:val="24"/>
        </w:rPr>
        <w:t xml:space="preserve"> </w:t>
      </w:r>
      <w:r w:rsidRPr="00B77A30">
        <w:rPr>
          <w:rFonts w:ascii="Book Antiqua" w:hAnsi="Book Antiqua" w:cs="Times New Roman"/>
          <w:sz w:val="24"/>
          <w:szCs w:val="24"/>
        </w:rPr>
        <w:t>For example, Obeid</w:t>
      </w:r>
      <w:r w:rsidRPr="00B77A30">
        <w:rPr>
          <w:rFonts w:ascii="Book Antiqua" w:hAnsi="Book Antiqua" w:cs="Times New Roman"/>
          <w:i/>
          <w:sz w:val="24"/>
          <w:szCs w:val="24"/>
        </w:rPr>
        <w:t xml:space="preserve"> et al</w:t>
      </w:r>
      <w:r w:rsidR="009C5244" w:rsidRPr="00B77A30">
        <w:rPr>
          <w:rFonts w:ascii="Book Antiqua" w:hAnsi="Book Antiqua" w:cs="Times New Roman"/>
          <w:sz w:val="24"/>
          <w:szCs w:val="24"/>
        </w:rPr>
        <w:fldChar w:fldCharType="begin" w:fldLock="1"/>
      </w:r>
      <w:r w:rsidR="009C5244" w:rsidRPr="00B77A30">
        <w:rPr>
          <w:rFonts w:ascii="Book Antiqua" w:hAnsi="Book Antiqua" w:cs="Times New Roman"/>
          <w:sz w:val="24"/>
          <w:szCs w:val="24"/>
        </w:rPr>
        <w:instrText>ADDIN CSL_CITATION { "citationItems" : [ { "id" : "ITEM-1", "itemData" : { "DOI" : "10.1097/TA.0b013e31824d0f70", "ISSN" : "2163-0763", "PMID" : "22491599", "abstract" : "BACKGROUND: Colectomy patients experience a broad set of adverse outcomes. Complications requiring critical care support are common in this group. We hypothesized that as frailty increases, the risk of Clavien class IV and V complications will increase in colectomy patients.\n\nMETHODS: Using the National Surgical Quality Improvement Program (NSQIP) participant use files for 2005-2009, we identified patients who underwent laparoscopic and open colectomies by Current Procedural Terminology code. Using the Clavien classification for postoperative complications, we identified NSQIP data points most consistent with Clavien class IV requiring intensive care unit (ICU) care or class V complications (death). We used a modified frailty index with 11 variables based on mapping the Canadian Study of Health and Aging Frailty Index and existing NSQIP variables. Logistic regression was performed to acuity adjust the findings.\n\nRESULTS: A total of 58,448 colectomies were identified. As frailty index increased from 0 to 0.55, the proportion of those experiencing Clavien class IV or V complications increased from 3.2% at baseline to 56.3%. Variables found to be significant by logistic regression (odds ratio) were frailty index (14.4; p = 0.001), open procedure (2.35; p &lt; 0.001), and American Society of Anesthesiologists class 4 (3.2; p = 0.038) or 5 (7.1; p = 0.001) while emergency operation and wound classification 3 or 4 were not.\n\nCONCLUSIONS: Complications requiring ICU care represent a significant morbidity in the colectomy patient population. Frailty index seems to be an important predictor of ICU-level complications and death, and laparoscopy seems to be protective.", "author" : [ { "dropping-particle" : "", "family" : "Obeid", "given" : "Nadia M", "non-dropping-particle" : "", "parse-names" : false, "suffix" : "" }, { "dropping-particle" : "", "family" : "Azuh", "given" : "Ogochukwu", "non-dropping-particle" : "", "parse-names" : false, "suffix" : "" }, { "dropping-particle" : "", "family" : "Reddy", "given" : "Subhash", "non-dropping-particle" : "", "parse-names" : false, "suffix" : "" }, { "dropping-particle" : "", "family" : "Webb", "given" : "Shawn", "non-dropping-particle" : "", "parse-names" : false, "suffix" : "" }, { "dropping-particle" : "", "family" : "Reickert", "given" : "Craig", "non-dropping-particle" : "", "parse-names" : false, "suffix" : "" }, { "dropping-particle" : "", "family" : "Velanovich", "given" : "Vic", "non-dropping-particle" : "", "parse-names" : false, "suffix" : "" }, { "dropping-particle" : "", "family" : "Horst", "given" : "H Mathilda", "non-dropping-particle" : "", "parse-names" : false, "suffix" : "" }, { "dropping-particle" : "", "family" : "Rubinfeld", "given" : "Ilan", "non-dropping-particle" : "", "parse-names" : false, "suffix" : "" } ], "container-title" : "The journal of trauma and acute care surgery", "id" : "ITEM-1", "issue" : "4", "issued" : { "date-parts" : [ [ "2012", "4" ] ] }, "page" : "878-83", "title" : "Predictors of critical care-related complications in colectomy patients using the National Surgical Quality Improvement Program: exploring frailty and aggressive laparoscopic approaches.", "type" : "article-journal", "volume" : "72" }, "uris" : [ "http://www.mendeley.com/documents/?uuid=2c4fe1f4-0887-4c84-a0f1-9496f6215725" ] } ], "mendeley" : { "formattedCitation" : "&lt;sup&gt;[36]&lt;/sup&gt;", "plainTextFormattedCitation" : "[36]", "previouslyFormattedCitation" : "&lt;sup&gt;[36]&lt;/sup&gt;" }, "properties" : { "noteIndex" : 0 }, "schema" : "https://github.com/citation-style-language/schema/raw/master/csl-citation.json" }</w:instrText>
      </w:r>
      <w:r w:rsidR="009C5244" w:rsidRPr="00B77A30">
        <w:rPr>
          <w:rFonts w:ascii="Book Antiqua" w:hAnsi="Book Antiqua" w:cs="Times New Roman"/>
          <w:sz w:val="24"/>
          <w:szCs w:val="24"/>
        </w:rPr>
        <w:fldChar w:fldCharType="separate"/>
      </w:r>
      <w:r w:rsidR="009C5244" w:rsidRPr="00B77A30">
        <w:rPr>
          <w:rFonts w:ascii="Book Antiqua" w:hAnsi="Book Antiqua" w:cs="Times New Roman"/>
          <w:noProof/>
          <w:sz w:val="24"/>
          <w:szCs w:val="24"/>
          <w:vertAlign w:val="superscript"/>
        </w:rPr>
        <w:t>[36]</w:t>
      </w:r>
      <w:r w:rsidR="009C5244" w:rsidRPr="00B77A30">
        <w:rPr>
          <w:rFonts w:ascii="Book Antiqua" w:hAnsi="Book Antiqua" w:cs="Times New Roman"/>
          <w:sz w:val="24"/>
          <w:szCs w:val="24"/>
        </w:rPr>
        <w:fldChar w:fldCharType="end"/>
      </w:r>
      <w:r w:rsidRPr="00B77A30">
        <w:rPr>
          <w:rFonts w:ascii="Book Antiqua" w:hAnsi="Book Antiqua" w:cs="Times New Roman"/>
          <w:sz w:val="24"/>
          <w:szCs w:val="24"/>
        </w:rPr>
        <w:t xml:space="preserve"> reported on a large group of patients (</w:t>
      </w:r>
      <w:r w:rsidRPr="00B77A30">
        <w:rPr>
          <w:rFonts w:ascii="Book Antiqua" w:hAnsi="Book Antiqua" w:cs="Times New Roman"/>
          <w:i/>
          <w:sz w:val="24"/>
          <w:szCs w:val="24"/>
        </w:rPr>
        <w:t>n</w:t>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w:t>
      </w:r>
      <w:r w:rsidR="009C5244" w:rsidRPr="00B77A30">
        <w:rPr>
          <w:rFonts w:ascii="Book Antiqua" w:hAnsi="Book Antiqua" w:cs="Times New Roman"/>
          <w:sz w:val="24"/>
          <w:szCs w:val="24"/>
          <w:lang w:eastAsia="zh-CN"/>
        </w:rPr>
        <w:t xml:space="preserve"> </w:t>
      </w:r>
      <w:r w:rsidR="009C5244" w:rsidRPr="00B77A30">
        <w:rPr>
          <w:rFonts w:ascii="Book Antiqua" w:hAnsi="Book Antiqua" w:cs="Times New Roman"/>
          <w:sz w:val="24"/>
          <w:szCs w:val="24"/>
        </w:rPr>
        <w:t>58</w:t>
      </w:r>
      <w:r w:rsidRPr="00B77A30">
        <w:rPr>
          <w:rFonts w:ascii="Book Antiqua" w:hAnsi="Book Antiqua" w:cs="Times New Roman"/>
          <w:sz w:val="24"/>
          <w:szCs w:val="24"/>
        </w:rPr>
        <w:t xml:space="preserve">448) with colorectal cancer derived from the NSQIP database. The authors noted that the proportion of patients who experienced a severe </w:t>
      </w:r>
      <w:proofErr w:type="spellStart"/>
      <w:r w:rsidRPr="00B77A30">
        <w:rPr>
          <w:rFonts w:ascii="Book Antiqua" w:hAnsi="Book Antiqua" w:cs="Times New Roman"/>
          <w:sz w:val="24"/>
          <w:szCs w:val="24"/>
        </w:rPr>
        <w:t>Clavien</w:t>
      </w:r>
      <w:proofErr w:type="spellEnd"/>
      <w:r w:rsidRPr="00B77A30">
        <w:rPr>
          <w:rFonts w:ascii="Book Antiqua" w:hAnsi="Book Antiqua" w:cs="Times New Roman"/>
          <w:sz w:val="24"/>
          <w:szCs w:val="24"/>
        </w:rPr>
        <w:t xml:space="preserve"> class IV-V complication following colorectal surgery increased from 5.8% to 56.3% when comparing non-frail versus frail patients (</w:t>
      </w:r>
      <w:r w:rsidR="009C5244" w:rsidRPr="00B77A30">
        <w:rPr>
          <w:rFonts w:ascii="Book Antiqua" w:hAnsi="Book Antiqua" w:cs="Times New Roman"/>
          <w:i/>
          <w:sz w:val="24"/>
          <w:szCs w:val="24"/>
        </w:rPr>
        <w:t>P</w:t>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w:t>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0.0001).</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Frailty was also independently associated with a longer intensive care unit (ICU) stay and increased </w:t>
      </w:r>
      <w:proofErr w:type="spellStart"/>
      <w:r w:rsidRPr="00B77A30">
        <w:rPr>
          <w:rFonts w:ascii="Book Antiqua" w:hAnsi="Book Antiqua" w:cs="Times New Roman"/>
          <w:sz w:val="24"/>
          <w:szCs w:val="24"/>
        </w:rPr>
        <w:t>peri</w:t>
      </w:r>
      <w:proofErr w:type="spellEnd"/>
      <w:r w:rsidRPr="00B77A30">
        <w:rPr>
          <w:rFonts w:ascii="Book Antiqua" w:hAnsi="Book Antiqua" w:cs="Times New Roman"/>
          <w:sz w:val="24"/>
          <w:szCs w:val="24"/>
        </w:rPr>
        <w:t>-operative mortality.</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In a different study, Neumann </w:t>
      </w:r>
      <w:r w:rsidR="009C5244" w:rsidRPr="00B77A30">
        <w:rPr>
          <w:rFonts w:ascii="Book Antiqua" w:hAnsi="Book Antiqua" w:cs="Times New Roman"/>
          <w:i/>
          <w:sz w:val="24"/>
          <w:szCs w:val="24"/>
        </w:rPr>
        <w:t>et al</w:t>
      </w:r>
      <w:r w:rsidR="009C5244" w:rsidRPr="00B77A30">
        <w:rPr>
          <w:rFonts w:ascii="Book Antiqua" w:hAnsi="Book Antiqua" w:cs="Times New Roman"/>
          <w:sz w:val="24"/>
          <w:szCs w:val="24"/>
        </w:rPr>
        <w:fldChar w:fldCharType="begin" w:fldLock="1"/>
      </w:r>
      <w:r w:rsidR="009C5244" w:rsidRPr="00B77A30">
        <w:rPr>
          <w:rFonts w:ascii="Book Antiqua" w:hAnsi="Book Antiqua" w:cs="Times New Roman"/>
          <w:sz w:val="24"/>
          <w:szCs w:val="24"/>
        </w:rPr>
        <w:instrText>ADDIN CSL_CITATION { "citationItems" : [ { "id" : "ITEM-1", "itemData" : { "DOI" : "10.1097/TA.0b013e31824d0f70", "ISSN" : "2163-0763", "PMID" : "22491599", "abstract" : "BACKGROUND: Colectomy patients experience a broad set of adverse outcomes. Complications requiring critical care support are common in this group. We hypothesized that as frailty increases, the risk of Clavien class IV and V complications will increase in colectomy patients.\n\nMETHODS: Using the National Surgical Quality Improvement Program (NSQIP) participant use files for 2005-2009, we identified patients who underwent laparoscopic and open colectomies by Current Procedural Terminology code. Using the Clavien classification for postoperative complications, we identified NSQIP data points most consistent with Clavien class IV requiring intensive care unit (ICU) care or class V complications (death). We used a modified frailty index with 11 variables based on mapping the Canadian Study of Health and Aging Frailty Index and existing NSQIP variables. Logistic regression was performed to acuity adjust the findings.\n\nRESULTS: A total of 58,448 colectomies were identified. As frailty index increased from 0 to 0.55, the proportion of those experiencing Clavien class IV or V complications increased from 3.2% at baseline to 56.3%. Variables found to be significant by logistic regression (odds ratio) were frailty index (14.4; p = 0.001), open procedure (2.35; p &lt; 0.001), and American Society of Anesthesiologists class 4 (3.2; p = 0.038) or 5 (7.1; p = 0.001) while emergency operation and wound classification 3 or 4 were not.\n\nCONCLUSIONS: Complications requiring ICU care represent a significant morbidity in the colectomy patient population. Frailty index seems to be an important predictor of ICU-level complications and death, and laparoscopy seems to be protective.", "author" : [ { "dropping-particle" : "", "family" : "Obeid", "given" : "Nadia M", "non-dropping-particle" : "", "parse-names" : false, "suffix" : "" }, { "dropping-particle" : "", "family" : "Azuh", "given" : "Ogochukwu", "non-dropping-particle" : "", "parse-names" : false, "suffix" : "" }, { "dropping-particle" : "", "family" : "Reddy", "given" : "Subhash", "non-dropping-particle" : "", "parse-names" : false, "suffix" : "" }, { "dropping-particle" : "", "family" : "Webb", "given" : "Shawn", "non-dropping-particle" : "", "parse-names" : false, "suffix" : "" }, { "dropping-particle" : "", "family" : "Reickert", "given" : "Craig", "non-dropping-particle" : "", "parse-names" : false, "suffix" : "" }, { "dropping-particle" : "", "family" : "Velanovich", "given" : "Vic", "non-dropping-particle" : "", "parse-names" : false, "suffix" : "" }, { "dropping-particle" : "", "family" : "Horst", "given" : "H Mathilda", "non-dropping-particle" : "", "parse-names" : false, "suffix" : "" }, { "dropping-particle" : "", "family" : "Rubinfeld", "given" : "Ilan", "non-dropping-particle" : "", "parse-names" : false, "suffix" : "" } ], "container-title" : "The journal of trauma and acute care surgery", "id" : "ITEM-1", "issue" : "4", "issued" : { "date-parts" : [ [ "2012", "4" ] ] }, "page" : "878-83", "title" : "Predictors of critical care-related complications in colectomy patients using the National Surgical Quality Improvement Program: exploring frailty and aggressive laparoscopic approaches.", "type" : "article-journal", "volume" : "72" }, "uris" : [ "http://www.mendeley.com/documents/?uuid=2c4fe1f4-0887-4c84-a0f1-9496f6215725" ] } ], "mendeley" : { "formattedCitation" : "&lt;sup&gt;[36]&lt;/sup&gt;", "plainTextFormattedCitation" : "[36]", "previouslyFormattedCitation" : "&lt;sup&gt;[36]&lt;/sup&gt;" }, "properties" : { "noteIndex" : 0 }, "schema" : "https://github.com/citation-style-language/schema/raw/master/csl-citation.json" }</w:instrText>
      </w:r>
      <w:r w:rsidR="009C5244" w:rsidRPr="00B77A30">
        <w:rPr>
          <w:rFonts w:ascii="Book Antiqua" w:hAnsi="Book Antiqua" w:cs="Times New Roman"/>
          <w:sz w:val="24"/>
          <w:szCs w:val="24"/>
        </w:rPr>
        <w:fldChar w:fldCharType="separate"/>
      </w:r>
      <w:r w:rsidR="009C5244" w:rsidRPr="00B77A30">
        <w:rPr>
          <w:rFonts w:ascii="Book Antiqua" w:hAnsi="Book Antiqua" w:cs="Times New Roman"/>
          <w:noProof/>
          <w:sz w:val="24"/>
          <w:szCs w:val="24"/>
          <w:vertAlign w:val="superscript"/>
          <w:lang w:eastAsia="zh-CN"/>
        </w:rPr>
        <w:t>37</w:t>
      </w:r>
      <w:r w:rsidR="009C5244" w:rsidRPr="00B77A30">
        <w:rPr>
          <w:rFonts w:ascii="Book Antiqua" w:hAnsi="Book Antiqua" w:cs="Times New Roman"/>
          <w:noProof/>
          <w:sz w:val="24"/>
          <w:szCs w:val="24"/>
          <w:vertAlign w:val="superscript"/>
        </w:rPr>
        <w:t>]</w:t>
      </w:r>
      <w:r w:rsidR="009C5244" w:rsidRPr="00B77A30">
        <w:rPr>
          <w:rFonts w:ascii="Book Antiqua" w:hAnsi="Book Antiqua" w:cs="Times New Roman"/>
          <w:sz w:val="24"/>
          <w:szCs w:val="24"/>
        </w:rPr>
        <w:fldChar w:fldCharType="end"/>
      </w:r>
      <w:r w:rsidR="00CB2DFE">
        <w:rPr>
          <w:rFonts w:ascii="Book Antiqua" w:hAnsi="Book Antiqua" w:cs="Times New Roman"/>
          <w:sz w:val="24"/>
          <w:szCs w:val="24"/>
        </w:rPr>
        <w:t xml:space="preserve"> reported on 12</w:t>
      </w:r>
      <w:r w:rsidRPr="00B77A30">
        <w:rPr>
          <w:rFonts w:ascii="Book Antiqua" w:hAnsi="Book Antiqua" w:cs="Times New Roman"/>
          <w:sz w:val="24"/>
          <w:szCs w:val="24"/>
        </w:rPr>
        <w:t>979 patients from the SEER-Medicare database above the age of 80 who underwent a colorectal resection.</w:t>
      </w:r>
      <w:r w:rsidR="000A0F89">
        <w:rPr>
          <w:rFonts w:ascii="Book Antiqua" w:hAnsi="Book Antiqua" w:cs="Times New Roman"/>
          <w:sz w:val="24"/>
          <w:szCs w:val="24"/>
        </w:rPr>
        <w:t xml:space="preserve"> </w:t>
      </w:r>
      <w:r w:rsidRPr="00B77A30">
        <w:rPr>
          <w:rFonts w:ascii="Book Antiqua" w:hAnsi="Book Antiqua" w:cs="Times New Roman"/>
          <w:sz w:val="24"/>
          <w:szCs w:val="24"/>
        </w:rPr>
        <w:t>Older age, male gender, frailty, and dementia were all associated with decreased survival at 1 year.</w:t>
      </w:r>
      <w:r w:rsidR="000A0F89">
        <w:rPr>
          <w:rFonts w:ascii="Book Antiqua" w:hAnsi="Book Antiqua" w:cs="Times New Roman"/>
          <w:sz w:val="24"/>
          <w:szCs w:val="24"/>
        </w:rPr>
        <w:t xml:space="preserve"> </w:t>
      </w:r>
      <w:r w:rsidRPr="00B77A30">
        <w:rPr>
          <w:rFonts w:ascii="Book Antiqua" w:hAnsi="Book Antiqua" w:cs="Times New Roman"/>
          <w:sz w:val="24"/>
          <w:szCs w:val="24"/>
        </w:rPr>
        <w:t>Although only 4.4% of patients were considered frail, this factor had the strongest association with mortality with an odds ratio of 8.4.</w:t>
      </w:r>
      <w:r w:rsidR="000A0F89">
        <w:rPr>
          <w:rFonts w:ascii="Book Antiqua" w:hAnsi="Book Antiqua" w:cs="Times New Roman"/>
          <w:sz w:val="24"/>
          <w:szCs w:val="24"/>
        </w:rPr>
        <w:t xml:space="preserve"> </w:t>
      </w:r>
      <w:r w:rsidRPr="00B77A30">
        <w:rPr>
          <w:rFonts w:ascii="Book Antiqua" w:hAnsi="Book Antiqua" w:cs="Times New Roman"/>
          <w:sz w:val="24"/>
          <w:szCs w:val="24"/>
        </w:rPr>
        <w:t>While the authors concluded that frailty was an important predictor of outcome, the study was limited due to the nature of the administrative data used in the analyses.</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In a different study that utilized institutional data, Robinson </w:t>
      </w:r>
      <w:r w:rsidR="009C5244" w:rsidRPr="00B77A30">
        <w:rPr>
          <w:rFonts w:ascii="Book Antiqua" w:hAnsi="Book Antiqua" w:cs="Times New Roman"/>
          <w:i/>
          <w:sz w:val="24"/>
          <w:szCs w:val="24"/>
        </w:rPr>
        <w:t>et al</w:t>
      </w:r>
      <w:r w:rsidR="009C5244" w:rsidRPr="00B77A30">
        <w:rPr>
          <w:rFonts w:ascii="Book Antiqua" w:hAnsi="Book Antiqua" w:cs="Times New Roman"/>
          <w:sz w:val="24"/>
          <w:szCs w:val="24"/>
        </w:rPr>
        <w:fldChar w:fldCharType="begin" w:fldLock="1"/>
      </w:r>
      <w:r w:rsidR="009C5244" w:rsidRPr="00B77A30">
        <w:rPr>
          <w:rFonts w:ascii="Book Antiqua" w:hAnsi="Book Antiqua" w:cs="Times New Roman"/>
          <w:sz w:val="24"/>
          <w:szCs w:val="24"/>
        </w:rPr>
        <w:instrText>ADDIN CSL_CITATION { "citationItems" : [ { "id" : "ITEM-1", "itemData" : { "DOI" : "10.1097/TA.0b013e31824d0f70", "ISSN" : "2163-0763", "PMID" : "22491599", "abstract" : "BACKGROUND: Colectomy patients experience a broad set of adverse outcomes. Complications requiring critical care support are common in this group. We hypothesized that as frailty increases, the risk of Clavien class IV and V complications will increase in colectomy patients.\n\nMETHODS: Using the National Surgical Quality Improvement Program (NSQIP) participant use files for 2005-2009, we identified patients who underwent laparoscopic and open colectomies by Current Procedural Terminology code. Using the Clavien classification for postoperative complications, we identified NSQIP data points most consistent with Clavien class IV requiring intensive care unit (ICU) care or class V complications (death). We used a modified frailty index with 11 variables based on mapping the Canadian Study of Health and Aging Frailty Index and existing NSQIP variables. Logistic regression was performed to acuity adjust the findings.\n\nRESULTS: A total of 58,448 colectomies were identified. As frailty index increased from 0 to 0.55, the proportion of those experiencing Clavien class IV or V complications increased from 3.2% at baseline to 56.3%. Variables found to be significant by logistic regression (odds ratio) were frailty index (14.4; p = 0.001), open procedure (2.35; p &lt; 0.001), and American Society of Anesthesiologists class 4 (3.2; p = 0.038) or 5 (7.1; p = 0.001) while emergency operation and wound classification 3 or 4 were not.\n\nCONCLUSIONS: Complications requiring ICU care represent a significant morbidity in the colectomy patient population. Frailty index seems to be an important predictor of ICU-level complications and death, and laparoscopy seems to be protective.", "author" : [ { "dropping-particle" : "", "family" : "Obeid", "given" : "Nadia M", "non-dropping-particle" : "", "parse-names" : false, "suffix" : "" }, { "dropping-particle" : "", "family" : "Azuh", "given" : "Ogochukwu", "non-dropping-particle" : "", "parse-names" : false, "suffix" : "" }, { "dropping-particle" : "", "family" : "Reddy", "given" : "Subhash", "non-dropping-particle" : "", "parse-names" : false, "suffix" : "" }, { "dropping-particle" : "", "family" : "Webb", "given" : "Shawn", "non-dropping-particle" : "", "parse-names" : false, "suffix" : "" }, { "dropping-particle" : "", "family" : "Reickert", "given" : "Craig", "non-dropping-particle" : "", "parse-names" : false, "suffix" : "" }, { "dropping-particle" : "", "family" : "Velanovich", "given" : "Vic", "non-dropping-particle" : "", "parse-names" : false, "suffix" : "" }, { "dropping-particle" : "", "family" : "Horst", "given" : "H Mathilda", "non-dropping-particle" : "", "parse-names" : false, "suffix" : "" }, { "dropping-particle" : "", "family" : "Rubinfeld", "given" : "Ilan", "non-dropping-particle" : "", "parse-names" : false, "suffix" : "" } ], "container-title" : "The journal of trauma and acute care surgery", "id" : "ITEM-1", "issue" : "4", "issued" : { "date-parts" : [ [ "2012", "4" ] ] }, "page" : "878-83", "title" : "Predictors of critical care-related complications in colectomy patients using the National Surgical Quality Improvement Program: exploring frailty and aggressive laparoscopic approaches.", "type" : "article-journal", "volume" : "72" }, "uris" : [ "http://www.mendeley.com/documents/?uuid=2c4fe1f4-0887-4c84-a0f1-9496f6215725" ] } ], "mendeley" : { "formattedCitation" : "&lt;sup&gt;[36]&lt;/sup&gt;", "plainTextFormattedCitation" : "[36]", "previouslyFormattedCitation" : "&lt;sup&gt;[36]&lt;/sup&gt;" }, "properties" : { "noteIndex" : 0 }, "schema" : "https://github.com/citation-style-language/schema/raw/master/csl-citation.json" }</w:instrText>
      </w:r>
      <w:r w:rsidR="009C5244" w:rsidRPr="00B77A30">
        <w:rPr>
          <w:rFonts w:ascii="Book Antiqua" w:hAnsi="Book Antiqua" w:cs="Times New Roman"/>
          <w:sz w:val="24"/>
          <w:szCs w:val="24"/>
        </w:rPr>
        <w:fldChar w:fldCharType="separate"/>
      </w:r>
      <w:r w:rsidR="009C5244" w:rsidRPr="00B77A30">
        <w:rPr>
          <w:rFonts w:ascii="Book Antiqua" w:hAnsi="Book Antiqua" w:cs="Times New Roman"/>
          <w:noProof/>
          <w:sz w:val="24"/>
          <w:szCs w:val="24"/>
          <w:vertAlign w:val="superscript"/>
        </w:rPr>
        <w:t>[</w:t>
      </w:r>
      <w:r w:rsidR="009C5244" w:rsidRPr="00B77A30">
        <w:rPr>
          <w:rFonts w:ascii="Book Antiqua" w:hAnsi="Book Antiqua" w:cs="Times New Roman"/>
          <w:noProof/>
          <w:sz w:val="24"/>
          <w:szCs w:val="24"/>
          <w:vertAlign w:val="superscript"/>
          <w:lang w:eastAsia="zh-CN"/>
        </w:rPr>
        <w:t>68</w:t>
      </w:r>
      <w:r w:rsidR="009C5244" w:rsidRPr="00B77A30">
        <w:rPr>
          <w:rFonts w:ascii="Book Antiqua" w:hAnsi="Book Antiqua" w:cs="Times New Roman"/>
          <w:noProof/>
          <w:sz w:val="24"/>
          <w:szCs w:val="24"/>
          <w:vertAlign w:val="superscript"/>
        </w:rPr>
        <w:t>]</w:t>
      </w:r>
      <w:r w:rsidR="009C5244" w:rsidRPr="00B77A30">
        <w:rPr>
          <w:rFonts w:ascii="Book Antiqua" w:hAnsi="Book Antiqua" w:cs="Times New Roman"/>
          <w:sz w:val="24"/>
          <w:szCs w:val="24"/>
        </w:rPr>
        <w:fldChar w:fldCharType="end"/>
      </w:r>
      <w:r w:rsidRPr="00B77A30">
        <w:rPr>
          <w:rFonts w:ascii="Book Antiqua" w:hAnsi="Book Antiqua" w:cs="Times New Roman"/>
          <w:sz w:val="24"/>
          <w:szCs w:val="24"/>
        </w:rPr>
        <w:t xml:space="preserve"> reported on 201 subjects, many of whom underwent an elective colorectal surgery. Pre-operative frailty was associated with increased post-operative complications after c</w:t>
      </w:r>
      <w:r w:rsidR="009C5244" w:rsidRPr="00B77A30">
        <w:rPr>
          <w:rFonts w:ascii="Book Antiqua" w:hAnsi="Book Antiqua" w:cs="Times New Roman"/>
          <w:sz w:val="24"/>
          <w:szCs w:val="24"/>
        </w:rPr>
        <w:t xml:space="preserve">olorectal surgery (frail 58% </w:t>
      </w:r>
      <w:r w:rsidR="009C5244" w:rsidRPr="00B77A30">
        <w:rPr>
          <w:rFonts w:ascii="Book Antiqua" w:hAnsi="Book Antiqua" w:cs="Times New Roman"/>
          <w:i/>
          <w:sz w:val="24"/>
          <w:szCs w:val="24"/>
        </w:rPr>
        <w:t>vs</w:t>
      </w:r>
      <w:r w:rsidRPr="00B77A30">
        <w:rPr>
          <w:rFonts w:ascii="Book Antiqua" w:hAnsi="Book Antiqua" w:cs="Times New Roman"/>
          <w:sz w:val="24"/>
          <w:szCs w:val="24"/>
        </w:rPr>
        <w:t xml:space="preserve"> non-frail 21%); frail patients also had longer hospital stays and higher 30-day readmission rates.</w:t>
      </w:r>
      <w:r w:rsidR="000A0F89">
        <w:rPr>
          <w:rFonts w:ascii="Book Antiqua" w:hAnsi="Book Antiqua" w:cs="Times New Roman"/>
          <w:sz w:val="24"/>
          <w:szCs w:val="24"/>
        </w:rPr>
        <w:t xml:space="preserve"> </w:t>
      </w:r>
      <w:r w:rsidRPr="00B77A30">
        <w:rPr>
          <w:rFonts w:ascii="Book Antiqua" w:hAnsi="Book Antiqua" w:cs="Times New Roman"/>
          <w:sz w:val="24"/>
          <w:szCs w:val="24"/>
        </w:rPr>
        <w:t>Furthermore, frailty has noted to be a relatively good predictor of complications (AUC 0.702).</w:t>
      </w:r>
      <w:r w:rsidR="000A0F89">
        <w:rPr>
          <w:rFonts w:ascii="Book Antiqua" w:hAnsi="Book Antiqua" w:cs="Times New Roman"/>
          <w:sz w:val="24"/>
          <w:szCs w:val="24"/>
        </w:rPr>
        <w:t xml:space="preserve"> </w:t>
      </w:r>
      <w:r w:rsidRPr="00B77A30">
        <w:rPr>
          <w:rFonts w:ascii="Book Antiqua" w:hAnsi="Book Antiqua" w:cs="Times New Roman"/>
          <w:sz w:val="24"/>
          <w:szCs w:val="24"/>
        </w:rPr>
        <w:t>Other authors have noted that an elderly modified Physiological and Operative Severity Score for the enumeration of Mortality and morbidity (E-POSSUM) is also a good tool for predicting mortality after major colorectal su</w:t>
      </w:r>
      <w:r w:rsidR="009C5244" w:rsidRPr="00B77A30">
        <w:rPr>
          <w:rFonts w:ascii="Book Antiqua" w:hAnsi="Book Antiqua" w:cs="Times New Roman"/>
          <w:sz w:val="24"/>
          <w:szCs w:val="24"/>
        </w:rPr>
        <w:t>rgery in the elderly (AUC 0.86)</w:t>
      </w:r>
      <w:r w:rsidR="003F1EB8" w:rsidRPr="00B77A30">
        <w:rPr>
          <w:rFonts w:ascii="Book Antiqua" w:hAnsi="Book Antiqua" w:cs="Times New Roman"/>
          <w:sz w:val="24"/>
          <w:szCs w:val="24"/>
        </w:rPr>
        <w:fldChar w:fldCharType="begin" w:fldLock="1"/>
      </w:r>
      <w:r w:rsidR="003F1EB8" w:rsidRPr="00B77A30">
        <w:rPr>
          <w:rFonts w:ascii="Book Antiqua" w:hAnsi="Book Antiqua" w:cs="Times New Roman"/>
          <w:sz w:val="24"/>
          <w:szCs w:val="24"/>
        </w:rPr>
        <w:instrText>ADDIN CSL_CITATION { "citationItems" : [ { "id" : "ITEM-1", "itemData" : { "DOI" : "10.1002/bjs.6903", "ISSN" : "1365-2168", "PMID" : "20112252", "abstract" : "BACKGROUND: Several scores have been developed to evaluate surgical unit mortality and morbidity. The Physiological and Operative Severity Score for the enUmeration of Mortality and morbidity (POSSUM) and derivatives use preoperative and intraoperative factors, whereas the Surgical Risk Scale (SRS) and Association Fran\u00e7aise de Chirurgie (AFC) score use four simple factors. To allow for advanced age in patients undergoing colorectal surgery, a dedicated score-the Elderly (E) POSSUM-has been developed and its accuracy compared with these scores.\n\nMETHODS: From 2002 to 2004, 1186 elderly patients, at least 65 years old, undergoing major colorectal surgery in France were enrolled. Accuracy was assessed by calculating the area under the receiver operating characteristic curve (AUC) (discrimination) and calibration.\n\nRESULTS: The mortality and morbidity rates were 9 and 41 per cent respectively. The E-POSSUM had both a good discrimination (AUC = 0.86) and good calibration (P = 0.178) in predicting mortality and a reasonable discrimination (AUC = 0.77) and good calibration (P = 0.166) in predicting morbidity. The E-POSSUM was significantly better at predicting mortality and morbidity than the AFC score (P(c) = 0.014 and P(c) &lt; 0.001 respectively).\n\nCONCLUSION: The E-POSSUM is a good tool for predicting mortality, and the only efficient scoring system for predicting morbidity after major colorectal surgery in the elderly.", "author" : [ { "dropping-particle" : "", "family" : "Tran Ba Loc", "given" : "P", "non-dropping-particle" : "", "parse-names" : false, "suffix" : "" }, { "dropping-particle" : "", "family" : "Montcel", "given" : "S Tezenas", "non-dropping-particle" : "du", "parse-names" : false, "suffix" : "" }, { "dropping-particle" : "", "family" : "Duron", "given" : "J J", "non-dropping-particle" : "", "parse-names" : false, "suffix" : "" }, { "dropping-particle" : "", "family" : "Levard", "given" : "H", "non-dropping-particle" : "", "parse-names" : false, "suffix" : "" }, { "dropping-particle" : "", "family" : "Suc", "given" : "B", "non-dropping-particle" : "", "parse-names" : false, "suffix" : "" }, { "dropping-particle" : "", "family" : "Descottes", "given" : "B", "non-dropping-particle" : "", "parse-names" : false, "suffix" : "" }, { "dropping-particle" : "", "family" : "Desrousseaux", "given" : "B", "non-dropping-particle" : "", "parse-names" : false, "suffix" : "" }, { "dropping-particle" : "", "family" : "Hay", "given" : "J M", "non-dropping-particle" : "", "parse-names" : false, "suffix" : "" } ], "container-title" : "The British journal of surgery", "id" : "ITEM-1", "issue" : "3", "issued" : { "date-parts" : [ [ "2010", "3" ] ] }, "page" : "396-403", "title" : "Elderly POSSUM, a dedicated score for prediction of mortality and morbidity after major colorectal surgery in older patients.", "type" : "article-journal", "volume" : "97" }, "uris" : [ "http://www.mendeley.com/documents/?uuid=5600ffe1-ca24-4686-b835-ae6d7f250613" ] }, { "id" : "ITEM-2", "itemData" : { "DOI" : "10.1016/j.amjsurg.2011.08.012", "ISSN" : "1879-1883", "PMID" : "22178483", "abstract" : "BACKGROUND: The clinical syndrome of frailty identified through the assessment of weight loss, gait speed, grip strength, physical activity, and physical exhaustion has been used to identify patients with reduced reserves. We hypothesized that frailty is useful in predicting adverse outcomes in optimized elective elderly colorectal surgery patients.\n\nMETHODS: A prospective study was conducted at 2 centers (Singapore and Japan). All patients over 75 years of age undergoing colorectal resection were assessed for the presence of the syndrome of frailty. All these patients had already had their comorbidities optimized for surgery. The outcome measure was postoperative major complications (defined as Clavien-Dindo type II and above complications).\n\nRESULTS: Eighty-three patients were studied from February 2008 to April 2010. The mean age was 81.5 years (range 75-93 years). The mean comorbidity index was 3.37 (range 0-11). Twenty-six (31.3%) patients were an American Society of Anesthesiologists (ASA) score of 3 and above. Chi-square analysis revealed that the odds ratio of postoperative major complications was 4.083 (95% confidence interval, 1.433-11.638) when the patient satisfied the criteria for frailty. Albumin &lt;35, ASA &gt;3, comorbidity index &gt;5, and Physiologic and Operative Severity Score for the enUmeration of Mortality and Morbidity (POSSUM) scores were not predictive of postoperative major complications.\n\nCONCLUSIONS: Preliminary findings show that frailty is a potent adjunctive tool of predicting postoperative morbidity. Frailty can be used to identify elderly patients needing further optimization before major surgery.", "author" : [ { "dropping-particle" : "", "family" : "Tan", "given" : "Kok-Yang", "non-dropping-particle" : "", "parse-names" : false, "suffix" : "" }, { "dropping-particle" : "", "family" : "Kawamura", "given" : "Yutaka J", "non-dropping-particle" : "", "parse-names" : false, "suffix" : "" }, { "dropping-particle" : "", "family" : "Tokomitsu", "given" : "Aika", "non-dropping-particle" : "", "parse-names" : false, "suffix" : "" }, { "dropping-particle" : "", "family" : "Tang", "given" : "Terence", "non-dropping-particle" : "", "parse-names" : false, "suffix" : "" } ], "container-title" : "American journal of surgery", "id" : "ITEM-2", "issue" : "2", "issued" : { "date-parts" : [ [ "2012", "8" ] ] }, "page" : "139-43", "title" : "Assessment for frailty is useful for predicting morbidity in elderly patients undergoing colorectal cancer resection whose comorbidities are already optimized.", "type" : "article-journal", "volume" : "204" }, "uris" : [ "http://www.mendeley.com/documents/?uuid=137afb14-e25d-4278-835c-61ef6bc6cbe9" ] } ], "mendeley" : { "formattedCitation" : "&lt;sup&gt;[29,31]&lt;/sup&gt;", "plainTextFormattedCitation" : "[29,31]", "previouslyFormattedCitation" : "&lt;sup&gt;[29,31]&lt;/sup&gt;" }, "properties" : { "noteIndex" : 0 }, "schema" : "https://github.com/citation-style-language/schema/raw/master/csl-citation.json" }</w:instrText>
      </w:r>
      <w:r w:rsidR="003F1EB8" w:rsidRPr="00B77A30">
        <w:rPr>
          <w:rFonts w:ascii="Book Antiqua" w:hAnsi="Book Antiqua" w:cs="Times New Roman"/>
          <w:sz w:val="24"/>
          <w:szCs w:val="24"/>
        </w:rPr>
        <w:fldChar w:fldCharType="separate"/>
      </w:r>
      <w:r w:rsidR="003F1EB8" w:rsidRPr="00B77A30">
        <w:rPr>
          <w:rFonts w:ascii="Book Antiqua" w:hAnsi="Book Antiqua" w:cs="Times New Roman"/>
          <w:noProof/>
          <w:sz w:val="24"/>
          <w:szCs w:val="24"/>
          <w:vertAlign w:val="superscript"/>
        </w:rPr>
        <w:t>[29,31]</w:t>
      </w:r>
      <w:r w:rsidR="003F1EB8" w:rsidRPr="00B77A30">
        <w:rPr>
          <w:rFonts w:ascii="Book Antiqua" w:hAnsi="Book Antiqua" w:cs="Times New Roman"/>
          <w:sz w:val="24"/>
          <w:szCs w:val="24"/>
        </w:rPr>
        <w:fldChar w:fldCharType="end"/>
      </w:r>
      <w:r w:rsidR="009C5244" w:rsidRPr="00B77A30">
        <w:rPr>
          <w:rFonts w:ascii="Book Antiqua" w:hAnsi="Book Antiqua" w:cs="Times New Roman"/>
          <w:sz w:val="24"/>
          <w:szCs w:val="24"/>
          <w:lang w:eastAsia="zh-CN"/>
        </w:rPr>
        <w:t>.</w:t>
      </w:r>
    </w:p>
    <w:p w14:paraId="00E0FBA0" w14:textId="77777777" w:rsidR="009C5244" w:rsidRPr="00B77A30" w:rsidRDefault="009C5244" w:rsidP="00CB2DFE">
      <w:pPr>
        <w:spacing w:after="0" w:line="360" w:lineRule="auto"/>
        <w:jc w:val="both"/>
        <w:rPr>
          <w:rFonts w:ascii="Book Antiqua" w:hAnsi="Book Antiqua" w:cs="Times New Roman"/>
          <w:sz w:val="24"/>
          <w:szCs w:val="24"/>
          <w:lang w:eastAsia="zh-CN"/>
        </w:rPr>
      </w:pPr>
    </w:p>
    <w:p w14:paraId="19B37FAB" w14:textId="541428ED" w:rsidR="005A19AC" w:rsidRPr="00B77A30" w:rsidRDefault="005A19AC" w:rsidP="00CB2DFE">
      <w:pPr>
        <w:spacing w:after="0" w:line="360" w:lineRule="auto"/>
        <w:jc w:val="both"/>
        <w:rPr>
          <w:rFonts w:ascii="Book Antiqua" w:hAnsi="Book Antiqua" w:cs="Times New Roman"/>
          <w:b/>
          <w:i/>
          <w:sz w:val="24"/>
          <w:szCs w:val="24"/>
        </w:rPr>
      </w:pPr>
      <w:r w:rsidRPr="00B77A30">
        <w:rPr>
          <w:rFonts w:ascii="Book Antiqua" w:hAnsi="Book Antiqua" w:cs="Times New Roman"/>
          <w:b/>
          <w:i/>
          <w:sz w:val="24"/>
          <w:szCs w:val="24"/>
        </w:rPr>
        <w:lastRenderedPageBreak/>
        <w:t xml:space="preserve">Sarcopenia and </w:t>
      </w:r>
      <w:r w:rsidR="009C5244" w:rsidRPr="00B77A30">
        <w:rPr>
          <w:rFonts w:ascii="Book Antiqua" w:hAnsi="Book Antiqua" w:cs="Times New Roman"/>
          <w:b/>
          <w:i/>
          <w:sz w:val="24"/>
          <w:szCs w:val="24"/>
        </w:rPr>
        <w:t>colorectal cancer</w:t>
      </w:r>
    </w:p>
    <w:p w14:paraId="4E79D672" w14:textId="08CD54A6" w:rsidR="009C5244" w:rsidRPr="00B77A30" w:rsidRDefault="005A19AC" w:rsidP="00CB2DFE">
      <w:pPr>
        <w:spacing w:after="0" w:line="360" w:lineRule="auto"/>
        <w:jc w:val="both"/>
        <w:rPr>
          <w:rFonts w:ascii="Book Antiqua" w:hAnsi="Book Antiqua" w:cs="Times New Roman"/>
          <w:sz w:val="24"/>
          <w:szCs w:val="24"/>
          <w:lang w:eastAsia="zh-CN"/>
        </w:rPr>
      </w:pPr>
      <w:r w:rsidRPr="00B77A30">
        <w:rPr>
          <w:rFonts w:ascii="Book Antiqua" w:hAnsi="Book Antiqua" w:cs="Times New Roman"/>
          <w:sz w:val="24"/>
          <w:szCs w:val="24"/>
        </w:rPr>
        <w:t xml:space="preserve">Similar to frailty, the effect of sarcopenia on post-surgical outcomes of patients with colorectal cancer has only been evaluated in a limited fashion. </w:t>
      </w:r>
      <w:proofErr w:type="spellStart"/>
      <w:r w:rsidRPr="00B77A30">
        <w:rPr>
          <w:rFonts w:ascii="Book Antiqua" w:hAnsi="Book Antiqua" w:cs="Times New Roman"/>
          <w:sz w:val="24"/>
          <w:szCs w:val="24"/>
        </w:rPr>
        <w:t>Sabel</w:t>
      </w:r>
      <w:proofErr w:type="spellEnd"/>
      <w:r w:rsidRPr="00B77A30">
        <w:rPr>
          <w:rFonts w:ascii="Book Antiqua" w:hAnsi="Book Antiqua" w:cs="Times New Roman"/>
          <w:sz w:val="24"/>
          <w:szCs w:val="24"/>
        </w:rPr>
        <w:t xml:space="preserve"> </w:t>
      </w:r>
      <w:r w:rsidR="009C5244" w:rsidRPr="00B77A30">
        <w:rPr>
          <w:rFonts w:ascii="Book Antiqua" w:hAnsi="Book Antiqua" w:cs="Times New Roman"/>
          <w:i/>
          <w:sz w:val="24"/>
          <w:szCs w:val="24"/>
        </w:rPr>
        <w:t>et al</w:t>
      </w:r>
      <w:r w:rsidR="009C5244" w:rsidRPr="00B77A30">
        <w:rPr>
          <w:rFonts w:ascii="Book Antiqua" w:hAnsi="Book Antiqua" w:cs="Times New Roman"/>
          <w:sz w:val="24"/>
          <w:szCs w:val="24"/>
        </w:rPr>
        <w:fldChar w:fldCharType="begin" w:fldLock="1"/>
      </w:r>
      <w:r w:rsidR="009C5244" w:rsidRPr="00B77A30">
        <w:rPr>
          <w:rFonts w:ascii="Book Antiqua" w:hAnsi="Book Antiqua" w:cs="Times New Roman"/>
          <w:sz w:val="24"/>
          <w:szCs w:val="24"/>
        </w:rPr>
        <w:instrText>ADDIN CSL_CITATION { "citationItems" : [ { "id" : "ITEM-1", "itemData" : { "DOI" : "10.1097/TA.0b013e31824d0f70", "ISSN" : "2163-0763", "PMID" : "22491599", "abstract" : "BACKGROUND: Colectomy patients experience a broad set of adverse outcomes. Complications requiring critical care support are common in this group. We hypothesized that as frailty increases, the risk of Clavien class IV and V complications will increase in colectomy patients.\n\nMETHODS: Using the National Surgical Quality Improvement Program (NSQIP) participant use files for 2005-2009, we identified patients who underwent laparoscopic and open colectomies by Current Procedural Terminology code. Using the Clavien classification for postoperative complications, we identified NSQIP data points most consistent with Clavien class IV requiring intensive care unit (ICU) care or class V complications (death). We used a modified frailty index with 11 variables based on mapping the Canadian Study of Health and Aging Frailty Index and existing NSQIP variables. Logistic regression was performed to acuity adjust the findings.\n\nRESULTS: A total of 58,448 colectomies were identified. As frailty index increased from 0 to 0.55, the proportion of those experiencing Clavien class IV or V complications increased from 3.2% at baseline to 56.3%. Variables found to be significant by logistic regression (odds ratio) were frailty index (14.4; p = 0.001), open procedure (2.35; p &lt; 0.001), and American Society of Anesthesiologists class 4 (3.2; p = 0.038) or 5 (7.1; p = 0.001) while emergency operation and wound classification 3 or 4 were not.\n\nCONCLUSIONS: Complications requiring ICU care represent a significant morbidity in the colectomy patient population. Frailty index seems to be an important predictor of ICU-level complications and death, and laparoscopy seems to be protective.", "author" : [ { "dropping-particle" : "", "family" : "Obeid", "given" : "Nadia M", "non-dropping-particle" : "", "parse-names" : false, "suffix" : "" }, { "dropping-particle" : "", "family" : "Azuh", "given" : "Ogochukwu", "non-dropping-particle" : "", "parse-names" : false, "suffix" : "" }, { "dropping-particle" : "", "family" : "Reddy", "given" : "Subhash", "non-dropping-particle" : "", "parse-names" : false, "suffix" : "" }, { "dropping-particle" : "", "family" : "Webb", "given" : "Shawn", "non-dropping-particle" : "", "parse-names" : false, "suffix" : "" }, { "dropping-particle" : "", "family" : "Reickert", "given" : "Craig", "non-dropping-particle" : "", "parse-names" : false, "suffix" : "" }, { "dropping-particle" : "", "family" : "Velanovich", "given" : "Vic", "non-dropping-particle" : "", "parse-names" : false, "suffix" : "" }, { "dropping-particle" : "", "family" : "Horst", "given" : "H Mathilda", "non-dropping-particle" : "", "parse-names" : false, "suffix" : "" }, { "dropping-particle" : "", "family" : "Rubinfeld", "given" : "Ilan", "non-dropping-particle" : "", "parse-names" : false, "suffix" : "" } ], "container-title" : "The journal of trauma and acute care surgery", "id" : "ITEM-1", "issue" : "4", "issued" : { "date-parts" : [ [ "2012", "4" ] ] }, "page" : "878-83", "title" : "Predictors of critical care-related complications in colectomy patients using the National Surgical Quality Improvement Program: exploring frailty and aggressive laparoscopic approaches.", "type" : "article-journal", "volume" : "72" }, "uris" : [ "http://www.mendeley.com/documents/?uuid=2c4fe1f4-0887-4c84-a0f1-9496f6215725" ] } ], "mendeley" : { "formattedCitation" : "&lt;sup&gt;[36]&lt;/sup&gt;", "plainTextFormattedCitation" : "[36]", "previouslyFormattedCitation" : "&lt;sup&gt;[36]&lt;/sup&gt;" }, "properties" : { "noteIndex" : 0 }, "schema" : "https://github.com/citation-style-language/schema/raw/master/csl-citation.json" }</w:instrText>
      </w:r>
      <w:r w:rsidR="009C5244" w:rsidRPr="00B77A30">
        <w:rPr>
          <w:rFonts w:ascii="Book Antiqua" w:hAnsi="Book Antiqua" w:cs="Times New Roman"/>
          <w:sz w:val="24"/>
          <w:szCs w:val="24"/>
        </w:rPr>
        <w:fldChar w:fldCharType="separate"/>
      </w:r>
      <w:r w:rsidR="009C5244" w:rsidRPr="00B77A30">
        <w:rPr>
          <w:rFonts w:ascii="Book Antiqua" w:hAnsi="Book Antiqua" w:cs="Times New Roman"/>
          <w:noProof/>
          <w:sz w:val="24"/>
          <w:szCs w:val="24"/>
          <w:vertAlign w:val="superscript"/>
        </w:rPr>
        <w:t>[</w:t>
      </w:r>
      <w:r w:rsidR="009C5244" w:rsidRPr="00B77A30">
        <w:rPr>
          <w:rFonts w:ascii="Book Antiqua" w:hAnsi="Book Antiqua" w:cs="Times New Roman"/>
          <w:noProof/>
          <w:sz w:val="24"/>
          <w:szCs w:val="24"/>
          <w:vertAlign w:val="superscript"/>
          <w:lang w:eastAsia="zh-CN"/>
        </w:rPr>
        <w:t>38</w:t>
      </w:r>
      <w:r w:rsidR="009C5244" w:rsidRPr="00B77A30">
        <w:rPr>
          <w:rFonts w:ascii="Book Antiqua" w:hAnsi="Book Antiqua" w:cs="Times New Roman"/>
          <w:noProof/>
          <w:sz w:val="24"/>
          <w:szCs w:val="24"/>
          <w:vertAlign w:val="superscript"/>
        </w:rPr>
        <w:t>]</w:t>
      </w:r>
      <w:r w:rsidR="009C5244" w:rsidRPr="00B77A30">
        <w:rPr>
          <w:rFonts w:ascii="Book Antiqua" w:hAnsi="Book Antiqua" w:cs="Times New Roman"/>
          <w:sz w:val="24"/>
          <w:szCs w:val="24"/>
        </w:rPr>
        <w:fldChar w:fldCharType="end"/>
      </w:r>
      <w:r w:rsidRPr="00B77A30">
        <w:rPr>
          <w:rFonts w:ascii="Book Antiqua" w:hAnsi="Book Antiqua" w:cs="Times New Roman"/>
          <w:sz w:val="24"/>
          <w:szCs w:val="24"/>
        </w:rPr>
        <w:t xml:space="preserve"> prospectively examined 302 patients who underwent resection of colorectal cancer and noted that psoas density was a better predictor of postoperative complications compared with age, body mass index (BMI) or preoperative patient comorbidities. The authors reviewed patient computed tomography scans to measure psoas area, density, subcutaneous fat, visceral fat and total body fat.</w:t>
      </w:r>
      <w:r w:rsidR="000A0F89">
        <w:rPr>
          <w:rFonts w:ascii="Book Antiqua" w:hAnsi="Book Antiqua" w:cs="Times New Roman"/>
          <w:sz w:val="24"/>
          <w:szCs w:val="24"/>
        </w:rPr>
        <w:t xml:space="preserve"> </w:t>
      </w:r>
      <w:r w:rsidRPr="00B77A30">
        <w:rPr>
          <w:rFonts w:ascii="Book Antiqua" w:hAnsi="Book Antiqua" w:cs="Times New Roman"/>
          <w:sz w:val="24"/>
          <w:szCs w:val="24"/>
        </w:rPr>
        <w:t>Among the parameters studied, psoas density was found to be the best predictor of surgical complications among patients undergoing colectomy for colon cancer.</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In a separate prospective study by </w:t>
      </w:r>
      <w:proofErr w:type="spellStart"/>
      <w:r w:rsidRPr="00B77A30">
        <w:rPr>
          <w:rFonts w:ascii="Book Antiqua" w:hAnsi="Book Antiqua" w:cs="Times New Roman"/>
          <w:sz w:val="24"/>
          <w:szCs w:val="24"/>
        </w:rPr>
        <w:t>Lieffers</w:t>
      </w:r>
      <w:proofErr w:type="spellEnd"/>
      <w:r w:rsidRPr="00B77A30">
        <w:rPr>
          <w:rFonts w:ascii="Book Antiqua" w:hAnsi="Book Antiqua" w:cs="Times New Roman"/>
          <w:sz w:val="24"/>
          <w:szCs w:val="24"/>
        </w:rPr>
        <w:t xml:space="preserve"> </w:t>
      </w:r>
      <w:r w:rsidR="009C5244" w:rsidRPr="00B77A30">
        <w:rPr>
          <w:rFonts w:ascii="Book Antiqua" w:hAnsi="Book Antiqua" w:cs="Times New Roman"/>
          <w:i/>
          <w:sz w:val="24"/>
          <w:szCs w:val="24"/>
        </w:rPr>
        <w:t>et al</w:t>
      </w:r>
      <w:r w:rsidR="009C5244" w:rsidRPr="00B77A30">
        <w:rPr>
          <w:rFonts w:ascii="Book Antiqua" w:hAnsi="Book Antiqua" w:cs="Times New Roman"/>
          <w:sz w:val="24"/>
          <w:szCs w:val="24"/>
        </w:rPr>
        <w:fldChar w:fldCharType="begin" w:fldLock="1"/>
      </w:r>
      <w:r w:rsidR="009C5244" w:rsidRPr="00B77A30">
        <w:rPr>
          <w:rFonts w:ascii="Book Antiqua" w:hAnsi="Book Antiqua" w:cs="Times New Roman"/>
          <w:sz w:val="24"/>
          <w:szCs w:val="24"/>
        </w:rPr>
        <w:instrText>ADDIN CSL_CITATION { "citationItems" : [ { "id" : "ITEM-1", "itemData" : { "DOI" : "10.1097/TA.0b013e31824d0f70", "ISSN" : "2163-0763", "PMID" : "22491599", "abstract" : "BACKGROUND: Colectomy patients experience a broad set of adverse outcomes. Complications requiring critical care support are common in this group. We hypothesized that as frailty increases, the risk of Clavien class IV and V complications will increase in colectomy patients.\n\nMETHODS: Using the National Surgical Quality Improvement Program (NSQIP) participant use files for 2005-2009, we identified patients who underwent laparoscopic and open colectomies by Current Procedural Terminology code. Using the Clavien classification for postoperative complications, we identified NSQIP data points most consistent with Clavien class IV requiring intensive care unit (ICU) care or class V complications (death). We used a modified frailty index with 11 variables based on mapping the Canadian Study of Health and Aging Frailty Index and existing NSQIP variables. Logistic regression was performed to acuity adjust the findings.\n\nRESULTS: A total of 58,448 colectomies were identified. As frailty index increased from 0 to 0.55, the proportion of those experiencing Clavien class IV or V complications increased from 3.2% at baseline to 56.3%. Variables found to be significant by logistic regression (odds ratio) were frailty index (14.4; p = 0.001), open procedure (2.35; p &lt; 0.001), and American Society of Anesthesiologists class 4 (3.2; p = 0.038) or 5 (7.1; p = 0.001) while emergency operation and wound classification 3 or 4 were not.\n\nCONCLUSIONS: Complications requiring ICU care represent a significant morbidity in the colectomy patient population. Frailty index seems to be an important predictor of ICU-level complications and death, and laparoscopy seems to be protective.", "author" : [ { "dropping-particle" : "", "family" : "Obeid", "given" : "Nadia M", "non-dropping-particle" : "", "parse-names" : false, "suffix" : "" }, { "dropping-particle" : "", "family" : "Azuh", "given" : "Ogochukwu", "non-dropping-particle" : "", "parse-names" : false, "suffix" : "" }, { "dropping-particle" : "", "family" : "Reddy", "given" : "Subhash", "non-dropping-particle" : "", "parse-names" : false, "suffix" : "" }, { "dropping-particle" : "", "family" : "Webb", "given" : "Shawn", "non-dropping-particle" : "", "parse-names" : false, "suffix" : "" }, { "dropping-particle" : "", "family" : "Reickert", "given" : "Craig", "non-dropping-particle" : "", "parse-names" : false, "suffix" : "" }, { "dropping-particle" : "", "family" : "Velanovich", "given" : "Vic", "non-dropping-particle" : "", "parse-names" : false, "suffix" : "" }, { "dropping-particle" : "", "family" : "Horst", "given" : "H Mathilda", "non-dropping-particle" : "", "parse-names" : false, "suffix" : "" }, { "dropping-particle" : "", "family" : "Rubinfeld", "given" : "Ilan", "non-dropping-particle" : "", "parse-names" : false, "suffix" : "" } ], "container-title" : "The journal of trauma and acute care surgery", "id" : "ITEM-1", "issue" : "4", "issued" : { "date-parts" : [ [ "2012", "4" ] ] }, "page" : "878-83", "title" : "Predictors of critical care-related complications in colectomy patients using the National Surgical Quality Improvement Program: exploring frailty and aggressive laparoscopic approaches.", "type" : "article-journal", "volume" : "72" }, "uris" : [ "http://www.mendeley.com/documents/?uuid=2c4fe1f4-0887-4c84-a0f1-9496f6215725" ] } ], "mendeley" : { "formattedCitation" : "&lt;sup&gt;[36]&lt;/sup&gt;", "plainTextFormattedCitation" : "[36]", "previouslyFormattedCitation" : "&lt;sup&gt;[36]&lt;/sup&gt;" }, "properties" : { "noteIndex" : 0 }, "schema" : "https://github.com/citation-style-language/schema/raw/master/csl-citation.json" }</w:instrText>
      </w:r>
      <w:r w:rsidR="009C5244" w:rsidRPr="00B77A30">
        <w:rPr>
          <w:rFonts w:ascii="Book Antiqua" w:hAnsi="Book Antiqua" w:cs="Times New Roman"/>
          <w:sz w:val="24"/>
          <w:szCs w:val="24"/>
        </w:rPr>
        <w:fldChar w:fldCharType="separate"/>
      </w:r>
      <w:r w:rsidR="009C5244" w:rsidRPr="00B77A30">
        <w:rPr>
          <w:rFonts w:ascii="Book Antiqua" w:hAnsi="Book Antiqua" w:cs="Times New Roman"/>
          <w:noProof/>
          <w:sz w:val="24"/>
          <w:szCs w:val="24"/>
          <w:vertAlign w:val="superscript"/>
        </w:rPr>
        <w:t>[</w:t>
      </w:r>
      <w:r w:rsidR="009C5244" w:rsidRPr="00B77A30">
        <w:rPr>
          <w:rFonts w:ascii="Book Antiqua" w:hAnsi="Book Antiqua" w:cs="Times New Roman"/>
          <w:noProof/>
          <w:sz w:val="24"/>
          <w:szCs w:val="24"/>
          <w:vertAlign w:val="superscript"/>
          <w:lang w:eastAsia="zh-CN"/>
        </w:rPr>
        <w:t>39</w:t>
      </w:r>
      <w:r w:rsidR="009C5244" w:rsidRPr="00B77A30">
        <w:rPr>
          <w:rFonts w:ascii="Book Antiqua" w:hAnsi="Book Antiqua" w:cs="Times New Roman"/>
          <w:noProof/>
          <w:sz w:val="24"/>
          <w:szCs w:val="24"/>
          <w:vertAlign w:val="superscript"/>
        </w:rPr>
        <w:t>]</w:t>
      </w:r>
      <w:r w:rsidR="009C5244" w:rsidRPr="00B77A30">
        <w:rPr>
          <w:rFonts w:ascii="Book Antiqua" w:hAnsi="Book Antiqua" w:cs="Times New Roman"/>
          <w:sz w:val="24"/>
          <w:szCs w:val="24"/>
        </w:rPr>
        <w:fldChar w:fldCharType="end"/>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that included 234 older patients who underwent colon resection, sarcopenia was strongly associated with delayed recovery, postoperative infection</w:t>
      </w:r>
      <w:r w:rsidR="009C5244" w:rsidRPr="00B77A30">
        <w:rPr>
          <w:rFonts w:ascii="Book Antiqua" w:hAnsi="Book Antiqua" w:cs="Times New Roman"/>
          <w:sz w:val="24"/>
          <w:szCs w:val="24"/>
        </w:rPr>
        <w:t xml:space="preserve">s (23.7% </w:t>
      </w:r>
      <w:proofErr w:type="spellStart"/>
      <w:r w:rsidR="009C5244" w:rsidRPr="00B77A30">
        <w:rPr>
          <w:rFonts w:ascii="Book Antiqua" w:hAnsi="Book Antiqua" w:cs="Times New Roman"/>
          <w:sz w:val="24"/>
          <w:szCs w:val="24"/>
        </w:rPr>
        <w:t>sarcopenic</w:t>
      </w:r>
      <w:proofErr w:type="spellEnd"/>
      <w:r w:rsidR="009C5244" w:rsidRPr="00B77A30">
        <w:rPr>
          <w:rFonts w:ascii="Book Antiqua" w:hAnsi="Book Antiqua" w:cs="Times New Roman"/>
          <w:sz w:val="24"/>
          <w:szCs w:val="24"/>
        </w:rPr>
        <w:t xml:space="preserve"> patients </w:t>
      </w:r>
      <w:r w:rsidR="009C5244" w:rsidRPr="00B77A30">
        <w:rPr>
          <w:rFonts w:ascii="Book Antiqua" w:hAnsi="Book Antiqua" w:cs="Times New Roman"/>
          <w:i/>
          <w:sz w:val="24"/>
          <w:szCs w:val="24"/>
        </w:rPr>
        <w:t>vs</w:t>
      </w:r>
      <w:r w:rsidRPr="00B77A30">
        <w:rPr>
          <w:rFonts w:ascii="Book Antiqua" w:hAnsi="Book Antiqua" w:cs="Times New Roman"/>
          <w:sz w:val="24"/>
          <w:szCs w:val="24"/>
        </w:rPr>
        <w:t xml:space="preserve"> 12.5% non </w:t>
      </w:r>
      <w:proofErr w:type="spellStart"/>
      <w:r w:rsidRPr="00B77A30">
        <w:rPr>
          <w:rFonts w:ascii="Book Antiqua" w:hAnsi="Book Antiqua" w:cs="Times New Roman"/>
          <w:sz w:val="24"/>
          <w:szCs w:val="24"/>
        </w:rPr>
        <w:t>sarcopenic</w:t>
      </w:r>
      <w:proofErr w:type="spellEnd"/>
      <w:r w:rsidRPr="00B77A30">
        <w:rPr>
          <w:rFonts w:ascii="Book Antiqua" w:hAnsi="Book Antiqua" w:cs="Times New Roman"/>
          <w:sz w:val="24"/>
          <w:szCs w:val="24"/>
        </w:rPr>
        <w:t xml:space="preserve"> patients, </w:t>
      </w:r>
      <w:r w:rsidR="009C5244" w:rsidRPr="00B77A30">
        <w:rPr>
          <w:rFonts w:ascii="Book Antiqua" w:hAnsi="Book Antiqua" w:cs="Times New Roman"/>
          <w:i/>
          <w:sz w:val="24"/>
          <w:szCs w:val="24"/>
        </w:rPr>
        <w:t>P</w:t>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w:t>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0.025), as well as an increased risk of discharge to a nursing facility (14.3% </w:t>
      </w:r>
      <w:proofErr w:type="spellStart"/>
      <w:r w:rsidRPr="00B77A30">
        <w:rPr>
          <w:rFonts w:ascii="Book Antiqua" w:hAnsi="Book Antiqua" w:cs="Times New Roman"/>
          <w:sz w:val="24"/>
          <w:szCs w:val="24"/>
        </w:rPr>
        <w:t>sarcop</w:t>
      </w:r>
      <w:r w:rsidR="009C5244" w:rsidRPr="00B77A30">
        <w:rPr>
          <w:rFonts w:ascii="Book Antiqua" w:hAnsi="Book Antiqua" w:cs="Times New Roman"/>
          <w:sz w:val="24"/>
          <w:szCs w:val="24"/>
        </w:rPr>
        <w:t>enic</w:t>
      </w:r>
      <w:proofErr w:type="spellEnd"/>
      <w:r w:rsidR="009C5244" w:rsidRPr="00B77A30">
        <w:rPr>
          <w:rFonts w:ascii="Book Antiqua" w:hAnsi="Book Antiqua" w:cs="Times New Roman"/>
          <w:sz w:val="24"/>
          <w:szCs w:val="24"/>
        </w:rPr>
        <w:t xml:space="preserve"> patients </w:t>
      </w:r>
      <w:r w:rsidR="009C5244" w:rsidRPr="00B77A30">
        <w:rPr>
          <w:rFonts w:ascii="Book Antiqua" w:hAnsi="Book Antiqua" w:cs="Times New Roman"/>
          <w:i/>
          <w:sz w:val="24"/>
          <w:szCs w:val="24"/>
        </w:rPr>
        <w:t>vs</w:t>
      </w:r>
      <w:r w:rsidRPr="00B77A30">
        <w:rPr>
          <w:rFonts w:ascii="Book Antiqua" w:hAnsi="Book Antiqua" w:cs="Times New Roman"/>
          <w:sz w:val="24"/>
          <w:szCs w:val="24"/>
        </w:rPr>
        <w:t xml:space="preserve"> 5.6% non </w:t>
      </w:r>
      <w:proofErr w:type="spellStart"/>
      <w:r w:rsidRPr="00B77A30">
        <w:rPr>
          <w:rFonts w:ascii="Book Antiqua" w:hAnsi="Book Antiqua" w:cs="Times New Roman"/>
          <w:sz w:val="24"/>
          <w:szCs w:val="24"/>
        </w:rPr>
        <w:t>sarcopenic</w:t>
      </w:r>
      <w:proofErr w:type="spellEnd"/>
      <w:r w:rsidRPr="00B77A30">
        <w:rPr>
          <w:rFonts w:ascii="Book Antiqua" w:hAnsi="Book Antiqua" w:cs="Times New Roman"/>
          <w:sz w:val="24"/>
          <w:szCs w:val="24"/>
        </w:rPr>
        <w:t xml:space="preserve"> patients, </w:t>
      </w:r>
      <w:r w:rsidR="009C5244" w:rsidRPr="00B77A30">
        <w:rPr>
          <w:rFonts w:ascii="Book Antiqua" w:hAnsi="Book Antiqua" w:cs="Times New Roman"/>
          <w:i/>
          <w:sz w:val="24"/>
          <w:szCs w:val="24"/>
        </w:rPr>
        <w:t>P</w:t>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w:t>
      </w:r>
      <w:r w:rsidR="009C5244" w:rsidRPr="00B77A30">
        <w:rPr>
          <w:rFonts w:ascii="Book Antiqua" w:hAnsi="Book Antiqua" w:cs="Times New Roman"/>
          <w:sz w:val="24"/>
          <w:szCs w:val="24"/>
          <w:lang w:eastAsia="zh-CN"/>
        </w:rPr>
        <w:t xml:space="preserve"> </w:t>
      </w:r>
      <w:r w:rsidR="009C5244" w:rsidRPr="00B77A30">
        <w:rPr>
          <w:rFonts w:ascii="Book Antiqua" w:hAnsi="Book Antiqua" w:cs="Times New Roman"/>
          <w:sz w:val="24"/>
          <w:szCs w:val="24"/>
        </w:rPr>
        <w:t>0.024)</w:t>
      </w:r>
      <w:r w:rsidR="003F1EB8" w:rsidRPr="00B77A30">
        <w:rPr>
          <w:rFonts w:ascii="Book Antiqua" w:hAnsi="Book Antiqua" w:cs="Times New Roman"/>
          <w:sz w:val="24"/>
          <w:szCs w:val="24"/>
        </w:rPr>
        <w:fldChar w:fldCharType="begin" w:fldLock="1"/>
      </w:r>
      <w:r w:rsidR="003F1EB8" w:rsidRPr="00B77A30">
        <w:rPr>
          <w:rFonts w:ascii="Book Antiqua" w:hAnsi="Book Antiqua" w:cs="Times New Roman"/>
          <w:sz w:val="24"/>
          <w:szCs w:val="24"/>
        </w:rPr>
        <w:instrText>ADDIN CSL_CITATION { "citationItems" : [ { "id" : "ITEM-1", "itemData" : { "DOI" : "10.1038/bjc.2012.350", "ISSN" : "0007-0920", "PMID" : "22871883", "abstract" : "BACKGROUND: Skeletal muscle depletion (sarcopenia) predicts morbidity and mortality in the elderly and cancer patients.\n\nMETHODS: We tested whether sarcopenia predicts primary colorectal cancer resection outcomes in stage II-IV patients (n=234). Sarcopenia was assessed using preoperative computed tomography images. Administrative hospitalisation data encompassing the index surgical admission, direct transfers for inpatient rehabilitation care and hospital re-admissions within 30 days was searched for International Classification of Disease (ICD)-10 codes for postoperative infections and inpatient rehabilitation care and used to calculate length of stay (LOS).\n\nRESULTS: Overall, 38.9% were sarcopenic; 16.7% had an infection and 9.0% had inpatient rehabilitation care. Length of stay was longer for sarcopenic patients overall (15.9 \u00b1 14.2 days vs 12.3 \u00b1 9.8 days, P=0.038) and especially in those \u2265 65 years (20.2 \u00b1 16.9 days vs 13.1 \u00b1 8.3 days, P=0.008). Infection risk was greater for sarcopenic patients overall (23.7% vs 12.5%; P=0.025), and especially those \u2265 65 years (29.6% vs 8.8%, P=0.005). Most (90%) inpatient rehabilitation care was in patients \u2265 65 years. Inpatient rehabilitation was more common in sarcopenic patients overall (14.3% vs 5.6%; P=0.024) and those \u2265 65 years (24.1% vs 10.7%, P=0.06). In a multivariate model in patients \u2265 65 years, sarcopenia was an independent predictor of both infection (odds ratio (OR) 4.6, (95% confidence interval (CI) 1.5, 13.9) P&lt;0.01) and rehabilitation care (OR 3.1 (95% CI 1.04, 9.4) P&lt;0.04).\n\nCONCLUSION: Sarcopenia predicts postoperative infections, inpatient rehabilitation care and consequently a longer LOS.", "author" : [ { "dropping-particle" : "", "family" : "Lieffers", "given" : "J R", "non-dropping-particle" : "", "parse-names" : false, "suffix" : "" }, { "dropping-particle" : "", "family" : "Bathe", "given" : "O F", "non-dropping-particle" : "", "parse-names" : false, "suffix" : "" }, { "dropping-particle" : "", "family" : "Fassbender", "given" : "K", "non-dropping-particle" : "", "parse-names" : false, "suffix" : "" }, { "dropping-particle" : "", "family" : "Winget", "given" : "M", "non-dropping-particle" : "", "parse-names" : false, "suffix" : "" }, { "dropping-particle" : "", "family" : "Baracos", "given" : "V E", "non-dropping-particle" : "", "parse-names" : false, "suffix" : "" } ], "container-title" : "British Journal of Cancer", "id" : "ITEM-1", "issue" : "6", "issued" : { "date-parts" : [ [ "2012", "8", "7" ] ] }, "page" : "931-936", "title" : "Sarcopenia is associated with postoperative infection and delayed recovery from colorectal cancer resection surgery", "type" : "article-journal", "volume" : "107" }, "uris" : [ "http://www.mendeley.com/documents/?uuid=e82e6930-95b9-4dd8-a482-1f5d339d916b" ] } ], "mendeley" : { "formattedCitation" : "&lt;sup&gt;[39]&lt;/sup&gt;", "plainTextFormattedCitation" : "[39]", "previouslyFormattedCitation" : "&lt;sup&gt;[39]&lt;/sup&gt;" }, "properties" : { "noteIndex" : 0 }, "schema" : "https://github.com/citation-style-language/schema/raw/master/csl-citation.json" }</w:instrText>
      </w:r>
      <w:r w:rsidR="003F1EB8" w:rsidRPr="00B77A30">
        <w:rPr>
          <w:rFonts w:ascii="Book Antiqua" w:hAnsi="Book Antiqua" w:cs="Times New Roman"/>
          <w:sz w:val="24"/>
          <w:szCs w:val="24"/>
        </w:rPr>
        <w:fldChar w:fldCharType="separate"/>
      </w:r>
      <w:r w:rsidR="003F1EB8" w:rsidRPr="00B77A30">
        <w:rPr>
          <w:rFonts w:ascii="Book Antiqua" w:hAnsi="Book Antiqua" w:cs="Times New Roman"/>
          <w:noProof/>
          <w:sz w:val="24"/>
          <w:szCs w:val="24"/>
          <w:vertAlign w:val="superscript"/>
        </w:rPr>
        <w:t>[39]</w:t>
      </w:r>
      <w:r w:rsidR="003F1EB8" w:rsidRPr="00B77A30">
        <w:rPr>
          <w:rFonts w:ascii="Book Antiqua" w:hAnsi="Book Antiqua" w:cs="Times New Roman"/>
          <w:sz w:val="24"/>
          <w:szCs w:val="24"/>
        </w:rPr>
        <w:fldChar w:fldCharType="end"/>
      </w:r>
      <w:r w:rsidR="009C5244" w:rsidRPr="00B77A30">
        <w:rPr>
          <w:rFonts w:ascii="Book Antiqua" w:hAnsi="Book Antiqua" w:cs="Times New Roman"/>
          <w:sz w:val="24"/>
          <w:szCs w:val="24"/>
          <w:lang w:eastAsia="zh-CN"/>
        </w:rPr>
        <w:t>.</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Similarly, Reisinger </w:t>
      </w:r>
      <w:r w:rsidR="009C5244" w:rsidRPr="00B77A30">
        <w:rPr>
          <w:rFonts w:ascii="Book Antiqua" w:hAnsi="Book Antiqua" w:cs="Times New Roman"/>
          <w:i/>
          <w:sz w:val="24"/>
          <w:szCs w:val="24"/>
        </w:rPr>
        <w:t>et al</w:t>
      </w:r>
      <w:r w:rsidR="009C5244" w:rsidRPr="00B77A30">
        <w:rPr>
          <w:rFonts w:ascii="Book Antiqua" w:hAnsi="Book Antiqua" w:cs="Times New Roman"/>
          <w:sz w:val="24"/>
          <w:szCs w:val="24"/>
        </w:rPr>
        <w:fldChar w:fldCharType="begin" w:fldLock="1"/>
      </w:r>
      <w:r w:rsidR="009C5244" w:rsidRPr="00B77A30">
        <w:rPr>
          <w:rFonts w:ascii="Book Antiqua" w:hAnsi="Book Antiqua" w:cs="Times New Roman"/>
          <w:sz w:val="24"/>
          <w:szCs w:val="24"/>
        </w:rPr>
        <w:instrText>ADDIN CSL_CITATION { "citationItems" : [ { "id" : "ITEM-1", "itemData" : { "DOI" : "10.1097/TA.0b013e31824d0f70", "ISSN" : "2163-0763", "PMID" : "22491599", "abstract" : "BACKGROUND: Colectomy patients experience a broad set of adverse outcomes. Complications requiring critical care support are common in this group. We hypothesized that as frailty increases, the risk of Clavien class IV and V complications will increase in colectomy patients.\n\nMETHODS: Using the National Surgical Quality Improvement Program (NSQIP) participant use files for 2005-2009, we identified patients who underwent laparoscopic and open colectomies by Current Procedural Terminology code. Using the Clavien classification for postoperative complications, we identified NSQIP data points most consistent with Clavien class IV requiring intensive care unit (ICU) care or class V complications (death). We used a modified frailty index with 11 variables based on mapping the Canadian Study of Health and Aging Frailty Index and existing NSQIP variables. Logistic regression was performed to acuity adjust the findings.\n\nRESULTS: A total of 58,448 colectomies were identified. As frailty index increased from 0 to 0.55, the proportion of those experiencing Clavien class IV or V complications increased from 3.2% at baseline to 56.3%. Variables found to be significant by logistic regression (odds ratio) were frailty index (14.4; p = 0.001), open procedure (2.35; p &lt; 0.001), and American Society of Anesthesiologists class 4 (3.2; p = 0.038) or 5 (7.1; p = 0.001) while emergency operation and wound classification 3 or 4 were not.\n\nCONCLUSIONS: Complications requiring ICU care represent a significant morbidity in the colectomy patient population. Frailty index seems to be an important predictor of ICU-level complications and death, and laparoscopy seems to be protective.", "author" : [ { "dropping-particle" : "", "family" : "Obeid", "given" : "Nadia M", "non-dropping-particle" : "", "parse-names" : false, "suffix" : "" }, { "dropping-particle" : "", "family" : "Azuh", "given" : "Ogochukwu", "non-dropping-particle" : "", "parse-names" : false, "suffix" : "" }, { "dropping-particle" : "", "family" : "Reddy", "given" : "Subhash", "non-dropping-particle" : "", "parse-names" : false, "suffix" : "" }, { "dropping-particle" : "", "family" : "Webb", "given" : "Shawn", "non-dropping-particle" : "", "parse-names" : false, "suffix" : "" }, { "dropping-particle" : "", "family" : "Reickert", "given" : "Craig", "non-dropping-particle" : "", "parse-names" : false, "suffix" : "" }, { "dropping-particle" : "", "family" : "Velanovich", "given" : "Vic", "non-dropping-particle" : "", "parse-names" : false, "suffix" : "" }, { "dropping-particle" : "", "family" : "Horst", "given" : "H Mathilda", "non-dropping-particle" : "", "parse-names" : false, "suffix" : "" }, { "dropping-particle" : "", "family" : "Rubinfeld", "given" : "Ilan", "non-dropping-particle" : "", "parse-names" : false, "suffix" : "" } ], "container-title" : "The journal of trauma and acute care surgery", "id" : "ITEM-1", "issue" : "4", "issued" : { "date-parts" : [ [ "2012", "4" ] ] }, "page" : "878-83", "title" : "Predictors of critical care-related complications in colectomy patients using the National Surgical Quality Improvement Program: exploring frailty and aggressive laparoscopic approaches.", "type" : "article-journal", "volume" : "72" }, "uris" : [ "http://www.mendeley.com/documents/?uuid=2c4fe1f4-0887-4c84-a0f1-9496f6215725" ] } ], "mendeley" : { "formattedCitation" : "&lt;sup&gt;[36]&lt;/sup&gt;", "plainTextFormattedCitation" : "[36]", "previouslyFormattedCitation" : "&lt;sup&gt;[36]&lt;/sup&gt;" }, "properties" : { "noteIndex" : 0 }, "schema" : "https://github.com/citation-style-language/schema/raw/master/csl-citation.json" }</w:instrText>
      </w:r>
      <w:r w:rsidR="009C5244" w:rsidRPr="00B77A30">
        <w:rPr>
          <w:rFonts w:ascii="Book Antiqua" w:hAnsi="Book Antiqua" w:cs="Times New Roman"/>
          <w:sz w:val="24"/>
          <w:szCs w:val="24"/>
        </w:rPr>
        <w:fldChar w:fldCharType="separate"/>
      </w:r>
      <w:r w:rsidR="009C5244" w:rsidRPr="00B77A30">
        <w:rPr>
          <w:rFonts w:ascii="Book Antiqua" w:hAnsi="Book Antiqua" w:cs="Times New Roman"/>
          <w:noProof/>
          <w:sz w:val="24"/>
          <w:szCs w:val="24"/>
          <w:vertAlign w:val="superscript"/>
        </w:rPr>
        <w:t>[</w:t>
      </w:r>
      <w:r w:rsidR="009C5244" w:rsidRPr="00B77A30">
        <w:rPr>
          <w:rFonts w:ascii="Book Antiqua" w:hAnsi="Book Antiqua" w:cs="Times New Roman"/>
          <w:noProof/>
          <w:sz w:val="24"/>
          <w:szCs w:val="24"/>
          <w:vertAlign w:val="superscript"/>
          <w:lang w:eastAsia="zh-CN"/>
        </w:rPr>
        <w:t>50</w:t>
      </w:r>
      <w:r w:rsidR="009C5244" w:rsidRPr="00B77A30">
        <w:rPr>
          <w:rFonts w:ascii="Book Antiqua" w:hAnsi="Book Antiqua" w:cs="Times New Roman"/>
          <w:noProof/>
          <w:sz w:val="24"/>
          <w:szCs w:val="24"/>
          <w:vertAlign w:val="superscript"/>
        </w:rPr>
        <w:t>]</w:t>
      </w:r>
      <w:r w:rsidR="009C5244" w:rsidRPr="00B77A30">
        <w:rPr>
          <w:rFonts w:ascii="Book Antiqua" w:hAnsi="Book Antiqua" w:cs="Times New Roman"/>
          <w:sz w:val="24"/>
          <w:szCs w:val="24"/>
        </w:rPr>
        <w:fldChar w:fldCharType="end"/>
      </w:r>
      <w:r w:rsidR="000A0F89">
        <w:rPr>
          <w:rFonts w:ascii="Book Antiqua" w:hAnsi="Book Antiqua" w:cs="Times New Roman"/>
          <w:sz w:val="24"/>
          <w:szCs w:val="24"/>
          <w:lang w:eastAsia="zh-CN"/>
        </w:rPr>
        <w:t xml:space="preserve"> </w:t>
      </w:r>
      <w:r w:rsidRPr="00B77A30">
        <w:rPr>
          <w:rFonts w:ascii="Book Antiqua" w:hAnsi="Book Antiqua" w:cs="Times New Roman"/>
          <w:sz w:val="24"/>
          <w:szCs w:val="24"/>
        </w:rPr>
        <w:t>reported a series of 331 older patients who underwent colorectal cancer surgery and demonstrated that a combination of age related parameters such as frailty, sarcopenia and malnutrition were strongly a</w:t>
      </w:r>
      <w:r w:rsidR="009C5244" w:rsidRPr="00B77A30">
        <w:rPr>
          <w:rFonts w:ascii="Book Antiqua" w:hAnsi="Book Antiqua" w:cs="Times New Roman"/>
          <w:sz w:val="24"/>
          <w:szCs w:val="24"/>
        </w:rPr>
        <w:t>ssociated with adverse outcomes</w:t>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Sarcopenia alone was predictive of 30 d in hospital mortality (8.8% </w:t>
      </w:r>
      <w:proofErr w:type="spellStart"/>
      <w:r w:rsidRPr="00B77A30">
        <w:rPr>
          <w:rFonts w:ascii="Book Antiqua" w:hAnsi="Book Antiqua" w:cs="Times New Roman"/>
          <w:sz w:val="24"/>
          <w:szCs w:val="24"/>
        </w:rPr>
        <w:t>sarcopenic</w:t>
      </w:r>
      <w:proofErr w:type="spellEnd"/>
      <w:r w:rsidRPr="00B77A30">
        <w:rPr>
          <w:rFonts w:ascii="Book Antiqua" w:hAnsi="Book Antiqua" w:cs="Times New Roman"/>
          <w:sz w:val="24"/>
          <w:szCs w:val="24"/>
        </w:rPr>
        <w:t xml:space="preserve"> </w:t>
      </w:r>
      <w:r w:rsidRPr="00B77A30">
        <w:rPr>
          <w:rFonts w:ascii="Book Antiqua" w:hAnsi="Book Antiqua" w:cs="Times New Roman"/>
          <w:i/>
          <w:sz w:val="24"/>
          <w:szCs w:val="24"/>
        </w:rPr>
        <w:t>v</w:t>
      </w:r>
      <w:r w:rsidR="009C5244" w:rsidRPr="00B77A30">
        <w:rPr>
          <w:rFonts w:ascii="Book Antiqua" w:hAnsi="Book Antiqua" w:cs="Times New Roman"/>
          <w:i/>
          <w:sz w:val="24"/>
          <w:szCs w:val="24"/>
        </w:rPr>
        <w:t>s</w:t>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0.7% </w:t>
      </w:r>
      <w:proofErr w:type="spellStart"/>
      <w:r w:rsidRPr="00B77A30">
        <w:rPr>
          <w:rFonts w:ascii="Book Antiqua" w:hAnsi="Book Antiqua" w:cs="Times New Roman"/>
          <w:sz w:val="24"/>
          <w:szCs w:val="24"/>
        </w:rPr>
        <w:t>nonsarcopenic</w:t>
      </w:r>
      <w:proofErr w:type="spellEnd"/>
      <w:r w:rsidRPr="00B77A30">
        <w:rPr>
          <w:rFonts w:ascii="Book Antiqua" w:hAnsi="Book Antiqua" w:cs="Times New Roman"/>
          <w:sz w:val="24"/>
          <w:szCs w:val="24"/>
        </w:rPr>
        <w:t xml:space="preserve"> patients, </w:t>
      </w:r>
      <w:r w:rsidR="009C5244" w:rsidRPr="00B77A30">
        <w:rPr>
          <w:rFonts w:ascii="Book Antiqua" w:hAnsi="Book Antiqua" w:cs="Times New Roman"/>
          <w:i/>
          <w:sz w:val="24"/>
          <w:szCs w:val="24"/>
        </w:rPr>
        <w:t>P</w:t>
      </w:r>
      <w:r w:rsidR="009C5244" w:rsidRPr="00B77A30">
        <w:rPr>
          <w:rFonts w:ascii="Book Antiqua" w:hAnsi="Book Antiqua" w:cs="Times New Roman"/>
          <w:sz w:val="24"/>
          <w:szCs w:val="24"/>
        </w:rPr>
        <w:t xml:space="preserve"> </w:t>
      </w:r>
      <w:r w:rsidRPr="00B77A30">
        <w:rPr>
          <w:rFonts w:ascii="Book Antiqua" w:hAnsi="Book Antiqua" w:cs="Times New Roman"/>
          <w:sz w:val="24"/>
          <w:szCs w:val="24"/>
        </w:rPr>
        <w:t>=</w:t>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0.001). Most recently, Huang </w:t>
      </w:r>
      <w:r w:rsidR="009C5244" w:rsidRPr="00B77A30">
        <w:rPr>
          <w:rFonts w:ascii="Book Antiqua" w:hAnsi="Book Antiqua" w:cs="Times New Roman"/>
          <w:i/>
          <w:sz w:val="24"/>
          <w:szCs w:val="24"/>
        </w:rPr>
        <w:t>et al</w:t>
      </w:r>
      <w:r w:rsidR="009C5244" w:rsidRPr="00B77A30">
        <w:rPr>
          <w:rFonts w:ascii="Book Antiqua" w:hAnsi="Book Antiqua" w:cs="Times New Roman"/>
          <w:sz w:val="24"/>
          <w:szCs w:val="24"/>
        </w:rPr>
        <w:fldChar w:fldCharType="begin" w:fldLock="1"/>
      </w:r>
      <w:r w:rsidR="009C5244" w:rsidRPr="00B77A30">
        <w:rPr>
          <w:rFonts w:ascii="Book Antiqua" w:hAnsi="Book Antiqua" w:cs="Times New Roman"/>
          <w:sz w:val="24"/>
          <w:szCs w:val="24"/>
        </w:rPr>
        <w:instrText>ADDIN CSL_CITATION { "citationItems" : [ { "id" : "ITEM-1", "itemData" : { "DOI" : "10.1097/TA.0b013e31824d0f70", "ISSN" : "2163-0763", "PMID" : "22491599", "abstract" : "BACKGROUND: Colectomy patients experience a broad set of adverse outcomes. Complications requiring critical care support are common in this group. We hypothesized that as frailty increases, the risk of Clavien class IV and V complications will increase in colectomy patients.\n\nMETHODS: Using the National Surgical Quality Improvement Program (NSQIP) participant use files for 2005-2009, we identified patients who underwent laparoscopic and open colectomies by Current Procedural Terminology code. Using the Clavien classification for postoperative complications, we identified NSQIP data points most consistent with Clavien class IV requiring intensive care unit (ICU) care or class V complications (death). We used a modified frailty index with 11 variables based on mapping the Canadian Study of Health and Aging Frailty Index and existing NSQIP variables. Logistic regression was performed to acuity adjust the findings.\n\nRESULTS: A total of 58,448 colectomies were identified. As frailty index increased from 0 to 0.55, the proportion of those experiencing Clavien class IV or V complications increased from 3.2% at baseline to 56.3%. Variables found to be significant by logistic regression (odds ratio) were frailty index (14.4; p = 0.001), open procedure (2.35; p &lt; 0.001), and American Society of Anesthesiologists class 4 (3.2; p = 0.038) or 5 (7.1; p = 0.001) while emergency operation and wound classification 3 or 4 were not.\n\nCONCLUSIONS: Complications requiring ICU care represent a significant morbidity in the colectomy patient population. Frailty index seems to be an important predictor of ICU-level complications and death, and laparoscopy seems to be protective.", "author" : [ { "dropping-particle" : "", "family" : "Obeid", "given" : "Nadia M", "non-dropping-particle" : "", "parse-names" : false, "suffix" : "" }, { "dropping-particle" : "", "family" : "Azuh", "given" : "Ogochukwu", "non-dropping-particle" : "", "parse-names" : false, "suffix" : "" }, { "dropping-particle" : "", "family" : "Reddy", "given" : "Subhash", "non-dropping-particle" : "", "parse-names" : false, "suffix" : "" }, { "dropping-particle" : "", "family" : "Webb", "given" : "Shawn", "non-dropping-particle" : "", "parse-names" : false, "suffix" : "" }, { "dropping-particle" : "", "family" : "Reickert", "given" : "Craig", "non-dropping-particle" : "", "parse-names" : false, "suffix" : "" }, { "dropping-particle" : "", "family" : "Velanovich", "given" : "Vic", "non-dropping-particle" : "", "parse-names" : false, "suffix" : "" }, { "dropping-particle" : "", "family" : "Horst", "given" : "H Mathilda", "non-dropping-particle" : "", "parse-names" : false, "suffix" : "" }, { "dropping-particle" : "", "family" : "Rubinfeld", "given" : "Ilan", "non-dropping-particle" : "", "parse-names" : false, "suffix" : "" } ], "container-title" : "The journal of trauma and acute care surgery", "id" : "ITEM-1", "issue" : "4", "issued" : { "date-parts" : [ [ "2012", "4" ] ] }, "page" : "878-83", "title" : "Predictors of critical care-related complications in colectomy patients using the National Surgical Quality Improvement Program: exploring frailty and aggressive laparoscopic approaches.", "type" : "article-journal", "volume" : "72" }, "uris" : [ "http://www.mendeley.com/documents/?uuid=2c4fe1f4-0887-4c84-a0f1-9496f6215725" ] } ], "mendeley" : { "formattedCitation" : "&lt;sup&gt;[36]&lt;/sup&gt;", "plainTextFormattedCitation" : "[36]", "previouslyFormattedCitation" : "&lt;sup&gt;[36]&lt;/sup&gt;" }, "properties" : { "noteIndex" : 0 }, "schema" : "https://github.com/citation-style-language/schema/raw/master/csl-citation.json" }</w:instrText>
      </w:r>
      <w:r w:rsidR="009C5244" w:rsidRPr="00B77A30">
        <w:rPr>
          <w:rFonts w:ascii="Book Antiqua" w:hAnsi="Book Antiqua" w:cs="Times New Roman"/>
          <w:sz w:val="24"/>
          <w:szCs w:val="24"/>
        </w:rPr>
        <w:fldChar w:fldCharType="separate"/>
      </w:r>
      <w:r w:rsidR="009C5244" w:rsidRPr="00B77A30">
        <w:rPr>
          <w:rFonts w:ascii="Book Antiqua" w:hAnsi="Book Antiqua" w:cs="Times New Roman"/>
          <w:noProof/>
          <w:sz w:val="24"/>
          <w:szCs w:val="24"/>
          <w:vertAlign w:val="superscript"/>
        </w:rPr>
        <w:t>[</w:t>
      </w:r>
      <w:r w:rsidR="009C5244" w:rsidRPr="00B77A30">
        <w:rPr>
          <w:rFonts w:ascii="Book Antiqua" w:hAnsi="Book Antiqua" w:cs="Times New Roman"/>
          <w:noProof/>
          <w:sz w:val="24"/>
          <w:szCs w:val="24"/>
          <w:vertAlign w:val="superscript"/>
          <w:lang w:eastAsia="zh-CN"/>
        </w:rPr>
        <w:t>30</w:t>
      </w:r>
      <w:r w:rsidR="009C5244" w:rsidRPr="00B77A30">
        <w:rPr>
          <w:rFonts w:ascii="Book Antiqua" w:hAnsi="Book Antiqua" w:cs="Times New Roman"/>
          <w:noProof/>
          <w:sz w:val="24"/>
          <w:szCs w:val="24"/>
          <w:vertAlign w:val="superscript"/>
        </w:rPr>
        <w:t>]</w:t>
      </w:r>
      <w:r w:rsidR="009C5244" w:rsidRPr="00B77A30">
        <w:rPr>
          <w:rFonts w:ascii="Book Antiqua" w:hAnsi="Book Antiqua" w:cs="Times New Roman"/>
          <w:sz w:val="24"/>
          <w:szCs w:val="24"/>
        </w:rPr>
        <w:fldChar w:fldCharType="end"/>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defined sarcopenia through a combination of </w:t>
      </w:r>
      <w:proofErr w:type="spellStart"/>
      <w:r w:rsidRPr="00B77A30">
        <w:rPr>
          <w:rFonts w:ascii="Book Antiqua" w:hAnsi="Book Antiqua" w:cs="Times New Roman"/>
          <w:sz w:val="24"/>
          <w:szCs w:val="24"/>
        </w:rPr>
        <w:t>monomorphometric</w:t>
      </w:r>
      <w:proofErr w:type="spellEnd"/>
      <w:r w:rsidRPr="00B77A30">
        <w:rPr>
          <w:rFonts w:ascii="Book Antiqua" w:hAnsi="Book Antiqua" w:cs="Times New Roman"/>
          <w:sz w:val="24"/>
          <w:szCs w:val="24"/>
        </w:rPr>
        <w:t xml:space="preserve"> measurements and physical performance and used it to define low postoperative outcomes. By this, the authors showed, that including the </w:t>
      </w:r>
      <w:proofErr w:type="spellStart"/>
      <w:r w:rsidRPr="00B77A30">
        <w:rPr>
          <w:rFonts w:ascii="Book Antiqua" w:hAnsi="Book Antiqua" w:cs="Times New Roman"/>
          <w:sz w:val="24"/>
          <w:szCs w:val="24"/>
        </w:rPr>
        <w:t>musclels</w:t>
      </w:r>
      <w:proofErr w:type="spellEnd"/>
      <w:r w:rsidR="00CB2DFE">
        <w:rPr>
          <w:rFonts w:ascii="Book Antiqua" w:hAnsi="Book Antiqua" w:cs="Times New Roman"/>
          <w:sz w:val="24"/>
          <w:szCs w:val="24"/>
          <w:lang w:eastAsia="zh-CN"/>
        </w:rPr>
        <w:t>’</w:t>
      </w:r>
      <w:r w:rsidRPr="00B77A30">
        <w:rPr>
          <w:rFonts w:ascii="Book Antiqua" w:hAnsi="Book Antiqua" w:cs="Times New Roman"/>
          <w:sz w:val="24"/>
          <w:szCs w:val="24"/>
        </w:rPr>
        <w:t xml:space="preserve"> functional aspect (handgrip strength and 6-meter usual gait speed) to the definition of sarcopenia results in a better prediction for postoperative complications as</w:t>
      </w:r>
      <w:r w:rsidR="001F26E9" w:rsidRPr="00B77A30">
        <w:rPr>
          <w:rFonts w:ascii="Book Antiqua" w:hAnsi="Book Antiqua" w:cs="Times New Roman"/>
          <w:sz w:val="24"/>
          <w:szCs w:val="24"/>
        </w:rPr>
        <w:t xml:space="preserve"> compared to measurement alone.</w:t>
      </w:r>
    </w:p>
    <w:p w14:paraId="163587FC" w14:textId="3324ABE8" w:rsidR="005A19AC" w:rsidRPr="00B77A30" w:rsidRDefault="009C5244" w:rsidP="00CB2DFE">
      <w:pPr>
        <w:spacing w:after="0" w:line="360" w:lineRule="auto"/>
        <w:jc w:val="both"/>
        <w:rPr>
          <w:rFonts w:ascii="Book Antiqua" w:hAnsi="Book Antiqua" w:cs="Times New Roman"/>
          <w:sz w:val="24"/>
          <w:szCs w:val="24"/>
        </w:rPr>
      </w:pPr>
      <w:r w:rsidRPr="00B77A30">
        <w:rPr>
          <w:rFonts w:ascii="Book Antiqua" w:hAnsi="Book Antiqua" w:cs="Times New Roman"/>
          <w:sz w:val="24"/>
          <w:szCs w:val="24"/>
        </w:rPr>
        <w:t xml:space="preserve"> </w:t>
      </w:r>
    </w:p>
    <w:p w14:paraId="275496A3" w14:textId="6E5B69F1" w:rsidR="005A19AC" w:rsidRPr="00B77A30" w:rsidRDefault="009C5244" w:rsidP="00CB2DFE">
      <w:pPr>
        <w:spacing w:after="0" w:line="360" w:lineRule="auto"/>
        <w:jc w:val="both"/>
        <w:rPr>
          <w:rFonts w:ascii="Book Antiqua" w:hAnsi="Book Antiqua" w:cs="Times New Roman"/>
          <w:b/>
          <w:sz w:val="24"/>
          <w:szCs w:val="24"/>
        </w:rPr>
      </w:pPr>
      <w:r w:rsidRPr="00B77A30">
        <w:rPr>
          <w:rFonts w:ascii="Book Antiqua" w:hAnsi="Book Antiqua" w:cs="Times New Roman"/>
          <w:b/>
          <w:sz w:val="24"/>
          <w:szCs w:val="24"/>
        </w:rPr>
        <w:t xml:space="preserve">HEPATO-PANCREATO-BILIARY MALIGNANCIES </w:t>
      </w:r>
    </w:p>
    <w:p w14:paraId="7323C3A1" w14:textId="0CE8C79B" w:rsidR="005A19AC" w:rsidRPr="00B77A30" w:rsidRDefault="005A19AC" w:rsidP="00CB2DFE">
      <w:pPr>
        <w:spacing w:after="0" w:line="360" w:lineRule="auto"/>
        <w:jc w:val="both"/>
        <w:rPr>
          <w:rFonts w:ascii="Book Antiqua" w:hAnsi="Book Antiqua" w:cs="Times New Roman"/>
          <w:sz w:val="24"/>
          <w:szCs w:val="24"/>
        </w:rPr>
      </w:pPr>
      <w:r w:rsidRPr="00B77A30">
        <w:rPr>
          <w:rFonts w:ascii="Book Antiqua" w:hAnsi="Book Antiqua" w:cs="Times New Roman"/>
          <w:sz w:val="24"/>
          <w:szCs w:val="24"/>
        </w:rPr>
        <w:t xml:space="preserve">Surgery is commonly used to treat patients with a wide variety of </w:t>
      </w:r>
      <w:proofErr w:type="spellStart"/>
      <w:r w:rsidRPr="00B77A30">
        <w:rPr>
          <w:rFonts w:ascii="Book Antiqua" w:hAnsi="Book Antiqua" w:cs="Times New Roman"/>
          <w:sz w:val="24"/>
          <w:szCs w:val="24"/>
        </w:rPr>
        <w:t>hepato</w:t>
      </w:r>
      <w:proofErr w:type="spellEnd"/>
      <w:r w:rsidRPr="00B77A30">
        <w:rPr>
          <w:rFonts w:ascii="Book Antiqua" w:hAnsi="Book Antiqua" w:cs="Times New Roman"/>
          <w:sz w:val="24"/>
          <w:szCs w:val="24"/>
        </w:rPr>
        <w:t>-</w:t>
      </w:r>
      <w:proofErr w:type="spellStart"/>
      <w:r w:rsidRPr="00B77A30">
        <w:rPr>
          <w:rFonts w:ascii="Book Antiqua" w:hAnsi="Book Antiqua" w:cs="Times New Roman"/>
          <w:sz w:val="24"/>
          <w:szCs w:val="24"/>
        </w:rPr>
        <w:t>pancreato</w:t>
      </w:r>
      <w:proofErr w:type="spellEnd"/>
      <w:r w:rsidRPr="00B77A30">
        <w:rPr>
          <w:rFonts w:ascii="Book Antiqua" w:hAnsi="Book Antiqua" w:cs="Times New Roman"/>
          <w:sz w:val="24"/>
          <w:szCs w:val="24"/>
        </w:rPr>
        <w:t>-biliary (HBP) diseases.</w:t>
      </w:r>
      <w:r w:rsidR="000A0F89">
        <w:rPr>
          <w:rFonts w:ascii="Book Antiqua" w:hAnsi="Book Antiqua" w:cs="Times New Roman"/>
          <w:sz w:val="24"/>
          <w:szCs w:val="24"/>
        </w:rPr>
        <w:t xml:space="preserve"> </w:t>
      </w:r>
      <w:r w:rsidRPr="00B77A30">
        <w:rPr>
          <w:rFonts w:ascii="Book Antiqua" w:hAnsi="Book Antiqua" w:cs="Times New Roman"/>
          <w:sz w:val="24"/>
          <w:szCs w:val="24"/>
        </w:rPr>
        <w:t>Many of these disease including liver, biliary, and pancreatic malignancies are more common in an aged population.</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In addition, HPB procedures tend to be complex operations that can be associated with substantial possible </w:t>
      </w:r>
      <w:r w:rsidRPr="00B77A30">
        <w:rPr>
          <w:rFonts w:ascii="Book Antiqua" w:hAnsi="Book Antiqua" w:cs="Times New Roman"/>
          <w:sz w:val="24"/>
          <w:szCs w:val="24"/>
        </w:rPr>
        <w:lastRenderedPageBreak/>
        <w:t>morbidity.</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As such, accurate preoperative assessment of aged patients being considered for HPB surgery is of particular importance. </w:t>
      </w:r>
    </w:p>
    <w:p w14:paraId="3E14DE37" w14:textId="6161B1DE" w:rsidR="005A19AC" w:rsidRPr="00B77A30" w:rsidRDefault="005A19AC" w:rsidP="00CB2DFE">
      <w:pPr>
        <w:spacing w:after="0" w:line="360" w:lineRule="auto"/>
        <w:ind w:firstLine="720"/>
        <w:jc w:val="both"/>
        <w:rPr>
          <w:rFonts w:ascii="Book Antiqua" w:hAnsi="Book Antiqua" w:cs="Times New Roman"/>
          <w:sz w:val="24"/>
          <w:szCs w:val="24"/>
          <w:lang w:eastAsia="zh-CN"/>
        </w:rPr>
      </w:pPr>
      <w:r w:rsidRPr="00B77A30">
        <w:rPr>
          <w:rFonts w:ascii="Book Antiqua" w:hAnsi="Book Antiqua" w:cs="Times New Roman"/>
          <w:sz w:val="24"/>
          <w:szCs w:val="24"/>
        </w:rPr>
        <w:t>In 1997, in one of the earlier studies to examine the impact of age on HPB surgery, Fong et al. reported on the outcome of 133 patients over the age of 65 years wh</w:t>
      </w:r>
      <w:r w:rsidR="009C5244" w:rsidRPr="00B77A30">
        <w:rPr>
          <w:rFonts w:ascii="Book Antiqua" w:hAnsi="Book Antiqua" w:cs="Times New Roman"/>
          <w:sz w:val="24"/>
          <w:szCs w:val="24"/>
        </w:rPr>
        <w:t>o underwent a hepatic resection</w:t>
      </w:r>
      <w:r w:rsidR="003F1EB8" w:rsidRPr="00B77A30">
        <w:rPr>
          <w:rFonts w:ascii="Book Antiqua" w:hAnsi="Book Antiqua" w:cs="Times New Roman"/>
          <w:sz w:val="24"/>
          <w:szCs w:val="24"/>
        </w:rPr>
        <w:fldChar w:fldCharType="begin" w:fldLock="1"/>
      </w:r>
      <w:r w:rsidR="003F1EB8" w:rsidRPr="00B77A30">
        <w:rPr>
          <w:rFonts w:ascii="Book Antiqua" w:hAnsi="Book Antiqua" w:cs="Times New Roman"/>
          <w:sz w:val="24"/>
          <w:szCs w:val="24"/>
        </w:rPr>
        <w:instrText>ADDIN CSL_CITATION { "citationItems" : [ { "id" : "ITEM-1", "itemData" : { "ISSN" : "0732-183X", "PMID" : "9060531", "abstract" : "PURPOSE: More than 50,000 patients in the United States will present each year with liver metastases from colorectal cancers. The current study was performed to determine if liver resection for colorectal metastases is safe and effective and to evaluate predictors of outcome.\n\nMATERIALS AND METHODS: Data for 456 consecutive resections performed between July 1985 and December 1991 in a tertiary referral center were analyzed.\n\nRESULTS: The perioperative mortality rate was 2.8%, with a mortality rate of 4.6% for resections that involved a lobectomy or more. The median hospital stay was 12 days and only 9% of patients were admitted to the intensive care unit. The 5-year survival rate is 38%, with a median survival duration of 46 months. By univariate analysis, nodal status of the primary lesion, short disease-free interval before detection of liver metastases, carcinoembryonic antigen (CEA) level greater than 200 ng/mL, multiple liver tumors, extrahepatic disease, large tumors, or positive resection margin was predictive of poorer outcome. Sex, age greater than 70 years, site of primary tumor, or perioperative transfusion was not predictive of outcome. By multivariate analysis, positive margin, size greater than 10 cm, disease-free interval less than 12 months, multiple tumors, and extrahepatic disease were independent predictors of poorer outcome. Short disease-free interval or multiple tumors were nevertheless associated with a 5-year survival rate greater than 24%.\n\nCONCLUSION: Liver resection for colorectal metastases is safe and effective therapy and currently represents the only potentially curative therapy for metastatic colorectal cancer. The only absolute contraindication to resection is extrahepatic disease. A randomized trial to examine efficacy of surgical resection cannot ethically be performed. Liver resection should be considered standard therapy for all fit patients with colorectal metastases isolated to the liver.", "author" : [ { "dropping-particle" : "", "family" : "Fong", "given" : "Y", "non-dropping-particle" : "", "parse-names" : false, "suffix" : "" }, { "dropping-particle" : "", "family" : "Cohen", "given" : "A M", "non-dropping-particle" : "", "parse-names" : false, "suffix" : "" }, { "dropping-particle" : "", "family" : "Fortner", "given" : "J G", "non-dropping-particle" : "", "parse-names" : false, "suffix" : "" }, { "dropping-particle" : "", "family" : "Enker", "given" : "W E", "non-dropping-particle" : "", "parse-names" : false, "suffix" : "" }, { "dropping-particle" : "", "family" : "Turnbull", "given" : "A D", "non-dropping-particle" : "", "parse-names" : false, "suffix" : "" }, { "dropping-particle" : "", "family" : "Coit", "given" : "D G", "non-dropping-particle" : "", "parse-names" : false, "suffix" : "" }, { "dropping-particle" : "", "family" : "Marrero", "given" : "A M", "non-dropping-particle" : "", "parse-names" : false, "suffix" : "" }, { "dropping-particle" : "", "family" : "Prasad", "given" : "M", "non-dropping-particle" : "", "parse-names" : false, "suffix" : "" }, { "dropping-particle" : "", "family" : "Blumgart", "given" : "L H", "non-dropping-particle" : "", "parse-names" : false, "suffix" : "" }, { "dropping-particle" : "", "family" : "Brennan", "given" : "M F", "non-dropping-particle" : "", "parse-names" : false, "suffix" : "" } ], "container-title" : "Journal of clinical oncology : official journal of the American Society of Clinical Oncology", "id" : "ITEM-1", "issue" : "3", "issued" : { "date-parts" : [ [ "1997", "3" ] ] }, "page" : "938-46", "title" : "Liver resection for colorectal metastases.", "type" : "article-journal", "volume" : "15" }, "uris" : [ "http://www.mendeley.com/documents/?uuid=25a1cfd3-10bf-4ba3-8ed1-3d549aad4e9f" ] } ], "mendeley" : { "formattedCitation" : "&lt;sup&gt;[69]&lt;/sup&gt;", "plainTextFormattedCitation" : "[69]", "previouslyFormattedCitation" : "&lt;sup&gt;[69]&lt;/sup&gt;" }, "properties" : { "noteIndex" : 0 }, "schema" : "https://github.com/citation-style-language/schema/raw/master/csl-citation.json" }</w:instrText>
      </w:r>
      <w:r w:rsidR="003F1EB8" w:rsidRPr="00B77A30">
        <w:rPr>
          <w:rFonts w:ascii="Book Antiqua" w:hAnsi="Book Antiqua" w:cs="Times New Roman"/>
          <w:sz w:val="24"/>
          <w:szCs w:val="24"/>
        </w:rPr>
        <w:fldChar w:fldCharType="separate"/>
      </w:r>
      <w:r w:rsidR="003F1EB8" w:rsidRPr="00B77A30">
        <w:rPr>
          <w:rFonts w:ascii="Book Antiqua" w:hAnsi="Book Antiqua" w:cs="Times New Roman"/>
          <w:noProof/>
          <w:sz w:val="24"/>
          <w:szCs w:val="24"/>
          <w:vertAlign w:val="superscript"/>
        </w:rPr>
        <w:t>[69]</w:t>
      </w:r>
      <w:r w:rsidR="003F1EB8" w:rsidRPr="00B77A30">
        <w:rPr>
          <w:rFonts w:ascii="Book Antiqua" w:hAnsi="Book Antiqua" w:cs="Times New Roman"/>
          <w:sz w:val="24"/>
          <w:szCs w:val="24"/>
        </w:rPr>
        <w:fldChar w:fldCharType="end"/>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In this study, Fong and colleagues noted that age was an independent risk factor for increased risk of morbidity.</w:t>
      </w:r>
      <w:r w:rsidR="000A0F89">
        <w:rPr>
          <w:rFonts w:ascii="Book Antiqua" w:hAnsi="Book Antiqua" w:cs="Times New Roman"/>
          <w:sz w:val="24"/>
          <w:szCs w:val="24"/>
        </w:rPr>
        <w:t xml:space="preserve"> </w:t>
      </w:r>
      <w:r w:rsidRPr="00B77A30">
        <w:rPr>
          <w:rFonts w:ascii="Book Antiqua" w:hAnsi="Book Antiqua" w:cs="Times New Roman"/>
          <w:sz w:val="24"/>
          <w:szCs w:val="24"/>
        </w:rPr>
        <w:t>Perhaps more importantly, however, the authors noted that major hepatic resection could be performed safely and with good functional outcomes among well-selected aged patients.</w:t>
      </w:r>
      <w:r w:rsidR="000A0F89">
        <w:rPr>
          <w:rFonts w:ascii="Book Antiqua" w:hAnsi="Book Antiqua" w:cs="Times New Roman"/>
          <w:sz w:val="24"/>
          <w:szCs w:val="24"/>
        </w:rPr>
        <w:t xml:space="preserve"> </w:t>
      </w:r>
      <w:r w:rsidRPr="00B77A30">
        <w:rPr>
          <w:rFonts w:ascii="Book Antiqua" w:hAnsi="Book Antiqua" w:cs="Times New Roman"/>
          <w:sz w:val="24"/>
          <w:szCs w:val="24"/>
        </w:rPr>
        <w:t>Over the last several decades, multiple other investigators have similarly reported good outcomes in well-selected older patien</w:t>
      </w:r>
      <w:r w:rsidR="009C5244" w:rsidRPr="00B77A30">
        <w:rPr>
          <w:rFonts w:ascii="Book Antiqua" w:hAnsi="Book Antiqua" w:cs="Times New Roman"/>
          <w:sz w:val="24"/>
          <w:szCs w:val="24"/>
        </w:rPr>
        <w:t>ts undergoing hepatic resection</w:t>
      </w:r>
      <w:r w:rsidR="003F1EB8" w:rsidRPr="00B77A30">
        <w:rPr>
          <w:rFonts w:ascii="Book Antiqua" w:hAnsi="Book Antiqua" w:cs="Times New Roman"/>
          <w:sz w:val="24"/>
          <w:szCs w:val="24"/>
        </w:rPr>
        <w:fldChar w:fldCharType="begin" w:fldLock="1"/>
      </w:r>
      <w:r w:rsidR="003F1EB8" w:rsidRPr="00B77A30">
        <w:rPr>
          <w:rFonts w:ascii="Book Antiqua" w:hAnsi="Book Antiqua" w:cs="Times New Roman"/>
          <w:sz w:val="24"/>
          <w:szCs w:val="24"/>
        </w:rPr>
        <w:instrText>ADDIN CSL_CITATION { "citationItems" : [ { "id" : "ITEM-1", "itemData" : { "DOI" : "10.1097/01.SLA.0000029003.66466.B3", "ISSN" : "0003-4932", "PMID" : "12368667", "abstract" : "OBJECTIVE: To assess the nature of changes in the field of hepatic resectional surgery and their impact on perioperative outcome.\n\nMETHODS: Demographics, extent of resection, concomitant major procedures, operative and transfusion data, complications, and hospital stay were analyzed for 1,803 consecutive patients undergoing hepatic resection from December 1991 to September 2001 at Memorial Sloan-Kettering Cancer Center. Factors associated with morbidity and mortality and trends in operative and perioperative variables over the period of study were analyzed.\n\nRESULTS: Malignant disease was the most common diagnosis (1,642 patients, 91%); of these cases, metastatic colorectal cancer accounted for 62% (n = 1,021). Three hundred seventy-five resections (21%) were performed for primary hepatic or biliary cancers and 161 (9%) for benign disease. Anatomical resections were performed in 1,568 patients (87%) and included 544 extended hepatectomies, 483 hepatectomies, and 526 segmental resections. Sixty-two percent of patients had three or more segments resected, 42% had bilobar resections, and 37% had concomitant additional major procedures. The median blood loss was 600 mL and 49% of patients were transfused at any time during the index admission. Median hospital stay was 8 days, morbidity was 45%, and operative mortality was 3.1%. Over the study period, there was a significant increase in the use of parenchymal-sparing segmental resections and a decrease in the number of hepatic segments resected. In parallel with this, there was a significant decline in blood loss, the use of blood products, and hospital stay. Despite an increase in concomitant major procedures, operative mortality decreased from approximately 4% in the first 5 years of the study to 1.3% in the last 2 years, with 0 operative deaths in the last 184 consecutive cases. On multivariate analysis, the number of hepatic segments resected and operative blood loss were the only independent predictors of both perioperative morbidity and mortality.\n\nCONCLUSIONS: Over the past decade, the use of parenchymal-sparing segmental resections has increased significantly. The number of hepatic segments resected and operative blood loss were the only predictors of both perioperative morbidity and mortality, and reductions in both are largely responsible for the decrease in perioperative mortality, which has occurred despite an increase in concomitant major procedures.", "author" : [ { "dropping-particle" : "", "family" : "Jarnagin", "given" : "William R", "non-dropping-particle" : "", "parse-names" : false, "suffix" : "" }, { "dropping-particle" : "", "family" : "Gonen", "given" : "Mithat", "non-dropping-particle" : "", "parse-names" : false, "suffix" : "" }, { "dropping-particle" : "", "family" : "Fong", "given" : "Yuman", "non-dropping-particle" : "", "parse-names" : false, "suffix" : "" }, { "dropping-particle" : "", "family" : "DeMatteo", "given" : "Ronald P", "non-dropping-particle" : "", "parse-names" : false, "suffix" : "" }, { "dropping-particle" : "", "family" : "Ben-Porat", "given" : "Leah", "non-dropping-particle" : "", "parse-names" : false, "suffix" : "" }, { "dropping-particle" : "", "family" : "Little", "given" : "Sarah", "non-dropping-particle" : "", "parse-names" : false, "suffix" : "" }, { "dropping-particle" : "", "family" : "Corvera", "given" : "Carlos", "non-dropping-particle" : "", "parse-names" : false, "suffix" : "" }, { "dropping-particle" : "", "family" : "Weber", "given" : "Sharon", "non-dropping-particle" : "", "parse-names" : false, "suffix" : "" }, { "dropping-particle" : "", "family" : "Blumgart", "given" : "Leslie H", "non-dropping-particle" : "", "parse-names" : false, "suffix" : "" } ], "container-title" : "Annals of surgery", "id" : "ITEM-1", "issue" : "4", "issued" : { "date-parts" : [ [ "2002", "10" ] ] }, "page" : "397-406; discussion 406-7", "title" : "Improvement in perioperative outcome after hepatic resection: analysis of 1,803 consecutive cases over the past decade.", "type" : "article-journal", "volume" : "236" }, "uris" : [ "http://www.mendeley.com/documents/?uuid=5c6d6ef1-f58f-46d6-ba57-f1b0d066fafd" ] }, { "id" : "ITEM-2", "itemData" : { "DOI" : "10.1016/j.jamcollsurg.2010.12.048", "ISSN" : "1879-1190", "PMID" : "21435922", "abstract" : "BACKGROUND: Because of the aging United States population, increase in overall life expectancy, and rising incidence of hepatobiliary tumors, more elderly patients are considered for hepatic resection. The objective of this study was to assess the influence of age on postoperative outcomes after major hepatectomy among a contemporary cohort from 2 high volume centers.\n\nSTUDY DESIGN: Demographics, diagnoses, surgical treatments, and postoperative outcomes of patients who underwent major hepatic resection were reviewed.\n\nRESULTS: There were 856 patients who underwent major hepatectomy (resection of 3 or more segments) from 2002 to 2009. Postoperative mortality and morbidity occurred in 53 (6.2%) and 403 (47.1%) patients, respectively. Increasing age was independently associated with postoperative mortality (p = 0.0345). Each 1-year and 10-year increase in age resulted in an odds ratio of mortality after major hepatic resection of 1.036 (95% CI [1.003-1.071]) and 1.426 (95% CI [1.026-1.982]), respectively. This relationship was independent of American Society of Anesthesiology (ASA) score. Increasing age was associated with postoperative sepsis (p = 0.0224, odds ratio for each year 1.025 [range 1.003 to 1.048]) after major hepatic resection, but not overall postoperative morbidity.\n\nCONCLUSIONS: In the contemporary era, increasing age is independently associated with postoperative mortality after major hepatic resection at high volume academic centers.", "author" : [ { "dropping-particle" : "", "family" : "Reddy", "given" : "Srinevas K", "non-dropping-particle" : "", "parse-names" : false, "suffix" : "" }, { "dropping-particle" : "", "family" : "Barbas", "given" : "Andrew S", "non-dropping-particle" : "", "parse-names" : false, "suffix" : "" }, { "dropping-particle" : "", "family" : "Turley", "given" : "Ryan S", "non-dropping-particle" : "", "parse-names" : false, "suffix" : "" }, { "dropping-particle" : "", "family" : "Gamblin", "given" : "T Clark", "non-dropping-particle" : "", "parse-names" : false, "suffix" : "" }, { "dropping-particle" : "", "family" : "Geller", "given" : "David A", "non-dropping-particle" : "", "parse-names" : false, "suffix" : "" }, { "dropping-particle" : "", "family" : "Marsh", "given" : "J Wallis", "non-dropping-particle" : "", "parse-names" : false, "suffix" : "" }, { "dropping-particle" : "", "family" : "Tsung", "given" : "Allan", "non-dropping-particle" : "", "parse-names" : false, "suffix" : "" }, { "dropping-particle" : "", "family" : "Clary", "given" : "Bryan M", "non-dropping-particle" : "", "parse-names" : false, "suffix" : "" }, { "dropping-particle" : "", "family" : "Lagoo-Deenadayalan", "given" : "Sandhya", "non-dropping-particle" : "", "parse-names" : false, "suffix" : "" } ], "container-title" : "Journal of the American College of Surgeons", "id" : "ITEM-2", "issue" : "5", "issued" : { "date-parts" : [ [ "2011", "5" ] ] }, "page" : "787-95", "title" : "Major liver resection in elderly patients: a multi-institutional analysis.", "type" : "article-journal", "volume" : "212" }, "uris" : [ "http://www.mendeley.com/documents/?uuid=7af3972f-dd8b-4f8d-a11a-8272606eb0b6" ] } ], "mendeley" : { "formattedCitation" : "&lt;sup&gt;[70,71]&lt;/sup&gt;", "plainTextFormattedCitation" : "[70,71]", "previouslyFormattedCitation" : "&lt;sup&gt;[70,71]&lt;/sup&gt;" }, "properties" : { "noteIndex" : 0 }, "schema" : "https://github.com/citation-style-language/schema/raw/master/csl-citation.json" }</w:instrText>
      </w:r>
      <w:r w:rsidR="003F1EB8" w:rsidRPr="00B77A30">
        <w:rPr>
          <w:rFonts w:ascii="Book Antiqua" w:hAnsi="Book Antiqua" w:cs="Times New Roman"/>
          <w:sz w:val="24"/>
          <w:szCs w:val="24"/>
        </w:rPr>
        <w:fldChar w:fldCharType="separate"/>
      </w:r>
      <w:r w:rsidR="003F1EB8" w:rsidRPr="00B77A30">
        <w:rPr>
          <w:rFonts w:ascii="Book Antiqua" w:hAnsi="Book Antiqua" w:cs="Times New Roman"/>
          <w:noProof/>
          <w:sz w:val="24"/>
          <w:szCs w:val="24"/>
          <w:vertAlign w:val="superscript"/>
        </w:rPr>
        <w:t>[70,71]</w:t>
      </w:r>
      <w:r w:rsidR="003F1EB8" w:rsidRPr="00B77A30">
        <w:rPr>
          <w:rFonts w:ascii="Book Antiqua" w:hAnsi="Book Antiqua" w:cs="Times New Roman"/>
          <w:sz w:val="24"/>
          <w:szCs w:val="24"/>
        </w:rPr>
        <w:fldChar w:fldCharType="end"/>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For example, Reddy</w:t>
      </w:r>
      <w:r w:rsidRPr="00B77A30">
        <w:rPr>
          <w:rFonts w:ascii="Book Antiqua" w:hAnsi="Book Antiqua" w:cs="Times New Roman"/>
          <w:i/>
          <w:sz w:val="24"/>
          <w:szCs w:val="24"/>
        </w:rPr>
        <w:t xml:space="preserve"> et al</w:t>
      </w:r>
      <w:r w:rsidR="009C5244" w:rsidRPr="00B77A30">
        <w:rPr>
          <w:rFonts w:ascii="Book Antiqua" w:hAnsi="Book Antiqua" w:cs="Times New Roman"/>
          <w:sz w:val="24"/>
          <w:szCs w:val="24"/>
        </w:rPr>
        <w:fldChar w:fldCharType="begin" w:fldLock="1"/>
      </w:r>
      <w:r w:rsidR="009C5244" w:rsidRPr="00B77A30">
        <w:rPr>
          <w:rFonts w:ascii="Book Antiqua" w:hAnsi="Book Antiqua" w:cs="Times New Roman"/>
          <w:sz w:val="24"/>
          <w:szCs w:val="24"/>
        </w:rPr>
        <w:instrText>ADDIN CSL_CITATION { "citationItems" : [ { "id" : "ITEM-1", "itemData" : { "DOI" : "10.1016/j.jamcollsurg.2010.12.048", "ISSN" : "1879-1190", "PMID" : "21435922", "abstract" : "BACKGROUND: Because of the aging United States population, increase in overall life expectancy, and rising incidence of hepatobiliary tumors, more elderly patients are considered for hepatic resection. The objective of this study was to assess the influence of age on postoperative outcomes after major hepatectomy among a contemporary cohort from 2 high volume centers.\n\nSTUDY DESIGN: Demographics, diagnoses, surgical treatments, and postoperative outcomes of patients who underwent major hepatic resection were reviewed.\n\nRESULTS: There were 856 patients who underwent major hepatectomy (resection of 3 or more segments) from 2002 to 2009. Postoperative mortality and morbidity occurred in 53 (6.2%) and 403 (47.1%) patients, respectively. Increasing age was independently associated with postoperative mortality (p = 0.0345). Each 1-year and 10-year increase in age resulted in an odds ratio of mortality after major hepatic resection of 1.036 (95% CI [1.003-1.071]) and 1.426 (95% CI [1.026-1.982]), respectively. This relationship was independent of American Society of Anesthesiology (ASA) score. Increasing age was associated with postoperative sepsis (p = 0.0224, odds ratio for each year 1.025 [range 1.003 to 1.048]) after major hepatic resection, but not overall postoperative morbidity.\n\nCONCLUSIONS: In the contemporary era, increasing age is independently associated with postoperative mortality after major hepatic resection at high volume academic centers.", "author" : [ { "dropping-particle" : "", "family" : "Reddy", "given" : "Srinevas K", "non-dropping-particle" : "", "parse-names" : false, "suffix" : "" }, { "dropping-particle" : "", "family" : "Barbas", "given" : "Andrew S", "non-dropping-particle" : "", "parse-names" : false, "suffix" : "" }, { "dropping-particle" : "", "family" : "Turley", "given" : "Ryan S", "non-dropping-particle" : "", "parse-names" : false, "suffix" : "" }, { "dropping-particle" : "", "family" : "Gamblin", "given" : "T Clark", "non-dropping-particle" : "", "parse-names" : false, "suffix" : "" }, { "dropping-particle" : "", "family" : "Geller", "given" : "David A", "non-dropping-particle" : "", "parse-names" : false, "suffix" : "" }, { "dropping-particle" : "", "family" : "Marsh", "given" : "J Wallis", "non-dropping-particle" : "", "parse-names" : false, "suffix" : "" }, { "dropping-particle" : "", "family" : "Tsung", "given" : "Allan", "non-dropping-particle" : "", "parse-names" : false, "suffix" : "" }, { "dropping-particle" : "", "family" : "Clary", "given" : "Bryan M", "non-dropping-particle" : "", "parse-names" : false, "suffix" : "" }, { "dropping-particle" : "", "family" : "Lagoo-Deenadayalan", "given" : "Sandhya", "non-dropping-particle" : "", "parse-names" : false, "suffix" : "" } ], "container-title" : "Journal of the American College of Surgeons", "id" : "ITEM-1", "issue" : "5", "issued" : { "date-parts" : [ [ "2011", "5" ] ] }, "page" : "787-95", "title" : "Major liver resection in elderly patients: a multi-institutional analysis.", "type" : "article-journal", "volume" : "212" }, "uris" : [ "http://www.mendeley.com/documents/?uuid=7af3972f-dd8b-4f8d-a11a-8272606eb0b6" ] } ], "mendeley" : { "formattedCitation" : "&lt;sup&gt;[71]&lt;/sup&gt;", "plainTextFormattedCitation" : "[71]", "previouslyFormattedCitation" : "&lt;sup&gt;[71]&lt;/sup&gt;" }, "properties" : { "noteIndex" : 0 }, "schema" : "https://github.com/citation-style-language/schema/raw/master/csl-citation.json" }</w:instrText>
      </w:r>
      <w:r w:rsidR="009C5244" w:rsidRPr="00B77A30">
        <w:rPr>
          <w:rFonts w:ascii="Book Antiqua" w:hAnsi="Book Antiqua" w:cs="Times New Roman"/>
          <w:sz w:val="24"/>
          <w:szCs w:val="24"/>
        </w:rPr>
        <w:fldChar w:fldCharType="separate"/>
      </w:r>
      <w:r w:rsidR="009C5244" w:rsidRPr="00B77A30">
        <w:rPr>
          <w:rFonts w:ascii="Book Antiqua" w:hAnsi="Book Antiqua" w:cs="Times New Roman"/>
          <w:noProof/>
          <w:sz w:val="24"/>
          <w:szCs w:val="24"/>
          <w:vertAlign w:val="superscript"/>
        </w:rPr>
        <w:t>[71]</w:t>
      </w:r>
      <w:r w:rsidR="009C5244" w:rsidRPr="00B77A30">
        <w:rPr>
          <w:rFonts w:ascii="Book Antiqua" w:hAnsi="Book Antiqua" w:cs="Times New Roman"/>
          <w:sz w:val="24"/>
          <w:szCs w:val="24"/>
        </w:rPr>
        <w:fldChar w:fldCharType="end"/>
      </w:r>
      <w:r w:rsidR="009C5244"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reported on 856 patients who under a major </w:t>
      </w:r>
      <w:proofErr w:type="spellStart"/>
      <w:r w:rsidRPr="00B77A30">
        <w:rPr>
          <w:rFonts w:ascii="Book Antiqua" w:hAnsi="Book Antiqua" w:cs="Times New Roman"/>
          <w:sz w:val="24"/>
          <w:szCs w:val="24"/>
        </w:rPr>
        <w:t>hepatectomy</w:t>
      </w:r>
      <w:proofErr w:type="spellEnd"/>
      <w:r w:rsidRPr="00B77A30">
        <w:rPr>
          <w:rFonts w:ascii="Book Antiqua" w:hAnsi="Book Antiqua" w:cs="Times New Roman"/>
          <w:sz w:val="24"/>
          <w:szCs w:val="24"/>
        </w:rPr>
        <w:t xml:space="preserve"> (resection of 3 or more segments) and noted that increasing age was independently associated with postoperative mortality.</w:t>
      </w:r>
      <w:r w:rsidR="000A0F89">
        <w:rPr>
          <w:rFonts w:ascii="Book Antiqua" w:hAnsi="Book Antiqua" w:cs="Times New Roman"/>
          <w:sz w:val="24"/>
          <w:szCs w:val="24"/>
        </w:rPr>
        <w:t xml:space="preserve"> </w:t>
      </w:r>
      <w:r w:rsidRPr="00B77A30">
        <w:rPr>
          <w:rFonts w:ascii="Book Antiqua" w:hAnsi="Book Antiqua" w:cs="Times New Roman"/>
          <w:sz w:val="24"/>
          <w:szCs w:val="24"/>
        </w:rPr>
        <w:t>In fact, each 1-year and 10-year increase in age resulted in an odds ratio of mortality after major hepatic resection of 1.036 and 1.426, respecti</w:t>
      </w:r>
      <w:r w:rsidR="00075EE5" w:rsidRPr="00B77A30">
        <w:rPr>
          <w:rFonts w:ascii="Book Antiqua" w:hAnsi="Book Antiqua" w:cs="Times New Roman"/>
          <w:sz w:val="24"/>
          <w:szCs w:val="24"/>
        </w:rPr>
        <w:t>vely.</w:t>
      </w:r>
      <w:r w:rsidR="000A0F89">
        <w:rPr>
          <w:rFonts w:ascii="Book Antiqua" w:hAnsi="Book Antiqua" w:cs="Times New Roman"/>
          <w:sz w:val="24"/>
          <w:szCs w:val="24"/>
        </w:rPr>
        <w:t xml:space="preserve"> </w:t>
      </w:r>
      <w:r w:rsidR="00075EE5" w:rsidRPr="00B77A30">
        <w:rPr>
          <w:rFonts w:ascii="Book Antiqua" w:hAnsi="Book Antiqua" w:cs="Times New Roman"/>
          <w:sz w:val="24"/>
          <w:szCs w:val="24"/>
        </w:rPr>
        <w:t>In a separate study of 7</w:t>
      </w:r>
      <w:r w:rsidRPr="00B77A30">
        <w:rPr>
          <w:rFonts w:ascii="Book Antiqua" w:hAnsi="Book Antiqua" w:cs="Times New Roman"/>
          <w:sz w:val="24"/>
          <w:szCs w:val="24"/>
        </w:rPr>
        <w:t>764 patients who had colorectal liver metastasis, Adam et al. noted that age was associated with outcome, but major resection could be performed in elderly pat</w:t>
      </w:r>
      <w:r w:rsidR="00075EE5" w:rsidRPr="00B77A30">
        <w:rPr>
          <w:rFonts w:ascii="Book Antiqua" w:hAnsi="Book Antiqua" w:cs="Times New Roman"/>
          <w:sz w:val="24"/>
          <w:szCs w:val="24"/>
        </w:rPr>
        <w:t>ients with acceptable morbidity</w:t>
      </w:r>
      <w:r w:rsidR="003F1EB8" w:rsidRPr="00B77A30">
        <w:rPr>
          <w:rFonts w:ascii="Book Antiqua" w:hAnsi="Book Antiqua" w:cs="Times New Roman"/>
          <w:sz w:val="24"/>
          <w:szCs w:val="24"/>
        </w:rPr>
        <w:fldChar w:fldCharType="begin" w:fldLock="1"/>
      </w:r>
      <w:r w:rsidR="003F1EB8" w:rsidRPr="00B77A30">
        <w:rPr>
          <w:rFonts w:ascii="Book Antiqua" w:hAnsi="Book Antiqua" w:cs="Times New Roman"/>
          <w:sz w:val="24"/>
          <w:szCs w:val="24"/>
        </w:rPr>
        <w:instrText>ADDIN CSL_CITATION { "citationItems" : [ { "id" : "ITEM-1", "itemData" : { "DOI" : "10.1002/bjs.6889", "ISSN" : "1365-2168", "PMID" : "20101645", "abstract" : "BACKGROUND: This study evaluated the outcome of liver surgery for colorectal metastases (CLM) in patients over 70 years old in a large international multicentre cohort.\n\nMETHODS: Among 7764 patients who had resection of CLM, 999 (12.9 per cent) were aged 70-75 years, 468 (6.0 per cent) were aged 75-80 years and 157 (2.0 per cent) were at least 80 years old. Elderly patients were compared with the younger population.\n\nRESULTS: Multinodular and bilateral metastases were less common in elderly than in younger patients (P &lt; 0.001). Preoperative chemotherapy was used less frequently and more limited surgery was performed (P &lt; 0.001). Sixty-day postoperative mortality and morbidity rates were 3.8 and 32.3 per cent respectively, compared with 1.6 and 28.7 per cent in younger patients (both P &lt; 0.001). Three-year overall survival was 57.1 per cent in elderly and 60.2 per cent in younger patients (P &lt; 0.001), and was similar among patients aged 70-75, 75-80 or at least 80 years (57.8, 55.3 and 54.1 per cent respectively; P = 0.160). Independent predictors of survival were more than three metastases, bilateral metastases, concomitant extrahepatic disease and no postoperative chemotherapy.\n\nCONCLUSION: Liver resection for CLM in elderly patients can achieve a reasonable 3-year survival rate, with an acceptable morbidity rate. There should be no upper age limit but risk factors may help predict potential benefit.", "author" : [ { "dropping-particle" : "", "family" : "Adam", "given" : "R", "non-dropping-particle" : "", "parse-names" : false, "suffix" : "" }, { "dropping-particle" : "", "family" : "Frilling", "given" : "A", "non-dropping-particle" : "", "parse-names" : false, "suffix" : "" }, { "dropping-particle" : "", "family" : "Elias", "given" : "D", "non-dropping-particle" : "", "parse-names" : false, "suffix" : "" }, { "dropping-particle" : "", "family" : "Laurent", "given" : "C", "non-dropping-particle" : "", "parse-names" : false, "suffix" : "" }, { "dropping-particle" : "", "family" : "Ramos", "given" : "E", "non-dropping-particle" : "", "parse-names" : false, "suffix" : "" }, { "dropping-particle" : "", "family" : "Capussotti", "given" : "L", "non-dropping-particle" : "", "parse-names" : false, "suffix" : "" }, { "dropping-particle" : "", "family" : "Poston", "given" : "G J", "non-dropping-particle" : "", "parse-names" : false, "suffix" : "" }, { "dropping-particle" : "", "family" : "Wicherts", "given" : "D A", "non-dropping-particle" : "", "parse-names" : false, "suffix" : "" }, { "dropping-particle" : "", "family" : "Haas", "given" : "R J", "non-dropping-particle" : "de", "parse-names" : false, "suffix" : "" } ], "container-title" : "The British journal of surgery", "id" : "ITEM-1", "issue" : "3", "issued" : { "date-parts" : [ [ "2010", "3" ] ] }, "page" : "366-76", "title" : "Liver resection of colorectal metastases in elderly patients.", "type" : "article-journal", "volume" : "97" }, "uris" : [ "http://www.mendeley.com/documents/?uuid=554cba2c-e333-4146-a282-ba91462721c8" ] } ], "mendeley" : { "formattedCitation" : "&lt;sup&gt;[72]&lt;/sup&gt;", "plainTextFormattedCitation" : "[72]", "previouslyFormattedCitation" : "&lt;sup&gt;[72]&lt;/sup&gt;" }, "properties" : { "noteIndex" : 0 }, "schema" : "https://github.com/citation-style-language/schema/raw/master/csl-citation.json" }</w:instrText>
      </w:r>
      <w:r w:rsidR="003F1EB8" w:rsidRPr="00B77A30">
        <w:rPr>
          <w:rFonts w:ascii="Book Antiqua" w:hAnsi="Book Antiqua" w:cs="Times New Roman"/>
          <w:sz w:val="24"/>
          <w:szCs w:val="24"/>
        </w:rPr>
        <w:fldChar w:fldCharType="separate"/>
      </w:r>
      <w:r w:rsidR="003F1EB8" w:rsidRPr="00B77A30">
        <w:rPr>
          <w:rFonts w:ascii="Book Antiqua" w:hAnsi="Book Antiqua" w:cs="Times New Roman"/>
          <w:noProof/>
          <w:sz w:val="24"/>
          <w:szCs w:val="24"/>
          <w:vertAlign w:val="superscript"/>
        </w:rPr>
        <w:t>[72]</w:t>
      </w:r>
      <w:r w:rsidR="003F1EB8" w:rsidRPr="00B77A30">
        <w:rPr>
          <w:rFonts w:ascii="Book Antiqua" w:hAnsi="Book Antiqua" w:cs="Times New Roman"/>
          <w:sz w:val="24"/>
          <w:szCs w:val="24"/>
        </w:rPr>
        <w:fldChar w:fldCharType="end"/>
      </w:r>
      <w:r w:rsidR="00075EE5"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The authors found higher mortality and morbidity rates in older than in younger patients (3.8% and 32.3% in older, 1.6% and 28.7% in younger patients (both </w:t>
      </w:r>
      <w:r w:rsidR="00075EE5" w:rsidRPr="00B77A30">
        <w:rPr>
          <w:rFonts w:ascii="Book Antiqua" w:hAnsi="Book Antiqua" w:cs="Times New Roman"/>
          <w:i/>
          <w:sz w:val="24"/>
          <w:szCs w:val="24"/>
        </w:rPr>
        <w:t>P</w:t>
      </w:r>
      <w:r w:rsidR="00075EE5"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&lt;</w:t>
      </w:r>
      <w:r w:rsidR="00075EE5"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0.001)) but did not further investigate frailty or sarcopenia in this cohort.</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Sixty-day postoperative mortality and morbidity were 3.8% and 32.3%, respectively, compared with 1.6% </w:t>
      </w:r>
      <w:r w:rsidR="001F26E9" w:rsidRPr="00B77A30">
        <w:rPr>
          <w:rFonts w:ascii="Book Antiqua" w:hAnsi="Book Antiqua" w:cs="Times New Roman"/>
          <w:sz w:val="24"/>
          <w:szCs w:val="24"/>
        </w:rPr>
        <w:t xml:space="preserve">and 28.7% in younger patients. </w:t>
      </w:r>
      <w:r w:rsidRPr="00B77A30">
        <w:rPr>
          <w:rFonts w:ascii="Book Antiqua" w:hAnsi="Book Antiqua" w:cs="Times New Roman"/>
          <w:sz w:val="24"/>
          <w:szCs w:val="24"/>
        </w:rPr>
        <w:t>Of note, 5-year survival was relatively comparable even among very aged patients (70-75 ye</w:t>
      </w:r>
      <w:r w:rsidR="00075EE5" w:rsidRPr="00B77A30">
        <w:rPr>
          <w:rFonts w:ascii="Book Antiqua" w:hAnsi="Book Antiqua" w:cs="Times New Roman"/>
          <w:sz w:val="24"/>
          <w:szCs w:val="24"/>
        </w:rPr>
        <w:t>ars: 57.8%</w:t>
      </w:r>
      <w:r w:rsidR="00075EE5" w:rsidRPr="00B77A30">
        <w:rPr>
          <w:rFonts w:ascii="Book Antiqua" w:hAnsi="Book Antiqua" w:cs="Times New Roman"/>
          <w:i/>
          <w:sz w:val="24"/>
          <w:szCs w:val="24"/>
        </w:rPr>
        <w:t xml:space="preserve"> vs</w:t>
      </w:r>
      <w:r w:rsidR="00075EE5" w:rsidRPr="00B77A30">
        <w:rPr>
          <w:rFonts w:ascii="Book Antiqua" w:hAnsi="Book Antiqua" w:cs="Times New Roman"/>
          <w:sz w:val="24"/>
          <w:szCs w:val="24"/>
        </w:rPr>
        <w:t xml:space="preserve"> 75-80: 55.3% </w:t>
      </w:r>
      <w:r w:rsidR="00075EE5" w:rsidRPr="00B77A30">
        <w:rPr>
          <w:rFonts w:ascii="Book Antiqua" w:hAnsi="Book Antiqua" w:cs="Times New Roman"/>
          <w:i/>
          <w:sz w:val="24"/>
          <w:szCs w:val="24"/>
        </w:rPr>
        <w:t>vs</w:t>
      </w:r>
      <w:r w:rsidR="00075EE5"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&gt;80 years: 54.1%), suggesting that surgery may have potential benefit even in very well selected aged patients. </w:t>
      </w:r>
    </w:p>
    <w:p w14:paraId="7D02910B" w14:textId="77777777" w:rsidR="00075EE5" w:rsidRPr="00B77A30" w:rsidRDefault="00075EE5" w:rsidP="00CB2DFE">
      <w:pPr>
        <w:spacing w:after="0" w:line="360" w:lineRule="auto"/>
        <w:ind w:firstLine="720"/>
        <w:jc w:val="both"/>
        <w:rPr>
          <w:rFonts w:ascii="Book Antiqua" w:hAnsi="Book Antiqua" w:cs="Times New Roman"/>
          <w:sz w:val="24"/>
          <w:szCs w:val="24"/>
          <w:lang w:eastAsia="zh-CN"/>
        </w:rPr>
      </w:pPr>
    </w:p>
    <w:p w14:paraId="5BB5F0E4" w14:textId="5E269D86" w:rsidR="005A19AC" w:rsidRPr="00B77A30" w:rsidRDefault="005A19AC" w:rsidP="00CB2DFE">
      <w:pPr>
        <w:spacing w:after="0" w:line="360" w:lineRule="auto"/>
        <w:jc w:val="both"/>
        <w:rPr>
          <w:rFonts w:ascii="Book Antiqua" w:hAnsi="Book Antiqua" w:cs="Times New Roman"/>
          <w:b/>
          <w:i/>
          <w:sz w:val="24"/>
          <w:szCs w:val="24"/>
        </w:rPr>
      </w:pPr>
      <w:r w:rsidRPr="00B77A30">
        <w:rPr>
          <w:rFonts w:ascii="Book Antiqua" w:hAnsi="Book Antiqua" w:cs="Times New Roman"/>
          <w:b/>
          <w:i/>
          <w:sz w:val="24"/>
          <w:szCs w:val="24"/>
        </w:rPr>
        <w:t xml:space="preserve">Frailty and </w:t>
      </w:r>
      <w:proofErr w:type="spellStart"/>
      <w:r w:rsidR="00075EE5" w:rsidRPr="00B77A30">
        <w:rPr>
          <w:rFonts w:ascii="Book Antiqua" w:hAnsi="Book Antiqua" w:cs="Times New Roman"/>
          <w:b/>
          <w:i/>
          <w:sz w:val="24"/>
          <w:szCs w:val="24"/>
        </w:rPr>
        <w:t>hepato</w:t>
      </w:r>
      <w:proofErr w:type="spellEnd"/>
      <w:r w:rsidR="00075EE5" w:rsidRPr="00B77A30">
        <w:rPr>
          <w:rFonts w:ascii="Book Antiqua" w:hAnsi="Book Antiqua" w:cs="Times New Roman"/>
          <w:b/>
          <w:i/>
          <w:sz w:val="24"/>
          <w:szCs w:val="24"/>
        </w:rPr>
        <w:t xml:space="preserve"> </w:t>
      </w:r>
      <w:proofErr w:type="spellStart"/>
      <w:r w:rsidR="00075EE5" w:rsidRPr="00B77A30">
        <w:rPr>
          <w:rFonts w:ascii="Book Antiqua" w:hAnsi="Book Antiqua" w:cs="Times New Roman"/>
          <w:b/>
          <w:i/>
          <w:sz w:val="24"/>
          <w:szCs w:val="24"/>
        </w:rPr>
        <w:t>pancreatico</w:t>
      </w:r>
      <w:proofErr w:type="spellEnd"/>
      <w:r w:rsidR="00075EE5" w:rsidRPr="00B77A30">
        <w:rPr>
          <w:rFonts w:ascii="Book Antiqua" w:hAnsi="Book Antiqua" w:cs="Times New Roman"/>
          <w:b/>
          <w:i/>
          <w:sz w:val="24"/>
          <w:szCs w:val="24"/>
        </w:rPr>
        <w:t xml:space="preserve"> biliary malignancies</w:t>
      </w:r>
    </w:p>
    <w:p w14:paraId="6DE73F01" w14:textId="557C5CF1" w:rsidR="005A19AC" w:rsidRPr="00B77A30" w:rsidRDefault="005A19AC" w:rsidP="00CB2DFE">
      <w:pPr>
        <w:spacing w:after="0" w:line="360" w:lineRule="auto"/>
        <w:jc w:val="both"/>
        <w:rPr>
          <w:rFonts w:ascii="Book Antiqua" w:hAnsi="Book Antiqua" w:cs="Times New Roman"/>
          <w:sz w:val="24"/>
          <w:szCs w:val="24"/>
          <w:lang w:eastAsia="zh-CN"/>
        </w:rPr>
      </w:pPr>
      <w:r w:rsidRPr="00B77A30">
        <w:rPr>
          <w:rFonts w:ascii="Book Antiqua" w:hAnsi="Book Antiqua" w:cs="Times New Roman"/>
          <w:sz w:val="24"/>
          <w:szCs w:val="24"/>
        </w:rPr>
        <w:t>While age has been the topic of several investigations, the specific impact of frailty itself has been less well studied.</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Giovanni </w:t>
      </w:r>
      <w:r w:rsidRPr="00B77A30">
        <w:rPr>
          <w:rFonts w:ascii="Book Antiqua" w:hAnsi="Book Antiqua" w:cs="Times New Roman"/>
          <w:i/>
          <w:sz w:val="24"/>
          <w:szCs w:val="24"/>
        </w:rPr>
        <w:t>et al</w:t>
      </w:r>
      <w:r w:rsidR="00075EE5" w:rsidRPr="00B77A30">
        <w:rPr>
          <w:rFonts w:ascii="Book Antiqua" w:hAnsi="Book Antiqua" w:cs="Times New Roman"/>
          <w:sz w:val="24"/>
          <w:szCs w:val="24"/>
        </w:rPr>
        <w:fldChar w:fldCharType="begin" w:fldLock="1"/>
      </w:r>
      <w:r w:rsidR="00075EE5" w:rsidRPr="00B77A30">
        <w:rPr>
          <w:rFonts w:ascii="Book Antiqua" w:hAnsi="Book Antiqua" w:cs="Times New Roman"/>
          <w:sz w:val="24"/>
          <w:szCs w:val="24"/>
        </w:rPr>
        <w:instrText>ADDIN CSL_CITATION { "citationItems" : [ { "id" : "ITEM-1", "itemData" : { "DOI" : "10.1007/s00726-005-0287-5", "ISSN" : "1438-2199", "PMID" : "16583310", "abstract" : "A large series of plasma albumin (ALB, g/dl) and simultaneous blood and clinical measurements were prospectively performed on 92 liver resection patients, and processed to assess the correlations between ALB, other plasma proteins, additional variables and clinical events. The measurements were performed preoperatively and at postoperative day 1, 3 and 7 in all patients, and subsequently only in those who developed complications or died. In patients who recovered normally ALB was 4.3 +/- 0.4 g/dl (mean +/- SD) preoperatively, 3.7 +/- 0.7 at day 1 and 3, and 3.9 +/- 0.4 at day 7. In patients with complications its decrease was more prolonged. In non-survivors it was 3.4 +/- 0.4 preoperatively, 3.0 +/- 0.4 at day 1, and then decreased further. Regression analysis showed direct correlations between ALB and pseudo-cholinesterase (CHE, U/l, nv 5300-13000), cholesterol (CHOL, mg/dl), iron binding capacity (IBC, mg/dl), prothrombin activity (PA, % of standard reference) and fibrinogen, an inverse correlation with blood urea nitrogen (BUN, mg/dl) for any given creatinine level (CREAT, mg/dl), and weaker direct correlations with hematocrit, other variables and dose of exogenous albumin. An inverse relationship found between ALB and age (AGE, years) became postoperatively (POSTOP) also a function of outcome, showing larger age-related decreases in ALB associated with complications (COMPL: sepsis, liver insufficiency) or death (DEATH). Main overall correlations: CHE = 287.4(2.014)(ALB), r = 0.73; CHOL = 16.5(1.610)(ALB) (1.001)(ALKPH), r = 0.71; IBC = 68.6(1.391)(ALB), r = 0.64; PA = 13.8 + 16.0(ALB), r = 0.51; BUN = 21.3 + 20.2(CREAT) - 6.2(ALB), r = 0.91; ALB = 5.0-0.013(AGE) - {0.5 + 0.003(AGE)( COMPL ) + 0.012(AGE)( DEATH )}( POSTOP ), r = 0.74 [p &lt; 0.001 for each regression and each coefficient; ALKPH = alkaline phosphatase, U/l, nv 98-279, independent determinant of CHOL; discontinuous variables in italics label the change in regression slope or intercept associated with the corresponding condition]. These results suggest that altered albumin synthesis (or altered synthesis unable to compensate for albumin loss, catabolism or redistribution) is an important determinant of hypoalbuminemia after hepatectomy. The correlations with age and postoperative outcome support the concept that hypoalbuminemia is a marker of pathophysiologic frailty associated with increasing age, and amplified by the challenges of postoperative illness.", "author" : [ { "dropping-particle" : "", "family" : "Giovannini", "given" : "I", "non-dropping-particle" : "", "parse-names" : false, "suffix" : "" }, { "dropping-particle" : "", "family" : "Chiarla", "given" : "C", "non-dropping-particle" : "", "parse-names" : false, "suffix" : "" }, { "dropping-particle" : "", "family" : "Giuliante", "given" : "F", "non-dropping-particle" : "", "parse-names" : false, "suffix" : "" }, { "dropping-particle" : "", "family" : "Vellone", "given" : "M", "non-dropping-particle" : "", "parse-names" : false, "suffix" : "" }, { "dropping-particle" : "", "family" : "Ardito", "given" : "F", "non-dropping-particle" : "", "parse-names" : false, "suffix" : "" }, { "dropping-particle" : "", "family" : "Nuzzo", "given" : "G", "non-dropping-particle" : "", "parse-names" : false, "suffix" : "" } ], "container-title" : "Amino acids", "id" : "ITEM-1", "issue" : "4", "issued" : { "date-parts" : [ [ "2006", "11" ] ] }, "page" : "463-9", "title" : "The relationship between albumin, other plasma proteins and variables, and age in the acute phase response after liver resection in man.", "type" : "article-journal", "volume" : "31" }, "uris" : [ "http://www.mendeley.com/documents/?uuid=089843c1-6b59-4517-8c72-fd88d07b05b0" ] } ], "mendeley" : { "formattedCitation" : "&lt;sup&gt;[73]&lt;/sup&gt;", "plainTextFormattedCitation" : "[73]", "previouslyFormattedCitation" : "&lt;sup&gt;[73]&lt;/sup&gt;" }, "properties" : { "noteIndex" : 0 }, "schema" : "https://github.com/citation-style-language/schema/raw/master/csl-citation.json" }</w:instrText>
      </w:r>
      <w:r w:rsidR="00075EE5" w:rsidRPr="00B77A30">
        <w:rPr>
          <w:rFonts w:ascii="Book Antiqua" w:hAnsi="Book Antiqua" w:cs="Times New Roman"/>
          <w:sz w:val="24"/>
          <w:szCs w:val="24"/>
        </w:rPr>
        <w:fldChar w:fldCharType="separate"/>
      </w:r>
      <w:r w:rsidR="00075EE5" w:rsidRPr="00B77A30">
        <w:rPr>
          <w:rFonts w:ascii="Book Antiqua" w:hAnsi="Book Antiqua" w:cs="Times New Roman"/>
          <w:noProof/>
          <w:sz w:val="24"/>
          <w:szCs w:val="24"/>
          <w:vertAlign w:val="superscript"/>
        </w:rPr>
        <w:t>[73]</w:t>
      </w:r>
      <w:r w:rsidR="00075EE5" w:rsidRPr="00B77A30">
        <w:rPr>
          <w:rFonts w:ascii="Book Antiqua" w:hAnsi="Book Antiqua" w:cs="Times New Roman"/>
          <w:sz w:val="24"/>
          <w:szCs w:val="24"/>
        </w:rPr>
        <w:fldChar w:fldCharType="end"/>
      </w:r>
      <w:r w:rsidR="00075EE5"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suggested that a decrease in serum albumin may be a marker of frailty due to an altered albumin synthesis and the patient’s </w:t>
      </w:r>
      <w:r w:rsidRPr="00B77A30">
        <w:rPr>
          <w:rFonts w:ascii="Book Antiqua" w:hAnsi="Book Antiqua" w:cs="Times New Roman"/>
          <w:sz w:val="24"/>
          <w:szCs w:val="24"/>
        </w:rPr>
        <w:lastRenderedPageBreak/>
        <w:t xml:space="preserve">inability to compensate for albumin loss. Unlike frailty, while still limited, several papers have investigated the impact of sarcopenia </w:t>
      </w:r>
      <w:r w:rsidR="00075EE5" w:rsidRPr="00B77A30">
        <w:rPr>
          <w:rFonts w:ascii="Book Antiqua" w:hAnsi="Book Antiqua" w:cs="Times New Roman"/>
          <w:sz w:val="24"/>
          <w:szCs w:val="24"/>
        </w:rPr>
        <w:t>on outcomes after liver surgery</w:t>
      </w:r>
      <w:r w:rsidR="003F1EB8" w:rsidRPr="00B77A30">
        <w:rPr>
          <w:rFonts w:ascii="Book Antiqua" w:hAnsi="Book Antiqua" w:cs="Times New Roman"/>
          <w:sz w:val="24"/>
          <w:szCs w:val="24"/>
        </w:rPr>
        <w:fldChar w:fldCharType="begin" w:fldLock="1"/>
      </w:r>
      <w:r w:rsidR="007D7546" w:rsidRPr="00B77A30">
        <w:rPr>
          <w:rFonts w:ascii="Book Antiqua" w:hAnsi="Book Antiqua" w:cs="Times New Roman"/>
          <w:sz w:val="24"/>
          <w:szCs w:val="24"/>
        </w:rPr>
        <w:instrText>ADDIN CSL_CITATION { "citationItems" : [ { "id" : "ITEM-1", "itemData" : { "DOI" : "10.1002/bjs.9258", "ISSN" : "1365-2168", "PMID" : "24037576", "abstract" : "BACKGROUND: Sarcopenia was identified recently as a poor prognostic factor in patients with cancer. The present study investigated the effect of sarcopenia on short- and long-term outcomes following partial hepatectomy for hepatocellular carcinoma (HCC), and aimed to identify prognostic factors.\n\nMETHODS: Data were collected retrospectively for all consecutive patients who underwent hepatectomy for HCC with curative intent between January 2004 and December 2009. Patients were assigned to one of two groups according to the presence or absence of sarcopenia, assessed by computed tomographic measurement of muscle mass at the level of the third lumbar vertebra. Clinicopathological, surgical outcome and long-term survival data were analysed.\n\nRESULTS: Sarcopenia was present in 75 (40\u00b73 per cent) of 186 patients, and was significantly correlated with female sex, lower body mass index and liver dysfunction, as indicated by abnormal serum albumin levels and indocyanine green retention test at 15\u2009min values. In patients with, and without sarcopenia, the 5-year overall survival rate was 71 and 83\u00b77 per cent respectively, and the 5-year recurrence-free survival rate was 13 and 33\u00b72 per cent respectively. Multivariable analysis revealed that reduced skeletal muscle mass was predictive of an unfavourable prognosis.\n\nCONCLUSION: Sarcopenia was predictive of worse overall survival even when adjusted for other known predictors in patients with HCC after partial hepatectomy.", "author" : [ { "dropping-particle" : "", "family" : "Harimoto", "given" : "N", "non-dropping-particle" : "", "parse-names" : false, "suffix" : "" }, { "dropping-particle" : "", "family" : "Shirabe", "given" : "K", "non-dropping-particle" : "", "parse-names" : false, "suffix" : "" }, { "dropping-particle" : "", "family" : "Yamashita", "given" : "Y-I", "non-dropping-particle" : "", "parse-names" : false, "suffix" : "" }, { "dropping-particle" : "", "family" : "Ikegami", "given" : "T", "non-dropping-particle" : "", "parse-names" : false, "suffix" : "" }, { "dropping-particle" : "", "family" : "Yoshizumi", "given" : "T", "non-dropping-particle" : "", "parse-names" : false, "suffix" : "" }, { "dropping-particle" : "", "family" : "Soejima", "given" : "Y", "non-dropping-particle" : "", "parse-names" : false, "suffix" : "" }, { "dropping-particle" : "", "family" : "Ikeda", "given" : "T", "non-dropping-particle" : "", "parse-names" : false, "suffix" : "" }, { "dropping-particle" : "", "family" : "Maehara", "given" : "Y", "non-dropping-particle" : "", "parse-names" : false, "suffix" : "" }, { "dropping-particle" : "", "family" : "Nishie", "given" : "A", "non-dropping-particle" : "", "parse-names" : false, "suffix" : "" }, { "dropping-particle" : "", "family" : "Yamanaka", "given" : "T", "non-dropping-particle" : "", "parse-names" : false, "suffix" : "" } ], "container-title" : "The British journal of surgery", "id" : "ITEM-1", "issue" : "11", "issued" : { "date-parts" : [ [ "2013", "10" ] ] }, "page" : "1523-30", "title" : "Sarcopenia as a predictor of prognosis in patients following hepatectomy for hepatocellular carcinoma.", "type" : "article-journal", "volume" : "100" }, "uris" : [ "http://www.mendeley.com/documents/?uuid=4a0561fe-0052-47f0-90d6-6aa9622e4798" ] }, { "id" : "ITEM-2", "itemData" : { "DOI" : "10.1002/bjs.7823", "ISSN" : "00071323", "PMID" : "22246799", "abstract" : "BACKGROUND: Recent evidence suggests that depletion of skeletal muscle mass (sarcopenia) and an increased amount of intra-abdominal fat (central obesity) influence cancer statistics. This study investigated the impact of sarcopenia and central obesity on survival in patients undergoing liver resection for colorectal liver metastases (CLM).\n\nMETHODS: Diagnostic imaging from patients who had hepatic resection for CLM in one centre between 2001 and 2009, and who had assessable perioperative computed tomograms, was analysed retrospectively. Total cross-sectional areas of skeletal muscle and intra-abdominal fat, and their influence on outcome, were analysed.\n\nRESULTS: Of the 196 patients included in the study, 38 (19\u00b74 per cent) were classified as having sarcopenia. Five-year disease-free (15 per cent versus 28\u00b75 per cent in patients without sarcopenia; P = 0\u00b7002) and overall (20 per cent versus 49\u00b79 per cent respectively; P &lt; 0\u00b7001) survival rates were lower for patients with sarcopenia at a median follow-up of 29 (range 1-97) months. Sarcopenia was an independent predictor of worse recurrence-free (hazard ratio (HR) 1\u00b788, 95 per cent confidence interval 1\u00b725 to 2\u00b782; P = 0\u00b7002) and overall (HR 2\u00b753, 1\u00b760 to 4\u00b701; P &lt; 0\u00b7001) survival. Central obesity was associated with an increased risk of recurrence in men (P = 0\u00b7032), but not in women (P = 0\u00b7712).\n\nCONCLUSION: Sarcopenia has a negative impact on cancer outcomes following resection of CLM.", "author" : [ { "dropping-particle" : "", "family" : "Vledder", "given" : "M. G.", "non-dropping-particle" : "van", "parse-names" : false, "suffix" : "" }, { "dropping-particle" : "", "family" : "Levolger", "given" : "S.", "non-dropping-particle" : "", "parse-names" : false, "suffix" : "" }, { "dropping-particle" : "", "family" : "Ayez", "given" : "N.", "non-dropping-particle" : "", "parse-names" : false, "suffix" : "" }, { "dropping-particle" : "", "family" : "Verhoef", "given" : "C.", "non-dropping-particle" : "", "parse-names" : false, "suffix" : "" }, { "dropping-particle" : "", "family" : "Tran", "given" : "T. C. K.", "non-dropping-particle" : "", "parse-names" : false, "suffix" : "" }, { "dropping-particle" : "", "family" : "IJzermans", "given" : "J. N. M.", "non-dropping-particle" : "", "parse-names" : false, "suffix" : "" } ], "container-title" : "British Journal of Surgery", "id" : "ITEM-2", "issue" : "4", "issued" : { "date-parts" : [ [ "2012", "4", "13" ] ] }, "page" : "550-557", "title" : "Body composition and outcome in patients undergoing resection of colorectal liver metastases", "type" : "article-journal", "volume" : "99" }, "uris" : [ "http://www.mendeley.com/documents/?uuid=9a920544-3f08-4add-befb-777bd2f69766" ] }, { "id" : "ITEM-3", "itemData" : { "DOI" : "10.1007/s11605-014-2680-4", "ISSN" : "1873-4626", "PMID" : "25389056", "abstract" : "BACKGROUND: Sarcopenia is a surrogate marker of patient frailty that estimates the physiologic reserve of an individual patient. We sought to investigate the impact of sarcopenia on short- and long-term outcomes in patients having undergone surgical intervention for primary hepatic malignancies.\n\nMETHODS: Ninety-six patients who underwent hepatic resection or liver transplantation for HCC or ICC at the John Hopkins Hospital between 2000 and 2013 met inclusion criteria. Sarcopenia was assessed by the measurement of total psoas major volume (TPV) and total psoas area (TPA). The impact of sarcopenia on perioperative complications and survival was assessed.\n\nRESULTS: Mean age was 61.9 years and most patients were men (61.4 %). Mean adjusted TPV was lower in women (23.3 cm(3)/m) versus men (34.9 cm(3)/m) (P\u2009&lt;\u20090.01); 47 patients (48.9 %) had sarcopenia. The incidence of a postoperative complication was 40.4 % among patients with sarcopenia versus 18.4 % among patients who did not have sarcopenia (P\u2009=\u20090.01). Of note, all Clavien grade \u22653 complications (n\u2009=\u200911, 23.4 %) occurred in the sarcopenic group. On multivariable analysis, the presence of sarcopenia was an independent predictive factor of postoperative complications (OR\u2009=\u20093.06). Sarcopenia was not associated with long-term survival (HR\u2009=\u20091.23; P\u2009=\u20090.51).\n\nCONCLUSIONS: Sarcopenia, as assessed by TPV, was an independent factor predictive of postoperative complications following surgical intervention for primary hepatic malignancies.", "author" : [ { "dropping-particle" : "", "family" : "Valero", "given" : "Vicente", "non-dropping-particle" : "", "parse-names" : false, "suffix" : "" }, { "dropping-particle" : "", "family" : "Amini", "given" : "Neda", "non-dropping-particle" : "", "parse-names" : false, "suffix" : "" }, { "dropping-particle" : "", "family" : "Spolverato", "given" : "Gaya", "non-dropping-particle" : "", "parse-names" : false, "suffix" : "" }, { "dropping-particle" : "", "family" : "Weiss", "given" : "Matthew J", "non-dropping-particle" : "", "parse-names" : false, "suffix" : "" }, { "dropping-particle" : "", "family" : "Hirose", "given" : "Kenzo", "non-dropping-particle" : "", "parse-names" : false, "suffix" : "" }, { "dropping-particle" : "", "family" : "Dagher", "given" : "Nabil N", "non-dropping-particle" : "", "parse-names" : false, "suffix" : "" }, { "dropping-particle" : "", "family" : "Wolfgang", "given" : "Christopher L", "non-dropping-particle" : "", "parse-names" : false, "suffix" : "" }, { "dropping-particle" : "", "family" : "Cameron", "given" : "Andrew A", "non-dropping-particle" : "", "parse-names" : false, "suffix" : "" }, { "dropping-particle" : "", "family" : "Philosophe", "given" : "Benjamin", "non-dropping-particle" : "", "parse-names" : false, "suffix" : "" }, { "dropping-particle" : "", "family" : "Kamel", "given" : "Ihab R", "non-dropping-particle" : "", "parse-names" : false, "suffix" : "" }, { "dropping-particle" : "", "family" : "Pawlik", "given" : "Timothy M", "non-dropping-particle" : "", "parse-names" : false, "suffix" : "" } ], "container-title" : "Journal of gastrointestinal surgery : official journal of the Society for Surgery of the Alimentary Tract", "id" : "ITEM-3", "issue" : "2", "issued" : { "date-parts" : [ [ "2015", "3" ] ] }, "page" : "272-81", "title" : "Sarcopenia adversely impacts postoperative complications following resection or transplantation in patients with primary liver tumors.", "type" : "article-journal", "volume" : "19" }, "uris" : [ "http://www.mendeley.com/documents/?uuid=4073b87d-cebb-47b2-98aa-b7b349cd0d42" ] }, { "id" : "ITEM-4", "itemData" : { "DOI" : "10.1016/j.jamcollsurg.2010.03.039", "ISSN" : "1879-1190", "PMID" : "20670867", "abstract" : "BACKGROUND: Surgeons frequently struggle to determine patient suitability for liver transplantation. Objective and comprehensive measures of overall burden of disease, such as sarcopenia, could inform clinicians and help avoid futile transplantations.\n\nSTUDY DESIGN: The cross-sectional area of the psoas muscle was measured on CT scans of 163 liver transplant recipients. After controlling for donor and recipient characteristics using Cox regression models, we described the relationship between psoas area and post-transplantation mortality.\n\nRESULTS: Psoas area correlated poorly with Model for End-Stage Liver Disease score and serum albumin. Cox regression revealed a strong association between psoas area and post-transplantation mortality (hazard ratio = 3.7/1,000 mm(2) decrease in psoas area; p &lt; 0.0001). When stratified into quartiles based on psoas area (holding donor and recipient characteristics constant), 1-year survival ranged from 49.7% for the quartile with the smallest psoas area to 87.0% for the quartile with the largest. Survival at 3 years among these groups was 26.4% and 77.2%, respectively. The impact of psoas area on survival exceeded that of all other covariates in these models.\n\nCONCLUSIONS: Central sarcopenia strongly correlates with mortality after liver transplantation. Such objective measures of patient frailty, such as sarcopenia, can inform clinical decision making and, potentially, allocation policy. Additional work is needed develop valid and clinically relevant measures of sarcopenia and frailty in liver transplantation.", "author" : [ { "dropping-particle" : "", "family" : "Englesbe", "given" : "Michael J", "non-dropping-particle" : "", "parse-names" : false, "suffix" : "" }, { "dropping-particle" : "", "family" : "Patel", "given" : "Shaun P", "non-dropping-particle" : "", "parse-names" : false, "suffix" : "" }, { "dropping-particle" : "", "family" : "He", "given" : "Kevin", "non-dropping-particle" : "", "parse-names" : false, "suffix" : "" }, { "dropping-particle" : "", "family" : "Lynch", "given" : "Raymond J", "non-dropping-particle" : "", "parse-names" : false, "suffix" : "" }, { "dropping-particle" : "", "family" : "Schaubel", "given" : "Douglas E", "non-dropping-particle" : "", "parse-names" : false, "suffix" : "" }, { "dropping-particle" : "", "family" : "Harbaugh", "given" : "Calista", "non-dropping-particle" : "", "parse-names" : false, "suffix" : "" }, { "dropping-particle" : "", "family" : "Holcombe", "given" : "Sven A", "non-dropping-particle" : "", "parse-names" : false, "suffix" : "" }, { "dropping-particle" : "", "family" : "Wang", "given" : "Stewart C", "non-dropping-particle" : "", "parse-names" : false, "suffix" : "" }, { "dropping-particle" : "", "family" : "Segev", "given" : "Dorry L", "non-dropping-particle" : "", "parse-names" : false, "suffix" : "" }, { "dropping-particle" : "", "family" : "Sonnenday", "given" : "Christopher J", "non-dropping-particle" : "", "parse-names" : false, "suffix" : "" } ], "container-title" : "Journal of the American College of Surgeons", "id" : "ITEM-4", "issue" : "2", "issued" : { "date-parts" : [ [ "2010", "8" ] ] }, "page" : "271-8", "title" : "Sarcopenia and mortality after liver transplantation.", "type" : "article-journal", "volume" : "211" }, "uris" : [ "http://www.mendeley.com/documents/?uuid=49a4a94a-3f96-49a2-a1f8-ca16d833f4bf" ] }, { "id" : "ITEM-5", "itemData" : { "DOI" : "10.1016/j.jhep.2014.02.026", "ISSN" : "1600-0641", "PMID" : "24607622", "abstract" : "BACKGROUND &amp; AIMS: Waiting-list mortality in patients with cirrhosis and a relatively low MELD score is a matter of concern. The aim of this study was to determine whether a marker of muscle waste could improve prognostication.\n\nMETHODS: A pre-MELD cohort (waiting time-based allocation; n=186) and a MELD-era cohort (n=376) were examined. At evaluation, transversal psoas muscle thickness (TPMT) was measured on a computed tomography (CT) image at the level of the umbilicus. In the pre-MELD cohort, TPMT/height (mm/m) and the MELD score were entered in univariate and multivariate models to predict mortality after registration. Applicability of pre-MELD findings was tested in the MELD-era.\n\nRESULTS: In the pre-MELD cohort, the MELD score and TPMT/height were significantly associated with mortality. The discrimination of a score combining MELD and TPMT/height (MELD-psoas) was 0.84 (95% CI, 0.62-0.95). In the MELD-era, TPTM/height was significantly associated with mortality, independent of the MELD and MELD-Na scores. There was a 15% increase in mortality risk per unit decrease in TPMT/height. The discrimination of MELD-psoas score (0.82; 95% CI, 0.64-0.93) was superior to that of the MELD score and similar to that of the MELD-Na score. In patients with refractory ascites, mortality was significantly higher when TPMT/height was &lt;16.8 mm/m (42% vs. 9%, p=0.02).\n\nCONCLUSIONS: TPMP/height on CT at the level of the umbilicus, an objective marker of muscle waste, may be predictive of mortality in cirrhotic patients, independent of the MELD and MELD-Na scores. It may help to better assess the prognosis of patients with refractory ascites.", "author" : [ { "dropping-particle" : "", "family" : "Durand", "given" : "Fran\u00e7ois", "non-dropping-particle" : "", "parse-names" : false, "suffix" : "" }, { "dropping-particle" : "", "family" : "Buyse", "given" : "Sophie", "non-dropping-particle" : "", "parse-names" : false, "suffix" : "" }, { "dropping-particle" : "", "family" : "Francoz", "given" : "Claire", "non-dropping-particle" : "", "parse-names" : false, "suffix" : "" }, { "dropping-particle" : "", "family" : "Laou\u00e9nan", "given" : "C\u00e9dric", "non-dropping-particle" : "", "parse-names" : false, "suffix" : "" }, { "dropping-particle" : "", "family" : "Bruno", "given" : "Onorina", "non-dropping-particle" : "", "parse-names" : false, "suffix" : "" }, { "dropping-particle" : "", "family" : "Belghiti", "given" : "Jacques", "non-dropping-particle" : "", "parse-names" : false, "suffix" : "" }, { "dropping-particle" : "", "family" : "Moreau", "given" : "Richard", "non-dropping-particle" : "", "parse-names" : false, "suffix" : "" }, { "dropping-particle" : "", "family" : "Vilgrain", "given" : "Val\u00e9rie", "non-dropping-particle" : "", "parse-names" : false, "suffix" : "" }, { "dropping-particle" : "", "family" : "Valla", "given" : "Dominique", "non-dropping-particle" : "", "parse-names" : false, "suffix" : "" } ], "container-title" : "Journal of hepatology", "id" : "ITEM-5", "issue" : "6", "issued" : { "date-parts" : [ [ "2014", "6" ] ] }, "page" : "1151-7", "title" : "Prognostic value of muscle atrophy in cirrhosis using psoas muscle thickness on computed tomography.", "type" : "article-journal", "volume" : "60" }, "uris" : [ "http://www.mendeley.com/documents/?uuid=017b61f7-0946-4453-8027-cf8c44144c09" ] }, { "id" : "ITEM-6", "itemData" : { "DOI" : "10.1097/MCG.0b013e318293a825", "ISSN" : "0192-0790", "PMID" : "23751844", "abstract" : "BACKGROUND AND AIMS: Abnormal body composition such as severe skeletal muscle depletion or sarcopenia has emerged as an independent predictor of clinical outcomes in a variety of clinical conditions. This study is the first study to report the frequency and prognostic significance of sarcopenia as a marker of nutritional status in patients with hepatocellular carcinoma (HCC).\n\nMETHODS: We analyzed 116 patients with HCC who were consecutively evaluated for liver transplant. Skeletal muscle cross-sectional area was measured by CT. Sarcopenia was defined using previously established cutpoints.\n\nRESULTS: Ninety-eight patients were males (85%), and the mean age was 58\u00b16 years. Sarcopenia was present in 35 patients (30%). By univariate Cox analysis, male sex (HR, 3.84; P=0.02), lumbar skeletal muscle index (HR, 0.97; P=0.04), INR (HR, 8.18; P&lt;0.001), MELD score (HR, 1.19; P&lt;0.001), Child-Pugh (HR, 3.95; P&lt;0.001), serum sodium (HR, 0.84; P&lt;0.001), TNM stage (HR, 2.59; P&lt;0.001), treatment type (HR, 0.53; P&lt;0.001), and sarcopenia (HR, 2.27; P=0.004) were associated with increased risks of mortality. By multivariate Cox regression analysis, only MELD score (HR, 1.08; P=0.04), Child-Pugh (HR, 2.14; P=0.005), sodium (HR, 0.89; P=0.01), TNM stage (HR, 1.92; P&lt;0.001), and sarcopenia (HR, 2.04; P=0.02) were independently associated with mortality. Median survival for sarcopenic patients was 16\u00b16 versus 28\u00b13 months in nonsarcopenic (P=0.003).\n\nCONCLUSIONS: Sarcopenia is present in almost one third of patients with HCC, and constitutes a strong and independent risk factor for mortality. Our results highlight the importance of body composition assessment in clinical practice.", "author" : [ { "dropping-particle" : "", "family" : "Meza-Junco", "given" : "Judith", "non-dropping-particle" : "", "parse-names" : false, "suffix" : "" }, { "dropping-particle" : "", "family" : "Montano-Loza", "given" : "Aldo J.", "non-dropping-particle" : "", "parse-names" : false, "suffix" : "" }, { "dropping-particle" : "", "family" : "Baracos", "given" : "Vickie E.", "non-dropping-particle" : "", "parse-names" : false, "suffix" : "" }, { "dropping-particle" : "", "family" : "Prado", "given" : "Carla M.M.", "non-dropping-particle" : "", "parse-names" : false, "suffix" : "" }, { "dropping-particle" : "", "family" : "Bain", "given" : "Vincent G.", "non-dropping-particle" : "", "parse-names" : false, "suffix" : "" }, { "dropping-particle" : "", "family" : "Beaumont", "given" : "Crystal", "non-dropping-particle" : "", "parse-names" : false, "suffix" : "" }, { "dropping-particle" : "", "family" : "Esfandiari", "given" : "Nina", "non-dropping-particle" : "", "parse-names" : false, "suffix" : "" }, { "dropping-particle" : "", "family" : "Lieffers", "given" : "Jessica R.", "non-dropping-particle" : "", "parse-names" : false, "suffix" : "" }, { "dropping-particle" : "", "family" : "Sawyer", "given" : "Michael B.", "non-dropping-particle" : "", "parse-names" : false, "suffix" : "" } ], "container-title" : "Journal of Clinical Gastroenterology", "id" : "ITEM-6", "issue" : "10", "issued" : { "date-parts" : [ [ "2013", "1" ] ] }, "page" : "861-870", "title" : "Sarcopenia as a Prognostic Index of Nutritional Status in Concurrent Cirrhosis and Hepatocellular Carcinoma", "type" : "article-journal", "volume" : "47" }, "uris" : [ "http://www.mendeley.com/documents/?uuid=b80185e0-3f39-4692-b5a4-f58071334b13" ] } ], "mendeley" : { "formattedCitation" : "&lt;sup&gt;[40\u201343,74,75]&lt;/sup&gt;", "plainTextFormattedCitation" : "[40\u201343,74,75]", "previouslyFormattedCitation" : "&lt;sup&gt;[40\u201343,74,75]&lt;/sup&gt;" }, "properties" : { "noteIndex" : 0 }, "schema" : "https://github.com/citation-style-language/schema/raw/master/csl-citation.json" }</w:instrText>
      </w:r>
      <w:r w:rsidR="003F1EB8" w:rsidRPr="00B77A30">
        <w:rPr>
          <w:rFonts w:ascii="Book Antiqua" w:hAnsi="Book Antiqua" w:cs="Times New Roman"/>
          <w:sz w:val="24"/>
          <w:szCs w:val="24"/>
        </w:rPr>
        <w:fldChar w:fldCharType="separate"/>
      </w:r>
      <w:r w:rsidR="00075EE5" w:rsidRPr="00B77A30">
        <w:rPr>
          <w:rFonts w:ascii="Book Antiqua" w:hAnsi="Book Antiqua" w:cs="Times New Roman"/>
          <w:noProof/>
          <w:sz w:val="24"/>
          <w:szCs w:val="24"/>
          <w:vertAlign w:val="superscript"/>
        </w:rPr>
        <w:t>[40</w:t>
      </w:r>
      <w:r w:rsidR="00075EE5" w:rsidRPr="00B77A30">
        <w:rPr>
          <w:rFonts w:ascii="Book Antiqua" w:hAnsi="Book Antiqua" w:cs="Times New Roman"/>
          <w:noProof/>
          <w:sz w:val="24"/>
          <w:szCs w:val="24"/>
          <w:vertAlign w:val="superscript"/>
          <w:lang w:eastAsia="zh-CN"/>
        </w:rPr>
        <w:t>,</w:t>
      </w:r>
      <w:r w:rsidR="003F1EB8" w:rsidRPr="00B77A30">
        <w:rPr>
          <w:rFonts w:ascii="Book Antiqua" w:hAnsi="Book Antiqua" w:cs="Times New Roman"/>
          <w:noProof/>
          <w:sz w:val="24"/>
          <w:szCs w:val="24"/>
          <w:vertAlign w:val="superscript"/>
        </w:rPr>
        <w:t>43,74,75]</w:t>
      </w:r>
      <w:r w:rsidR="003F1EB8" w:rsidRPr="00B77A30">
        <w:rPr>
          <w:rFonts w:ascii="Book Antiqua" w:hAnsi="Book Antiqua" w:cs="Times New Roman"/>
          <w:sz w:val="24"/>
          <w:szCs w:val="24"/>
        </w:rPr>
        <w:fldChar w:fldCharType="end"/>
      </w:r>
      <w:r w:rsidR="00075EE5" w:rsidRPr="00B77A30">
        <w:rPr>
          <w:rFonts w:ascii="Book Antiqua" w:hAnsi="Book Antiqua" w:cs="Times New Roman"/>
          <w:sz w:val="24"/>
          <w:szCs w:val="24"/>
          <w:lang w:eastAsia="zh-CN"/>
        </w:rPr>
        <w:t>.</w:t>
      </w:r>
      <w:r w:rsidR="000A0F89">
        <w:rPr>
          <w:rFonts w:ascii="Book Antiqua" w:hAnsi="Book Antiqua" w:cs="Times New Roman"/>
          <w:sz w:val="24"/>
          <w:szCs w:val="24"/>
        </w:rPr>
        <w:t xml:space="preserve"> </w:t>
      </w:r>
      <w:r w:rsidRPr="00B77A30">
        <w:rPr>
          <w:rFonts w:ascii="Book Antiqua" w:hAnsi="Book Antiqua" w:cs="Times New Roman"/>
          <w:sz w:val="24"/>
          <w:szCs w:val="24"/>
        </w:rPr>
        <w:t>Several studies have noted an association between sarcopenia and both short- and long-term outcomes among pati</w:t>
      </w:r>
      <w:r w:rsidR="00CB2DFE">
        <w:rPr>
          <w:rFonts w:ascii="Book Antiqua" w:hAnsi="Book Antiqua" w:cs="Times New Roman"/>
          <w:sz w:val="24"/>
          <w:szCs w:val="24"/>
        </w:rPr>
        <w:t>ents undergoing hepatic surgery</w:t>
      </w:r>
      <w:r w:rsidR="007D7546" w:rsidRPr="00B77A30">
        <w:rPr>
          <w:rFonts w:ascii="Book Antiqua" w:hAnsi="Book Antiqua" w:cs="Times New Roman"/>
          <w:sz w:val="24"/>
          <w:szCs w:val="24"/>
        </w:rPr>
        <w:fldChar w:fldCharType="begin" w:fldLock="1"/>
      </w:r>
      <w:r w:rsidR="007D7546" w:rsidRPr="00B77A30">
        <w:rPr>
          <w:rFonts w:ascii="Book Antiqua" w:hAnsi="Book Antiqua" w:cs="Times New Roman"/>
          <w:sz w:val="24"/>
          <w:szCs w:val="24"/>
        </w:rPr>
        <w:instrText>ADDIN CSL_CITATION { "citationItems" : [ { "id" : "ITEM-1", "itemData" : { "DOI" : "10.1016/j.jamcollsurg.2010.03.039", "ISSN" : "1879-1190", "PMID" : "20670867", "abstract" : "BACKGROUND: Surgeons frequently struggle to determine patient suitability for liver transplantation. Objective and comprehensive measures of overall burden of disease, such as sarcopenia, could inform clinicians and help avoid futile transplantations.\n\nSTUDY DESIGN: The cross-sectional area of the psoas muscle was measured on CT scans of 163 liver transplant recipients. After controlling for donor and recipient characteristics using Cox regression models, we described the relationship between psoas area and post-transplantation mortality.\n\nRESULTS: Psoas area correlated poorly with Model for End-Stage Liver Disease score and serum albumin. Cox regression revealed a strong association between psoas area and post-transplantation mortality (hazard ratio = 3.7/1,000 mm(2) decrease in psoas area; p &lt; 0.0001). When stratified into quartiles based on psoas area (holding donor and recipient characteristics constant), 1-year survival ranged from 49.7% for the quartile with the smallest psoas area to 87.0% for the quartile with the largest. Survival at 3 years among these groups was 26.4% and 77.2%, respectively. The impact of psoas area on survival exceeded that of all other covariates in these models.\n\nCONCLUSIONS: Central sarcopenia strongly correlates with mortality after liver transplantation. Such objective measures of patient frailty, such as sarcopenia, can inform clinical decision making and, potentially, allocation policy. Additional work is needed develop valid and clinically relevant measures of sarcopenia and frailty in liver transplantation.", "author" : [ { "dropping-particle" : "", "family" : "Englesbe", "given" : "Michael J", "non-dropping-particle" : "", "parse-names" : false, "suffix" : "" }, { "dropping-particle" : "", "family" : "Patel", "given" : "Shaun P", "non-dropping-particle" : "", "parse-names" : false, "suffix" : "" }, { "dropping-particle" : "", "family" : "He", "given" : "Kevin", "non-dropping-particle" : "", "parse-names" : false, "suffix" : "" }, { "dropping-particle" : "", "family" : "Lynch", "given" : "Raymond J", "non-dropping-particle" : "", "parse-names" : false, "suffix" : "" }, { "dropping-particle" : "", "family" : "Schaubel", "given" : "Douglas E", "non-dropping-particle" : "", "parse-names" : false, "suffix" : "" }, { "dropping-particle" : "", "family" : "Harbaugh", "given" : "Calista", "non-dropping-particle" : "", "parse-names" : false, "suffix" : "" }, { "dropping-particle" : "", "family" : "Holcombe", "given" : "Sven A", "non-dropping-particle" : "", "parse-names" : false, "suffix" : "" }, { "dropping-particle" : "", "family" : "Wang", "given" : "Stewart C", "non-dropping-particle" : "", "parse-names" : false, "suffix" : "" }, { "dropping-particle" : "", "family" : "Segev", "given" : "Dorry L", "non-dropping-particle" : "", "parse-names" : false, "suffix" : "" }, { "dropping-particle" : "", "family" : "Sonnenday", "given" : "Christopher J", "non-dropping-particle" : "", "parse-names" : false, "suffix" : "" } ], "container-title" : "Journal of the American College of Surgeons", "id" : "ITEM-1", "issue" : "2", "issued" : { "date-parts" : [ [ "2010", "8" ] ] }, "page" : "271-8", "title" : "Sarcopenia and mortality after liver transplantation.", "type" : "article-journal", "volume" : "211" }, "uris" : [ "http://www.mendeley.com/documents/?uuid=49a4a94a-3f96-49a2-a1f8-ca16d833f4bf" ] }, { "id" : "ITEM-2", "itemData" : { "DOI" : "10.1002/bjs.9258", "ISSN" : "1365-2168", "PMID" : "24037576", "abstract" : "BACKGROUND: Sarcopenia was identified recently as a poor prognostic factor in patients with cancer. The present study investigated the effect of sarcopenia on short- and long-term outcomes following partial hepatectomy for hepatocellular carcinoma (HCC), and aimed to identify prognostic factors.\n\nMETHODS: Data were collected retrospectively for all consecutive patients who underwent hepatectomy for HCC with curative intent between January 2004 and December 2009. Patients were assigned to one of two groups according to the presence or absence of sarcopenia, assessed by computed tomographic measurement of muscle mass at the level of the third lumbar vertebra. Clinicopathological, surgical outcome and long-term survival data were analysed.\n\nRESULTS: Sarcopenia was present in 75 (40\u00b73 per cent) of 186 patients, and was significantly correlated with female sex, lower body mass index and liver dysfunction, as indicated by abnormal serum albumin levels and indocyanine green retention test at 15\u2009min values. In patients with, and without sarcopenia, the 5-year overall survival rate was 71 and 83\u00b77 per cent respectively, and the 5-year recurrence-free survival rate was 13 and 33\u00b72 per cent respectively. Multivariable analysis revealed that reduced skeletal muscle mass was predictive of an unfavourable prognosis.\n\nCONCLUSION: Sarcopenia was predictive of worse overall survival even when adjusted for other known predictors in patients with HCC after partial hepatectomy.", "author" : [ { "dropping-particle" : "", "family" : "Harimoto", "given" : "N", "non-dropping-particle" : "", "parse-names" : false, "suffix" : "" }, { "dropping-particle" : "", "family" : "Shirabe", "given" : "K", "non-dropping-particle" : "", "parse-names" : false, "suffix" : "" }, { "dropping-particle" : "", "family" : "Yamashita", "given" : "Y-I", "non-dropping-particle" : "", "parse-names" : false, "suffix" : "" }, { "dropping-particle" : "", "family" : "Ikegami", "given" : "T", "non-dropping-particle" : "", "parse-names" : false, "suffix" : "" }, { "dropping-particle" : "", "family" : "Yoshizumi", "given" : "T", "non-dropping-particle" : "", "parse-names" : false, "suffix" : "" }, { "dropping-particle" : "", "family" : "Soejima", "given" : "Y", "non-dropping-particle" : "", "parse-names" : false, "suffix" : "" }, { "dropping-particle" : "", "family" : "Ikeda", "given" : "T", "non-dropping-particle" : "", "parse-names" : false, "suffix" : "" }, { "dropping-particle" : "", "family" : "Maehara", "given" : "Y", "non-dropping-particle" : "", "parse-names" : false, "suffix" : "" }, { "dropping-particle" : "", "family" : "Nishie", "given" : "A", "non-dropping-particle" : "", "parse-names" : false, "suffix" : "" }, { "dropping-particle" : "", "family" : "Yamanaka", "given" : "T", "non-dropping-particle" : "", "parse-names" : false, "suffix" : "" } ], "container-title" : "The British journal of surgery", "id" : "ITEM-2", "issue" : "11", "issued" : { "date-parts" : [ [ "2013", "10" ] ] }, "page" : "1523-30", "title" : "Sarcopenia as a predictor of prognosis in patients following hepatectomy for hepatocellular carcinoma.", "type" : "article-journal", "volume" : "100" }, "uris" : [ "http://www.mendeley.com/documents/?uuid=4a0561fe-0052-47f0-90d6-6aa9622e4798" ] }, { "id" : "ITEM-3", "itemData" : { "DOI" : "10.1002/bjs.7823", "ISSN" : "00071323", "PMID" : "22246799", "abstract" : "BACKGROUND: Recent evidence suggests that depletion of skeletal muscle mass (sarcopenia) and an increased amount of intra-abdominal fat (central obesity) influence cancer statistics. This study investigated the impact of sarcopenia and central obesity on survival in patients undergoing liver resection for colorectal liver metastases (CLM).\n\nMETHODS: Diagnostic imaging from patients who had hepatic resection for CLM in one centre between 2001 and 2009, and who had assessable perioperative computed tomograms, was analysed retrospectively. Total cross-sectional areas of skeletal muscle and intra-abdominal fat, and their influence on outcome, were analysed.\n\nRESULTS: Of the 196 patients included in the study, 38 (19\u00b74 per cent) were classified as having sarcopenia. Five-year disease-free (15 per cent versus 28\u00b75 per cent in patients without sarcopenia; P = 0\u00b7002) and overall (20 per cent versus 49\u00b79 per cent respectively; P &lt; 0\u00b7001) survival rates were lower for patients with sarcopenia at a median follow-up of 29 (range 1-97) months. Sarcopenia was an independent predictor of worse recurrence-free (hazard ratio (HR) 1\u00b788, 95 per cent confidence interval 1\u00b725 to 2\u00b782; P = 0\u00b7002) and overall (HR 2\u00b753, 1\u00b760 to 4\u00b701; P &lt; 0\u00b7001) survival. Central obesity was associated with an increased risk of recurrence in men (P = 0\u00b7032), but not in women (P = 0\u00b7712).\n\nCONCLUSION: Sarcopenia has a negative impact on cancer outcomes following resection of CLM.", "author" : [ { "dropping-particle" : "", "family" : "Vledder", "given" : "M. G.", "non-dropping-particle" : "van", "parse-names" : false, "suffix" : "" }, { "dropping-particle" : "", "family" : "Levolger", "given" : "S.", "non-dropping-particle" : "", "parse-names" : false, "suffix" : "" }, { "dropping-particle" : "", "family" : "Ayez", "given" : "N.", "non-dropping-particle" : "", "parse-names" : false, "suffix" : "" }, { "dropping-particle" : "", "family" : "Verhoef", "given" : "C.", "non-dropping-particle" : "", "parse-names" : false, "suffix" : "" }, { "dropping-particle" : "", "family" : "Tran", "given" : "T. C. K.", "non-dropping-particle" : "", "parse-names" : false, "suffix" : "" }, { "dropping-particle" : "", "family" : "IJzermans", "given" : "J. N. M.", "non-dropping-particle" : "", "parse-names" : false, "suffix" : "" } ], "container-title" : "British Journal of Surgery", "id" : "ITEM-3", "issue" : "4", "issued" : { "date-parts" : [ [ "2012", "4", "13" ] ] }, "page" : "550-557", "title" : "Body composition and outcome in patients undergoing resection of colorectal liver metastases", "type" : "article-journal", "volume" : "99" }, "uris" : [ "http://www.mendeley.com/documents/?uuid=9a920544-3f08-4add-befb-777bd2f69766" ] }, { "id" : "ITEM-4", "itemData" : { "DOI" : "10.1097/MCG.0b013e318293a825", "ISSN" : "0192-0790", "PMID" : "23751844", "abstract" : "BACKGROUND AND AIMS: Abnormal body composition such as severe skeletal muscle depletion or sarcopenia has emerged as an independent predictor of clinical outcomes in a variety of clinical conditions. This study is the first study to report the frequency and prognostic significance of sarcopenia as a marker of nutritional status in patients with hepatocellular carcinoma (HCC).\n\nMETHODS: We analyzed 116 patients with HCC who were consecutively evaluated for liver transplant. Skeletal muscle cross-sectional area was measured by CT. Sarcopenia was defined using previously established cutpoints.\n\nRESULTS: Ninety-eight patients were males (85%), and the mean age was 58\u00b16 years. Sarcopenia was present in 35 patients (30%). By univariate Cox analysis, male sex (HR, 3.84; P=0.02), lumbar skeletal muscle index (HR, 0.97; P=0.04), INR (HR, 8.18; P&lt;0.001), MELD score (HR, 1.19; P&lt;0.001), Child-Pugh (HR, 3.95; P&lt;0.001), serum sodium (HR, 0.84; P&lt;0.001), TNM stage (HR, 2.59; P&lt;0.001), treatment type (HR, 0.53; P&lt;0.001), and sarcopenia (HR, 2.27; P=0.004) were associated with increased risks of mortality. By multivariate Cox regression analysis, only MELD score (HR, 1.08; P=0.04), Child-Pugh (HR, 2.14; P=0.005), sodium (HR, 0.89; P=0.01), TNM stage (HR, 1.92; P&lt;0.001), and sarcopenia (HR, 2.04; P=0.02) were independently associated with mortality. Median survival for sarcopenic patients was 16\u00b16 versus 28\u00b13 months in nonsarcopenic (P=0.003).\n\nCONCLUSIONS: Sarcopenia is present in almost one third of patients with HCC, and constitutes a strong and independent risk factor for mortality. Our results highlight the importance of body composition assessment in clinical practice.", "author" : [ { "dropping-particle" : "", "family" : "Meza-Junco", "given" : "Judith", "non-dropping-particle" : "", "parse-names" : false, "suffix" : "" }, { "dropping-particle" : "", "family" : "Montano-Loza", "given" : "Aldo J.", "non-dropping-particle" : "", "parse-names" : false, "suffix" : "" }, { "dropping-particle" : "", "family" : "Baracos", "given" : "Vickie E.", "non-dropping-particle" : "", "parse-names" : false, "suffix" : "" }, { "dropping-particle" : "", "family" : "Prado", "given" : "Carla M.M.", "non-dropping-particle" : "", "parse-names" : false, "suffix" : "" }, { "dropping-particle" : "", "family" : "Bain", "given" : "Vincent G.", "non-dropping-particle" : "", "parse-names" : false, "suffix" : "" }, { "dropping-particle" : "", "family" : "Beaumont", "given" : "Crystal", "non-dropping-particle" : "", "parse-names" : false, "suffix" : "" }, { "dropping-particle" : "", "family" : "Esfandiari", "given" : "Nina", "non-dropping-particle" : "", "parse-names" : false, "suffix" : "" }, { "dropping-particle" : "", "family" : "Lieffers", "given" : "Jessica R.", "non-dropping-particle" : "", "parse-names" : false, "suffix" : "" }, { "dropping-particle" : "", "family" : "Sawyer", "given" : "Michael B.", "non-dropping-particle" : "", "parse-names" : false, "suffix" : "" } ], "container-title" : "Journal of Clinical Gastroenterology", "id" : "ITEM-4", "issue" : "10", "issued" : { "date-parts" : [ [ "2013", "1" ] ] }, "page" : "861-870", "title" : "Sarcopenia as a Prognostic Index of Nutritional Status in Concurrent Cirrhosis and Hepatocellular Carcinoma", "type" : "article-journal", "volume" : "47" }, "uris" : [ "http://www.mendeley.com/documents/?uuid=b80185e0-3f39-4692-b5a4-f58071334b13" ] }, { "id" : "ITEM-5", "itemData" : { "DOI" : "10.1016/j.jhep.2014.02.026", "ISSN" : "1600-0641", "PMID" : "24607622", "abstract" : "BACKGROUND &amp; AIMS: Waiting-list mortality in patients with cirrhosis and a relatively low MELD score is a matter of concern. The aim of this study was to determine whether a marker of muscle waste could improve prognostication.\n\nMETHODS: A pre-MELD cohort (waiting time-based allocation; n=186) and a MELD-era cohort (n=376) were examined. At evaluation, transversal psoas muscle thickness (TPMT) was measured on a computed tomography (CT) image at the level of the umbilicus. In the pre-MELD cohort, TPMT/height (mm/m) and the MELD score were entered in univariate and multivariate models to predict mortality after registration. Applicability of pre-MELD findings was tested in the MELD-era.\n\nRESULTS: In the pre-MELD cohort, the MELD score and TPMT/height were significantly associated with mortality. The discrimination of a score combining MELD and TPMT/height (MELD-psoas) was 0.84 (95% CI, 0.62-0.95). In the MELD-era, TPTM/height was significantly associated with mortality, independent of the MELD and MELD-Na scores. There was a 15% increase in mortality risk per unit decrease in TPMT/height. The discrimination of MELD-psoas score (0.82; 95% CI, 0.64-0.93) was superior to that of the MELD score and similar to that of the MELD-Na score. In patients with refractory ascites, mortality was significantly higher when TPMT/height was &lt;16.8 mm/m (42% vs. 9%, p=0.02).\n\nCONCLUSIONS: TPMP/height on CT at the level of the umbilicus, an objective marker of muscle waste, may be predictive of mortality in cirrhotic patients, independent of the MELD and MELD-Na scores. It may help to better assess the prognosis of patients with refractory ascites.", "author" : [ { "dropping-particle" : "", "family" : "Durand", "given" : "Fran\u00e7ois", "non-dropping-particle" : "", "parse-names" : false, "suffix" : "" }, { "dropping-particle" : "", "family" : "Buyse", "given" : "Sophie", "non-dropping-particle" : "", "parse-names" : false, "suffix" : "" }, { "dropping-particle" : "", "family" : "Francoz", "given" : "Claire", "non-dropping-particle" : "", "parse-names" : false, "suffix" : "" }, { "dropping-particle" : "", "family" : "Laou\u00e9nan", "given" : "C\u00e9dric", "non-dropping-particle" : "", "parse-names" : false, "suffix" : "" }, { "dropping-particle" : "", "family" : "Bruno", "given" : "Onorina", "non-dropping-particle" : "", "parse-names" : false, "suffix" : "" }, { "dropping-particle" : "", "family" : "Belghiti", "given" : "Jacques", "non-dropping-particle" : "", "parse-names" : false, "suffix" : "" }, { "dropping-particle" : "", "family" : "Moreau", "given" : "Richard", "non-dropping-particle" : "", "parse-names" : false, "suffix" : "" }, { "dropping-particle" : "", "family" : "Vilgrain", "given" : "Val\u00e9rie", "non-dropping-particle" : "", "parse-names" : false, "suffix" : "" }, { "dropping-particle" : "", "family" : "Valla", "given" : "Dominique", "non-dropping-particle" : "", "parse-names" : false, "suffix" : "" } ], "container-title" : "Journal of hepatology", "id" : "ITEM-5", "issue" : "6", "issued" : { "date-parts" : [ [ "2014", "6" ] ] }, "page" : "1151-7", "title" : "Prognostic value of muscle atrophy in cirrhosis using psoas muscle thickness on computed tomography.", "type" : "article-journal", "volume" : "60" }, "uris" : [ "http://www.mendeley.com/documents/?uuid=017b61f7-0946-4453-8027-cf8c44144c09" ] } ], "mendeley" : { "formattedCitation" : "&lt;sup&gt;[40,41,43,74,75]&lt;/sup&gt;", "plainTextFormattedCitation" : "[40,41,43,74,75]", "previouslyFormattedCitation" : "&lt;sup&gt;[40,41,43,74,75]&lt;/sup&gt;" }, "properties" : { "noteIndex" : 0 }, "schema" : "https://github.com/citation-style-language/schema/raw/master/csl-citation.json" }</w:instrText>
      </w:r>
      <w:r w:rsidR="007D7546" w:rsidRPr="00B77A30">
        <w:rPr>
          <w:rFonts w:ascii="Book Antiqua" w:hAnsi="Book Antiqua" w:cs="Times New Roman"/>
          <w:sz w:val="24"/>
          <w:szCs w:val="24"/>
        </w:rPr>
        <w:fldChar w:fldCharType="separate"/>
      </w:r>
      <w:r w:rsidR="007D7546" w:rsidRPr="00B77A30">
        <w:rPr>
          <w:rFonts w:ascii="Book Antiqua" w:hAnsi="Book Antiqua" w:cs="Times New Roman"/>
          <w:noProof/>
          <w:sz w:val="24"/>
          <w:szCs w:val="24"/>
          <w:vertAlign w:val="superscript"/>
        </w:rPr>
        <w:t>[40,41,43,74,75]</w:t>
      </w:r>
      <w:r w:rsidR="007D7546" w:rsidRPr="00B77A30">
        <w:rPr>
          <w:rFonts w:ascii="Book Antiqua" w:hAnsi="Book Antiqua" w:cs="Times New Roman"/>
          <w:sz w:val="24"/>
          <w:szCs w:val="24"/>
        </w:rPr>
        <w:fldChar w:fldCharType="end"/>
      </w:r>
      <w:r w:rsidR="00CB2DFE">
        <w:rPr>
          <w:rFonts w:ascii="Book Antiqua" w:hAnsi="Book Antiqua" w:cs="Times New Roman" w:hint="eastAsia"/>
          <w:sz w:val="24"/>
          <w:szCs w:val="24"/>
          <w:lang w:eastAsia="zh-CN"/>
        </w:rPr>
        <w:t xml:space="preserve">. </w:t>
      </w:r>
      <w:r w:rsidRPr="00B77A30">
        <w:rPr>
          <w:rFonts w:ascii="Book Antiqua" w:hAnsi="Book Antiqua" w:cs="Times New Roman"/>
          <w:sz w:val="24"/>
          <w:szCs w:val="24"/>
        </w:rPr>
        <w:t>For example, Durand</w:t>
      </w:r>
      <w:r w:rsidRPr="00CB2DFE">
        <w:rPr>
          <w:rFonts w:ascii="Book Antiqua" w:hAnsi="Book Antiqua" w:cs="Times New Roman"/>
          <w:i/>
          <w:sz w:val="24"/>
          <w:szCs w:val="24"/>
        </w:rPr>
        <w:t xml:space="preserve"> et al</w:t>
      </w:r>
      <w:r w:rsidR="00CB2DFE" w:rsidRPr="00B77A30">
        <w:rPr>
          <w:rFonts w:ascii="Book Antiqua" w:hAnsi="Book Antiqua" w:cs="Times New Roman"/>
          <w:sz w:val="24"/>
          <w:szCs w:val="24"/>
        </w:rPr>
        <w:fldChar w:fldCharType="begin" w:fldLock="1"/>
      </w:r>
      <w:r w:rsidR="00CB2DFE" w:rsidRPr="00B77A30">
        <w:rPr>
          <w:rFonts w:ascii="Book Antiqua" w:hAnsi="Book Antiqua" w:cs="Times New Roman"/>
          <w:sz w:val="24"/>
          <w:szCs w:val="24"/>
        </w:rPr>
        <w:instrText>ADDIN CSL_CITATION { "citationItems" : [ { "id" : "ITEM-1", "itemData" : { "DOI" : "10.1016/j.jhep.2014.02.026", "ISSN" : "1600-0641", "PMID" : "24607622", "abstract" : "BACKGROUND &amp; AIMS: Waiting-list mortality in patients with cirrhosis and a relatively low MELD score is a matter of concern. The aim of this study was to determine whether a marker of muscle waste could improve prognostication.\n\nMETHODS: A pre-MELD cohort (waiting time-based allocation; n=186) and a MELD-era cohort (n=376) were examined. At evaluation, transversal psoas muscle thickness (TPMT) was measured on a computed tomography (CT) image at the level of the umbilicus. In the pre-MELD cohort, TPMT/height (mm/m) and the MELD score were entered in univariate and multivariate models to predict mortality after registration. Applicability of pre-MELD findings was tested in the MELD-era.\n\nRESULTS: In the pre-MELD cohort, the MELD score and TPMT/height were significantly associated with mortality. The discrimination of a score combining MELD and TPMT/height (MELD-psoas) was 0.84 (95% CI, 0.62-0.95). In the MELD-era, TPTM/height was significantly associated with mortality, independent of the MELD and MELD-Na scores. There was a 15% increase in mortality risk per unit decrease in TPMT/height. The discrimination of MELD-psoas score (0.82; 95% CI, 0.64-0.93) was superior to that of the MELD score and similar to that of the MELD-Na score. In patients with refractory ascites, mortality was significantly higher when TPMT/height was &lt;16.8 mm/m (42% vs. 9%, p=0.02).\n\nCONCLUSIONS: TPMP/height on CT at the level of the umbilicus, an objective marker of muscle waste, may be predictive of mortality in cirrhotic patients, independent of the MELD and MELD-Na scores. It may help to better assess the prognosis of patients with refractory ascites.", "author" : [ { "dropping-particle" : "", "family" : "Durand", "given" : "Fran\u00e7ois", "non-dropping-particle" : "", "parse-names" : false, "suffix" : "" }, { "dropping-particle" : "", "family" : "Buyse", "given" : "Sophie", "non-dropping-particle" : "", "parse-names" : false, "suffix" : "" }, { "dropping-particle" : "", "family" : "Francoz", "given" : "Claire", "non-dropping-particle" : "", "parse-names" : false, "suffix" : "" }, { "dropping-particle" : "", "family" : "Laou\u00e9nan", "given" : "C\u00e9dric", "non-dropping-particle" : "", "parse-names" : false, "suffix" : "" }, { "dropping-particle" : "", "family" : "Bruno", "given" : "Onorina", "non-dropping-particle" : "", "parse-names" : false, "suffix" : "" }, { "dropping-particle" : "", "family" : "Belghiti", "given" : "Jacques", "non-dropping-particle" : "", "parse-names" : false, "suffix" : "" }, { "dropping-particle" : "", "family" : "Moreau", "given" : "Richard", "non-dropping-particle" : "", "parse-names" : false, "suffix" : "" }, { "dropping-particle" : "", "family" : "Vilgrain", "given" : "Val\u00e9rie", "non-dropping-particle" : "", "parse-names" : false, "suffix" : "" }, { "dropping-particle" : "", "family" : "Valla", "given" : "Dominique", "non-dropping-particle" : "", "parse-names" : false, "suffix" : "" } ], "container-title" : "Journal of hepatology", "id" : "ITEM-1", "issue" : "6", "issued" : { "date-parts" : [ [ "2014", "6" ] ] }, "page" : "1151-7", "title" : "Prognostic value of muscle atrophy in cirrhosis using psoas muscle thickness on computed tomography.", "type" : "article-journal", "volume" : "60" }, "uris" : [ "http://www.mendeley.com/documents/?uuid=017b61f7-0946-4453-8027-cf8c44144c09" ] } ], "mendeley" : { "formattedCitation" : "&lt;sup&gt;[74]&lt;/sup&gt;", "plainTextFormattedCitation" : "[74]", "previouslyFormattedCitation" : "&lt;sup&gt;[74]&lt;/sup&gt;" }, "properties" : { "noteIndex" : 0 }, "schema" : "https://github.com/citation-style-language/schema/raw/master/csl-citation.json" }</w:instrText>
      </w:r>
      <w:r w:rsidR="00CB2DFE" w:rsidRPr="00B77A30">
        <w:rPr>
          <w:rFonts w:ascii="Book Antiqua" w:hAnsi="Book Antiqua" w:cs="Times New Roman"/>
          <w:sz w:val="24"/>
          <w:szCs w:val="24"/>
        </w:rPr>
        <w:fldChar w:fldCharType="separate"/>
      </w:r>
      <w:r w:rsidR="00CB2DFE" w:rsidRPr="00B77A30">
        <w:rPr>
          <w:rFonts w:ascii="Book Antiqua" w:hAnsi="Book Antiqua" w:cs="Times New Roman"/>
          <w:noProof/>
          <w:sz w:val="24"/>
          <w:szCs w:val="24"/>
          <w:vertAlign w:val="superscript"/>
        </w:rPr>
        <w:t>[74]</w:t>
      </w:r>
      <w:r w:rsidR="00CB2DFE" w:rsidRPr="00B77A30">
        <w:rPr>
          <w:rFonts w:ascii="Book Antiqua" w:hAnsi="Book Antiqua" w:cs="Times New Roman"/>
          <w:sz w:val="24"/>
          <w:szCs w:val="24"/>
        </w:rPr>
        <w:fldChar w:fldCharType="end"/>
      </w:r>
      <w:r w:rsidRPr="00B77A30">
        <w:rPr>
          <w:rFonts w:ascii="Book Antiqua" w:hAnsi="Book Antiqua" w:cs="Times New Roman"/>
          <w:sz w:val="24"/>
          <w:szCs w:val="24"/>
        </w:rPr>
        <w:t xml:space="preserve"> studied whether muscle atrophy was of prognostic value among patients wi</w:t>
      </w:r>
      <w:r w:rsidR="00075EE5" w:rsidRPr="00B77A30">
        <w:rPr>
          <w:rFonts w:ascii="Book Antiqua" w:hAnsi="Book Antiqua" w:cs="Times New Roman"/>
          <w:sz w:val="24"/>
          <w:szCs w:val="24"/>
        </w:rPr>
        <w:t>th cirrhosis undergoing surgery</w:t>
      </w:r>
      <w:r w:rsidR="00075EE5"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The authors demonstrated that transversal psoas muscle thickness (TPMT) was significantly associated with mortality, independent of Model for End Stage Liver Disease (MELD) score.</w:t>
      </w:r>
      <w:r w:rsidR="000A0F89">
        <w:rPr>
          <w:rFonts w:ascii="Book Antiqua" w:hAnsi="Book Antiqua" w:cs="Times New Roman"/>
          <w:sz w:val="24"/>
          <w:szCs w:val="24"/>
        </w:rPr>
        <w:t xml:space="preserve"> </w:t>
      </w:r>
      <w:r w:rsidRPr="00B77A30">
        <w:rPr>
          <w:rFonts w:ascii="Book Antiqua" w:hAnsi="Book Antiqua" w:cs="Times New Roman"/>
          <w:sz w:val="24"/>
          <w:szCs w:val="24"/>
        </w:rPr>
        <w:t>In a different study, Valero</w:t>
      </w:r>
      <w:r w:rsidRPr="00B77A30">
        <w:rPr>
          <w:rFonts w:ascii="Book Antiqua" w:hAnsi="Book Antiqua" w:cs="Times New Roman"/>
          <w:i/>
          <w:sz w:val="24"/>
          <w:szCs w:val="24"/>
        </w:rPr>
        <w:t xml:space="preserve"> et al</w:t>
      </w:r>
      <w:r w:rsidR="00075EE5" w:rsidRPr="00B77A30">
        <w:rPr>
          <w:rFonts w:ascii="Book Antiqua" w:hAnsi="Book Antiqua" w:cs="Times New Roman"/>
          <w:sz w:val="24"/>
          <w:szCs w:val="24"/>
        </w:rPr>
        <w:fldChar w:fldCharType="begin" w:fldLock="1"/>
      </w:r>
      <w:r w:rsidR="00075EE5" w:rsidRPr="00B77A30">
        <w:rPr>
          <w:rFonts w:ascii="Book Antiqua" w:hAnsi="Book Antiqua" w:cs="Times New Roman"/>
          <w:sz w:val="24"/>
          <w:szCs w:val="24"/>
        </w:rPr>
        <w:instrText>ADDIN CSL_CITATION { "citationItems" : [ { "id" : "ITEM-1", "itemData" : { "DOI" : "10.1007/s11605-014-2680-4", "ISSN" : "1873-4626", "PMID" : "25389056", "abstract" : "BACKGROUND: Sarcopenia is a surrogate marker of patient frailty that estimates the physiologic reserve of an individual patient. We sought to investigate the impact of sarcopenia on short- and long-term outcomes in patients having undergone surgical intervention for primary hepatic malignancies.\n\nMETHODS: Ninety-six patients who underwent hepatic resection or liver transplantation for HCC or ICC at the John Hopkins Hospital between 2000 and 2013 met inclusion criteria. Sarcopenia was assessed by the measurement of total psoas major volume (TPV) and total psoas area (TPA). The impact of sarcopenia on perioperative complications and survival was assessed.\n\nRESULTS: Mean age was 61.9 years and most patients were men (61.4 %). Mean adjusted TPV was lower in women (23.3 cm(3)/m) versus men (34.9 cm(3)/m) (P\u2009&lt;\u20090.01); 47 patients (48.9 %) had sarcopenia. The incidence of a postoperative complication was 40.4 % among patients with sarcopenia versus 18.4 % among patients who did not have sarcopenia (P\u2009=\u20090.01). Of note, all Clavien grade \u22653 complications (n\u2009=\u200911, 23.4 %) occurred in the sarcopenic group. On multivariable analysis, the presence of sarcopenia was an independent predictive factor of postoperative complications (OR\u2009=\u20093.06). Sarcopenia was not associated with long-term survival (HR\u2009=\u20091.23; P\u2009=\u20090.51).\n\nCONCLUSIONS: Sarcopenia, as assessed by TPV, was an independent factor predictive of postoperative complications following surgical intervention for primary hepatic malignancies.", "author" : [ { "dropping-particle" : "", "family" : "Valero", "given" : "Vicente", "non-dropping-particle" : "", "parse-names" : false, "suffix" : "" }, { "dropping-particle" : "", "family" : "Amini", "given" : "Neda", "non-dropping-particle" : "", "parse-names" : false, "suffix" : "" }, { "dropping-particle" : "", "family" : "Spolverato", "given" : "Gaya", "non-dropping-particle" : "", "parse-names" : false, "suffix" : "" }, { "dropping-particle" : "", "family" : "Weiss", "given" : "Matthew J", "non-dropping-particle" : "", "parse-names" : false, "suffix" : "" }, { "dropping-particle" : "", "family" : "Hirose", "given" : "Kenzo", "non-dropping-particle" : "", "parse-names" : false, "suffix" : "" }, { "dropping-particle" : "", "family" : "Dagher", "given" : "Nabil N", "non-dropping-particle" : "", "parse-names" : false, "suffix" : "" }, { "dropping-particle" : "", "family" : "Wolfgang", "given" : "Christopher L", "non-dropping-particle" : "", "parse-names" : false, "suffix" : "" }, { "dropping-particle" : "", "family" : "Cameron", "given" : "Andrew A", "non-dropping-particle" : "", "parse-names" : false, "suffix" : "" }, { "dropping-particle" : "", "family" : "Philosophe", "given" : "Benjamin", "non-dropping-particle" : "", "parse-names" : false, "suffix" : "" }, { "dropping-particle" : "", "family" : "Kamel", "given" : "Ihab R", "non-dropping-particle" : "", "parse-names" : false, "suffix" : "" }, { "dropping-particle" : "", "family" : "Pawlik", "given" : "Timothy M", "non-dropping-particle" : "", "parse-names" : false, "suffix" : "" } ], "container-title" : "Journal of gastrointestinal surgery : official journal of the Society for Surgery of the Alimentary Tract", "id" : "ITEM-1", "issue" : "2", "issued" : { "date-parts" : [ [ "2015", "3" ] ] }, "page" : "272-81", "title" : "Sarcopenia adversely impacts postoperative complications following resection or transplantation in patients with primary liver tumors.", "type" : "article-journal", "volume" : "19" }, "uris" : [ "http://www.mendeley.com/documents/?uuid=4073b87d-cebb-47b2-98aa-b7b349cd0d42" ] } ], "mendeley" : { "formattedCitation" : "&lt;sup&gt;[42]&lt;/sup&gt;", "plainTextFormattedCitation" : "[42]", "previouslyFormattedCitation" : "&lt;sup&gt;[42]&lt;/sup&gt;" }, "properties" : { "noteIndex" : 0 }, "schema" : "https://github.com/citation-style-language/schema/raw/master/csl-citation.json" }</w:instrText>
      </w:r>
      <w:r w:rsidR="00075EE5" w:rsidRPr="00B77A30">
        <w:rPr>
          <w:rFonts w:ascii="Book Antiqua" w:hAnsi="Book Antiqua" w:cs="Times New Roman"/>
          <w:sz w:val="24"/>
          <w:szCs w:val="24"/>
        </w:rPr>
        <w:fldChar w:fldCharType="separate"/>
      </w:r>
      <w:r w:rsidR="00075EE5" w:rsidRPr="00B77A30">
        <w:rPr>
          <w:rFonts w:ascii="Book Antiqua" w:hAnsi="Book Antiqua" w:cs="Times New Roman"/>
          <w:noProof/>
          <w:sz w:val="24"/>
          <w:szCs w:val="24"/>
          <w:vertAlign w:val="superscript"/>
        </w:rPr>
        <w:t>[42]</w:t>
      </w:r>
      <w:r w:rsidR="00075EE5" w:rsidRPr="00B77A30">
        <w:rPr>
          <w:rFonts w:ascii="Book Antiqua" w:hAnsi="Book Antiqua" w:cs="Times New Roman"/>
          <w:sz w:val="24"/>
          <w:szCs w:val="24"/>
        </w:rPr>
        <w:fldChar w:fldCharType="end"/>
      </w:r>
      <w:r w:rsidR="00075EE5"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examined whether sarcopenia impacted the risk of post-operative complications following resection or transplantation in pat</w:t>
      </w:r>
      <w:r w:rsidR="00075EE5" w:rsidRPr="00B77A30">
        <w:rPr>
          <w:rFonts w:ascii="Book Antiqua" w:hAnsi="Book Antiqua" w:cs="Times New Roman"/>
          <w:sz w:val="24"/>
          <w:szCs w:val="24"/>
        </w:rPr>
        <w:t>ients with primary liver tumors</w:t>
      </w:r>
      <w:r w:rsidR="00075EE5"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Among 96 patients, the presence of sarcopenia was an independent predictive factor of post-operative complications, but was not associated with long-term survival.</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In a study that examined only liver transplant recipients, </w:t>
      </w:r>
      <w:proofErr w:type="spellStart"/>
      <w:r w:rsidRPr="00B77A30">
        <w:rPr>
          <w:rFonts w:ascii="Book Antiqua" w:hAnsi="Book Antiqua" w:cs="Times New Roman"/>
          <w:sz w:val="24"/>
          <w:szCs w:val="24"/>
        </w:rPr>
        <w:t>Englesbe</w:t>
      </w:r>
      <w:proofErr w:type="spellEnd"/>
      <w:r w:rsidR="00075EE5" w:rsidRPr="00B77A30">
        <w:rPr>
          <w:rFonts w:ascii="Book Antiqua" w:hAnsi="Book Antiqua" w:cs="Times New Roman"/>
          <w:i/>
          <w:sz w:val="24"/>
          <w:szCs w:val="24"/>
        </w:rPr>
        <w:t xml:space="preserve"> et al</w:t>
      </w:r>
      <w:r w:rsidR="00075EE5" w:rsidRPr="00B77A30">
        <w:rPr>
          <w:rFonts w:ascii="Book Antiqua" w:hAnsi="Book Antiqua" w:cs="Times New Roman"/>
          <w:sz w:val="24"/>
          <w:szCs w:val="24"/>
        </w:rPr>
        <w:fldChar w:fldCharType="begin" w:fldLock="1"/>
      </w:r>
      <w:r w:rsidR="00075EE5" w:rsidRPr="00B77A30">
        <w:rPr>
          <w:rFonts w:ascii="Book Antiqua" w:hAnsi="Book Antiqua" w:cs="Times New Roman"/>
          <w:sz w:val="24"/>
          <w:szCs w:val="24"/>
        </w:rPr>
        <w:instrText>ADDIN CSL_CITATION { "citationItems" : [ { "id" : "ITEM-1", "itemData" : { "DOI" : "10.1007/s11605-014-2680-4", "ISSN" : "1873-4626", "PMID" : "25389056", "abstract" : "BACKGROUND: Sarcopenia is a surrogate marker of patient frailty that estimates the physiologic reserve of an individual patient. We sought to investigate the impact of sarcopenia on short- and long-term outcomes in patients having undergone surgical intervention for primary hepatic malignancies.\n\nMETHODS: Ninety-six patients who underwent hepatic resection or liver transplantation for HCC or ICC at the John Hopkins Hospital between 2000 and 2013 met inclusion criteria. Sarcopenia was assessed by the measurement of total psoas major volume (TPV) and total psoas area (TPA). The impact of sarcopenia on perioperative complications and survival was assessed.\n\nRESULTS: Mean age was 61.9 years and most patients were men (61.4 %). Mean adjusted TPV was lower in women (23.3 cm(3)/m) versus men (34.9 cm(3)/m) (P\u2009&lt;\u20090.01); 47 patients (48.9 %) had sarcopenia. The incidence of a postoperative complication was 40.4 % among patients with sarcopenia versus 18.4 % among patients who did not have sarcopenia (P\u2009=\u20090.01). Of note, all Clavien grade \u22653 complications (n\u2009=\u200911, 23.4 %) occurred in the sarcopenic group. On multivariable analysis, the presence of sarcopenia was an independent predictive factor of postoperative complications (OR\u2009=\u20093.06). Sarcopenia was not associated with long-term survival (HR\u2009=\u20091.23; P\u2009=\u20090.51).\n\nCONCLUSIONS: Sarcopenia, as assessed by TPV, was an independent factor predictive of postoperative complications following surgical intervention for primary hepatic malignancies.", "author" : [ { "dropping-particle" : "", "family" : "Valero", "given" : "Vicente", "non-dropping-particle" : "", "parse-names" : false, "suffix" : "" }, { "dropping-particle" : "", "family" : "Amini", "given" : "Neda", "non-dropping-particle" : "", "parse-names" : false, "suffix" : "" }, { "dropping-particle" : "", "family" : "Spolverato", "given" : "Gaya", "non-dropping-particle" : "", "parse-names" : false, "suffix" : "" }, { "dropping-particle" : "", "family" : "Weiss", "given" : "Matthew J", "non-dropping-particle" : "", "parse-names" : false, "suffix" : "" }, { "dropping-particle" : "", "family" : "Hirose", "given" : "Kenzo", "non-dropping-particle" : "", "parse-names" : false, "suffix" : "" }, { "dropping-particle" : "", "family" : "Dagher", "given" : "Nabil N", "non-dropping-particle" : "", "parse-names" : false, "suffix" : "" }, { "dropping-particle" : "", "family" : "Wolfgang", "given" : "Christopher L", "non-dropping-particle" : "", "parse-names" : false, "suffix" : "" }, { "dropping-particle" : "", "family" : "Cameron", "given" : "Andrew A", "non-dropping-particle" : "", "parse-names" : false, "suffix" : "" }, { "dropping-particle" : "", "family" : "Philosophe", "given" : "Benjamin", "non-dropping-particle" : "", "parse-names" : false, "suffix" : "" }, { "dropping-particle" : "", "family" : "Kamel", "given" : "Ihab R", "non-dropping-particle" : "", "parse-names" : false, "suffix" : "" }, { "dropping-particle" : "", "family" : "Pawlik", "given" : "Timothy M", "non-dropping-particle" : "", "parse-names" : false, "suffix" : "" } ], "container-title" : "Journal of gastrointestinal surgery : official journal of the Society for Surgery of the Alimentary Tract", "id" : "ITEM-1", "issue" : "2", "issued" : { "date-parts" : [ [ "2015", "3" ] ] }, "page" : "272-81", "title" : "Sarcopenia adversely impacts postoperative complications following resection or transplantation in patients with primary liver tumors.", "type" : "article-journal", "volume" : "19" }, "uris" : [ "http://www.mendeley.com/documents/?uuid=4073b87d-cebb-47b2-98aa-b7b349cd0d42" ] } ], "mendeley" : { "formattedCitation" : "&lt;sup&gt;[42]&lt;/sup&gt;", "plainTextFormattedCitation" : "[42]", "previouslyFormattedCitation" : "&lt;sup&gt;[42]&lt;/sup&gt;" }, "properties" : { "noteIndex" : 0 }, "schema" : "https://github.com/citation-style-language/schema/raw/master/csl-citation.json" }</w:instrText>
      </w:r>
      <w:r w:rsidR="00075EE5" w:rsidRPr="00B77A30">
        <w:rPr>
          <w:rFonts w:ascii="Book Antiqua" w:hAnsi="Book Antiqua" w:cs="Times New Roman"/>
          <w:sz w:val="24"/>
          <w:szCs w:val="24"/>
        </w:rPr>
        <w:fldChar w:fldCharType="separate"/>
      </w:r>
      <w:r w:rsidR="00075EE5" w:rsidRPr="00B77A30">
        <w:rPr>
          <w:rFonts w:ascii="Book Antiqua" w:hAnsi="Book Antiqua" w:cs="Times New Roman"/>
          <w:noProof/>
          <w:sz w:val="24"/>
          <w:szCs w:val="24"/>
          <w:vertAlign w:val="superscript"/>
        </w:rPr>
        <w:t>[</w:t>
      </w:r>
      <w:r w:rsidR="00075EE5" w:rsidRPr="00B77A30">
        <w:rPr>
          <w:rFonts w:ascii="Book Antiqua" w:hAnsi="Book Antiqua" w:cs="Times New Roman"/>
          <w:noProof/>
          <w:sz w:val="24"/>
          <w:szCs w:val="24"/>
          <w:vertAlign w:val="superscript"/>
          <w:lang w:eastAsia="zh-CN"/>
        </w:rPr>
        <w:t>43</w:t>
      </w:r>
      <w:r w:rsidR="00075EE5" w:rsidRPr="00B77A30">
        <w:rPr>
          <w:rFonts w:ascii="Book Antiqua" w:hAnsi="Book Antiqua" w:cs="Times New Roman"/>
          <w:noProof/>
          <w:sz w:val="24"/>
          <w:szCs w:val="24"/>
          <w:vertAlign w:val="superscript"/>
        </w:rPr>
        <w:t>]</w:t>
      </w:r>
      <w:r w:rsidR="00075EE5" w:rsidRPr="00B77A30">
        <w:rPr>
          <w:rFonts w:ascii="Book Antiqua" w:hAnsi="Book Antiqua" w:cs="Times New Roman"/>
          <w:sz w:val="24"/>
          <w:szCs w:val="24"/>
        </w:rPr>
        <w:fldChar w:fldCharType="end"/>
      </w:r>
      <w:r w:rsidRPr="00B77A30">
        <w:rPr>
          <w:rFonts w:ascii="Book Antiqua" w:hAnsi="Book Antiqua" w:cs="Times New Roman"/>
          <w:sz w:val="24"/>
          <w:szCs w:val="24"/>
        </w:rPr>
        <w:t xml:space="preserve"> noted that psoas area correlated poorly with MELD score and serum albumin.</w:t>
      </w:r>
      <w:r w:rsidR="00075EE5"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Central sarcopenia strongly correlated with mortality after liver transplantation, as 1-year survival was 49.7% among transplant recipients with the smallest psoas </w:t>
      </w:r>
      <w:r w:rsidRPr="00B77A30">
        <w:rPr>
          <w:rFonts w:ascii="Book Antiqua" w:hAnsi="Book Antiqua" w:cs="Times New Roman"/>
          <w:i/>
          <w:sz w:val="24"/>
          <w:szCs w:val="24"/>
        </w:rPr>
        <w:t>vs</w:t>
      </w:r>
      <w:r w:rsidRPr="00B77A30">
        <w:rPr>
          <w:rFonts w:ascii="Book Antiqua" w:hAnsi="Book Antiqua" w:cs="Times New Roman"/>
          <w:sz w:val="24"/>
          <w:szCs w:val="24"/>
        </w:rPr>
        <w:t xml:space="preserve"> 87.0% among transplant recipients with the largest psoas area. </w:t>
      </w:r>
      <w:proofErr w:type="spellStart"/>
      <w:r w:rsidRPr="00B77A30">
        <w:rPr>
          <w:rFonts w:ascii="Book Antiqua" w:hAnsi="Book Antiqua" w:cs="Times New Roman"/>
          <w:sz w:val="24"/>
          <w:szCs w:val="24"/>
        </w:rPr>
        <w:t>Kaido</w:t>
      </w:r>
      <w:proofErr w:type="spellEnd"/>
      <w:r w:rsidRPr="00B77A30">
        <w:rPr>
          <w:rFonts w:ascii="Book Antiqua" w:hAnsi="Book Antiqua" w:cs="Times New Roman"/>
          <w:sz w:val="24"/>
          <w:szCs w:val="24"/>
        </w:rPr>
        <w:t xml:space="preserve"> </w:t>
      </w:r>
      <w:r w:rsidR="00075EE5" w:rsidRPr="00B77A30">
        <w:rPr>
          <w:rFonts w:ascii="Book Antiqua" w:hAnsi="Book Antiqua" w:cs="Times New Roman"/>
          <w:i/>
          <w:sz w:val="24"/>
          <w:szCs w:val="24"/>
        </w:rPr>
        <w:t>et al</w:t>
      </w:r>
      <w:r w:rsidR="00075EE5" w:rsidRPr="00B77A30">
        <w:rPr>
          <w:rFonts w:ascii="Book Antiqua" w:hAnsi="Book Antiqua" w:cs="Times New Roman"/>
          <w:sz w:val="24"/>
          <w:szCs w:val="24"/>
        </w:rPr>
        <w:fldChar w:fldCharType="begin" w:fldLock="1"/>
      </w:r>
      <w:r w:rsidR="00075EE5" w:rsidRPr="00B77A30">
        <w:rPr>
          <w:rFonts w:ascii="Book Antiqua" w:hAnsi="Book Antiqua" w:cs="Times New Roman"/>
          <w:sz w:val="24"/>
          <w:szCs w:val="24"/>
        </w:rPr>
        <w:instrText>ADDIN CSL_CITATION { "citationItems" : [ { "id" : "ITEM-1", "itemData" : { "DOI" : "10.1007/s11605-014-2680-4", "ISSN" : "1873-4626", "PMID" : "25389056", "abstract" : "BACKGROUND: Sarcopenia is a surrogate marker of patient frailty that estimates the physiologic reserve of an individual patient. We sought to investigate the impact of sarcopenia on short- and long-term outcomes in patients having undergone surgical intervention for primary hepatic malignancies.\n\nMETHODS: Ninety-six patients who underwent hepatic resection or liver transplantation for HCC or ICC at the John Hopkins Hospital between 2000 and 2013 met inclusion criteria. Sarcopenia was assessed by the measurement of total psoas major volume (TPV) and total psoas area (TPA). The impact of sarcopenia on perioperative complications and survival was assessed.\n\nRESULTS: Mean age was 61.9 years and most patients were men (61.4 %). Mean adjusted TPV was lower in women (23.3 cm(3)/m) versus men (34.9 cm(3)/m) (P\u2009&lt;\u20090.01); 47 patients (48.9 %) had sarcopenia. The incidence of a postoperative complication was 40.4 % among patients with sarcopenia versus 18.4 % among patients who did not have sarcopenia (P\u2009=\u20090.01). Of note, all Clavien grade \u22653 complications (n\u2009=\u200911, 23.4 %) occurred in the sarcopenic group. On multivariable analysis, the presence of sarcopenia was an independent predictive factor of postoperative complications (OR\u2009=\u20093.06). Sarcopenia was not associated with long-term survival (HR\u2009=\u20091.23; P\u2009=\u20090.51).\n\nCONCLUSIONS: Sarcopenia, as assessed by TPV, was an independent factor predictive of postoperative complications following surgical intervention for primary hepatic malignancies.", "author" : [ { "dropping-particle" : "", "family" : "Valero", "given" : "Vicente", "non-dropping-particle" : "", "parse-names" : false, "suffix" : "" }, { "dropping-particle" : "", "family" : "Amini", "given" : "Neda", "non-dropping-particle" : "", "parse-names" : false, "suffix" : "" }, { "dropping-particle" : "", "family" : "Spolverato", "given" : "Gaya", "non-dropping-particle" : "", "parse-names" : false, "suffix" : "" }, { "dropping-particle" : "", "family" : "Weiss", "given" : "Matthew J", "non-dropping-particle" : "", "parse-names" : false, "suffix" : "" }, { "dropping-particle" : "", "family" : "Hirose", "given" : "Kenzo", "non-dropping-particle" : "", "parse-names" : false, "suffix" : "" }, { "dropping-particle" : "", "family" : "Dagher", "given" : "Nabil N", "non-dropping-particle" : "", "parse-names" : false, "suffix" : "" }, { "dropping-particle" : "", "family" : "Wolfgang", "given" : "Christopher L", "non-dropping-particle" : "", "parse-names" : false, "suffix" : "" }, { "dropping-particle" : "", "family" : "Cameron", "given" : "Andrew A", "non-dropping-particle" : "", "parse-names" : false, "suffix" : "" }, { "dropping-particle" : "", "family" : "Philosophe", "given" : "Benjamin", "non-dropping-particle" : "", "parse-names" : false, "suffix" : "" }, { "dropping-particle" : "", "family" : "Kamel", "given" : "Ihab R", "non-dropping-particle" : "", "parse-names" : false, "suffix" : "" }, { "dropping-particle" : "", "family" : "Pawlik", "given" : "Timothy M", "non-dropping-particle" : "", "parse-names" : false, "suffix" : "" } ], "container-title" : "Journal of gastrointestinal surgery : official journal of the Society for Surgery of the Alimentary Tract", "id" : "ITEM-1", "issue" : "2", "issued" : { "date-parts" : [ [ "2015", "3" ] ] }, "page" : "272-81", "title" : "Sarcopenia adversely impacts postoperative complications following resection or transplantation in patients with primary liver tumors.", "type" : "article-journal", "volume" : "19" }, "uris" : [ "http://www.mendeley.com/documents/?uuid=4073b87d-cebb-47b2-98aa-b7b349cd0d42" ] } ], "mendeley" : { "formattedCitation" : "&lt;sup&gt;[42]&lt;/sup&gt;", "plainTextFormattedCitation" : "[42]", "previouslyFormattedCitation" : "&lt;sup&gt;[42]&lt;/sup&gt;" }, "properties" : { "noteIndex" : 0 }, "schema" : "https://github.com/citation-style-language/schema/raw/master/csl-citation.json" }</w:instrText>
      </w:r>
      <w:r w:rsidR="00075EE5" w:rsidRPr="00B77A30">
        <w:rPr>
          <w:rFonts w:ascii="Book Antiqua" w:hAnsi="Book Antiqua" w:cs="Times New Roman"/>
          <w:sz w:val="24"/>
          <w:szCs w:val="24"/>
        </w:rPr>
        <w:fldChar w:fldCharType="separate"/>
      </w:r>
      <w:r w:rsidR="00075EE5" w:rsidRPr="00B77A30">
        <w:rPr>
          <w:rFonts w:ascii="Book Antiqua" w:hAnsi="Book Antiqua" w:cs="Times New Roman"/>
          <w:noProof/>
          <w:sz w:val="24"/>
          <w:szCs w:val="24"/>
          <w:vertAlign w:val="superscript"/>
        </w:rPr>
        <w:t>[</w:t>
      </w:r>
      <w:r w:rsidR="00075EE5" w:rsidRPr="00B77A30">
        <w:rPr>
          <w:rFonts w:ascii="Book Antiqua" w:hAnsi="Book Antiqua" w:cs="Times New Roman"/>
          <w:noProof/>
          <w:sz w:val="24"/>
          <w:szCs w:val="24"/>
          <w:vertAlign w:val="superscript"/>
          <w:lang w:eastAsia="zh-CN"/>
        </w:rPr>
        <w:t>32</w:t>
      </w:r>
      <w:r w:rsidR="00075EE5" w:rsidRPr="00B77A30">
        <w:rPr>
          <w:rFonts w:ascii="Book Antiqua" w:hAnsi="Book Antiqua" w:cs="Times New Roman"/>
          <w:noProof/>
          <w:sz w:val="24"/>
          <w:szCs w:val="24"/>
          <w:vertAlign w:val="superscript"/>
        </w:rPr>
        <w:t>]</w:t>
      </w:r>
      <w:r w:rsidR="00075EE5" w:rsidRPr="00B77A30">
        <w:rPr>
          <w:rFonts w:ascii="Book Antiqua" w:hAnsi="Book Antiqua" w:cs="Times New Roman"/>
          <w:sz w:val="24"/>
          <w:szCs w:val="24"/>
        </w:rPr>
        <w:fldChar w:fldCharType="end"/>
      </w:r>
      <w:r w:rsidR="00075EE5"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reported a similar effect on a cohort of 124 living donor liver transplant patients in 2013. In this study the overall survival rate in patients with low skeletal muscle mass was significantly lower than in patients with normal/high skeletal muscle mass (</w:t>
      </w:r>
      <w:r w:rsidR="00075EE5" w:rsidRPr="00B77A30">
        <w:rPr>
          <w:rFonts w:ascii="Book Antiqua" w:hAnsi="Book Antiqua" w:cs="Times New Roman"/>
          <w:i/>
          <w:sz w:val="24"/>
          <w:szCs w:val="24"/>
        </w:rPr>
        <w:t>P</w:t>
      </w:r>
      <w:r w:rsidRPr="00B77A30">
        <w:rPr>
          <w:rFonts w:ascii="Book Antiqua" w:hAnsi="Book Antiqua" w:cs="Times New Roman"/>
          <w:sz w:val="24"/>
          <w:szCs w:val="24"/>
        </w:rPr>
        <w:t xml:space="preserve"> &lt; 0.001). Other studies have similarly noted that morphometric age correlated with morbidity and mortality after liver transplantation with better discrimination than chronological age</w:t>
      </w:r>
      <w:r w:rsidR="007D7546" w:rsidRPr="00B77A30">
        <w:rPr>
          <w:rFonts w:ascii="Book Antiqua" w:hAnsi="Book Antiqua" w:cs="Times New Roman"/>
          <w:sz w:val="24"/>
          <w:szCs w:val="24"/>
        </w:rPr>
        <w:fldChar w:fldCharType="begin" w:fldLock="1"/>
      </w:r>
      <w:r w:rsidR="007D7546" w:rsidRPr="00B77A30">
        <w:rPr>
          <w:rFonts w:ascii="Book Antiqua" w:hAnsi="Book Antiqua" w:cs="Times New Roman"/>
          <w:sz w:val="24"/>
          <w:szCs w:val="24"/>
        </w:rPr>
        <w:instrText>ADDIN CSL_CITATION { "citationItems" : [ { "id" : "ITEM-1", "itemData" : { "DOI" : "10.1001/jamasurg.2013.4823", "ISSN" : "2168-6262", "PMID" : "24500820", "abstract" : "IMPORTANCE: Morphometric assessment has emerged as a strong predictor of postoperative morbidity and mortality. However, a gap exists in translating this knowledge to bedside decision making. We introduced a novel measure of patient-centered surgical risk assessment: morphometric age.\n\nOBJECTIVE: To investigate the relationship between morphometric age and posttransplant survival.\n\nDATA SOURCES: Medical records of recipients of deceased-donor liver transplants (study population) and kidney donors/trauma patients (morphometric age control population).\n\nSTUDY SELECTION: A retrospective cohort study of 348 liver transplant patients and 3313 control patients. We assessed medical records for validated morphometric characteristics of aging (psoas area, psoas density, and abdominal aortic calcification). We created a model (stratified by sex) for a morphometric age equation, which we then calculated for the control population using multivariate linear regression modeling (covariates). These models were then applied to the study population to determine each patient's morphometric age.\n\nDATA EXTRACTION AND SYNTHESIS: All analytic steps related to measuring morphometric characteristics were obtained via custom algorithms programmed into commercially available software. An independent observer confirmed all algorithm outputs. Trained assistants performed medical record review to obtain patient characteristics.\n\nRESULTS: Cox proportional hazards regression model showed that morphometric age was a significant independent predictor of overall mortality (hazard ratio, 1.03 per morphometric year [95% CI, 1.02-1.04; P\u2009&lt;\u2009.001]) after liver transplant. Chronologic age was not a significant covariate for survival (hazard ratio, 1.02 per year [95% CI, 0.99-1.04; P\u2009=\u2009.21]). Morphometric age stratified patients at high and low risk for mortality. For example, patients in the middle chronologic age tertile who jumped to the oldest morphometric tertile have worse outcomes than those who jumped to the youngest morphometric tertile (74.4% vs 93.2% survival at 1 year [P\u2009=\u2009.03]; 45.2% vs 75.0% at 5 years [P\u2009=\u2009.03]).\n\nCONCLUSIONS AND RELEVANCE: Morphometric age correlated with mortality after liver transplant with better discrimination than chronologic age. Assigning a morphometric age to potential liver transplant recipients could improve prediction of postoperative mortality risk.", "author" : [ { "dropping-particle" : "", "family" : "Waits", "given" : "Seth A", "non-dropping-particle" : "", "parse-names" : false, "suffix" : "" }, { "dropping-particle" : "", "family" : "Kim", "given" : "Edward K", "non-dropping-particle" : "", "parse-names" : false, "suffix" : "" }, { "dropping-particle" : "", "family" : "Terjimanian", "given" : "Michael N", "non-dropping-particle" : "", "parse-names" : false, "suffix" : "" }, { "dropping-particle" : "", "family" : "Tishberg", "given" : "Lindsay M", "non-dropping-particle" : "", "parse-names" : false, "suffix" : "" }, { "dropping-particle" : "", "family" : "Harbaugh", "given" : "Calista M", "non-dropping-particle" : "", "parse-names" : false, "suffix" : "" }, { "dropping-particle" : "", "family" : "Sheetz", "given" : "Kyle H", "non-dropping-particle" : "", "parse-names" : false, "suffix" : "" }, { "dropping-particle" : "", "family" : "Sonnenday", "given" : "Christopher J", "non-dropping-particle" : "", "parse-names" : false, "suffix" : "" }, { "dropping-particle" : "", "family" : "Sullivan", "given" : "June", "non-dropping-particle" : "", "parse-names" : false, "suffix" : "" }, { "dropping-particle" : "", "family" : "Wang", "given" : "Stewart C", "non-dropping-particle" : "", "parse-names" : false, "suffix" : "" }, { "dropping-particle" : "", "family" : "Englesbe", "given" : "Michael J", "non-dropping-particle" : "", "parse-names" : false, "suffix" : "" } ], "container-title" : "JAMA surgery", "id" : "ITEM-1", "issue" : "4", "issued" : { "date-parts" : [ [ "2014", "4" ] ] }, "page" : "335-40", "title" : "Morphometric age and mortality after liver transplant.", "type" : "article-journal", "volume" : "149" }, "uris" : [ "http://www.mendeley.com/documents/?uuid=f06eab95-778b-4e62-856a-3f72519e4b7a" ] }, { "id" : "ITEM-2", "itemData" : { "DOI" : "10.1002/lt.23811", "ISSN" : "1527-6473", "PMID" : "24357065", "abstract" : "The aims of this study were to investigate sarcopenia as a novel predictor of mortality and sepsis after living donor liver transplantation (LDLT) and to evaluate the effects of early enteral nutrition on patients with sarcopenia. Two hundred four patients undergoing preoperative computed tomography within the month before LDLT were retrospectively evaluated. The lengths of the major and minor axes of the psoas muscle were simply measured at the caudal end of the third lumbar vertebra, and the area of the psoas muscle was calculated. A psoas muscle area lower than the 5th percentile for healthy donors of each sex was defined as sarcopenia. Ninety-six of the 204 patients (47.1%), including 58.3% (60/103) of the male patients and 35.6% (36/101) of the female patients, were diagnosed with sarcopenia. Sarcopenia was independently and significantly associated with overall survival: there was an approximately 2-fold higher risk of death for patients with sarcopenia versus patients without sarcopenia (hazard ratio = 2.06, P = 0.047). Sarcopenia was an independent predictor of postoperative sepsis (hazard ratio = 5.31, P = 0.009). Other independent predictors were a younger recipient age (P &lt; 0.001) and a higher body mass index (P = 0.02). Early enteral nutrition within the first 48 hours after LDLT was performed for 24.2% in 2003-2007 and for 100% in 2008-2011, and the incidence of postoperative sepsis for patients with sarcopenia (n = 96) was 28.2% (11/39) in 2003-2007 and 10.5% (6/57) in 2008-2011 (P = 0.03). In conclusion, sarcopenia is an independent predictor of mortality and sepsis after LDLT. The incidence of postoperative sepsis was reduced even in patients with sarcopenia after the routine application of early enteral nutrition.", "author" : [ { "dropping-particle" : "", "family" : "Masuda", "given" : "Toshiro", "non-dropping-particle" : "", "parse-names" : false, "suffix" : "" }, { "dropping-particle" : "", "family" : "Shirabe", "given" : "Ken", "non-dropping-particle" : "", "parse-names" : false, "suffix" : "" }, { "dropping-particle" : "", "family" : "Ikegami", "given" : "Toru", "non-dropping-particle" : "", "parse-names" : false, "suffix" : "" }, { "dropping-particle" : "", "family" : "Harimoto", "given" : "Norifumi", "non-dropping-particle" : "", "parse-names" : false, "suffix" : "" }, { "dropping-particle" : "", "family" : "Yoshizumi", "given" : "Tomoharu", "non-dropping-particle" : "", "parse-names" : false, "suffix" : "" }, { "dropping-particle" : "", "family" : "Soejima", "given" : "Yuji", "non-dropping-particle" : "", "parse-names" : false, "suffix" : "" }, { "dropping-particle" : "", "family" : "Uchiyama", "given" : "Hideaki", "non-dropping-particle" : "", "parse-names" : false, "suffix" : "" }, { "dropping-particle" : "", "family" : "Ikeda", "given" : "Tetsuo", "non-dropping-particle" : "", "parse-names" : false, "suffix" : "" }, { "dropping-particle" : "", "family" : "Baba", "given" : "Hideo", "non-dropping-particle" : "", "parse-names" : false, "suffix" : "" }, { "dropping-particle" : "", "family" : "Maehara", "given" : "Yoshihiko", "non-dropping-particle" : "", "parse-names" : false, "suffix" : "" } ], "container-title" : "Liver transplantation : official publication of the American Association for the Study of Liver Diseases and the International Liver Transplantation Society", "id" : "ITEM-2", "issue" : "4", "issued" : { "date-parts" : [ [ "2014", "4" ] ] }, "page" : "401-7", "title" : "Sarcopenia is a prognostic factor in living donor liver transplantation.", "type" : "article-journal", "volume" : "20" }, "uris" : [ "http://www.mendeley.com/documents/?uuid=213f016c-086c-4bca-a7c4-042a7c6cb6ad" ] } ], "mendeley" : { "formattedCitation" : "&lt;sup&gt;[44,76]&lt;/sup&gt;", "plainTextFormattedCitation" : "[44,76]", "previouslyFormattedCitation" : "&lt;sup&gt;[44,76]&lt;/sup&gt;" }, "properties" : { "noteIndex" : 0 }, "schema" : "https://github.com/citation-style-language/schema/raw/master/csl-citation.json" }</w:instrText>
      </w:r>
      <w:r w:rsidR="007D7546" w:rsidRPr="00B77A30">
        <w:rPr>
          <w:rFonts w:ascii="Book Antiqua" w:hAnsi="Book Antiqua" w:cs="Times New Roman"/>
          <w:sz w:val="24"/>
          <w:szCs w:val="24"/>
        </w:rPr>
        <w:fldChar w:fldCharType="separate"/>
      </w:r>
      <w:r w:rsidR="007D7546" w:rsidRPr="00B77A30">
        <w:rPr>
          <w:rFonts w:ascii="Book Antiqua" w:hAnsi="Book Antiqua" w:cs="Times New Roman"/>
          <w:noProof/>
          <w:sz w:val="24"/>
          <w:szCs w:val="24"/>
          <w:vertAlign w:val="superscript"/>
        </w:rPr>
        <w:t>[44,76]</w:t>
      </w:r>
      <w:r w:rsidR="007D7546" w:rsidRPr="00B77A30">
        <w:rPr>
          <w:rFonts w:ascii="Book Antiqua" w:hAnsi="Book Antiqua" w:cs="Times New Roman"/>
          <w:sz w:val="24"/>
          <w:szCs w:val="24"/>
        </w:rPr>
        <w:fldChar w:fldCharType="end"/>
      </w:r>
      <w:r w:rsidR="00075EE5" w:rsidRPr="00B77A30">
        <w:rPr>
          <w:rFonts w:ascii="Book Antiqua" w:hAnsi="Book Antiqua" w:cs="Times New Roman"/>
          <w:sz w:val="24"/>
          <w:szCs w:val="24"/>
          <w:lang w:eastAsia="zh-CN"/>
        </w:rPr>
        <w:t>.</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Sarcopenia has similarly been demonstrated to be an important prognostic factor for patients undergoing liver resection for colorectal liver metastasis. Peng </w:t>
      </w:r>
      <w:r w:rsidRPr="00B77A30">
        <w:rPr>
          <w:rFonts w:ascii="Book Antiqua" w:hAnsi="Book Antiqua" w:cs="Times New Roman"/>
          <w:i/>
          <w:sz w:val="24"/>
          <w:szCs w:val="24"/>
        </w:rPr>
        <w:t>et al</w:t>
      </w:r>
      <w:r w:rsidR="00075EE5" w:rsidRPr="00B77A30">
        <w:rPr>
          <w:rFonts w:ascii="Book Antiqua" w:hAnsi="Book Antiqua" w:cs="Times New Roman"/>
          <w:sz w:val="24"/>
          <w:szCs w:val="24"/>
        </w:rPr>
        <w:fldChar w:fldCharType="begin" w:fldLock="1"/>
      </w:r>
      <w:r w:rsidR="00075EE5" w:rsidRPr="00B77A30">
        <w:rPr>
          <w:rFonts w:ascii="Book Antiqua" w:hAnsi="Book Antiqua" w:cs="Times New Roman"/>
          <w:sz w:val="24"/>
          <w:szCs w:val="24"/>
        </w:rPr>
        <w:instrText>ADDIN CSL_CITATION { "citationItems" : [ { "id" : "ITEM-1", "itemData" : { "DOI" : "10.1111/j.1477-2574.2011.00301.x", "ISSN" : "1477-2574", "PMID" : "21689226", "abstract" : "BACKGROUND: As indications for liver resection expand, objective measures to assess the risk of peri-operative morbidity are needed. The impact of sarcopenia on patients undergoing liver resection for colorectal liver metastasis (CRLM) was investigated.\n\nMETHODS: Sarcopenia was assessed in 259 patients undergoing liver resection for CRLM by measuring total psoas area (TPA) on computed tomography (CT). The impact of sarcopenia was assessed after controlling for clinicopathological factors using multivariate modelling.\n\nRESULTS: Median patient age was 58 years and most patients (60%) were male. Forty-one (16%) patients had sarcopenia (TPA \u2264 500 mm(2) /m(2) ). Post-operatively, 60 patients had a complication for an overall morbidity of 23%; 26 patients (10%) had a major complication (Clavien grade \u22653). The presence of sarcopenia was strongly associated with an increased risk of major post-operative complications [odds ratio (OR) 3.33; P= 0.008]. Patients with sarcopenia had longer hospital stays (6.6 vs. 5.4 days; P= 0.03) and a higher chance of an extended intensive care unit (ICU) stay (&gt;2 days; P= 0.004). On multivariate analysis, sarcopenia remained independently associated with an increased risk of post-operative complications (OR 3.12; P= 0.02). Sarcopenia was not significantly associated with recurrence-free [hazard ratio (HR) = 1.07] or overall (HR = 1.05) survival (both P &gt; 0.05).\n\nCONCLUSIONS: Sarcopenia impacts short-, but not long-term outcomes after resection of CRLM. While patients with sarcopenia are at an increased risk of post-operative morbidity and longer hospital stay, long-term survival is not impacted by the presence of sarcopenia.", "author" : [ { "dropping-particle" : "", "family" : "Peng", "given" : "Peter D", "non-dropping-particle" : "", "parse-names" : false, "suffix" : "" }, { "dropping-particle" : "", "family" : "Vledder", "given" : "Mark G", "non-dropping-particle" : "van", "parse-names" : false, "suffix" : "" }, { "dropping-particle" : "", "family" : "Tsai", "given" : "Susan", "non-dropping-particle" : "", "parse-names" : false, "suffix" : "" }, { "dropping-particle" : "", "family" : "Jong", "given" : "Mechteld C", "non-dropping-particle" : "de", "parse-names" : false, "suffix" : "" }, { "dropping-particle" : "", "family" : "Makary", "given" : "Martin", "non-dropping-particle" : "", "parse-names" : false, "suffix" : "" }, { "dropping-particle" : "", "family" : "Ng", "given" : "Julie", "non-dropping-particle" : "", "parse-names" : false, "suffix" : "" }, { "dropping-particle" : "", "family" : "Edil", "given" : "Barish H", "non-dropping-particle" : "", "parse-names" : false, "suffix" : "" }, { "dropping-particle" : "", "family" : "Wolfgang", "given" : "Christopher L", "non-dropping-particle" : "", "parse-names" : false, "suffix" : "" }, { "dropping-particle" : "", "family" : "Schulick", "given" : "Richard D", "non-dropping-particle" : "", "parse-names" : false, "suffix" : "" }, { "dropping-particle" : "", "family" : "Choti", "given" : "Michael A", "non-dropping-particle" : "", "parse-names" : false, "suffix" : "" }, { "dropping-particle" : "", "family" : "Kamel", "given" : "Ihab", "non-dropping-particle" : "", "parse-names" : false, "suffix" : "" }, { "dropping-particle" : "", "family" : "Pawlik", "given" : "Timothy M", "non-dropping-particle" : "", "parse-names" : false, "suffix" : "" } ], "container-title" : "HPB : the official journal of the International Hepato Pancreato Biliary Association", "id" : "ITEM-1", "issue" : "7", "issued" : { "date-parts" : [ [ "2011", "7" ] ] }, "page" : "439-46", "title" : "Sarcopenia negatively impacts short-term outcomes in patients undergoing hepatic resection for colorectal liver metastasis.", "type" : "article-journal", "volume" : "13" }, "uris" : [ "http://www.mendeley.com/documents/?uuid=640e02ad-59f1-46de-9854-951ab22a2c6f" ] } ], "mendeley" : { "formattedCitation" : "&lt;sup&gt;[46]&lt;/sup&gt;", "plainTextFormattedCitation" : "[46]", "previouslyFormattedCitation" : "&lt;sup&gt;[46]&lt;/sup&gt;" }, "properties" : { "noteIndex" : 0 }, "schema" : "https://github.com/citation-style-language/schema/raw/master/csl-citation.json" }</w:instrText>
      </w:r>
      <w:r w:rsidR="00075EE5" w:rsidRPr="00B77A30">
        <w:rPr>
          <w:rFonts w:ascii="Book Antiqua" w:hAnsi="Book Antiqua" w:cs="Times New Roman"/>
          <w:sz w:val="24"/>
          <w:szCs w:val="24"/>
        </w:rPr>
        <w:fldChar w:fldCharType="separate"/>
      </w:r>
      <w:r w:rsidR="00075EE5" w:rsidRPr="00B77A30">
        <w:rPr>
          <w:rFonts w:ascii="Book Antiqua" w:hAnsi="Book Antiqua" w:cs="Times New Roman"/>
          <w:noProof/>
          <w:sz w:val="24"/>
          <w:szCs w:val="24"/>
          <w:vertAlign w:val="superscript"/>
        </w:rPr>
        <w:t>[46]</w:t>
      </w:r>
      <w:r w:rsidR="00075EE5" w:rsidRPr="00B77A30">
        <w:rPr>
          <w:rFonts w:ascii="Book Antiqua" w:hAnsi="Book Antiqua" w:cs="Times New Roman"/>
          <w:sz w:val="24"/>
          <w:szCs w:val="24"/>
        </w:rPr>
        <w:fldChar w:fldCharType="end"/>
      </w:r>
      <w:r w:rsidRPr="00B77A30">
        <w:rPr>
          <w:rFonts w:ascii="Book Antiqua" w:hAnsi="Book Antiqua" w:cs="Times New Roman"/>
          <w:sz w:val="24"/>
          <w:szCs w:val="24"/>
        </w:rPr>
        <w:t xml:space="preserve"> reported that sarcopenia was strongly associated with an increased risk of major complications, extended intensive care unit stay, and a longe</w:t>
      </w:r>
      <w:r w:rsidR="00075EE5" w:rsidRPr="00B77A30">
        <w:rPr>
          <w:rFonts w:ascii="Book Antiqua" w:hAnsi="Book Antiqua" w:cs="Times New Roman"/>
          <w:sz w:val="24"/>
          <w:szCs w:val="24"/>
        </w:rPr>
        <w:t>r overall hospital</w:t>
      </w:r>
      <w:r w:rsidR="00075EE5" w:rsidRPr="00B77A30">
        <w:rPr>
          <w:rFonts w:ascii="Book Antiqua" w:hAnsi="Book Antiqua" w:cs="Times New Roman"/>
          <w:sz w:val="24"/>
          <w:szCs w:val="24"/>
          <w:lang w:eastAsia="zh-CN"/>
        </w:rPr>
        <w:t>.</w:t>
      </w:r>
    </w:p>
    <w:p w14:paraId="518E0B6D" w14:textId="77777777" w:rsidR="00075EE5" w:rsidRPr="00B77A30" w:rsidRDefault="00075EE5" w:rsidP="00CB2DFE">
      <w:pPr>
        <w:spacing w:after="0" w:line="360" w:lineRule="auto"/>
        <w:jc w:val="both"/>
        <w:rPr>
          <w:rFonts w:ascii="Book Antiqua" w:hAnsi="Book Antiqua" w:cs="Times New Roman"/>
          <w:sz w:val="24"/>
          <w:szCs w:val="24"/>
          <w:lang w:eastAsia="zh-CN"/>
        </w:rPr>
      </w:pPr>
    </w:p>
    <w:p w14:paraId="294241E7" w14:textId="77777777" w:rsidR="00075EE5" w:rsidRPr="00B77A30" w:rsidRDefault="005A19AC" w:rsidP="00CB2DFE">
      <w:pPr>
        <w:spacing w:after="0" w:line="360" w:lineRule="auto"/>
        <w:jc w:val="both"/>
        <w:rPr>
          <w:rFonts w:ascii="Book Antiqua" w:hAnsi="Book Antiqua" w:cs="Times New Roman"/>
          <w:b/>
          <w:i/>
          <w:sz w:val="24"/>
          <w:szCs w:val="24"/>
          <w:lang w:eastAsia="zh-CN"/>
        </w:rPr>
      </w:pPr>
      <w:r w:rsidRPr="00B77A30">
        <w:rPr>
          <w:rFonts w:ascii="Book Antiqua" w:hAnsi="Book Antiqua" w:cs="Times New Roman"/>
          <w:b/>
          <w:i/>
          <w:sz w:val="24"/>
          <w:szCs w:val="24"/>
        </w:rPr>
        <w:t>Sarcopenia and</w:t>
      </w:r>
      <w:r w:rsidR="00075EE5" w:rsidRPr="00B77A30">
        <w:rPr>
          <w:rFonts w:ascii="Book Antiqua" w:hAnsi="Book Antiqua" w:cs="Times New Roman"/>
          <w:b/>
          <w:i/>
          <w:sz w:val="24"/>
          <w:szCs w:val="24"/>
        </w:rPr>
        <w:t xml:space="preserve"> </w:t>
      </w:r>
      <w:proofErr w:type="spellStart"/>
      <w:r w:rsidR="00075EE5" w:rsidRPr="00B77A30">
        <w:rPr>
          <w:rFonts w:ascii="Book Antiqua" w:hAnsi="Book Antiqua" w:cs="Times New Roman"/>
          <w:b/>
          <w:i/>
          <w:sz w:val="24"/>
          <w:szCs w:val="24"/>
        </w:rPr>
        <w:t>hepato</w:t>
      </w:r>
      <w:proofErr w:type="spellEnd"/>
      <w:r w:rsidR="00075EE5" w:rsidRPr="00B77A30">
        <w:rPr>
          <w:rFonts w:ascii="Book Antiqua" w:hAnsi="Book Antiqua" w:cs="Times New Roman"/>
          <w:b/>
          <w:i/>
          <w:sz w:val="24"/>
          <w:szCs w:val="24"/>
        </w:rPr>
        <w:t xml:space="preserve"> </w:t>
      </w:r>
      <w:proofErr w:type="spellStart"/>
      <w:r w:rsidR="00075EE5" w:rsidRPr="00B77A30">
        <w:rPr>
          <w:rFonts w:ascii="Book Antiqua" w:hAnsi="Book Antiqua" w:cs="Times New Roman"/>
          <w:b/>
          <w:i/>
          <w:sz w:val="24"/>
          <w:szCs w:val="24"/>
        </w:rPr>
        <w:t>pancreatico</w:t>
      </w:r>
      <w:proofErr w:type="spellEnd"/>
      <w:r w:rsidR="00075EE5" w:rsidRPr="00B77A30">
        <w:rPr>
          <w:rFonts w:ascii="Book Antiqua" w:hAnsi="Book Antiqua" w:cs="Times New Roman"/>
          <w:b/>
          <w:i/>
          <w:sz w:val="24"/>
          <w:szCs w:val="24"/>
        </w:rPr>
        <w:t xml:space="preserve"> biliary malignancies</w:t>
      </w:r>
      <w:r w:rsidR="00075EE5" w:rsidRPr="00B77A30">
        <w:rPr>
          <w:rFonts w:ascii="Book Antiqua" w:hAnsi="Book Antiqua" w:cs="Times New Roman"/>
          <w:b/>
          <w:i/>
          <w:sz w:val="24"/>
          <w:szCs w:val="24"/>
        </w:rPr>
        <w:tab/>
      </w:r>
    </w:p>
    <w:p w14:paraId="50EB16EC" w14:textId="51706F05" w:rsidR="005A19AC" w:rsidRPr="00B77A30" w:rsidRDefault="005A19AC" w:rsidP="00CB2DFE">
      <w:pPr>
        <w:spacing w:after="0" w:line="360" w:lineRule="auto"/>
        <w:jc w:val="both"/>
        <w:rPr>
          <w:rFonts w:ascii="Book Antiqua" w:hAnsi="Book Antiqua" w:cs="Times New Roman"/>
          <w:b/>
          <w:i/>
          <w:sz w:val="24"/>
          <w:szCs w:val="24"/>
        </w:rPr>
      </w:pPr>
      <w:r w:rsidRPr="00B77A30">
        <w:rPr>
          <w:rFonts w:ascii="Book Antiqua" w:hAnsi="Book Antiqua" w:cs="Times New Roman"/>
          <w:sz w:val="24"/>
          <w:szCs w:val="24"/>
        </w:rPr>
        <w:t>Similar to liver resection, frailty and sarcopenia have not been widely assessed in patients after pancreatic operations.</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Several studies have reported that age is a risk </w:t>
      </w:r>
      <w:r w:rsidRPr="00B77A30">
        <w:rPr>
          <w:rFonts w:ascii="Book Antiqua" w:hAnsi="Book Antiqua" w:cs="Times New Roman"/>
          <w:sz w:val="24"/>
          <w:szCs w:val="24"/>
        </w:rPr>
        <w:lastRenderedPageBreak/>
        <w:t>factor for in</w:t>
      </w:r>
      <w:r w:rsidR="00075EE5" w:rsidRPr="00B77A30">
        <w:rPr>
          <w:rFonts w:ascii="Book Antiqua" w:hAnsi="Book Antiqua" w:cs="Times New Roman"/>
          <w:sz w:val="24"/>
          <w:szCs w:val="24"/>
        </w:rPr>
        <w:t>creased morbidity and mortality</w:t>
      </w:r>
      <w:r w:rsidR="007D7546" w:rsidRPr="00B77A30">
        <w:rPr>
          <w:rFonts w:ascii="Book Antiqua" w:hAnsi="Book Antiqua" w:cs="Times New Roman"/>
          <w:sz w:val="24"/>
          <w:szCs w:val="24"/>
        </w:rPr>
        <w:fldChar w:fldCharType="begin" w:fldLock="1"/>
      </w:r>
      <w:r w:rsidR="007D7546" w:rsidRPr="00B77A30">
        <w:rPr>
          <w:rFonts w:ascii="Book Antiqua" w:hAnsi="Book Antiqua" w:cs="Times New Roman"/>
          <w:sz w:val="24"/>
          <w:szCs w:val="24"/>
        </w:rPr>
        <w:instrText>ADDIN CSL_CITATION { "citationItems" : [ { "id" : "ITEM-1", "itemData" : { "DOI" : "10.1097/SLA.0b013e318185e1b3", "ISSN" : "0066-0833", "PMID" : "18791366", "abstract" : "OBJECTIVE: To use a large population-based cohort to determine age-dependent short-term outcomes after pancreatic resection.\n\nMETHODS: We identified all pancreatic resections in Texas from 1999 to 2005. Patients were stratified into 4 age groups (&lt;60, 60-69, 70-79, and 80+ years). Bivariate and multivariate analyses were performed to determine the effect of age on mortality, discharge to home versus requiring inpatient nursing care, and length of stay.\n\nRESULTS: Three thousand seven hundred and thirty-six patients underwent pancreatic resection. Unadjusted in-hospital mortality increased with each increasing age group from 2.4% in patients &lt;60 to 11.4% in patients 80 years and older (P &lt; 0.0001). Likewise, postoperative lengths of stay increased with each increasing age group (P = 0.02). Age group independently predicted the need for discharge to an inpatient nursing unit rather than home (P &lt; 0.0001), with the odds ration (OR) increasing with each increasing age group. With each increasing age group, patients were less likely to be resected at high-volume (H-V) hospitals (&gt;10 pancreatic resections/y). Whereas low-volume (L-V) hospitals (&lt; or =10 pancreatic resections/y) had higher mortality rates (3.2% versus 7.3%, P &lt; 0.0001), the difference in mortality between H- and L-V hospitals was more striking in older patients. With increasing age group, mortality increased from 3.0% to 9.5% to 11.4% to 14.7% at L-V hospitals. It increased from 2.0% to 3.5% to 4.5% to 8.7% at H-V hospitals (P &lt; 0.0001). In the multivariate model controlling for gender, race, hospital volume, year of surgery, diagnosis, risk of mortality, severity of illness, admission status, and procedure type, older age group independently predicted increased mortality. The OR for patients 60-69 years was 2.5 (P = 0.0003), the OR for patients 70-79 years was 1.8 (P = 0.02), and the OR for patients 80+ years was 4.4 (P &lt; 0.0001) when compared with patients &lt;60 years.\n\nCONCLUSIONS: In contrast to some previous single-institution studies, we found that increased age is an independent risk factor for mortality after pancreatic resection. For all ages, mortality rates were higher at L-V hospitals, but the difference worsened significantly with increasing age. Older patients had longer lengths of stay, were less likely to be discharged home, and more likely to require care at an inpatient nursing or acute care facility at the time of discharge.", "author" : [ { "dropping-particle" : "", "family" : "Riall", "given" : "Taylor S.", "non-dropping-particle" : "", "parse-names" : false, "suffix" : "" }, { "dropping-particle" : "", "family" : "Reddy", "given" : "Deepthi M.", "non-dropping-particle" : "", "parse-names" : false, "suffix" : "" }, { "dropping-particle" : "", "family" : "Nealon", "given" : "William H.", "non-dropping-particle" : "", "parse-names" : false, "suffix" : "" }, { "dropping-particle" : "", "family" : "Goodwin", "given" : "James S.", "non-dropping-particle" : "", "parse-names" : false, "suffix" : "" } ], "container-title" : "Transactions of the ... Meeting of the American Surgical Association", "id" : "ITEM-1", "issue" : "3", "issued" : { "date-parts" : [ [ "2008", "9" ] ] }, "page" : "109-117", "title" : "The Effect of Age on Short-term Outcomes After Pancreatic Resection", "type" : "article-journal", "volume" : "126" }, "uris" : [ "http://www.mendeley.com/documents/?uuid=5539477b-b7e4-45d0-b8c2-7305eb081368" ] }, { "id" : "ITEM-2", "itemData" : { "DOI" : "10.1016/j.surge.2011.02.005", "ISSN" : "1479-666X", "PMID" : "22525414", "abstract" : "BACKGROUND: Although mortality &amp; morbidity for pancreaticoduodenectomy (PD) have improved significantly over the last two decades, the concern for elderly undergoing PD remains. This study examines the outcome of the elderly patients who had pancreaticoduodenectomy in our institution.\n\nMETHODS: A prospective database comprising 69 patients who underwent pancreaticoduodenectomy between 2001 and May 2008 was analyzed. Using WHO definition, elderly patient is defined as age 65 and above in this study. Two groups of patients were compared [Group 1: Age \u226465 &amp; Group 2: Age &gt;65].\n\nRESULTS: The mean age of our patients was 62 \u00b1 11 years. There were 37 (54%) patients in Group 1 and 32 (46%) patients in Group 2. There was no statistical difference between the two groups in terms of gender and race. However, there were more patients in the Group 2 with &gt;2 comorbidities (p = 0.03). The median duration of operation was significantly longer in Group 2 (550 min vs 471 min, p = 0.04). Morbidity rate in Group 2 was higher (56% vs. 44%, p = 0.04). There was higher proportion of post-operative pancreatic fistula (POPF) in the elderly group (37.5% vs. 16.7%, p = 0.05). Majority of them are Grade A POPF according to the ISG definition. The median post-operative length-of-stay (LOS) in hospital was 9 days longer in Group 2 (p = 0.01). Mortality rate between the 2 groups of patients was comparable (0% vs. 3%, p = 0.28).\n\nCONCLUSION: Elderly patients are at increased risk of morbidity in pancreatocoduodenectomy, in particular POPF. However, morbidity and mortality rates are acceptable. It is therefore justified to offer PD to elderly patients who do not have significant cardiopulmonary comorbidities.", "author" : [ { "dropping-particle" : "", "family" : "Kow", "given" : "A W C", "non-dropping-particle" : "", "parse-names" : false, "suffix" : "" }, { "dropping-particle" : "", "family" : "Sadayan", "given" : "N A", "non-dropping-particle" : "", "parse-names" : false, "suffix" : "" }, { "dropping-particle" : "", "family" : "Ernest", "given" : "A", "non-dropping-particle" : "", "parse-names" : false, "suffix" : "" }, { "dropping-particle" : "", "family" : "Wang", "given" : "B", "non-dropping-particle" : "", "parse-names" : false, "suffix" : "" }, { "dropping-particle" : "", "family" : "Chan", "given" : "C Y", "non-dropping-particle" : "", "parse-names" : false, "suffix" : "" }, { "dropping-particle" : "", "family" : "Ho", "given" : "C K", "non-dropping-particle" : "", "parse-names" : false, "suffix" : "" }, { "dropping-particle" : "", "family" : "Liau", "given" : "K H", "non-dropping-particle" : "", "parse-names" : false, "suffix" : "" } ], "container-title" : "The surgeon : journal of the Royal Colleges of Surgeons of Edinburgh and Ireland", "id" : "ITEM-2", "issue" : "3", "issued" : { "date-parts" : [ [ "2012", "6" ] ] }, "page" : "128-36", "title" : "Is pancreaticoduodenectomy justified in elderly patients?", "type" : "article-journal", "volume" : "10" }, "uris" : [ "http://www.mendeley.com/documents/?uuid=f41b76e6-98b9-444a-bb41-dd19da68192f" ] }, { "id" : "ITEM-3", "itemData" : { "DOI" : "10.1007/s00534-009-0106-6", "ISSN" : "1436-0691", "PMID" : "19387530", "abstract" : "BACKGROUND: Although the mortality rates for pancreaticoduodenectomy have been reported to be low for periampullary tumors at high-volume centers, postoperative results still remain unclear for elderly patients over 80 years of age.\n\nMETHODS: This was a retrospective study of patients who underwent a pancreaticoduodenectomy and consisted of 335 patients who were treated for periampullary tumors between January 1994 and August 2008. The main outcomes were postoperative complications, mortality, and the length of hospital stay among the elderly patients, and they were analyzed in three groups: elderly patients over 80 years old, septuagenarians, and those under 70 years of age.\n\nRESULTS: The performance status of elderly patients was lower than that of the patients under 70 (P &lt; 0.05), and the elderly had a higher American Society of Anesthesiologists physical status classification score (P &lt; 0.001) as well as low hemoglobin and serum albumin levels (P &lt; 0.01 and P &lt; 0.001, respectively). The incidence of delayed gastric emptying in the elderly was higher; however, there was no significant difference. The other outcomes in the elderly group were similar to those of the other groups.\n\nCONCLUSIONS: Pancreaticoduodenectomy was considered to be a feasible surgical procedure for elderly patients who had a good performance status.", "author" : [ { "dropping-particle" : "", "family" : "Tani", "given" : "Masaji", "non-dropping-particle" : "", "parse-names" : false, "suffix" : "" }, { "dropping-particle" : "", "family" : "Kawai", "given" : "Manabu", "non-dropping-particle" : "", "parse-names" : false, "suffix" : "" }, { "dropping-particle" : "", "family" : "Hirono", "given" : "Seiko", "non-dropping-particle" : "", "parse-names" : false, "suffix" : "" }, { "dropping-particle" : "", "family" : "Ina", "given" : "Shinomi", "non-dropping-particle" : "", "parse-names" : false, "suffix" : "" }, { "dropping-particle" : "", "family" : "Miyazawa", "given" : "Motoki", "non-dropping-particle" : "", "parse-names" : false, "suffix" : "" }, { "dropping-particle" : "", "family" : "Nishioka", "given" : "Ryohei", "non-dropping-particle" : "", "parse-names" : false, "suffix" : "" }, { "dropping-particle" : "", "family" : "Shimizu", "given" : "Atsushi", "non-dropping-particle" : "", "parse-names" : false, "suffix" : "" }, { "dropping-particle" : "", "family" : "Uchiyama", "given" : "Kazuhisa", "non-dropping-particle" : "", "parse-names" : false, "suffix" : "" }, { "dropping-particle" : "", "family" : "Yamaue", "given" : "Hiroki", "non-dropping-particle" : "", "parse-names" : false, "suffix" : "" } ], "container-title" : "Journal of hepato-biliary-pancreatic surgery", "id" : "ITEM-3", "issue" : "5", "issued" : { "date-parts" : [ [ "2009", "1" ] ] }, "page" : "675-80", "title" : "A pancreaticoduodenectomy is acceptable for periampullary tumors in the elderly, even in patients over 80 years of age.", "type" : "article-journal", "volume" : "16" }, "uris" : [ "http://www.mendeley.com/documents/?uuid=b18e0074-c5d9-447c-bdc6-98d463e4db61" ] } ], "mendeley" : { "formattedCitation" : "&lt;sup&gt;[77\u201379]&lt;/sup&gt;", "plainTextFormattedCitation" : "[77\u201379]", "previouslyFormattedCitation" : "&lt;sup&gt;[77\u201379]&lt;/sup&gt;" }, "properties" : { "noteIndex" : 0 }, "schema" : "https://github.com/citation-style-language/schema/raw/master/csl-citation.json" }</w:instrText>
      </w:r>
      <w:r w:rsidR="007D7546" w:rsidRPr="00B77A30">
        <w:rPr>
          <w:rFonts w:ascii="Book Antiqua" w:hAnsi="Book Antiqua" w:cs="Times New Roman"/>
          <w:sz w:val="24"/>
          <w:szCs w:val="24"/>
        </w:rPr>
        <w:fldChar w:fldCharType="separate"/>
      </w:r>
      <w:r w:rsidR="007D7546" w:rsidRPr="00B77A30">
        <w:rPr>
          <w:rFonts w:ascii="Book Antiqua" w:hAnsi="Book Antiqua" w:cs="Times New Roman"/>
          <w:noProof/>
          <w:sz w:val="24"/>
          <w:szCs w:val="24"/>
          <w:vertAlign w:val="superscript"/>
        </w:rPr>
        <w:t>[77–79]</w:t>
      </w:r>
      <w:r w:rsidR="007D7546" w:rsidRPr="00B77A30">
        <w:rPr>
          <w:rFonts w:ascii="Book Antiqua" w:hAnsi="Book Antiqua" w:cs="Times New Roman"/>
          <w:sz w:val="24"/>
          <w:szCs w:val="24"/>
        </w:rPr>
        <w:fldChar w:fldCharType="end"/>
      </w:r>
      <w:r w:rsidR="00075EE5" w:rsidRPr="00B77A30">
        <w:rPr>
          <w:rFonts w:ascii="Book Antiqua" w:hAnsi="Book Antiqua" w:cs="Times New Roman"/>
          <w:sz w:val="24"/>
          <w:szCs w:val="24"/>
          <w:lang w:eastAsia="zh-CN"/>
        </w:rPr>
        <w:t>.</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For example, in one large study that investigated over three-thousand patients who underwent pancreatic resection in the state of Texas, </w:t>
      </w:r>
      <w:proofErr w:type="spellStart"/>
      <w:r w:rsidRPr="00B77A30">
        <w:rPr>
          <w:rFonts w:ascii="Book Antiqua" w:hAnsi="Book Antiqua" w:cs="Times New Roman"/>
          <w:sz w:val="24"/>
          <w:szCs w:val="24"/>
        </w:rPr>
        <w:t>Riall</w:t>
      </w:r>
      <w:proofErr w:type="spellEnd"/>
      <w:r w:rsidRPr="00B77A30">
        <w:rPr>
          <w:rFonts w:ascii="Book Antiqua" w:hAnsi="Book Antiqua" w:cs="Times New Roman"/>
          <w:i/>
          <w:sz w:val="24"/>
          <w:szCs w:val="24"/>
        </w:rPr>
        <w:t xml:space="preserve"> et al</w:t>
      </w:r>
      <w:r w:rsidR="00075EE5" w:rsidRPr="00B77A30">
        <w:rPr>
          <w:rFonts w:ascii="Book Antiqua" w:hAnsi="Book Antiqua" w:cs="Times New Roman"/>
          <w:sz w:val="24"/>
          <w:szCs w:val="24"/>
        </w:rPr>
        <w:fldChar w:fldCharType="begin" w:fldLock="1"/>
      </w:r>
      <w:r w:rsidR="00075EE5" w:rsidRPr="00B77A30">
        <w:rPr>
          <w:rFonts w:ascii="Book Antiqua" w:hAnsi="Book Antiqua" w:cs="Times New Roman"/>
          <w:sz w:val="24"/>
          <w:szCs w:val="24"/>
        </w:rPr>
        <w:instrText>ADDIN CSL_CITATION { "citationItems" : [ { "id" : "ITEM-1", "itemData" : { "DOI" : "10.1097/SLA.0b013e318185e1b3", "ISSN" : "0066-0833", "PMID" : "18791366", "abstract" : "OBJECTIVE: To use a large population-based cohort to determine age-dependent short-term outcomes after pancreatic resection.\n\nMETHODS: We identified all pancreatic resections in Texas from 1999 to 2005. Patients were stratified into 4 age groups (&lt;60, 60-69, 70-79, and 80+ years). Bivariate and multivariate analyses were performed to determine the effect of age on mortality, discharge to home versus requiring inpatient nursing care, and length of stay.\n\nRESULTS: Three thousand seven hundred and thirty-six patients underwent pancreatic resection. Unadjusted in-hospital mortality increased with each increasing age group from 2.4% in patients &lt;60 to 11.4% in patients 80 years and older (P &lt; 0.0001). Likewise, postoperative lengths of stay increased with each increasing age group (P = 0.02). Age group independently predicted the need for discharge to an inpatient nursing unit rather than home (P &lt; 0.0001), with the odds ration (OR) increasing with each increasing age group. With each increasing age group, patients were less likely to be resected at high-volume (H-V) hospitals (&gt;10 pancreatic resections/y). Whereas low-volume (L-V) hospitals (&lt; or =10 pancreatic resections/y) had higher mortality rates (3.2% versus 7.3%, P &lt; 0.0001), the difference in mortality between H- and L-V hospitals was more striking in older patients. With increasing age group, mortality increased from 3.0% to 9.5% to 11.4% to 14.7% at L-V hospitals. It increased from 2.0% to 3.5% to 4.5% to 8.7% at H-V hospitals (P &lt; 0.0001). In the multivariate model controlling for gender, race, hospital volume, year of surgery, diagnosis, risk of mortality, severity of illness, admission status, and procedure type, older age group independently predicted increased mortality. The OR for patients 60-69 years was 2.5 (P = 0.0003), the OR for patients 70-79 years was 1.8 (P = 0.02), and the OR for patients 80+ years was 4.4 (P &lt; 0.0001) when compared with patients &lt;60 years.\n\nCONCLUSIONS: In contrast to some previous single-institution studies, we found that increased age is an independent risk factor for mortality after pancreatic resection. For all ages, mortality rates were higher at L-V hospitals, but the difference worsened significantly with increasing age. Older patients had longer lengths of stay, were less likely to be discharged home, and more likely to require care at an inpatient nursing or acute care facility at the time of discharge.", "author" : [ { "dropping-particle" : "", "family" : "Riall", "given" : "Taylor S.", "non-dropping-particle" : "", "parse-names" : false, "suffix" : "" }, { "dropping-particle" : "", "family" : "Reddy", "given" : "Deepthi M.", "non-dropping-particle" : "", "parse-names" : false, "suffix" : "" }, { "dropping-particle" : "", "family" : "Nealon", "given" : "William H.", "non-dropping-particle" : "", "parse-names" : false, "suffix" : "" }, { "dropping-particle" : "", "family" : "Goodwin", "given" : "James S.", "non-dropping-particle" : "", "parse-names" : false, "suffix" : "" } ], "container-title" : "Transactions of the ... Meeting of the American Surgical Association", "id" : "ITEM-1", "issue" : "3", "issued" : { "date-parts" : [ [ "2008", "9" ] ] }, "page" : "109-117", "title" : "The Effect of Age on Short-term Outcomes After Pancreatic Resection", "type" : "article-journal", "volume" : "126" }, "uris" : [ "http://www.mendeley.com/documents/?uuid=5539477b-b7e4-45d0-b8c2-7305eb081368" ] } ], "mendeley" : { "formattedCitation" : "&lt;sup&gt;[77]&lt;/sup&gt;", "plainTextFormattedCitation" : "[77]", "previouslyFormattedCitation" : "&lt;sup&gt;[77]&lt;/sup&gt;" }, "properties" : { "noteIndex" : 0 }, "schema" : "https://github.com/citation-style-language/schema/raw/master/csl-citation.json" }</w:instrText>
      </w:r>
      <w:r w:rsidR="00075EE5" w:rsidRPr="00B77A30">
        <w:rPr>
          <w:rFonts w:ascii="Book Antiqua" w:hAnsi="Book Antiqua" w:cs="Times New Roman"/>
          <w:sz w:val="24"/>
          <w:szCs w:val="24"/>
        </w:rPr>
        <w:fldChar w:fldCharType="separate"/>
      </w:r>
      <w:r w:rsidR="00075EE5" w:rsidRPr="00B77A30">
        <w:rPr>
          <w:rFonts w:ascii="Book Antiqua" w:hAnsi="Book Antiqua" w:cs="Times New Roman"/>
          <w:noProof/>
          <w:sz w:val="24"/>
          <w:szCs w:val="24"/>
          <w:vertAlign w:val="superscript"/>
        </w:rPr>
        <w:t>[77]</w:t>
      </w:r>
      <w:r w:rsidR="00075EE5" w:rsidRPr="00B77A30">
        <w:rPr>
          <w:rFonts w:ascii="Book Antiqua" w:hAnsi="Book Antiqua" w:cs="Times New Roman"/>
          <w:sz w:val="24"/>
          <w:szCs w:val="24"/>
        </w:rPr>
        <w:fldChar w:fldCharType="end"/>
      </w:r>
      <w:r w:rsidR="00075EE5"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reported that increased age was an independent risk factor for mortality after pancreatic resection. In fact, in-hospital mortality increased with each increasing age group from 2.4% in patients &lt; 60</w:t>
      </w:r>
      <w:r w:rsidR="00CB2DFE">
        <w:rPr>
          <w:rFonts w:ascii="Book Antiqua" w:hAnsi="Book Antiqua" w:cs="Times New Roman" w:hint="eastAsia"/>
          <w:sz w:val="24"/>
          <w:szCs w:val="24"/>
          <w:lang w:eastAsia="zh-CN"/>
        </w:rPr>
        <w:t>%-</w:t>
      </w:r>
      <w:r w:rsidRPr="00B77A30">
        <w:rPr>
          <w:rFonts w:ascii="Book Antiqua" w:hAnsi="Book Antiqua" w:cs="Times New Roman"/>
          <w:sz w:val="24"/>
          <w:szCs w:val="24"/>
        </w:rPr>
        <w:t>11.4% in patients &gt; 80 years old.</w:t>
      </w:r>
      <w:r w:rsidR="000A0F89">
        <w:rPr>
          <w:rFonts w:ascii="Book Antiqua" w:hAnsi="Book Antiqua" w:cs="Times New Roman"/>
          <w:sz w:val="24"/>
          <w:szCs w:val="24"/>
        </w:rPr>
        <w:t xml:space="preserve"> </w:t>
      </w:r>
      <w:r w:rsidRPr="00B77A30">
        <w:rPr>
          <w:rFonts w:ascii="Book Antiqua" w:hAnsi="Book Antiqua" w:cs="Times New Roman"/>
          <w:sz w:val="24"/>
          <w:szCs w:val="24"/>
        </w:rPr>
        <w:t>Likewise, postoperative length of stay increased with each increasing age group, going from 11 to 15 d.</w:t>
      </w:r>
      <w:r w:rsidR="000A0F89">
        <w:rPr>
          <w:rFonts w:ascii="Book Antiqua" w:hAnsi="Book Antiqua" w:cs="Times New Roman"/>
          <w:sz w:val="24"/>
          <w:szCs w:val="24"/>
        </w:rPr>
        <w:t xml:space="preserve"> </w:t>
      </w:r>
      <w:r w:rsidRPr="00B77A30">
        <w:rPr>
          <w:rFonts w:ascii="Book Antiqua" w:hAnsi="Book Antiqua" w:cs="Times New Roman"/>
          <w:sz w:val="24"/>
          <w:szCs w:val="24"/>
        </w:rPr>
        <w:t>Of particular interest was the authors’ finding that the increase in mortality among older patients was most pronounced among those patients treated at a low versus high volume hospital.</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While these data and others suggest therefore that age may be associated with outcomes, multiple other studies have noted that pancreatic surgery can be performed safely </w:t>
      </w:r>
      <w:r w:rsidR="00075EE5" w:rsidRPr="00B77A30">
        <w:rPr>
          <w:rFonts w:ascii="Book Antiqua" w:hAnsi="Book Antiqua" w:cs="Times New Roman"/>
          <w:sz w:val="24"/>
          <w:szCs w:val="24"/>
        </w:rPr>
        <w:t>in well selected older patients</w:t>
      </w:r>
      <w:r w:rsidR="007D7546" w:rsidRPr="00B77A30">
        <w:rPr>
          <w:rFonts w:ascii="Book Antiqua" w:hAnsi="Book Antiqua" w:cs="Times New Roman"/>
          <w:sz w:val="24"/>
          <w:szCs w:val="24"/>
        </w:rPr>
        <w:fldChar w:fldCharType="begin" w:fldLock="1"/>
      </w:r>
      <w:r w:rsidR="007D7546" w:rsidRPr="00B77A30">
        <w:rPr>
          <w:rFonts w:ascii="Book Antiqua" w:hAnsi="Book Antiqua" w:cs="Times New Roman"/>
          <w:sz w:val="24"/>
          <w:szCs w:val="24"/>
        </w:rPr>
        <w:instrText>ADDIN CSL_CITATION { "citationItems" : [ { "id" : "ITEM-1", "itemData" : { "DOI" : "10.1016/j.surge.2011.02.005", "ISSN" : "1479-666X", "PMID" : "22525414", "abstract" : "BACKGROUND: Although mortality &amp; morbidity for pancreaticoduodenectomy (PD) have improved significantly over the last two decades, the concern for elderly undergoing PD remains. This study examines the outcome of the elderly patients who had pancreaticoduodenectomy in our institution.\n\nMETHODS: A prospective database comprising 69 patients who underwent pancreaticoduodenectomy between 2001 and May 2008 was analyzed. Using WHO definition, elderly patient is defined as age 65 and above in this study. Two groups of patients were compared [Group 1: Age \u226465 &amp; Group 2: Age &gt;65].\n\nRESULTS: The mean age of our patients was 62 \u00b1 11 years. There were 37 (54%) patients in Group 1 and 32 (46%) patients in Group 2. There was no statistical difference between the two groups in terms of gender and race. However, there were more patients in the Group 2 with &gt;2 comorbidities (p = 0.03). The median duration of operation was significantly longer in Group 2 (550 min vs 471 min, p = 0.04). Morbidity rate in Group 2 was higher (56% vs. 44%, p = 0.04). There was higher proportion of post-operative pancreatic fistula (POPF) in the elderly group (37.5% vs. 16.7%, p = 0.05). Majority of them are Grade A POPF according to the ISG definition. The median post-operative length-of-stay (LOS) in hospital was 9 days longer in Group 2 (p = 0.01). Mortality rate between the 2 groups of patients was comparable (0% vs. 3%, p = 0.28).\n\nCONCLUSION: Elderly patients are at increased risk of morbidity in pancreatocoduodenectomy, in particular POPF. However, morbidity and mortality rates are acceptable. It is therefore justified to offer PD to elderly patients who do not have significant cardiopulmonary comorbidities.", "author" : [ { "dropping-particle" : "", "family" : "Kow", "given" : "A W C", "non-dropping-particle" : "", "parse-names" : false, "suffix" : "" }, { "dropping-particle" : "", "family" : "Sadayan", "given" : "N A", "non-dropping-particle" : "", "parse-names" : false, "suffix" : "" }, { "dropping-particle" : "", "family" : "Ernest", "given" : "A", "non-dropping-particle" : "", "parse-names" : false, "suffix" : "" }, { "dropping-particle" : "", "family" : "Wang", "given" : "B", "non-dropping-particle" : "", "parse-names" : false, "suffix" : "" }, { "dropping-particle" : "", "family" : "Chan", "given" : "C Y", "non-dropping-particle" : "", "parse-names" : false, "suffix" : "" }, { "dropping-particle" : "", "family" : "Ho", "given" : "C K", "non-dropping-particle" : "", "parse-names" : false, "suffix" : "" }, { "dropping-particle" : "", "family" : "Liau", "given" : "K H", "non-dropping-particle" : "", "parse-names" : false, "suffix" : "" } ], "container-title" : "The surgeon : journal of the Royal Colleges of Surgeons of Edinburgh and Ireland", "id" : "ITEM-1", "issue" : "3", "issued" : { "date-parts" : [ [ "2012", "6" ] ] }, "page" : "128-36", "title" : "Is pancreaticoduodenectomy justified in elderly patients?", "type" : "article-journal", "volume" : "10" }, "uris" : [ "http://www.mendeley.com/documents/?uuid=f41b76e6-98b9-444a-bb41-dd19da68192f" ] }, { "id" : "ITEM-2", "itemData" : { "DOI" : "10.1007/s00534-009-0106-6", "ISSN" : "1436-0691", "PMID" : "19387530", "abstract" : "BACKGROUND: Although the mortality rates for pancreaticoduodenectomy have been reported to be low for periampullary tumors at high-volume centers, postoperative results still remain unclear for elderly patients over 80 years of age.\n\nMETHODS: This was a retrospective study of patients who underwent a pancreaticoduodenectomy and consisted of 335 patients who were treated for periampullary tumors between January 1994 and August 2008. The main outcomes were postoperative complications, mortality, and the length of hospital stay among the elderly patients, and they were analyzed in three groups: elderly patients over 80 years old, septuagenarians, and those under 70 years of age.\n\nRESULTS: The performance status of elderly patients was lower than that of the patients under 70 (P &lt; 0.05), and the elderly had a higher American Society of Anesthesiologists physical status classification score (P &lt; 0.001) as well as low hemoglobin and serum albumin levels (P &lt; 0.01 and P &lt; 0.001, respectively). The incidence of delayed gastric emptying in the elderly was higher; however, there was no significant difference. The other outcomes in the elderly group were similar to those of the other groups.\n\nCONCLUSIONS: Pancreaticoduodenectomy was considered to be a feasible surgical procedure for elderly patients who had a good performance status.", "author" : [ { "dropping-particle" : "", "family" : "Tani", "given" : "Masaji", "non-dropping-particle" : "", "parse-names" : false, "suffix" : "" }, { "dropping-particle" : "", "family" : "Kawai", "given" : "Manabu", "non-dropping-particle" : "", "parse-names" : false, "suffix" : "" }, { "dropping-particle" : "", "family" : "Hirono", "given" : "Seiko", "non-dropping-particle" : "", "parse-names" : false, "suffix" : "" }, { "dropping-particle" : "", "family" : "Ina", "given" : "Shinomi", "non-dropping-particle" : "", "parse-names" : false, "suffix" : "" }, { "dropping-particle" : "", "family" : "Miyazawa", "given" : "Motoki", "non-dropping-particle" : "", "parse-names" : false, "suffix" : "" }, { "dropping-particle" : "", "family" : "Nishioka", "given" : "Ryohei", "non-dropping-particle" : "", "parse-names" : false, "suffix" : "" }, { "dropping-particle" : "", "family" : "Shimizu", "given" : "Atsushi", "non-dropping-particle" : "", "parse-names" : false, "suffix" : "" }, { "dropping-particle" : "", "family" : "Uchiyama", "given" : "Kazuhisa", "non-dropping-particle" : "", "parse-names" : false, "suffix" : "" }, { "dropping-particle" : "", "family" : "Yamaue", "given" : "Hiroki", "non-dropping-particle" : "", "parse-names" : false, "suffix" : "" } ], "container-title" : "Journal of hepato-biliary-pancreatic surgery", "id" : "ITEM-2", "issue" : "5", "issued" : { "date-parts" : [ [ "2009", "1" ] ] }, "page" : "675-80", "title" : "A pancreaticoduodenectomy is acceptable for periampullary tumors in the elderly, even in patients over 80 years of age.", "type" : "article-journal", "volume" : "16" }, "uris" : [ "http://www.mendeley.com/documents/?uuid=b18e0074-c5d9-447c-bdc6-98d463e4db61" ] }, { "id" : "ITEM-3", "itemData" : { "DOI" : "10.1111/j.1477-2574.2011.00390.x", "ISSN" : "1477-2574", "PMID" : "22081925", "abstract" : "BACKGROUND: Conflicting data exist regarding the safety of pancreatic resections in elderly patients. In this study we compared early complication and mortality rates between patients younger and older than 80 years of age who underwent pancreaticoduodenectomy using a validated national database.\n\nMETHODS: The National Surgical Quality Improvement Program (NSQIP) database for 2005-2009 was used for this retrospective analysis. The primary outcome measures for our analysis were 30-day postoperative mortality, major complication rate and overall complication rate.\n\nRESULTS: A total of 6293 patients who underwent PD for any cause were included in the analysis. Of these, 9.4% were aged \u226580 years. The incidence of 30-day mortality was significantly higher in patients aged \u226580 years (6.3%) than in those aged &lt;80 years (2.7%). Older patients were also noted to have higher rates of overall complications and serious complications. On multivariate analysis, age, ASA (American Society of Anesthesiologists) classification, reduced functional status, history of dyspnoea, and need for intraoperative transfusion were risk factors associated with the occurrence of overall complications, serious complications and postoperative mortality.\n\nCONCLUSIONS: This study shows that age among other factors is a determinant of postoperative morbidity and mortality following PD.", "author" : [ { "dropping-particle" : "", "family" : "la Fuente", "given" : "Sebastian G", "non-dropping-particle" : "de", "parse-names" : false, "suffix" : "" }, { "dropping-particle" : "", "family" : "Bennett", "given" : "Kyla M", "non-dropping-particle" : "", "parse-names" : false, "suffix" : "" }, { "dropping-particle" : "", "family" : "Pappas", "given" : "Theodore N", "non-dropping-particle" : "", "parse-names" : false, "suffix" : "" }, { "dropping-particle" : "", "family" : "Scarborough", "given" : "John E", "non-dropping-particle" : "", "parse-names" : false, "suffix" : "" } ], "container-title" : "HPB : the official journal of the International Hepato Pancreato Biliary Association", "id" : "ITEM-3", "issue" : "12", "issued" : { "date-parts" : [ [ "2011", "12" ] ] }, "page" : "887-92", "title" : "Pre- and intraoperative variables affecting early outcomes in elderly patients undergoing pancreaticoduodenectomy.", "type" : "article-journal", "volume" : "13" }, "uris" : [ "http://www.mendeley.com/documents/?uuid=44edb6d3-1597-4d1e-b109-4d8b8c189038" ] } ], "mendeley" : { "formattedCitation" : "&lt;sup&gt;[78\u201380]&lt;/sup&gt;", "plainTextFormattedCitation" : "[78\u201380]", "previouslyFormattedCitation" : "&lt;sup&gt;[78\u201380]&lt;/sup&gt;" }, "properties" : { "noteIndex" : 0 }, "schema" : "https://github.com/citation-style-language/schema/raw/master/csl-citation.json" }</w:instrText>
      </w:r>
      <w:r w:rsidR="007D7546" w:rsidRPr="00B77A30">
        <w:rPr>
          <w:rFonts w:ascii="Book Antiqua" w:hAnsi="Book Antiqua" w:cs="Times New Roman"/>
          <w:sz w:val="24"/>
          <w:szCs w:val="24"/>
        </w:rPr>
        <w:fldChar w:fldCharType="separate"/>
      </w:r>
      <w:r w:rsidR="007D7546" w:rsidRPr="00B77A30">
        <w:rPr>
          <w:rFonts w:ascii="Book Antiqua" w:hAnsi="Book Antiqua" w:cs="Times New Roman"/>
          <w:noProof/>
          <w:sz w:val="24"/>
          <w:szCs w:val="24"/>
          <w:vertAlign w:val="superscript"/>
        </w:rPr>
        <w:t>[78–80]</w:t>
      </w:r>
      <w:r w:rsidR="007D7546" w:rsidRPr="00B77A30">
        <w:rPr>
          <w:rFonts w:ascii="Book Antiqua" w:hAnsi="Book Antiqua" w:cs="Times New Roman"/>
          <w:sz w:val="24"/>
          <w:szCs w:val="24"/>
        </w:rPr>
        <w:fldChar w:fldCharType="end"/>
      </w:r>
      <w:r w:rsidR="00075EE5"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Dale and colleagues prospectively evaluated the additional value of geriatric assessment in a cohort of older patients undergoing a </w:t>
      </w:r>
      <w:proofErr w:type="spellStart"/>
      <w:r w:rsidRPr="00B77A30">
        <w:rPr>
          <w:rFonts w:ascii="Book Antiqua" w:hAnsi="Book Antiqua" w:cs="Times New Roman"/>
          <w:sz w:val="24"/>
          <w:szCs w:val="24"/>
        </w:rPr>
        <w:t>pancreaticoduo</w:t>
      </w:r>
      <w:r w:rsidR="00075EE5" w:rsidRPr="00B77A30">
        <w:rPr>
          <w:rFonts w:ascii="Book Antiqua" w:hAnsi="Book Antiqua" w:cs="Times New Roman"/>
          <w:sz w:val="24"/>
          <w:szCs w:val="24"/>
        </w:rPr>
        <w:t>denectomy</w:t>
      </w:r>
      <w:proofErr w:type="spellEnd"/>
      <w:r w:rsidR="00075EE5" w:rsidRPr="00B77A30">
        <w:rPr>
          <w:rFonts w:ascii="Book Antiqua" w:hAnsi="Book Antiqua" w:cs="Times New Roman"/>
          <w:sz w:val="24"/>
          <w:szCs w:val="24"/>
        </w:rPr>
        <w:t xml:space="preserve"> for pancreatic tumors</w:t>
      </w:r>
      <w:r w:rsidR="007D7546" w:rsidRPr="00B77A30">
        <w:rPr>
          <w:rFonts w:ascii="Book Antiqua" w:hAnsi="Book Antiqua" w:cs="Times New Roman"/>
          <w:sz w:val="24"/>
          <w:szCs w:val="24"/>
        </w:rPr>
        <w:fldChar w:fldCharType="begin" w:fldLock="1"/>
      </w:r>
      <w:r w:rsidR="007D7546" w:rsidRPr="00B77A30">
        <w:rPr>
          <w:rFonts w:ascii="Book Antiqua" w:hAnsi="Book Antiqua" w:cs="Times New Roman"/>
          <w:sz w:val="24"/>
          <w:szCs w:val="24"/>
        </w:rPr>
        <w:instrText>ADDIN CSL_CITATION { "citationItems" : [ { "id" : "ITEM-1", "itemData" : { "DOI" : "10.1097/SLA.0000000000000226", "ISSN" : "0003-4932", "PMID" : "24096757", "abstract" : "OBJECTIVE: To prospectively evaluate the additional value of geriatric assessment (GA) for predicting surgical outcomes in a cohort of older patients undergoing a pancreaticoduodenectomy (PD) for pancreatic tumors.\n\nBACKGROUND: Older patients are less often referred for possible PD. Standard preoperative assessments may underestimate the likelihood of significant adverse outcomes. The prospective utility of validated GA has not been studied in this group.\n\nMETHODS: PD-eligible patients were enrolled in a prospective outcome study. Standard preoperative assessments were recorded. Elements of validated GA were also measured, including components of Fried's model of frailty, the Vulnerable Elders Survey (VES-13), and the Short Physical Performance Battery (SPPB). All postoperative adverse events were recorded, systematically reviewed, and graded using the Clavien-Dindo system by a surgeon blinded to the GA results. Multivariate regression analyses were conducted.\n\nRESULTS: Seventy-six older patients underwent a PD. Significant unrecognized vulnerability was identified at the baseline: Fried's \"exhaustion\" (37.3%), SPPB &lt;10 (28.5%), and VES-13 &gt;3 (15.4%). Within 30 days of PD, 46% experienced a severe complication (Clavien-Dindo grade \u2265III). In regression analyses controlling for age, the body mass index, the American Society of Anesthesiologists score, and comorbidity burden, Fried's \"exhaustion\" predicted major complications [odds ratio (OR) = 4.06; P = 0.01], longer hospital stays (\u03b2 = 0.27; P = 0.02), and surgical intensive care unit admissions (OR = 4.30; P = 0.01). Both SPPB (OR = 0.61; P = 0.04) and older age predicted discharge to a rehabilitation facility (OR = 1.1; P &lt; 0.05) and age correlated with a lower likelihood of hospital readmission (OR = 0.94; P = 0.02).\n\nCONCLUSIONS: Controlling for standard preoperative assessments, worse scores on GA prospectively and independently predicted important adverse outcomes. Geriatric assessment may help identify older patients at high risk for complications from PD.", "author" : [ { "dropping-particle" : "", "family" : "Dale", "given" : "William", "non-dropping-particle" : "", "parse-names" : false, "suffix" : "" }, { "dropping-particle" : "", "family" : "Hemmerich", "given" : "Joshua", "non-dropping-particle" : "", "parse-names" : false, "suffix" : "" }, { "dropping-particle" : "", "family" : "Kamm", "given" : "Alaine", "non-dropping-particle" : "", "parse-names" : false, "suffix" : "" }, { "dropping-particle" : "", "family" : "Posner", "given" : "Mitchell C.", "non-dropping-particle" : "", "parse-names" : false, "suffix" : "" }, { "dropping-particle" : "", "family" : "Matthews", "given" : "Jeffrey B.", "non-dropping-particle" : "", "parse-names" : false, "suffix" : "" }, { "dropping-particle" : "", "family" : "Rothman", "given" : "Randi", "non-dropping-particle" : "", "parse-names" : false, "suffix" : "" }, { "dropping-particle" : "", "family" : "Palakodeti", "given" : "Aparna", "non-dropping-particle" : "", "parse-names" : false, "suffix" : "" }, { "dropping-particle" : "", "family" : "Roggin", "given" : "Kevin K.", "non-dropping-particle" : "", "parse-names" : false, "suffix" : "" } ], "container-title" : "Annals of Surgery", "id" : "ITEM-1", "issue" : "5", "issued" : { "date-parts" : [ [ "2014", "5" ] ] }, "page" : "960-965", "title" : "Geriatric Assessment Improves Prediction of Surgical Outcomes in Older Adults Undergoing Pancreaticoduodenectomy", "type" : "article-journal", "volume" : "259" }, "uris" : [ "http://www.mendeley.com/documents/?uuid=38880529-59e0-472e-8c04-d67fcab4ef8d" ] } ], "mendeley" : { "formattedCitation" : "&lt;sup&gt;[33]&lt;/sup&gt;", "plainTextFormattedCitation" : "[33]", "previouslyFormattedCitation" : "&lt;sup&gt;[33]&lt;/sup&gt;" }, "properties" : { "noteIndex" : 0 }, "schema" : "https://github.com/citation-style-language/schema/raw/master/csl-citation.json" }</w:instrText>
      </w:r>
      <w:r w:rsidR="007D7546" w:rsidRPr="00B77A30">
        <w:rPr>
          <w:rFonts w:ascii="Book Antiqua" w:hAnsi="Book Antiqua" w:cs="Times New Roman"/>
          <w:sz w:val="24"/>
          <w:szCs w:val="24"/>
        </w:rPr>
        <w:fldChar w:fldCharType="separate"/>
      </w:r>
      <w:r w:rsidR="007D7546" w:rsidRPr="00B77A30">
        <w:rPr>
          <w:rFonts w:ascii="Book Antiqua" w:hAnsi="Book Antiqua" w:cs="Times New Roman"/>
          <w:noProof/>
          <w:sz w:val="24"/>
          <w:szCs w:val="24"/>
          <w:vertAlign w:val="superscript"/>
        </w:rPr>
        <w:t>[33]</w:t>
      </w:r>
      <w:r w:rsidR="007D7546" w:rsidRPr="00B77A30">
        <w:rPr>
          <w:rFonts w:ascii="Book Antiqua" w:hAnsi="Book Antiqua" w:cs="Times New Roman"/>
          <w:sz w:val="24"/>
          <w:szCs w:val="24"/>
        </w:rPr>
        <w:fldChar w:fldCharType="end"/>
      </w:r>
      <w:r w:rsidR="00075EE5"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Among 76 older patients, significant unrecognized vulnerability was identified using the geriatric assessment.</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In turn, </w:t>
      </w:r>
      <w:proofErr w:type="spellStart"/>
      <w:r w:rsidRPr="00B77A30">
        <w:rPr>
          <w:rFonts w:ascii="Book Antiqua" w:hAnsi="Book Antiqua" w:cs="Times New Roman"/>
          <w:sz w:val="24"/>
          <w:szCs w:val="24"/>
        </w:rPr>
        <w:t>Fried’s</w:t>
      </w:r>
      <w:proofErr w:type="spellEnd"/>
      <w:r w:rsidRPr="00B77A30">
        <w:rPr>
          <w:rFonts w:ascii="Book Antiqua" w:hAnsi="Book Antiqua" w:cs="Times New Roman"/>
          <w:sz w:val="24"/>
          <w:szCs w:val="24"/>
        </w:rPr>
        <w:t xml:space="preserve"> exhaustion, a vulnerable elders survey score &gt;</w:t>
      </w:r>
      <w:r w:rsidR="00075EE5"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3, as well as a short physical performance battery score &lt; 10 all correlated with an increased risk of severe complication after </w:t>
      </w:r>
      <w:proofErr w:type="spellStart"/>
      <w:r w:rsidRPr="00B77A30">
        <w:rPr>
          <w:rFonts w:ascii="Book Antiqua" w:hAnsi="Book Antiqua" w:cs="Times New Roman"/>
          <w:sz w:val="24"/>
          <w:szCs w:val="24"/>
        </w:rPr>
        <w:t>pancreaticoduodenectomy</w:t>
      </w:r>
      <w:proofErr w:type="spellEnd"/>
      <w:r w:rsidRPr="00B77A30">
        <w:rPr>
          <w:rFonts w:ascii="Book Antiqua" w:hAnsi="Book Antiqua" w:cs="Times New Roman"/>
          <w:sz w:val="24"/>
          <w:szCs w:val="24"/>
        </w:rPr>
        <w:t>.</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As such, the authors concluded that geriatric assessment may help identify older patients at high risk for complication from pancreatic surgery. </w:t>
      </w:r>
    </w:p>
    <w:p w14:paraId="65DB3439" w14:textId="3037DE9D" w:rsidR="005A19AC" w:rsidRPr="00B77A30" w:rsidRDefault="005A19AC" w:rsidP="00CB2DFE">
      <w:pPr>
        <w:spacing w:after="0" w:line="360" w:lineRule="auto"/>
        <w:ind w:firstLine="720"/>
        <w:jc w:val="both"/>
        <w:rPr>
          <w:rFonts w:ascii="Book Antiqua" w:hAnsi="Book Antiqua" w:cs="Times New Roman"/>
          <w:sz w:val="24"/>
          <w:szCs w:val="24"/>
          <w:lang w:eastAsia="zh-CN"/>
        </w:rPr>
      </w:pPr>
      <w:r w:rsidRPr="00B77A30">
        <w:rPr>
          <w:rFonts w:ascii="Book Antiqua" w:hAnsi="Book Antiqua" w:cs="Times New Roman"/>
          <w:sz w:val="24"/>
          <w:szCs w:val="24"/>
        </w:rPr>
        <w:t>Several series have similarly suggested that sarcopenia may be an important predictor of post-operative morbidity and mortali</w:t>
      </w:r>
      <w:r w:rsidR="00AD04E3" w:rsidRPr="00B77A30">
        <w:rPr>
          <w:rFonts w:ascii="Book Antiqua" w:hAnsi="Book Antiqua" w:cs="Times New Roman"/>
          <w:sz w:val="24"/>
          <w:szCs w:val="24"/>
        </w:rPr>
        <w:t>ty following pancreatic surgery</w:t>
      </w:r>
      <w:r w:rsidR="007D7546" w:rsidRPr="00B77A30">
        <w:rPr>
          <w:rFonts w:ascii="Book Antiqua" w:hAnsi="Book Antiqua" w:cs="Times New Roman"/>
          <w:sz w:val="24"/>
          <w:szCs w:val="24"/>
        </w:rPr>
        <w:fldChar w:fldCharType="begin" w:fldLock="1"/>
      </w:r>
      <w:r w:rsidR="007D7546" w:rsidRPr="00B77A30">
        <w:rPr>
          <w:rFonts w:ascii="Book Antiqua" w:hAnsi="Book Antiqua" w:cs="Times New Roman"/>
          <w:sz w:val="24"/>
          <w:szCs w:val="24"/>
        </w:rPr>
        <w:instrText>ADDIN CSL_CITATION { "citationItems" : [ { "id" : "ITEM-1", "itemData" : { "DOI" : "10.1111/j.1477-2574.2011.00301.x", "ISSN" : "1477-2574", "PMID" : "21689226", "abstract" : "BACKGROUND: As indications for liver resection expand, objective measures to assess the risk of peri-operative morbidity are needed. The impact of sarcopenia on patients undergoing liver resection for colorectal liver metastasis (CRLM) was investigated.\n\nMETHODS: Sarcopenia was assessed in 259 patients undergoing liver resection for CRLM by measuring total psoas area (TPA) on computed tomography (CT). The impact of sarcopenia was assessed after controlling for clinicopathological factors using multivariate modelling.\n\nRESULTS: Median patient age was 58 years and most patients (60%) were male. Forty-one (16%) patients had sarcopenia (TPA \u2264 500 mm(2) /m(2) ). Post-operatively, 60 patients had a complication for an overall morbidity of 23%; 26 patients (10%) had a major complication (Clavien grade \u22653). The presence of sarcopenia was strongly associated with an increased risk of major post-operative complications [odds ratio (OR) 3.33; P= 0.008]. Patients with sarcopenia had longer hospital stays (6.6 vs. 5.4 days; P= 0.03) and a higher chance of an extended intensive care unit (ICU) stay (&gt;2 days; P= 0.004). On multivariate analysis, sarcopenia remained independently associated with an increased risk of post-operative complications (OR 3.12; P= 0.02). Sarcopenia was not significantly associated with recurrence-free [hazard ratio (HR) = 1.07] or overall (HR = 1.05) survival (both P &gt; 0.05).\n\nCONCLUSIONS: Sarcopenia impacts short-, but not long-term outcomes after resection of CRLM. While patients with sarcopenia are at an increased risk of post-operative morbidity and longer hospital stay, long-term survival is not impacted by the presence of sarcopenia.", "author" : [ { "dropping-particle" : "", "family" : "Peng", "given" : "Peter D", "non-dropping-particle" : "", "parse-names" : false, "suffix" : "" }, { "dropping-particle" : "", "family" : "Vledder", "given" : "Mark G", "non-dropping-particle" : "van", "parse-names" : false, "suffix" : "" }, { "dropping-particle" : "", "family" : "Tsai", "given" : "Susan", "non-dropping-particle" : "", "parse-names" : false, "suffix" : "" }, { "dropping-particle" : "", "family" : "Jong", "given" : "Mechteld C", "non-dropping-particle" : "de", "parse-names" : false, "suffix" : "" }, { "dropping-particle" : "", "family" : "Makary", "given" : "Martin", "non-dropping-particle" : "", "parse-names" : false, "suffix" : "" }, { "dropping-particle" : "", "family" : "Ng", "given" : "Julie", "non-dropping-particle" : "", "parse-names" : false, "suffix" : "" }, { "dropping-particle" : "", "family" : "Edil", "given" : "Barish H", "non-dropping-particle" : "", "parse-names" : false, "suffix" : "" }, { "dropping-particle" : "", "family" : "Wolfgang", "given" : "Christopher L", "non-dropping-particle" : "", "parse-names" : false, "suffix" : "" }, { "dropping-particle" : "", "family" : "Schulick", "given" : "Richard D", "non-dropping-particle" : "", "parse-names" : false, "suffix" : "" }, { "dropping-particle" : "", "family" : "Choti", "given" : "Michael A", "non-dropping-particle" : "", "parse-names" : false, "suffix" : "" }, { "dropping-particle" : "", "family" : "Kamel", "given" : "Ihab", "non-dropping-particle" : "", "parse-names" : false, "suffix" : "" }, { "dropping-particle" : "", "family" : "Pawlik", "given" : "Timothy M", "non-dropping-particle" : "", "parse-names" : false, "suffix" : "" } ], "container-title" : "HPB : the official journal of the International Hepato Pancreato Biliary Association", "id" : "ITEM-1", "issue" : "7", "issued" : { "date-parts" : [ [ "2011", "7" ] ] }, "page" : "439-46", "title" : "Sarcopenia negatively impacts short-term outcomes in patients undergoing hepatic resection for colorectal liver metastasis.", "type" : "article-journal", "volume" : "13" }, "uris" : [ "http://www.mendeley.com/documents/?uuid=640e02ad-59f1-46de-9854-951ab22a2c6f" ] }, { "id" : "ITEM-2", "itemData" : { "DOI" : "10.1007/s11605-012-1923-5", "ISSN" : "1873-4626", "PMID" : "22692586", "abstract" : "INTRODUCTION: Assessing patient-specific risk factors for long-term mortality following resection of pancreatic adenocarcinoma can be difficult. Sarcopenia--the measurement of muscle wasting--may be a more objective and comprehensive patient-specific factor associated with long-term survival.\n\nMETHODS: Total psoas area (TPA) was measured on preoperative cross-sectional imaging in 557 patients undergoing resection of pancreatic adenocarcinoma between 1996 and 2010. Sarcopenia was defined as the presence of a TPA in the lowest sex-specific quartile. The impact of sarcopenia on 90-day, 1-year, and 3-year mortality was assessed relative to other clinicopathological factors.\n\nRESULTS: Mean patient age was 65.7 years and 53.1 % was male. Mean TPA among men (611 mm\u00b2/m\u00b2) was greater than among women (454 mm\u00b2/m\u00b2). Surgery involved pancreaticoduodenectomy (86.0 %) or distal pancreatectomy (14.0 %). Mean tumor size was 3.4 cm; 49.9 % and 88.5 % of patients had vascular and perineural invasion, respectively. Margin status was R0 (59.0 %) and 77.7 % patients had lymph node metastasis. Overall 90-day mortality was 3.1 % and overall 1- and 3-year survival was 67.9 % and 35.7 %, respectively. Sarcopenia was associated with increased risk of 3-year mortality (HR\u2009=\u20091.68; P\u2009&lt;\u20090.001). Tumor-specific factors such as poor differentiation on histology (HR\u2009=\u20091.75), margin status (HR\u2009=\u20091.66), and lymph node metastasis (HR\u2009=\u20092.06) were associated with risk of death at 3-years (all P\u2009&lt;\u20090.001). After controlling for these factors, sarcopenia remained independently associated with an increased risk of death at 3 years (HR\u2009=\u20091.63; P\u2009&lt;\u20090.001).\n\nCONCLUSIONS: Sarcopenia was a predictor of survival following pancreatic surgery, with sarcopenic patients having a 63 % increased risk of death at 3 years. Sarcopenia was an objective measure of patient frailty that was strongly associated with long-term outcome independent of tumor-specific factors.", "author" : [ { "dropping-particle" : "", "family" : "Peng", "given" : "Peter", "non-dropping-particle" : "", "parse-names" : false, "suffix" : "" }, { "dropping-particle" : "", "family" : "Hyder", "given" : "Omar", "non-dropping-particle" : "", "parse-names" : false, "suffix" : "" }, { "dropping-particle" : "", "family" : "Firoozmand", "given" : "Amin", "non-dropping-particle" : "", "parse-names" : false, "suffix" : "" }, { "dropping-particle" : "", "family" : "Kneuertz", "given" : "Peter", "non-dropping-particle" : "", "parse-names" : false, "suffix" : "" }, { "dropping-particle" : "", "family" : "Schulick", "given" : "Richard D", "non-dropping-particle" : "", "parse-names" : false, "suffix" : "" }, { "dropping-particle" : "", "family" : "Huang", "given" : "Donghang", "non-dropping-particle" : "", "parse-names" : false, "suffix" : "" }, { "dropping-particle" : "", "family" : "Makary", "given" : "Martin", "non-dropping-particle" : "", "parse-names" : false, "suffix" : "" }, { "dropping-particle" : "", "family" : "Hirose", "given" : "Kenzo", "non-dropping-particle" : "", "parse-names" : false, "suffix" : "" }, { "dropping-particle" : "", "family" : "Edil", "given" : "Barish", "non-dropping-particle" : "", "parse-names" : false, "suffix" : "" }, { "dropping-particle" : "", "family" : "Choti", "given" : "Michael A", "non-dropping-particle" : "", "parse-names" : false, "suffix" : "" }, { "dropping-particle" : "", "family" : "Herman", "given" : "Joseph", "non-dropping-particle" : "", "parse-names" : false, "suffix" : "" }, { "dropping-particle" : "", "family" : "Cameron", "given" : "John L", "non-dropping-particle" : "", "parse-names" : false, "suffix" : "" }, { "dropping-particle" : "", "family" : "Wolfgang", "given" : "Christopher L", "non-dropping-particle" : "", "parse-names" : false, "suffix" : "" }, { "dropping-particle" : "", "family" : "Pawlik", "given" : "Timothy M", "non-dropping-particle" : "", "parse-names" : false, "suffix" : "" } ], "container-title" : "Journal of gastrointestinal surgery : official journal of the Society for Surgery of the Alimentary Tract", "id" : "ITEM-2", "issue" : "8", "issued" : { "date-parts" : [ [ "2012", "8" ] ] }, "page" : "1478-86", "title" : "Impact of sarcopenia on outcomes following resection of pancreatic adenocarcinoma.", "type" : "article-journal", "volume" : "16" }, "uris" : [ "http://www.mendeley.com/documents/?uuid=2787952f-40c4-4a90-95a6-79ca7164e074" ] }, { "id" : "ITEM-3", "itemData" : { "DOI" : "10.1007/s11605-015-2835-y", "ISSN" : "1873-4626", "PMID" : "25925237", "abstract" : "BACKGROUND: While sarcopenia is typically defined using total psoas area (TPA), characterizing sarcopenia using only a single axial cross-sectional image may be inadequate. We sought to evaluate total psoas volume (TPV) as a new tool to define sarcopenia and compare patient outcomes relative to TPA and TPV.\n\nMETHOD: Sarcopenia was assessed in 763 patients who underwent pancreatectomy for pancreatic adenocarcinoma between 1996 and 2014. It was defined as the TPA and TPV in the lowest sex-specific quartile. The impact of sarcopenia defined by TPA and TPV on overall morbidity and mortality was assessed using multivariable analysis.\n\nRESULT: Median TPA and TPV were both lower in women versus men (both P\u2009&lt;\u20090.001). TPA identified 192 (25.1\u00a0%) patients as sarcopenic, while TPV identified 152 patients (19.9\u00a0%). Three hundred sixty-nine (48.4\u00a0%) patients experienced a postoperative complication. While TPA-sarcopenia was not associated with higher risk of postoperative complications (OR 1.06; P\u2009=\u20090.72), sarcopenia defined by TPV was associated with morbidity (OR 1.79; P\u2009=\u20090.002). On multivariable analysis, TPV-sarcopenia remained independently associated with an increased risk of postoperative complications (OR 1.69; P\u2009=\u20090.006), as well as long-term survival (HR 1.46; P\u2009=\u20090.006).\n\nCONCLUSION: The use of TPV to define sarcopenia was associated with both short- and long-term outcomes following resection of pancreatic cancer. Assessment of the entire volume of the psoas muscle (TPV) may be a better means to define sarcopenia rather than a single axial image.", "author" : [ { "dropping-particle" : "", "family" : "Amini", "given" : "Neda", "non-dropping-particle" : "", "parse-names" : false, "suffix" : "" }, { "dropping-particle" : "", "family" : "Spolverato", "given" : "Gaya", "non-dropping-particle" : "", "parse-names" : false, "suffix" : "" }, { "dropping-particle" : "", "family" : "Gupta", "given" : "Rohan", "non-dropping-particle" : "", "parse-names" : false, "suffix" : "" }, { "dropping-particle" : "", "family" : "Margonis", "given" : "Georgios A", "non-dropping-particle" : "", "parse-names" : false, "suffix" : "" }, { "dropping-particle" : "", "family" : "Kim", "given" : "Yuhree", "non-dropping-particle" : "", "parse-names" : false, "suffix" : "" }, { "dropping-particle" : "", "family" : "Wagner", "given" : "Doris", "non-dropping-particle" : "", "parse-names" : false, "suffix" : "" }, { "dropping-particle" : "", "family" : "Rezaee", "given" : "Neda", "non-dropping-particle" : "", "parse-names" : false, "suffix" : "" }, { "dropping-particle" : "", "family" : "Weiss", "given" : "Matthew J", "non-dropping-particle" : "", "parse-names" : false, "suffix" : "" }, { "dropping-particle" : "", "family" : "Wolfgang", "given" : "Christopher L", "non-dropping-particle" : "", "parse-names" : false, "suffix" : "" }, { "dropping-particle" : "", "family" : "Makary", "given" : "Martin M", "non-dropping-particle" : "", "parse-names" : false, "suffix" : "" }, { "dropping-particle" : "", "family" : "Kamel", "given" : "Ihab R", "non-dropping-particle" : "", "parse-names" : false, "suffix" : "" }, { "dropping-particle" : "", "family" : "Pawlik", "given" : "Timothy M", "non-dropping-particle" : "", "parse-names" : false, "suffix" : "" } ], "container-title" : "Journal of gastrointestinal surgery : official journal of the Society for Surgery of the Alimentary Tract", "id" : "ITEM-3", "issued" : { "date-parts" : [ [ "2015", "4", "30" ] ] }, "title" : "Impact Total Psoas Volume on Short- and Long-Term Outcomes in Patients Undergoing Curative Resection for Pancreatic Adenocarcinoma: a New Tool to Assess Sarcopenia.", "type" : "article-journal" }, "uris" : [ "http://www.mendeley.com/documents/?uuid=069871f5-b451-4104-a8de-a79ca8f489fd" ] }, { "id" : "ITEM-4", "itemData" : { "DOI" : "10.1002/jso.23862", "ISSN" : "1096-9098", "PMID" : "25556324", "abstract" : "BACKGROUND AND OBJECTIVES: Sarcopenia, which is subclinical loss of skeletal muscle mass, is commonly observed in patients with malignancy. The objective of this study is to determine the correlation between sarcopenia and operative complications following pancreatectomy for cancer.\n\nMETHODS: A retrospective review of a pancreatectomy database was performed. The Hounsfield Unit Average Calculation (HUAC) of the psoas muscle, a marker of muscle density and fatty infiltration, was measured from preoperative CT scans. Complications were graded and multivariate logistic regression analysis was performed.\n\nRESULTS: One hundred eighteen patients met criteria for analysis; the overall morbidity rate was 78.8% (n = 93). There were 31 (26.3%) patients who met criteria for sarcopenia using the HUAC. When analyzed as a continuous variable, sarcopenia was an independent predictor of major grade III complications, length of stay, intensive care unit admission, delayed gastric emptying, and infectious, gastrointestinal, pulmonary, and cardiac complications.\n\nCONCLUSIONS: These data suggest that sarcopenia as measured with the HUAC, a value that can be obtained from a preoperative CT scan, is a significant independent predictor of surgical outcome and can be used to improve patient selection and informed consent prior to pancreatectomy in patients with cancer.", "author" : [ { "dropping-particle" : "", "family" : "Joglekar", "given" : "Savita", "non-dropping-particle" : "", "parse-names" : false, "suffix" : "" }, { "dropping-particle" : "", "family" : "Asghar", "given" : "Aeen", "non-dropping-particle" : "", "parse-names" : false, "suffix" : "" }, { "dropping-particle" : "", "family" : "Mott", "given" : "Sarah L", "non-dropping-particle" : "", "parse-names" : false, "suffix" : "" }, { "dropping-particle" : "", "family" : "Johnson", "given" : "Benjamin E", "non-dropping-particle" : "", "parse-names" : false, "suffix" : "" }, { "dropping-particle" : "", "family" : "Button", "given" : "Anna M", "non-dropping-particle" : "", "parse-names" : false, "suffix" : "" }, { "dropping-particle" : "", "family" : "Clark", "given" : "Eve", "non-dropping-particle" : "", "parse-names" : false, "suffix" : "" }, { "dropping-particle" : "", "family" : "Mezhir", "given" : "James J", "non-dropping-particle" : "", "parse-names" : false, "suffix" : "" } ], "container-title" : "Journal of surgical oncology", "id" : "ITEM-4", "issue" : "6", "issued" : { "date-parts" : [ [ "2015", "5" ] ] }, "page" : "771-5", "title" : "Sarcopenia is an independent predictor of complications following pancreatectomy for adenocarcinoma.", "type" : "article-journal", "volume" : "111" }, "uris" : [ "http://www.mendeley.com/documents/?uuid=8fb9bc48-f8c2-4932-9b0d-b2baed2a4d47" ] } ], "mendeley" : { "formattedCitation" : "&lt;sup&gt;[45\u201348]&lt;/sup&gt;", "plainTextFormattedCitation" : "[45\u201348]", "previouslyFormattedCitation" : "&lt;sup&gt;[45\u201348]&lt;/sup&gt;" }, "properties" : { "noteIndex" : 0 }, "schema" : "https://github.com/citation-style-language/schema/raw/master/csl-citation.json" }</w:instrText>
      </w:r>
      <w:r w:rsidR="007D7546" w:rsidRPr="00B77A30">
        <w:rPr>
          <w:rFonts w:ascii="Book Antiqua" w:hAnsi="Book Antiqua" w:cs="Times New Roman"/>
          <w:sz w:val="24"/>
          <w:szCs w:val="24"/>
        </w:rPr>
        <w:fldChar w:fldCharType="separate"/>
      </w:r>
      <w:r w:rsidR="007D7546" w:rsidRPr="00B77A30">
        <w:rPr>
          <w:rFonts w:ascii="Book Antiqua" w:hAnsi="Book Antiqua" w:cs="Times New Roman"/>
          <w:noProof/>
          <w:sz w:val="24"/>
          <w:szCs w:val="24"/>
          <w:vertAlign w:val="superscript"/>
        </w:rPr>
        <w:t>[45–48]</w:t>
      </w:r>
      <w:r w:rsidR="007D7546" w:rsidRPr="00B77A30">
        <w:rPr>
          <w:rFonts w:ascii="Book Antiqua" w:hAnsi="Book Antiqua" w:cs="Times New Roman"/>
          <w:sz w:val="24"/>
          <w:szCs w:val="24"/>
        </w:rPr>
        <w:fldChar w:fldCharType="end"/>
      </w:r>
      <w:r w:rsidR="00AD04E3" w:rsidRPr="00B77A30">
        <w:rPr>
          <w:rFonts w:ascii="Book Antiqua" w:hAnsi="Book Antiqua" w:cs="Times New Roman"/>
          <w:sz w:val="24"/>
          <w:szCs w:val="24"/>
        </w:rPr>
        <w:t xml:space="preserve">. </w:t>
      </w:r>
      <w:r w:rsidRPr="00B77A30">
        <w:rPr>
          <w:rFonts w:ascii="Book Antiqua" w:hAnsi="Book Antiqua" w:cs="Times New Roman"/>
          <w:sz w:val="24"/>
          <w:szCs w:val="24"/>
        </w:rPr>
        <w:t xml:space="preserve">For example, </w:t>
      </w:r>
      <w:proofErr w:type="spellStart"/>
      <w:r w:rsidRPr="00B77A30">
        <w:rPr>
          <w:rFonts w:ascii="Book Antiqua" w:hAnsi="Book Antiqua" w:cs="Times New Roman"/>
          <w:sz w:val="24"/>
          <w:szCs w:val="24"/>
        </w:rPr>
        <w:t>Joglekar</w:t>
      </w:r>
      <w:bookmarkStart w:id="51" w:name="OLE_LINK601"/>
      <w:bookmarkStart w:id="52" w:name="OLE_LINK602"/>
      <w:proofErr w:type="spellEnd"/>
      <w:r w:rsidRPr="00B77A30">
        <w:rPr>
          <w:rFonts w:ascii="Book Antiqua" w:hAnsi="Book Antiqua" w:cs="Times New Roman"/>
          <w:i/>
          <w:sz w:val="24"/>
          <w:szCs w:val="24"/>
        </w:rPr>
        <w:t xml:space="preserve"> et al</w:t>
      </w:r>
      <w:r w:rsidR="00075EE5" w:rsidRPr="00B77A30">
        <w:rPr>
          <w:rFonts w:ascii="Book Antiqua" w:hAnsi="Book Antiqua" w:cs="Times New Roman"/>
          <w:sz w:val="24"/>
          <w:szCs w:val="24"/>
        </w:rPr>
        <w:fldChar w:fldCharType="begin" w:fldLock="1"/>
      </w:r>
      <w:r w:rsidR="00075EE5" w:rsidRPr="00B77A30">
        <w:rPr>
          <w:rFonts w:ascii="Book Antiqua" w:hAnsi="Book Antiqua" w:cs="Times New Roman"/>
          <w:sz w:val="24"/>
          <w:szCs w:val="24"/>
        </w:rPr>
        <w:instrText>ADDIN CSL_CITATION { "citationItems" : [ { "id" : "ITEM-1", "itemData" : { "DOI" : "10.1002/jso.23862", "ISSN" : "1096-9098", "PMID" : "25556324", "abstract" : "BACKGROUND AND OBJECTIVES: Sarcopenia, which is subclinical loss of skeletal muscle mass, is commonly observed in patients with malignancy. The objective of this study is to determine the correlation between sarcopenia and operative complications following pancreatectomy for cancer.\n\nMETHODS: A retrospective review of a pancreatectomy database was performed. The Hounsfield Unit Average Calculation (HUAC) of the psoas muscle, a marker of muscle density and fatty infiltration, was measured from preoperative CT scans. Complications were graded and multivariate logistic regression analysis was performed.\n\nRESULTS: One hundred eighteen patients met criteria for analysis; the overall morbidity rate was 78.8% (n = 93). There were 31 (26.3%) patients who met criteria for sarcopenia using the HUAC. When analyzed as a continuous variable, sarcopenia was an independent predictor of major grade III complications, length of stay, intensive care unit admission, delayed gastric emptying, and infectious, gastrointestinal, pulmonary, and cardiac complications.\n\nCONCLUSIONS: These data suggest that sarcopenia as measured with the HUAC, a value that can be obtained from a preoperative CT scan, is a significant independent predictor of surgical outcome and can be used to improve patient selection and informed consent prior to pancreatectomy in patients with cancer.", "author" : [ { "dropping-particle" : "", "family" : "Joglekar", "given" : "Savita", "non-dropping-particle" : "", "parse-names" : false, "suffix" : "" }, { "dropping-particle" : "", "family" : "Asghar", "given" : "Aeen", "non-dropping-particle" : "", "parse-names" : false, "suffix" : "" }, { "dropping-particle" : "", "family" : "Mott", "given" : "Sarah L", "non-dropping-particle" : "", "parse-names" : false, "suffix" : "" }, { "dropping-particle" : "", "family" : "Johnson", "given" : "Benjamin E", "non-dropping-particle" : "", "parse-names" : false, "suffix" : "" }, { "dropping-particle" : "", "family" : "Button", "given" : "Anna M", "non-dropping-particle" : "", "parse-names" : false, "suffix" : "" }, { "dropping-particle" : "", "family" : "Clark", "given" : "Eve", "non-dropping-particle" : "", "parse-names" : false, "suffix" : "" }, { "dropping-particle" : "", "family" : "Mezhir", "given" : "James J", "non-dropping-particle" : "", "parse-names" : false, "suffix" : "" } ], "container-title" : "Journal of surgical oncology", "id" : "ITEM-1", "issue" : "6", "issued" : { "date-parts" : [ [ "2015", "5" ] ] }, "page" : "771-5", "title" : "Sarcopenia is an independent predictor of complications following pancreatectomy for adenocarcinoma.", "type" : "article-journal", "volume" : "111" }, "uris" : [ "http://www.mendeley.com/documents/?uuid=8fb9bc48-f8c2-4932-9b0d-b2baed2a4d47" ] } ], "mendeley" : { "formattedCitation" : "&lt;sup&gt;[48]&lt;/sup&gt;", "plainTextFormattedCitation" : "[48]", "previouslyFormattedCitation" : "&lt;sup&gt;[48]&lt;/sup&gt;" }, "properties" : { "noteIndex" : 0 }, "schema" : "https://github.com/citation-style-language/schema/raw/master/csl-citation.json" }</w:instrText>
      </w:r>
      <w:r w:rsidR="00075EE5" w:rsidRPr="00B77A30">
        <w:rPr>
          <w:rFonts w:ascii="Book Antiqua" w:hAnsi="Book Antiqua" w:cs="Times New Roman"/>
          <w:sz w:val="24"/>
          <w:szCs w:val="24"/>
        </w:rPr>
        <w:fldChar w:fldCharType="separate"/>
      </w:r>
      <w:r w:rsidR="00075EE5" w:rsidRPr="00B77A30">
        <w:rPr>
          <w:rFonts w:ascii="Book Antiqua" w:hAnsi="Book Antiqua" w:cs="Times New Roman"/>
          <w:noProof/>
          <w:sz w:val="24"/>
          <w:szCs w:val="24"/>
          <w:vertAlign w:val="superscript"/>
        </w:rPr>
        <w:t>[48]</w:t>
      </w:r>
      <w:r w:rsidR="00075EE5" w:rsidRPr="00B77A30">
        <w:rPr>
          <w:rFonts w:ascii="Book Antiqua" w:hAnsi="Book Antiqua" w:cs="Times New Roman"/>
          <w:sz w:val="24"/>
          <w:szCs w:val="24"/>
        </w:rPr>
        <w:fldChar w:fldCharType="end"/>
      </w:r>
      <w:bookmarkEnd w:id="51"/>
      <w:bookmarkEnd w:id="52"/>
      <w:r w:rsidRPr="00B77A30">
        <w:rPr>
          <w:rFonts w:ascii="Book Antiqua" w:hAnsi="Book Antiqua" w:cs="Times New Roman"/>
          <w:sz w:val="24"/>
          <w:szCs w:val="24"/>
        </w:rPr>
        <w:t xml:space="preserve"> reported a relation between sarcopenia defined by the psoas muscle density and worse outcome after pancreatic resection. In a separate study, Peng</w:t>
      </w:r>
      <w:r w:rsidR="00075EE5" w:rsidRPr="00B77A30">
        <w:rPr>
          <w:rFonts w:ascii="Book Antiqua" w:hAnsi="Book Antiqua" w:cs="Times New Roman"/>
          <w:i/>
          <w:sz w:val="24"/>
          <w:szCs w:val="24"/>
        </w:rPr>
        <w:t xml:space="preserve"> et al</w:t>
      </w:r>
      <w:r w:rsidR="00075EE5" w:rsidRPr="00B77A30">
        <w:rPr>
          <w:rFonts w:ascii="Book Antiqua" w:hAnsi="Book Antiqua" w:cs="Times New Roman"/>
          <w:sz w:val="24"/>
          <w:szCs w:val="24"/>
        </w:rPr>
        <w:fldChar w:fldCharType="begin" w:fldLock="1"/>
      </w:r>
      <w:r w:rsidR="00075EE5" w:rsidRPr="00B77A30">
        <w:rPr>
          <w:rFonts w:ascii="Book Antiqua" w:hAnsi="Book Antiqua" w:cs="Times New Roman"/>
          <w:sz w:val="24"/>
          <w:szCs w:val="24"/>
        </w:rPr>
        <w:instrText>ADDIN CSL_CITATION { "citationItems" : [ { "id" : "ITEM-1", "itemData" : { "DOI" : "10.1002/jso.23862", "ISSN" : "1096-9098", "PMID" : "25556324", "abstract" : "BACKGROUND AND OBJECTIVES: Sarcopenia, which is subclinical loss of skeletal muscle mass, is commonly observed in patients with malignancy. The objective of this study is to determine the correlation between sarcopenia and operative complications following pancreatectomy for cancer.\n\nMETHODS: A retrospective review of a pancreatectomy database was performed. The Hounsfield Unit Average Calculation (HUAC) of the psoas muscle, a marker of muscle density and fatty infiltration, was measured from preoperative CT scans. Complications were graded and multivariate logistic regression analysis was performed.\n\nRESULTS: One hundred eighteen patients met criteria for analysis; the overall morbidity rate was 78.8% (n = 93). There were 31 (26.3%) patients who met criteria for sarcopenia using the HUAC. When analyzed as a continuous variable, sarcopenia was an independent predictor of major grade III complications, length of stay, intensive care unit admission, delayed gastric emptying, and infectious, gastrointestinal, pulmonary, and cardiac complications.\n\nCONCLUSIONS: These data suggest that sarcopenia as measured with the HUAC, a value that can be obtained from a preoperative CT scan, is a significant independent predictor of surgical outcome and can be used to improve patient selection and informed consent prior to pancreatectomy in patients with cancer.", "author" : [ { "dropping-particle" : "", "family" : "Joglekar", "given" : "Savita", "non-dropping-particle" : "", "parse-names" : false, "suffix" : "" }, { "dropping-particle" : "", "family" : "Asghar", "given" : "Aeen", "non-dropping-particle" : "", "parse-names" : false, "suffix" : "" }, { "dropping-particle" : "", "family" : "Mott", "given" : "Sarah L", "non-dropping-particle" : "", "parse-names" : false, "suffix" : "" }, { "dropping-particle" : "", "family" : "Johnson", "given" : "Benjamin E", "non-dropping-particle" : "", "parse-names" : false, "suffix" : "" }, { "dropping-particle" : "", "family" : "Button", "given" : "Anna M", "non-dropping-particle" : "", "parse-names" : false, "suffix" : "" }, { "dropping-particle" : "", "family" : "Clark", "given" : "Eve", "non-dropping-particle" : "", "parse-names" : false, "suffix" : "" }, { "dropping-particle" : "", "family" : "Mezhir", "given" : "James J", "non-dropping-particle" : "", "parse-names" : false, "suffix" : "" } ], "container-title" : "Journal of surgical oncology", "id" : "ITEM-1", "issue" : "6", "issued" : { "date-parts" : [ [ "2015", "5" ] ] }, "page" : "771-5", "title" : "Sarcopenia is an independent predictor of complications following pancreatectomy for adenocarcinoma.", "type" : "article-journal", "volume" : "111" }, "uris" : [ "http://www.mendeley.com/documents/?uuid=8fb9bc48-f8c2-4932-9b0d-b2baed2a4d47" ] } ], "mendeley" : { "formattedCitation" : "&lt;sup&gt;[48]&lt;/sup&gt;", "plainTextFormattedCitation" : "[48]", "previouslyFormattedCitation" : "&lt;sup&gt;[48]&lt;/sup&gt;" }, "properties" : { "noteIndex" : 0 }, "schema" : "https://github.com/citation-style-language/schema/raw/master/csl-citation.json" }</w:instrText>
      </w:r>
      <w:r w:rsidR="00075EE5" w:rsidRPr="00B77A30">
        <w:rPr>
          <w:rFonts w:ascii="Book Antiqua" w:hAnsi="Book Antiqua" w:cs="Times New Roman"/>
          <w:sz w:val="24"/>
          <w:szCs w:val="24"/>
        </w:rPr>
        <w:fldChar w:fldCharType="separate"/>
      </w:r>
      <w:r w:rsidR="00075EE5" w:rsidRPr="00B77A30">
        <w:rPr>
          <w:rFonts w:ascii="Book Antiqua" w:hAnsi="Book Antiqua" w:cs="Times New Roman"/>
          <w:noProof/>
          <w:sz w:val="24"/>
          <w:szCs w:val="24"/>
          <w:vertAlign w:val="superscript"/>
        </w:rPr>
        <w:t>[</w:t>
      </w:r>
      <w:r w:rsidR="00075EE5" w:rsidRPr="00B77A30">
        <w:rPr>
          <w:rFonts w:ascii="Book Antiqua" w:hAnsi="Book Antiqua" w:cs="Times New Roman"/>
          <w:noProof/>
          <w:sz w:val="24"/>
          <w:szCs w:val="24"/>
          <w:vertAlign w:val="superscript"/>
          <w:lang w:eastAsia="zh-CN"/>
        </w:rPr>
        <w:t>45</w:t>
      </w:r>
      <w:r w:rsidR="00075EE5" w:rsidRPr="00B77A30">
        <w:rPr>
          <w:rFonts w:ascii="Book Antiqua" w:hAnsi="Book Antiqua" w:cs="Times New Roman"/>
          <w:noProof/>
          <w:sz w:val="24"/>
          <w:szCs w:val="24"/>
          <w:vertAlign w:val="superscript"/>
        </w:rPr>
        <w:t>]</w:t>
      </w:r>
      <w:r w:rsidR="00075EE5" w:rsidRPr="00B77A30">
        <w:rPr>
          <w:rFonts w:ascii="Book Antiqua" w:hAnsi="Book Antiqua" w:cs="Times New Roman"/>
          <w:sz w:val="24"/>
          <w:szCs w:val="24"/>
        </w:rPr>
        <w:fldChar w:fldCharType="end"/>
      </w:r>
      <w:r w:rsidRPr="00B77A30">
        <w:rPr>
          <w:rFonts w:ascii="Book Antiqua" w:hAnsi="Book Antiqua" w:cs="Times New Roman"/>
          <w:sz w:val="24"/>
          <w:szCs w:val="24"/>
        </w:rPr>
        <w:t xml:space="preserve"> examined 557 patients undergoing resection of pancreatic adenocarcinoma and reported on the impact of sarcopeni</w:t>
      </w:r>
      <w:r w:rsidR="00075EE5" w:rsidRPr="00B77A30">
        <w:rPr>
          <w:rFonts w:ascii="Book Antiqua" w:hAnsi="Book Antiqua" w:cs="Times New Roman"/>
          <w:sz w:val="24"/>
          <w:szCs w:val="24"/>
        </w:rPr>
        <w:t>a on outcomes following surgery</w:t>
      </w:r>
      <w:r w:rsidR="007D7546" w:rsidRPr="00B77A30">
        <w:rPr>
          <w:rFonts w:ascii="Book Antiqua" w:hAnsi="Book Antiqua" w:cs="Times New Roman"/>
          <w:sz w:val="24"/>
          <w:szCs w:val="24"/>
        </w:rPr>
        <w:fldChar w:fldCharType="begin" w:fldLock="1"/>
      </w:r>
      <w:r w:rsidR="007D7546" w:rsidRPr="00B77A30">
        <w:rPr>
          <w:rFonts w:ascii="Book Antiqua" w:hAnsi="Book Antiqua" w:cs="Times New Roman"/>
          <w:sz w:val="24"/>
          <w:szCs w:val="24"/>
        </w:rPr>
        <w:instrText>ADDIN CSL_CITATION { "citationItems" : [ { "id" : "ITEM-1", "itemData" : { "DOI" : "10.1007/s11605-012-1923-5", "ISSN" : "1873-4626", "PMID" : "22692586", "abstract" : "INTRODUCTION: Assessing patient-specific risk factors for long-term mortality following resection of pancreatic adenocarcinoma can be difficult. Sarcopenia--the measurement of muscle wasting--may be a more objective and comprehensive patient-specific factor associated with long-term survival.\n\nMETHODS: Total psoas area (TPA) was measured on preoperative cross-sectional imaging in 557 patients undergoing resection of pancreatic adenocarcinoma between 1996 and 2010. Sarcopenia was defined as the presence of a TPA in the lowest sex-specific quartile. The impact of sarcopenia on 90-day, 1-year, and 3-year mortality was assessed relative to other clinicopathological factors.\n\nRESULTS: Mean patient age was 65.7 years and 53.1 % was male. Mean TPA among men (611 mm\u00b2/m\u00b2) was greater than among women (454 mm\u00b2/m\u00b2). Surgery involved pancreaticoduodenectomy (86.0 %) or distal pancreatectomy (14.0 %). Mean tumor size was 3.4 cm; 49.9 % and 88.5 % of patients had vascular and perineural invasion, respectively. Margin status was R0 (59.0 %) and 77.7 % patients had lymph node metastasis. Overall 90-day mortality was 3.1 % and overall 1- and 3-year survival was 67.9 % and 35.7 %, respectively. Sarcopenia was associated with increased risk of 3-year mortality (HR\u2009=\u20091.68; P\u2009&lt;\u20090.001). Tumor-specific factors such as poor differentiation on histology (HR\u2009=\u20091.75), margin status (HR\u2009=\u20091.66), and lymph node metastasis (HR\u2009=\u20092.06) were associated with risk of death at 3-years (all P\u2009&lt;\u20090.001). After controlling for these factors, sarcopenia remained independently associated with an increased risk of death at 3 years (HR\u2009=\u20091.63; P\u2009&lt;\u20090.001).\n\nCONCLUSIONS: Sarcopenia was a predictor of survival following pancreatic surgery, with sarcopenic patients having a 63 % increased risk of death at 3 years. Sarcopenia was an objective measure of patient frailty that was strongly associated with long-term outcome independent of tumor-specific factors.", "author" : [ { "dropping-particle" : "", "family" : "Peng", "given" : "Peter", "non-dropping-particle" : "", "parse-names" : false, "suffix" : "" }, { "dropping-particle" : "", "family" : "Hyder", "given" : "Omar", "non-dropping-particle" : "", "parse-names" : false, "suffix" : "" }, { "dropping-particle" : "", "family" : "Firoozmand", "given" : "Amin", "non-dropping-particle" : "", "parse-names" : false, "suffix" : "" }, { "dropping-particle" : "", "family" : "Kneuertz", "given" : "Peter", "non-dropping-particle" : "", "parse-names" : false, "suffix" : "" }, { "dropping-particle" : "", "family" : "Schulick", "given" : "Richard D", "non-dropping-particle" : "", "parse-names" : false, "suffix" : "" }, { "dropping-particle" : "", "family" : "Huang", "given" : "Donghang", "non-dropping-particle" : "", "parse-names" : false, "suffix" : "" }, { "dropping-particle" : "", "family" : "Makary", "given" : "Martin", "non-dropping-particle" : "", "parse-names" : false, "suffix" : "" }, { "dropping-particle" : "", "family" : "Hirose", "given" : "Kenzo", "non-dropping-particle" : "", "parse-names" : false, "suffix" : "" }, { "dropping-particle" : "", "family" : "Edil", "given" : "Barish", "non-dropping-particle" : "", "parse-names" : false, "suffix" : "" }, { "dropping-particle" : "", "family" : "Choti", "given" : "Michael A", "non-dropping-particle" : "", "parse-names" : false, "suffix" : "" }, { "dropping-particle" : "", "family" : "Herman", "given" : "Joseph", "non-dropping-particle" : "", "parse-names" : false, "suffix" : "" }, { "dropping-particle" : "", "family" : "Cameron", "given" : "John L", "non-dropping-particle" : "", "parse-names" : false, "suffix" : "" }, { "dropping-particle" : "", "family" : "Wolfgang", "given" : "Christopher L", "non-dropping-particle" : "", "parse-names" : false, "suffix" : "" }, { "dropping-particle" : "", "family" : "Pawlik", "given" : "Timothy M", "non-dropping-particle" : "", "parse-names" : false, "suffix" : "" } ], "container-title" : "Journal of gastrointestinal surgery : official journal of the Society for Surgery of the Alimentary Tract", "id" : "ITEM-1", "issue" : "8", "issued" : { "date-parts" : [ [ "2012", "8" ] ] }, "page" : "1478-86", "title" : "Impact of sarcopenia on outcomes following resection of pancreatic adenocarcinoma.", "type" : "article-journal", "volume" : "16" }, "uris" : [ "http://www.mendeley.com/documents/?uuid=2787952f-40c4-4a90-95a6-79ca7164e074" ] } ], "mendeley" : { "formattedCitation" : "&lt;sup&gt;[45]&lt;/sup&gt;", "plainTextFormattedCitation" : "[45]", "previouslyFormattedCitation" : "&lt;sup&gt;[45]&lt;/sup&gt;" }, "properties" : { "noteIndex" : 0 }, "schema" : "https://github.com/citation-style-language/schema/raw/master/csl-citation.json" }</w:instrText>
      </w:r>
      <w:r w:rsidR="007D7546" w:rsidRPr="00B77A30">
        <w:rPr>
          <w:rFonts w:ascii="Book Antiqua" w:hAnsi="Book Antiqua" w:cs="Times New Roman"/>
          <w:sz w:val="24"/>
          <w:szCs w:val="24"/>
        </w:rPr>
        <w:fldChar w:fldCharType="separate"/>
      </w:r>
      <w:r w:rsidR="007D7546" w:rsidRPr="00B77A30">
        <w:rPr>
          <w:rFonts w:ascii="Book Antiqua" w:hAnsi="Book Antiqua" w:cs="Times New Roman"/>
          <w:noProof/>
          <w:sz w:val="24"/>
          <w:szCs w:val="24"/>
          <w:vertAlign w:val="superscript"/>
        </w:rPr>
        <w:t>[45]</w:t>
      </w:r>
      <w:r w:rsidR="007D7546" w:rsidRPr="00B77A30">
        <w:rPr>
          <w:rFonts w:ascii="Book Antiqua" w:hAnsi="Book Antiqua" w:cs="Times New Roman"/>
          <w:sz w:val="24"/>
          <w:szCs w:val="24"/>
        </w:rPr>
        <w:fldChar w:fldCharType="end"/>
      </w:r>
      <w:r w:rsidR="00075EE5"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Sarcopenia was associated with an increased three year mortality (HR</w:t>
      </w:r>
      <w:r w:rsidR="00AD04E3"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 1.63, </w:t>
      </w:r>
      <w:r w:rsidR="00AD04E3" w:rsidRPr="00B77A30">
        <w:rPr>
          <w:rFonts w:ascii="Book Antiqua" w:hAnsi="Book Antiqua" w:cs="Times New Roman"/>
          <w:i/>
          <w:sz w:val="24"/>
          <w:szCs w:val="24"/>
        </w:rPr>
        <w:t>P</w:t>
      </w:r>
      <w:r w:rsidR="00AD04E3"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&lt;</w:t>
      </w:r>
      <w:r w:rsidR="00AD04E3"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0.001) (Figure 4</w:t>
      </w:r>
      <w:r w:rsidR="00AD04E3" w:rsidRPr="00B77A30">
        <w:rPr>
          <w:rFonts w:ascii="Book Antiqua" w:hAnsi="Book Antiqua" w:cs="Times New Roman"/>
          <w:sz w:val="24"/>
          <w:szCs w:val="24"/>
        </w:rPr>
        <w:t>A</w:t>
      </w:r>
      <w:r w:rsidRPr="00B77A30">
        <w:rPr>
          <w:rFonts w:ascii="Book Antiqua" w:hAnsi="Book Antiqua" w:cs="Times New Roman"/>
          <w:sz w:val="24"/>
          <w:szCs w:val="24"/>
        </w:rPr>
        <w:t>).</w:t>
      </w:r>
      <w:r w:rsidR="000A0F89">
        <w:rPr>
          <w:rFonts w:ascii="Book Antiqua" w:hAnsi="Book Antiqua" w:cs="Times New Roman"/>
          <w:sz w:val="24"/>
          <w:szCs w:val="24"/>
        </w:rPr>
        <w:t xml:space="preserve"> </w:t>
      </w:r>
      <w:r w:rsidRPr="00B77A30">
        <w:rPr>
          <w:rFonts w:ascii="Book Antiqua" w:hAnsi="Book Antiqua" w:cs="Times New Roman"/>
          <w:sz w:val="24"/>
          <w:szCs w:val="24"/>
        </w:rPr>
        <w:t>Of note, even after controlling for tumor-specific factors such as poor tumor differentiation, margin status, and lymph node metastasis, sarcopenia defined by TSA remained independently associated with risk of long-term death.</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More recently, rather than assessing sarcopenia using only two-dimensional imaging, the same group </w:t>
      </w:r>
      <w:r w:rsidRPr="00B77A30">
        <w:rPr>
          <w:rFonts w:ascii="Book Antiqua" w:hAnsi="Book Antiqua" w:cs="Times New Roman"/>
          <w:sz w:val="24"/>
          <w:szCs w:val="24"/>
        </w:rPr>
        <w:lastRenderedPageBreak/>
        <w:t>reported on the effect of three-dimensional psoas volume (TPV) on outcomes fo</w:t>
      </w:r>
      <w:r w:rsidR="007D7546" w:rsidRPr="00B77A30">
        <w:rPr>
          <w:rFonts w:ascii="Book Antiqua" w:hAnsi="Book Antiqua" w:cs="Times New Roman"/>
          <w:sz w:val="24"/>
          <w:szCs w:val="24"/>
        </w:rPr>
        <w:t>llowing pancreatic resection</w:t>
      </w:r>
      <w:r w:rsidR="007D7546" w:rsidRPr="00B77A30">
        <w:rPr>
          <w:rFonts w:ascii="Book Antiqua" w:hAnsi="Book Antiqua" w:cs="Times New Roman"/>
          <w:sz w:val="24"/>
          <w:szCs w:val="24"/>
        </w:rPr>
        <w:fldChar w:fldCharType="begin" w:fldLock="1"/>
      </w:r>
      <w:r w:rsidR="00247D71" w:rsidRPr="00B77A30">
        <w:rPr>
          <w:rFonts w:ascii="Book Antiqua" w:hAnsi="Book Antiqua" w:cs="Times New Roman"/>
          <w:sz w:val="24"/>
          <w:szCs w:val="24"/>
        </w:rPr>
        <w:instrText>ADDIN CSL_CITATION { "citationItems" : [ { "id" : "ITEM-1", "itemData" : { "DOI" : "10.1007/s11605-015-2835-y", "ISSN" : "1873-4626", "PMID" : "25925237", "abstract" : "BACKGROUND: While sarcopenia is typically defined using total psoas area (TPA), characterizing sarcopenia using only a single axial cross-sectional image may be inadequate. We sought to evaluate total psoas volume (TPV) as a new tool to define sarcopenia and compare patient outcomes relative to TPA and TPV.\n\nMETHOD: Sarcopenia was assessed in 763 patients who underwent pancreatectomy for pancreatic adenocarcinoma between 1996 and 2014. It was defined as the TPA and TPV in the lowest sex-specific quartile. The impact of sarcopenia defined by TPA and TPV on overall morbidity and mortality was assessed using multivariable analysis.\n\nRESULT: Median TPA and TPV were both lower in women versus men (both P\u2009&lt;\u20090.001). TPA identified 192 (25.1\u00a0%) patients as sarcopenic, while TPV identified 152 patients (19.9\u00a0%). Three hundred sixty-nine (48.4\u00a0%) patients experienced a postoperative complication. While TPA-sarcopenia was not associated with higher risk of postoperative complications (OR 1.06; P\u2009=\u20090.72), sarcopenia defined by TPV was associated with morbidity (OR 1.79; P\u2009=\u20090.002). On multivariable analysis, TPV-sarcopenia remained independently associated with an increased risk of postoperative complications (OR 1.69; P\u2009=\u20090.006), as well as long-term survival (HR 1.46; P\u2009=\u20090.006).\n\nCONCLUSION: The use of TPV to define sarcopenia was associated with both short- and long-term outcomes following resection of pancreatic cancer. Assessment of the entire volume of the psoas muscle (TPV) may be a better means to define sarcopenia rather than a single axial image.", "author" : [ { "dropping-particle" : "", "family" : "Amini", "given" : "Neda", "non-dropping-particle" : "", "parse-names" : false, "suffix" : "" }, { "dropping-particle" : "", "family" : "Spolverato", "given" : "Gaya", "non-dropping-particle" : "", "parse-names" : false, "suffix" : "" }, { "dropping-particle" : "", "family" : "Gupta", "given" : "Rohan", "non-dropping-particle" : "", "parse-names" : false, "suffix" : "" }, { "dropping-particle" : "", "family" : "Margonis", "given" : "Georgios A", "non-dropping-particle" : "", "parse-names" : false, "suffix" : "" }, { "dropping-particle" : "", "family" : "Kim", "given" : "Yuhree", "non-dropping-particle" : "", "parse-names" : false, "suffix" : "" }, { "dropping-particle" : "", "family" : "Wagner", "given" : "Doris", "non-dropping-particle" : "", "parse-names" : false, "suffix" : "" }, { "dropping-particle" : "", "family" : "Rezaee", "given" : "Neda", "non-dropping-particle" : "", "parse-names" : false, "suffix" : "" }, { "dropping-particle" : "", "family" : "Weiss", "given" : "Matthew J", "non-dropping-particle" : "", "parse-names" : false, "suffix" : "" }, { "dropping-particle" : "", "family" : "Wolfgang", "given" : "Christopher L", "non-dropping-particle" : "", "parse-names" : false, "suffix" : "" }, { "dropping-particle" : "", "family" : "Makary", "given" : "Martin M", "non-dropping-particle" : "", "parse-names" : false, "suffix" : "" }, { "dropping-particle" : "", "family" : "Kamel", "given" : "Ihab R", "non-dropping-particle" : "", "parse-names" : false, "suffix" : "" }, { "dropping-particle" : "", "family" : "Pawlik", "given" : "Timothy M", "non-dropping-particle" : "", "parse-names" : false, "suffix" : "" } ], "container-title" : "Journal of gastrointestinal surgery : official journal of the Society for Surgery of the Alimentary Tract", "id" : "ITEM-1", "issued" : { "date-parts" : [ [ "2015", "4", "30" ] ] }, "title" : "Impact Total Psoas Volume on Short- and Long-Term Outcomes in Patients Undergoing Curative Resection for Pancreatic Adenocarcinoma: a New Tool to Assess Sarcopenia.", "type" : "article-journal" }, "uris" : [ "http://www.mendeley.com/documents/?uuid=069871f5-b451-4104-a8de-a79ca8f489fd" ] } ], "mendeley" : { "formattedCitation" : "&lt;sup&gt;[47]&lt;/sup&gt;", "plainTextFormattedCitation" : "[47]", "previouslyFormattedCitation" : "&lt;sup&gt;[47]&lt;/sup&gt;" }, "properties" : { "noteIndex" : 0 }, "schema" : "https://github.com/citation-style-language/schema/raw/master/csl-citation.json" }</w:instrText>
      </w:r>
      <w:r w:rsidR="007D7546" w:rsidRPr="00B77A30">
        <w:rPr>
          <w:rFonts w:ascii="Book Antiqua" w:hAnsi="Book Antiqua" w:cs="Times New Roman"/>
          <w:sz w:val="24"/>
          <w:szCs w:val="24"/>
        </w:rPr>
        <w:fldChar w:fldCharType="separate"/>
      </w:r>
      <w:r w:rsidR="007D7546" w:rsidRPr="00B77A30">
        <w:rPr>
          <w:rFonts w:ascii="Book Antiqua" w:hAnsi="Book Antiqua" w:cs="Times New Roman"/>
          <w:noProof/>
          <w:sz w:val="24"/>
          <w:szCs w:val="24"/>
          <w:vertAlign w:val="superscript"/>
        </w:rPr>
        <w:t>[47]</w:t>
      </w:r>
      <w:r w:rsidR="007D7546" w:rsidRPr="00B77A30">
        <w:rPr>
          <w:rFonts w:ascii="Book Antiqua" w:hAnsi="Book Antiqua" w:cs="Times New Roman"/>
          <w:sz w:val="24"/>
          <w:szCs w:val="24"/>
        </w:rPr>
        <w:fldChar w:fldCharType="end"/>
      </w:r>
      <w:r w:rsidR="00723D9F" w:rsidRPr="00B77A30">
        <w:rPr>
          <w:rFonts w:ascii="Book Antiqua" w:hAnsi="Book Antiqua" w:cs="Times New Roman"/>
          <w:sz w:val="24"/>
          <w:szCs w:val="24"/>
          <w:lang w:eastAsia="zh-CN"/>
        </w:rPr>
        <w:t>.</w:t>
      </w:r>
      <w:r w:rsidRPr="00B77A30">
        <w:rPr>
          <w:rFonts w:ascii="Book Antiqua" w:hAnsi="Book Antiqua" w:cs="Times New Roman"/>
          <w:sz w:val="24"/>
          <w:szCs w:val="24"/>
        </w:rPr>
        <w:t xml:space="preserve"> In this study, </w:t>
      </w:r>
      <w:proofErr w:type="spellStart"/>
      <w:r w:rsidRPr="00B77A30">
        <w:rPr>
          <w:rFonts w:ascii="Book Antiqua" w:hAnsi="Book Antiqua" w:cs="Times New Roman"/>
          <w:sz w:val="24"/>
          <w:szCs w:val="24"/>
        </w:rPr>
        <w:t>Amini</w:t>
      </w:r>
      <w:proofErr w:type="spellEnd"/>
      <w:r w:rsidRPr="00B77A30">
        <w:rPr>
          <w:rFonts w:ascii="Book Antiqua" w:hAnsi="Book Antiqua" w:cs="Times New Roman"/>
          <w:sz w:val="24"/>
          <w:szCs w:val="24"/>
        </w:rPr>
        <w:t xml:space="preserve"> et al. noted that more patients were identified as </w:t>
      </w:r>
      <w:proofErr w:type="spellStart"/>
      <w:r w:rsidRPr="00B77A30">
        <w:rPr>
          <w:rFonts w:ascii="Book Antiqua" w:hAnsi="Book Antiqua" w:cs="Times New Roman"/>
          <w:sz w:val="24"/>
          <w:szCs w:val="24"/>
        </w:rPr>
        <w:t>sarcopenic</w:t>
      </w:r>
      <w:proofErr w:type="spellEnd"/>
      <w:r w:rsidRPr="00B77A30">
        <w:rPr>
          <w:rFonts w:ascii="Book Antiqua" w:hAnsi="Book Antiqua" w:cs="Times New Roman"/>
          <w:sz w:val="24"/>
          <w:szCs w:val="24"/>
        </w:rPr>
        <w:t xml:space="preserve"> by TPA than TPV.</w:t>
      </w:r>
      <w:r w:rsidR="000A0F89">
        <w:rPr>
          <w:rFonts w:ascii="Book Antiqua" w:hAnsi="Book Antiqua" w:cs="Times New Roman"/>
          <w:sz w:val="24"/>
          <w:szCs w:val="24"/>
        </w:rPr>
        <w:t xml:space="preserve"> </w:t>
      </w:r>
      <w:r w:rsidRPr="00B77A30">
        <w:rPr>
          <w:rFonts w:ascii="Book Antiqua" w:hAnsi="Book Antiqua" w:cs="Times New Roman"/>
          <w:sz w:val="24"/>
          <w:szCs w:val="24"/>
        </w:rPr>
        <w:t>Perhaps more importantly, while TPA-sarcopenia was not associated with a higher risk of postoperative complications (OR</w:t>
      </w:r>
      <w:r w:rsidR="00723D9F"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 1.06), TPV-sarcopenia was as strong predictor of post-operative morbidity (OR</w:t>
      </w:r>
      <w:r w:rsidR="00723D9F"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 1.79).</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On multivariate analysis, TPV – sarcopenia remained an independent risk factor of postoperative complications (OR </w:t>
      </w:r>
      <w:r w:rsidR="008F752F">
        <w:rPr>
          <w:rFonts w:ascii="Book Antiqua" w:hAnsi="Book Antiqua" w:cs="Times New Roman" w:hint="eastAsia"/>
          <w:sz w:val="24"/>
          <w:szCs w:val="24"/>
          <w:lang w:eastAsia="zh-CN"/>
        </w:rPr>
        <w:t xml:space="preserve">= </w:t>
      </w:r>
      <w:r w:rsidRPr="00B77A30">
        <w:rPr>
          <w:rFonts w:ascii="Book Antiqua" w:hAnsi="Book Antiqua" w:cs="Times New Roman"/>
          <w:sz w:val="24"/>
          <w:szCs w:val="24"/>
        </w:rPr>
        <w:t>1.69), as well as long-term survival (OR</w:t>
      </w:r>
      <w:r w:rsidR="00723D9F"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 xml:space="preserve"> 1.46) (both </w:t>
      </w:r>
      <w:r w:rsidRPr="00B77A30">
        <w:rPr>
          <w:rFonts w:ascii="Book Antiqua" w:hAnsi="Book Antiqua" w:cs="Times New Roman"/>
          <w:i/>
          <w:sz w:val="24"/>
          <w:szCs w:val="24"/>
        </w:rPr>
        <w:t>P</w:t>
      </w:r>
      <w:r w:rsidR="00723D9F" w:rsidRPr="00B77A30">
        <w:rPr>
          <w:rFonts w:ascii="Book Antiqua" w:hAnsi="Book Antiqua" w:cs="Times New Roman"/>
          <w:i/>
          <w:sz w:val="24"/>
          <w:szCs w:val="24"/>
          <w:lang w:eastAsia="zh-CN"/>
        </w:rPr>
        <w:t xml:space="preserve"> </w:t>
      </w:r>
      <w:r w:rsidRPr="00B77A30">
        <w:rPr>
          <w:rFonts w:ascii="Book Antiqua" w:hAnsi="Book Antiqua" w:cs="Times New Roman"/>
          <w:sz w:val="24"/>
          <w:szCs w:val="24"/>
        </w:rPr>
        <w:t>&lt;</w:t>
      </w:r>
      <w:r w:rsidR="00723D9F" w:rsidRPr="00B77A30">
        <w:rPr>
          <w:rFonts w:ascii="Book Antiqua" w:hAnsi="Book Antiqua" w:cs="Times New Roman"/>
          <w:sz w:val="24"/>
          <w:szCs w:val="24"/>
          <w:lang w:eastAsia="zh-CN"/>
        </w:rPr>
        <w:t xml:space="preserve"> </w:t>
      </w:r>
      <w:r w:rsidRPr="00B77A30">
        <w:rPr>
          <w:rFonts w:ascii="Book Antiqua" w:hAnsi="Book Antiqua" w:cs="Times New Roman"/>
          <w:sz w:val="24"/>
          <w:szCs w:val="24"/>
        </w:rPr>
        <w:t>0.05) (Figure 4</w:t>
      </w:r>
      <w:r w:rsidR="00723D9F" w:rsidRPr="00B77A30">
        <w:rPr>
          <w:rFonts w:ascii="Book Antiqua" w:hAnsi="Book Antiqua" w:cs="Times New Roman"/>
          <w:sz w:val="24"/>
          <w:szCs w:val="24"/>
        </w:rPr>
        <w:t>B</w:t>
      </w:r>
      <w:r w:rsidRPr="00B77A30">
        <w:rPr>
          <w:rFonts w:ascii="Book Antiqua" w:hAnsi="Book Antiqua" w:cs="Times New Roman"/>
          <w:sz w:val="24"/>
          <w:szCs w:val="24"/>
        </w:rPr>
        <w:t xml:space="preserve">). </w:t>
      </w:r>
    </w:p>
    <w:p w14:paraId="2AE8AFF3" w14:textId="77777777" w:rsidR="00723D9F" w:rsidRPr="00B77A30" w:rsidRDefault="00723D9F" w:rsidP="00CB2DFE">
      <w:pPr>
        <w:spacing w:after="0" w:line="360" w:lineRule="auto"/>
        <w:ind w:firstLine="720"/>
        <w:jc w:val="both"/>
        <w:rPr>
          <w:rFonts w:ascii="Book Antiqua" w:hAnsi="Book Antiqua" w:cs="Times New Roman"/>
          <w:sz w:val="24"/>
          <w:szCs w:val="24"/>
          <w:lang w:eastAsia="zh-CN"/>
        </w:rPr>
      </w:pPr>
    </w:p>
    <w:p w14:paraId="3C38B243" w14:textId="59857C8C" w:rsidR="005A19AC" w:rsidRPr="00B77A30" w:rsidRDefault="005A19AC" w:rsidP="00CB2DFE">
      <w:pPr>
        <w:spacing w:after="0" w:line="360" w:lineRule="auto"/>
        <w:jc w:val="both"/>
        <w:rPr>
          <w:rFonts w:ascii="Book Antiqua" w:hAnsi="Book Antiqua" w:cs="Times New Roman"/>
          <w:b/>
          <w:sz w:val="24"/>
          <w:szCs w:val="24"/>
        </w:rPr>
      </w:pPr>
      <w:r w:rsidRPr="00B77A30">
        <w:rPr>
          <w:rFonts w:ascii="Book Antiqua" w:hAnsi="Book Antiqua" w:cs="Times New Roman"/>
          <w:b/>
          <w:sz w:val="24"/>
          <w:szCs w:val="24"/>
        </w:rPr>
        <w:t>C</w:t>
      </w:r>
      <w:r w:rsidR="00723D9F" w:rsidRPr="00B77A30">
        <w:rPr>
          <w:rFonts w:ascii="Book Antiqua" w:hAnsi="Book Antiqua" w:cs="Times New Roman"/>
          <w:b/>
          <w:sz w:val="24"/>
          <w:szCs w:val="24"/>
        </w:rPr>
        <w:t>ONCLUSION</w:t>
      </w:r>
    </w:p>
    <w:p w14:paraId="661B7BD2" w14:textId="68FBB670" w:rsidR="005A19AC" w:rsidRPr="00B77A30" w:rsidRDefault="005A19AC" w:rsidP="00CB2DFE">
      <w:pPr>
        <w:spacing w:after="0" w:line="360" w:lineRule="auto"/>
        <w:jc w:val="both"/>
        <w:rPr>
          <w:rFonts w:ascii="Book Antiqua" w:hAnsi="Book Antiqua" w:cs="Times New Roman"/>
          <w:sz w:val="24"/>
          <w:szCs w:val="24"/>
        </w:rPr>
      </w:pPr>
      <w:r w:rsidRPr="00B77A30">
        <w:rPr>
          <w:rFonts w:ascii="Book Antiqua" w:hAnsi="Book Antiqua" w:cs="Times New Roman"/>
          <w:sz w:val="24"/>
          <w:szCs w:val="24"/>
        </w:rPr>
        <w:t>As the population ages, an increasing number of older patients will require complex gastrointestinal surgical procedures.</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While chronologic age is an important element in assessing a patient’s </w:t>
      </w:r>
      <w:proofErr w:type="spellStart"/>
      <w:r w:rsidRPr="00B77A30">
        <w:rPr>
          <w:rFonts w:ascii="Book Antiqua" w:hAnsi="Book Antiqua" w:cs="Times New Roman"/>
          <w:sz w:val="24"/>
          <w:szCs w:val="24"/>
        </w:rPr>
        <w:t>peri</w:t>
      </w:r>
      <w:proofErr w:type="spellEnd"/>
      <w:r w:rsidRPr="00B77A30">
        <w:rPr>
          <w:rFonts w:ascii="Book Antiqua" w:hAnsi="Book Antiqua" w:cs="Times New Roman"/>
          <w:sz w:val="24"/>
          <w:szCs w:val="24"/>
        </w:rPr>
        <w:t>-operative risk, physiologic age is a more important determinant of outcomes.</w:t>
      </w:r>
      <w:r w:rsidR="000A0F89">
        <w:rPr>
          <w:rFonts w:ascii="Book Antiqua" w:hAnsi="Book Antiqua" w:cs="Times New Roman"/>
          <w:sz w:val="24"/>
          <w:szCs w:val="24"/>
        </w:rPr>
        <w:t xml:space="preserve"> </w:t>
      </w:r>
      <w:r w:rsidRPr="00B77A30">
        <w:rPr>
          <w:rFonts w:ascii="Book Antiqua" w:hAnsi="Book Antiqua" w:cs="Times New Roman"/>
          <w:sz w:val="24"/>
          <w:szCs w:val="24"/>
        </w:rPr>
        <w:t>Geriatric assessment tools are important components of the pre-operative work-up and can help identify patients who suffer from frailty.</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 Such data are important, as frailty has repeatedly been demonstrated to be one of the strongest predictors of both short- and long-term outcome following complicated surgical procedures such as esophageal, gastric, colorectal, and HPB resections.</w:t>
      </w:r>
      <w:r w:rsidR="000A0F89">
        <w:rPr>
          <w:rFonts w:ascii="Book Antiqua" w:hAnsi="Book Antiqua" w:cs="Times New Roman"/>
          <w:sz w:val="24"/>
          <w:szCs w:val="24"/>
        </w:rPr>
        <w:t xml:space="preserve"> </w:t>
      </w:r>
      <w:r w:rsidRPr="00B77A30">
        <w:rPr>
          <w:rFonts w:ascii="Book Antiqua" w:hAnsi="Book Antiqua" w:cs="Times New Roman"/>
          <w:sz w:val="24"/>
          <w:szCs w:val="24"/>
        </w:rPr>
        <w:t>Frailty can sometimes, however, be difficult to assess in an accurate and timely manner.</w:t>
      </w:r>
      <w:r w:rsidR="000A0F89">
        <w:rPr>
          <w:rFonts w:ascii="Book Antiqua" w:hAnsi="Book Antiqua" w:cs="Times New Roman"/>
          <w:sz w:val="24"/>
          <w:szCs w:val="24"/>
        </w:rPr>
        <w:t xml:space="preserve"> </w:t>
      </w:r>
      <w:r w:rsidRPr="00B77A30">
        <w:rPr>
          <w:rFonts w:ascii="Book Antiqua" w:hAnsi="Book Antiqua" w:cs="Times New Roman"/>
          <w:sz w:val="24"/>
          <w:szCs w:val="24"/>
        </w:rPr>
        <w:t>As such, there has been an increasing interest in determining a patient’s “morphometric age.”</w:t>
      </w:r>
      <w:r w:rsidR="000A0F89">
        <w:rPr>
          <w:rFonts w:ascii="Book Antiqua" w:hAnsi="Book Antiqua" w:cs="Times New Roman"/>
          <w:sz w:val="24"/>
          <w:szCs w:val="24"/>
        </w:rPr>
        <w:t xml:space="preserve"> </w:t>
      </w:r>
      <w:r w:rsidRPr="00B77A30">
        <w:rPr>
          <w:rFonts w:ascii="Book Antiqua" w:hAnsi="Book Antiqua" w:cs="Times New Roman"/>
          <w:sz w:val="24"/>
          <w:szCs w:val="24"/>
        </w:rPr>
        <w:t>Sarcopenia, or wasting of lean muscle mass, has been noted to be an emerging important metric of frailty that is associated</w:t>
      </w:r>
      <w:r w:rsidR="00723D9F" w:rsidRPr="00B77A30">
        <w:rPr>
          <w:rFonts w:ascii="Book Antiqua" w:hAnsi="Book Antiqua" w:cs="Times New Roman"/>
          <w:sz w:val="24"/>
          <w:szCs w:val="24"/>
        </w:rPr>
        <w:t xml:space="preserve"> with </w:t>
      </w:r>
      <w:proofErr w:type="spellStart"/>
      <w:r w:rsidR="00723D9F" w:rsidRPr="00B77A30">
        <w:rPr>
          <w:rFonts w:ascii="Book Antiqua" w:hAnsi="Book Antiqua" w:cs="Times New Roman"/>
          <w:sz w:val="24"/>
          <w:szCs w:val="24"/>
        </w:rPr>
        <w:t>peri</w:t>
      </w:r>
      <w:proofErr w:type="spellEnd"/>
      <w:r w:rsidR="00723D9F" w:rsidRPr="00B77A30">
        <w:rPr>
          <w:rFonts w:ascii="Book Antiqua" w:hAnsi="Book Antiqua" w:cs="Times New Roman"/>
          <w:sz w:val="24"/>
          <w:szCs w:val="24"/>
        </w:rPr>
        <w:t xml:space="preserve">-operative outcomes. </w:t>
      </w:r>
      <w:r w:rsidRPr="00B77A30">
        <w:rPr>
          <w:rFonts w:ascii="Book Antiqua" w:hAnsi="Book Antiqua" w:cs="Times New Roman"/>
          <w:sz w:val="24"/>
          <w:szCs w:val="24"/>
        </w:rPr>
        <w:t>As demonstrated by the data herein reviewed, screening of patients being considered for gastrointestinal surgery should include an assessment of frailty and sarcopenia to target high risk patients for pre-habilitation.</w:t>
      </w:r>
      <w:r w:rsidR="000A0F89">
        <w:rPr>
          <w:rFonts w:ascii="Book Antiqua" w:hAnsi="Book Antiqua" w:cs="Times New Roman"/>
          <w:sz w:val="24"/>
          <w:szCs w:val="24"/>
        </w:rPr>
        <w:t xml:space="preserve"> </w:t>
      </w:r>
      <w:r w:rsidRPr="00B77A30">
        <w:rPr>
          <w:rFonts w:ascii="Book Antiqua" w:hAnsi="Book Antiqua" w:cs="Times New Roman"/>
          <w:sz w:val="24"/>
          <w:szCs w:val="24"/>
        </w:rPr>
        <w:t>Future studies will need to continue to define the optimal combination of factors (</w:t>
      </w:r>
      <w:r w:rsidRPr="00B77A30">
        <w:rPr>
          <w:rFonts w:ascii="Book Antiqua" w:hAnsi="Book Antiqua" w:cs="Times New Roman"/>
          <w:i/>
          <w:sz w:val="24"/>
          <w:szCs w:val="24"/>
        </w:rPr>
        <w:t>e.g.</w:t>
      </w:r>
      <w:r w:rsidR="00723D9F" w:rsidRPr="00B77A30">
        <w:rPr>
          <w:rFonts w:ascii="Book Antiqua" w:hAnsi="Book Antiqua" w:cs="Times New Roman"/>
          <w:i/>
          <w:sz w:val="24"/>
          <w:szCs w:val="24"/>
          <w:lang w:eastAsia="zh-CN"/>
        </w:rPr>
        <w:t>,</w:t>
      </w:r>
      <w:r w:rsidRPr="00B77A30">
        <w:rPr>
          <w:rFonts w:ascii="Book Antiqua" w:hAnsi="Book Antiqua" w:cs="Times New Roman"/>
          <w:i/>
          <w:sz w:val="24"/>
          <w:szCs w:val="24"/>
        </w:rPr>
        <w:t xml:space="preserve"> </w:t>
      </w:r>
      <w:r w:rsidRPr="00B77A30">
        <w:rPr>
          <w:rFonts w:ascii="Book Antiqua" w:hAnsi="Book Antiqua" w:cs="Times New Roman"/>
          <w:sz w:val="24"/>
          <w:szCs w:val="24"/>
        </w:rPr>
        <w:t xml:space="preserve">clinical, performance, and morphometric) to predict optimally a patient’s </w:t>
      </w:r>
      <w:proofErr w:type="spellStart"/>
      <w:r w:rsidRPr="00B77A30">
        <w:rPr>
          <w:rFonts w:ascii="Book Antiqua" w:hAnsi="Book Antiqua" w:cs="Times New Roman"/>
          <w:sz w:val="24"/>
          <w:szCs w:val="24"/>
        </w:rPr>
        <w:t>peri</w:t>
      </w:r>
      <w:proofErr w:type="spellEnd"/>
      <w:r w:rsidRPr="00B77A30">
        <w:rPr>
          <w:rFonts w:ascii="Book Antiqua" w:hAnsi="Book Antiqua" w:cs="Times New Roman"/>
          <w:sz w:val="24"/>
          <w:szCs w:val="24"/>
        </w:rPr>
        <w:t xml:space="preserve">-operative risk. </w:t>
      </w:r>
    </w:p>
    <w:p w14:paraId="247C3FB3" w14:textId="7FA2C828" w:rsidR="00490AED" w:rsidRPr="00B77A30" w:rsidRDefault="004D4B7C" w:rsidP="00CB2DFE">
      <w:pPr>
        <w:spacing w:after="0" w:line="360" w:lineRule="auto"/>
        <w:ind w:firstLine="720"/>
        <w:jc w:val="both"/>
        <w:rPr>
          <w:rFonts w:ascii="Book Antiqua" w:hAnsi="Book Antiqua" w:cs="Times New Roman"/>
          <w:sz w:val="24"/>
          <w:szCs w:val="24"/>
        </w:rPr>
      </w:pPr>
      <w:r w:rsidRPr="00B77A30">
        <w:rPr>
          <w:rFonts w:ascii="Book Antiqua" w:hAnsi="Book Antiqua" w:cs="Times New Roman"/>
          <w:sz w:val="24"/>
          <w:szCs w:val="24"/>
        </w:rPr>
        <w:t xml:space="preserve"> </w:t>
      </w:r>
    </w:p>
    <w:p w14:paraId="3639E4E4" w14:textId="77777777" w:rsidR="00EB2276" w:rsidRPr="00B77A30" w:rsidRDefault="00EB2276" w:rsidP="00CB2DFE">
      <w:pPr>
        <w:spacing w:after="0" w:line="360" w:lineRule="auto"/>
        <w:jc w:val="both"/>
        <w:rPr>
          <w:rFonts w:ascii="Book Antiqua" w:hAnsi="Book Antiqua" w:cs="Times New Roman"/>
          <w:sz w:val="24"/>
          <w:szCs w:val="24"/>
        </w:rPr>
      </w:pPr>
    </w:p>
    <w:p w14:paraId="1AE9EC19" w14:textId="73A364FC" w:rsidR="002F5F98" w:rsidRPr="00B77A30" w:rsidRDefault="005D220C" w:rsidP="00CB2DFE">
      <w:pPr>
        <w:spacing w:after="0" w:line="360" w:lineRule="auto"/>
        <w:jc w:val="both"/>
        <w:rPr>
          <w:rFonts w:ascii="Book Antiqua" w:hAnsi="Book Antiqua" w:cs="Times New Roman"/>
          <w:sz w:val="24"/>
          <w:szCs w:val="24"/>
        </w:rPr>
      </w:pPr>
      <w:r w:rsidRPr="00B77A30">
        <w:rPr>
          <w:rFonts w:ascii="Book Antiqua" w:hAnsi="Book Antiqua" w:cs="Times New Roman"/>
          <w:sz w:val="24"/>
          <w:szCs w:val="24"/>
        </w:rPr>
        <w:br w:type="page"/>
      </w:r>
    </w:p>
    <w:p w14:paraId="44690D8B" w14:textId="77777777" w:rsidR="00526173" w:rsidRPr="00B77A30" w:rsidRDefault="00526173" w:rsidP="00CB2DFE">
      <w:pPr>
        <w:autoSpaceDE w:val="0"/>
        <w:autoSpaceDN w:val="0"/>
        <w:adjustRightInd w:val="0"/>
        <w:snapToGrid w:val="0"/>
        <w:spacing w:after="0" w:line="360" w:lineRule="auto"/>
        <w:jc w:val="both"/>
        <w:rPr>
          <w:rFonts w:ascii="Book Antiqua" w:hAnsi="Book Antiqua" w:cs="Arial"/>
          <w:b/>
          <w:sz w:val="24"/>
        </w:rPr>
      </w:pPr>
      <w:bookmarkStart w:id="53" w:name="OLE_LINK550"/>
      <w:bookmarkStart w:id="54" w:name="OLE_LINK551"/>
      <w:r w:rsidRPr="00B77A30">
        <w:rPr>
          <w:rFonts w:ascii="Book Antiqua" w:hAnsi="Book Antiqua" w:cs="Arial"/>
          <w:b/>
          <w:sz w:val="24"/>
        </w:rPr>
        <w:lastRenderedPageBreak/>
        <w:t>REFERENCES</w:t>
      </w:r>
    </w:p>
    <w:p w14:paraId="27F3D193" w14:textId="77777777" w:rsidR="00033802" w:rsidRPr="00110E4B" w:rsidRDefault="00033802" w:rsidP="00CB2DFE">
      <w:pPr>
        <w:spacing w:after="0" w:line="360" w:lineRule="auto"/>
        <w:jc w:val="both"/>
        <w:rPr>
          <w:rFonts w:ascii="Book Antiqua" w:hAnsi="Book Antiqua" w:cs="宋体"/>
          <w:sz w:val="24"/>
          <w:szCs w:val="24"/>
        </w:rPr>
      </w:pPr>
      <w:bookmarkStart w:id="55" w:name="OLE_LINK427"/>
      <w:bookmarkStart w:id="56" w:name="OLE_LINK435"/>
      <w:bookmarkStart w:id="57" w:name="OLE_LINK516"/>
      <w:bookmarkStart w:id="58" w:name="OLE_LINK45"/>
      <w:bookmarkStart w:id="59" w:name="OLE_LINK132"/>
      <w:bookmarkStart w:id="60" w:name="OLE_LINK529"/>
      <w:bookmarkStart w:id="61" w:name="OLE_LINK541"/>
      <w:bookmarkEnd w:id="53"/>
      <w:bookmarkEnd w:id="54"/>
      <w:r w:rsidRPr="00110E4B">
        <w:rPr>
          <w:rFonts w:ascii="Book Antiqua" w:hAnsi="Book Antiqua" w:cs="宋体"/>
          <w:sz w:val="24"/>
          <w:szCs w:val="24"/>
        </w:rPr>
        <w:t xml:space="preserve">1 </w:t>
      </w:r>
      <w:r w:rsidRPr="00110E4B">
        <w:rPr>
          <w:rFonts w:ascii="Book Antiqua" w:hAnsi="Book Antiqua" w:cs="宋体"/>
          <w:b/>
          <w:sz w:val="24"/>
          <w:szCs w:val="24"/>
        </w:rPr>
        <w:t>McCormack D</w:t>
      </w:r>
      <w:r>
        <w:rPr>
          <w:rFonts w:ascii="Book Antiqua" w:hAnsi="Book Antiqua" w:cs="宋体"/>
          <w:sz w:val="24"/>
          <w:szCs w:val="24"/>
        </w:rPr>
        <w:t>, Mai X, Chen Y</w:t>
      </w:r>
      <w:r w:rsidRPr="00110E4B">
        <w:rPr>
          <w:rFonts w:ascii="Book Antiqua" w:hAnsi="Book Antiqua" w:cs="宋体"/>
          <w:sz w:val="24"/>
          <w:szCs w:val="24"/>
        </w:rPr>
        <w:t>.</w:t>
      </w:r>
      <w:r>
        <w:rPr>
          <w:rFonts w:ascii="Book Antiqua" w:hAnsi="Book Antiqua" w:cs="宋体" w:hint="eastAsia"/>
          <w:sz w:val="24"/>
          <w:szCs w:val="24"/>
        </w:rPr>
        <w:t xml:space="preserve"> </w:t>
      </w:r>
      <w:r w:rsidRPr="00110E4B">
        <w:rPr>
          <w:rFonts w:ascii="Book Antiqua" w:hAnsi="Book Antiqua" w:cs="宋体"/>
          <w:sz w:val="24"/>
          <w:szCs w:val="24"/>
        </w:rPr>
        <w:t>Determinants of vitamin D supplement use in Canadians. </w:t>
      </w:r>
      <w:r w:rsidRPr="00110E4B">
        <w:rPr>
          <w:rFonts w:ascii="Book Antiqua" w:hAnsi="Book Antiqua" w:cs="宋体"/>
          <w:i/>
          <w:iCs/>
          <w:sz w:val="24"/>
          <w:szCs w:val="24"/>
        </w:rPr>
        <w:t xml:space="preserve">Public Health </w:t>
      </w:r>
      <w:proofErr w:type="spellStart"/>
      <w:r w:rsidRPr="00110E4B">
        <w:rPr>
          <w:rFonts w:ascii="Book Antiqua" w:hAnsi="Book Antiqua" w:cs="宋体"/>
          <w:i/>
          <w:iCs/>
          <w:sz w:val="24"/>
          <w:szCs w:val="24"/>
        </w:rPr>
        <w:t>Nutr</w:t>
      </w:r>
      <w:proofErr w:type="spellEnd"/>
      <w:r w:rsidRPr="00110E4B">
        <w:rPr>
          <w:rFonts w:ascii="Book Antiqua" w:hAnsi="Book Antiqua" w:cs="宋体"/>
          <w:sz w:val="24"/>
          <w:szCs w:val="24"/>
        </w:rPr>
        <w:t> 2015;</w:t>
      </w:r>
      <w:r w:rsidRPr="00110E4B">
        <w:t xml:space="preserve"> </w:t>
      </w:r>
      <w:proofErr w:type="spellStart"/>
      <w:r w:rsidRPr="00110E4B">
        <w:rPr>
          <w:rFonts w:ascii="Book Antiqua" w:hAnsi="Book Antiqua" w:cs="宋体"/>
          <w:sz w:val="24"/>
          <w:szCs w:val="24"/>
        </w:rPr>
        <w:t>Epub</w:t>
      </w:r>
      <w:proofErr w:type="spellEnd"/>
      <w:r w:rsidRPr="00110E4B">
        <w:rPr>
          <w:rFonts w:ascii="Book Antiqua" w:hAnsi="Book Antiqua" w:cs="宋体"/>
          <w:sz w:val="24"/>
          <w:szCs w:val="24"/>
        </w:rPr>
        <w:t xml:space="preserve"> ahead of print [PMID: </w:t>
      </w:r>
      <w:bookmarkStart w:id="62" w:name="OLE_LINK606"/>
      <w:bookmarkStart w:id="63" w:name="OLE_LINK607"/>
      <w:r w:rsidRPr="00110E4B">
        <w:rPr>
          <w:rFonts w:ascii="Book Antiqua" w:hAnsi="Book Antiqua" w:cs="宋体"/>
          <w:sz w:val="24"/>
          <w:szCs w:val="24"/>
        </w:rPr>
        <w:t xml:space="preserve">26088702 </w:t>
      </w:r>
      <w:bookmarkEnd w:id="62"/>
      <w:bookmarkEnd w:id="63"/>
      <w:r w:rsidRPr="00110E4B">
        <w:rPr>
          <w:rFonts w:ascii="Book Antiqua" w:hAnsi="Book Antiqua" w:cs="宋体"/>
          <w:sz w:val="24"/>
          <w:szCs w:val="24"/>
        </w:rPr>
        <w:t>DOI: 10.1017/S1368980015001950]</w:t>
      </w:r>
    </w:p>
    <w:p w14:paraId="4FBBAFD2"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2 </w:t>
      </w:r>
      <w:r w:rsidRPr="00110E4B">
        <w:rPr>
          <w:rFonts w:ascii="Book Antiqua" w:hAnsi="Book Antiqua" w:cs="宋体"/>
          <w:b/>
          <w:bCs/>
          <w:sz w:val="24"/>
          <w:szCs w:val="24"/>
        </w:rPr>
        <w:t>Blackwell DL</w:t>
      </w:r>
      <w:r w:rsidRPr="00110E4B">
        <w:rPr>
          <w:rFonts w:ascii="Book Antiqua" w:hAnsi="Book Antiqua" w:cs="宋体"/>
          <w:sz w:val="24"/>
          <w:szCs w:val="24"/>
        </w:rPr>
        <w:t>, Lucas JW, Clarke TC. Summary health statistics for U.S. adults: national health interview survey, 2012. </w:t>
      </w:r>
      <w:r w:rsidRPr="00110E4B">
        <w:rPr>
          <w:rFonts w:ascii="Book Antiqua" w:hAnsi="Book Antiqua" w:cs="宋体"/>
          <w:i/>
          <w:iCs/>
          <w:sz w:val="24"/>
          <w:szCs w:val="24"/>
        </w:rPr>
        <w:t>Vital Health Stat 10</w:t>
      </w:r>
      <w:r w:rsidRPr="00110E4B">
        <w:rPr>
          <w:rFonts w:ascii="Book Antiqua" w:hAnsi="Book Antiqua" w:cs="宋体"/>
          <w:sz w:val="24"/>
          <w:szCs w:val="24"/>
        </w:rPr>
        <w:t> 2014; </w:t>
      </w:r>
      <w:r w:rsidRPr="00110E4B">
        <w:rPr>
          <w:rFonts w:ascii="Book Antiqua" w:hAnsi="Book Antiqua" w:cs="宋体" w:hint="eastAsia"/>
          <w:b/>
          <w:sz w:val="24"/>
          <w:szCs w:val="24"/>
        </w:rPr>
        <w:t>(260)</w:t>
      </w:r>
      <w:r w:rsidRPr="00110E4B">
        <w:rPr>
          <w:rFonts w:ascii="Book Antiqua" w:hAnsi="Book Antiqua" w:cs="宋体"/>
          <w:b/>
          <w:sz w:val="24"/>
          <w:szCs w:val="24"/>
        </w:rPr>
        <w:t xml:space="preserve">: </w:t>
      </w:r>
      <w:r w:rsidRPr="00110E4B">
        <w:rPr>
          <w:rFonts w:ascii="Book Antiqua" w:hAnsi="Book Antiqua" w:cs="宋体"/>
          <w:sz w:val="24"/>
          <w:szCs w:val="24"/>
        </w:rPr>
        <w:t>1-161 [PMID: 24819891]</w:t>
      </w:r>
    </w:p>
    <w:p w14:paraId="6E54E6B3"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3 </w:t>
      </w:r>
      <w:proofErr w:type="spellStart"/>
      <w:r w:rsidRPr="00110E4B">
        <w:rPr>
          <w:rFonts w:ascii="Book Antiqua" w:hAnsi="Book Antiqua" w:cs="宋体"/>
          <w:b/>
          <w:bCs/>
          <w:sz w:val="24"/>
          <w:szCs w:val="24"/>
        </w:rPr>
        <w:t>Audisio</w:t>
      </w:r>
      <w:proofErr w:type="spellEnd"/>
      <w:r w:rsidRPr="00110E4B">
        <w:rPr>
          <w:rFonts w:ascii="Book Antiqua" w:hAnsi="Book Antiqua" w:cs="宋体"/>
          <w:b/>
          <w:bCs/>
          <w:sz w:val="24"/>
          <w:szCs w:val="24"/>
        </w:rPr>
        <w:t xml:space="preserve"> RA</w:t>
      </w:r>
      <w:r w:rsidRPr="00110E4B">
        <w:rPr>
          <w:rFonts w:ascii="Book Antiqua" w:hAnsi="Book Antiqua" w:cs="宋体"/>
          <w:sz w:val="24"/>
          <w:szCs w:val="24"/>
        </w:rPr>
        <w:t xml:space="preserve">, van </w:t>
      </w:r>
      <w:proofErr w:type="spellStart"/>
      <w:r w:rsidRPr="00110E4B">
        <w:rPr>
          <w:rFonts w:ascii="Book Antiqua" w:hAnsi="Book Antiqua" w:cs="宋体"/>
          <w:sz w:val="24"/>
          <w:szCs w:val="24"/>
        </w:rPr>
        <w:t>Leeuwen</w:t>
      </w:r>
      <w:proofErr w:type="spellEnd"/>
      <w:r w:rsidRPr="00110E4B">
        <w:rPr>
          <w:rFonts w:ascii="Book Antiqua" w:hAnsi="Book Antiqua" w:cs="宋体"/>
          <w:sz w:val="24"/>
          <w:szCs w:val="24"/>
        </w:rPr>
        <w:t xml:space="preserve"> B. When reporting on older patients with cancer, frailty information is needed. </w:t>
      </w:r>
      <w:r w:rsidRPr="00110E4B">
        <w:rPr>
          <w:rFonts w:ascii="Book Antiqua" w:hAnsi="Book Antiqua" w:cs="宋体"/>
          <w:i/>
          <w:iCs/>
          <w:sz w:val="24"/>
          <w:szCs w:val="24"/>
        </w:rPr>
        <w:t xml:space="preserve">Ann </w:t>
      </w:r>
      <w:proofErr w:type="spellStart"/>
      <w:r w:rsidRPr="00110E4B">
        <w:rPr>
          <w:rFonts w:ascii="Book Antiqua" w:hAnsi="Book Antiqua" w:cs="宋体"/>
          <w:i/>
          <w:iCs/>
          <w:sz w:val="24"/>
          <w:szCs w:val="24"/>
        </w:rPr>
        <w:t>Surg</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Oncol</w:t>
      </w:r>
      <w:proofErr w:type="spellEnd"/>
      <w:r w:rsidRPr="00110E4B">
        <w:rPr>
          <w:rFonts w:ascii="Book Antiqua" w:hAnsi="Book Antiqua" w:cs="宋体"/>
          <w:sz w:val="24"/>
          <w:szCs w:val="24"/>
        </w:rPr>
        <w:t> 2011; </w:t>
      </w:r>
      <w:r w:rsidRPr="00110E4B">
        <w:rPr>
          <w:rFonts w:ascii="Book Antiqua" w:hAnsi="Book Antiqua" w:cs="宋体"/>
          <w:b/>
          <w:bCs/>
          <w:sz w:val="24"/>
          <w:szCs w:val="24"/>
        </w:rPr>
        <w:t>18</w:t>
      </w:r>
      <w:r w:rsidRPr="00110E4B">
        <w:rPr>
          <w:rFonts w:ascii="Book Antiqua" w:hAnsi="Book Antiqua" w:cs="宋体"/>
          <w:sz w:val="24"/>
          <w:szCs w:val="24"/>
        </w:rPr>
        <w:t>: 4-5 [PMID: 20859696 DOI: 10.1245/s10434-010-1327-2]</w:t>
      </w:r>
    </w:p>
    <w:p w14:paraId="4A2351F2" w14:textId="77777777" w:rsidR="00033802" w:rsidRPr="00110E4B" w:rsidRDefault="00033802" w:rsidP="00CB2DFE">
      <w:pPr>
        <w:spacing w:after="0" w:line="360" w:lineRule="auto"/>
        <w:jc w:val="both"/>
        <w:rPr>
          <w:rFonts w:ascii="Book Antiqua" w:hAnsi="Book Antiqua" w:cs="宋体"/>
          <w:sz w:val="24"/>
          <w:szCs w:val="24"/>
        </w:rPr>
      </w:pPr>
      <w:proofErr w:type="gramStart"/>
      <w:r w:rsidRPr="00110E4B">
        <w:rPr>
          <w:rFonts w:ascii="Book Antiqua" w:hAnsi="Book Antiqua" w:cs="宋体"/>
          <w:sz w:val="24"/>
          <w:szCs w:val="24"/>
        </w:rPr>
        <w:t>4 </w:t>
      </w:r>
      <w:proofErr w:type="spellStart"/>
      <w:r w:rsidRPr="00110E4B">
        <w:rPr>
          <w:rFonts w:ascii="Book Antiqua" w:hAnsi="Book Antiqua" w:cs="宋体"/>
          <w:b/>
          <w:bCs/>
          <w:sz w:val="24"/>
          <w:szCs w:val="24"/>
        </w:rPr>
        <w:t>Colloca</w:t>
      </w:r>
      <w:proofErr w:type="spellEnd"/>
      <w:r w:rsidRPr="00110E4B">
        <w:rPr>
          <w:rFonts w:ascii="Book Antiqua" w:hAnsi="Book Antiqua" w:cs="宋体"/>
          <w:b/>
          <w:bCs/>
          <w:sz w:val="24"/>
          <w:szCs w:val="24"/>
        </w:rPr>
        <w:t xml:space="preserve"> G</w:t>
      </w:r>
      <w:r w:rsidRPr="00110E4B">
        <w:rPr>
          <w:rFonts w:ascii="Book Antiqua" w:hAnsi="Book Antiqua" w:cs="宋体"/>
          <w:sz w:val="24"/>
          <w:szCs w:val="24"/>
        </w:rPr>
        <w:t xml:space="preserve">, Santoro M, </w:t>
      </w:r>
      <w:proofErr w:type="spellStart"/>
      <w:r w:rsidRPr="00110E4B">
        <w:rPr>
          <w:rFonts w:ascii="Book Antiqua" w:hAnsi="Book Antiqua" w:cs="宋体"/>
          <w:sz w:val="24"/>
          <w:szCs w:val="24"/>
        </w:rPr>
        <w:t>Gambassi</w:t>
      </w:r>
      <w:proofErr w:type="spellEnd"/>
      <w:r w:rsidRPr="00110E4B">
        <w:rPr>
          <w:rFonts w:ascii="Book Antiqua" w:hAnsi="Book Antiqua" w:cs="宋体"/>
          <w:sz w:val="24"/>
          <w:szCs w:val="24"/>
        </w:rPr>
        <w:t xml:space="preserve"> G. Age-related physiologic changes and perioperative management of elderly patients.</w:t>
      </w:r>
      <w:proofErr w:type="gramEnd"/>
      <w:r w:rsidRPr="00110E4B">
        <w:rPr>
          <w:rFonts w:ascii="Book Antiqua" w:hAnsi="Book Antiqua" w:cs="宋体"/>
          <w:sz w:val="24"/>
          <w:szCs w:val="24"/>
        </w:rPr>
        <w:t> </w:t>
      </w:r>
      <w:proofErr w:type="spellStart"/>
      <w:r w:rsidRPr="00110E4B">
        <w:rPr>
          <w:rFonts w:ascii="Book Antiqua" w:hAnsi="Book Antiqua" w:cs="宋体"/>
          <w:i/>
          <w:iCs/>
          <w:sz w:val="24"/>
          <w:szCs w:val="24"/>
        </w:rPr>
        <w:t>Surg</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Oncol</w:t>
      </w:r>
      <w:proofErr w:type="spellEnd"/>
      <w:r w:rsidRPr="00110E4B">
        <w:rPr>
          <w:rFonts w:ascii="Book Antiqua" w:hAnsi="Book Antiqua" w:cs="宋体"/>
          <w:sz w:val="24"/>
          <w:szCs w:val="24"/>
        </w:rPr>
        <w:t> 2010; </w:t>
      </w:r>
      <w:r w:rsidRPr="00110E4B">
        <w:rPr>
          <w:rFonts w:ascii="Book Antiqua" w:hAnsi="Book Antiqua" w:cs="宋体"/>
          <w:b/>
          <w:bCs/>
          <w:sz w:val="24"/>
          <w:szCs w:val="24"/>
        </w:rPr>
        <w:t>19</w:t>
      </w:r>
      <w:r w:rsidRPr="00110E4B">
        <w:rPr>
          <w:rFonts w:ascii="Book Antiqua" w:hAnsi="Book Antiqua" w:cs="宋体"/>
          <w:sz w:val="24"/>
          <w:szCs w:val="24"/>
        </w:rPr>
        <w:t>: 124-130 [PMID: 20004566 DOI: 10.1016/j.suronc.2009.11.011]</w:t>
      </w:r>
    </w:p>
    <w:p w14:paraId="480B8090"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5 </w:t>
      </w:r>
      <w:proofErr w:type="spellStart"/>
      <w:r w:rsidRPr="00110E4B">
        <w:rPr>
          <w:rFonts w:ascii="Book Antiqua" w:hAnsi="Book Antiqua" w:cs="宋体"/>
          <w:b/>
          <w:bCs/>
          <w:sz w:val="24"/>
          <w:szCs w:val="24"/>
        </w:rPr>
        <w:t>Sawhney</w:t>
      </w:r>
      <w:proofErr w:type="spellEnd"/>
      <w:r w:rsidRPr="00110E4B">
        <w:rPr>
          <w:rFonts w:ascii="Book Antiqua" w:hAnsi="Book Antiqua" w:cs="宋体"/>
          <w:b/>
          <w:bCs/>
          <w:sz w:val="24"/>
          <w:szCs w:val="24"/>
        </w:rPr>
        <w:t xml:space="preserve"> R</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Sehl</w:t>
      </w:r>
      <w:proofErr w:type="spellEnd"/>
      <w:r w:rsidRPr="00110E4B">
        <w:rPr>
          <w:rFonts w:ascii="Book Antiqua" w:hAnsi="Book Antiqua" w:cs="宋体"/>
          <w:sz w:val="24"/>
          <w:szCs w:val="24"/>
        </w:rPr>
        <w:t xml:space="preserve"> M, </w:t>
      </w:r>
      <w:proofErr w:type="spellStart"/>
      <w:r w:rsidRPr="00110E4B">
        <w:rPr>
          <w:rFonts w:ascii="Book Antiqua" w:hAnsi="Book Antiqua" w:cs="宋体"/>
          <w:sz w:val="24"/>
          <w:szCs w:val="24"/>
        </w:rPr>
        <w:t>Naeim</w:t>
      </w:r>
      <w:proofErr w:type="spellEnd"/>
      <w:r w:rsidRPr="00110E4B">
        <w:rPr>
          <w:rFonts w:ascii="Book Antiqua" w:hAnsi="Book Antiqua" w:cs="宋体"/>
          <w:sz w:val="24"/>
          <w:szCs w:val="24"/>
        </w:rPr>
        <w:t xml:space="preserve"> A. Physiologic aspects of aging: impact on cancer management and decision making, part I. </w:t>
      </w:r>
      <w:r w:rsidRPr="00110E4B">
        <w:rPr>
          <w:rFonts w:ascii="Book Antiqua" w:hAnsi="Book Antiqua" w:cs="宋体"/>
          <w:i/>
          <w:iCs/>
          <w:sz w:val="24"/>
          <w:szCs w:val="24"/>
        </w:rPr>
        <w:t>Cancer J</w:t>
      </w:r>
      <w:r w:rsidRPr="00110E4B">
        <w:rPr>
          <w:rFonts w:ascii="Book Antiqua" w:hAnsi="Book Antiqua" w:cs="宋体"/>
          <w:sz w:val="24"/>
          <w:szCs w:val="24"/>
        </w:rPr>
        <w:t> </w:t>
      </w:r>
      <w:r>
        <w:rPr>
          <w:rFonts w:ascii="Book Antiqua" w:hAnsi="Book Antiqua" w:cs="宋体" w:hint="eastAsia"/>
          <w:sz w:val="24"/>
          <w:szCs w:val="24"/>
        </w:rPr>
        <w:t>2005</w:t>
      </w:r>
      <w:r w:rsidRPr="00110E4B">
        <w:rPr>
          <w:rFonts w:ascii="Book Antiqua" w:hAnsi="Book Antiqua" w:cs="宋体"/>
          <w:sz w:val="24"/>
          <w:szCs w:val="24"/>
        </w:rPr>
        <w:t>; </w:t>
      </w:r>
      <w:r w:rsidRPr="00110E4B">
        <w:rPr>
          <w:rFonts w:ascii="Book Antiqua" w:hAnsi="Book Antiqua" w:cs="宋体"/>
          <w:b/>
          <w:bCs/>
          <w:sz w:val="24"/>
          <w:szCs w:val="24"/>
        </w:rPr>
        <w:t>11</w:t>
      </w:r>
      <w:r w:rsidRPr="00110E4B">
        <w:rPr>
          <w:rFonts w:ascii="Book Antiqua" w:hAnsi="Book Antiqua" w:cs="宋体"/>
          <w:sz w:val="24"/>
          <w:szCs w:val="24"/>
        </w:rPr>
        <w:t xml:space="preserve">: 449-460 [PMID: </w:t>
      </w:r>
      <w:bookmarkStart w:id="64" w:name="OLE_LINK608"/>
      <w:bookmarkStart w:id="65" w:name="OLE_LINK609"/>
      <w:r w:rsidRPr="00110E4B">
        <w:rPr>
          <w:rFonts w:ascii="Book Antiqua" w:hAnsi="Book Antiqua" w:cs="宋体"/>
          <w:sz w:val="24"/>
          <w:szCs w:val="24"/>
        </w:rPr>
        <w:t>16393479</w:t>
      </w:r>
      <w:bookmarkEnd w:id="64"/>
      <w:bookmarkEnd w:id="65"/>
      <w:r w:rsidRPr="00110E4B">
        <w:rPr>
          <w:rFonts w:ascii="Book Antiqua" w:hAnsi="Book Antiqua" w:cs="宋体"/>
          <w:sz w:val="24"/>
          <w:szCs w:val="24"/>
        </w:rPr>
        <w:t>]</w:t>
      </w:r>
    </w:p>
    <w:p w14:paraId="7C4FF15F"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6 </w:t>
      </w:r>
      <w:r w:rsidRPr="00110E4B">
        <w:rPr>
          <w:rFonts w:ascii="Book Antiqua" w:hAnsi="Book Antiqua" w:cs="宋体"/>
          <w:b/>
          <w:bCs/>
          <w:sz w:val="24"/>
          <w:szCs w:val="24"/>
        </w:rPr>
        <w:t>Robinson TN</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Eiseman</w:t>
      </w:r>
      <w:proofErr w:type="spellEnd"/>
      <w:r w:rsidRPr="00110E4B">
        <w:rPr>
          <w:rFonts w:ascii="Book Antiqua" w:hAnsi="Book Antiqua" w:cs="宋体"/>
          <w:sz w:val="24"/>
          <w:szCs w:val="24"/>
        </w:rPr>
        <w:t xml:space="preserve"> B, Wallace JI, Church SD, </w:t>
      </w:r>
      <w:proofErr w:type="spellStart"/>
      <w:r w:rsidRPr="00110E4B">
        <w:rPr>
          <w:rFonts w:ascii="Book Antiqua" w:hAnsi="Book Antiqua" w:cs="宋体"/>
          <w:sz w:val="24"/>
          <w:szCs w:val="24"/>
        </w:rPr>
        <w:t>McFann</w:t>
      </w:r>
      <w:proofErr w:type="spellEnd"/>
      <w:r w:rsidRPr="00110E4B">
        <w:rPr>
          <w:rFonts w:ascii="Book Antiqua" w:hAnsi="Book Antiqua" w:cs="宋体"/>
          <w:sz w:val="24"/>
          <w:szCs w:val="24"/>
        </w:rPr>
        <w:t xml:space="preserve"> KK, </w:t>
      </w:r>
      <w:proofErr w:type="spellStart"/>
      <w:r w:rsidRPr="00110E4B">
        <w:rPr>
          <w:rFonts w:ascii="Book Antiqua" w:hAnsi="Book Antiqua" w:cs="宋体"/>
          <w:sz w:val="24"/>
          <w:szCs w:val="24"/>
        </w:rPr>
        <w:t>Pfister</w:t>
      </w:r>
      <w:proofErr w:type="spellEnd"/>
      <w:r w:rsidRPr="00110E4B">
        <w:rPr>
          <w:rFonts w:ascii="Book Antiqua" w:hAnsi="Book Antiqua" w:cs="宋体"/>
          <w:sz w:val="24"/>
          <w:szCs w:val="24"/>
        </w:rPr>
        <w:t xml:space="preserve"> SM, Sharp TJ, Moss M. Redefining geriatric preoperative assessment using frailty, disability and co-morbidity. </w:t>
      </w:r>
      <w:r w:rsidRPr="00110E4B">
        <w:rPr>
          <w:rFonts w:ascii="Book Antiqua" w:hAnsi="Book Antiqua" w:cs="宋体"/>
          <w:i/>
          <w:iCs/>
          <w:sz w:val="24"/>
          <w:szCs w:val="24"/>
        </w:rPr>
        <w:t xml:space="preserve">Ann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2009; </w:t>
      </w:r>
      <w:r w:rsidRPr="00110E4B">
        <w:rPr>
          <w:rFonts w:ascii="Book Antiqua" w:hAnsi="Book Antiqua" w:cs="宋体"/>
          <w:b/>
          <w:bCs/>
          <w:sz w:val="24"/>
          <w:szCs w:val="24"/>
        </w:rPr>
        <w:t>250</w:t>
      </w:r>
      <w:r w:rsidRPr="00110E4B">
        <w:rPr>
          <w:rFonts w:ascii="Book Antiqua" w:hAnsi="Book Antiqua" w:cs="宋体"/>
          <w:sz w:val="24"/>
          <w:szCs w:val="24"/>
        </w:rPr>
        <w:t>: 449-455 [PMID: 19730176 DOI: 10.1097/SLA.0b013e3181b45598]</w:t>
      </w:r>
    </w:p>
    <w:p w14:paraId="21EBBA48"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7 </w:t>
      </w:r>
      <w:r w:rsidRPr="00110E4B">
        <w:rPr>
          <w:rFonts w:ascii="Book Antiqua" w:hAnsi="Book Antiqua" w:cs="宋体"/>
          <w:b/>
          <w:bCs/>
          <w:sz w:val="24"/>
          <w:szCs w:val="24"/>
        </w:rPr>
        <w:t>Creditor MC</w:t>
      </w:r>
      <w:r w:rsidRPr="00110E4B">
        <w:rPr>
          <w:rFonts w:ascii="Book Antiqua" w:hAnsi="Book Antiqua" w:cs="宋体"/>
          <w:sz w:val="24"/>
          <w:szCs w:val="24"/>
        </w:rPr>
        <w:t>. Hazards of hospitalization of the elderly. </w:t>
      </w:r>
      <w:r w:rsidRPr="00110E4B">
        <w:rPr>
          <w:rFonts w:ascii="Book Antiqua" w:hAnsi="Book Antiqua" w:cs="宋体"/>
          <w:i/>
          <w:iCs/>
          <w:sz w:val="24"/>
          <w:szCs w:val="24"/>
        </w:rPr>
        <w:t>Ann Intern Med</w:t>
      </w:r>
      <w:r w:rsidRPr="00110E4B">
        <w:rPr>
          <w:rFonts w:ascii="Book Antiqua" w:hAnsi="Book Antiqua" w:cs="宋体"/>
          <w:sz w:val="24"/>
          <w:szCs w:val="24"/>
        </w:rPr>
        <w:t> 1993; </w:t>
      </w:r>
      <w:r w:rsidRPr="00110E4B">
        <w:rPr>
          <w:rFonts w:ascii="Book Antiqua" w:hAnsi="Book Antiqua" w:cs="宋体"/>
          <w:b/>
          <w:bCs/>
          <w:sz w:val="24"/>
          <w:szCs w:val="24"/>
        </w:rPr>
        <w:t>118</w:t>
      </w:r>
      <w:r w:rsidRPr="00110E4B">
        <w:rPr>
          <w:rFonts w:ascii="Book Antiqua" w:hAnsi="Book Antiqua" w:cs="宋体"/>
          <w:sz w:val="24"/>
          <w:szCs w:val="24"/>
        </w:rPr>
        <w:t>: 219-223 [PMID: 8417639]</w:t>
      </w:r>
    </w:p>
    <w:p w14:paraId="6B561DDE" w14:textId="77777777" w:rsidR="00033802" w:rsidRPr="00110E4B" w:rsidRDefault="00033802" w:rsidP="00CB2DFE">
      <w:pPr>
        <w:spacing w:after="0" w:line="360" w:lineRule="auto"/>
        <w:jc w:val="both"/>
        <w:rPr>
          <w:rFonts w:ascii="Book Antiqua" w:hAnsi="Book Antiqua" w:cs="宋体"/>
          <w:sz w:val="24"/>
          <w:szCs w:val="24"/>
        </w:rPr>
      </w:pPr>
      <w:proofErr w:type="gramStart"/>
      <w:r w:rsidRPr="00110E4B">
        <w:rPr>
          <w:rFonts w:ascii="Book Antiqua" w:hAnsi="Book Antiqua" w:cs="宋体"/>
          <w:sz w:val="24"/>
          <w:szCs w:val="24"/>
        </w:rPr>
        <w:t>8 </w:t>
      </w:r>
      <w:r w:rsidRPr="00110E4B">
        <w:rPr>
          <w:rFonts w:ascii="Book Antiqua" w:hAnsi="Book Antiqua" w:cs="宋体"/>
          <w:b/>
          <w:bCs/>
          <w:sz w:val="24"/>
          <w:szCs w:val="24"/>
        </w:rPr>
        <w:t>Inouye SK</w:t>
      </w:r>
      <w:r w:rsidRPr="00110E4B">
        <w:rPr>
          <w:rFonts w:ascii="Book Antiqua" w:hAnsi="Book Antiqua" w:cs="宋体"/>
          <w:sz w:val="24"/>
          <w:szCs w:val="24"/>
        </w:rPr>
        <w:t>. Delirium in older persons.</w:t>
      </w:r>
      <w:proofErr w:type="gramEnd"/>
      <w:r w:rsidRPr="00110E4B">
        <w:rPr>
          <w:rFonts w:ascii="Book Antiqua" w:hAnsi="Book Antiqua" w:cs="宋体"/>
          <w:sz w:val="24"/>
          <w:szCs w:val="24"/>
        </w:rPr>
        <w:t> </w:t>
      </w:r>
      <w:r w:rsidRPr="00110E4B">
        <w:rPr>
          <w:rFonts w:ascii="Book Antiqua" w:hAnsi="Book Antiqua" w:cs="宋体"/>
          <w:i/>
          <w:iCs/>
          <w:sz w:val="24"/>
          <w:szCs w:val="24"/>
        </w:rPr>
        <w:t xml:space="preserve">N </w:t>
      </w:r>
      <w:proofErr w:type="spellStart"/>
      <w:r w:rsidRPr="00110E4B">
        <w:rPr>
          <w:rFonts w:ascii="Book Antiqua" w:hAnsi="Book Antiqua" w:cs="宋体"/>
          <w:i/>
          <w:iCs/>
          <w:sz w:val="24"/>
          <w:szCs w:val="24"/>
        </w:rPr>
        <w:t>Engl</w:t>
      </w:r>
      <w:proofErr w:type="spellEnd"/>
      <w:r w:rsidRPr="00110E4B">
        <w:rPr>
          <w:rFonts w:ascii="Book Antiqua" w:hAnsi="Book Antiqua" w:cs="宋体"/>
          <w:i/>
          <w:iCs/>
          <w:sz w:val="24"/>
          <w:szCs w:val="24"/>
        </w:rPr>
        <w:t xml:space="preserve"> J Med</w:t>
      </w:r>
      <w:r w:rsidRPr="00110E4B">
        <w:rPr>
          <w:rFonts w:ascii="Book Antiqua" w:hAnsi="Book Antiqua" w:cs="宋体"/>
          <w:sz w:val="24"/>
          <w:szCs w:val="24"/>
        </w:rPr>
        <w:t> 2006; </w:t>
      </w:r>
      <w:r w:rsidRPr="00110E4B">
        <w:rPr>
          <w:rFonts w:ascii="Book Antiqua" w:hAnsi="Book Antiqua" w:cs="宋体"/>
          <w:b/>
          <w:bCs/>
          <w:sz w:val="24"/>
          <w:szCs w:val="24"/>
        </w:rPr>
        <w:t>354</w:t>
      </w:r>
      <w:r w:rsidRPr="00110E4B">
        <w:rPr>
          <w:rFonts w:ascii="Book Antiqua" w:hAnsi="Book Antiqua" w:cs="宋体"/>
          <w:sz w:val="24"/>
          <w:szCs w:val="24"/>
        </w:rPr>
        <w:t>: 1157-1165 [PMID: 16540616 DOI: 10.1056/NEJMra052321]</w:t>
      </w:r>
    </w:p>
    <w:p w14:paraId="61C4B2F3"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9 </w:t>
      </w:r>
      <w:proofErr w:type="spellStart"/>
      <w:r w:rsidRPr="00110E4B">
        <w:rPr>
          <w:rFonts w:ascii="Book Antiqua" w:hAnsi="Book Antiqua" w:cs="宋体"/>
          <w:b/>
          <w:bCs/>
          <w:sz w:val="24"/>
          <w:szCs w:val="24"/>
        </w:rPr>
        <w:t>Audisio</w:t>
      </w:r>
      <w:proofErr w:type="spellEnd"/>
      <w:r w:rsidRPr="00110E4B">
        <w:rPr>
          <w:rFonts w:ascii="Book Antiqua" w:hAnsi="Book Antiqua" w:cs="宋体"/>
          <w:b/>
          <w:bCs/>
          <w:sz w:val="24"/>
          <w:szCs w:val="24"/>
        </w:rPr>
        <w:t xml:space="preserve"> RA</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Bozzetti</w:t>
      </w:r>
      <w:proofErr w:type="spellEnd"/>
      <w:r w:rsidRPr="00110E4B">
        <w:rPr>
          <w:rFonts w:ascii="Book Antiqua" w:hAnsi="Book Antiqua" w:cs="宋体"/>
          <w:sz w:val="24"/>
          <w:szCs w:val="24"/>
        </w:rPr>
        <w:t xml:space="preserve"> F, </w:t>
      </w:r>
      <w:proofErr w:type="spellStart"/>
      <w:r w:rsidRPr="00110E4B">
        <w:rPr>
          <w:rFonts w:ascii="Book Antiqua" w:hAnsi="Book Antiqua" w:cs="宋体"/>
          <w:sz w:val="24"/>
          <w:szCs w:val="24"/>
        </w:rPr>
        <w:t>Gennari</w:t>
      </w:r>
      <w:proofErr w:type="spellEnd"/>
      <w:r w:rsidRPr="00110E4B">
        <w:rPr>
          <w:rFonts w:ascii="Book Antiqua" w:hAnsi="Book Antiqua" w:cs="宋体"/>
          <w:sz w:val="24"/>
          <w:szCs w:val="24"/>
        </w:rPr>
        <w:t xml:space="preserve"> R, </w:t>
      </w:r>
      <w:proofErr w:type="spellStart"/>
      <w:r w:rsidRPr="00110E4B">
        <w:rPr>
          <w:rFonts w:ascii="Book Antiqua" w:hAnsi="Book Antiqua" w:cs="宋体"/>
          <w:sz w:val="24"/>
          <w:szCs w:val="24"/>
        </w:rPr>
        <w:t>Jaklitsch</w:t>
      </w:r>
      <w:proofErr w:type="spellEnd"/>
      <w:r w:rsidRPr="00110E4B">
        <w:rPr>
          <w:rFonts w:ascii="Book Antiqua" w:hAnsi="Book Antiqua" w:cs="宋体"/>
          <w:sz w:val="24"/>
          <w:szCs w:val="24"/>
        </w:rPr>
        <w:t xml:space="preserve"> MT, </w:t>
      </w:r>
      <w:proofErr w:type="spellStart"/>
      <w:r w:rsidRPr="00110E4B">
        <w:rPr>
          <w:rFonts w:ascii="Book Antiqua" w:hAnsi="Book Antiqua" w:cs="宋体"/>
          <w:sz w:val="24"/>
          <w:szCs w:val="24"/>
        </w:rPr>
        <w:t>Koperna</w:t>
      </w:r>
      <w:proofErr w:type="spellEnd"/>
      <w:r w:rsidRPr="00110E4B">
        <w:rPr>
          <w:rFonts w:ascii="Book Antiqua" w:hAnsi="Book Antiqua" w:cs="宋体"/>
          <w:sz w:val="24"/>
          <w:szCs w:val="24"/>
        </w:rPr>
        <w:t xml:space="preserve"> T, Longo WE, </w:t>
      </w:r>
      <w:proofErr w:type="spellStart"/>
      <w:r w:rsidRPr="00110E4B">
        <w:rPr>
          <w:rFonts w:ascii="Book Antiqua" w:hAnsi="Book Antiqua" w:cs="宋体"/>
          <w:sz w:val="24"/>
          <w:szCs w:val="24"/>
        </w:rPr>
        <w:t>Wiggers</w:t>
      </w:r>
      <w:proofErr w:type="spellEnd"/>
      <w:r w:rsidRPr="00110E4B">
        <w:rPr>
          <w:rFonts w:ascii="Book Antiqua" w:hAnsi="Book Antiqua" w:cs="宋体"/>
          <w:sz w:val="24"/>
          <w:szCs w:val="24"/>
        </w:rPr>
        <w:t xml:space="preserve"> T, </w:t>
      </w:r>
      <w:proofErr w:type="spellStart"/>
      <w:r w:rsidRPr="00110E4B">
        <w:rPr>
          <w:rFonts w:ascii="Book Antiqua" w:hAnsi="Book Antiqua" w:cs="宋体"/>
          <w:sz w:val="24"/>
          <w:szCs w:val="24"/>
        </w:rPr>
        <w:t>Zbar</w:t>
      </w:r>
      <w:proofErr w:type="spellEnd"/>
      <w:r w:rsidRPr="00110E4B">
        <w:rPr>
          <w:rFonts w:ascii="Book Antiqua" w:hAnsi="Book Antiqua" w:cs="宋体"/>
          <w:sz w:val="24"/>
          <w:szCs w:val="24"/>
        </w:rPr>
        <w:t xml:space="preserve"> AP. </w:t>
      </w:r>
      <w:proofErr w:type="gramStart"/>
      <w:r w:rsidRPr="00110E4B">
        <w:rPr>
          <w:rFonts w:ascii="Book Antiqua" w:hAnsi="Book Antiqua" w:cs="宋体"/>
          <w:sz w:val="24"/>
          <w:szCs w:val="24"/>
        </w:rPr>
        <w:t>The surgical management of elderly cancer patients; recommendations of the SIOG surgical task force.</w:t>
      </w:r>
      <w:proofErr w:type="gramEnd"/>
      <w:r w:rsidRPr="00110E4B">
        <w:rPr>
          <w:rFonts w:ascii="Book Antiqua" w:hAnsi="Book Antiqua" w:cs="宋体"/>
          <w:sz w:val="24"/>
          <w:szCs w:val="24"/>
        </w:rPr>
        <w:t> </w:t>
      </w:r>
      <w:proofErr w:type="spellStart"/>
      <w:r w:rsidRPr="00110E4B">
        <w:rPr>
          <w:rFonts w:ascii="Book Antiqua" w:hAnsi="Book Antiqua" w:cs="宋体"/>
          <w:i/>
          <w:iCs/>
          <w:sz w:val="24"/>
          <w:szCs w:val="24"/>
        </w:rPr>
        <w:t>Eur</w:t>
      </w:r>
      <w:proofErr w:type="spellEnd"/>
      <w:r w:rsidRPr="00110E4B">
        <w:rPr>
          <w:rFonts w:ascii="Book Antiqua" w:hAnsi="Book Antiqua" w:cs="宋体"/>
          <w:i/>
          <w:iCs/>
          <w:sz w:val="24"/>
          <w:szCs w:val="24"/>
        </w:rPr>
        <w:t xml:space="preserve"> J Cancer</w:t>
      </w:r>
      <w:r w:rsidRPr="00110E4B">
        <w:rPr>
          <w:rFonts w:ascii="Book Antiqua" w:hAnsi="Book Antiqua" w:cs="宋体"/>
          <w:sz w:val="24"/>
          <w:szCs w:val="24"/>
        </w:rPr>
        <w:t> 2004; </w:t>
      </w:r>
      <w:r w:rsidRPr="00110E4B">
        <w:rPr>
          <w:rFonts w:ascii="Book Antiqua" w:hAnsi="Book Antiqua" w:cs="宋体"/>
          <w:b/>
          <w:bCs/>
          <w:sz w:val="24"/>
          <w:szCs w:val="24"/>
        </w:rPr>
        <w:t>40</w:t>
      </w:r>
      <w:r w:rsidRPr="00110E4B">
        <w:rPr>
          <w:rFonts w:ascii="Book Antiqua" w:hAnsi="Book Antiqua" w:cs="宋体"/>
          <w:sz w:val="24"/>
          <w:szCs w:val="24"/>
        </w:rPr>
        <w:t>: 926-938 [PMID: 15093567 DOI: 10.1016/j.ejca.2004.01.016]</w:t>
      </w:r>
    </w:p>
    <w:p w14:paraId="5212044B"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10 </w:t>
      </w:r>
      <w:proofErr w:type="spellStart"/>
      <w:r w:rsidRPr="00110E4B">
        <w:rPr>
          <w:rFonts w:ascii="Book Antiqua" w:hAnsi="Book Antiqua" w:cs="宋体"/>
          <w:b/>
          <w:bCs/>
          <w:sz w:val="24"/>
          <w:szCs w:val="24"/>
        </w:rPr>
        <w:t>Marcantonio</w:t>
      </w:r>
      <w:proofErr w:type="spellEnd"/>
      <w:r w:rsidRPr="00110E4B">
        <w:rPr>
          <w:rFonts w:ascii="Book Antiqua" w:hAnsi="Book Antiqua" w:cs="宋体"/>
          <w:b/>
          <w:bCs/>
          <w:sz w:val="24"/>
          <w:szCs w:val="24"/>
        </w:rPr>
        <w:t xml:space="preserve"> ER</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Flacker</w:t>
      </w:r>
      <w:proofErr w:type="spellEnd"/>
      <w:r w:rsidRPr="00110E4B">
        <w:rPr>
          <w:rFonts w:ascii="Book Antiqua" w:hAnsi="Book Antiqua" w:cs="宋体"/>
          <w:sz w:val="24"/>
          <w:szCs w:val="24"/>
        </w:rPr>
        <w:t xml:space="preserve"> JM, Michaels M, Resnick NM. Delirium is independently associated with poor functional recovery after hip fracture. </w:t>
      </w:r>
      <w:r w:rsidRPr="00110E4B">
        <w:rPr>
          <w:rFonts w:ascii="Book Antiqua" w:hAnsi="Book Antiqua" w:cs="宋体"/>
          <w:i/>
          <w:iCs/>
          <w:sz w:val="24"/>
          <w:szCs w:val="24"/>
        </w:rPr>
        <w:t xml:space="preserve">J Am </w:t>
      </w:r>
      <w:proofErr w:type="spellStart"/>
      <w:r w:rsidRPr="00110E4B">
        <w:rPr>
          <w:rFonts w:ascii="Book Antiqua" w:hAnsi="Book Antiqua" w:cs="宋体"/>
          <w:i/>
          <w:iCs/>
          <w:sz w:val="24"/>
          <w:szCs w:val="24"/>
        </w:rPr>
        <w:t>Geriatr</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Soc</w:t>
      </w:r>
      <w:proofErr w:type="spellEnd"/>
      <w:r w:rsidRPr="00110E4B">
        <w:rPr>
          <w:rFonts w:ascii="Book Antiqua" w:hAnsi="Book Antiqua" w:cs="宋体"/>
          <w:sz w:val="24"/>
          <w:szCs w:val="24"/>
        </w:rPr>
        <w:t> 2000; </w:t>
      </w:r>
      <w:r w:rsidRPr="00110E4B">
        <w:rPr>
          <w:rFonts w:ascii="Book Antiqua" w:hAnsi="Book Antiqua" w:cs="宋体"/>
          <w:b/>
          <w:bCs/>
          <w:sz w:val="24"/>
          <w:szCs w:val="24"/>
        </w:rPr>
        <w:t>48</w:t>
      </w:r>
      <w:r w:rsidRPr="00110E4B">
        <w:rPr>
          <w:rFonts w:ascii="Book Antiqua" w:hAnsi="Book Antiqua" w:cs="宋体"/>
          <w:sz w:val="24"/>
          <w:szCs w:val="24"/>
        </w:rPr>
        <w:t>: 618-624 [PMID: 10855596]</w:t>
      </w:r>
    </w:p>
    <w:p w14:paraId="183BA04B" w14:textId="77777777" w:rsidR="00033802" w:rsidRPr="00110E4B" w:rsidRDefault="00033802" w:rsidP="00CB2DFE">
      <w:pPr>
        <w:spacing w:after="0" w:line="360" w:lineRule="auto"/>
        <w:jc w:val="both"/>
        <w:rPr>
          <w:rFonts w:ascii="Book Antiqua" w:hAnsi="Book Antiqua" w:cs="宋体"/>
          <w:sz w:val="24"/>
          <w:szCs w:val="24"/>
        </w:rPr>
      </w:pPr>
      <w:proofErr w:type="gramStart"/>
      <w:r w:rsidRPr="00110E4B">
        <w:rPr>
          <w:rFonts w:ascii="Book Antiqua" w:hAnsi="Book Antiqua" w:cs="宋体"/>
          <w:sz w:val="24"/>
          <w:szCs w:val="24"/>
        </w:rPr>
        <w:lastRenderedPageBreak/>
        <w:t>11 </w:t>
      </w:r>
      <w:r w:rsidRPr="00110E4B">
        <w:rPr>
          <w:rFonts w:ascii="Book Antiqua" w:hAnsi="Book Antiqua" w:cs="宋体"/>
          <w:b/>
          <w:bCs/>
          <w:sz w:val="24"/>
          <w:szCs w:val="24"/>
        </w:rPr>
        <w:t>Al-</w:t>
      </w:r>
      <w:proofErr w:type="spellStart"/>
      <w:r w:rsidRPr="00110E4B">
        <w:rPr>
          <w:rFonts w:ascii="Book Antiqua" w:hAnsi="Book Antiqua" w:cs="宋体"/>
          <w:b/>
          <w:bCs/>
          <w:sz w:val="24"/>
          <w:szCs w:val="24"/>
        </w:rPr>
        <w:t>Refaie</w:t>
      </w:r>
      <w:proofErr w:type="spellEnd"/>
      <w:r w:rsidRPr="00110E4B">
        <w:rPr>
          <w:rFonts w:ascii="Book Antiqua" w:hAnsi="Book Antiqua" w:cs="宋体"/>
          <w:b/>
          <w:bCs/>
          <w:sz w:val="24"/>
          <w:szCs w:val="24"/>
        </w:rPr>
        <w:t xml:space="preserve"> WB</w:t>
      </w:r>
      <w:r w:rsidRPr="00110E4B">
        <w:rPr>
          <w:rFonts w:ascii="Book Antiqua" w:hAnsi="Book Antiqua" w:cs="宋体"/>
          <w:sz w:val="24"/>
          <w:szCs w:val="24"/>
        </w:rPr>
        <w:t xml:space="preserve">, Parsons HM, </w:t>
      </w:r>
      <w:proofErr w:type="spellStart"/>
      <w:r w:rsidRPr="00110E4B">
        <w:rPr>
          <w:rFonts w:ascii="Book Antiqua" w:hAnsi="Book Antiqua" w:cs="宋体"/>
          <w:sz w:val="24"/>
          <w:szCs w:val="24"/>
        </w:rPr>
        <w:t>Habermann</w:t>
      </w:r>
      <w:proofErr w:type="spellEnd"/>
      <w:r w:rsidRPr="00110E4B">
        <w:rPr>
          <w:rFonts w:ascii="Book Antiqua" w:hAnsi="Book Antiqua" w:cs="宋体"/>
          <w:sz w:val="24"/>
          <w:szCs w:val="24"/>
        </w:rPr>
        <w:t xml:space="preserve"> EB, </w:t>
      </w:r>
      <w:proofErr w:type="spellStart"/>
      <w:r w:rsidRPr="00110E4B">
        <w:rPr>
          <w:rFonts w:ascii="Book Antiqua" w:hAnsi="Book Antiqua" w:cs="宋体"/>
          <w:sz w:val="24"/>
          <w:szCs w:val="24"/>
        </w:rPr>
        <w:t>Kwaan</w:t>
      </w:r>
      <w:proofErr w:type="spellEnd"/>
      <w:r w:rsidRPr="00110E4B">
        <w:rPr>
          <w:rFonts w:ascii="Book Antiqua" w:hAnsi="Book Antiqua" w:cs="宋体"/>
          <w:sz w:val="24"/>
          <w:szCs w:val="24"/>
        </w:rPr>
        <w:t xml:space="preserve"> M, Spencer MP, Henderson WG, </w:t>
      </w:r>
      <w:proofErr w:type="spellStart"/>
      <w:r w:rsidRPr="00110E4B">
        <w:rPr>
          <w:rFonts w:ascii="Book Antiqua" w:hAnsi="Book Antiqua" w:cs="宋体"/>
          <w:sz w:val="24"/>
          <w:szCs w:val="24"/>
        </w:rPr>
        <w:t>Rothenberger</w:t>
      </w:r>
      <w:proofErr w:type="spellEnd"/>
      <w:r w:rsidRPr="00110E4B">
        <w:rPr>
          <w:rFonts w:ascii="Book Antiqua" w:hAnsi="Book Antiqua" w:cs="宋体"/>
          <w:sz w:val="24"/>
          <w:szCs w:val="24"/>
        </w:rPr>
        <w:t xml:space="preserve"> DA.</w:t>
      </w:r>
      <w:proofErr w:type="gramEnd"/>
      <w:r w:rsidRPr="00110E4B">
        <w:rPr>
          <w:rFonts w:ascii="Book Antiqua" w:hAnsi="Book Antiqua" w:cs="宋体"/>
          <w:sz w:val="24"/>
          <w:szCs w:val="24"/>
        </w:rPr>
        <w:t xml:space="preserve"> Operative outcomes beyond 30-day mortality: colorectal cancer surgery in oldest old. </w:t>
      </w:r>
      <w:r w:rsidRPr="00110E4B">
        <w:rPr>
          <w:rFonts w:ascii="Book Antiqua" w:hAnsi="Book Antiqua" w:cs="宋体"/>
          <w:i/>
          <w:iCs/>
          <w:sz w:val="24"/>
          <w:szCs w:val="24"/>
        </w:rPr>
        <w:t xml:space="preserve">Ann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2011; </w:t>
      </w:r>
      <w:r w:rsidRPr="00110E4B">
        <w:rPr>
          <w:rFonts w:ascii="Book Antiqua" w:hAnsi="Book Antiqua" w:cs="宋体"/>
          <w:b/>
          <w:bCs/>
          <w:sz w:val="24"/>
          <w:szCs w:val="24"/>
        </w:rPr>
        <w:t>253</w:t>
      </w:r>
      <w:r w:rsidRPr="00110E4B">
        <w:rPr>
          <w:rFonts w:ascii="Book Antiqua" w:hAnsi="Book Antiqua" w:cs="宋体"/>
          <w:sz w:val="24"/>
          <w:szCs w:val="24"/>
        </w:rPr>
        <w:t>: 947-952 [PMID: 21490452 DOI: 10.1097/SLA.0b013e318216f56e]</w:t>
      </w:r>
    </w:p>
    <w:p w14:paraId="42811811"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12 </w:t>
      </w:r>
      <w:proofErr w:type="spellStart"/>
      <w:r w:rsidRPr="00110E4B">
        <w:rPr>
          <w:rFonts w:ascii="Book Antiqua" w:hAnsi="Book Antiqua" w:cs="宋体"/>
          <w:b/>
          <w:bCs/>
          <w:sz w:val="24"/>
          <w:szCs w:val="24"/>
        </w:rPr>
        <w:t>Hurria</w:t>
      </w:r>
      <w:proofErr w:type="spellEnd"/>
      <w:r w:rsidRPr="00110E4B">
        <w:rPr>
          <w:rFonts w:ascii="Book Antiqua" w:hAnsi="Book Antiqua" w:cs="宋体"/>
          <w:b/>
          <w:bCs/>
          <w:sz w:val="24"/>
          <w:szCs w:val="24"/>
        </w:rPr>
        <w:t xml:space="preserve"> A</w:t>
      </w:r>
      <w:r w:rsidRPr="00110E4B">
        <w:rPr>
          <w:rFonts w:ascii="Book Antiqua" w:hAnsi="Book Antiqua" w:cs="宋体"/>
          <w:sz w:val="24"/>
          <w:szCs w:val="24"/>
        </w:rPr>
        <w:t xml:space="preserve">, Leung D, Trainor K, </w:t>
      </w:r>
      <w:proofErr w:type="spellStart"/>
      <w:r w:rsidRPr="00110E4B">
        <w:rPr>
          <w:rFonts w:ascii="Book Antiqua" w:hAnsi="Book Antiqua" w:cs="宋体"/>
          <w:sz w:val="24"/>
          <w:szCs w:val="24"/>
        </w:rPr>
        <w:t>Borgen</w:t>
      </w:r>
      <w:proofErr w:type="spellEnd"/>
      <w:r w:rsidRPr="00110E4B">
        <w:rPr>
          <w:rFonts w:ascii="Book Antiqua" w:hAnsi="Book Antiqua" w:cs="宋体"/>
          <w:sz w:val="24"/>
          <w:szCs w:val="24"/>
        </w:rPr>
        <w:t xml:space="preserve"> P, Norton L, </w:t>
      </w:r>
      <w:proofErr w:type="spellStart"/>
      <w:r w:rsidRPr="00110E4B">
        <w:rPr>
          <w:rFonts w:ascii="Book Antiqua" w:hAnsi="Book Antiqua" w:cs="宋体"/>
          <w:sz w:val="24"/>
          <w:szCs w:val="24"/>
        </w:rPr>
        <w:t>Hudis</w:t>
      </w:r>
      <w:proofErr w:type="spellEnd"/>
      <w:r w:rsidRPr="00110E4B">
        <w:rPr>
          <w:rFonts w:ascii="Book Antiqua" w:hAnsi="Book Antiqua" w:cs="宋体"/>
          <w:sz w:val="24"/>
          <w:szCs w:val="24"/>
        </w:rPr>
        <w:t xml:space="preserve"> C. Factors influencing treatment patterns of breast cancer patients age 75 and older. </w:t>
      </w:r>
      <w:proofErr w:type="spellStart"/>
      <w:r w:rsidRPr="00110E4B">
        <w:rPr>
          <w:rFonts w:ascii="Book Antiqua" w:hAnsi="Book Antiqua" w:cs="宋体"/>
          <w:i/>
          <w:iCs/>
          <w:sz w:val="24"/>
          <w:szCs w:val="24"/>
        </w:rPr>
        <w:t>Crit</w:t>
      </w:r>
      <w:proofErr w:type="spellEnd"/>
      <w:r w:rsidRPr="00110E4B">
        <w:rPr>
          <w:rFonts w:ascii="Book Antiqua" w:hAnsi="Book Antiqua" w:cs="宋体"/>
          <w:i/>
          <w:iCs/>
          <w:sz w:val="24"/>
          <w:szCs w:val="24"/>
        </w:rPr>
        <w:t xml:space="preserve"> Rev </w:t>
      </w:r>
      <w:proofErr w:type="spellStart"/>
      <w:r w:rsidRPr="00110E4B">
        <w:rPr>
          <w:rFonts w:ascii="Book Antiqua" w:hAnsi="Book Antiqua" w:cs="宋体"/>
          <w:i/>
          <w:iCs/>
          <w:sz w:val="24"/>
          <w:szCs w:val="24"/>
        </w:rPr>
        <w:t>Oncol</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Hematol</w:t>
      </w:r>
      <w:proofErr w:type="spellEnd"/>
      <w:r w:rsidRPr="00110E4B">
        <w:rPr>
          <w:rFonts w:ascii="Book Antiqua" w:hAnsi="Book Antiqua" w:cs="宋体"/>
          <w:sz w:val="24"/>
          <w:szCs w:val="24"/>
        </w:rPr>
        <w:t> 2003; </w:t>
      </w:r>
      <w:r w:rsidRPr="00110E4B">
        <w:rPr>
          <w:rFonts w:ascii="Book Antiqua" w:hAnsi="Book Antiqua" w:cs="宋体"/>
          <w:b/>
          <w:bCs/>
          <w:sz w:val="24"/>
          <w:szCs w:val="24"/>
        </w:rPr>
        <w:t>46</w:t>
      </w:r>
      <w:r w:rsidRPr="00110E4B">
        <w:rPr>
          <w:rFonts w:ascii="Book Antiqua" w:hAnsi="Book Antiqua" w:cs="宋体"/>
          <w:sz w:val="24"/>
          <w:szCs w:val="24"/>
        </w:rPr>
        <w:t>: 121-126 [PMID: 12711357]</w:t>
      </w:r>
    </w:p>
    <w:p w14:paraId="6D850E34"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13 </w:t>
      </w:r>
      <w:proofErr w:type="spellStart"/>
      <w:r w:rsidRPr="00110E4B">
        <w:rPr>
          <w:rFonts w:ascii="Book Antiqua" w:hAnsi="Book Antiqua" w:cs="宋体"/>
          <w:b/>
          <w:bCs/>
          <w:sz w:val="24"/>
          <w:szCs w:val="24"/>
        </w:rPr>
        <w:t>Zbar</w:t>
      </w:r>
      <w:proofErr w:type="spellEnd"/>
      <w:r w:rsidRPr="00110E4B">
        <w:rPr>
          <w:rFonts w:ascii="Book Antiqua" w:hAnsi="Book Antiqua" w:cs="宋体"/>
          <w:b/>
          <w:bCs/>
          <w:sz w:val="24"/>
          <w:szCs w:val="24"/>
        </w:rPr>
        <w:t xml:space="preserve"> AP</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Gravitz</w:t>
      </w:r>
      <w:proofErr w:type="spellEnd"/>
      <w:r w:rsidRPr="00110E4B">
        <w:rPr>
          <w:rFonts w:ascii="Book Antiqua" w:hAnsi="Book Antiqua" w:cs="宋体"/>
          <w:sz w:val="24"/>
          <w:szCs w:val="24"/>
        </w:rPr>
        <w:t xml:space="preserve"> A, </w:t>
      </w:r>
      <w:proofErr w:type="spellStart"/>
      <w:r w:rsidRPr="00110E4B">
        <w:rPr>
          <w:rFonts w:ascii="Book Antiqua" w:hAnsi="Book Antiqua" w:cs="宋体"/>
          <w:sz w:val="24"/>
          <w:szCs w:val="24"/>
        </w:rPr>
        <w:t>Audisio</w:t>
      </w:r>
      <w:proofErr w:type="spellEnd"/>
      <w:r w:rsidRPr="00110E4B">
        <w:rPr>
          <w:rFonts w:ascii="Book Antiqua" w:hAnsi="Book Antiqua" w:cs="宋体"/>
          <w:sz w:val="24"/>
          <w:szCs w:val="24"/>
        </w:rPr>
        <w:t xml:space="preserve"> RA. </w:t>
      </w:r>
      <w:proofErr w:type="gramStart"/>
      <w:r w:rsidRPr="00110E4B">
        <w:rPr>
          <w:rFonts w:ascii="Book Antiqua" w:hAnsi="Book Antiqua" w:cs="宋体"/>
          <w:sz w:val="24"/>
          <w:szCs w:val="24"/>
        </w:rPr>
        <w:t>Principles of surgical oncology in the elderly.</w:t>
      </w:r>
      <w:proofErr w:type="gramEnd"/>
      <w:r w:rsidRPr="00110E4B">
        <w:rPr>
          <w:rFonts w:ascii="Book Antiqua" w:hAnsi="Book Antiqua" w:cs="宋体"/>
          <w:sz w:val="24"/>
          <w:szCs w:val="24"/>
        </w:rPr>
        <w:t> </w:t>
      </w:r>
      <w:proofErr w:type="spellStart"/>
      <w:r w:rsidRPr="00110E4B">
        <w:rPr>
          <w:rFonts w:ascii="Book Antiqua" w:hAnsi="Book Antiqua" w:cs="宋体"/>
          <w:i/>
          <w:iCs/>
          <w:sz w:val="24"/>
          <w:szCs w:val="24"/>
        </w:rPr>
        <w:t>Clin</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Geriatr</w:t>
      </w:r>
      <w:proofErr w:type="spellEnd"/>
      <w:r w:rsidRPr="00110E4B">
        <w:rPr>
          <w:rFonts w:ascii="Book Antiqua" w:hAnsi="Book Antiqua" w:cs="宋体"/>
          <w:i/>
          <w:iCs/>
          <w:sz w:val="24"/>
          <w:szCs w:val="24"/>
        </w:rPr>
        <w:t xml:space="preserve"> Med</w:t>
      </w:r>
      <w:r w:rsidRPr="00110E4B">
        <w:rPr>
          <w:rFonts w:ascii="Book Antiqua" w:hAnsi="Book Antiqua" w:cs="宋体"/>
          <w:sz w:val="24"/>
          <w:szCs w:val="24"/>
        </w:rPr>
        <w:t> 2012; </w:t>
      </w:r>
      <w:r w:rsidRPr="00110E4B">
        <w:rPr>
          <w:rFonts w:ascii="Book Antiqua" w:hAnsi="Book Antiqua" w:cs="宋体"/>
          <w:b/>
          <w:bCs/>
          <w:sz w:val="24"/>
          <w:szCs w:val="24"/>
        </w:rPr>
        <w:t>28</w:t>
      </w:r>
      <w:r w:rsidRPr="00110E4B">
        <w:rPr>
          <w:rFonts w:ascii="Book Antiqua" w:hAnsi="Book Antiqua" w:cs="宋体"/>
          <w:sz w:val="24"/>
          <w:szCs w:val="24"/>
        </w:rPr>
        <w:t>: 51-71 [PMID: 22326035 DOI: 10.1016/j.cger.2011.09.002]</w:t>
      </w:r>
    </w:p>
    <w:p w14:paraId="247ECC6A"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14 </w:t>
      </w:r>
      <w:r w:rsidRPr="00110E4B">
        <w:rPr>
          <w:rFonts w:ascii="Book Antiqua" w:hAnsi="Book Antiqua" w:cs="宋体"/>
          <w:b/>
          <w:bCs/>
          <w:sz w:val="24"/>
          <w:szCs w:val="24"/>
        </w:rPr>
        <w:t>Yee KW</w:t>
      </w:r>
      <w:r w:rsidRPr="00110E4B">
        <w:rPr>
          <w:rFonts w:ascii="Book Antiqua" w:hAnsi="Book Antiqua" w:cs="宋体"/>
          <w:sz w:val="24"/>
          <w:szCs w:val="24"/>
        </w:rPr>
        <w:t>, Pater JL, Pho L, Zee B, Siu LL. Enrollment of older patients in cancer treatment trials in Canada: why is age a barrier?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Clin</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Oncol</w:t>
      </w:r>
      <w:proofErr w:type="spellEnd"/>
      <w:r w:rsidRPr="00110E4B">
        <w:rPr>
          <w:rFonts w:ascii="Book Antiqua" w:hAnsi="Book Antiqua" w:cs="宋体"/>
          <w:sz w:val="24"/>
          <w:szCs w:val="24"/>
        </w:rPr>
        <w:t> 2003; </w:t>
      </w:r>
      <w:r w:rsidRPr="00110E4B">
        <w:rPr>
          <w:rFonts w:ascii="Book Antiqua" w:hAnsi="Book Antiqua" w:cs="宋体"/>
          <w:b/>
          <w:bCs/>
          <w:sz w:val="24"/>
          <w:szCs w:val="24"/>
        </w:rPr>
        <w:t>21</w:t>
      </w:r>
      <w:r w:rsidRPr="00110E4B">
        <w:rPr>
          <w:rFonts w:ascii="Book Antiqua" w:hAnsi="Book Antiqua" w:cs="宋体"/>
          <w:sz w:val="24"/>
          <w:szCs w:val="24"/>
        </w:rPr>
        <w:t>: 1618-1623 [PMID: 12697888 DOI: 10.1200/JCO.2003.12.044]</w:t>
      </w:r>
    </w:p>
    <w:p w14:paraId="2F74CB29"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15 </w:t>
      </w:r>
      <w:proofErr w:type="spellStart"/>
      <w:r w:rsidRPr="00110E4B">
        <w:rPr>
          <w:rFonts w:ascii="Book Antiqua" w:hAnsi="Book Antiqua" w:cs="宋体"/>
          <w:b/>
          <w:bCs/>
          <w:sz w:val="24"/>
          <w:szCs w:val="24"/>
        </w:rPr>
        <w:t>Kemeny</w:t>
      </w:r>
      <w:proofErr w:type="spellEnd"/>
      <w:r w:rsidRPr="00110E4B">
        <w:rPr>
          <w:rFonts w:ascii="Book Antiqua" w:hAnsi="Book Antiqua" w:cs="宋体"/>
          <w:b/>
          <w:bCs/>
          <w:sz w:val="24"/>
          <w:szCs w:val="24"/>
        </w:rPr>
        <w:t xml:space="preserve"> MM</w:t>
      </w:r>
      <w:r w:rsidRPr="00110E4B">
        <w:rPr>
          <w:rFonts w:ascii="Book Antiqua" w:hAnsi="Book Antiqua" w:cs="宋体"/>
          <w:sz w:val="24"/>
          <w:szCs w:val="24"/>
        </w:rPr>
        <w:t xml:space="preserve">, Peterson BL, </w:t>
      </w:r>
      <w:proofErr w:type="spellStart"/>
      <w:r w:rsidRPr="00110E4B">
        <w:rPr>
          <w:rFonts w:ascii="Book Antiqua" w:hAnsi="Book Antiqua" w:cs="宋体"/>
          <w:sz w:val="24"/>
          <w:szCs w:val="24"/>
        </w:rPr>
        <w:t>Kornblith</w:t>
      </w:r>
      <w:proofErr w:type="spellEnd"/>
      <w:r w:rsidRPr="00110E4B">
        <w:rPr>
          <w:rFonts w:ascii="Book Antiqua" w:hAnsi="Book Antiqua" w:cs="宋体"/>
          <w:sz w:val="24"/>
          <w:szCs w:val="24"/>
        </w:rPr>
        <w:t xml:space="preserve"> AB, Muss HB, Wheeler J, Levine E, Bartlett N, Fleming G, Cohen HJ. </w:t>
      </w:r>
      <w:proofErr w:type="gramStart"/>
      <w:r w:rsidRPr="00110E4B">
        <w:rPr>
          <w:rFonts w:ascii="Book Antiqua" w:hAnsi="Book Antiqua" w:cs="宋体"/>
          <w:sz w:val="24"/>
          <w:szCs w:val="24"/>
        </w:rPr>
        <w:t>Barriers to clinical trial participation by older women with breast cancer.</w:t>
      </w:r>
      <w:proofErr w:type="gramEnd"/>
      <w:r w:rsidRPr="00110E4B">
        <w:rPr>
          <w:rFonts w:ascii="Book Antiqua" w:hAnsi="Book Antiqua" w:cs="宋体"/>
          <w:sz w:val="24"/>
          <w:szCs w:val="24"/>
        </w:rPr>
        <w:t>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Clin</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Oncol</w:t>
      </w:r>
      <w:proofErr w:type="spellEnd"/>
      <w:r w:rsidRPr="00110E4B">
        <w:rPr>
          <w:rFonts w:ascii="Book Antiqua" w:hAnsi="Book Antiqua" w:cs="宋体"/>
          <w:sz w:val="24"/>
          <w:szCs w:val="24"/>
        </w:rPr>
        <w:t> 2003; </w:t>
      </w:r>
      <w:r w:rsidRPr="00110E4B">
        <w:rPr>
          <w:rFonts w:ascii="Book Antiqua" w:hAnsi="Book Antiqua" w:cs="宋体"/>
          <w:b/>
          <w:bCs/>
          <w:sz w:val="24"/>
          <w:szCs w:val="24"/>
        </w:rPr>
        <w:t>21</w:t>
      </w:r>
      <w:r w:rsidRPr="00110E4B">
        <w:rPr>
          <w:rFonts w:ascii="Book Antiqua" w:hAnsi="Book Antiqua" w:cs="宋体"/>
          <w:sz w:val="24"/>
          <w:szCs w:val="24"/>
        </w:rPr>
        <w:t>: 2268-2275 [PMID: 12805325 DOI: 10.1200/JCO.2003.09.124]</w:t>
      </w:r>
    </w:p>
    <w:p w14:paraId="2EA2B6C4"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16 </w:t>
      </w:r>
      <w:proofErr w:type="spellStart"/>
      <w:r w:rsidRPr="00110E4B">
        <w:rPr>
          <w:rFonts w:ascii="Book Antiqua" w:hAnsi="Book Antiqua" w:cs="宋体"/>
          <w:b/>
          <w:bCs/>
          <w:sz w:val="24"/>
          <w:szCs w:val="24"/>
        </w:rPr>
        <w:t>McCleary</w:t>
      </w:r>
      <w:proofErr w:type="spellEnd"/>
      <w:r w:rsidRPr="00110E4B">
        <w:rPr>
          <w:rFonts w:ascii="Book Antiqua" w:hAnsi="Book Antiqua" w:cs="宋体"/>
          <w:b/>
          <w:bCs/>
          <w:sz w:val="24"/>
          <w:szCs w:val="24"/>
        </w:rPr>
        <w:t xml:space="preserve"> NJ</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Dotan</w:t>
      </w:r>
      <w:proofErr w:type="spellEnd"/>
      <w:r w:rsidRPr="00110E4B">
        <w:rPr>
          <w:rFonts w:ascii="Book Antiqua" w:hAnsi="Book Antiqua" w:cs="宋体"/>
          <w:sz w:val="24"/>
          <w:szCs w:val="24"/>
        </w:rPr>
        <w:t xml:space="preserve"> E, Browner I. Refining the chemotherapy approach for older patients with colon cancer.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Clin</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Oncol</w:t>
      </w:r>
      <w:proofErr w:type="spellEnd"/>
      <w:r w:rsidRPr="00110E4B">
        <w:rPr>
          <w:rFonts w:ascii="Book Antiqua" w:hAnsi="Book Antiqua" w:cs="宋体"/>
          <w:sz w:val="24"/>
          <w:szCs w:val="24"/>
        </w:rPr>
        <w:t> 2014; </w:t>
      </w:r>
      <w:r w:rsidRPr="00110E4B">
        <w:rPr>
          <w:rFonts w:ascii="Book Antiqua" w:hAnsi="Book Antiqua" w:cs="宋体"/>
          <w:b/>
          <w:bCs/>
          <w:sz w:val="24"/>
          <w:szCs w:val="24"/>
        </w:rPr>
        <w:t>32</w:t>
      </w:r>
      <w:r w:rsidRPr="00110E4B">
        <w:rPr>
          <w:rFonts w:ascii="Book Antiqua" w:hAnsi="Book Antiqua" w:cs="宋体"/>
          <w:sz w:val="24"/>
          <w:szCs w:val="24"/>
        </w:rPr>
        <w:t>: 2570-2580 [PMID: 25071118 DOI: 10.1200/JCO.2014.55.1960]</w:t>
      </w:r>
    </w:p>
    <w:p w14:paraId="334A52FF" w14:textId="77777777" w:rsidR="00033802" w:rsidRPr="00110E4B" w:rsidRDefault="00033802" w:rsidP="00CB2DFE">
      <w:pPr>
        <w:spacing w:after="0" w:line="360" w:lineRule="auto"/>
        <w:jc w:val="both"/>
        <w:rPr>
          <w:rFonts w:ascii="Book Antiqua" w:hAnsi="Book Antiqua" w:cs="宋体"/>
          <w:sz w:val="24"/>
          <w:szCs w:val="24"/>
        </w:rPr>
      </w:pPr>
      <w:r>
        <w:rPr>
          <w:rFonts w:ascii="Book Antiqua" w:hAnsi="Book Antiqua" w:cs="宋体"/>
          <w:sz w:val="24"/>
          <w:szCs w:val="24"/>
        </w:rPr>
        <w:t xml:space="preserve">17 </w:t>
      </w:r>
      <w:r w:rsidRPr="00110E4B">
        <w:rPr>
          <w:rFonts w:ascii="Book Antiqua" w:hAnsi="Book Antiqua" w:cs="宋体"/>
          <w:sz w:val="24"/>
          <w:szCs w:val="24"/>
        </w:rPr>
        <w:t xml:space="preserve">Adjuvant </w:t>
      </w:r>
      <w:proofErr w:type="gramStart"/>
      <w:r w:rsidRPr="00110E4B">
        <w:rPr>
          <w:rFonts w:ascii="Book Antiqua" w:hAnsi="Book Antiqua" w:cs="宋体"/>
          <w:sz w:val="24"/>
          <w:szCs w:val="24"/>
        </w:rPr>
        <w:t>therapy</w:t>
      </w:r>
      <w:proofErr w:type="gramEnd"/>
      <w:r w:rsidRPr="00110E4B">
        <w:rPr>
          <w:rFonts w:ascii="Book Antiqua" w:hAnsi="Book Antiqua" w:cs="宋体"/>
          <w:sz w:val="24"/>
          <w:szCs w:val="24"/>
        </w:rPr>
        <w:t xml:space="preserve"> for node-negative breast cancer. </w:t>
      </w:r>
      <w:r w:rsidRPr="00110E4B">
        <w:rPr>
          <w:rFonts w:ascii="Book Antiqua" w:hAnsi="Book Antiqua" w:cs="宋体"/>
          <w:i/>
          <w:iCs/>
          <w:sz w:val="24"/>
          <w:szCs w:val="24"/>
        </w:rPr>
        <w:t xml:space="preserve">N </w:t>
      </w:r>
      <w:proofErr w:type="spellStart"/>
      <w:r w:rsidRPr="00110E4B">
        <w:rPr>
          <w:rFonts w:ascii="Book Antiqua" w:hAnsi="Book Antiqua" w:cs="宋体"/>
          <w:i/>
          <w:iCs/>
          <w:sz w:val="24"/>
          <w:szCs w:val="24"/>
        </w:rPr>
        <w:t>Engl</w:t>
      </w:r>
      <w:proofErr w:type="spellEnd"/>
      <w:r w:rsidRPr="00110E4B">
        <w:rPr>
          <w:rFonts w:ascii="Book Antiqua" w:hAnsi="Book Antiqua" w:cs="宋体"/>
          <w:i/>
          <w:iCs/>
          <w:sz w:val="24"/>
          <w:szCs w:val="24"/>
        </w:rPr>
        <w:t xml:space="preserve"> J Med</w:t>
      </w:r>
      <w:r w:rsidRPr="00110E4B">
        <w:rPr>
          <w:rFonts w:ascii="Book Antiqua" w:hAnsi="Book Antiqua" w:cs="宋体"/>
          <w:sz w:val="24"/>
          <w:szCs w:val="24"/>
        </w:rPr>
        <w:t> 1989; </w:t>
      </w:r>
      <w:r w:rsidRPr="00110E4B">
        <w:rPr>
          <w:rFonts w:ascii="Book Antiqua" w:hAnsi="Book Antiqua" w:cs="宋体"/>
          <w:b/>
          <w:bCs/>
          <w:sz w:val="24"/>
          <w:szCs w:val="24"/>
        </w:rPr>
        <w:t>321</w:t>
      </w:r>
      <w:r w:rsidRPr="00110E4B">
        <w:rPr>
          <w:rFonts w:ascii="Book Antiqua" w:hAnsi="Book Antiqua" w:cs="宋体"/>
          <w:sz w:val="24"/>
          <w:szCs w:val="24"/>
        </w:rPr>
        <w:t>: 469-473 [PMID: 2761581 DOI: 10.1056/NEJM198908173210711]</w:t>
      </w:r>
    </w:p>
    <w:p w14:paraId="455ED9A7"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18 </w:t>
      </w:r>
      <w:proofErr w:type="spellStart"/>
      <w:r w:rsidRPr="00110E4B">
        <w:rPr>
          <w:rFonts w:ascii="Book Antiqua" w:hAnsi="Book Antiqua" w:cs="宋体"/>
          <w:b/>
          <w:bCs/>
          <w:sz w:val="24"/>
          <w:szCs w:val="24"/>
        </w:rPr>
        <w:t>Kristjansson</w:t>
      </w:r>
      <w:proofErr w:type="spellEnd"/>
      <w:r w:rsidRPr="00110E4B">
        <w:rPr>
          <w:rFonts w:ascii="Book Antiqua" w:hAnsi="Book Antiqua" w:cs="宋体"/>
          <w:b/>
          <w:bCs/>
          <w:sz w:val="24"/>
          <w:szCs w:val="24"/>
        </w:rPr>
        <w:t xml:space="preserve"> SR</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Nesbakken</w:t>
      </w:r>
      <w:proofErr w:type="spellEnd"/>
      <w:r w:rsidRPr="00110E4B">
        <w:rPr>
          <w:rFonts w:ascii="Book Antiqua" w:hAnsi="Book Antiqua" w:cs="宋体"/>
          <w:sz w:val="24"/>
          <w:szCs w:val="24"/>
        </w:rPr>
        <w:t xml:space="preserve"> A, </w:t>
      </w:r>
      <w:proofErr w:type="spellStart"/>
      <w:r w:rsidRPr="00110E4B">
        <w:rPr>
          <w:rFonts w:ascii="Book Antiqua" w:hAnsi="Book Antiqua" w:cs="宋体"/>
          <w:sz w:val="24"/>
          <w:szCs w:val="24"/>
        </w:rPr>
        <w:t>Jordhøy</w:t>
      </w:r>
      <w:proofErr w:type="spellEnd"/>
      <w:r w:rsidRPr="00110E4B">
        <w:rPr>
          <w:rFonts w:ascii="Book Antiqua" w:hAnsi="Book Antiqua" w:cs="宋体"/>
          <w:sz w:val="24"/>
          <w:szCs w:val="24"/>
        </w:rPr>
        <w:t xml:space="preserve"> MS, </w:t>
      </w:r>
      <w:proofErr w:type="spellStart"/>
      <w:r w:rsidRPr="00110E4B">
        <w:rPr>
          <w:rFonts w:ascii="Book Antiqua" w:hAnsi="Book Antiqua" w:cs="宋体"/>
          <w:sz w:val="24"/>
          <w:szCs w:val="24"/>
        </w:rPr>
        <w:t>Skovlund</w:t>
      </w:r>
      <w:proofErr w:type="spellEnd"/>
      <w:r w:rsidRPr="00110E4B">
        <w:rPr>
          <w:rFonts w:ascii="Book Antiqua" w:hAnsi="Book Antiqua" w:cs="宋体"/>
          <w:sz w:val="24"/>
          <w:szCs w:val="24"/>
        </w:rPr>
        <w:t xml:space="preserve"> E, </w:t>
      </w:r>
      <w:proofErr w:type="spellStart"/>
      <w:r w:rsidRPr="00110E4B">
        <w:rPr>
          <w:rFonts w:ascii="Book Antiqua" w:hAnsi="Book Antiqua" w:cs="宋体"/>
          <w:sz w:val="24"/>
          <w:szCs w:val="24"/>
        </w:rPr>
        <w:t>Audisio</w:t>
      </w:r>
      <w:proofErr w:type="spellEnd"/>
      <w:r w:rsidRPr="00110E4B">
        <w:rPr>
          <w:rFonts w:ascii="Book Antiqua" w:hAnsi="Book Antiqua" w:cs="宋体"/>
          <w:sz w:val="24"/>
          <w:szCs w:val="24"/>
        </w:rPr>
        <w:t xml:space="preserve"> RA, </w:t>
      </w:r>
      <w:proofErr w:type="spellStart"/>
      <w:r w:rsidRPr="00110E4B">
        <w:rPr>
          <w:rFonts w:ascii="Book Antiqua" w:hAnsi="Book Antiqua" w:cs="宋体"/>
          <w:sz w:val="24"/>
          <w:szCs w:val="24"/>
        </w:rPr>
        <w:t>Johannessen</w:t>
      </w:r>
      <w:proofErr w:type="spellEnd"/>
      <w:r w:rsidRPr="00110E4B">
        <w:rPr>
          <w:rFonts w:ascii="Book Antiqua" w:hAnsi="Book Antiqua" w:cs="宋体"/>
          <w:sz w:val="24"/>
          <w:szCs w:val="24"/>
        </w:rPr>
        <w:t xml:space="preserve"> HO, </w:t>
      </w:r>
      <w:proofErr w:type="spellStart"/>
      <w:r w:rsidRPr="00110E4B">
        <w:rPr>
          <w:rFonts w:ascii="Book Antiqua" w:hAnsi="Book Antiqua" w:cs="宋体"/>
          <w:sz w:val="24"/>
          <w:szCs w:val="24"/>
        </w:rPr>
        <w:t>Bakka</w:t>
      </w:r>
      <w:proofErr w:type="spellEnd"/>
      <w:r w:rsidRPr="00110E4B">
        <w:rPr>
          <w:rFonts w:ascii="Book Antiqua" w:hAnsi="Book Antiqua" w:cs="宋体"/>
          <w:sz w:val="24"/>
          <w:szCs w:val="24"/>
        </w:rPr>
        <w:t xml:space="preserve"> A, </w:t>
      </w:r>
      <w:proofErr w:type="spellStart"/>
      <w:r w:rsidRPr="00110E4B">
        <w:rPr>
          <w:rFonts w:ascii="Book Antiqua" w:hAnsi="Book Antiqua" w:cs="宋体"/>
          <w:sz w:val="24"/>
          <w:szCs w:val="24"/>
        </w:rPr>
        <w:t>Wyller</w:t>
      </w:r>
      <w:proofErr w:type="spellEnd"/>
      <w:r w:rsidRPr="00110E4B">
        <w:rPr>
          <w:rFonts w:ascii="Book Antiqua" w:hAnsi="Book Antiqua" w:cs="宋体"/>
          <w:sz w:val="24"/>
          <w:szCs w:val="24"/>
        </w:rPr>
        <w:t xml:space="preserve"> TB. Comprehensive geriatric assessment can predict complications in elderly patients after elective surgery for colorectal cancer: a prospective observational cohort study. </w:t>
      </w:r>
      <w:proofErr w:type="spellStart"/>
      <w:r w:rsidRPr="00110E4B">
        <w:rPr>
          <w:rFonts w:ascii="Book Antiqua" w:hAnsi="Book Antiqua" w:cs="宋体"/>
          <w:i/>
          <w:iCs/>
          <w:sz w:val="24"/>
          <w:szCs w:val="24"/>
        </w:rPr>
        <w:t>Crit</w:t>
      </w:r>
      <w:proofErr w:type="spellEnd"/>
      <w:r w:rsidRPr="00110E4B">
        <w:rPr>
          <w:rFonts w:ascii="Book Antiqua" w:hAnsi="Book Antiqua" w:cs="宋体"/>
          <w:i/>
          <w:iCs/>
          <w:sz w:val="24"/>
          <w:szCs w:val="24"/>
        </w:rPr>
        <w:t xml:space="preserve"> Rev </w:t>
      </w:r>
      <w:proofErr w:type="spellStart"/>
      <w:r w:rsidRPr="00110E4B">
        <w:rPr>
          <w:rFonts w:ascii="Book Antiqua" w:hAnsi="Book Antiqua" w:cs="宋体"/>
          <w:i/>
          <w:iCs/>
          <w:sz w:val="24"/>
          <w:szCs w:val="24"/>
        </w:rPr>
        <w:t>Oncol</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Hematol</w:t>
      </w:r>
      <w:proofErr w:type="spellEnd"/>
      <w:r w:rsidRPr="00110E4B">
        <w:rPr>
          <w:rFonts w:ascii="Book Antiqua" w:hAnsi="Book Antiqua" w:cs="宋体"/>
          <w:sz w:val="24"/>
          <w:szCs w:val="24"/>
        </w:rPr>
        <w:t> 2010; </w:t>
      </w:r>
      <w:r w:rsidRPr="00110E4B">
        <w:rPr>
          <w:rFonts w:ascii="Book Antiqua" w:hAnsi="Book Antiqua" w:cs="宋体"/>
          <w:b/>
          <w:bCs/>
          <w:sz w:val="24"/>
          <w:szCs w:val="24"/>
        </w:rPr>
        <w:t>76</w:t>
      </w:r>
      <w:r w:rsidRPr="00110E4B">
        <w:rPr>
          <w:rFonts w:ascii="Book Antiqua" w:hAnsi="Book Antiqua" w:cs="宋体"/>
          <w:sz w:val="24"/>
          <w:szCs w:val="24"/>
        </w:rPr>
        <w:t>: 208-217 [PMID: 20005123 DOI: 10.1016/j.critrevonc.2009.11.002]</w:t>
      </w:r>
    </w:p>
    <w:p w14:paraId="62D0AD6A" w14:textId="77777777" w:rsidR="00033802" w:rsidRPr="00110E4B" w:rsidRDefault="00033802" w:rsidP="00CB2DFE">
      <w:pPr>
        <w:spacing w:after="0" w:line="360" w:lineRule="auto"/>
        <w:jc w:val="both"/>
        <w:rPr>
          <w:rFonts w:ascii="Book Antiqua" w:hAnsi="Book Antiqua" w:cs="宋体"/>
          <w:sz w:val="24"/>
          <w:szCs w:val="24"/>
        </w:rPr>
      </w:pPr>
      <w:proofErr w:type="gramStart"/>
      <w:r w:rsidRPr="00110E4B">
        <w:rPr>
          <w:rFonts w:ascii="Book Antiqua" w:hAnsi="Book Antiqua" w:cs="宋体"/>
          <w:sz w:val="24"/>
          <w:szCs w:val="24"/>
        </w:rPr>
        <w:t>19 </w:t>
      </w:r>
      <w:r w:rsidRPr="00110E4B">
        <w:rPr>
          <w:rFonts w:ascii="Book Antiqua" w:hAnsi="Book Antiqua" w:cs="宋体"/>
          <w:b/>
          <w:bCs/>
          <w:sz w:val="24"/>
          <w:szCs w:val="24"/>
        </w:rPr>
        <w:t>Chang GJ</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Skibber</w:t>
      </w:r>
      <w:proofErr w:type="spellEnd"/>
      <w:r w:rsidRPr="00110E4B">
        <w:rPr>
          <w:rFonts w:ascii="Book Antiqua" w:hAnsi="Book Antiqua" w:cs="宋体"/>
          <w:sz w:val="24"/>
          <w:szCs w:val="24"/>
        </w:rPr>
        <w:t xml:space="preserve"> JM, Feig BW, Rodriguez-</w:t>
      </w:r>
      <w:proofErr w:type="spellStart"/>
      <w:r w:rsidRPr="00110E4B">
        <w:rPr>
          <w:rFonts w:ascii="Book Antiqua" w:hAnsi="Book Antiqua" w:cs="宋体"/>
          <w:sz w:val="24"/>
          <w:szCs w:val="24"/>
        </w:rPr>
        <w:t>Bigas</w:t>
      </w:r>
      <w:proofErr w:type="spellEnd"/>
      <w:r w:rsidRPr="00110E4B">
        <w:rPr>
          <w:rFonts w:ascii="Book Antiqua" w:hAnsi="Book Antiqua" w:cs="宋体"/>
          <w:sz w:val="24"/>
          <w:szCs w:val="24"/>
        </w:rPr>
        <w:t xml:space="preserve"> M. Are we undertreating rectal cancer in the elderly?</w:t>
      </w:r>
      <w:proofErr w:type="gramEnd"/>
      <w:r w:rsidRPr="00110E4B">
        <w:rPr>
          <w:rFonts w:ascii="Book Antiqua" w:hAnsi="Book Antiqua" w:cs="宋体"/>
          <w:sz w:val="24"/>
          <w:szCs w:val="24"/>
        </w:rPr>
        <w:t xml:space="preserve"> </w:t>
      </w:r>
      <w:proofErr w:type="gramStart"/>
      <w:r w:rsidRPr="00110E4B">
        <w:rPr>
          <w:rFonts w:ascii="Book Antiqua" w:hAnsi="Book Antiqua" w:cs="宋体"/>
          <w:sz w:val="24"/>
          <w:szCs w:val="24"/>
        </w:rPr>
        <w:t>An epidemiologic study.</w:t>
      </w:r>
      <w:proofErr w:type="gramEnd"/>
      <w:r w:rsidRPr="00110E4B">
        <w:rPr>
          <w:rFonts w:ascii="Book Antiqua" w:hAnsi="Book Antiqua" w:cs="宋体"/>
          <w:sz w:val="24"/>
          <w:szCs w:val="24"/>
        </w:rPr>
        <w:t> </w:t>
      </w:r>
      <w:r w:rsidRPr="00110E4B">
        <w:rPr>
          <w:rFonts w:ascii="Book Antiqua" w:hAnsi="Book Antiqua" w:cs="宋体"/>
          <w:i/>
          <w:iCs/>
          <w:sz w:val="24"/>
          <w:szCs w:val="24"/>
        </w:rPr>
        <w:t xml:space="preserve">Ann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2007; </w:t>
      </w:r>
      <w:r w:rsidRPr="00110E4B">
        <w:rPr>
          <w:rFonts w:ascii="Book Antiqua" w:hAnsi="Book Antiqua" w:cs="宋体"/>
          <w:b/>
          <w:bCs/>
          <w:sz w:val="24"/>
          <w:szCs w:val="24"/>
        </w:rPr>
        <w:t>246</w:t>
      </w:r>
      <w:r w:rsidRPr="00110E4B">
        <w:rPr>
          <w:rFonts w:ascii="Book Antiqua" w:hAnsi="Book Antiqua" w:cs="宋体"/>
          <w:sz w:val="24"/>
          <w:szCs w:val="24"/>
        </w:rPr>
        <w:t>: 215-221 [PMID: 17667499 DOI: 10.1097/SLA.0b013e318070838f]</w:t>
      </w:r>
    </w:p>
    <w:p w14:paraId="7A999BDD"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lastRenderedPageBreak/>
        <w:t>20 </w:t>
      </w:r>
      <w:r w:rsidRPr="00110E4B">
        <w:rPr>
          <w:rFonts w:ascii="Book Antiqua" w:hAnsi="Book Antiqua" w:cs="宋体"/>
          <w:b/>
          <w:bCs/>
          <w:sz w:val="24"/>
          <w:szCs w:val="24"/>
        </w:rPr>
        <w:t>Fried LP</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Tangen</w:t>
      </w:r>
      <w:proofErr w:type="spellEnd"/>
      <w:r w:rsidRPr="00110E4B">
        <w:rPr>
          <w:rFonts w:ascii="Book Antiqua" w:hAnsi="Book Antiqua" w:cs="宋体"/>
          <w:sz w:val="24"/>
          <w:szCs w:val="24"/>
        </w:rPr>
        <w:t xml:space="preserve"> CM, </w:t>
      </w:r>
      <w:proofErr w:type="spellStart"/>
      <w:r w:rsidRPr="00110E4B">
        <w:rPr>
          <w:rFonts w:ascii="Book Antiqua" w:hAnsi="Book Antiqua" w:cs="宋体"/>
          <w:sz w:val="24"/>
          <w:szCs w:val="24"/>
        </w:rPr>
        <w:t>Walston</w:t>
      </w:r>
      <w:proofErr w:type="spellEnd"/>
      <w:r w:rsidRPr="00110E4B">
        <w:rPr>
          <w:rFonts w:ascii="Book Antiqua" w:hAnsi="Book Antiqua" w:cs="宋体"/>
          <w:sz w:val="24"/>
          <w:szCs w:val="24"/>
        </w:rPr>
        <w:t xml:space="preserve"> J, Newman AB, Hirsch C, </w:t>
      </w:r>
      <w:proofErr w:type="spellStart"/>
      <w:r w:rsidRPr="00110E4B">
        <w:rPr>
          <w:rFonts w:ascii="Book Antiqua" w:hAnsi="Book Antiqua" w:cs="宋体"/>
          <w:sz w:val="24"/>
          <w:szCs w:val="24"/>
        </w:rPr>
        <w:t>Gottdiener</w:t>
      </w:r>
      <w:proofErr w:type="spellEnd"/>
      <w:r w:rsidRPr="00110E4B">
        <w:rPr>
          <w:rFonts w:ascii="Book Antiqua" w:hAnsi="Book Antiqua" w:cs="宋体"/>
          <w:sz w:val="24"/>
          <w:szCs w:val="24"/>
        </w:rPr>
        <w:t xml:space="preserve"> J, </w:t>
      </w:r>
      <w:proofErr w:type="spellStart"/>
      <w:r w:rsidRPr="00110E4B">
        <w:rPr>
          <w:rFonts w:ascii="Book Antiqua" w:hAnsi="Book Antiqua" w:cs="宋体"/>
          <w:sz w:val="24"/>
          <w:szCs w:val="24"/>
        </w:rPr>
        <w:t>Seeman</w:t>
      </w:r>
      <w:proofErr w:type="spellEnd"/>
      <w:r w:rsidRPr="00110E4B">
        <w:rPr>
          <w:rFonts w:ascii="Book Antiqua" w:hAnsi="Book Antiqua" w:cs="宋体"/>
          <w:sz w:val="24"/>
          <w:szCs w:val="24"/>
        </w:rPr>
        <w:t xml:space="preserve"> T, Tracy R, Kop WJ, Burke G, </w:t>
      </w:r>
      <w:proofErr w:type="spellStart"/>
      <w:r w:rsidRPr="00110E4B">
        <w:rPr>
          <w:rFonts w:ascii="Book Antiqua" w:hAnsi="Book Antiqua" w:cs="宋体"/>
          <w:sz w:val="24"/>
          <w:szCs w:val="24"/>
        </w:rPr>
        <w:t>McBurnie</w:t>
      </w:r>
      <w:proofErr w:type="spellEnd"/>
      <w:r w:rsidRPr="00110E4B">
        <w:rPr>
          <w:rFonts w:ascii="Book Antiqua" w:hAnsi="Book Antiqua" w:cs="宋体"/>
          <w:sz w:val="24"/>
          <w:szCs w:val="24"/>
        </w:rPr>
        <w:t xml:space="preserve"> MA. Frailty in older adults: evidence for a phenotype.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Gerontol</w:t>
      </w:r>
      <w:proofErr w:type="spellEnd"/>
      <w:r w:rsidRPr="00110E4B">
        <w:rPr>
          <w:rFonts w:ascii="Book Antiqua" w:hAnsi="Book Antiqua" w:cs="宋体"/>
          <w:i/>
          <w:iCs/>
          <w:sz w:val="24"/>
          <w:szCs w:val="24"/>
        </w:rPr>
        <w:t xml:space="preserve"> A </w:t>
      </w:r>
      <w:proofErr w:type="spellStart"/>
      <w:r w:rsidRPr="00110E4B">
        <w:rPr>
          <w:rFonts w:ascii="Book Antiqua" w:hAnsi="Book Antiqua" w:cs="宋体"/>
          <w:i/>
          <w:iCs/>
          <w:sz w:val="24"/>
          <w:szCs w:val="24"/>
        </w:rPr>
        <w:t>Biol</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Sci</w:t>
      </w:r>
      <w:proofErr w:type="spellEnd"/>
      <w:r w:rsidRPr="00110E4B">
        <w:rPr>
          <w:rFonts w:ascii="Book Antiqua" w:hAnsi="Book Antiqua" w:cs="宋体"/>
          <w:i/>
          <w:iCs/>
          <w:sz w:val="24"/>
          <w:szCs w:val="24"/>
        </w:rPr>
        <w:t xml:space="preserve"> Med </w:t>
      </w:r>
      <w:proofErr w:type="spellStart"/>
      <w:r w:rsidRPr="00110E4B">
        <w:rPr>
          <w:rFonts w:ascii="Book Antiqua" w:hAnsi="Book Antiqua" w:cs="宋体"/>
          <w:i/>
          <w:iCs/>
          <w:sz w:val="24"/>
          <w:szCs w:val="24"/>
        </w:rPr>
        <w:t>Sci</w:t>
      </w:r>
      <w:proofErr w:type="spellEnd"/>
      <w:r w:rsidRPr="00110E4B">
        <w:rPr>
          <w:rFonts w:ascii="Book Antiqua" w:hAnsi="Book Antiqua" w:cs="宋体"/>
          <w:sz w:val="24"/>
          <w:szCs w:val="24"/>
        </w:rPr>
        <w:t> 2001; </w:t>
      </w:r>
      <w:r w:rsidRPr="00110E4B">
        <w:rPr>
          <w:rFonts w:ascii="Book Antiqua" w:hAnsi="Book Antiqua" w:cs="宋体"/>
          <w:b/>
          <w:bCs/>
          <w:sz w:val="24"/>
          <w:szCs w:val="24"/>
        </w:rPr>
        <w:t>56</w:t>
      </w:r>
      <w:r w:rsidRPr="00110E4B">
        <w:rPr>
          <w:rFonts w:ascii="Book Antiqua" w:hAnsi="Book Antiqua" w:cs="宋体"/>
          <w:sz w:val="24"/>
          <w:szCs w:val="24"/>
        </w:rPr>
        <w:t>: M146-M156 [PMID: 11253156]</w:t>
      </w:r>
    </w:p>
    <w:p w14:paraId="71FD5DC0"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21 </w:t>
      </w:r>
      <w:proofErr w:type="spellStart"/>
      <w:r w:rsidRPr="00110E4B">
        <w:rPr>
          <w:rFonts w:ascii="Book Antiqua" w:hAnsi="Book Antiqua" w:cs="宋体"/>
          <w:b/>
          <w:bCs/>
          <w:sz w:val="24"/>
          <w:szCs w:val="24"/>
        </w:rPr>
        <w:t>Fukuse</w:t>
      </w:r>
      <w:proofErr w:type="spellEnd"/>
      <w:r w:rsidRPr="00110E4B">
        <w:rPr>
          <w:rFonts w:ascii="Book Antiqua" w:hAnsi="Book Antiqua" w:cs="宋体"/>
          <w:b/>
          <w:bCs/>
          <w:sz w:val="24"/>
          <w:szCs w:val="24"/>
        </w:rPr>
        <w:t xml:space="preserve"> T</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Satoda</w:t>
      </w:r>
      <w:proofErr w:type="spellEnd"/>
      <w:r w:rsidRPr="00110E4B">
        <w:rPr>
          <w:rFonts w:ascii="Book Antiqua" w:hAnsi="Book Antiqua" w:cs="宋体"/>
          <w:sz w:val="24"/>
          <w:szCs w:val="24"/>
        </w:rPr>
        <w:t xml:space="preserve"> N, </w:t>
      </w:r>
      <w:proofErr w:type="spellStart"/>
      <w:r w:rsidRPr="00110E4B">
        <w:rPr>
          <w:rFonts w:ascii="Book Antiqua" w:hAnsi="Book Antiqua" w:cs="宋体"/>
          <w:sz w:val="24"/>
          <w:szCs w:val="24"/>
        </w:rPr>
        <w:t>Hijiya</w:t>
      </w:r>
      <w:proofErr w:type="spellEnd"/>
      <w:r w:rsidRPr="00110E4B">
        <w:rPr>
          <w:rFonts w:ascii="Book Antiqua" w:hAnsi="Book Antiqua" w:cs="宋体"/>
          <w:sz w:val="24"/>
          <w:szCs w:val="24"/>
        </w:rPr>
        <w:t xml:space="preserve"> K, </w:t>
      </w:r>
      <w:proofErr w:type="spellStart"/>
      <w:r w:rsidRPr="00110E4B">
        <w:rPr>
          <w:rFonts w:ascii="Book Antiqua" w:hAnsi="Book Antiqua" w:cs="宋体"/>
          <w:sz w:val="24"/>
          <w:szCs w:val="24"/>
        </w:rPr>
        <w:t>Fujinaga</w:t>
      </w:r>
      <w:proofErr w:type="spellEnd"/>
      <w:r w:rsidRPr="00110E4B">
        <w:rPr>
          <w:rFonts w:ascii="Book Antiqua" w:hAnsi="Book Antiqua" w:cs="宋体"/>
          <w:sz w:val="24"/>
          <w:szCs w:val="24"/>
        </w:rPr>
        <w:t xml:space="preserve"> T. Importance of a comprehensive geriatric assessment in prediction of complications following thoracic surgery in elderly patients. </w:t>
      </w:r>
      <w:r w:rsidRPr="00110E4B">
        <w:rPr>
          <w:rFonts w:ascii="Book Antiqua" w:hAnsi="Book Antiqua" w:cs="宋体"/>
          <w:i/>
          <w:iCs/>
          <w:sz w:val="24"/>
          <w:szCs w:val="24"/>
        </w:rPr>
        <w:t>Chest</w:t>
      </w:r>
      <w:r w:rsidRPr="00110E4B">
        <w:rPr>
          <w:rFonts w:ascii="Book Antiqua" w:hAnsi="Book Antiqua" w:cs="宋体"/>
          <w:sz w:val="24"/>
          <w:szCs w:val="24"/>
        </w:rPr>
        <w:t> 2005; </w:t>
      </w:r>
      <w:r w:rsidRPr="00110E4B">
        <w:rPr>
          <w:rFonts w:ascii="Book Antiqua" w:hAnsi="Book Antiqua" w:cs="宋体"/>
          <w:b/>
          <w:bCs/>
          <w:sz w:val="24"/>
          <w:szCs w:val="24"/>
        </w:rPr>
        <w:t>127</w:t>
      </w:r>
      <w:r w:rsidRPr="00110E4B">
        <w:rPr>
          <w:rFonts w:ascii="Book Antiqua" w:hAnsi="Book Antiqua" w:cs="宋体"/>
          <w:sz w:val="24"/>
          <w:szCs w:val="24"/>
        </w:rPr>
        <w:t>: 886-891 [PMID: 15764772 DOI: 10.1378/chest.127.3.886]</w:t>
      </w:r>
    </w:p>
    <w:p w14:paraId="20028151"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22 </w:t>
      </w:r>
      <w:proofErr w:type="spellStart"/>
      <w:r w:rsidRPr="00110E4B">
        <w:rPr>
          <w:rFonts w:ascii="Book Antiqua" w:hAnsi="Book Antiqua" w:cs="宋体"/>
          <w:b/>
          <w:bCs/>
          <w:sz w:val="24"/>
          <w:szCs w:val="24"/>
        </w:rPr>
        <w:t>Makary</w:t>
      </w:r>
      <w:proofErr w:type="spellEnd"/>
      <w:r w:rsidRPr="00110E4B">
        <w:rPr>
          <w:rFonts w:ascii="Book Antiqua" w:hAnsi="Book Antiqua" w:cs="宋体"/>
          <w:b/>
          <w:bCs/>
          <w:sz w:val="24"/>
          <w:szCs w:val="24"/>
        </w:rPr>
        <w:t xml:space="preserve"> MA</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Segev</w:t>
      </w:r>
      <w:proofErr w:type="spellEnd"/>
      <w:r w:rsidRPr="00110E4B">
        <w:rPr>
          <w:rFonts w:ascii="Book Antiqua" w:hAnsi="Book Antiqua" w:cs="宋体"/>
          <w:sz w:val="24"/>
          <w:szCs w:val="24"/>
        </w:rPr>
        <w:t xml:space="preserve"> DL, </w:t>
      </w:r>
      <w:proofErr w:type="spellStart"/>
      <w:r w:rsidRPr="00110E4B">
        <w:rPr>
          <w:rFonts w:ascii="Book Antiqua" w:hAnsi="Book Antiqua" w:cs="宋体"/>
          <w:sz w:val="24"/>
          <w:szCs w:val="24"/>
        </w:rPr>
        <w:t>Pronovost</w:t>
      </w:r>
      <w:proofErr w:type="spellEnd"/>
      <w:r w:rsidRPr="00110E4B">
        <w:rPr>
          <w:rFonts w:ascii="Book Antiqua" w:hAnsi="Book Antiqua" w:cs="宋体"/>
          <w:sz w:val="24"/>
          <w:szCs w:val="24"/>
        </w:rPr>
        <w:t xml:space="preserve"> PJ, </w:t>
      </w:r>
      <w:proofErr w:type="spellStart"/>
      <w:r w:rsidRPr="00110E4B">
        <w:rPr>
          <w:rFonts w:ascii="Book Antiqua" w:hAnsi="Book Antiqua" w:cs="宋体"/>
          <w:sz w:val="24"/>
          <w:szCs w:val="24"/>
        </w:rPr>
        <w:t>Syin</w:t>
      </w:r>
      <w:proofErr w:type="spellEnd"/>
      <w:r w:rsidRPr="00110E4B">
        <w:rPr>
          <w:rFonts w:ascii="Book Antiqua" w:hAnsi="Book Antiqua" w:cs="宋体"/>
          <w:sz w:val="24"/>
          <w:szCs w:val="24"/>
        </w:rPr>
        <w:t xml:space="preserve"> D, </w:t>
      </w:r>
      <w:proofErr w:type="spellStart"/>
      <w:r w:rsidRPr="00110E4B">
        <w:rPr>
          <w:rFonts w:ascii="Book Antiqua" w:hAnsi="Book Antiqua" w:cs="宋体"/>
          <w:sz w:val="24"/>
          <w:szCs w:val="24"/>
        </w:rPr>
        <w:t>Bandeen</w:t>
      </w:r>
      <w:proofErr w:type="spellEnd"/>
      <w:r w:rsidRPr="00110E4B">
        <w:rPr>
          <w:rFonts w:ascii="Book Antiqua" w:hAnsi="Book Antiqua" w:cs="宋体"/>
          <w:sz w:val="24"/>
          <w:szCs w:val="24"/>
        </w:rPr>
        <w:t xml:space="preserve">-Roche K, Patel P, Takenaga R, </w:t>
      </w:r>
      <w:proofErr w:type="spellStart"/>
      <w:r w:rsidRPr="00110E4B">
        <w:rPr>
          <w:rFonts w:ascii="Book Antiqua" w:hAnsi="Book Antiqua" w:cs="宋体"/>
          <w:sz w:val="24"/>
          <w:szCs w:val="24"/>
        </w:rPr>
        <w:t>Devgan</w:t>
      </w:r>
      <w:proofErr w:type="spellEnd"/>
      <w:r w:rsidRPr="00110E4B">
        <w:rPr>
          <w:rFonts w:ascii="Book Antiqua" w:hAnsi="Book Antiqua" w:cs="宋体"/>
          <w:sz w:val="24"/>
          <w:szCs w:val="24"/>
        </w:rPr>
        <w:t xml:space="preserve"> L, </w:t>
      </w:r>
      <w:proofErr w:type="spellStart"/>
      <w:r w:rsidRPr="00110E4B">
        <w:rPr>
          <w:rFonts w:ascii="Book Antiqua" w:hAnsi="Book Antiqua" w:cs="宋体"/>
          <w:sz w:val="24"/>
          <w:szCs w:val="24"/>
        </w:rPr>
        <w:t>Holzmueller</w:t>
      </w:r>
      <w:proofErr w:type="spellEnd"/>
      <w:r w:rsidRPr="00110E4B">
        <w:rPr>
          <w:rFonts w:ascii="Book Antiqua" w:hAnsi="Book Antiqua" w:cs="宋体"/>
          <w:sz w:val="24"/>
          <w:szCs w:val="24"/>
        </w:rPr>
        <w:t xml:space="preserve"> CG, Tian J, Fried LP. </w:t>
      </w:r>
      <w:proofErr w:type="gramStart"/>
      <w:r w:rsidRPr="00110E4B">
        <w:rPr>
          <w:rFonts w:ascii="Book Antiqua" w:hAnsi="Book Antiqua" w:cs="宋体"/>
          <w:sz w:val="24"/>
          <w:szCs w:val="24"/>
        </w:rPr>
        <w:t>Frailty as a predictor of surgical outcomes in older patients.</w:t>
      </w:r>
      <w:proofErr w:type="gramEnd"/>
      <w:r w:rsidRPr="00110E4B">
        <w:rPr>
          <w:rFonts w:ascii="Book Antiqua" w:hAnsi="Book Antiqua" w:cs="宋体"/>
          <w:sz w:val="24"/>
          <w:szCs w:val="24"/>
        </w:rPr>
        <w:t> </w:t>
      </w:r>
      <w:r w:rsidRPr="00110E4B">
        <w:rPr>
          <w:rFonts w:ascii="Book Antiqua" w:hAnsi="Book Antiqua" w:cs="宋体"/>
          <w:i/>
          <w:iCs/>
          <w:sz w:val="24"/>
          <w:szCs w:val="24"/>
        </w:rPr>
        <w:t xml:space="preserve">J Am </w:t>
      </w:r>
      <w:proofErr w:type="spellStart"/>
      <w:r w:rsidRPr="00110E4B">
        <w:rPr>
          <w:rFonts w:ascii="Book Antiqua" w:hAnsi="Book Antiqua" w:cs="宋体"/>
          <w:i/>
          <w:iCs/>
          <w:sz w:val="24"/>
          <w:szCs w:val="24"/>
        </w:rPr>
        <w:t>Coll</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2010; </w:t>
      </w:r>
      <w:r w:rsidRPr="00110E4B">
        <w:rPr>
          <w:rFonts w:ascii="Book Antiqua" w:hAnsi="Book Antiqua" w:cs="宋体"/>
          <w:b/>
          <w:bCs/>
          <w:sz w:val="24"/>
          <w:szCs w:val="24"/>
        </w:rPr>
        <w:t>210</w:t>
      </w:r>
      <w:r w:rsidRPr="00110E4B">
        <w:rPr>
          <w:rFonts w:ascii="Book Antiqua" w:hAnsi="Book Antiqua" w:cs="宋体"/>
          <w:sz w:val="24"/>
          <w:szCs w:val="24"/>
        </w:rPr>
        <w:t>: 901-908 [PMID: 20510798 DOI: 10.1016/j.jamcollsurg.2010.01.028]</w:t>
      </w:r>
    </w:p>
    <w:p w14:paraId="1B27CFED"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23 </w:t>
      </w:r>
      <w:r w:rsidRPr="00110E4B">
        <w:rPr>
          <w:rFonts w:ascii="Book Antiqua" w:hAnsi="Book Antiqua" w:cs="宋体"/>
          <w:b/>
          <w:bCs/>
          <w:sz w:val="24"/>
          <w:szCs w:val="24"/>
        </w:rPr>
        <w:t>Chow WB</w:t>
      </w:r>
      <w:r w:rsidRPr="00110E4B">
        <w:rPr>
          <w:rFonts w:ascii="Book Antiqua" w:hAnsi="Book Antiqua" w:cs="宋体"/>
          <w:sz w:val="24"/>
          <w:szCs w:val="24"/>
        </w:rPr>
        <w:t xml:space="preserve">, Rosenthal RA, </w:t>
      </w:r>
      <w:proofErr w:type="spellStart"/>
      <w:r w:rsidRPr="00110E4B">
        <w:rPr>
          <w:rFonts w:ascii="Book Antiqua" w:hAnsi="Book Antiqua" w:cs="宋体"/>
          <w:sz w:val="24"/>
          <w:szCs w:val="24"/>
        </w:rPr>
        <w:t>Merkow</w:t>
      </w:r>
      <w:proofErr w:type="spellEnd"/>
      <w:r w:rsidRPr="00110E4B">
        <w:rPr>
          <w:rFonts w:ascii="Book Antiqua" w:hAnsi="Book Antiqua" w:cs="宋体"/>
          <w:sz w:val="24"/>
          <w:szCs w:val="24"/>
        </w:rPr>
        <w:t xml:space="preserve"> RP, </w:t>
      </w:r>
      <w:proofErr w:type="spellStart"/>
      <w:r w:rsidRPr="00110E4B">
        <w:rPr>
          <w:rFonts w:ascii="Book Antiqua" w:hAnsi="Book Antiqua" w:cs="宋体"/>
          <w:sz w:val="24"/>
          <w:szCs w:val="24"/>
        </w:rPr>
        <w:t>Ko</w:t>
      </w:r>
      <w:proofErr w:type="spellEnd"/>
      <w:r w:rsidRPr="00110E4B">
        <w:rPr>
          <w:rFonts w:ascii="Book Antiqua" w:hAnsi="Book Antiqua" w:cs="宋体"/>
          <w:sz w:val="24"/>
          <w:szCs w:val="24"/>
        </w:rPr>
        <w:t xml:space="preserve"> CY, </w:t>
      </w:r>
      <w:proofErr w:type="spellStart"/>
      <w:r w:rsidRPr="00110E4B">
        <w:rPr>
          <w:rFonts w:ascii="Book Antiqua" w:hAnsi="Book Antiqua" w:cs="宋体"/>
          <w:sz w:val="24"/>
          <w:szCs w:val="24"/>
        </w:rPr>
        <w:t>Esnaola</w:t>
      </w:r>
      <w:proofErr w:type="spellEnd"/>
      <w:r w:rsidRPr="00110E4B">
        <w:rPr>
          <w:rFonts w:ascii="Book Antiqua" w:hAnsi="Book Antiqua" w:cs="宋体"/>
          <w:sz w:val="24"/>
          <w:szCs w:val="24"/>
        </w:rPr>
        <w:t xml:space="preserve"> NF. Optimal preoperative assessment of the geriatric surgical patient: a best practices guideline from the American College of Surgeons National Surgical Quality Improvement Program and the American Geriatrics Society. </w:t>
      </w:r>
      <w:r w:rsidRPr="00110E4B">
        <w:rPr>
          <w:rFonts w:ascii="Book Antiqua" w:hAnsi="Book Antiqua" w:cs="宋体"/>
          <w:i/>
          <w:iCs/>
          <w:sz w:val="24"/>
          <w:szCs w:val="24"/>
        </w:rPr>
        <w:t xml:space="preserve">J Am </w:t>
      </w:r>
      <w:proofErr w:type="spellStart"/>
      <w:r w:rsidRPr="00110E4B">
        <w:rPr>
          <w:rFonts w:ascii="Book Antiqua" w:hAnsi="Book Antiqua" w:cs="宋体"/>
          <w:i/>
          <w:iCs/>
          <w:sz w:val="24"/>
          <w:szCs w:val="24"/>
        </w:rPr>
        <w:t>Coll</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2012; </w:t>
      </w:r>
      <w:r w:rsidRPr="00110E4B">
        <w:rPr>
          <w:rFonts w:ascii="Book Antiqua" w:hAnsi="Book Antiqua" w:cs="宋体"/>
          <w:b/>
          <w:bCs/>
          <w:sz w:val="24"/>
          <w:szCs w:val="24"/>
        </w:rPr>
        <w:t>215</w:t>
      </w:r>
      <w:r w:rsidRPr="00110E4B">
        <w:rPr>
          <w:rFonts w:ascii="Book Antiqua" w:hAnsi="Book Antiqua" w:cs="宋体"/>
          <w:sz w:val="24"/>
          <w:szCs w:val="24"/>
        </w:rPr>
        <w:t>: 453-466 [PMID: 22917646 DOI: 10.1016/j.jamcollsurg.2012.06.017]</w:t>
      </w:r>
    </w:p>
    <w:p w14:paraId="61608638"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24 </w:t>
      </w:r>
      <w:proofErr w:type="spellStart"/>
      <w:r w:rsidRPr="00110E4B">
        <w:rPr>
          <w:rFonts w:ascii="Book Antiqua" w:hAnsi="Book Antiqua" w:cs="宋体"/>
          <w:b/>
          <w:bCs/>
          <w:sz w:val="24"/>
          <w:szCs w:val="24"/>
        </w:rPr>
        <w:t>Extermann</w:t>
      </w:r>
      <w:proofErr w:type="spellEnd"/>
      <w:r w:rsidRPr="00110E4B">
        <w:rPr>
          <w:rFonts w:ascii="Book Antiqua" w:hAnsi="Book Antiqua" w:cs="宋体"/>
          <w:b/>
          <w:bCs/>
          <w:sz w:val="24"/>
          <w:szCs w:val="24"/>
        </w:rPr>
        <w:t xml:space="preserve"> M</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Aapro</w:t>
      </w:r>
      <w:proofErr w:type="spellEnd"/>
      <w:r w:rsidRPr="00110E4B">
        <w:rPr>
          <w:rFonts w:ascii="Book Antiqua" w:hAnsi="Book Antiqua" w:cs="宋体"/>
          <w:sz w:val="24"/>
          <w:szCs w:val="24"/>
        </w:rPr>
        <w:t xml:space="preserve"> M, </w:t>
      </w:r>
      <w:proofErr w:type="spellStart"/>
      <w:r w:rsidRPr="00110E4B">
        <w:rPr>
          <w:rFonts w:ascii="Book Antiqua" w:hAnsi="Book Antiqua" w:cs="宋体"/>
          <w:sz w:val="24"/>
          <w:szCs w:val="24"/>
        </w:rPr>
        <w:t>Bernabei</w:t>
      </w:r>
      <w:proofErr w:type="spellEnd"/>
      <w:r w:rsidRPr="00110E4B">
        <w:rPr>
          <w:rFonts w:ascii="Book Antiqua" w:hAnsi="Book Antiqua" w:cs="宋体"/>
          <w:sz w:val="24"/>
          <w:szCs w:val="24"/>
        </w:rPr>
        <w:t xml:space="preserve"> R, Cohen HJ, </w:t>
      </w:r>
      <w:proofErr w:type="spellStart"/>
      <w:r w:rsidRPr="00110E4B">
        <w:rPr>
          <w:rFonts w:ascii="Book Antiqua" w:hAnsi="Book Antiqua" w:cs="宋体"/>
          <w:sz w:val="24"/>
          <w:szCs w:val="24"/>
        </w:rPr>
        <w:t>Droz</w:t>
      </w:r>
      <w:proofErr w:type="spellEnd"/>
      <w:r w:rsidRPr="00110E4B">
        <w:rPr>
          <w:rFonts w:ascii="Book Antiqua" w:hAnsi="Book Antiqua" w:cs="宋体"/>
          <w:sz w:val="24"/>
          <w:szCs w:val="24"/>
        </w:rPr>
        <w:t xml:space="preserve"> JP, </w:t>
      </w:r>
      <w:proofErr w:type="spellStart"/>
      <w:r w:rsidRPr="00110E4B">
        <w:rPr>
          <w:rFonts w:ascii="Book Antiqua" w:hAnsi="Book Antiqua" w:cs="宋体"/>
          <w:sz w:val="24"/>
          <w:szCs w:val="24"/>
        </w:rPr>
        <w:t>Lichtman</w:t>
      </w:r>
      <w:proofErr w:type="spellEnd"/>
      <w:r w:rsidRPr="00110E4B">
        <w:rPr>
          <w:rFonts w:ascii="Book Antiqua" w:hAnsi="Book Antiqua" w:cs="宋体"/>
          <w:sz w:val="24"/>
          <w:szCs w:val="24"/>
        </w:rPr>
        <w:t xml:space="preserve"> S, </w:t>
      </w:r>
      <w:proofErr w:type="spellStart"/>
      <w:r w:rsidRPr="00110E4B">
        <w:rPr>
          <w:rFonts w:ascii="Book Antiqua" w:hAnsi="Book Antiqua" w:cs="宋体"/>
          <w:sz w:val="24"/>
          <w:szCs w:val="24"/>
        </w:rPr>
        <w:t>Mor</w:t>
      </w:r>
      <w:proofErr w:type="spellEnd"/>
      <w:r w:rsidRPr="00110E4B">
        <w:rPr>
          <w:rFonts w:ascii="Book Antiqua" w:hAnsi="Book Antiqua" w:cs="宋体"/>
          <w:sz w:val="24"/>
          <w:szCs w:val="24"/>
        </w:rPr>
        <w:t xml:space="preserve"> V, </w:t>
      </w:r>
      <w:proofErr w:type="spellStart"/>
      <w:r w:rsidRPr="00110E4B">
        <w:rPr>
          <w:rFonts w:ascii="Book Antiqua" w:hAnsi="Book Antiqua" w:cs="宋体"/>
          <w:sz w:val="24"/>
          <w:szCs w:val="24"/>
        </w:rPr>
        <w:t>Monfardini</w:t>
      </w:r>
      <w:proofErr w:type="spellEnd"/>
      <w:r w:rsidRPr="00110E4B">
        <w:rPr>
          <w:rFonts w:ascii="Book Antiqua" w:hAnsi="Book Antiqua" w:cs="宋体"/>
          <w:sz w:val="24"/>
          <w:szCs w:val="24"/>
        </w:rPr>
        <w:t xml:space="preserve"> S, Repetto L, </w:t>
      </w:r>
      <w:proofErr w:type="spellStart"/>
      <w:r w:rsidRPr="00110E4B">
        <w:rPr>
          <w:rFonts w:ascii="Book Antiqua" w:hAnsi="Book Antiqua" w:cs="宋体"/>
          <w:sz w:val="24"/>
          <w:szCs w:val="24"/>
        </w:rPr>
        <w:t>Sørbye</w:t>
      </w:r>
      <w:proofErr w:type="spellEnd"/>
      <w:r w:rsidRPr="00110E4B">
        <w:rPr>
          <w:rFonts w:ascii="Book Antiqua" w:hAnsi="Book Antiqua" w:cs="宋体"/>
          <w:sz w:val="24"/>
          <w:szCs w:val="24"/>
        </w:rPr>
        <w:t xml:space="preserve"> L, </w:t>
      </w:r>
      <w:proofErr w:type="spellStart"/>
      <w:r w:rsidRPr="00110E4B">
        <w:rPr>
          <w:rFonts w:ascii="Book Antiqua" w:hAnsi="Book Antiqua" w:cs="宋体"/>
          <w:sz w:val="24"/>
          <w:szCs w:val="24"/>
        </w:rPr>
        <w:t>Topinkova</w:t>
      </w:r>
      <w:proofErr w:type="spellEnd"/>
      <w:r w:rsidRPr="00110E4B">
        <w:rPr>
          <w:rFonts w:ascii="Book Antiqua" w:hAnsi="Book Antiqua" w:cs="宋体"/>
          <w:sz w:val="24"/>
          <w:szCs w:val="24"/>
        </w:rPr>
        <w:t xml:space="preserve"> E. Use of comprehensive geriatric assessment in older cancer patients: recommendations from the task force on CGA of the International Society of Geriatric Oncology (SIOG). </w:t>
      </w:r>
      <w:proofErr w:type="spellStart"/>
      <w:r w:rsidRPr="00110E4B">
        <w:rPr>
          <w:rFonts w:ascii="Book Antiqua" w:hAnsi="Book Antiqua" w:cs="宋体"/>
          <w:i/>
          <w:iCs/>
          <w:sz w:val="24"/>
          <w:szCs w:val="24"/>
        </w:rPr>
        <w:t>Crit</w:t>
      </w:r>
      <w:proofErr w:type="spellEnd"/>
      <w:r w:rsidRPr="00110E4B">
        <w:rPr>
          <w:rFonts w:ascii="Book Antiqua" w:hAnsi="Book Antiqua" w:cs="宋体"/>
          <w:i/>
          <w:iCs/>
          <w:sz w:val="24"/>
          <w:szCs w:val="24"/>
        </w:rPr>
        <w:t xml:space="preserve"> Rev </w:t>
      </w:r>
      <w:proofErr w:type="spellStart"/>
      <w:r w:rsidRPr="00110E4B">
        <w:rPr>
          <w:rFonts w:ascii="Book Antiqua" w:hAnsi="Book Antiqua" w:cs="宋体"/>
          <w:i/>
          <w:iCs/>
          <w:sz w:val="24"/>
          <w:szCs w:val="24"/>
        </w:rPr>
        <w:t>Oncol</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Hematol</w:t>
      </w:r>
      <w:proofErr w:type="spellEnd"/>
      <w:r w:rsidRPr="00110E4B">
        <w:rPr>
          <w:rFonts w:ascii="Book Antiqua" w:hAnsi="Book Antiqua" w:cs="宋体"/>
          <w:sz w:val="24"/>
          <w:szCs w:val="24"/>
        </w:rPr>
        <w:t> 2005; </w:t>
      </w:r>
      <w:r w:rsidRPr="00110E4B">
        <w:rPr>
          <w:rFonts w:ascii="Book Antiqua" w:hAnsi="Book Antiqua" w:cs="宋体"/>
          <w:b/>
          <w:bCs/>
          <w:sz w:val="24"/>
          <w:szCs w:val="24"/>
        </w:rPr>
        <w:t>55</w:t>
      </w:r>
      <w:r w:rsidRPr="00110E4B">
        <w:rPr>
          <w:rFonts w:ascii="Book Antiqua" w:hAnsi="Book Antiqua" w:cs="宋体"/>
          <w:sz w:val="24"/>
          <w:szCs w:val="24"/>
        </w:rPr>
        <w:t>: 241-252 [PMID: 16084735 DOI: 10.1016/j.critrevonc.2005.06.003]</w:t>
      </w:r>
    </w:p>
    <w:p w14:paraId="4F0A0B5A"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25 </w:t>
      </w:r>
      <w:r w:rsidRPr="00110E4B">
        <w:rPr>
          <w:rFonts w:ascii="Book Antiqua" w:hAnsi="Book Antiqua" w:cs="宋体"/>
          <w:b/>
          <w:bCs/>
          <w:sz w:val="24"/>
          <w:szCs w:val="24"/>
        </w:rPr>
        <w:t>Moher D</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Liberati</w:t>
      </w:r>
      <w:proofErr w:type="spellEnd"/>
      <w:r w:rsidRPr="00110E4B">
        <w:rPr>
          <w:rFonts w:ascii="Book Antiqua" w:hAnsi="Book Antiqua" w:cs="宋体"/>
          <w:sz w:val="24"/>
          <w:szCs w:val="24"/>
        </w:rPr>
        <w:t xml:space="preserve"> A, </w:t>
      </w:r>
      <w:proofErr w:type="spellStart"/>
      <w:r w:rsidRPr="00110E4B">
        <w:rPr>
          <w:rFonts w:ascii="Book Antiqua" w:hAnsi="Book Antiqua" w:cs="宋体"/>
          <w:sz w:val="24"/>
          <w:szCs w:val="24"/>
        </w:rPr>
        <w:t>Tetzlaff</w:t>
      </w:r>
      <w:proofErr w:type="spellEnd"/>
      <w:r w:rsidRPr="00110E4B">
        <w:rPr>
          <w:rFonts w:ascii="Book Antiqua" w:hAnsi="Book Antiqua" w:cs="宋体"/>
          <w:sz w:val="24"/>
          <w:szCs w:val="24"/>
        </w:rPr>
        <w:t xml:space="preserve"> J, Altman DG. Preferred reporting items for systematic reviews and meta-analyses: the PRISMA statement.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Clin</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Epidemiol</w:t>
      </w:r>
      <w:proofErr w:type="spellEnd"/>
      <w:r w:rsidRPr="00110E4B">
        <w:rPr>
          <w:rFonts w:ascii="Book Antiqua" w:hAnsi="Book Antiqua" w:cs="宋体"/>
          <w:sz w:val="24"/>
          <w:szCs w:val="24"/>
        </w:rPr>
        <w:t> 2009; </w:t>
      </w:r>
      <w:r w:rsidRPr="00110E4B">
        <w:rPr>
          <w:rFonts w:ascii="Book Antiqua" w:hAnsi="Book Antiqua" w:cs="宋体"/>
          <w:b/>
          <w:bCs/>
          <w:sz w:val="24"/>
          <w:szCs w:val="24"/>
        </w:rPr>
        <w:t>62</w:t>
      </w:r>
      <w:r w:rsidRPr="00110E4B">
        <w:rPr>
          <w:rFonts w:ascii="Book Antiqua" w:hAnsi="Book Antiqua" w:cs="宋体"/>
          <w:sz w:val="24"/>
          <w:szCs w:val="24"/>
        </w:rPr>
        <w:t>: 1006-1012 [PMID: 19631508 DOI: 10.1016/j.jclinepi.2009.06.005]</w:t>
      </w:r>
    </w:p>
    <w:p w14:paraId="4F6262F2"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26 </w:t>
      </w:r>
      <w:r w:rsidRPr="00110E4B">
        <w:rPr>
          <w:rFonts w:ascii="Book Antiqua" w:hAnsi="Book Antiqua" w:cs="宋体"/>
          <w:b/>
          <w:bCs/>
          <w:sz w:val="24"/>
          <w:szCs w:val="24"/>
        </w:rPr>
        <w:t>Yip C</w:t>
      </w:r>
      <w:r w:rsidRPr="00110E4B">
        <w:rPr>
          <w:rFonts w:ascii="Book Antiqua" w:hAnsi="Book Antiqua" w:cs="宋体"/>
          <w:sz w:val="24"/>
          <w:szCs w:val="24"/>
        </w:rPr>
        <w:t xml:space="preserve">, Goh V, Davies A, Gossage J, Mitchell-Hay R, Hynes O, </w:t>
      </w:r>
      <w:proofErr w:type="spellStart"/>
      <w:r w:rsidRPr="00110E4B">
        <w:rPr>
          <w:rFonts w:ascii="Book Antiqua" w:hAnsi="Book Antiqua" w:cs="宋体"/>
          <w:sz w:val="24"/>
          <w:szCs w:val="24"/>
        </w:rPr>
        <w:t>Maisey</w:t>
      </w:r>
      <w:proofErr w:type="spellEnd"/>
      <w:r w:rsidRPr="00110E4B">
        <w:rPr>
          <w:rFonts w:ascii="Book Antiqua" w:hAnsi="Book Antiqua" w:cs="宋体"/>
          <w:sz w:val="24"/>
          <w:szCs w:val="24"/>
        </w:rPr>
        <w:t xml:space="preserve"> N, Ross P, Gaya A, Landau DB, Cook GJ, Griffin N, Mason R. Assessment of sarcopenia and changes in body composition after neoadjuvant chemotherapy and associations with clinical outcomes in </w:t>
      </w:r>
      <w:proofErr w:type="spellStart"/>
      <w:r w:rsidRPr="00110E4B">
        <w:rPr>
          <w:rFonts w:ascii="Book Antiqua" w:hAnsi="Book Antiqua" w:cs="宋体"/>
          <w:sz w:val="24"/>
          <w:szCs w:val="24"/>
        </w:rPr>
        <w:t>oesophageal</w:t>
      </w:r>
      <w:proofErr w:type="spellEnd"/>
      <w:r w:rsidRPr="00110E4B">
        <w:rPr>
          <w:rFonts w:ascii="Book Antiqua" w:hAnsi="Book Antiqua" w:cs="宋体"/>
          <w:sz w:val="24"/>
          <w:szCs w:val="24"/>
        </w:rPr>
        <w:t xml:space="preserve"> cancer. </w:t>
      </w:r>
      <w:proofErr w:type="spellStart"/>
      <w:r w:rsidRPr="00110E4B">
        <w:rPr>
          <w:rFonts w:ascii="Book Antiqua" w:hAnsi="Book Antiqua" w:cs="宋体"/>
          <w:i/>
          <w:iCs/>
          <w:sz w:val="24"/>
          <w:szCs w:val="24"/>
        </w:rPr>
        <w:t>Eur</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Radiol</w:t>
      </w:r>
      <w:proofErr w:type="spellEnd"/>
      <w:r w:rsidRPr="00110E4B">
        <w:rPr>
          <w:rFonts w:ascii="Book Antiqua" w:hAnsi="Book Antiqua" w:cs="宋体"/>
          <w:sz w:val="24"/>
          <w:szCs w:val="24"/>
        </w:rPr>
        <w:t> 2014; </w:t>
      </w:r>
      <w:r w:rsidRPr="00110E4B">
        <w:rPr>
          <w:rFonts w:ascii="Book Antiqua" w:hAnsi="Book Antiqua" w:cs="宋体"/>
          <w:b/>
          <w:bCs/>
          <w:sz w:val="24"/>
          <w:szCs w:val="24"/>
        </w:rPr>
        <w:t>24</w:t>
      </w:r>
      <w:r w:rsidRPr="00110E4B">
        <w:rPr>
          <w:rFonts w:ascii="Book Antiqua" w:hAnsi="Book Antiqua" w:cs="宋体"/>
          <w:sz w:val="24"/>
          <w:szCs w:val="24"/>
        </w:rPr>
        <w:t>: 998-1005 [PMID: 24535076 DOI: 10.1007/s00330-014-3110-4]</w:t>
      </w:r>
    </w:p>
    <w:p w14:paraId="0C7AC34C"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27 </w:t>
      </w:r>
      <w:proofErr w:type="spellStart"/>
      <w:r w:rsidRPr="00110E4B">
        <w:rPr>
          <w:rFonts w:ascii="Book Antiqua" w:hAnsi="Book Antiqua" w:cs="宋体"/>
          <w:b/>
          <w:bCs/>
          <w:sz w:val="24"/>
          <w:szCs w:val="24"/>
        </w:rPr>
        <w:t>Awad</w:t>
      </w:r>
      <w:proofErr w:type="spellEnd"/>
      <w:r w:rsidRPr="00110E4B">
        <w:rPr>
          <w:rFonts w:ascii="Book Antiqua" w:hAnsi="Book Antiqua" w:cs="宋体"/>
          <w:b/>
          <w:bCs/>
          <w:sz w:val="24"/>
          <w:szCs w:val="24"/>
        </w:rPr>
        <w:t xml:space="preserve"> S</w:t>
      </w:r>
      <w:r w:rsidRPr="00110E4B">
        <w:rPr>
          <w:rFonts w:ascii="Book Antiqua" w:hAnsi="Book Antiqua" w:cs="宋体"/>
          <w:sz w:val="24"/>
          <w:szCs w:val="24"/>
        </w:rPr>
        <w:t xml:space="preserve">, Tan BH, Cui H, </w:t>
      </w:r>
      <w:proofErr w:type="spellStart"/>
      <w:r w:rsidRPr="00110E4B">
        <w:rPr>
          <w:rFonts w:ascii="Book Antiqua" w:hAnsi="Book Antiqua" w:cs="宋体"/>
          <w:sz w:val="24"/>
          <w:szCs w:val="24"/>
        </w:rPr>
        <w:t>Bhalla</w:t>
      </w:r>
      <w:proofErr w:type="spellEnd"/>
      <w:r w:rsidRPr="00110E4B">
        <w:rPr>
          <w:rFonts w:ascii="Book Antiqua" w:hAnsi="Book Antiqua" w:cs="宋体"/>
          <w:sz w:val="24"/>
          <w:szCs w:val="24"/>
        </w:rPr>
        <w:t xml:space="preserve"> A, </w:t>
      </w:r>
      <w:proofErr w:type="spellStart"/>
      <w:r w:rsidRPr="00110E4B">
        <w:rPr>
          <w:rFonts w:ascii="Book Antiqua" w:hAnsi="Book Antiqua" w:cs="宋体"/>
          <w:sz w:val="24"/>
          <w:szCs w:val="24"/>
        </w:rPr>
        <w:t>Fearon</w:t>
      </w:r>
      <w:proofErr w:type="spellEnd"/>
      <w:r w:rsidRPr="00110E4B">
        <w:rPr>
          <w:rFonts w:ascii="Book Antiqua" w:hAnsi="Book Antiqua" w:cs="宋体"/>
          <w:sz w:val="24"/>
          <w:szCs w:val="24"/>
        </w:rPr>
        <w:t xml:space="preserve"> KC, Parsons SL, Catton JA, Lobo DN. Marked changes in body composition following neoadjuvant chemotherapy for </w:t>
      </w:r>
      <w:proofErr w:type="spellStart"/>
      <w:r w:rsidRPr="00110E4B">
        <w:rPr>
          <w:rFonts w:ascii="Book Antiqua" w:hAnsi="Book Antiqua" w:cs="宋体"/>
          <w:sz w:val="24"/>
          <w:szCs w:val="24"/>
        </w:rPr>
        <w:lastRenderedPageBreak/>
        <w:t>oesophagogastric</w:t>
      </w:r>
      <w:proofErr w:type="spellEnd"/>
      <w:r w:rsidRPr="00110E4B">
        <w:rPr>
          <w:rFonts w:ascii="Book Antiqua" w:hAnsi="Book Antiqua" w:cs="宋体"/>
          <w:sz w:val="24"/>
          <w:szCs w:val="24"/>
        </w:rPr>
        <w:t xml:space="preserve"> cancer. </w:t>
      </w:r>
      <w:proofErr w:type="spellStart"/>
      <w:r w:rsidRPr="00110E4B">
        <w:rPr>
          <w:rFonts w:ascii="Book Antiqua" w:hAnsi="Book Antiqua" w:cs="宋体"/>
          <w:i/>
          <w:iCs/>
          <w:sz w:val="24"/>
          <w:szCs w:val="24"/>
        </w:rPr>
        <w:t>Clin</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Nutr</w:t>
      </w:r>
      <w:proofErr w:type="spellEnd"/>
      <w:r w:rsidRPr="00110E4B">
        <w:rPr>
          <w:rFonts w:ascii="Book Antiqua" w:hAnsi="Book Antiqua" w:cs="宋体"/>
          <w:sz w:val="24"/>
          <w:szCs w:val="24"/>
        </w:rPr>
        <w:t> 2012; </w:t>
      </w:r>
      <w:r w:rsidRPr="00110E4B">
        <w:rPr>
          <w:rFonts w:ascii="Book Antiqua" w:hAnsi="Book Antiqua" w:cs="宋体"/>
          <w:b/>
          <w:bCs/>
          <w:sz w:val="24"/>
          <w:szCs w:val="24"/>
        </w:rPr>
        <w:t>31</w:t>
      </w:r>
      <w:r w:rsidRPr="00110E4B">
        <w:rPr>
          <w:rFonts w:ascii="Book Antiqua" w:hAnsi="Book Antiqua" w:cs="宋体"/>
          <w:sz w:val="24"/>
          <w:szCs w:val="24"/>
        </w:rPr>
        <w:t>: 74-77 [PMID: 21875767 DOI: 10.1016/j.clnu.2011.08.008]</w:t>
      </w:r>
    </w:p>
    <w:p w14:paraId="5CA2E4DE"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28 </w:t>
      </w:r>
      <w:r w:rsidRPr="00110E4B">
        <w:rPr>
          <w:rFonts w:ascii="Book Antiqua" w:hAnsi="Book Antiqua" w:cs="宋体"/>
          <w:b/>
          <w:bCs/>
          <w:sz w:val="24"/>
          <w:szCs w:val="24"/>
        </w:rPr>
        <w:t>Robinson TN</w:t>
      </w:r>
      <w:r w:rsidRPr="00110E4B">
        <w:rPr>
          <w:rFonts w:ascii="Book Antiqua" w:hAnsi="Book Antiqua" w:cs="宋体"/>
          <w:sz w:val="24"/>
          <w:szCs w:val="24"/>
        </w:rPr>
        <w:t>, Wu DS, Pointer L, Dunn CL, Cleveland JC, Moss M. Simple frailty score predicts postoperative complications across surgical specialties. </w:t>
      </w:r>
      <w:r w:rsidRPr="00110E4B">
        <w:rPr>
          <w:rFonts w:ascii="Book Antiqua" w:hAnsi="Book Antiqua" w:cs="宋体"/>
          <w:i/>
          <w:iCs/>
          <w:sz w:val="24"/>
          <w:szCs w:val="24"/>
        </w:rPr>
        <w:t xml:space="preserve">Am J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2013; </w:t>
      </w:r>
      <w:r w:rsidRPr="00110E4B">
        <w:rPr>
          <w:rFonts w:ascii="Book Antiqua" w:hAnsi="Book Antiqua" w:cs="宋体"/>
          <w:b/>
          <w:bCs/>
          <w:sz w:val="24"/>
          <w:szCs w:val="24"/>
        </w:rPr>
        <w:t>206</w:t>
      </w:r>
      <w:r w:rsidRPr="00110E4B">
        <w:rPr>
          <w:rFonts w:ascii="Book Antiqua" w:hAnsi="Book Antiqua" w:cs="宋体"/>
          <w:sz w:val="24"/>
          <w:szCs w:val="24"/>
        </w:rPr>
        <w:t>: 544-550 [PMID: 23880071 DOI: 10.1016/j.amjsurg.2013.03.012]</w:t>
      </w:r>
    </w:p>
    <w:p w14:paraId="70330392"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29 </w:t>
      </w:r>
      <w:r w:rsidRPr="00110E4B">
        <w:rPr>
          <w:rFonts w:ascii="Book Antiqua" w:hAnsi="Book Antiqua" w:cs="宋体"/>
          <w:b/>
          <w:bCs/>
          <w:sz w:val="24"/>
          <w:szCs w:val="24"/>
        </w:rPr>
        <w:t xml:space="preserve">Tran Ba </w:t>
      </w:r>
      <w:proofErr w:type="spellStart"/>
      <w:r w:rsidRPr="00110E4B">
        <w:rPr>
          <w:rFonts w:ascii="Book Antiqua" w:hAnsi="Book Antiqua" w:cs="宋体"/>
          <w:b/>
          <w:bCs/>
          <w:sz w:val="24"/>
          <w:szCs w:val="24"/>
        </w:rPr>
        <w:t>Loc</w:t>
      </w:r>
      <w:proofErr w:type="spellEnd"/>
      <w:r w:rsidRPr="00110E4B">
        <w:rPr>
          <w:rFonts w:ascii="Book Antiqua" w:hAnsi="Book Antiqua" w:cs="宋体"/>
          <w:b/>
          <w:bCs/>
          <w:sz w:val="24"/>
          <w:szCs w:val="24"/>
        </w:rPr>
        <w:t xml:space="preserve"> P</w:t>
      </w:r>
      <w:r w:rsidRPr="00110E4B">
        <w:rPr>
          <w:rFonts w:ascii="Book Antiqua" w:hAnsi="Book Antiqua" w:cs="宋体"/>
          <w:sz w:val="24"/>
          <w:szCs w:val="24"/>
        </w:rPr>
        <w:t xml:space="preserve">, du </w:t>
      </w:r>
      <w:proofErr w:type="spellStart"/>
      <w:r w:rsidRPr="00110E4B">
        <w:rPr>
          <w:rFonts w:ascii="Book Antiqua" w:hAnsi="Book Antiqua" w:cs="宋体"/>
          <w:sz w:val="24"/>
          <w:szCs w:val="24"/>
        </w:rPr>
        <w:t>Montcel</w:t>
      </w:r>
      <w:proofErr w:type="spellEnd"/>
      <w:r w:rsidRPr="00110E4B">
        <w:rPr>
          <w:rFonts w:ascii="Book Antiqua" w:hAnsi="Book Antiqua" w:cs="宋体"/>
          <w:sz w:val="24"/>
          <w:szCs w:val="24"/>
        </w:rPr>
        <w:t xml:space="preserve"> ST, Duron JJ, </w:t>
      </w:r>
      <w:proofErr w:type="spellStart"/>
      <w:r w:rsidRPr="00110E4B">
        <w:rPr>
          <w:rFonts w:ascii="Book Antiqua" w:hAnsi="Book Antiqua" w:cs="宋体"/>
          <w:sz w:val="24"/>
          <w:szCs w:val="24"/>
        </w:rPr>
        <w:t>Levard</w:t>
      </w:r>
      <w:proofErr w:type="spellEnd"/>
      <w:r w:rsidRPr="00110E4B">
        <w:rPr>
          <w:rFonts w:ascii="Book Antiqua" w:hAnsi="Book Antiqua" w:cs="宋体"/>
          <w:sz w:val="24"/>
          <w:szCs w:val="24"/>
        </w:rPr>
        <w:t xml:space="preserve"> H, </w:t>
      </w:r>
      <w:proofErr w:type="spellStart"/>
      <w:r w:rsidRPr="00110E4B">
        <w:rPr>
          <w:rFonts w:ascii="Book Antiqua" w:hAnsi="Book Antiqua" w:cs="宋体"/>
          <w:sz w:val="24"/>
          <w:szCs w:val="24"/>
        </w:rPr>
        <w:t>Suc</w:t>
      </w:r>
      <w:proofErr w:type="spellEnd"/>
      <w:r w:rsidRPr="00110E4B">
        <w:rPr>
          <w:rFonts w:ascii="Book Antiqua" w:hAnsi="Book Antiqua" w:cs="宋体"/>
          <w:sz w:val="24"/>
          <w:szCs w:val="24"/>
        </w:rPr>
        <w:t xml:space="preserve"> B, </w:t>
      </w:r>
      <w:proofErr w:type="spellStart"/>
      <w:r w:rsidRPr="00110E4B">
        <w:rPr>
          <w:rFonts w:ascii="Book Antiqua" w:hAnsi="Book Antiqua" w:cs="宋体"/>
          <w:sz w:val="24"/>
          <w:szCs w:val="24"/>
        </w:rPr>
        <w:t>Descottes</w:t>
      </w:r>
      <w:proofErr w:type="spellEnd"/>
      <w:r w:rsidRPr="00110E4B">
        <w:rPr>
          <w:rFonts w:ascii="Book Antiqua" w:hAnsi="Book Antiqua" w:cs="宋体"/>
          <w:sz w:val="24"/>
          <w:szCs w:val="24"/>
        </w:rPr>
        <w:t xml:space="preserve"> B, </w:t>
      </w:r>
      <w:proofErr w:type="spellStart"/>
      <w:r w:rsidRPr="00110E4B">
        <w:rPr>
          <w:rFonts w:ascii="Book Antiqua" w:hAnsi="Book Antiqua" w:cs="宋体"/>
          <w:sz w:val="24"/>
          <w:szCs w:val="24"/>
        </w:rPr>
        <w:t>Desrousseaux</w:t>
      </w:r>
      <w:proofErr w:type="spellEnd"/>
      <w:r w:rsidRPr="00110E4B">
        <w:rPr>
          <w:rFonts w:ascii="Book Antiqua" w:hAnsi="Book Antiqua" w:cs="宋体"/>
          <w:sz w:val="24"/>
          <w:szCs w:val="24"/>
        </w:rPr>
        <w:t xml:space="preserve"> B, Hay JM. </w:t>
      </w:r>
      <w:proofErr w:type="gramStart"/>
      <w:r w:rsidRPr="00110E4B">
        <w:rPr>
          <w:rFonts w:ascii="Book Antiqua" w:hAnsi="Book Antiqua" w:cs="宋体"/>
          <w:sz w:val="24"/>
          <w:szCs w:val="24"/>
        </w:rPr>
        <w:t>Elderly POSSUM, a dedicated score for prediction of mortality and morbidity after major colorectal surgery in older patients.</w:t>
      </w:r>
      <w:proofErr w:type="gramEnd"/>
      <w:r w:rsidRPr="00110E4B">
        <w:rPr>
          <w:rFonts w:ascii="Book Antiqua" w:hAnsi="Book Antiqua" w:cs="宋体"/>
          <w:sz w:val="24"/>
          <w:szCs w:val="24"/>
        </w:rPr>
        <w:t> </w:t>
      </w:r>
      <w:r w:rsidRPr="00110E4B">
        <w:rPr>
          <w:rFonts w:ascii="Book Antiqua" w:hAnsi="Book Antiqua" w:cs="宋体"/>
          <w:i/>
          <w:iCs/>
          <w:sz w:val="24"/>
          <w:szCs w:val="24"/>
        </w:rPr>
        <w:t xml:space="preserve">Br J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2010; </w:t>
      </w:r>
      <w:r w:rsidRPr="00110E4B">
        <w:rPr>
          <w:rFonts w:ascii="Book Antiqua" w:hAnsi="Book Antiqua" w:cs="宋体"/>
          <w:b/>
          <w:bCs/>
          <w:sz w:val="24"/>
          <w:szCs w:val="24"/>
        </w:rPr>
        <w:t>97</w:t>
      </w:r>
      <w:r w:rsidRPr="00110E4B">
        <w:rPr>
          <w:rFonts w:ascii="Book Antiqua" w:hAnsi="Book Antiqua" w:cs="宋体"/>
          <w:sz w:val="24"/>
          <w:szCs w:val="24"/>
        </w:rPr>
        <w:t>: 396-403 [PMID: 20112252 DOI: 10.1002/bjs.6903]</w:t>
      </w:r>
    </w:p>
    <w:p w14:paraId="701CD998"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30</w:t>
      </w:r>
      <w:r>
        <w:rPr>
          <w:rFonts w:ascii="Book Antiqua" w:hAnsi="Book Antiqua" w:cs="宋体" w:hint="eastAsia"/>
          <w:sz w:val="24"/>
          <w:szCs w:val="24"/>
        </w:rPr>
        <w:t xml:space="preserve"> </w:t>
      </w:r>
      <w:r w:rsidRPr="00110E4B">
        <w:rPr>
          <w:rFonts w:ascii="Book Antiqua" w:hAnsi="Book Antiqua" w:cs="宋体"/>
          <w:b/>
          <w:sz w:val="24"/>
          <w:szCs w:val="24"/>
        </w:rPr>
        <w:t>Huang DD,</w:t>
      </w:r>
      <w:r>
        <w:rPr>
          <w:rFonts w:ascii="Book Antiqua" w:hAnsi="Book Antiqua" w:cs="宋体"/>
          <w:sz w:val="24"/>
          <w:szCs w:val="24"/>
        </w:rPr>
        <w:t xml:space="preserve"> Wang SL, Zhuang CL, Zheng BS, Lu JX, Chen FF, Zhou CJ, Shen X, Yu Z</w:t>
      </w:r>
      <w:r>
        <w:rPr>
          <w:rFonts w:ascii="Book Antiqua" w:hAnsi="Book Antiqua" w:cs="宋体" w:hint="eastAsia"/>
          <w:sz w:val="24"/>
          <w:szCs w:val="24"/>
        </w:rPr>
        <w:t>.</w:t>
      </w:r>
      <w:r w:rsidRPr="00110E4B">
        <w:rPr>
          <w:rFonts w:ascii="Book Antiqua" w:hAnsi="Book Antiqua" w:cs="宋体"/>
          <w:sz w:val="24"/>
          <w:szCs w:val="24"/>
        </w:rPr>
        <w:t xml:space="preserve"> Sarcopenia, as defined by low muscle mass, strength and physical performance, predicts complications after colorectal cancer surgery. </w:t>
      </w:r>
      <w:r w:rsidRPr="00110E4B">
        <w:rPr>
          <w:rFonts w:ascii="Book Antiqua" w:hAnsi="Book Antiqua" w:cs="宋体"/>
          <w:i/>
          <w:iCs/>
          <w:sz w:val="24"/>
          <w:szCs w:val="24"/>
        </w:rPr>
        <w:t>Colorectal Dis</w:t>
      </w:r>
      <w:r w:rsidRPr="00110E4B">
        <w:rPr>
          <w:rFonts w:ascii="Book Antiqua" w:hAnsi="Book Antiqua" w:cs="宋体"/>
          <w:sz w:val="24"/>
          <w:szCs w:val="24"/>
        </w:rPr>
        <w:t> 2015; </w:t>
      </w:r>
      <w:proofErr w:type="spellStart"/>
      <w:r w:rsidRPr="00110E4B">
        <w:rPr>
          <w:rFonts w:ascii="Book Antiqua" w:hAnsi="Book Antiqua" w:cs="宋体"/>
          <w:sz w:val="24"/>
          <w:szCs w:val="24"/>
        </w:rPr>
        <w:t>Epub</w:t>
      </w:r>
      <w:proofErr w:type="spellEnd"/>
      <w:r w:rsidRPr="00110E4B">
        <w:rPr>
          <w:rFonts w:ascii="Book Antiqua" w:hAnsi="Book Antiqua" w:cs="宋体"/>
          <w:sz w:val="24"/>
          <w:szCs w:val="24"/>
        </w:rPr>
        <w:t xml:space="preserve"> ahead of print [PMID: </w:t>
      </w:r>
      <w:bookmarkStart w:id="66" w:name="OLE_LINK610"/>
      <w:bookmarkStart w:id="67" w:name="OLE_LINK611"/>
      <w:bookmarkStart w:id="68" w:name="OLE_LINK612"/>
      <w:r w:rsidRPr="00110E4B">
        <w:rPr>
          <w:rFonts w:ascii="Book Antiqua" w:hAnsi="Book Antiqua" w:cs="宋体"/>
          <w:sz w:val="24"/>
          <w:szCs w:val="24"/>
        </w:rPr>
        <w:t xml:space="preserve">26194849 </w:t>
      </w:r>
      <w:bookmarkEnd w:id="66"/>
      <w:bookmarkEnd w:id="67"/>
      <w:bookmarkEnd w:id="68"/>
      <w:r w:rsidRPr="00110E4B">
        <w:rPr>
          <w:rFonts w:ascii="Book Antiqua" w:hAnsi="Book Antiqua" w:cs="宋体"/>
          <w:sz w:val="24"/>
          <w:szCs w:val="24"/>
        </w:rPr>
        <w:t>DOI: 10.1111/codi.13067]</w:t>
      </w:r>
    </w:p>
    <w:p w14:paraId="1DD48918"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31 </w:t>
      </w:r>
      <w:r w:rsidRPr="00110E4B">
        <w:rPr>
          <w:rFonts w:ascii="Book Antiqua" w:hAnsi="Book Antiqua" w:cs="宋体"/>
          <w:b/>
          <w:bCs/>
          <w:sz w:val="24"/>
          <w:szCs w:val="24"/>
        </w:rPr>
        <w:t>Tan KY</w:t>
      </w:r>
      <w:r w:rsidRPr="00110E4B">
        <w:rPr>
          <w:rFonts w:ascii="Book Antiqua" w:hAnsi="Book Antiqua" w:cs="宋体"/>
          <w:sz w:val="24"/>
          <w:szCs w:val="24"/>
        </w:rPr>
        <w:t xml:space="preserve">, Kawamura YJ, </w:t>
      </w:r>
      <w:proofErr w:type="spellStart"/>
      <w:r w:rsidRPr="00110E4B">
        <w:rPr>
          <w:rFonts w:ascii="Book Antiqua" w:hAnsi="Book Antiqua" w:cs="宋体"/>
          <w:sz w:val="24"/>
          <w:szCs w:val="24"/>
        </w:rPr>
        <w:t>Tokomitsu</w:t>
      </w:r>
      <w:proofErr w:type="spellEnd"/>
      <w:r w:rsidRPr="00110E4B">
        <w:rPr>
          <w:rFonts w:ascii="Book Antiqua" w:hAnsi="Book Antiqua" w:cs="宋体"/>
          <w:sz w:val="24"/>
          <w:szCs w:val="24"/>
        </w:rPr>
        <w:t xml:space="preserve"> A, Tang T. Assessment for frailty is useful for predicting morbidity in elderly patients undergoing colorectal cancer resection whose comorbidities are already optimized. </w:t>
      </w:r>
      <w:r w:rsidRPr="00110E4B">
        <w:rPr>
          <w:rFonts w:ascii="Book Antiqua" w:hAnsi="Book Antiqua" w:cs="宋体"/>
          <w:i/>
          <w:iCs/>
          <w:sz w:val="24"/>
          <w:szCs w:val="24"/>
        </w:rPr>
        <w:t xml:space="preserve">Am J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2012; </w:t>
      </w:r>
      <w:r w:rsidRPr="00110E4B">
        <w:rPr>
          <w:rFonts w:ascii="Book Antiqua" w:hAnsi="Book Antiqua" w:cs="宋体"/>
          <w:b/>
          <w:bCs/>
          <w:sz w:val="24"/>
          <w:szCs w:val="24"/>
        </w:rPr>
        <w:t>204</w:t>
      </w:r>
      <w:r w:rsidRPr="00110E4B">
        <w:rPr>
          <w:rFonts w:ascii="Book Antiqua" w:hAnsi="Book Antiqua" w:cs="宋体"/>
          <w:sz w:val="24"/>
          <w:szCs w:val="24"/>
        </w:rPr>
        <w:t>: 139-143 [PMID: 22178483 DOI: 10.1016/j.amjsurg.2011.08.012]</w:t>
      </w:r>
    </w:p>
    <w:p w14:paraId="7D9C0E58"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32 </w:t>
      </w:r>
      <w:proofErr w:type="spellStart"/>
      <w:r w:rsidRPr="00110E4B">
        <w:rPr>
          <w:rFonts w:ascii="Book Antiqua" w:hAnsi="Book Antiqua" w:cs="宋体"/>
          <w:b/>
          <w:bCs/>
          <w:sz w:val="24"/>
          <w:szCs w:val="24"/>
        </w:rPr>
        <w:t>Kaido</w:t>
      </w:r>
      <w:proofErr w:type="spellEnd"/>
      <w:r w:rsidRPr="00110E4B">
        <w:rPr>
          <w:rFonts w:ascii="Book Antiqua" w:hAnsi="Book Antiqua" w:cs="宋体"/>
          <w:b/>
          <w:bCs/>
          <w:sz w:val="24"/>
          <w:szCs w:val="24"/>
        </w:rPr>
        <w:t xml:space="preserve"> T</w:t>
      </w:r>
      <w:r w:rsidRPr="00110E4B">
        <w:rPr>
          <w:rFonts w:ascii="Book Antiqua" w:hAnsi="Book Antiqua" w:cs="宋体"/>
          <w:sz w:val="24"/>
          <w:szCs w:val="24"/>
        </w:rPr>
        <w:t xml:space="preserve">, Ogawa K, Fujimoto Y, Ogura Y, </w:t>
      </w:r>
      <w:proofErr w:type="spellStart"/>
      <w:r w:rsidRPr="00110E4B">
        <w:rPr>
          <w:rFonts w:ascii="Book Antiqua" w:hAnsi="Book Antiqua" w:cs="宋体"/>
          <w:sz w:val="24"/>
          <w:szCs w:val="24"/>
        </w:rPr>
        <w:t>Hata</w:t>
      </w:r>
      <w:proofErr w:type="spellEnd"/>
      <w:r w:rsidRPr="00110E4B">
        <w:rPr>
          <w:rFonts w:ascii="Book Antiqua" w:hAnsi="Book Antiqua" w:cs="宋体"/>
          <w:sz w:val="24"/>
          <w:szCs w:val="24"/>
        </w:rPr>
        <w:t xml:space="preserve"> K, Ito T, </w:t>
      </w:r>
      <w:proofErr w:type="spellStart"/>
      <w:r w:rsidRPr="00110E4B">
        <w:rPr>
          <w:rFonts w:ascii="Book Antiqua" w:hAnsi="Book Antiqua" w:cs="宋体"/>
          <w:sz w:val="24"/>
          <w:szCs w:val="24"/>
        </w:rPr>
        <w:t>Tomiyama</w:t>
      </w:r>
      <w:proofErr w:type="spellEnd"/>
      <w:r w:rsidRPr="00110E4B">
        <w:rPr>
          <w:rFonts w:ascii="Book Antiqua" w:hAnsi="Book Antiqua" w:cs="宋体"/>
          <w:sz w:val="24"/>
          <w:szCs w:val="24"/>
        </w:rPr>
        <w:t xml:space="preserve"> K, Yagi S, Mori A, </w:t>
      </w:r>
      <w:proofErr w:type="spellStart"/>
      <w:r w:rsidRPr="00110E4B">
        <w:rPr>
          <w:rFonts w:ascii="Book Antiqua" w:hAnsi="Book Antiqua" w:cs="宋体"/>
          <w:sz w:val="24"/>
          <w:szCs w:val="24"/>
        </w:rPr>
        <w:t>Uemoto</w:t>
      </w:r>
      <w:proofErr w:type="spellEnd"/>
      <w:r w:rsidRPr="00110E4B">
        <w:rPr>
          <w:rFonts w:ascii="Book Antiqua" w:hAnsi="Book Antiqua" w:cs="宋体"/>
          <w:sz w:val="24"/>
          <w:szCs w:val="24"/>
        </w:rPr>
        <w:t xml:space="preserve"> S. Impact of sarcopenia on survival in patients undergoing living donor liver transplantation. </w:t>
      </w:r>
      <w:r w:rsidRPr="00110E4B">
        <w:rPr>
          <w:rFonts w:ascii="Book Antiqua" w:hAnsi="Book Antiqua" w:cs="宋体"/>
          <w:i/>
          <w:iCs/>
          <w:sz w:val="24"/>
          <w:szCs w:val="24"/>
        </w:rPr>
        <w:t>Am J Transplant</w:t>
      </w:r>
      <w:r w:rsidRPr="00110E4B">
        <w:rPr>
          <w:rFonts w:ascii="Book Antiqua" w:hAnsi="Book Antiqua" w:cs="宋体"/>
          <w:sz w:val="24"/>
          <w:szCs w:val="24"/>
        </w:rPr>
        <w:t> 2013; </w:t>
      </w:r>
      <w:r w:rsidRPr="00110E4B">
        <w:rPr>
          <w:rFonts w:ascii="Book Antiqua" w:hAnsi="Book Antiqua" w:cs="宋体"/>
          <w:b/>
          <w:bCs/>
          <w:sz w:val="24"/>
          <w:szCs w:val="24"/>
        </w:rPr>
        <w:t>13</w:t>
      </w:r>
      <w:r w:rsidRPr="00110E4B">
        <w:rPr>
          <w:rFonts w:ascii="Book Antiqua" w:hAnsi="Book Antiqua" w:cs="宋体"/>
          <w:sz w:val="24"/>
          <w:szCs w:val="24"/>
        </w:rPr>
        <w:t>: 1549-1556 [PMID: 23601159 DOI: 10.1111/ajt.12221]</w:t>
      </w:r>
    </w:p>
    <w:p w14:paraId="66DF41C0"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33 </w:t>
      </w:r>
      <w:r w:rsidRPr="00110E4B">
        <w:rPr>
          <w:rFonts w:ascii="Book Antiqua" w:hAnsi="Book Antiqua" w:cs="宋体"/>
          <w:b/>
          <w:bCs/>
          <w:sz w:val="24"/>
          <w:szCs w:val="24"/>
        </w:rPr>
        <w:t>Dale W</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Hemmerich</w:t>
      </w:r>
      <w:proofErr w:type="spellEnd"/>
      <w:r w:rsidRPr="00110E4B">
        <w:rPr>
          <w:rFonts w:ascii="Book Antiqua" w:hAnsi="Book Antiqua" w:cs="宋体"/>
          <w:sz w:val="24"/>
          <w:szCs w:val="24"/>
        </w:rPr>
        <w:t xml:space="preserve"> J, </w:t>
      </w:r>
      <w:proofErr w:type="spellStart"/>
      <w:r w:rsidRPr="00110E4B">
        <w:rPr>
          <w:rFonts w:ascii="Book Antiqua" w:hAnsi="Book Antiqua" w:cs="宋体"/>
          <w:sz w:val="24"/>
          <w:szCs w:val="24"/>
        </w:rPr>
        <w:t>Kamm</w:t>
      </w:r>
      <w:proofErr w:type="spellEnd"/>
      <w:r w:rsidRPr="00110E4B">
        <w:rPr>
          <w:rFonts w:ascii="Book Antiqua" w:hAnsi="Book Antiqua" w:cs="宋体"/>
          <w:sz w:val="24"/>
          <w:szCs w:val="24"/>
        </w:rPr>
        <w:t xml:space="preserve"> A, Posner MC, Matthews JB, Rothman R, </w:t>
      </w:r>
      <w:proofErr w:type="spellStart"/>
      <w:r w:rsidRPr="00110E4B">
        <w:rPr>
          <w:rFonts w:ascii="Book Antiqua" w:hAnsi="Book Antiqua" w:cs="宋体"/>
          <w:sz w:val="24"/>
          <w:szCs w:val="24"/>
        </w:rPr>
        <w:t>Palakodeti</w:t>
      </w:r>
      <w:proofErr w:type="spellEnd"/>
      <w:r w:rsidRPr="00110E4B">
        <w:rPr>
          <w:rFonts w:ascii="Book Antiqua" w:hAnsi="Book Antiqua" w:cs="宋体"/>
          <w:sz w:val="24"/>
          <w:szCs w:val="24"/>
        </w:rPr>
        <w:t xml:space="preserve"> A, </w:t>
      </w:r>
      <w:proofErr w:type="spellStart"/>
      <w:r w:rsidRPr="00110E4B">
        <w:rPr>
          <w:rFonts w:ascii="Book Antiqua" w:hAnsi="Book Antiqua" w:cs="宋体"/>
          <w:sz w:val="24"/>
          <w:szCs w:val="24"/>
        </w:rPr>
        <w:t>Roggin</w:t>
      </w:r>
      <w:proofErr w:type="spellEnd"/>
      <w:r w:rsidRPr="00110E4B">
        <w:rPr>
          <w:rFonts w:ascii="Book Antiqua" w:hAnsi="Book Antiqua" w:cs="宋体"/>
          <w:sz w:val="24"/>
          <w:szCs w:val="24"/>
        </w:rPr>
        <w:t xml:space="preserve"> KK. Geriatric assessment improves prediction of surgical outcomes in older adults undergoing </w:t>
      </w:r>
      <w:proofErr w:type="spellStart"/>
      <w:r w:rsidRPr="00110E4B">
        <w:rPr>
          <w:rFonts w:ascii="Book Antiqua" w:hAnsi="Book Antiqua" w:cs="宋体"/>
          <w:sz w:val="24"/>
          <w:szCs w:val="24"/>
        </w:rPr>
        <w:t>pancreaticoduodenectomy</w:t>
      </w:r>
      <w:proofErr w:type="spellEnd"/>
      <w:r w:rsidRPr="00110E4B">
        <w:rPr>
          <w:rFonts w:ascii="Book Antiqua" w:hAnsi="Book Antiqua" w:cs="宋体"/>
          <w:sz w:val="24"/>
          <w:szCs w:val="24"/>
        </w:rPr>
        <w:t>: a prospective cohort study. </w:t>
      </w:r>
      <w:r w:rsidRPr="00110E4B">
        <w:rPr>
          <w:rFonts w:ascii="Book Antiqua" w:hAnsi="Book Antiqua" w:cs="宋体"/>
          <w:i/>
          <w:iCs/>
          <w:sz w:val="24"/>
          <w:szCs w:val="24"/>
        </w:rPr>
        <w:t xml:space="preserve">Ann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2014; </w:t>
      </w:r>
      <w:r w:rsidRPr="00110E4B">
        <w:rPr>
          <w:rFonts w:ascii="Book Antiqua" w:hAnsi="Book Antiqua" w:cs="宋体"/>
          <w:b/>
          <w:bCs/>
          <w:sz w:val="24"/>
          <w:szCs w:val="24"/>
        </w:rPr>
        <w:t>259</w:t>
      </w:r>
      <w:r w:rsidRPr="00110E4B">
        <w:rPr>
          <w:rFonts w:ascii="Book Antiqua" w:hAnsi="Book Antiqua" w:cs="宋体"/>
          <w:sz w:val="24"/>
          <w:szCs w:val="24"/>
        </w:rPr>
        <w:t>: 960-965 [PMID: 24096757 DOI: 10.1097/SLA.0000000000000226]</w:t>
      </w:r>
    </w:p>
    <w:p w14:paraId="1DEA3F4A"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34 </w:t>
      </w:r>
      <w:proofErr w:type="spellStart"/>
      <w:r w:rsidRPr="00110E4B">
        <w:rPr>
          <w:rFonts w:ascii="Book Antiqua" w:hAnsi="Book Antiqua" w:cs="宋体"/>
          <w:b/>
          <w:bCs/>
          <w:sz w:val="24"/>
          <w:szCs w:val="24"/>
        </w:rPr>
        <w:t>Hodari</w:t>
      </w:r>
      <w:proofErr w:type="spellEnd"/>
      <w:r w:rsidRPr="00110E4B">
        <w:rPr>
          <w:rFonts w:ascii="Book Antiqua" w:hAnsi="Book Antiqua" w:cs="宋体"/>
          <w:b/>
          <w:bCs/>
          <w:sz w:val="24"/>
          <w:szCs w:val="24"/>
        </w:rPr>
        <w:t xml:space="preserve"> A</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Hammoud</w:t>
      </w:r>
      <w:proofErr w:type="spellEnd"/>
      <w:r w:rsidRPr="00110E4B">
        <w:rPr>
          <w:rFonts w:ascii="Book Antiqua" w:hAnsi="Book Antiqua" w:cs="宋体"/>
          <w:sz w:val="24"/>
          <w:szCs w:val="24"/>
        </w:rPr>
        <w:t xml:space="preserve"> ZT, </w:t>
      </w:r>
      <w:proofErr w:type="spellStart"/>
      <w:r w:rsidRPr="00110E4B">
        <w:rPr>
          <w:rFonts w:ascii="Book Antiqua" w:hAnsi="Book Antiqua" w:cs="宋体"/>
          <w:sz w:val="24"/>
          <w:szCs w:val="24"/>
        </w:rPr>
        <w:t>Borgi</w:t>
      </w:r>
      <w:proofErr w:type="spellEnd"/>
      <w:r w:rsidRPr="00110E4B">
        <w:rPr>
          <w:rFonts w:ascii="Book Antiqua" w:hAnsi="Book Antiqua" w:cs="宋体"/>
          <w:sz w:val="24"/>
          <w:szCs w:val="24"/>
        </w:rPr>
        <w:t xml:space="preserve"> JF, </w:t>
      </w:r>
      <w:proofErr w:type="spellStart"/>
      <w:r w:rsidRPr="00110E4B">
        <w:rPr>
          <w:rFonts w:ascii="Book Antiqua" w:hAnsi="Book Antiqua" w:cs="宋体"/>
          <w:sz w:val="24"/>
          <w:szCs w:val="24"/>
        </w:rPr>
        <w:t>Tsiouris</w:t>
      </w:r>
      <w:proofErr w:type="spellEnd"/>
      <w:r w:rsidRPr="00110E4B">
        <w:rPr>
          <w:rFonts w:ascii="Book Antiqua" w:hAnsi="Book Antiqua" w:cs="宋体"/>
          <w:sz w:val="24"/>
          <w:szCs w:val="24"/>
        </w:rPr>
        <w:t xml:space="preserve"> A, </w:t>
      </w:r>
      <w:proofErr w:type="spellStart"/>
      <w:r w:rsidRPr="00110E4B">
        <w:rPr>
          <w:rFonts w:ascii="Book Antiqua" w:hAnsi="Book Antiqua" w:cs="宋体"/>
          <w:sz w:val="24"/>
          <w:szCs w:val="24"/>
        </w:rPr>
        <w:t>Rubinfeld</w:t>
      </w:r>
      <w:proofErr w:type="spellEnd"/>
      <w:r w:rsidRPr="00110E4B">
        <w:rPr>
          <w:rFonts w:ascii="Book Antiqua" w:hAnsi="Book Antiqua" w:cs="宋体"/>
          <w:sz w:val="24"/>
          <w:szCs w:val="24"/>
        </w:rPr>
        <w:t xml:space="preserve"> IS. </w:t>
      </w:r>
      <w:proofErr w:type="gramStart"/>
      <w:r w:rsidRPr="00110E4B">
        <w:rPr>
          <w:rFonts w:ascii="Book Antiqua" w:hAnsi="Book Antiqua" w:cs="宋体"/>
          <w:sz w:val="24"/>
          <w:szCs w:val="24"/>
        </w:rPr>
        <w:t xml:space="preserve">Assessment of morbidity and mortality after </w:t>
      </w:r>
      <w:proofErr w:type="spellStart"/>
      <w:r w:rsidRPr="00110E4B">
        <w:rPr>
          <w:rFonts w:ascii="Book Antiqua" w:hAnsi="Book Antiqua" w:cs="宋体"/>
          <w:sz w:val="24"/>
          <w:szCs w:val="24"/>
        </w:rPr>
        <w:t>esophagectomy</w:t>
      </w:r>
      <w:proofErr w:type="spellEnd"/>
      <w:r w:rsidRPr="00110E4B">
        <w:rPr>
          <w:rFonts w:ascii="Book Antiqua" w:hAnsi="Book Antiqua" w:cs="宋体"/>
          <w:sz w:val="24"/>
          <w:szCs w:val="24"/>
        </w:rPr>
        <w:t xml:space="preserve"> using a modified frailty index.</w:t>
      </w:r>
      <w:proofErr w:type="gramEnd"/>
      <w:r w:rsidRPr="00110E4B">
        <w:rPr>
          <w:rFonts w:ascii="Book Antiqua" w:hAnsi="Book Antiqua" w:cs="宋体"/>
          <w:sz w:val="24"/>
          <w:szCs w:val="24"/>
        </w:rPr>
        <w:t> </w:t>
      </w:r>
      <w:r w:rsidRPr="00110E4B">
        <w:rPr>
          <w:rFonts w:ascii="Book Antiqua" w:hAnsi="Book Antiqua" w:cs="宋体"/>
          <w:i/>
          <w:iCs/>
          <w:sz w:val="24"/>
          <w:szCs w:val="24"/>
        </w:rPr>
        <w:t xml:space="preserve">Ann </w:t>
      </w:r>
      <w:proofErr w:type="spellStart"/>
      <w:r w:rsidRPr="00110E4B">
        <w:rPr>
          <w:rFonts w:ascii="Book Antiqua" w:hAnsi="Book Antiqua" w:cs="宋体"/>
          <w:i/>
          <w:iCs/>
          <w:sz w:val="24"/>
          <w:szCs w:val="24"/>
        </w:rPr>
        <w:t>Thorac</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2013; </w:t>
      </w:r>
      <w:r w:rsidRPr="00110E4B">
        <w:rPr>
          <w:rFonts w:ascii="Book Antiqua" w:hAnsi="Book Antiqua" w:cs="宋体"/>
          <w:b/>
          <w:bCs/>
          <w:sz w:val="24"/>
          <w:szCs w:val="24"/>
        </w:rPr>
        <w:t>96</w:t>
      </w:r>
      <w:r w:rsidRPr="00110E4B">
        <w:rPr>
          <w:rFonts w:ascii="Book Antiqua" w:hAnsi="Book Antiqua" w:cs="宋体"/>
          <w:sz w:val="24"/>
          <w:szCs w:val="24"/>
        </w:rPr>
        <w:t>: 1240-1245 [PMID: 23915593 DOI: 10.1016/j.athoracsur.2013.05.051]</w:t>
      </w:r>
    </w:p>
    <w:p w14:paraId="3E8AB9DF"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35 </w:t>
      </w:r>
      <w:r w:rsidRPr="00110E4B">
        <w:rPr>
          <w:rFonts w:ascii="Book Antiqua" w:hAnsi="Book Antiqua" w:cs="宋体"/>
          <w:b/>
          <w:bCs/>
          <w:sz w:val="24"/>
          <w:szCs w:val="24"/>
        </w:rPr>
        <w:t>Sheetz KH</w:t>
      </w:r>
      <w:r w:rsidRPr="00110E4B">
        <w:rPr>
          <w:rFonts w:ascii="Book Antiqua" w:hAnsi="Book Antiqua" w:cs="宋体"/>
          <w:sz w:val="24"/>
          <w:szCs w:val="24"/>
        </w:rPr>
        <w:t xml:space="preserve">, Zhao L, Holcombe SA, Wang SC, Reddy RM, Lin J, </w:t>
      </w:r>
      <w:proofErr w:type="spellStart"/>
      <w:r w:rsidRPr="00110E4B">
        <w:rPr>
          <w:rFonts w:ascii="Book Antiqua" w:hAnsi="Book Antiqua" w:cs="宋体"/>
          <w:sz w:val="24"/>
          <w:szCs w:val="24"/>
        </w:rPr>
        <w:t>Orringer</w:t>
      </w:r>
      <w:proofErr w:type="spellEnd"/>
      <w:r w:rsidRPr="00110E4B">
        <w:rPr>
          <w:rFonts w:ascii="Book Antiqua" w:hAnsi="Book Antiqua" w:cs="宋体"/>
          <w:sz w:val="24"/>
          <w:szCs w:val="24"/>
        </w:rPr>
        <w:t xml:space="preserve"> MB, Chang AC. Decreased core muscle size is associated with worse patient survival following </w:t>
      </w:r>
      <w:proofErr w:type="spellStart"/>
      <w:r w:rsidRPr="00110E4B">
        <w:rPr>
          <w:rFonts w:ascii="Book Antiqua" w:hAnsi="Book Antiqua" w:cs="宋体"/>
          <w:sz w:val="24"/>
          <w:szCs w:val="24"/>
        </w:rPr>
        <w:lastRenderedPageBreak/>
        <w:t>esophagectomy</w:t>
      </w:r>
      <w:proofErr w:type="spellEnd"/>
      <w:r w:rsidRPr="00110E4B">
        <w:rPr>
          <w:rFonts w:ascii="Book Antiqua" w:hAnsi="Book Antiqua" w:cs="宋体"/>
          <w:sz w:val="24"/>
          <w:szCs w:val="24"/>
        </w:rPr>
        <w:t xml:space="preserve"> for cancer. </w:t>
      </w:r>
      <w:r w:rsidRPr="00110E4B">
        <w:rPr>
          <w:rFonts w:ascii="Book Antiqua" w:hAnsi="Book Antiqua" w:cs="宋体"/>
          <w:i/>
          <w:iCs/>
          <w:sz w:val="24"/>
          <w:szCs w:val="24"/>
        </w:rPr>
        <w:t>Dis Esophagus</w:t>
      </w:r>
      <w:r w:rsidRPr="00110E4B">
        <w:rPr>
          <w:rFonts w:ascii="Book Antiqua" w:hAnsi="Book Antiqua" w:cs="宋体"/>
          <w:sz w:val="24"/>
          <w:szCs w:val="24"/>
        </w:rPr>
        <w:t> </w:t>
      </w:r>
      <w:r>
        <w:rPr>
          <w:rFonts w:ascii="Book Antiqua" w:hAnsi="Book Antiqua" w:cs="宋体" w:hint="eastAsia"/>
          <w:sz w:val="24"/>
          <w:szCs w:val="24"/>
        </w:rPr>
        <w:t>2013</w:t>
      </w:r>
      <w:r w:rsidRPr="00110E4B">
        <w:rPr>
          <w:rFonts w:ascii="Book Antiqua" w:hAnsi="Book Antiqua" w:cs="宋体"/>
          <w:sz w:val="24"/>
          <w:szCs w:val="24"/>
        </w:rPr>
        <w:t>; </w:t>
      </w:r>
      <w:r w:rsidRPr="00110E4B">
        <w:rPr>
          <w:rFonts w:ascii="Book Antiqua" w:hAnsi="Book Antiqua" w:cs="宋体"/>
          <w:b/>
          <w:bCs/>
          <w:sz w:val="24"/>
          <w:szCs w:val="24"/>
        </w:rPr>
        <w:t>26</w:t>
      </w:r>
      <w:r w:rsidRPr="00110E4B">
        <w:rPr>
          <w:rFonts w:ascii="Book Antiqua" w:hAnsi="Book Antiqua" w:cs="宋体"/>
          <w:sz w:val="24"/>
          <w:szCs w:val="24"/>
        </w:rPr>
        <w:t>: 716-722 [PMID: 23350746 DOI: 10.1111/dote.12020]</w:t>
      </w:r>
    </w:p>
    <w:p w14:paraId="6B097E7E"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36 </w:t>
      </w:r>
      <w:r w:rsidRPr="00110E4B">
        <w:rPr>
          <w:rFonts w:ascii="Book Antiqua" w:hAnsi="Book Antiqua" w:cs="宋体"/>
          <w:b/>
          <w:bCs/>
          <w:sz w:val="24"/>
          <w:szCs w:val="24"/>
        </w:rPr>
        <w:t>Obeid NM</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Azuh</w:t>
      </w:r>
      <w:proofErr w:type="spellEnd"/>
      <w:r w:rsidRPr="00110E4B">
        <w:rPr>
          <w:rFonts w:ascii="Book Antiqua" w:hAnsi="Book Antiqua" w:cs="宋体"/>
          <w:sz w:val="24"/>
          <w:szCs w:val="24"/>
        </w:rPr>
        <w:t xml:space="preserve"> O, Reddy S, Webb S, </w:t>
      </w:r>
      <w:proofErr w:type="spellStart"/>
      <w:r w:rsidRPr="00110E4B">
        <w:rPr>
          <w:rFonts w:ascii="Book Antiqua" w:hAnsi="Book Antiqua" w:cs="宋体"/>
          <w:sz w:val="24"/>
          <w:szCs w:val="24"/>
        </w:rPr>
        <w:t>Reickert</w:t>
      </w:r>
      <w:proofErr w:type="spellEnd"/>
      <w:r w:rsidRPr="00110E4B">
        <w:rPr>
          <w:rFonts w:ascii="Book Antiqua" w:hAnsi="Book Antiqua" w:cs="宋体"/>
          <w:sz w:val="24"/>
          <w:szCs w:val="24"/>
        </w:rPr>
        <w:t xml:space="preserve"> C, </w:t>
      </w:r>
      <w:proofErr w:type="spellStart"/>
      <w:r w:rsidRPr="00110E4B">
        <w:rPr>
          <w:rFonts w:ascii="Book Antiqua" w:hAnsi="Book Antiqua" w:cs="宋体"/>
          <w:sz w:val="24"/>
          <w:szCs w:val="24"/>
        </w:rPr>
        <w:t>Velanovich</w:t>
      </w:r>
      <w:proofErr w:type="spellEnd"/>
      <w:r w:rsidRPr="00110E4B">
        <w:rPr>
          <w:rFonts w:ascii="Book Antiqua" w:hAnsi="Book Antiqua" w:cs="宋体"/>
          <w:sz w:val="24"/>
          <w:szCs w:val="24"/>
        </w:rPr>
        <w:t xml:space="preserve"> V, Horst HM, </w:t>
      </w:r>
      <w:proofErr w:type="spellStart"/>
      <w:r w:rsidRPr="00110E4B">
        <w:rPr>
          <w:rFonts w:ascii="Book Antiqua" w:hAnsi="Book Antiqua" w:cs="宋体"/>
          <w:sz w:val="24"/>
          <w:szCs w:val="24"/>
        </w:rPr>
        <w:t>Rubinfeld</w:t>
      </w:r>
      <w:proofErr w:type="spellEnd"/>
      <w:r w:rsidRPr="00110E4B">
        <w:rPr>
          <w:rFonts w:ascii="Book Antiqua" w:hAnsi="Book Antiqua" w:cs="宋体"/>
          <w:sz w:val="24"/>
          <w:szCs w:val="24"/>
        </w:rPr>
        <w:t xml:space="preserve"> I. Predictors of critical care-related complications in colectomy patients using the National Surgical Quality Improvement Program: exploring frailty and aggressive laparoscopic approaches. </w:t>
      </w:r>
      <w:r w:rsidRPr="00110E4B">
        <w:rPr>
          <w:rFonts w:ascii="Book Antiqua" w:hAnsi="Book Antiqua" w:cs="宋体"/>
          <w:i/>
          <w:iCs/>
          <w:sz w:val="24"/>
          <w:szCs w:val="24"/>
        </w:rPr>
        <w:t xml:space="preserve">J Trauma Acute Care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2012; </w:t>
      </w:r>
      <w:r w:rsidRPr="00110E4B">
        <w:rPr>
          <w:rFonts w:ascii="Book Antiqua" w:hAnsi="Book Antiqua" w:cs="宋体"/>
          <w:b/>
          <w:bCs/>
          <w:sz w:val="24"/>
          <w:szCs w:val="24"/>
        </w:rPr>
        <w:t>72</w:t>
      </w:r>
      <w:r w:rsidRPr="00110E4B">
        <w:rPr>
          <w:rFonts w:ascii="Book Antiqua" w:hAnsi="Book Antiqua" w:cs="宋体"/>
          <w:sz w:val="24"/>
          <w:szCs w:val="24"/>
        </w:rPr>
        <w:t>: 878-883 [PMID: 22491599 DOI: 10.1097/TA.0b013e31824d0f70]</w:t>
      </w:r>
    </w:p>
    <w:p w14:paraId="6646A9D9" w14:textId="77777777" w:rsidR="00033802" w:rsidRPr="00110E4B" w:rsidRDefault="00033802" w:rsidP="00CB2DFE">
      <w:pPr>
        <w:spacing w:after="0" w:line="360" w:lineRule="auto"/>
        <w:jc w:val="both"/>
        <w:rPr>
          <w:rFonts w:ascii="Book Antiqua" w:hAnsi="Book Antiqua" w:cs="宋体"/>
          <w:sz w:val="24"/>
          <w:szCs w:val="24"/>
        </w:rPr>
      </w:pPr>
      <w:proofErr w:type="gramStart"/>
      <w:r w:rsidRPr="00110E4B">
        <w:rPr>
          <w:rFonts w:ascii="Book Antiqua" w:hAnsi="Book Antiqua" w:cs="宋体"/>
          <w:sz w:val="24"/>
          <w:szCs w:val="24"/>
        </w:rPr>
        <w:t>37 </w:t>
      </w:r>
      <w:proofErr w:type="spellStart"/>
      <w:r w:rsidRPr="00110E4B">
        <w:rPr>
          <w:rFonts w:ascii="Book Antiqua" w:hAnsi="Book Antiqua" w:cs="宋体"/>
          <w:b/>
          <w:bCs/>
          <w:sz w:val="24"/>
          <w:szCs w:val="24"/>
        </w:rPr>
        <w:t>Neuman</w:t>
      </w:r>
      <w:proofErr w:type="spellEnd"/>
      <w:r w:rsidRPr="00110E4B">
        <w:rPr>
          <w:rFonts w:ascii="Book Antiqua" w:hAnsi="Book Antiqua" w:cs="宋体"/>
          <w:b/>
          <w:bCs/>
          <w:sz w:val="24"/>
          <w:szCs w:val="24"/>
        </w:rPr>
        <w:t xml:space="preserve"> HB</w:t>
      </w:r>
      <w:r w:rsidRPr="00110E4B">
        <w:rPr>
          <w:rFonts w:ascii="Book Antiqua" w:hAnsi="Book Antiqua" w:cs="宋体"/>
          <w:sz w:val="24"/>
          <w:szCs w:val="24"/>
        </w:rPr>
        <w:t xml:space="preserve">, Weiss JM, </w:t>
      </w:r>
      <w:proofErr w:type="spellStart"/>
      <w:r w:rsidRPr="00110E4B">
        <w:rPr>
          <w:rFonts w:ascii="Book Antiqua" w:hAnsi="Book Antiqua" w:cs="宋体"/>
          <w:sz w:val="24"/>
          <w:szCs w:val="24"/>
        </w:rPr>
        <w:t>Leverson</w:t>
      </w:r>
      <w:proofErr w:type="spellEnd"/>
      <w:r w:rsidRPr="00110E4B">
        <w:rPr>
          <w:rFonts w:ascii="Book Antiqua" w:hAnsi="Book Antiqua" w:cs="宋体"/>
          <w:sz w:val="24"/>
          <w:szCs w:val="24"/>
        </w:rPr>
        <w:t xml:space="preserve"> G, O'Connor ES, Greenblatt DY, </w:t>
      </w:r>
      <w:proofErr w:type="spellStart"/>
      <w:r w:rsidRPr="00110E4B">
        <w:rPr>
          <w:rFonts w:ascii="Book Antiqua" w:hAnsi="Book Antiqua" w:cs="宋体"/>
          <w:sz w:val="24"/>
          <w:szCs w:val="24"/>
        </w:rPr>
        <w:t>Loconte</w:t>
      </w:r>
      <w:proofErr w:type="spellEnd"/>
      <w:r w:rsidRPr="00110E4B">
        <w:rPr>
          <w:rFonts w:ascii="Book Antiqua" w:hAnsi="Book Antiqua" w:cs="宋体"/>
          <w:sz w:val="24"/>
          <w:szCs w:val="24"/>
        </w:rPr>
        <w:t xml:space="preserve"> NK, Greenberg CC, Smith MA.</w:t>
      </w:r>
      <w:proofErr w:type="gramEnd"/>
      <w:r w:rsidRPr="00110E4B">
        <w:rPr>
          <w:rFonts w:ascii="Book Antiqua" w:hAnsi="Book Antiqua" w:cs="宋体"/>
          <w:sz w:val="24"/>
          <w:szCs w:val="24"/>
        </w:rPr>
        <w:t xml:space="preserve"> Predictors of short-term postoperative survival after elective colectomy in colon cancer </w:t>
      </w:r>
      <w:proofErr w:type="gramStart"/>
      <w:r w:rsidRPr="00110E4B">
        <w:rPr>
          <w:rFonts w:ascii="Book Antiqua" w:hAnsi="Book Antiqua" w:cs="宋体"/>
          <w:sz w:val="24"/>
          <w:szCs w:val="24"/>
        </w:rPr>
        <w:t>patients</w:t>
      </w:r>
      <w:proofErr w:type="gramEnd"/>
      <w:r w:rsidRPr="00110E4B">
        <w:rPr>
          <w:rFonts w:ascii="Book Antiqua" w:hAnsi="Book Antiqua" w:cs="宋体"/>
          <w:sz w:val="24"/>
          <w:szCs w:val="24"/>
        </w:rPr>
        <w:t xml:space="preserve"> ≥ 80 years of age. </w:t>
      </w:r>
      <w:r w:rsidRPr="00110E4B">
        <w:rPr>
          <w:rFonts w:ascii="Book Antiqua" w:hAnsi="Book Antiqua" w:cs="宋体"/>
          <w:i/>
          <w:iCs/>
          <w:sz w:val="24"/>
          <w:szCs w:val="24"/>
        </w:rPr>
        <w:t xml:space="preserve">Ann </w:t>
      </w:r>
      <w:proofErr w:type="spellStart"/>
      <w:r w:rsidRPr="00110E4B">
        <w:rPr>
          <w:rFonts w:ascii="Book Antiqua" w:hAnsi="Book Antiqua" w:cs="宋体"/>
          <w:i/>
          <w:iCs/>
          <w:sz w:val="24"/>
          <w:szCs w:val="24"/>
        </w:rPr>
        <w:t>Surg</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Oncol</w:t>
      </w:r>
      <w:proofErr w:type="spellEnd"/>
      <w:r w:rsidRPr="00110E4B">
        <w:rPr>
          <w:rFonts w:ascii="Book Antiqua" w:hAnsi="Book Antiqua" w:cs="宋体"/>
          <w:sz w:val="24"/>
          <w:szCs w:val="24"/>
        </w:rPr>
        <w:t> 2013; </w:t>
      </w:r>
      <w:r w:rsidRPr="00110E4B">
        <w:rPr>
          <w:rFonts w:ascii="Book Antiqua" w:hAnsi="Book Antiqua" w:cs="宋体"/>
          <w:b/>
          <w:bCs/>
          <w:sz w:val="24"/>
          <w:szCs w:val="24"/>
        </w:rPr>
        <w:t>20</w:t>
      </w:r>
      <w:r w:rsidRPr="00110E4B">
        <w:rPr>
          <w:rFonts w:ascii="Book Antiqua" w:hAnsi="Book Antiqua" w:cs="宋体"/>
          <w:sz w:val="24"/>
          <w:szCs w:val="24"/>
        </w:rPr>
        <w:t>: 1427-1435 [PMID: 23292483 DOI: 10.1245/s10434-012-2721-8]</w:t>
      </w:r>
    </w:p>
    <w:p w14:paraId="3FEED042"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38 </w:t>
      </w:r>
      <w:proofErr w:type="spellStart"/>
      <w:r w:rsidRPr="00110E4B">
        <w:rPr>
          <w:rFonts w:ascii="Book Antiqua" w:hAnsi="Book Antiqua" w:cs="宋体"/>
          <w:b/>
          <w:bCs/>
          <w:sz w:val="24"/>
          <w:szCs w:val="24"/>
        </w:rPr>
        <w:t>Sabel</w:t>
      </w:r>
      <w:proofErr w:type="spellEnd"/>
      <w:r w:rsidRPr="00110E4B">
        <w:rPr>
          <w:rFonts w:ascii="Book Antiqua" w:hAnsi="Book Antiqua" w:cs="宋体"/>
          <w:b/>
          <w:bCs/>
          <w:sz w:val="24"/>
          <w:szCs w:val="24"/>
        </w:rPr>
        <w:t xml:space="preserve"> MS</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Terjimanian</w:t>
      </w:r>
      <w:proofErr w:type="spellEnd"/>
      <w:r w:rsidRPr="00110E4B">
        <w:rPr>
          <w:rFonts w:ascii="Book Antiqua" w:hAnsi="Book Antiqua" w:cs="宋体"/>
          <w:sz w:val="24"/>
          <w:szCs w:val="24"/>
        </w:rPr>
        <w:t xml:space="preserve"> M, Conlon AS, Griffith KA, Morris AM, Mulholland MW, </w:t>
      </w:r>
      <w:proofErr w:type="spellStart"/>
      <w:r w:rsidRPr="00110E4B">
        <w:rPr>
          <w:rFonts w:ascii="Book Antiqua" w:hAnsi="Book Antiqua" w:cs="宋体"/>
          <w:sz w:val="24"/>
          <w:szCs w:val="24"/>
        </w:rPr>
        <w:t>Englesbe</w:t>
      </w:r>
      <w:proofErr w:type="spellEnd"/>
      <w:r w:rsidRPr="00110E4B">
        <w:rPr>
          <w:rFonts w:ascii="Book Antiqua" w:hAnsi="Book Antiqua" w:cs="宋体"/>
          <w:sz w:val="24"/>
          <w:szCs w:val="24"/>
        </w:rPr>
        <w:t xml:space="preserve"> MJ, Holcombe S, Wang SC. Analytic morphometric assessment of patients undergoing colectomy for colon cancer.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Surg</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Oncol</w:t>
      </w:r>
      <w:proofErr w:type="spellEnd"/>
      <w:r w:rsidRPr="00110E4B">
        <w:rPr>
          <w:rFonts w:ascii="Book Antiqua" w:hAnsi="Book Antiqua" w:cs="宋体"/>
          <w:sz w:val="24"/>
          <w:szCs w:val="24"/>
        </w:rPr>
        <w:t> 2013; </w:t>
      </w:r>
      <w:r w:rsidRPr="00110E4B">
        <w:rPr>
          <w:rFonts w:ascii="Book Antiqua" w:hAnsi="Book Antiqua" w:cs="宋体"/>
          <w:b/>
          <w:bCs/>
          <w:sz w:val="24"/>
          <w:szCs w:val="24"/>
        </w:rPr>
        <w:t>108</w:t>
      </w:r>
      <w:r w:rsidRPr="00110E4B">
        <w:rPr>
          <w:rFonts w:ascii="Book Antiqua" w:hAnsi="Book Antiqua" w:cs="宋体"/>
          <w:sz w:val="24"/>
          <w:szCs w:val="24"/>
        </w:rPr>
        <w:t>: 169-175 [PMID: 23846976 DOI: 10.1002/jso.23366]</w:t>
      </w:r>
    </w:p>
    <w:p w14:paraId="47B8596E"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39 </w:t>
      </w:r>
      <w:proofErr w:type="spellStart"/>
      <w:r w:rsidRPr="00110E4B">
        <w:rPr>
          <w:rFonts w:ascii="Book Antiqua" w:hAnsi="Book Antiqua" w:cs="宋体"/>
          <w:b/>
          <w:bCs/>
          <w:sz w:val="24"/>
          <w:szCs w:val="24"/>
        </w:rPr>
        <w:t>Lieffers</w:t>
      </w:r>
      <w:proofErr w:type="spellEnd"/>
      <w:r w:rsidRPr="00110E4B">
        <w:rPr>
          <w:rFonts w:ascii="Book Antiqua" w:hAnsi="Book Antiqua" w:cs="宋体"/>
          <w:b/>
          <w:bCs/>
          <w:sz w:val="24"/>
          <w:szCs w:val="24"/>
        </w:rPr>
        <w:t xml:space="preserve"> JR</w:t>
      </w:r>
      <w:r w:rsidRPr="00110E4B">
        <w:rPr>
          <w:rFonts w:ascii="Book Antiqua" w:hAnsi="Book Antiqua" w:cs="宋体"/>
          <w:sz w:val="24"/>
          <w:szCs w:val="24"/>
        </w:rPr>
        <w:t xml:space="preserve">, Bathe OF, </w:t>
      </w:r>
      <w:proofErr w:type="spellStart"/>
      <w:r w:rsidRPr="00110E4B">
        <w:rPr>
          <w:rFonts w:ascii="Book Antiqua" w:hAnsi="Book Antiqua" w:cs="宋体"/>
          <w:sz w:val="24"/>
          <w:szCs w:val="24"/>
        </w:rPr>
        <w:t>Fassbender</w:t>
      </w:r>
      <w:proofErr w:type="spellEnd"/>
      <w:r w:rsidRPr="00110E4B">
        <w:rPr>
          <w:rFonts w:ascii="Book Antiqua" w:hAnsi="Book Antiqua" w:cs="宋体"/>
          <w:sz w:val="24"/>
          <w:szCs w:val="24"/>
        </w:rPr>
        <w:t xml:space="preserve"> K, </w:t>
      </w:r>
      <w:proofErr w:type="spellStart"/>
      <w:r w:rsidRPr="00110E4B">
        <w:rPr>
          <w:rFonts w:ascii="Book Antiqua" w:hAnsi="Book Antiqua" w:cs="宋体"/>
          <w:sz w:val="24"/>
          <w:szCs w:val="24"/>
        </w:rPr>
        <w:t>Winget</w:t>
      </w:r>
      <w:proofErr w:type="spellEnd"/>
      <w:r w:rsidRPr="00110E4B">
        <w:rPr>
          <w:rFonts w:ascii="Book Antiqua" w:hAnsi="Book Antiqua" w:cs="宋体"/>
          <w:sz w:val="24"/>
          <w:szCs w:val="24"/>
        </w:rPr>
        <w:t xml:space="preserve"> M, </w:t>
      </w:r>
      <w:proofErr w:type="spellStart"/>
      <w:r w:rsidRPr="00110E4B">
        <w:rPr>
          <w:rFonts w:ascii="Book Antiqua" w:hAnsi="Book Antiqua" w:cs="宋体"/>
          <w:sz w:val="24"/>
          <w:szCs w:val="24"/>
        </w:rPr>
        <w:t>Baracos</w:t>
      </w:r>
      <w:proofErr w:type="spellEnd"/>
      <w:r w:rsidRPr="00110E4B">
        <w:rPr>
          <w:rFonts w:ascii="Book Antiqua" w:hAnsi="Book Antiqua" w:cs="宋体"/>
          <w:sz w:val="24"/>
          <w:szCs w:val="24"/>
        </w:rPr>
        <w:t xml:space="preserve"> VE. Sarcopenia is associated with postoperative infection and delayed recovery from colorectal cancer resection surgery. </w:t>
      </w:r>
      <w:r w:rsidRPr="00110E4B">
        <w:rPr>
          <w:rFonts w:ascii="Book Antiqua" w:hAnsi="Book Antiqua" w:cs="宋体"/>
          <w:i/>
          <w:iCs/>
          <w:sz w:val="24"/>
          <w:szCs w:val="24"/>
        </w:rPr>
        <w:t>Br J Cancer</w:t>
      </w:r>
      <w:r w:rsidRPr="00110E4B">
        <w:rPr>
          <w:rFonts w:ascii="Book Antiqua" w:hAnsi="Book Antiqua" w:cs="宋体"/>
          <w:sz w:val="24"/>
          <w:szCs w:val="24"/>
        </w:rPr>
        <w:t> 2012; </w:t>
      </w:r>
      <w:r w:rsidRPr="00110E4B">
        <w:rPr>
          <w:rFonts w:ascii="Book Antiqua" w:hAnsi="Book Antiqua" w:cs="宋体"/>
          <w:b/>
          <w:bCs/>
          <w:sz w:val="24"/>
          <w:szCs w:val="24"/>
        </w:rPr>
        <w:t>107</w:t>
      </w:r>
      <w:r w:rsidRPr="00110E4B">
        <w:rPr>
          <w:rFonts w:ascii="Book Antiqua" w:hAnsi="Book Antiqua" w:cs="宋体"/>
          <w:sz w:val="24"/>
          <w:szCs w:val="24"/>
        </w:rPr>
        <w:t>: 931-936 [PMID: 22871883 DOI: 10.1038/bjc.2012.350]</w:t>
      </w:r>
    </w:p>
    <w:p w14:paraId="064BA88E"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40 </w:t>
      </w:r>
      <w:proofErr w:type="spellStart"/>
      <w:r w:rsidRPr="00110E4B">
        <w:rPr>
          <w:rFonts w:ascii="Book Antiqua" w:hAnsi="Book Antiqua" w:cs="宋体"/>
          <w:b/>
          <w:bCs/>
          <w:sz w:val="24"/>
          <w:szCs w:val="24"/>
        </w:rPr>
        <w:t>Harimoto</w:t>
      </w:r>
      <w:proofErr w:type="spellEnd"/>
      <w:r w:rsidRPr="00110E4B">
        <w:rPr>
          <w:rFonts w:ascii="Book Antiqua" w:hAnsi="Book Antiqua" w:cs="宋体"/>
          <w:b/>
          <w:bCs/>
          <w:sz w:val="24"/>
          <w:szCs w:val="24"/>
        </w:rPr>
        <w:t xml:space="preserve"> N</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Shirabe</w:t>
      </w:r>
      <w:proofErr w:type="spellEnd"/>
      <w:r w:rsidRPr="00110E4B">
        <w:rPr>
          <w:rFonts w:ascii="Book Antiqua" w:hAnsi="Book Antiqua" w:cs="宋体"/>
          <w:sz w:val="24"/>
          <w:szCs w:val="24"/>
        </w:rPr>
        <w:t xml:space="preserve"> K, Yamashita YI, Ikegami T, </w:t>
      </w:r>
      <w:proofErr w:type="spellStart"/>
      <w:r w:rsidRPr="00110E4B">
        <w:rPr>
          <w:rFonts w:ascii="Book Antiqua" w:hAnsi="Book Antiqua" w:cs="宋体"/>
          <w:sz w:val="24"/>
          <w:szCs w:val="24"/>
        </w:rPr>
        <w:t>Yoshizumi</w:t>
      </w:r>
      <w:proofErr w:type="spellEnd"/>
      <w:r w:rsidRPr="00110E4B">
        <w:rPr>
          <w:rFonts w:ascii="Book Antiqua" w:hAnsi="Book Antiqua" w:cs="宋体"/>
          <w:sz w:val="24"/>
          <w:szCs w:val="24"/>
        </w:rPr>
        <w:t xml:space="preserve"> T, </w:t>
      </w:r>
      <w:proofErr w:type="spellStart"/>
      <w:r w:rsidRPr="00110E4B">
        <w:rPr>
          <w:rFonts w:ascii="Book Antiqua" w:hAnsi="Book Antiqua" w:cs="宋体"/>
          <w:sz w:val="24"/>
          <w:szCs w:val="24"/>
        </w:rPr>
        <w:t>Soejima</w:t>
      </w:r>
      <w:proofErr w:type="spellEnd"/>
      <w:r w:rsidRPr="00110E4B">
        <w:rPr>
          <w:rFonts w:ascii="Book Antiqua" w:hAnsi="Book Antiqua" w:cs="宋体"/>
          <w:sz w:val="24"/>
          <w:szCs w:val="24"/>
        </w:rPr>
        <w:t xml:space="preserve"> Y, Ikeda T, </w:t>
      </w:r>
      <w:proofErr w:type="spellStart"/>
      <w:r w:rsidRPr="00110E4B">
        <w:rPr>
          <w:rFonts w:ascii="Book Antiqua" w:hAnsi="Book Antiqua" w:cs="宋体"/>
          <w:sz w:val="24"/>
          <w:szCs w:val="24"/>
        </w:rPr>
        <w:t>Maehara</w:t>
      </w:r>
      <w:proofErr w:type="spellEnd"/>
      <w:r w:rsidRPr="00110E4B">
        <w:rPr>
          <w:rFonts w:ascii="Book Antiqua" w:hAnsi="Book Antiqua" w:cs="宋体"/>
          <w:sz w:val="24"/>
          <w:szCs w:val="24"/>
        </w:rPr>
        <w:t xml:space="preserve"> Y, </w:t>
      </w:r>
      <w:proofErr w:type="spellStart"/>
      <w:r w:rsidRPr="00110E4B">
        <w:rPr>
          <w:rFonts w:ascii="Book Antiqua" w:hAnsi="Book Antiqua" w:cs="宋体"/>
          <w:sz w:val="24"/>
          <w:szCs w:val="24"/>
        </w:rPr>
        <w:t>Nishie</w:t>
      </w:r>
      <w:proofErr w:type="spellEnd"/>
      <w:r w:rsidRPr="00110E4B">
        <w:rPr>
          <w:rFonts w:ascii="Book Antiqua" w:hAnsi="Book Antiqua" w:cs="宋体"/>
          <w:sz w:val="24"/>
          <w:szCs w:val="24"/>
        </w:rPr>
        <w:t xml:space="preserve"> A, Yamanaka T. Sarcopenia as a predictor of prognosis in patients following </w:t>
      </w:r>
      <w:proofErr w:type="spellStart"/>
      <w:r w:rsidRPr="00110E4B">
        <w:rPr>
          <w:rFonts w:ascii="Book Antiqua" w:hAnsi="Book Antiqua" w:cs="宋体"/>
          <w:sz w:val="24"/>
          <w:szCs w:val="24"/>
        </w:rPr>
        <w:t>hepatectomy</w:t>
      </w:r>
      <w:proofErr w:type="spellEnd"/>
      <w:r w:rsidRPr="00110E4B">
        <w:rPr>
          <w:rFonts w:ascii="Book Antiqua" w:hAnsi="Book Antiqua" w:cs="宋体"/>
          <w:sz w:val="24"/>
          <w:szCs w:val="24"/>
        </w:rPr>
        <w:t xml:space="preserve"> for hepatocellular carcinoma. </w:t>
      </w:r>
      <w:r w:rsidRPr="00110E4B">
        <w:rPr>
          <w:rFonts w:ascii="Book Antiqua" w:hAnsi="Book Antiqua" w:cs="宋体"/>
          <w:i/>
          <w:iCs/>
          <w:sz w:val="24"/>
          <w:szCs w:val="24"/>
        </w:rPr>
        <w:t xml:space="preserve">Br J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2013; </w:t>
      </w:r>
      <w:r w:rsidRPr="00110E4B">
        <w:rPr>
          <w:rFonts w:ascii="Book Antiqua" w:hAnsi="Book Antiqua" w:cs="宋体"/>
          <w:b/>
          <w:bCs/>
          <w:sz w:val="24"/>
          <w:szCs w:val="24"/>
        </w:rPr>
        <w:t>100</w:t>
      </w:r>
      <w:r w:rsidRPr="00110E4B">
        <w:rPr>
          <w:rFonts w:ascii="Book Antiqua" w:hAnsi="Book Antiqua" w:cs="宋体"/>
          <w:sz w:val="24"/>
          <w:szCs w:val="24"/>
        </w:rPr>
        <w:t>: 1523-1530 [PMID: 24037576 DOI: 10.1002/bjs.9258]</w:t>
      </w:r>
    </w:p>
    <w:p w14:paraId="1F8E1007"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41 </w:t>
      </w:r>
      <w:r w:rsidRPr="00110E4B">
        <w:rPr>
          <w:rFonts w:ascii="Book Antiqua" w:hAnsi="Book Antiqua" w:cs="宋体"/>
          <w:b/>
          <w:bCs/>
          <w:sz w:val="24"/>
          <w:szCs w:val="24"/>
        </w:rPr>
        <w:t xml:space="preserve">van </w:t>
      </w:r>
      <w:proofErr w:type="spellStart"/>
      <w:r w:rsidRPr="00110E4B">
        <w:rPr>
          <w:rFonts w:ascii="Book Antiqua" w:hAnsi="Book Antiqua" w:cs="宋体"/>
          <w:b/>
          <w:bCs/>
          <w:sz w:val="24"/>
          <w:szCs w:val="24"/>
        </w:rPr>
        <w:t>Vledder</w:t>
      </w:r>
      <w:proofErr w:type="spellEnd"/>
      <w:r w:rsidRPr="00110E4B">
        <w:rPr>
          <w:rFonts w:ascii="Book Antiqua" w:hAnsi="Book Antiqua" w:cs="宋体"/>
          <w:b/>
          <w:bCs/>
          <w:sz w:val="24"/>
          <w:szCs w:val="24"/>
        </w:rPr>
        <w:t xml:space="preserve"> MG</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Levolger</w:t>
      </w:r>
      <w:proofErr w:type="spellEnd"/>
      <w:r w:rsidRPr="00110E4B">
        <w:rPr>
          <w:rFonts w:ascii="Book Antiqua" w:hAnsi="Book Antiqua" w:cs="宋体"/>
          <w:sz w:val="24"/>
          <w:szCs w:val="24"/>
        </w:rPr>
        <w:t xml:space="preserve"> S, </w:t>
      </w:r>
      <w:proofErr w:type="spellStart"/>
      <w:r w:rsidRPr="00110E4B">
        <w:rPr>
          <w:rFonts w:ascii="Book Antiqua" w:hAnsi="Book Antiqua" w:cs="宋体"/>
          <w:sz w:val="24"/>
          <w:szCs w:val="24"/>
        </w:rPr>
        <w:t>Ayez</w:t>
      </w:r>
      <w:proofErr w:type="spellEnd"/>
      <w:r w:rsidRPr="00110E4B">
        <w:rPr>
          <w:rFonts w:ascii="Book Antiqua" w:hAnsi="Book Antiqua" w:cs="宋体"/>
          <w:sz w:val="24"/>
          <w:szCs w:val="24"/>
        </w:rPr>
        <w:t xml:space="preserve"> N, </w:t>
      </w:r>
      <w:proofErr w:type="spellStart"/>
      <w:r w:rsidRPr="00110E4B">
        <w:rPr>
          <w:rFonts w:ascii="Book Antiqua" w:hAnsi="Book Antiqua" w:cs="宋体"/>
          <w:sz w:val="24"/>
          <w:szCs w:val="24"/>
        </w:rPr>
        <w:t>Verhoef</w:t>
      </w:r>
      <w:proofErr w:type="spellEnd"/>
      <w:r w:rsidRPr="00110E4B">
        <w:rPr>
          <w:rFonts w:ascii="Book Antiqua" w:hAnsi="Book Antiqua" w:cs="宋体"/>
          <w:sz w:val="24"/>
          <w:szCs w:val="24"/>
        </w:rPr>
        <w:t xml:space="preserve"> C, Tran TC, </w:t>
      </w:r>
      <w:proofErr w:type="spellStart"/>
      <w:r w:rsidRPr="00110E4B">
        <w:rPr>
          <w:rFonts w:ascii="Book Antiqua" w:hAnsi="Book Antiqua" w:cs="宋体"/>
          <w:sz w:val="24"/>
          <w:szCs w:val="24"/>
        </w:rPr>
        <w:t>Ijzermans</w:t>
      </w:r>
      <w:proofErr w:type="spellEnd"/>
      <w:r w:rsidRPr="00110E4B">
        <w:rPr>
          <w:rFonts w:ascii="Book Antiqua" w:hAnsi="Book Antiqua" w:cs="宋体"/>
          <w:sz w:val="24"/>
          <w:szCs w:val="24"/>
        </w:rPr>
        <w:t xml:space="preserve"> JN. </w:t>
      </w:r>
      <w:proofErr w:type="gramStart"/>
      <w:r w:rsidRPr="00110E4B">
        <w:rPr>
          <w:rFonts w:ascii="Book Antiqua" w:hAnsi="Book Antiqua" w:cs="宋体"/>
          <w:sz w:val="24"/>
          <w:szCs w:val="24"/>
        </w:rPr>
        <w:t>Body composition and outcome in patients undergoing resection of colorectal liver metastases.</w:t>
      </w:r>
      <w:proofErr w:type="gramEnd"/>
      <w:r w:rsidRPr="00110E4B">
        <w:rPr>
          <w:rFonts w:ascii="Book Antiqua" w:hAnsi="Book Antiqua" w:cs="宋体"/>
          <w:sz w:val="24"/>
          <w:szCs w:val="24"/>
        </w:rPr>
        <w:t> </w:t>
      </w:r>
      <w:r w:rsidRPr="00110E4B">
        <w:rPr>
          <w:rFonts w:ascii="Book Antiqua" w:hAnsi="Book Antiqua" w:cs="宋体"/>
          <w:i/>
          <w:iCs/>
          <w:sz w:val="24"/>
          <w:szCs w:val="24"/>
        </w:rPr>
        <w:t xml:space="preserve">Br J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2012; </w:t>
      </w:r>
      <w:r w:rsidRPr="00110E4B">
        <w:rPr>
          <w:rFonts w:ascii="Book Antiqua" w:hAnsi="Book Antiqua" w:cs="宋体"/>
          <w:b/>
          <w:bCs/>
          <w:sz w:val="24"/>
          <w:szCs w:val="24"/>
        </w:rPr>
        <w:t>99</w:t>
      </w:r>
      <w:r w:rsidRPr="00110E4B">
        <w:rPr>
          <w:rFonts w:ascii="Book Antiqua" w:hAnsi="Book Antiqua" w:cs="宋体"/>
          <w:sz w:val="24"/>
          <w:szCs w:val="24"/>
        </w:rPr>
        <w:t>: 550-557 [PMID: 22246799 DOI: 10.1002/bjs.7823]</w:t>
      </w:r>
    </w:p>
    <w:p w14:paraId="2809981D"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42 </w:t>
      </w:r>
      <w:r w:rsidRPr="00110E4B">
        <w:rPr>
          <w:rFonts w:ascii="Book Antiqua" w:hAnsi="Book Antiqua" w:cs="宋体"/>
          <w:b/>
          <w:bCs/>
          <w:sz w:val="24"/>
          <w:szCs w:val="24"/>
        </w:rPr>
        <w:t>Valero V</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Amini</w:t>
      </w:r>
      <w:proofErr w:type="spellEnd"/>
      <w:r w:rsidRPr="00110E4B">
        <w:rPr>
          <w:rFonts w:ascii="Book Antiqua" w:hAnsi="Book Antiqua" w:cs="宋体"/>
          <w:sz w:val="24"/>
          <w:szCs w:val="24"/>
        </w:rPr>
        <w:t xml:space="preserve"> N, </w:t>
      </w:r>
      <w:proofErr w:type="spellStart"/>
      <w:r w:rsidRPr="00110E4B">
        <w:rPr>
          <w:rFonts w:ascii="Book Antiqua" w:hAnsi="Book Antiqua" w:cs="宋体"/>
          <w:sz w:val="24"/>
          <w:szCs w:val="24"/>
        </w:rPr>
        <w:t>Spolverato</w:t>
      </w:r>
      <w:proofErr w:type="spellEnd"/>
      <w:r w:rsidRPr="00110E4B">
        <w:rPr>
          <w:rFonts w:ascii="Book Antiqua" w:hAnsi="Book Antiqua" w:cs="宋体"/>
          <w:sz w:val="24"/>
          <w:szCs w:val="24"/>
        </w:rPr>
        <w:t xml:space="preserve"> G, Weiss MJ, Hirose K, </w:t>
      </w:r>
      <w:proofErr w:type="spellStart"/>
      <w:r w:rsidRPr="00110E4B">
        <w:rPr>
          <w:rFonts w:ascii="Book Antiqua" w:hAnsi="Book Antiqua" w:cs="宋体"/>
          <w:sz w:val="24"/>
          <w:szCs w:val="24"/>
        </w:rPr>
        <w:t>Dagher</w:t>
      </w:r>
      <w:proofErr w:type="spellEnd"/>
      <w:r w:rsidRPr="00110E4B">
        <w:rPr>
          <w:rFonts w:ascii="Book Antiqua" w:hAnsi="Book Antiqua" w:cs="宋体"/>
          <w:sz w:val="24"/>
          <w:szCs w:val="24"/>
        </w:rPr>
        <w:t xml:space="preserve"> NN, Wolfgang CL, Cameron AA, Philosophe B, </w:t>
      </w:r>
      <w:proofErr w:type="spellStart"/>
      <w:r w:rsidRPr="00110E4B">
        <w:rPr>
          <w:rFonts w:ascii="Book Antiqua" w:hAnsi="Book Antiqua" w:cs="宋体"/>
          <w:sz w:val="24"/>
          <w:szCs w:val="24"/>
        </w:rPr>
        <w:t>Kamel</w:t>
      </w:r>
      <w:proofErr w:type="spellEnd"/>
      <w:r w:rsidRPr="00110E4B">
        <w:rPr>
          <w:rFonts w:ascii="Book Antiqua" w:hAnsi="Book Antiqua" w:cs="宋体"/>
          <w:sz w:val="24"/>
          <w:szCs w:val="24"/>
        </w:rPr>
        <w:t xml:space="preserve"> IR, </w:t>
      </w:r>
      <w:proofErr w:type="spellStart"/>
      <w:r w:rsidRPr="00110E4B">
        <w:rPr>
          <w:rFonts w:ascii="Book Antiqua" w:hAnsi="Book Antiqua" w:cs="宋体"/>
          <w:sz w:val="24"/>
          <w:szCs w:val="24"/>
        </w:rPr>
        <w:t>Pawlik</w:t>
      </w:r>
      <w:proofErr w:type="spellEnd"/>
      <w:r w:rsidRPr="00110E4B">
        <w:rPr>
          <w:rFonts w:ascii="Book Antiqua" w:hAnsi="Book Antiqua" w:cs="宋体"/>
          <w:sz w:val="24"/>
          <w:szCs w:val="24"/>
        </w:rPr>
        <w:t xml:space="preserve"> TM. Sarcopenia adversely impacts postoperative complications following resection or transplantation in patients with primary liver tumors.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Gastrointest</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2015; </w:t>
      </w:r>
      <w:r w:rsidRPr="00110E4B">
        <w:rPr>
          <w:rFonts w:ascii="Book Antiqua" w:hAnsi="Book Antiqua" w:cs="宋体"/>
          <w:b/>
          <w:bCs/>
          <w:sz w:val="24"/>
          <w:szCs w:val="24"/>
        </w:rPr>
        <w:t>19</w:t>
      </w:r>
      <w:r w:rsidRPr="00110E4B">
        <w:rPr>
          <w:rFonts w:ascii="Book Antiqua" w:hAnsi="Book Antiqua" w:cs="宋体"/>
          <w:sz w:val="24"/>
          <w:szCs w:val="24"/>
        </w:rPr>
        <w:t>: 272-281 [PMID: 25389056 DOI: 10.1007/s11605-014-2680-4]</w:t>
      </w:r>
    </w:p>
    <w:p w14:paraId="131D5386"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lastRenderedPageBreak/>
        <w:t>43 </w:t>
      </w:r>
      <w:proofErr w:type="spellStart"/>
      <w:r w:rsidRPr="00110E4B">
        <w:rPr>
          <w:rFonts w:ascii="Book Antiqua" w:hAnsi="Book Antiqua" w:cs="宋体"/>
          <w:b/>
          <w:bCs/>
          <w:sz w:val="24"/>
          <w:szCs w:val="24"/>
        </w:rPr>
        <w:t>Englesbe</w:t>
      </w:r>
      <w:proofErr w:type="spellEnd"/>
      <w:r w:rsidRPr="00110E4B">
        <w:rPr>
          <w:rFonts w:ascii="Book Antiqua" w:hAnsi="Book Antiqua" w:cs="宋体"/>
          <w:b/>
          <w:bCs/>
          <w:sz w:val="24"/>
          <w:szCs w:val="24"/>
        </w:rPr>
        <w:t xml:space="preserve"> MJ</w:t>
      </w:r>
      <w:r w:rsidRPr="00110E4B">
        <w:rPr>
          <w:rFonts w:ascii="Book Antiqua" w:hAnsi="Book Antiqua" w:cs="宋体"/>
          <w:sz w:val="24"/>
          <w:szCs w:val="24"/>
        </w:rPr>
        <w:t xml:space="preserve">, Patel SP, He K, Lynch RJ, </w:t>
      </w:r>
      <w:proofErr w:type="spellStart"/>
      <w:r w:rsidRPr="00110E4B">
        <w:rPr>
          <w:rFonts w:ascii="Book Antiqua" w:hAnsi="Book Antiqua" w:cs="宋体"/>
          <w:sz w:val="24"/>
          <w:szCs w:val="24"/>
        </w:rPr>
        <w:t>Schaubel</w:t>
      </w:r>
      <w:proofErr w:type="spellEnd"/>
      <w:r w:rsidRPr="00110E4B">
        <w:rPr>
          <w:rFonts w:ascii="Book Antiqua" w:hAnsi="Book Antiqua" w:cs="宋体"/>
          <w:sz w:val="24"/>
          <w:szCs w:val="24"/>
        </w:rPr>
        <w:t xml:space="preserve"> DE, Harbaugh C, Holcombe SA, Wang SC, </w:t>
      </w:r>
      <w:proofErr w:type="spellStart"/>
      <w:r w:rsidRPr="00110E4B">
        <w:rPr>
          <w:rFonts w:ascii="Book Antiqua" w:hAnsi="Book Antiqua" w:cs="宋体"/>
          <w:sz w:val="24"/>
          <w:szCs w:val="24"/>
        </w:rPr>
        <w:t>Segev</w:t>
      </w:r>
      <w:proofErr w:type="spellEnd"/>
      <w:r w:rsidRPr="00110E4B">
        <w:rPr>
          <w:rFonts w:ascii="Book Antiqua" w:hAnsi="Book Antiqua" w:cs="宋体"/>
          <w:sz w:val="24"/>
          <w:szCs w:val="24"/>
        </w:rPr>
        <w:t xml:space="preserve"> DL, </w:t>
      </w:r>
      <w:proofErr w:type="spellStart"/>
      <w:r w:rsidRPr="00110E4B">
        <w:rPr>
          <w:rFonts w:ascii="Book Antiqua" w:hAnsi="Book Antiqua" w:cs="宋体"/>
          <w:sz w:val="24"/>
          <w:szCs w:val="24"/>
        </w:rPr>
        <w:t>Sonnenday</w:t>
      </w:r>
      <w:proofErr w:type="spellEnd"/>
      <w:r w:rsidRPr="00110E4B">
        <w:rPr>
          <w:rFonts w:ascii="Book Antiqua" w:hAnsi="Book Antiqua" w:cs="宋体"/>
          <w:sz w:val="24"/>
          <w:szCs w:val="24"/>
        </w:rPr>
        <w:t xml:space="preserve"> CJ. </w:t>
      </w:r>
      <w:proofErr w:type="gramStart"/>
      <w:r w:rsidRPr="00110E4B">
        <w:rPr>
          <w:rFonts w:ascii="Book Antiqua" w:hAnsi="Book Antiqua" w:cs="宋体"/>
          <w:sz w:val="24"/>
          <w:szCs w:val="24"/>
        </w:rPr>
        <w:t>Sarcopenia and mortality after liver transplantation.</w:t>
      </w:r>
      <w:proofErr w:type="gramEnd"/>
      <w:r w:rsidRPr="00110E4B">
        <w:rPr>
          <w:rFonts w:ascii="Book Antiqua" w:hAnsi="Book Antiqua" w:cs="宋体"/>
          <w:sz w:val="24"/>
          <w:szCs w:val="24"/>
        </w:rPr>
        <w:t> </w:t>
      </w:r>
      <w:r w:rsidRPr="00110E4B">
        <w:rPr>
          <w:rFonts w:ascii="Book Antiqua" w:hAnsi="Book Antiqua" w:cs="宋体"/>
          <w:i/>
          <w:iCs/>
          <w:sz w:val="24"/>
          <w:szCs w:val="24"/>
        </w:rPr>
        <w:t xml:space="preserve">J Am </w:t>
      </w:r>
      <w:proofErr w:type="spellStart"/>
      <w:r w:rsidRPr="00110E4B">
        <w:rPr>
          <w:rFonts w:ascii="Book Antiqua" w:hAnsi="Book Antiqua" w:cs="宋体"/>
          <w:i/>
          <w:iCs/>
          <w:sz w:val="24"/>
          <w:szCs w:val="24"/>
        </w:rPr>
        <w:t>Coll</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2010; </w:t>
      </w:r>
      <w:r w:rsidRPr="00110E4B">
        <w:rPr>
          <w:rFonts w:ascii="Book Antiqua" w:hAnsi="Book Antiqua" w:cs="宋体"/>
          <w:b/>
          <w:bCs/>
          <w:sz w:val="24"/>
          <w:szCs w:val="24"/>
        </w:rPr>
        <w:t>211</w:t>
      </w:r>
      <w:r w:rsidRPr="00110E4B">
        <w:rPr>
          <w:rFonts w:ascii="Book Antiqua" w:hAnsi="Book Antiqua" w:cs="宋体"/>
          <w:sz w:val="24"/>
          <w:szCs w:val="24"/>
        </w:rPr>
        <w:t>: 271-278 [PMID: 20670867 DOI: 10.1016/j.jamcollsurg.2010.03.039]</w:t>
      </w:r>
    </w:p>
    <w:p w14:paraId="6719FDFD"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44 </w:t>
      </w:r>
      <w:r w:rsidRPr="00110E4B">
        <w:rPr>
          <w:rFonts w:ascii="Book Antiqua" w:hAnsi="Book Antiqua" w:cs="宋体"/>
          <w:b/>
          <w:bCs/>
          <w:sz w:val="24"/>
          <w:szCs w:val="24"/>
        </w:rPr>
        <w:t>Waits SA</w:t>
      </w:r>
      <w:r w:rsidRPr="00110E4B">
        <w:rPr>
          <w:rFonts w:ascii="Book Antiqua" w:hAnsi="Book Antiqua" w:cs="宋体"/>
          <w:sz w:val="24"/>
          <w:szCs w:val="24"/>
        </w:rPr>
        <w:t xml:space="preserve">, Kim EK, </w:t>
      </w:r>
      <w:proofErr w:type="spellStart"/>
      <w:r w:rsidRPr="00110E4B">
        <w:rPr>
          <w:rFonts w:ascii="Book Antiqua" w:hAnsi="Book Antiqua" w:cs="宋体"/>
          <w:sz w:val="24"/>
          <w:szCs w:val="24"/>
        </w:rPr>
        <w:t>Terjimanian</w:t>
      </w:r>
      <w:proofErr w:type="spellEnd"/>
      <w:r w:rsidRPr="00110E4B">
        <w:rPr>
          <w:rFonts w:ascii="Book Antiqua" w:hAnsi="Book Antiqua" w:cs="宋体"/>
          <w:sz w:val="24"/>
          <w:szCs w:val="24"/>
        </w:rPr>
        <w:t xml:space="preserve"> MN, </w:t>
      </w:r>
      <w:proofErr w:type="spellStart"/>
      <w:r w:rsidRPr="00110E4B">
        <w:rPr>
          <w:rFonts w:ascii="Book Antiqua" w:hAnsi="Book Antiqua" w:cs="宋体"/>
          <w:sz w:val="24"/>
          <w:szCs w:val="24"/>
        </w:rPr>
        <w:t>Tishberg</w:t>
      </w:r>
      <w:proofErr w:type="spellEnd"/>
      <w:r w:rsidRPr="00110E4B">
        <w:rPr>
          <w:rFonts w:ascii="Book Antiqua" w:hAnsi="Book Antiqua" w:cs="宋体"/>
          <w:sz w:val="24"/>
          <w:szCs w:val="24"/>
        </w:rPr>
        <w:t xml:space="preserve"> LM, Harbaugh CM, Sheetz KH, </w:t>
      </w:r>
      <w:proofErr w:type="spellStart"/>
      <w:r w:rsidRPr="00110E4B">
        <w:rPr>
          <w:rFonts w:ascii="Book Antiqua" w:hAnsi="Book Antiqua" w:cs="宋体"/>
          <w:sz w:val="24"/>
          <w:szCs w:val="24"/>
        </w:rPr>
        <w:t>Sonnenday</w:t>
      </w:r>
      <w:proofErr w:type="spellEnd"/>
      <w:r w:rsidRPr="00110E4B">
        <w:rPr>
          <w:rFonts w:ascii="Book Antiqua" w:hAnsi="Book Antiqua" w:cs="宋体"/>
          <w:sz w:val="24"/>
          <w:szCs w:val="24"/>
        </w:rPr>
        <w:t xml:space="preserve"> CJ, Sullivan J, Wang SC, </w:t>
      </w:r>
      <w:proofErr w:type="spellStart"/>
      <w:r w:rsidRPr="00110E4B">
        <w:rPr>
          <w:rFonts w:ascii="Book Antiqua" w:hAnsi="Book Antiqua" w:cs="宋体"/>
          <w:sz w:val="24"/>
          <w:szCs w:val="24"/>
        </w:rPr>
        <w:t>Englesbe</w:t>
      </w:r>
      <w:proofErr w:type="spellEnd"/>
      <w:r w:rsidRPr="00110E4B">
        <w:rPr>
          <w:rFonts w:ascii="Book Antiqua" w:hAnsi="Book Antiqua" w:cs="宋体"/>
          <w:sz w:val="24"/>
          <w:szCs w:val="24"/>
        </w:rPr>
        <w:t xml:space="preserve"> MJ. Morphometric age and mortality after liver transplant. </w:t>
      </w:r>
      <w:r w:rsidRPr="00110E4B">
        <w:rPr>
          <w:rFonts w:ascii="Book Antiqua" w:hAnsi="Book Antiqua" w:cs="宋体"/>
          <w:i/>
          <w:iCs/>
          <w:sz w:val="24"/>
          <w:szCs w:val="24"/>
        </w:rPr>
        <w:t xml:space="preserve">JAMA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2014; </w:t>
      </w:r>
      <w:r w:rsidRPr="00110E4B">
        <w:rPr>
          <w:rFonts w:ascii="Book Antiqua" w:hAnsi="Book Antiqua" w:cs="宋体"/>
          <w:b/>
          <w:bCs/>
          <w:sz w:val="24"/>
          <w:szCs w:val="24"/>
        </w:rPr>
        <w:t>149</w:t>
      </w:r>
      <w:r w:rsidRPr="00110E4B">
        <w:rPr>
          <w:rFonts w:ascii="Book Antiqua" w:hAnsi="Book Antiqua" w:cs="宋体"/>
          <w:sz w:val="24"/>
          <w:szCs w:val="24"/>
        </w:rPr>
        <w:t>: 335-340 [PMID: 24500820 DOI: 10.1001/jamasurg.2013.4823]</w:t>
      </w:r>
    </w:p>
    <w:p w14:paraId="6B31C998"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45 </w:t>
      </w:r>
      <w:r w:rsidRPr="00110E4B">
        <w:rPr>
          <w:rFonts w:ascii="Book Antiqua" w:hAnsi="Book Antiqua" w:cs="宋体"/>
          <w:b/>
          <w:bCs/>
          <w:sz w:val="24"/>
          <w:szCs w:val="24"/>
        </w:rPr>
        <w:t>Peng P</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Hyder</w:t>
      </w:r>
      <w:proofErr w:type="spellEnd"/>
      <w:r w:rsidRPr="00110E4B">
        <w:rPr>
          <w:rFonts w:ascii="Book Antiqua" w:hAnsi="Book Antiqua" w:cs="宋体"/>
          <w:sz w:val="24"/>
          <w:szCs w:val="24"/>
        </w:rPr>
        <w:t xml:space="preserve"> O, </w:t>
      </w:r>
      <w:proofErr w:type="spellStart"/>
      <w:r w:rsidRPr="00110E4B">
        <w:rPr>
          <w:rFonts w:ascii="Book Antiqua" w:hAnsi="Book Antiqua" w:cs="宋体"/>
          <w:sz w:val="24"/>
          <w:szCs w:val="24"/>
        </w:rPr>
        <w:t>Firoozmand</w:t>
      </w:r>
      <w:proofErr w:type="spellEnd"/>
      <w:r w:rsidRPr="00110E4B">
        <w:rPr>
          <w:rFonts w:ascii="Book Antiqua" w:hAnsi="Book Antiqua" w:cs="宋体"/>
          <w:sz w:val="24"/>
          <w:szCs w:val="24"/>
        </w:rPr>
        <w:t xml:space="preserve"> A, </w:t>
      </w:r>
      <w:proofErr w:type="spellStart"/>
      <w:r w:rsidRPr="00110E4B">
        <w:rPr>
          <w:rFonts w:ascii="Book Antiqua" w:hAnsi="Book Antiqua" w:cs="宋体"/>
          <w:sz w:val="24"/>
          <w:szCs w:val="24"/>
        </w:rPr>
        <w:t>Kneuertz</w:t>
      </w:r>
      <w:proofErr w:type="spellEnd"/>
      <w:r w:rsidRPr="00110E4B">
        <w:rPr>
          <w:rFonts w:ascii="Book Antiqua" w:hAnsi="Book Antiqua" w:cs="宋体"/>
          <w:sz w:val="24"/>
          <w:szCs w:val="24"/>
        </w:rPr>
        <w:t xml:space="preserve"> P, </w:t>
      </w:r>
      <w:proofErr w:type="spellStart"/>
      <w:r w:rsidRPr="00110E4B">
        <w:rPr>
          <w:rFonts w:ascii="Book Antiqua" w:hAnsi="Book Antiqua" w:cs="宋体"/>
          <w:sz w:val="24"/>
          <w:szCs w:val="24"/>
        </w:rPr>
        <w:t>Schulick</w:t>
      </w:r>
      <w:proofErr w:type="spellEnd"/>
      <w:r w:rsidRPr="00110E4B">
        <w:rPr>
          <w:rFonts w:ascii="Book Antiqua" w:hAnsi="Book Antiqua" w:cs="宋体"/>
          <w:sz w:val="24"/>
          <w:szCs w:val="24"/>
        </w:rPr>
        <w:t xml:space="preserve"> RD, Huang D, </w:t>
      </w:r>
      <w:proofErr w:type="spellStart"/>
      <w:r w:rsidRPr="00110E4B">
        <w:rPr>
          <w:rFonts w:ascii="Book Antiqua" w:hAnsi="Book Antiqua" w:cs="宋体"/>
          <w:sz w:val="24"/>
          <w:szCs w:val="24"/>
        </w:rPr>
        <w:t>Makary</w:t>
      </w:r>
      <w:proofErr w:type="spellEnd"/>
      <w:r w:rsidRPr="00110E4B">
        <w:rPr>
          <w:rFonts w:ascii="Book Antiqua" w:hAnsi="Book Antiqua" w:cs="宋体"/>
          <w:sz w:val="24"/>
          <w:szCs w:val="24"/>
        </w:rPr>
        <w:t xml:space="preserve"> M, Hirose K, </w:t>
      </w:r>
      <w:proofErr w:type="spellStart"/>
      <w:r w:rsidRPr="00110E4B">
        <w:rPr>
          <w:rFonts w:ascii="Book Antiqua" w:hAnsi="Book Antiqua" w:cs="宋体"/>
          <w:sz w:val="24"/>
          <w:szCs w:val="24"/>
        </w:rPr>
        <w:t>Edil</w:t>
      </w:r>
      <w:proofErr w:type="spellEnd"/>
      <w:r w:rsidRPr="00110E4B">
        <w:rPr>
          <w:rFonts w:ascii="Book Antiqua" w:hAnsi="Book Antiqua" w:cs="宋体"/>
          <w:sz w:val="24"/>
          <w:szCs w:val="24"/>
        </w:rPr>
        <w:t xml:space="preserve"> B, </w:t>
      </w:r>
      <w:proofErr w:type="spellStart"/>
      <w:r w:rsidRPr="00110E4B">
        <w:rPr>
          <w:rFonts w:ascii="Book Antiqua" w:hAnsi="Book Antiqua" w:cs="宋体"/>
          <w:sz w:val="24"/>
          <w:szCs w:val="24"/>
        </w:rPr>
        <w:t>Choti</w:t>
      </w:r>
      <w:proofErr w:type="spellEnd"/>
      <w:r w:rsidRPr="00110E4B">
        <w:rPr>
          <w:rFonts w:ascii="Book Antiqua" w:hAnsi="Book Antiqua" w:cs="宋体"/>
          <w:sz w:val="24"/>
          <w:szCs w:val="24"/>
        </w:rPr>
        <w:t xml:space="preserve"> MA, Herman J, Cameron JL, Wolfgang CL, </w:t>
      </w:r>
      <w:proofErr w:type="spellStart"/>
      <w:r w:rsidRPr="00110E4B">
        <w:rPr>
          <w:rFonts w:ascii="Book Antiqua" w:hAnsi="Book Antiqua" w:cs="宋体"/>
          <w:sz w:val="24"/>
          <w:szCs w:val="24"/>
        </w:rPr>
        <w:t>Pawlik</w:t>
      </w:r>
      <w:proofErr w:type="spellEnd"/>
      <w:r w:rsidRPr="00110E4B">
        <w:rPr>
          <w:rFonts w:ascii="Book Antiqua" w:hAnsi="Book Antiqua" w:cs="宋体"/>
          <w:sz w:val="24"/>
          <w:szCs w:val="24"/>
        </w:rPr>
        <w:t xml:space="preserve"> TM. </w:t>
      </w:r>
      <w:proofErr w:type="gramStart"/>
      <w:r w:rsidRPr="00110E4B">
        <w:rPr>
          <w:rFonts w:ascii="Book Antiqua" w:hAnsi="Book Antiqua" w:cs="宋体"/>
          <w:sz w:val="24"/>
          <w:szCs w:val="24"/>
        </w:rPr>
        <w:t>Impact of sarcopenia on outcomes following resection of pancreatic adenocarcinoma.</w:t>
      </w:r>
      <w:proofErr w:type="gramEnd"/>
      <w:r w:rsidRPr="00110E4B">
        <w:rPr>
          <w:rFonts w:ascii="Book Antiqua" w:hAnsi="Book Antiqua" w:cs="宋体"/>
          <w:sz w:val="24"/>
          <w:szCs w:val="24"/>
        </w:rPr>
        <w:t>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Gastrointest</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2012; </w:t>
      </w:r>
      <w:r w:rsidRPr="00110E4B">
        <w:rPr>
          <w:rFonts w:ascii="Book Antiqua" w:hAnsi="Book Antiqua" w:cs="宋体"/>
          <w:b/>
          <w:bCs/>
          <w:sz w:val="24"/>
          <w:szCs w:val="24"/>
        </w:rPr>
        <w:t>16</w:t>
      </w:r>
      <w:r w:rsidRPr="00110E4B">
        <w:rPr>
          <w:rFonts w:ascii="Book Antiqua" w:hAnsi="Book Antiqua" w:cs="宋体"/>
          <w:sz w:val="24"/>
          <w:szCs w:val="24"/>
        </w:rPr>
        <w:t>: 1478-1486 [PMID: 22692586 DOI: 10.1007/s11605-012-1923-5]</w:t>
      </w:r>
    </w:p>
    <w:p w14:paraId="700FC1A1" w14:textId="77777777" w:rsidR="00033802" w:rsidRDefault="00033802" w:rsidP="00CB2DFE">
      <w:pPr>
        <w:spacing w:after="0" w:line="360" w:lineRule="auto"/>
        <w:rPr>
          <w:rFonts w:ascii="Book Antiqua" w:hAnsi="Book Antiqua" w:cs="宋体"/>
          <w:sz w:val="24"/>
          <w:szCs w:val="24"/>
        </w:rPr>
      </w:pPr>
      <w:r>
        <w:rPr>
          <w:rFonts w:ascii="Book Antiqua" w:hAnsi="Book Antiqua" w:cs="宋体" w:hint="eastAsia"/>
          <w:sz w:val="24"/>
          <w:szCs w:val="24"/>
        </w:rPr>
        <w:t>46</w:t>
      </w:r>
      <w:r w:rsidRPr="00110E4B">
        <w:rPr>
          <w:rFonts w:ascii="Book Antiqua" w:hAnsi="Book Antiqua" w:cs="宋体" w:hint="eastAsia"/>
          <w:b/>
          <w:sz w:val="24"/>
          <w:szCs w:val="24"/>
        </w:rPr>
        <w:t xml:space="preserve"> </w:t>
      </w:r>
      <w:r w:rsidRPr="00110E4B">
        <w:rPr>
          <w:rFonts w:ascii="Book Antiqua" w:hAnsi="Book Antiqua" w:cs="宋体"/>
          <w:b/>
          <w:sz w:val="24"/>
          <w:szCs w:val="24"/>
        </w:rPr>
        <w:t>Peng PD,</w:t>
      </w:r>
      <w:r w:rsidRPr="00110E4B">
        <w:rPr>
          <w:rFonts w:ascii="Book Antiqua" w:hAnsi="Book Antiqua" w:cs="宋体"/>
          <w:sz w:val="24"/>
          <w:szCs w:val="24"/>
        </w:rPr>
        <w:t xml:space="preserve"> van </w:t>
      </w:r>
      <w:proofErr w:type="spellStart"/>
      <w:r w:rsidRPr="00110E4B">
        <w:rPr>
          <w:rFonts w:ascii="Book Antiqua" w:hAnsi="Book Antiqua" w:cs="宋体"/>
          <w:sz w:val="24"/>
          <w:szCs w:val="24"/>
        </w:rPr>
        <w:t>Vledder</w:t>
      </w:r>
      <w:proofErr w:type="spellEnd"/>
      <w:r w:rsidRPr="00110E4B">
        <w:rPr>
          <w:rFonts w:ascii="Book Antiqua" w:hAnsi="Book Antiqua" w:cs="宋体"/>
          <w:sz w:val="24"/>
          <w:szCs w:val="24"/>
        </w:rPr>
        <w:t xml:space="preserve"> MG, Tsai S, de Jong MC, </w:t>
      </w:r>
      <w:proofErr w:type="spellStart"/>
      <w:r w:rsidRPr="00110E4B">
        <w:rPr>
          <w:rFonts w:ascii="Book Antiqua" w:hAnsi="Book Antiqua" w:cs="宋体"/>
          <w:sz w:val="24"/>
          <w:szCs w:val="24"/>
        </w:rPr>
        <w:t>Makary</w:t>
      </w:r>
      <w:proofErr w:type="spellEnd"/>
      <w:r w:rsidRPr="00110E4B">
        <w:rPr>
          <w:rFonts w:ascii="Book Antiqua" w:hAnsi="Book Antiqua" w:cs="宋体"/>
          <w:sz w:val="24"/>
          <w:szCs w:val="24"/>
        </w:rPr>
        <w:t xml:space="preserve"> M, Ng J, </w:t>
      </w:r>
      <w:proofErr w:type="spellStart"/>
      <w:r w:rsidRPr="00110E4B">
        <w:rPr>
          <w:rFonts w:ascii="Book Antiqua" w:hAnsi="Book Antiqua" w:cs="宋体"/>
          <w:sz w:val="24"/>
          <w:szCs w:val="24"/>
        </w:rPr>
        <w:t>Edil</w:t>
      </w:r>
      <w:proofErr w:type="spellEnd"/>
      <w:r w:rsidRPr="00110E4B">
        <w:rPr>
          <w:rFonts w:ascii="Book Antiqua" w:hAnsi="Book Antiqua" w:cs="宋体"/>
          <w:sz w:val="24"/>
          <w:szCs w:val="24"/>
        </w:rPr>
        <w:t xml:space="preserve"> BH, Wolfgang CL, </w:t>
      </w:r>
      <w:proofErr w:type="spellStart"/>
      <w:r w:rsidRPr="00110E4B">
        <w:rPr>
          <w:rFonts w:ascii="Book Antiqua" w:hAnsi="Book Antiqua" w:cs="宋体"/>
          <w:sz w:val="24"/>
          <w:szCs w:val="24"/>
        </w:rPr>
        <w:t>Schulick</w:t>
      </w:r>
      <w:proofErr w:type="spellEnd"/>
      <w:r w:rsidRPr="00110E4B">
        <w:rPr>
          <w:rFonts w:ascii="Book Antiqua" w:hAnsi="Book Antiqua" w:cs="宋体"/>
          <w:sz w:val="24"/>
          <w:szCs w:val="24"/>
        </w:rPr>
        <w:t xml:space="preserve"> RD, </w:t>
      </w:r>
      <w:proofErr w:type="spellStart"/>
      <w:r w:rsidRPr="00110E4B">
        <w:rPr>
          <w:rFonts w:ascii="Book Antiqua" w:hAnsi="Book Antiqua" w:cs="宋体"/>
          <w:sz w:val="24"/>
          <w:szCs w:val="24"/>
        </w:rPr>
        <w:t>Choti</w:t>
      </w:r>
      <w:proofErr w:type="spellEnd"/>
      <w:r w:rsidRPr="00110E4B">
        <w:rPr>
          <w:rFonts w:ascii="Book Antiqua" w:hAnsi="Book Antiqua" w:cs="宋体"/>
          <w:sz w:val="24"/>
          <w:szCs w:val="24"/>
        </w:rPr>
        <w:t xml:space="preserve"> MA, </w:t>
      </w:r>
      <w:proofErr w:type="spellStart"/>
      <w:r w:rsidRPr="00110E4B">
        <w:rPr>
          <w:rFonts w:ascii="Book Antiqua" w:hAnsi="Book Antiqua" w:cs="宋体"/>
          <w:sz w:val="24"/>
          <w:szCs w:val="24"/>
        </w:rPr>
        <w:t>Kamel</w:t>
      </w:r>
      <w:proofErr w:type="spellEnd"/>
      <w:r w:rsidRPr="00110E4B">
        <w:rPr>
          <w:rFonts w:ascii="Book Antiqua" w:hAnsi="Book Antiqua" w:cs="宋体"/>
          <w:sz w:val="24"/>
          <w:szCs w:val="24"/>
        </w:rPr>
        <w:t xml:space="preserve"> I, </w:t>
      </w:r>
      <w:proofErr w:type="spellStart"/>
      <w:r w:rsidRPr="00110E4B">
        <w:rPr>
          <w:rFonts w:ascii="Book Antiqua" w:hAnsi="Book Antiqua" w:cs="宋体"/>
          <w:sz w:val="24"/>
          <w:szCs w:val="24"/>
        </w:rPr>
        <w:t>Pawlik</w:t>
      </w:r>
      <w:proofErr w:type="spellEnd"/>
      <w:r w:rsidRPr="00110E4B">
        <w:rPr>
          <w:rFonts w:ascii="Book Antiqua" w:hAnsi="Book Antiqua" w:cs="宋体"/>
          <w:sz w:val="24"/>
          <w:szCs w:val="24"/>
        </w:rPr>
        <w:t xml:space="preserve"> TM. Sarcopenia negatively impacts short-term outcomes in patients undergoing hepatic resection for colorectal liver metastasis. </w:t>
      </w:r>
      <w:r w:rsidRPr="00110E4B">
        <w:rPr>
          <w:rFonts w:ascii="Book Antiqua" w:hAnsi="Book Antiqua" w:cs="宋体"/>
          <w:i/>
          <w:sz w:val="24"/>
          <w:szCs w:val="24"/>
        </w:rPr>
        <w:t xml:space="preserve">HPB </w:t>
      </w:r>
      <w:r w:rsidRPr="00110E4B">
        <w:rPr>
          <w:rFonts w:ascii="Book Antiqua" w:hAnsi="Book Antiqua" w:cs="宋体"/>
          <w:sz w:val="24"/>
          <w:szCs w:val="24"/>
        </w:rPr>
        <w:t>(Oxford) 2015;</w:t>
      </w:r>
      <w:r>
        <w:rPr>
          <w:rFonts w:ascii="Book Antiqua" w:hAnsi="Book Antiqua" w:cs="宋体" w:hint="eastAsia"/>
          <w:sz w:val="24"/>
          <w:szCs w:val="24"/>
        </w:rPr>
        <w:t xml:space="preserve"> </w:t>
      </w:r>
      <w:r w:rsidRPr="00110E4B">
        <w:rPr>
          <w:rFonts w:ascii="Book Antiqua" w:hAnsi="Book Antiqua" w:cs="宋体"/>
          <w:b/>
          <w:sz w:val="24"/>
          <w:szCs w:val="24"/>
        </w:rPr>
        <w:t>13</w:t>
      </w:r>
      <w:r w:rsidRPr="00110E4B">
        <w:rPr>
          <w:rFonts w:ascii="Book Antiqua" w:hAnsi="Book Antiqua" w:cs="宋体"/>
          <w:sz w:val="24"/>
          <w:szCs w:val="24"/>
        </w:rPr>
        <w:t>:</w:t>
      </w:r>
      <w:r>
        <w:rPr>
          <w:rFonts w:ascii="Book Antiqua" w:hAnsi="Book Antiqua" w:cs="宋体" w:hint="eastAsia"/>
          <w:sz w:val="24"/>
          <w:szCs w:val="24"/>
        </w:rPr>
        <w:t xml:space="preserve"> </w:t>
      </w:r>
      <w:r w:rsidRPr="00110E4B">
        <w:rPr>
          <w:rFonts w:ascii="Book Antiqua" w:hAnsi="Book Antiqua" w:cs="宋体"/>
          <w:sz w:val="24"/>
          <w:szCs w:val="24"/>
        </w:rPr>
        <w:t xml:space="preserve">439–46 [PMID: 21689226 DOI: 10.1111/j.1477-2574.2011.00301.x] </w:t>
      </w:r>
    </w:p>
    <w:p w14:paraId="27842F9B"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47 </w:t>
      </w:r>
      <w:proofErr w:type="spellStart"/>
      <w:r w:rsidRPr="00110E4B">
        <w:rPr>
          <w:rFonts w:ascii="Book Antiqua" w:hAnsi="Book Antiqua" w:cs="宋体"/>
          <w:b/>
          <w:bCs/>
          <w:sz w:val="24"/>
          <w:szCs w:val="24"/>
        </w:rPr>
        <w:t>Amini</w:t>
      </w:r>
      <w:proofErr w:type="spellEnd"/>
      <w:r w:rsidRPr="00110E4B">
        <w:rPr>
          <w:rFonts w:ascii="Book Antiqua" w:hAnsi="Book Antiqua" w:cs="宋体"/>
          <w:b/>
          <w:bCs/>
          <w:sz w:val="24"/>
          <w:szCs w:val="24"/>
        </w:rPr>
        <w:t xml:space="preserve"> N</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Spolverato</w:t>
      </w:r>
      <w:proofErr w:type="spellEnd"/>
      <w:r w:rsidRPr="00110E4B">
        <w:rPr>
          <w:rFonts w:ascii="Book Antiqua" w:hAnsi="Book Antiqua" w:cs="宋体"/>
          <w:sz w:val="24"/>
          <w:szCs w:val="24"/>
        </w:rPr>
        <w:t xml:space="preserve"> G, Gupta R, </w:t>
      </w:r>
      <w:proofErr w:type="spellStart"/>
      <w:r w:rsidRPr="00110E4B">
        <w:rPr>
          <w:rFonts w:ascii="Book Antiqua" w:hAnsi="Book Antiqua" w:cs="宋体"/>
          <w:sz w:val="24"/>
          <w:szCs w:val="24"/>
        </w:rPr>
        <w:t>Margonis</w:t>
      </w:r>
      <w:proofErr w:type="spellEnd"/>
      <w:r w:rsidRPr="00110E4B">
        <w:rPr>
          <w:rFonts w:ascii="Book Antiqua" w:hAnsi="Book Antiqua" w:cs="宋体"/>
          <w:sz w:val="24"/>
          <w:szCs w:val="24"/>
        </w:rPr>
        <w:t xml:space="preserve"> GA, Kim Y, Wagner D, </w:t>
      </w:r>
      <w:proofErr w:type="spellStart"/>
      <w:r w:rsidRPr="00110E4B">
        <w:rPr>
          <w:rFonts w:ascii="Book Antiqua" w:hAnsi="Book Antiqua" w:cs="宋体"/>
          <w:sz w:val="24"/>
          <w:szCs w:val="24"/>
        </w:rPr>
        <w:t>Rezaee</w:t>
      </w:r>
      <w:proofErr w:type="spellEnd"/>
      <w:r w:rsidRPr="00110E4B">
        <w:rPr>
          <w:rFonts w:ascii="Book Antiqua" w:hAnsi="Book Antiqua" w:cs="宋体"/>
          <w:sz w:val="24"/>
          <w:szCs w:val="24"/>
        </w:rPr>
        <w:t xml:space="preserve"> N, Weiss MJ, Wolfgang CL, </w:t>
      </w:r>
      <w:proofErr w:type="spellStart"/>
      <w:r w:rsidRPr="00110E4B">
        <w:rPr>
          <w:rFonts w:ascii="Book Antiqua" w:hAnsi="Book Antiqua" w:cs="宋体"/>
          <w:sz w:val="24"/>
          <w:szCs w:val="24"/>
        </w:rPr>
        <w:t>Makary</w:t>
      </w:r>
      <w:proofErr w:type="spellEnd"/>
      <w:r w:rsidRPr="00110E4B">
        <w:rPr>
          <w:rFonts w:ascii="Book Antiqua" w:hAnsi="Book Antiqua" w:cs="宋体"/>
          <w:sz w:val="24"/>
          <w:szCs w:val="24"/>
        </w:rPr>
        <w:t xml:space="preserve"> MM, </w:t>
      </w:r>
      <w:proofErr w:type="spellStart"/>
      <w:r w:rsidRPr="00110E4B">
        <w:rPr>
          <w:rFonts w:ascii="Book Antiqua" w:hAnsi="Book Antiqua" w:cs="宋体"/>
          <w:sz w:val="24"/>
          <w:szCs w:val="24"/>
        </w:rPr>
        <w:t>Kamel</w:t>
      </w:r>
      <w:proofErr w:type="spellEnd"/>
      <w:r w:rsidRPr="00110E4B">
        <w:rPr>
          <w:rFonts w:ascii="Book Antiqua" w:hAnsi="Book Antiqua" w:cs="宋体"/>
          <w:sz w:val="24"/>
          <w:szCs w:val="24"/>
        </w:rPr>
        <w:t xml:space="preserve"> IR, </w:t>
      </w:r>
      <w:proofErr w:type="spellStart"/>
      <w:r w:rsidRPr="00110E4B">
        <w:rPr>
          <w:rFonts w:ascii="Book Antiqua" w:hAnsi="Book Antiqua" w:cs="宋体"/>
          <w:sz w:val="24"/>
          <w:szCs w:val="24"/>
        </w:rPr>
        <w:t>Pawlik</w:t>
      </w:r>
      <w:proofErr w:type="spellEnd"/>
      <w:r w:rsidRPr="00110E4B">
        <w:rPr>
          <w:rFonts w:ascii="Book Antiqua" w:hAnsi="Book Antiqua" w:cs="宋体"/>
          <w:sz w:val="24"/>
          <w:szCs w:val="24"/>
        </w:rPr>
        <w:t xml:space="preserve"> TM. Impact Total Psoas Volume on Short- and Long-Term Outcomes in Patients Undergoing Curative Resection for Pancreatic Adenocarcinoma: a New Tool to Assess Sarcopenia.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Gastrointest</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2015; </w:t>
      </w:r>
      <w:r w:rsidRPr="00110E4B">
        <w:rPr>
          <w:rFonts w:ascii="Book Antiqua" w:hAnsi="Book Antiqua" w:cs="宋体"/>
          <w:b/>
          <w:bCs/>
          <w:sz w:val="24"/>
          <w:szCs w:val="24"/>
        </w:rPr>
        <w:t>19</w:t>
      </w:r>
      <w:r w:rsidRPr="00110E4B">
        <w:rPr>
          <w:rFonts w:ascii="Book Antiqua" w:hAnsi="Book Antiqua" w:cs="宋体"/>
          <w:sz w:val="24"/>
          <w:szCs w:val="24"/>
        </w:rPr>
        <w:t>: 1593-1602 [PMID: 25925237 DOI: 10.1007/s11605-015-2835-y]</w:t>
      </w:r>
    </w:p>
    <w:p w14:paraId="1523195D"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48 </w:t>
      </w:r>
      <w:proofErr w:type="spellStart"/>
      <w:r w:rsidRPr="00110E4B">
        <w:rPr>
          <w:rFonts w:ascii="Book Antiqua" w:hAnsi="Book Antiqua" w:cs="宋体"/>
          <w:b/>
          <w:bCs/>
          <w:sz w:val="24"/>
          <w:szCs w:val="24"/>
        </w:rPr>
        <w:t>Joglekar</w:t>
      </w:r>
      <w:proofErr w:type="spellEnd"/>
      <w:r w:rsidRPr="00110E4B">
        <w:rPr>
          <w:rFonts w:ascii="Book Antiqua" w:hAnsi="Book Antiqua" w:cs="宋体"/>
          <w:b/>
          <w:bCs/>
          <w:sz w:val="24"/>
          <w:szCs w:val="24"/>
        </w:rPr>
        <w:t xml:space="preserve"> S</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Asghar</w:t>
      </w:r>
      <w:proofErr w:type="spellEnd"/>
      <w:r w:rsidRPr="00110E4B">
        <w:rPr>
          <w:rFonts w:ascii="Book Antiqua" w:hAnsi="Book Antiqua" w:cs="宋体"/>
          <w:sz w:val="24"/>
          <w:szCs w:val="24"/>
        </w:rPr>
        <w:t xml:space="preserve"> A, Mott SL, Johnson BE, Button AM, Clark E, </w:t>
      </w:r>
      <w:proofErr w:type="spellStart"/>
      <w:r w:rsidRPr="00110E4B">
        <w:rPr>
          <w:rFonts w:ascii="Book Antiqua" w:hAnsi="Book Antiqua" w:cs="宋体"/>
          <w:sz w:val="24"/>
          <w:szCs w:val="24"/>
        </w:rPr>
        <w:t>Mezhir</w:t>
      </w:r>
      <w:proofErr w:type="spellEnd"/>
      <w:r w:rsidRPr="00110E4B">
        <w:rPr>
          <w:rFonts w:ascii="Book Antiqua" w:hAnsi="Book Antiqua" w:cs="宋体"/>
          <w:sz w:val="24"/>
          <w:szCs w:val="24"/>
        </w:rPr>
        <w:t xml:space="preserve"> JJ. Sarcopenia is an independent predictor of complications following pancreatectomy for adenocarcinoma.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Surg</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Oncol</w:t>
      </w:r>
      <w:proofErr w:type="spellEnd"/>
      <w:r w:rsidRPr="00110E4B">
        <w:rPr>
          <w:rFonts w:ascii="Book Antiqua" w:hAnsi="Book Antiqua" w:cs="宋体"/>
          <w:sz w:val="24"/>
          <w:szCs w:val="24"/>
        </w:rPr>
        <w:t> 2015; </w:t>
      </w:r>
      <w:r w:rsidRPr="00110E4B">
        <w:rPr>
          <w:rFonts w:ascii="Book Antiqua" w:hAnsi="Book Antiqua" w:cs="宋体"/>
          <w:b/>
          <w:bCs/>
          <w:sz w:val="24"/>
          <w:szCs w:val="24"/>
        </w:rPr>
        <w:t>111</w:t>
      </w:r>
      <w:r w:rsidRPr="00110E4B">
        <w:rPr>
          <w:rFonts w:ascii="Book Antiqua" w:hAnsi="Book Antiqua" w:cs="宋体"/>
          <w:sz w:val="24"/>
          <w:szCs w:val="24"/>
        </w:rPr>
        <w:t>: 771-775 [PMID: 25556324 DOI: 10.1002/jso.23862]</w:t>
      </w:r>
    </w:p>
    <w:p w14:paraId="7E90C645" w14:textId="77777777" w:rsidR="00033802" w:rsidRPr="00110E4B" w:rsidRDefault="00033802" w:rsidP="00CB2DFE">
      <w:pPr>
        <w:spacing w:after="0" w:line="360" w:lineRule="auto"/>
        <w:jc w:val="both"/>
        <w:rPr>
          <w:rFonts w:ascii="Book Antiqua" w:hAnsi="Book Antiqua" w:cs="宋体"/>
          <w:sz w:val="24"/>
          <w:szCs w:val="24"/>
        </w:rPr>
      </w:pPr>
      <w:proofErr w:type="gramStart"/>
      <w:r w:rsidRPr="00110E4B">
        <w:rPr>
          <w:rFonts w:ascii="Book Antiqua" w:hAnsi="Book Antiqua" w:cs="宋体"/>
          <w:sz w:val="24"/>
          <w:szCs w:val="24"/>
        </w:rPr>
        <w:t>49 </w:t>
      </w:r>
      <w:proofErr w:type="spellStart"/>
      <w:r w:rsidRPr="00110E4B">
        <w:rPr>
          <w:rFonts w:ascii="Book Antiqua" w:hAnsi="Book Antiqua" w:cs="宋体"/>
          <w:b/>
          <w:bCs/>
          <w:sz w:val="24"/>
          <w:szCs w:val="24"/>
        </w:rPr>
        <w:t>Tegels</w:t>
      </w:r>
      <w:proofErr w:type="spellEnd"/>
      <w:r w:rsidRPr="00110E4B">
        <w:rPr>
          <w:rFonts w:ascii="Book Antiqua" w:hAnsi="Book Antiqua" w:cs="宋体"/>
          <w:b/>
          <w:bCs/>
          <w:sz w:val="24"/>
          <w:szCs w:val="24"/>
        </w:rPr>
        <w:t xml:space="preserve"> JJ</w:t>
      </w:r>
      <w:r w:rsidRPr="00110E4B">
        <w:rPr>
          <w:rFonts w:ascii="Book Antiqua" w:hAnsi="Book Antiqua" w:cs="宋体"/>
          <w:sz w:val="24"/>
          <w:szCs w:val="24"/>
        </w:rPr>
        <w:t xml:space="preserve">, De Maat MF, </w:t>
      </w:r>
      <w:proofErr w:type="spellStart"/>
      <w:r w:rsidRPr="00110E4B">
        <w:rPr>
          <w:rFonts w:ascii="Book Antiqua" w:hAnsi="Book Antiqua" w:cs="宋体"/>
          <w:sz w:val="24"/>
          <w:szCs w:val="24"/>
        </w:rPr>
        <w:t>Hulsewé</w:t>
      </w:r>
      <w:proofErr w:type="spellEnd"/>
      <w:r w:rsidRPr="00110E4B">
        <w:rPr>
          <w:rFonts w:ascii="Book Antiqua" w:hAnsi="Book Antiqua" w:cs="宋体"/>
          <w:sz w:val="24"/>
          <w:szCs w:val="24"/>
        </w:rPr>
        <w:t xml:space="preserve"> KW, </w:t>
      </w:r>
      <w:proofErr w:type="spellStart"/>
      <w:r w:rsidRPr="00110E4B">
        <w:rPr>
          <w:rFonts w:ascii="Book Antiqua" w:hAnsi="Book Antiqua" w:cs="宋体"/>
          <w:sz w:val="24"/>
          <w:szCs w:val="24"/>
        </w:rPr>
        <w:t>Hoofwijk</w:t>
      </w:r>
      <w:proofErr w:type="spellEnd"/>
      <w:r w:rsidRPr="00110E4B">
        <w:rPr>
          <w:rFonts w:ascii="Book Antiqua" w:hAnsi="Book Antiqua" w:cs="宋体"/>
          <w:sz w:val="24"/>
          <w:szCs w:val="24"/>
        </w:rPr>
        <w:t xml:space="preserve"> AG, </w:t>
      </w:r>
      <w:proofErr w:type="spellStart"/>
      <w:r w:rsidRPr="00110E4B">
        <w:rPr>
          <w:rFonts w:ascii="Book Antiqua" w:hAnsi="Book Antiqua" w:cs="宋体"/>
          <w:sz w:val="24"/>
          <w:szCs w:val="24"/>
        </w:rPr>
        <w:t>Stoot</w:t>
      </w:r>
      <w:proofErr w:type="spellEnd"/>
      <w:r w:rsidRPr="00110E4B">
        <w:rPr>
          <w:rFonts w:ascii="Book Antiqua" w:hAnsi="Book Antiqua" w:cs="宋体"/>
          <w:sz w:val="24"/>
          <w:szCs w:val="24"/>
        </w:rPr>
        <w:t xml:space="preserve"> JH.</w:t>
      </w:r>
      <w:proofErr w:type="gramEnd"/>
      <w:r w:rsidRPr="00110E4B">
        <w:rPr>
          <w:rFonts w:ascii="Book Antiqua" w:hAnsi="Book Antiqua" w:cs="宋体"/>
          <w:sz w:val="24"/>
          <w:szCs w:val="24"/>
        </w:rPr>
        <w:t xml:space="preserve"> Improving the outcomes in gastric cancer surgery. </w:t>
      </w:r>
      <w:r w:rsidRPr="00110E4B">
        <w:rPr>
          <w:rFonts w:ascii="Book Antiqua" w:hAnsi="Book Antiqua" w:cs="宋体"/>
          <w:i/>
          <w:iCs/>
          <w:sz w:val="24"/>
          <w:szCs w:val="24"/>
        </w:rPr>
        <w:t xml:space="preserve">World J </w:t>
      </w:r>
      <w:proofErr w:type="spellStart"/>
      <w:r w:rsidRPr="00110E4B">
        <w:rPr>
          <w:rFonts w:ascii="Book Antiqua" w:hAnsi="Book Antiqua" w:cs="宋体"/>
          <w:i/>
          <w:iCs/>
          <w:sz w:val="24"/>
          <w:szCs w:val="24"/>
        </w:rPr>
        <w:t>Gastroenterol</w:t>
      </w:r>
      <w:proofErr w:type="spellEnd"/>
      <w:r w:rsidRPr="00110E4B">
        <w:rPr>
          <w:rFonts w:ascii="Book Antiqua" w:hAnsi="Book Antiqua" w:cs="宋体"/>
          <w:sz w:val="24"/>
          <w:szCs w:val="24"/>
        </w:rPr>
        <w:t> 2014; </w:t>
      </w:r>
      <w:r w:rsidRPr="00110E4B">
        <w:rPr>
          <w:rFonts w:ascii="Book Antiqua" w:hAnsi="Book Antiqua" w:cs="宋体"/>
          <w:b/>
          <w:bCs/>
          <w:sz w:val="24"/>
          <w:szCs w:val="24"/>
        </w:rPr>
        <w:t>20</w:t>
      </w:r>
      <w:r w:rsidRPr="00110E4B">
        <w:rPr>
          <w:rFonts w:ascii="Book Antiqua" w:hAnsi="Book Antiqua" w:cs="宋体"/>
          <w:sz w:val="24"/>
          <w:szCs w:val="24"/>
        </w:rPr>
        <w:t>: 13692-13704 [PMID: 25320507 DOI: 10.3748/wjg.v20.i38.13692]</w:t>
      </w:r>
    </w:p>
    <w:p w14:paraId="13133BD5"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50 </w:t>
      </w:r>
      <w:r w:rsidRPr="00110E4B">
        <w:rPr>
          <w:rFonts w:ascii="Book Antiqua" w:hAnsi="Book Antiqua" w:cs="宋体"/>
          <w:b/>
          <w:bCs/>
          <w:sz w:val="24"/>
          <w:szCs w:val="24"/>
        </w:rPr>
        <w:t>Reisinger KW</w:t>
      </w:r>
      <w:r w:rsidRPr="00110E4B">
        <w:rPr>
          <w:rFonts w:ascii="Book Antiqua" w:hAnsi="Book Antiqua" w:cs="宋体"/>
          <w:sz w:val="24"/>
          <w:szCs w:val="24"/>
        </w:rPr>
        <w:t xml:space="preserve">, van </w:t>
      </w:r>
      <w:proofErr w:type="spellStart"/>
      <w:r w:rsidRPr="00110E4B">
        <w:rPr>
          <w:rFonts w:ascii="Book Antiqua" w:hAnsi="Book Antiqua" w:cs="宋体"/>
          <w:sz w:val="24"/>
          <w:szCs w:val="24"/>
        </w:rPr>
        <w:t>Vugt</w:t>
      </w:r>
      <w:proofErr w:type="spellEnd"/>
      <w:r w:rsidRPr="00110E4B">
        <w:rPr>
          <w:rFonts w:ascii="Book Antiqua" w:hAnsi="Book Antiqua" w:cs="宋体"/>
          <w:sz w:val="24"/>
          <w:szCs w:val="24"/>
        </w:rPr>
        <w:t xml:space="preserve"> JL, </w:t>
      </w:r>
      <w:proofErr w:type="spellStart"/>
      <w:r w:rsidRPr="00110E4B">
        <w:rPr>
          <w:rFonts w:ascii="Book Antiqua" w:hAnsi="Book Antiqua" w:cs="宋体"/>
          <w:sz w:val="24"/>
          <w:szCs w:val="24"/>
        </w:rPr>
        <w:t>Tegels</w:t>
      </w:r>
      <w:proofErr w:type="spellEnd"/>
      <w:r w:rsidRPr="00110E4B">
        <w:rPr>
          <w:rFonts w:ascii="Book Antiqua" w:hAnsi="Book Antiqua" w:cs="宋体"/>
          <w:sz w:val="24"/>
          <w:szCs w:val="24"/>
        </w:rPr>
        <w:t xml:space="preserve"> JJ, </w:t>
      </w:r>
      <w:proofErr w:type="spellStart"/>
      <w:r w:rsidRPr="00110E4B">
        <w:rPr>
          <w:rFonts w:ascii="Book Antiqua" w:hAnsi="Book Antiqua" w:cs="宋体"/>
          <w:sz w:val="24"/>
          <w:szCs w:val="24"/>
        </w:rPr>
        <w:t>Snijders</w:t>
      </w:r>
      <w:proofErr w:type="spellEnd"/>
      <w:r w:rsidRPr="00110E4B">
        <w:rPr>
          <w:rFonts w:ascii="Book Antiqua" w:hAnsi="Book Antiqua" w:cs="宋体"/>
          <w:sz w:val="24"/>
          <w:szCs w:val="24"/>
        </w:rPr>
        <w:t xml:space="preserve"> C, </w:t>
      </w:r>
      <w:proofErr w:type="spellStart"/>
      <w:r w:rsidRPr="00110E4B">
        <w:rPr>
          <w:rFonts w:ascii="Book Antiqua" w:hAnsi="Book Antiqua" w:cs="宋体"/>
          <w:sz w:val="24"/>
          <w:szCs w:val="24"/>
        </w:rPr>
        <w:t>Hulsewé</w:t>
      </w:r>
      <w:proofErr w:type="spellEnd"/>
      <w:r w:rsidRPr="00110E4B">
        <w:rPr>
          <w:rFonts w:ascii="Book Antiqua" w:hAnsi="Book Antiqua" w:cs="宋体"/>
          <w:sz w:val="24"/>
          <w:szCs w:val="24"/>
        </w:rPr>
        <w:t xml:space="preserve"> KW, </w:t>
      </w:r>
      <w:proofErr w:type="spellStart"/>
      <w:r w:rsidRPr="00110E4B">
        <w:rPr>
          <w:rFonts w:ascii="Book Antiqua" w:hAnsi="Book Antiqua" w:cs="宋体"/>
          <w:sz w:val="24"/>
          <w:szCs w:val="24"/>
        </w:rPr>
        <w:t>Hoofwijk</w:t>
      </w:r>
      <w:proofErr w:type="spellEnd"/>
      <w:r w:rsidRPr="00110E4B">
        <w:rPr>
          <w:rFonts w:ascii="Book Antiqua" w:hAnsi="Book Antiqua" w:cs="宋体"/>
          <w:sz w:val="24"/>
          <w:szCs w:val="24"/>
        </w:rPr>
        <w:t xml:space="preserve"> AG, </w:t>
      </w:r>
      <w:proofErr w:type="spellStart"/>
      <w:r w:rsidRPr="00110E4B">
        <w:rPr>
          <w:rFonts w:ascii="Book Antiqua" w:hAnsi="Book Antiqua" w:cs="宋体"/>
          <w:sz w:val="24"/>
          <w:szCs w:val="24"/>
        </w:rPr>
        <w:t>Stoot</w:t>
      </w:r>
      <w:proofErr w:type="spellEnd"/>
      <w:r w:rsidRPr="00110E4B">
        <w:rPr>
          <w:rFonts w:ascii="Book Antiqua" w:hAnsi="Book Antiqua" w:cs="宋体"/>
          <w:sz w:val="24"/>
          <w:szCs w:val="24"/>
        </w:rPr>
        <w:t xml:space="preserve"> JH, Von </w:t>
      </w:r>
      <w:proofErr w:type="spellStart"/>
      <w:r w:rsidRPr="00110E4B">
        <w:rPr>
          <w:rFonts w:ascii="Book Antiqua" w:hAnsi="Book Antiqua" w:cs="宋体"/>
          <w:sz w:val="24"/>
          <w:szCs w:val="24"/>
        </w:rPr>
        <w:t>Meyenfeldt</w:t>
      </w:r>
      <w:proofErr w:type="spellEnd"/>
      <w:r w:rsidRPr="00110E4B">
        <w:rPr>
          <w:rFonts w:ascii="Book Antiqua" w:hAnsi="Book Antiqua" w:cs="宋体"/>
          <w:sz w:val="24"/>
          <w:szCs w:val="24"/>
        </w:rPr>
        <w:t xml:space="preserve"> MF, Beets GL, </w:t>
      </w:r>
      <w:proofErr w:type="spellStart"/>
      <w:r w:rsidRPr="00110E4B">
        <w:rPr>
          <w:rFonts w:ascii="Book Antiqua" w:hAnsi="Book Antiqua" w:cs="宋体"/>
          <w:sz w:val="24"/>
          <w:szCs w:val="24"/>
        </w:rPr>
        <w:t>Derikx</w:t>
      </w:r>
      <w:proofErr w:type="spellEnd"/>
      <w:r w:rsidRPr="00110E4B">
        <w:rPr>
          <w:rFonts w:ascii="Book Antiqua" w:hAnsi="Book Antiqua" w:cs="宋体"/>
          <w:sz w:val="24"/>
          <w:szCs w:val="24"/>
        </w:rPr>
        <w:t xml:space="preserve"> JP, </w:t>
      </w:r>
      <w:proofErr w:type="spellStart"/>
      <w:r w:rsidRPr="00110E4B">
        <w:rPr>
          <w:rFonts w:ascii="Book Antiqua" w:hAnsi="Book Antiqua" w:cs="宋体"/>
          <w:sz w:val="24"/>
          <w:szCs w:val="24"/>
        </w:rPr>
        <w:t>Poeze</w:t>
      </w:r>
      <w:proofErr w:type="spellEnd"/>
      <w:r w:rsidRPr="00110E4B">
        <w:rPr>
          <w:rFonts w:ascii="Book Antiqua" w:hAnsi="Book Antiqua" w:cs="宋体"/>
          <w:sz w:val="24"/>
          <w:szCs w:val="24"/>
        </w:rPr>
        <w:t xml:space="preserve"> M. Functional compromise </w:t>
      </w:r>
      <w:r w:rsidRPr="00110E4B">
        <w:rPr>
          <w:rFonts w:ascii="Book Antiqua" w:hAnsi="Book Antiqua" w:cs="宋体"/>
          <w:sz w:val="24"/>
          <w:szCs w:val="24"/>
        </w:rPr>
        <w:lastRenderedPageBreak/>
        <w:t>reflected by sarcopenia, frailty, and nutritional depletion predicts adverse postoperative outcome after colorectal cancer surgery. </w:t>
      </w:r>
      <w:r w:rsidRPr="00110E4B">
        <w:rPr>
          <w:rFonts w:ascii="Book Antiqua" w:hAnsi="Book Antiqua" w:cs="宋体"/>
          <w:i/>
          <w:iCs/>
          <w:sz w:val="24"/>
          <w:szCs w:val="24"/>
        </w:rPr>
        <w:t xml:space="preserve">Ann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2015; </w:t>
      </w:r>
      <w:r w:rsidRPr="00110E4B">
        <w:rPr>
          <w:rFonts w:ascii="Book Antiqua" w:hAnsi="Book Antiqua" w:cs="宋体"/>
          <w:b/>
          <w:bCs/>
          <w:sz w:val="24"/>
          <w:szCs w:val="24"/>
        </w:rPr>
        <w:t>261</w:t>
      </w:r>
      <w:r w:rsidRPr="00110E4B">
        <w:rPr>
          <w:rFonts w:ascii="Book Antiqua" w:hAnsi="Book Antiqua" w:cs="宋体"/>
          <w:sz w:val="24"/>
          <w:szCs w:val="24"/>
        </w:rPr>
        <w:t>: 345-352 [PMID: 24651133 DOI: 10.1097/SLA.0000000000000628]</w:t>
      </w:r>
    </w:p>
    <w:p w14:paraId="63EB0A1B" w14:textId="77777777" w:rsidR="00033802" w:rsidRPr="00110E4B" w:rsidRDefault="00033802" w:rsidP="00CB2DFE">
      <w:pPr>
        <w:spacing w:after="0" w:line="360" w:lineRule="auto"/>
        <w:jc w:val="both"/>
        <w:rPr>
          <w:rFonts w:ascii="Book Antiqua" w:hAnsi="Book Antiqua" w:cs="宋体"/>
          <w:sz w:val="24"/>
          <w:szCs w:val="24"/>
        </w:rPr>
      </w:pPr>
      <w:bookmarkStart w:id="69" w:name="OLE_LINK613"/>
      <w:bookmarkStart w:id="70" w:name="OLE_LINK614"/>
      <w:proofErr w:type="gramStart"/>
      <w:r w:rsidRPr="00110E4B">
        <w:rPr>
          <w:rFonts w:ascii="Book Antiqua" w:hAnsi="Book Antiqua" w:cs="宋体"/>
          <w:sz w:val="24"/>
          <w:szCs w:val="24"/>
        </w:rPr>
        <w:t>51 </w:t>
      </w:r>
      <w:proofErr w:type="spellStart"/>
      <w:r w:rsidRPr="00110E4B">
        <w:rPr>
          <w:rFonts w:ascii="Book Antiqua" w:hAnsi="Book Antiqua" w:cs="宋体"/>
          <w:b/>
          <w:bCs/>
          <w:sz w:val="24"/>
          <w:szCs w:val="24"/>
        </w:rPr>
        <w:t>Xue</w:t>
      </w:r>
      <w:proofErr w:type="spellEnd"/>
      <w:r w:rsidRPr="00110E4B">
        <w:rPr>
          <w:rFonts w:ascii="Book Antiqua" w:hAnsi="Book Antiqua" w:cs="宋体"/>
          <w:b/>
          <w:bCs/>
          <w:sz w:val="24"/>
          <w:szCs w:val="24"/>
        </w:rPr>
        <w:t xml:space="preserve"> QL</w:t>
      </w:r>
      <w:r w:rsidRPr="00110E4B">
        <w:rPr>
          <w:rFonts w:ascii="Book Antiqua" w:hAnsi="Book Antiqua" w:cs="宋体"/>
          <w:sz w:val="24"/>
          <w:szCs w:val="24"/>
        </w:rPr>
        <w:t>.</w:t>
      </w:r>
      <w:proofErr w:type="gramEnd"/>
      <w:r w:rsidRPr="00110E4B">
        <w:rPr>
          <w:rFonts w:ascii="Book Antiqua" w:hAnsi="Book Antiqua" w:cs="宋体"/>
          <w:sz w:val="24"/>
          <w:szCs w:val="24"/>
        </w:rPr>
        <w:t xml:space="preserve"> The frailty syndrome: definition and natural history. </w:t>
      </w:r>
      <w:proofErr w:type="spellStart"/>
      <w:r w:rsidRPr="00110E4B">
        <w:rPr>
          <w:rFonts w:ascii="Book Antiqua" w:hAnsi="Book Antiqua" w:cs="宋体"/>
          <w:i/>
          <w:iCs/>
          <w:sz w:val="24"/>
          <w:szCs w:val="24"/>
        </w:rPr>
        <w:t>Clin</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Geriatr</w:t>
      </w:r>
      <w:proofErr w:type="spellEnd"/>
      <w:r w:rsidRPr="00110E4B">
        <w:rPr>
          <w:rFonts w:ascii="Book Antiqua" w:hAnsi="Book Antiqua" w:cs="宋体"/>
          <w:i/>
          <w:iCs/>
          <w:sz w:val="24"/>
          <w:szCs w:val="24"/>
        </w:rPr>
        <w:t xml:space="preserve"> Med</w:t>
      </w:r>
      <w:r w:rsidRPr="00110E4B">
        <w:rPr>
          <w:rFonts w:ascii="Book Antiqua" w:hAnsi="Book Antiqua" w:cs="宋体"/>
          <w:sz w:val="24"/>
          <w:szCs w:val="24"/>
        </w:rPr>
        <w:t> 2011; </w:t>
      </w:r>
      <w:r w:rsidRPr="00110E4B">
        <w:rPr>
          <w:rFonts w:ascii="Book Antiqua" w:hAnsi="Book Antiqua" w:cs="宋体"/>
          <w:b/>
          <w:bCs/>
          <w:sz w:val="24"/>
          <w:szCs w:val="24"/>
        </w:rPr>
        <w:t>27</w:t>
      </w:r>
      <w:r w:rsidRPr="00110E4B">
        <w:rPr>
          <w:rFonts w:ascii="Book Antiqua" w:hAnsi="Book Antiqua" w:cs="宋体"/>
          <w:sz w:val="24"/>
          <w:szCs w:val="24"/>
        </w:rPr>
        <w:t>: 1-15 [PMID: 21093718 DOI: 10.1016/j.cger.2010.08.009]</w:t>
      </w:r>
    </w:p>
    <w:p w14:paraId="4AEFA2B2"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52 </w:t>
      </w:r>
      <w:r w:rsidRPr="00110E4B">
        <w:rPr>
          <w:rFonts w:ascii="Book Antiqua" w:hAnsi="Book Antiqua" w:cs="宋体"/>
          <w:b/>
          <w:bCs/>
          <w:sz w:val="24"/>
          <w:szCs w:val="24"/>
        </w:rPr>
        <w:t>Feng MA</w:t>
      </w:r>
      <w:r w:rsidRPr="00110E4B">
        <w:rPr>
          <w:rFonts w:ascii="Book Antiqua" w:hAnsi="Book Antiqua" w:cs="宋体"/>
          <w:sz w:val="24"/>
          <w:szCs w:val="24"/>
        </w:rPr>
        <w:t>, McMillan DT, Crowell K, Muss H, Nielsen ME, Smith AB. Geriatric assessment in surgical oncology: a systematic review.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Surg</w:t>
      </w:r>
      <w:proofErr w:type="spellEnd"/>
      <w:r w:rsidRPr="00110E4B">
        <w:rPr>
          <w:rFonts w:ascii="Book Antiqua" w:hAnsi="Book Antiqua" w:cs="宋体"/>
          <w:i/>
          <w:iCs/>
          <w:sz w:val="24"/>
          <w:szCs w:val="24"/>
        </w:rPr>
        <w:t xml:space="preserve"> Res</w:t>
      </w:r>
      <w:r w:rsidRPr="00110E4B">
        <w:rPr>
          <w:rFonts w:ascii="Book Antiqua" w:hAnsi="Book Antiqua" w:cs="宋体"/>
          <w:sz w:val="24"/>
          <w:szCs w:val="24"/>
        </w:rPr>
        <w:t> 2015; </w:t>
      </w:r>
      <w:r w:rsidRPr="00110E4B">
        <w:rPr>
          <w:rFonts w:ascii="Book Antiqua" w:hAnsi="Book Antiqua" w:cs="宋体"/>
          <w:b/>
          <w:bCs/>
          <w:sz w:val="24"/>
          <w:szCs w:val="24"/>
        </w:rPr>
        <w:t>193</w:t>
      </w:r>
      <w:r w:rsidRPr="00110E4B">
        <w:rPr>
          <w:rFonts w:ascii="Book Antiqua" w:hAnsi="Book Antiqua" w:cs="宋体"/>
          <w:sz w:val="24"/>
          <w:szCs w:val="24"/>
        </w:rPr>
        <w:t>: 265-272 [PMID: 25091339 DOI: 10.1016/j.jss.2014.07.004]</w:t>
      </w:r>
    </w:p>
    <w:p w14:paraId="66416E4A"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53 </w:t>
      </w:r>
      <w:proofErr w:type="spellStart"/>
      <w:r w:rsidRPr="00110E4B">
        <w:rPr>
          <w:rFonts w:ascii="Book Antiqua" w:hAnsi="Book Antiqua" w:cs="宋体"/>
          <w:b/>
          <w:bCs/>
          <w:sz w:val="24"/>
          <w:szCs w:val="24"/>
        </w:rPr>
        <w:t>Amrock</w:t>
      </w:r>
      <w:proofErr w:type="spellEnd"/>
      <w:r w:rsidRPr="00110E4B">
        <w:rPr>
          <w:rFonts w:ascii="Book Antiqua" w:hAnsi="Book Antiqua" w:cs="宋体"/>
          <w:b/>
          <w:bCs/>
          <w:sz w:val="24"/>
          <w:szCs w:val="24"/>
        </w:rPr>
        <w:t xml:space="preserve"> LG</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Neuman</w:t>
      </w:r>
      <w:proofErr w:type="spellEnd"/>
      <w:r w:rsidRPr="00110E4B">
        <w:rPr>
          <w:rFonts w:ascii="Book Antiqua" w:hAnsi="Book Antiqua" w:cs="宋体"/>
          <w:sz w:val="24"/>
          <w:szCs w:val="24"/>
        </w:rPr>
        <w:t xml:space="preserve"> MD, Lin HM, </w:t>
      </w:r>
      <w:proofErr w:type="spellStart"/>
      <w:r w:rsidRPr="00110E4B">
        <w:rPr>
          <w:rFonts w:ascii="Book Antiqua" w:hAnsi="Book Antiqua" w:cs="宋体"/>
          <w:sz w:val="24"/>
          <w:szCs w:val="24"/>
        </w:rPr>
        <w:t>Deiner</w:t>
      </w:r>
      <w:proofErr w:type="spellEnd"/>
      <w:r w:rsidRPr="00110E4B">
        <w:rPr>
          <w:rFonts w:ascii="Book Antiqua" w:hAnsi="Book Antiqua" w:cs="宋体"/>
          <w:sz w:val="24"/>
          <w:szCs w:val="24"/>
        </w:rPr>
        <w:t xml:space="preserve"> S. Can routine preoperative data predict adverse outcomes in the elderly? Development and validation of a simple risk model incorporating a chart-derived frailty score. </w:t>
      </w:r>
      <w:r w:rsidRPr="00110E4B">
        <w:rPr>
          <w:rFonts w:ascii="Book Antiqua" w:hAnsi="Book Antiqua" w:cs="宋体"/>
          <w:i/>
          <w:iCs/>
          <w:sz w:val="24"/>
          <w:szCs w:val="24"/>
        </w:rPr>
        <w:t xml:space="preserve">J Am </w:t>
      </w:r>
      <w:proofErr w:type="spellStart"/>
      <w:r w:rsidRPr="00110E4B">
        <w:rPr>
          <w:rFonts w:ascii="Book Antiqua" w:hAnsi="Book Antiqua" w:cs="宋体"/>
          <w:i/>
          <w:iCs/>
          <w:sz w:val="24"/>
          <w:szCs w:val="24"/>
        </w:rPr>
        <w:t>Coll</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2014; </w:t>
      </w:r>
      <w:r w:rsidRPr="00110E4B">
        <w:rPr>
          <w:rFonts w:ascii="Book Antiqua" w:hAnsi="Book Antiqua" w:cs="宋体"/>
          <w:b/>
          <w:bCs/>
          <w:sz w:val="24"/>
          <w:szCs w:val="24"/>
        </w:rPr>
        <w:t>219</w:t>
      </w:r>
      <w:r w:rsidRPr="00110E4B">
        <w:rPr>
          <w:rFonts w:ascii="Book Antiqua" w:hAnsi="Book Antiqua" w:cs="宋体"/>
          <w:sz w:val="24"/>
          <w:szCs w:val="24"/>
        </w:rPr>
        <w:t>: 684-694 [PMID: 25154667 DOI: 10.1016/j.jamcollsurg.2014.04.018]</w:t>
      </w:r>
    </w:p>
    <w:p w14:paraId="7730EEBC"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54 </w:t>
      </w:r>
      <w:r w:rsidRPr="00110E4B">
        <w:rPr>
          <w:rFonts w:ascii="Book Antiqua" w:hAnsi="Book Antiqua" w:cs="宋体"/>
          <w:b/>
          <w:bCs/>
          <w:sz w:val="24"/>
          <w:szCs w:val="24"/>
        </w:rPr>
        <w:t>Kim SW</w:t>
      </w:r>
      <w:r w:rsidRPr="00110E4B">
        <w:rPr>
          <w:rFonts w:ascii="Book Antiqua" w:hAnsi="Book Antiqua" w:cs="宋体"/>
          <w:sz w:val="24"/>
          <w:szCs w:val="24"/>
        </w:rPr>
        <w:t>, Han HS, Jung HW, Kim KI, Hwang DW, Kang SB, Kim CH. Multidimensional frailty score for the prediction of postoperative mortality risk. </w:t>
      </w:r>
      <w:r w:rsidRPr="00110E4B">
        <w:rPr>
          <w:rFonts w:ascii="Book Antiqua" w:hAnsi="Book Antiqua" w:cs="宋体"/>
          <w:i/>
          <w:iCs/>
          <w:sz w:val="24"/>
          <w:szCs w:val="24"/>
        </w:rPr>
        <w:t xml:space="preserve">JAMA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2014; </w:t>
      </w:r>
      <w:r w:rsidRPr="00110E4B">
        <w:rPr>
          <w:rFonts w:ascii="Book Antiqua" w:hAnsi="Book Antiqua" w:cs="宋体"/>
          <w:b/>
          <w:bCs/>
          <w:sz w:val="24"/>
          <w:szCs w:val="24"/>
        </w:rPr>
        <w:t>149</w:t>
      </w:r>
      <w:r w:rsidRPr="00110E4B">
        <w:rPr>
          <w:rFonts w:ascii="Book Antiqua" w:hAnsi="Book Antiqua" w:cs="宋体"/>
          <w:sz w:val="24"/>
          <w:szCs w:val="24"/>
        </w:rPr>
        <w:t>: 633-640 [PMID: 24804971 DOI: 10.1001/jamasurg.2014.241]</w:t>
      </w:r>
    </w:p>
    <w:p w14:paraId="2B43AB0B"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55 </w:t>
      </w:r>
      <w:r w:rsidRPr="00110E4B">
        <w:rPr>
          <w:rFonts w:ascii="Book Antiqua" w:hAnsi="Book Antiqua" w:cs="宋体"/>
          <w:b/>
          <w:bCs/>
          <w:sz w:val="24"/>
          <w:szCs w:val="24"/>
        </w:rPr>
        <w:t>Cohen RR</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Lagoo-Deenadayalan</w:t>
      </w:r>
      <w:proofErr w:type="spellEnd"/>
      <w:r w:rsidRPr="00110E4B">
        <w:rPr>
          <w:rFonts w:ascii="Book Antiqua" w:hAnsi="Book Antiqua" w:cs="宋体"/>
          <w:sz w:val="24"/>
          <w:szCs w:val="24"/>
        </w:rPr>
        <w:t xml:space="preserve"> SA, Heflin MT, Sloane R, </w:t>
      </w:r>
      <w:proofErr w:type="spellStart"/>
      <w:r w:rsidRPr="00110E4B">
        <w:rPr>
          <w:rFonts w:ascii="Book Antiqua" w:hAnsi="Book Antiqua" w:cs="宋体"/>
          <w:sz w:val="24"/>
          <w:szCs w:val="24"/>
        </w:rPr>
        <w:t>Eisen</w:t>
      </w:r>
      <w:proofErr w:type="spellEnd"/>
      <w:r w:rsidRPr="00110E4B">
        <w:rPr>
          <w:rFonts w:ascii="Book Antiqua" w:hAnsi="Book Antiqua" w:cs="宋体"/>
          <w:sz w:val="24"/>
          <w:szCs w:val="24"/>
        </w:rPr>
        <w:t xml:space="preserve"> I, Thacker JM, Whitson HE. Exploring predictors of complication in older surgical patients: a deficit accumulation index and the Braden Scale. </w:t>
      </w:r>
      <w:r w:rsidRPr="00110E4B">
        <w:rPr>
          <w:rFonts w:ascii="Book Antiqua" w:hAnsi="Book Antiqua" w:cs="宋体"/>
          <w:i/>
          <w:iCs/>
          <w:sz w:val="24"/>
          <w:szCs w:val="24"/>
        </w:rPr>
        <w:t xml:space="preserve">J Am </w:t>
      </w:r>
      <w:proofErr w:type="spellStart"/>
      <w:r w:rsidRPr="00110E4B">
        <w:rPr>
          <w:rFonts w:ascii="Book Antiqua" w:hAnsi="Book Antiqua" w:cs="宋体"/>
          <w:i/>
          <w:iCs/>
          <w:sz w:val="24"/>
          <w:szCs w:val="24"/>
        </w:rPr>
        <w:t>Geriatr</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Soc</w:t>
      </w:r>
      <w:proofErr w:type="spellEnd"/>
      <w:r w:rsidRPr="00110E4B">
        <w:rPr>
          <w:rFonts w:ascii="Book Antiqua" w:hAnsi="Book Antiqua" w:cs="宋体"/>
          <w:sz w:val="24"/>
          <w:szCs w:val="24"/>
        </w:rPr>
        <w:t> 2012; </w:t>
      </w:r>
      <w:r w:rsidRPr="00110E4B">
        <w:rPr>
          <w:rFonts w:ascii="Book Antiqua" w:hAnsi="Book Antiqua" w:cs="宋体"/>
          <w:b/>
          <w:bCs/>
          <w:sz w:val="24"/>
          <w:szCs w:val="24"/>
        </w:rPr>
        <w:t>60</w:t>
      </w:r>
      <w:r w:rsidRPr="00110E4B">
        <w:rPr>
          <w:rFonts w:ascii="Book Antiqua" w:hAnsi="Book Antiqua" w:cs="宋体"/>
          <w:sz w:val="24"/>
          <w:szCs w:val="24"/>
        </w:rPr>
        <w:t>: 1609-1615 [PMID: 22906222 DOI: 10.1111/j.1532-5415.2012.04109.x]</w:t>
      </w:r>
    </w:p>
    <w:p w14:paraId="5E058B81"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56 </w:t>
      </w:r>
      <w:r w:rsidRPr="00110E4B">
        <w:rPr>
          <w:rFonts w:ascii="Book Antiqua" w:hAnsi="Book Antiqua" w:cs="宋体"/>
          <w:b/>
          <w:bCs/>
          <w:sz w:val="24"/>
          <w:szCs w:val="24"/>
        </w:rPr>
        <w:t>Delmonico MJ</w:t>
      </w:r>
      <w:r w:rsidRPr="00110E4B">
        <w:rPr>
          <w:rFonts w:ascii="Book Antiqua" w:hAnsi="Book Antiqua" w:cs="宋体"/>
          <w:sz w:val="24"/>
          <w:szCs w:val="24"/>
        </w:rPr>
        <w:t xml:space="preserve">, Harris TB, Lee JS, </w:t>
      </w:r>
      <w:proofErr w:type="spellStart"/>
      <w:r w:rsidRPr="00110E4B">
        <w:rPr>
          <w:rFonts w:ascii="Book Antiqua" w:hAnsi="Book Antiqua" w:cs="宋体"/>
          <w:sz w:val="24"/>
          <w:szCs w:val="24"/>
        </w:rPr>
        <w:t>Visser</w:t>
      </w:r>
      <w:proofErr w:type="spellEnd"/>
      <w:r w:rsidRPr="00110E4B">
        <w:rPr>
          <w:rFonts w:ascii="Book Antiqua" w:hAnsi="Book Antiqua" w:cs="宋体"/>
          <w:sz w:val="24"/>
          <w:szCs w:val="24"/>
        </w:rPr>
        <w:t xml:space="preserve"> M, </w:t>
      </w:r>
      <w:proofErr w:type="spellStart"/>
      <w:r w:rsidRPr="00110E4B">
        <w:rPr>
          <w:rFonts w:ascii="Book Antiqua" w:hAnsi="Book Antiqua" w:cs="宋体"/>
          <w:sz w:val="24"/>
          <w:szCs w:val="24"/>
        </w:rPr>
        <w:t>Nevitt</w:t>
      </w:r>
      <w:proofErr w:type="spellEnd"/>
      <w:r w:rsidRPr="00110E4B">
        <w:rPr>
          <w:rFonts w:ascii="Book Antiqua" w:hAnsi="Book Antiqua" w:cs="宋体"/>
          <w:sz w:val="24"/>
          <w:szCs w:val="24"/>
        </w:rPr>
        <w:t xml:space="preserve"> M, </w:t>
      </w:r>
      <w:proofErr w:type="spellStart"/>
      <w:r w:rsidRPr="00110E4B">
        <w:rPr>
          <w:rFonts w:ascii="Book Antiqua" w:hAnsi="Book Antiqua" w:cs="宋体"/>
          <w:sz w:val="24"/>
          <w:szCs w:val="24"/>
        </w:rPr>
        <w:t>Kritchevsky</w:t>
      </w:r>
      <w:proofErr w:type="spellEnd"/>
      <w:r w:rsidRPr="00110E4B">
        <w:rPr>
          <w:rFonts w:ascii="Book Antiqua" w:hAnsi="Book Antiqua" w:cs="宋体"/>
          <w:sz w:val="24"/>
          <w:szCs w:val="24"/>
        </w:rPr>
        <w:t xml:space="preserve"> SB, </w:t>
      </w:r>
      <w:proofErr w:type="spellStart"/>
      <w:r w:rsidRPr="00110E4B">
        <w:rPr>
          <w:rFonts w:ascii="Book Antiqua" w:hAnsi="Book Antiqua" w:cs="宋体"/>
          <w:sz w:val="24"/>
          <w:szCs w:val="24"/>
        </w:rPr>
        <w:t>Tylavsky</w:t>
      </w:r>
      <w:proofErr w:type="spellEnd"/>
      <w:r w:rsidRPr="00110E4B">
        <w:rPr>
          <w:rFonts w:ascii="Book Antiqua" w:hAnsi="Book Antiqua" w:cs="宋体"/>
          <w:sz w:val="24"/>
          <w:szCs w:val="24"/>
        </w:rPr>
        <w:t xml:space="preserve"> FA, Newman AB. Alternative definitions of sarcopenia, lower extremity performance, and functional impairment with aging in older men and women. </w:t>
      </w:r>
      <w:r w:rsidRPr="00110E4B">
        <w:rPr>
          <w:rFonts w:ascii="Book Antiqua" w:hAnsi="Book Antiqua" w:cs="宋体"/>
          <w:i/>
          <w:iCs/>
          <w:sz w:val="24"/>
          <w:szCs w:val="24"/>
        </w:rPr>
        <w:t xml:space="preserve">J Am </w:t>
      </w:r>
      <w:proofErr w:type="spellStart"/>
      <w:r w:rsidRPr="00110E4B">
        <w:rPr>
          <w:rFonts w:ascii="Book Antiqua" w:hAnsi="Book Antiqua" w:cs="宋体"/>
          <w:i/>
          <w:iCs/>
          <w:sz w:val="24"/>
          <w:szCs w:val="24"/>
        </w:rPr>
        <w:t>Geriatr</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Soc</w:t>
      </w:r>
      <w:proofErr w:type="spellEnd"/>
      <w:r w:rsidRPr="00110E4B">
        <w:rPr>
          <w:rFonts w:ascii="Book Antiqua" w:hAnsi="Book Antiqua" w:cs="宋体"/>
          <w:sz w:val="24"/>
          <w:szCs w:val="24"/>
        </w:rPr>
        <w:t> 2007; </w:t>
      </w:r>
      <w:r w:rsidRPr="00110E4B">
        <w:rPr>
          <w:rFonts w:ascii="Book Antiqua" w:hAnsi="Book Antiqua" w:cs="宋体"/>
          <w:b/>
          <w:bCs/>
          <w:sz w:val="24"/>
          <w:szCs w:val="24"/>
        </w:rPr>
        <w:t>55</w:t>
      </w:r>
      <w:r w:rsidRPr="00110E4B">
        <w:rPr>
          <w:rFonts w:ascii="Book Antiqua" w:hAnsi="Book Antiqua" w:cs="宋体"/>
          <w:sz w:val="24"/>
          <w:szCs w:val="24"/>
        </w:rPr>
        <w:t>: 769-774 [PMID: 17493199 DOI: 10.1111/j.1532-5415.2007.01140.x]</w:t>
      </w:r>
    </w:p>
    <w:p w14:paraId="15C5AAC8"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57 </w:t>
      </w:r>
      <w:r w:rsidRPr="00110E4B">
        <w:rPr>
          <w:rFonts w:ascii="Book Antiqua" w:hAnsi="Book Antiqua" w:cs="宋体"/>
          <w:b/>
          <w:bCs/>
          <w:sz w:val="24"/>
          <w:szCs w:val="24"/>
        </w:rPr>
        <w:t>Cruz-</w:t>
      </w:r>
      <w:proofErr w:type="spellStart"/>
      <w:r w:rsidRPr="00110E4B">
        <w:rPr>
          <w:rFonts w:ascii="Book Antiqua" w:hAnsi="Book Antiqua" w:cs="宋体"/>
          <w:b/>
          <w:bCs/>
          <w:sz w:val="24"/>
          <w:szCs w:val="24"/>
        </w:rPr>
        <w:t>Jentoft</w:t>
      </w:r>
      <w:proofErr w:type="spellEnd"/>
      <w:r w:rsidRPr="00110E4B">
        <w:rPr>
          <w:rFonts w:ascii="Book Antiqua" w:hAnsi="Book Antiqua" w:cs="宋体"/>
          <w:b/>
          <w:bCs/>
          <w:sz w:val="24"/>
          <w:szCs w:val="24"/>
        </w:rPr>
        <w:t xml:space="preserve"> AJ</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Baeyens</w:t>
      </w:r>
      <w:proofErr w:type="spellEnd"/>
      <w:r w:rsidRPr="00110E4B">
        <w:rPr>
          <w:rFonts w:ascii="Book Antiqua" w:hAnsi="Book Antiqua" w:cs="宋体"/>
          <w:sz w:val="24"/>
          <w:szCs w:val="24"/>
        </w:rPr>
        <w:t xml:space="preserve"> JP, Bauer JM, </w:t>
      </w:r>
      <w:proofErr w:type="spellStart"/>
      <w:r w:rsidRPr="00110E4B">
        <w:rPr>
          <w:rFonts w:ascii="Book Antiqua" w:hAnsi="Book Antiqua" w:cs="宋体"/>
          <w:sz w:val="24"/>
          <w:szCs w:val="24"/>
        </w:rPr>
        <w:t>Boirie</w:t>
      </w:r>
      <w:proofErr w:type="spellEnd"/>
      <w:r w:rsidRPr="00110E4B">
        <w:rPr>
          <w:rFonts w:ascii="Book Antiqua" w:hAnsi="Book Antiqua" w:cs="宋体"/>
          <w:sz w:val="24"/>
          <w:szCs w:val="24"/>
        </w:rPr>
        <w:t xml:space="preserve"> Y, </w:t>
      </w:r>
      <w:proofErr w:type="spellStart"/>
      <w:r w:rsidRPr="00110E4B">
        <w:rPr>
          <w:rFonts w:ascii="Book Antiqua" w:hAnsi="Book Antiqua" w:cs="宋体"/>
          <w:sz w:val="24"/>
          <w:szCs w:val="24"/>
        </w:rPr>
        <w:t>Cederholm</w:t>
      </w:r>
      <w:proofErr w:type="spellEnd"/>
      <w:r w:rsidRPr="00110E4B">
        <w:rPr>
          <w:rFonts w:ascii="Book Antiqua" w:hAnsi="Book Antiqua" w:cs="宋体"/>
          <w:sz w:val="24"/>
          <w:szCs w:val="24"/>
        </w:rPr>
        <w:t xml:space="preserve"> T, </w:t>
      </w:r>
      <w:proofErr w:type="spellStart"/>
      <w:r w:rsidRPr="00110E4B">
        <w:rPr>
          <w:rFonts w:ascii="Book Antiqua" w:hAnsi="Book Antiqua" w:cs="宋体"/>
          <w:sz w:val="24"/>
          <w:szCs w:val="24"/>
        </w:rPr>
        <w:t>Landi</w:t>
      </w:r>
      <w:proofErr w:type="spellEnd"/>
      <w:r w:rsidRPr="00110E4B">
        <w:rPr>
          <w:rFonts w:ascii="Book Antiqua" w:hAnsi="Book Antiqua" w:cs="宋体"/>
          <w:sz w:val="24"/>
          <w:szCs w:val="24"/>
        </w:rPr>
        <w:t xml:space="preserve"> F, Martin FC, Michel JP, Rolland Y, Schneider SM, </w:t>
      </w:r>
      <w:proofErr w:type="spellStart"/>
      <w:r w:rsidRPr="00110E4B">
        <w:rPr>
          <w:rFonts w:ascii="Book Antiqua" w:hAnsi="Book Antiqua" w:cs="宋体"/>
          <w:sz w:val="24"/>
          <w:szCs w:val="24"/>
        </w:rPr>
        <w:t>Topinková</w:t>
      </w:r>
      <w:proofErr w:type="spellEnd"/>
      <w:r w:rsidRPr="00110E4B">
        <w:rPr>
          <w:rFonts w:ascii="Book Antiqua" w:hAnsi="Book Antiqua" w:cs="宋体"/>
          <w:sz w:val="24"/>
          <w:szCs w:val="24"/>
        </w:rPr>
        <w:t xml:space="preserve"> E, </w:t>
      </w:r>
      <w:proofErr w:type="spellStart"/>
      <w:r w:rsidRPr="00110E4B">
        <w:rPr>
          <w:rFonts w:ascii="Book Antiqua" w:hAnsi="Book Antiqua" w:cs="宋体"/>
          <w:sz w:val="24"/>
          <w:szCs w:val="24"/>
        </w:rPr>
        <w:t>Vandewoude</w:t>
      </w:r>
      <w:proofErr w:type="spellEnd"/>
      <w:r w:rsidRPr="00110E4B">
        <w:rPr>
          <w:rFonts w:ascii="Book Antiqua" w:hAnsi="Book Antiqua" w:cs="宋体"/>
          <w:sz w:val="24"/>
          <w:szCs w:val="24"/>
        </w:rPr>
        <w:t xml:space="preserve"> M, Zamboni M. Sarcopenia: European consensus on definition and diagnosis: Report of the European Working Group on Sarcopenia in Older People. </w:t>
      </w:r>
      <w:r w:rsidRPr="00110E4B">
        <w:rPr>
          <w:rFonts w:ascii="Book Antiqua" w:hAnsi="Book Antiqua" w:cs="宋体"/>
          <w:i/>
          <w:iCs/>
          <w:sz w:val="24"/>
          <w:szCs w:val="24"/>
        </w:rPr>
        <w:t>Age Ageing</w:t>
      </w:r>
      <w:r w:rsidRPr="00110E4B">
        <w:rPr>
          <w:rFonts w:ascii="Book Antiqua" w:hAnsi="Book Antiqua" w:cs="宋体"/>
          <w:sz w:val="24"/>
          <w:szCs w:val="24"/>
        </w:rPr>
        <w:t> 2010; </w:t>
      </w:r>
      <w:r w:rsidRPr="00110E4B">
        <w:rPr>
          <w:rFonts w:ascii="Book Antiqua" w:hAnsi="Book Antiqua" w:cs="宋体"/>
          <w:b/>
          <w:bCs/>
          <w:sz w:val="24"/>
          <w:szCs w:val="24"/>
        </w:rPr>
        <w:t>39</w:t>
      </w:r>
      <w:r w:rsidRPr="00110E4B">
        <w:rPr>
          <w:rFonts w:ascii="Book Antiqua" w:hAnsi="Book Antiqua" w:cs="宋体"/>
          <w:sz w:val="24"/>
          <w:szCs w:val="24"/>
        </w:rPr>
        <w:t>: 412-423 [PMID: 20392703 DOI: 10.1093/ageing/afq034]</w:t>
      </w:r>
    </w:p>
    <w:p w14:paraId="5B35891B" w14:textId="77777777" w:rsidR="00033802" w:rsidRPr="00110E4B" w:rsidRDefault="00033802" w:rsidP="00CB2DFE">
      <w:pPr>
        <w:spacing w:after="0" w:line="360" w:lineRule="auto"/>
        <w:jc w:val="both"/>
        <w:rPr>
          <w:rFonts w:ascii="Book Antiqua" w:hAnsi="Book Antiqua" w:cs="宋体"/>
          <w:sz w:val="24"/>
          <w:szCs w:val="24"/>
        </w:rPr>
      </w:pPr>
      <w:proofErr w:type="gramStart"/>
      <w:r w:rsidRPr="00110E4B">
        <w:rPr>
          <w:rFonts w:ascii="Book Antiqua" w:hAnsi="Book Antiqua" w:cs="宋体"/>
          <w:sz w:val="24"/>
          <w:szCs w:val="24"/>
        </w:rPr>
        <w:t>58 </w:t>
      </w:r>
      <w:r w:rsidRPr="00110E4B">
        <w:rPr>
          <w:rFonts w:ascii="Book Antiqua" w:hAnsi="Book Antiqua" w:cs="宋体"/>
          <w:b/>
          <w:bCs/>
          <w:sz w:val="24"/>
          <w:szCs w:val="24"/>
        </w:rPr>
        <w:t>Brant MG</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Friedmann</w:t>
      </w:r>
      <w:proofErr w:type="spellEnd"/>
      <w:r w:rsidRPr="00110E4B">
        <w:rPr>
          <w:rFonts w:ascii="Book Antiqua" w:hAnsi="Book Antiqua" w:cs="宋体"/>
          <w:sz w:val="24"/>
          <w:szCs w:val="24"/>
        </w:rPr>
        <w:t xml:space="preserve"> JN, </w:t>
      </w:r>
      <w:proofErr w:type="spellStart"/>
      <w:r w:rsidRPr="00110E4B">
        <w:rPr>
          <w:rFonts w:ascii="Book Antiqua" w:hAnsi="Book Antiqua" w:cs="宋体"/>
          <w:sz w:val="24"/>
          <w:szCs w:val="24"/>
        </w:rPr>
        <w:t>Bohlken</w:t>
      </w:r>
      <w:proofErr w:type="spellEnd"/>
      <w:r w:rsidRPr="00110E4B">
        <w:rPr>
          <w:rFonts w:ascii="Book Antiqua" w:hAnsi="Book Antiqua" w:cs="宋体"/>
          <w:sz w:val="24"/>
          <w:szCs w:val="24"/>
        </w:rPr>
        <w:t xml:space="preserve"> CG, Oliver AG, </w:t>
      </w:r>
      <w:proofErr w:type="spellStart"/>
      <w:r w:rsidRPr="00110E4B">
        <w:rPr>
          <w:rFonts w:ascii="Book Antiqua" w:hAnsi="Book Antiqua" w:cs="宋体"/>
          <w:sz w:val="24"/>
          <w:szCs w:val="24"/>
        </w:rPr>
        <w:t>Wulff</w:t>
      </w:r>
      <w:proofErr w:type="spellEnd"/>
      <w:r w:rsidRPr="00110E4B">
        <w:rPr>
          <w:rFonts w:ascii="Book Antiqua" w:hAnsi="Book Antiqua" w:cs="宋体"/>
          <w:sz w:val="24"/>
          <w:szCs w:val="24"/>
        </w:rPr>
        <w:t xml:space="preserve"> JE.</w:t>
      </w:r>
      <w:proofErr w:type="gramEnd"/>
      <w:r w:rsidRPr="00110E4B">
        <w:rPr>
          <w:rFonts w:ascii="Book Antiqua" w:hAnsi="Book Antiqua" w:cs="宋体"/>
          <w:sz w:val="24"/>
          <w:szCs w:val="24"/>
        </w:rPr>
        <w:t xml:space="preserve"> </w:t>
      </w:r>
      <w:proofErr w:type="spellStart"/>
      <w:r w:rsidRPr="00110E4B">
        <w:rPr>
          <w:rFonts w:ascii="Book Antiqua" w:hAnsi="Book Antiqua" w:cs="宋体"/>
          <w:sz w:val="24"/>
          <w:szCs w:val="24"/>
        </w:rPr>
        <w:t>Diastereoselective</w:t>
      </w:r>
      <w:proofErr w:type="spellEnd"/>
      <w:r w:rsidRPr="00110E4B">
        <w:rPr>
          <w:rFonts w:ascii="Book Antiqua" w:hAnsi="Book Antiqua" w:cs="宋体"/>
          <w:sz w:val="24"/>
          <w:szCs w:val="24"/>
        </w:rPr>
        <w:t xml:space="preserve"> tandem reactions of substituted 3-sulfolenes with </w:t>
      </w:r>
      <w:proofErr w:type="spellStart"/>
      <w:r w:rsidRPr="00110E4B">
        <w:rPr>
          <w:rFonts w:ascii="Book Antiqua" w:hAnsi="Book Antiqua" w:cs="宋体"/>
          <w:sz w:val="24"/>
          <w:szCs w:val="24"/>
        </w:rPr>
        <w:t>bis</w:t>
      </w:r>
      <w:proofErr w:type="spellEnd"/>
      <w:r w:rsidRPr="00110E4B">
        <w:rPr>
          <w:rFonts w:ascii="Book Antiqua" w:hAnsi="Book Antiqua" w:cs="宋体"/>
          <w:sz w:val="24"/>
          <w:szCs w:val="24"/>
        </w:rPr>
        <w:t xml:space="preserve">-vinyl ketones leading to highly </w:t>
      </w:r>
      <w:r w:rsidRPr="00110E4B">
        <w:rPr>
          <w:rFonts w:ascii="Book Antiqua" w:hAnsi="Book Antiqua" w:cs="宋体"/>
          <w:sz w:val="24"/>
          <w:szCs w:val="24"/>
        </w:rPr>
        <w:lastRenderedPageBreak/>
        <w:t>functionalized bicyclic and tricyclic frameworks. </w:t>
      </w:r>
      <w:r w:rsidRPr="00110E4B">
        <w:rPr>
          <w:rFonts w:ascii="Book Antiqua" w:hAnsi="Book Antiqua" w:cs="宋体"/>
          <w:i/>
          <w:iCs/>
          <w:sz w:val="24"/>
          <w:szCs w:val="24"/>
        </w:rPr>
        <w:t xml:space="preserve">Org </w:t>
      </w:r>
      <w:proofErr w:type="spellStart"/>
      <w:r w:rsidRPr="00110E4B">
        <w:rPr>
          <w:rFonts w:ascii="Book Antiqua" w:hAnsi="Book Antiqua" w:cs="宋体"/>
          <w:i/>
          <w:iCs/>
          <w:sz w:val="24"/>
          <w:szCs w:val="24"/>
        </w:rPr>
        <w:t>Biomol</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Chem</w:t>
      </w:r>
      <w:proofErr w:type="spellEnd"/>
      <w:r w:rsidRPr="00110E4B">
        <w:rPr>
          <w:rFonts w:ascii="Book Antiqua" w:hAnsi="Book Antiqua" w:cs="宋体"/>
          <w:sz w:val="24"/>
          <w:szCs w:val="24"/>
        </w:rPr>
        <w:t> 2015; </w:t>
      </w:r>
      <w:r w:rsidRPr="00110E4B">
        <w:rPr>
          <w:rFonts w:ascii="Book Antiqua" w:hAnsi="Book Antiqua" w:cs="宋体"/>
          <w:b/>
          <w:bCs/>
          <w:sz w:val="24"/>
          <w:szCs w:val="24"/>
        </w:rPr>
        <w:t>13</w:t>
      </w:r>
      <w:r w:rsidRPr="00110E4B">
        <w:rPr>
          <w:rFonts w:ascii="Book Antiqua" w:hAnsi="Book Antiqua" w:cs="宋体"/>
          <w:sz w:val="24"/>
          <w:szCs w:val="24"/>
        </w:rPr>
        <w:t>: 4581-4588 [PMID: 25778983 DOI: 10.1039/c5ob00387c]</w:t>
      </w:r>
    </w:p>
    <w:p w14:paraId="2FD9B178"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59 </w:t>
      </w:r>
      <w:r w:rsidRPr="00110E4B">
        <w:rPr>
          <w:rFonts w:ascii="Book Antiqua" w:hAnsi="Book Antiqua" w:cs="宋体"/>
          <w:b/>
          <w:bCs/>
          <w:sz w:val="24"/>
          <w:szCs w:val="24"/>
        </w:rPr>
        <w:t>Hansen RD</w:t>
      </w:r>
      <w:r w:rsidRPr="00110E4B">
        <w:rPr>
          <w:rFonts w:ascii="Book Antiqua" w:hAnsi="Book Antiqua" w:cs="宋体"/>
          <w:sz w:val="24"/>
          <w:szCs w:val="24"/>
        </w:rPr>
        <w:t xml:space="preserve">, Williamson DA, Finnegan TP, Lloyd BD, Grady JN, Diamond TH, Smith EU, </w:t>
      </w:r>
      <w:proofErr w:type="spellStart"/>
      <w:r w:rsidRPr="00110E4B">
        <w:rPr>
          <w:rFonts w:ascii="Book Antiqua" w:hAnsi="Book Antiqua" w:cs="宋体"/>
          <w:sz w:val="24"/>
          <w:szCs w:val="24"/>
        </w:rPr>
        <w:t>Stavrinos</w:t>
      </w:r>
      <w:proofErr w:type="spellEnd"/>
      <w:r w:rsidRPr="00110E4B">
        <w:rPr>
          <w:rFonts w:ascii="Book Antiqua" w:hAnsi="Book Antiqua" w:cs="宋体"/>
          <w:sz w:val="24"/>
          <w:szCs w:val="24"/>
        </w:rPr>
        <w:t xml:space="preserve"> TM, Thompson MW, Gwinn TH, Allen BJ, </w:t>
      </w:r>
      <w:proofErr w:type="spellStart"/>
      <w:r w:rsidRPr="00110E4B">
        <w:rPr>
          <w:rFonts w:ascii="Book Antiqua" w:hAnsi="Book Antiqua" w:cs="宋体"/>
          <w:sz w:val="24"/>
          <w:szCs w:val="24"/>
        </w:rPr>
        <w:t>Smerdely</w:t>
      </w:r>
      <w:proofErr w:type="spellEnd"/>
      <w:r w:rsidRPr="00110E4B">
        <w:rPr>
          <w:rFonts w:ascii="Book Antiqua" w:hAnsi="Book Antiqua" w:cs="宋体"/>
          <w:sz w:val="24"/>
          <w:szCs w:val="24"/>
        </w:rPr>
        <w:t xml:space="preserve"> PI, </w:t>
      </w:r>
      <w:proofErr w:type="spellStart"/>
      <w:r w:rsidRPr="00110E4B">
        <w:rPr>
          <w:rFonts w:ascii="Book Antiqua" w:hAnsi="Book Antiqua" w:cs="宋体"/>
          <w:sz w:val="24"/>
          <w:szCs w:val="24"/>
        </w:rPr>
        <w:t>Diwan</w:t>
      </w:r>
      <w:proofErr w:type="spellEnd"/>
      <w:r w:rsidRPr="00110E4B">
        <w:rPr>
          <w:rFonts w:ascii="Book Antiqua" w:hAnsi="Book Antiqua" w:cs="宋体"/>
          <w:sz w:val="24"/>
          <w:szCs w:val="24"/>
        </w:rPr>
        <w:t xml:space="preserve"> AD, Singh NA, Singh MA. </w:t>
      </w:r>
      <w:proofErr w:type="gramStart"/>
      <w:r w:rsidRPr="00110E4B">
        <w:rPr>
          <w:rFonts w:ascii="Book Antiqua" w:hAnsi="Book Antiqua" w:cs="宋体"/>
          <w:sz w:val="24"/>
          <w:szCs w:val="24"/>
        </w:rPr>
        <w:t>Estimation of thigh muscle cross-sectional area by dual-energy X-ray absorptiometry in frail elderly patients.</w:t>
      </w:r>
      <w:proofErr w:type="gramEnd"/>
      <w:r w:rsidRPr="00110E4B">
        <w:rPr>
          <w:rFonts w:ascii="Book Antiqua" w:hAnsi="Book Antiqua" w:cs="宋体"/>
          <w:sz w:val="24"/>
          <w:szCs w:val="24"/>
        </w:rPr>
        <w:t> </w:t>
      </w:r>
      <w:r w:rsidRPr="00110E4B">
        <w:rPr>
          <w:rFonts w:ascii="Book Antiqua" w:hAnsi="Book Antiqua" w:cs="宋体"/>
          <w:i/>
          <w:iCs/>
          <w:sz w:val="24"/>
          <w:szCs w:val="24"/>
        </w:rPr>
        <w:t xml:space="preserve">Am J </w:t>
      </w:r>
      <w:proofErr w:type="spellStart"/>
      <w:r w:rsidRPr="00110E4B">
        <w:rPr>
          <w:rFonts w:ascii="Book Antiqua" w:hAnsi="Book Antiqua" w:cs="宋体"/>
          <w:i/>
          <w:iCs/>
          <w:sz w:val="24"/>
          <w:szCs w:val="24"/>
        </w:rPr>
        <w:t>Clin</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Nutr</w:t>
      </w:r>
      <w:proofErr w:type="spellEnd"/>
      <w:r w:rsidRPr="00110E4B">
        <w:rPr>
          <w:rFonts w:ascii="Book Antiqua" w:hAnsi="Book Antiqua" w:cs="宋体"/>
          <w:sz w:val="24"/>
          <w:szCs w:val="24"/>
        </w:rPr>
        <w:t> 2007; </w:t>
      </w:r>
      <w:r w:rsidRPr="00110E4B">
        <w:rPr>
          <w:rFonts w:ascii="Book Antiqua" w:hAnsi="Book Antiqua" w:cs="宋体"/>
          <w:b/>
          <w:bCs/>
          <w:sz w:val="24"/>
          <w:szCs w:val="24"/>
        </w:rPr>
        <w:t>86</w:t>
      </w:r>
      <w:r w:rsidRPr="00110E4B">
        <w:rPr>
          <w:rFonts w:ascii="Book Antiqua" w:hAnsi="Book Antiqua" w:cs="宋体"/>
          <w:sz w:val="24"/>
          <w:szCs w:val="24"/>
        </w:rPr>
        <w:t>: 952-958 [PMID: 17921370]</w:t>
      </w:r>
    </w:p>
    <w:p w14:paraId="4D7A0835" w14:textId="77777777" w:rsidR="00033802" w:rsidRPr="00110E4B" w:rsidRDefault="00033802" w:rsidP="00CB2DFE">
      <w:pPr>
        <w:spacing w:after="0" w:line="360" w:lineRule="auto"/>
        <w:jc w:val="both"/>
        <w:rPr>
          <w:rFonts w:ascii="Book Antiqua" w:hAnsi="Book Antiqua" w:cs="宋体"/>
          <w:sz w:val="24"/>
          <w:szCs w:val="24"/>
        </w:rPr>
      </w:pPr>
      <w:proofErr w:type="gramStart"/>
      <w:r w:rsidRPr="00110E4B">
        <w:rPr>
          <w:rFonts w:ascii="Book Antiqua" w:hAnsi="Book Antiqua" w:cs="宋体"/>
          <w:sz w:val="24"/>
          <w:szCs w:val="24"/>
        </w:rPr>
        <w:t>60 </w:t>
      </w:r>
      <w:r w:rsidRPr="00110E4B">
        <w:rPr>
          <w:rFonts w:ascii="Book Antiqua" w:hAnsi="Book Antiqua" w:cs="宋体"/>
          <w:b/>
          <w:bCs/>
          <w:sz w:val="24"/>
          <w:szCs w:val="24"/>
        </w:rPr>
        <w:t>Du Y</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Karvellas</w:t>
      </w:r>
      <w:proofErr w:type="spellEnd"/>
      <w:r w:rsidRPr="00110E4B">
        <w:rPr>
          <w:rFonts w:ascii="Book Antiqua" w:hAnsi="Book Antiqua" w:cs="宋体"/>
          <w:sz w:val="24"/>
          <w:szCs w:val="24"/>
        </w:rPr>
        <w:t xml:space="preserve"> CJ, </w:t>
      </w:r>
      <w:proofErr w:type="spellStart"/>
      <w:r w:rsidRPr="00110E4B">
        <w:rPr>
          <w:rFonts w:ascii="Book Antiqua" w:hAnsi="Book Antiqua" w:cs="宋体"/>
          <w:sz w:val="24"/>
          <w:szCs w:val="24"/>
        </w:rPr>
        <w:t>Baracos</w:t>
      </w:r>
      <w:proofErr w:type="spellEnd"/>
      <w:r w:rsidRPr="00110E4B">
        <w:rPr>
          <w:rFonts w:ascii="Book Antiqua" w:hAnsi="Book Antiqua" w:cs="宋体"/>
          <w:sz w:val="24"/>
          <w:szCs w:val="24"/>
        </w:rPr>
        <w:t xml:space="preserve"> V, Williams DC, </w:t>
      </w:r>
      <w:proofErr w:type="spellStart"/>
      <w:r w:rsidRPr="00110E4B">
        <w:rPr>
          <w:rFonts w:ascii="Book Antiqua" w:hAnsi="Book Antiqua" w:cs="宋体"/>
          <w:sz w:val="24"/>
          <w:szCs w:val="24"/>
        </w:rPr>
        <w:t>Khadaroo</w:t>
      </w:r>
      <w:proofErr w:type="spellEnd"/>
      <w:r w:rsidRPr="00110E4B">
        <w:rPr>
          <w:rFonts w:ascii="Book Antiqua" w:hAnsi="Book Antiqua" w:cs="宋体"/>
          <w:sz w:val="24"/>
          <w:szCs w:val="24"/>
        </w:rPr>
        <w:t xml:space="preserve"> RG.</w:t>
      </w:r>
      <w:proofErr w:type="gramEnd"/>
      <w:r w:rsidRPr="00110E4B">
        <w:rPr>
          <w:rFonts w:ascii="Book Antiqua" w:hAnsi="Book Antiqua" w:cs="宋体"/>
          <w:sz w:val="24"/>
          <w:szCs w:val="24"/>
        </w:rPr>
        <w:t xml:space="preserve"> Sarcopenia is a predictor of outcomes in very elderly patients undergoing emergency surgery. </w:t>
      </w:r>
      <w:r w:rsidRPr="00110E4B">
        <w:rPr>
          <w:rFonts w:ascii="Book Antiqua" w:hAnsi="Book Antiqua" w:cs="宋体"/>
          <w:i/>
          <w:iCs/>
          <w:sz w:val="24"/>
          <w:szCs w:val="24"/>
        </w:rPr>
        <w:t>Surgery</w:t>
      </w:r>
      <w:r w:rsidRPr="00110E4B">
        <w:rPr>
          <w:rFonts w:ascii="Book Antiqua" w:hAnsi="Book Antiqua" w:cs="宋体"/>
          <w:sz w:val="24"/>
          <w:szCs w:val="24"/>
        </w:rPr>
        <w:t> 2014; </w:t>
      </w:r>
      <w:r w:rsidRPr="00110E4B">
        <w:rPr>
          <w:rFonts w:ascii="Book Antiqua" w:hAnsi="Book Antiqua" w:cs="宋体"/>
          <w:b/>
          <w:bCs/>
          <w:sz w:val="24"/>
          <w:szCs w:val="24"/>
        </w:rPr>
        <w:t>156</w:t>
      </w:r>
      <w:r w:rsidRPr="00110E4B">
        <w:rPr>
          <w:rFonts w:ascii="Book Antiqua" w:hAnsi="Book Antiqua" w:cs="宋体"/>
          <w:sz w:val="24"/>
          <w:szCs w:val="24"/>
        </w:rPr>
        <w:t>: 521-527 [PMID: 24929435 DOI: 10.1016/j.surg.2014.04.027]</w:t>
      </w:r>
    </w:p>
    <w:p w14:paraId="5D99BB42" w14:textId="43BDCC59" w:rsidR="00033802" w:rsidRPr="00110E4B" w:rsidRDefault="00033802" w:rsidP="00CB2DFE">
      <w:pPr>
        <w:spacing w:after="0" w:line="360" w:lineRule="auto"/>
        <w:jc w:val="both"/>
        <w:rPr>
          <w:rFonts w:ascii="Book Antiqua" w:hAnsi="Book Antiqua" w:cs="宋体"/>
          <w:sz w:val="24"/>
          <w:szCs w:val="24"/>
        </w:rPr>
      </w:pPr>
      <w:r>
        <w:rPr>
          <w:rFonts w:ascii="Book Antiqua" w:hAnsi="Book Antiqua" w:cs="宋体"/>
          <w:sz w:val="24"/>
          <w:szCs w:val="24"/>
        </w:rPr>
        <w:t xml:space="preserve">61 </w:t>
      </w:r>
      <w:r w:rsidR="00763B72" w:rsidRPr="00763B72">
        <w:rPr>
          <w:rFonts w:ascii="Book Antiqua" w:hAnsi="Book Antiqua" w:cs="宋体"/>
          <w:sz w:val="24"/>
          <w:szCs w:val="24"/>
        </w:rPr>
        <w:t xml:space="preserve">American Cancer </w:t>
      </w:r>
      <w:proofErr w:type="gramStart"/>
      <w:r w:rsidR="00763B72" w:rsidRPr="00763B72">
        <w:rPr>
          <w:rFonts w:ascii="Book Antiqua" w:hAnsi="Book Antiqua" w:cs="宋体"/>
          <w:sz w:val="24"/>
          <w:szCs w:val="24"/>
        </w:rPr>
        <w:t>Society</w:t>
      </w:r>
      <w:proofErr w:type="gramEnd"/>
      <w:r w:rsidR="00763B72">
        <w:rPr>
          <w:rFonts w:ascii="Book Antiqua" w:hAnsi="Book Antiqua" w:cs="宋体"/>
          <w:sz w:val="24"/>
          <w:szCs w:val="24"/>
        </w:rPr>
        <w:t>.</w:t>
      </w:r>
      <w:r w:rsidR="00763B72" w:rsidRPr="00763B72">
        <w:rPr>
          <w:rFonts w:ascii="Book Antiqua" w:hAnsi="Book Antiqua" w:cs="宋体"/>
          <w:sz w:val="24"/>
          <w:szCs w:val="24"/>
        </w:rPr>
        <w:t xml:space="preserve"> </w:t>
      </w:r>
      <w:r w:rsidRPr="00110E4B">
        <w:rPr>
          <w:rFonts w:ascii="Book Antiqua" w:hAnsi="Book Antiqua" w:cs="宋体"/>
          <w:sz w:val="24"/>
          <w:szCs w:val="24"/>
        </w:rPr>
        <w:t xml:space="preserve">What are the key statistics about cancer of the esophagus? </w:t>
      </w:r>
      <w:r w:rsidR="00763B72" w:rsidRPr="00763B72">
        <w:rPr>
          <w:rFonts w:ascii="Book Antiqua" w:hAnsi="Book Antiqua" w:cs="宋体"/>
          <w:sz w:val="24"/>
          <w:szCs w:val="24"/>
        </w:rPr>
        <w:t>[</w:t>
      </w:r>
      <w:proofErr w:type="gramStart"/>
      <w:r w:rsidR="00763B72" w:rsidRPr="00763B72">
        <w:rPr>
          <w:rFonts w:ascii="Book Antiqua" w:hAnsi="Book Antiqua" w:cs="宋体"/>
          <w:sz w:val="24"/>
          <w:szCs w:val="24"/>
        </w:rPr>
        <w:t>updated</w:t>
      </w:r>
      <w:proofErr w:type="gramEnd"/>
      <w:r w:rsidR="00763B72" w:rsidRPr="00763B72">
        <w:rPr>
          <w:rFonts w:ascii="Book Antiqua" w:hAnsi="Book Antiqua" w:cs="宋体"/>
          <w:sz w:val="24"/>
          <w:szCs w:val="24"/>
        </w:rPr>
        <w:t xml:space="preserve"> 2015</w:t>
      </w:r>
      <w:r w:rsidR="00763B72">
        <w:rPr>
          <w:rFonts w:ascii="Book Antiqua" w:hAnsi="Book Antiqua" w:cs="宋体"/>
          <w:sz w:val="24"/>
          <w:szCs w:val="24"/>
        </w:rPr>
        <w:t xml:space="preserve"> Mar 02</w:t>
      </w:r>
      <w:r w:rsidR="00763B72" w:rsidRPr="00763B72">
        <w:rPr>
          <w:rFonts w:ascii="Book Antiqua" w:hAnsi="Book Antiqua" w:cs="宋体"/>
          <w:sz w:val="24"/>
          <w:szCs w:val="24"/>
        </w:rPr>
        <w:t>]</w:t>
      </w:r>
      <w:r w:rsidR="00763B72">
        <w:rPr>
          <w:rFonts w:ascii="Book Antiqua" w:hAnsi="Book Antiqua" w:cs="宋体"/>
          <w:sz w:val="24"/>
          <w:szCs w:val="24"/>
        </w:rPr>
        <w:t>.</w:t>
      </w:r>
      <w:r w:rsidR="00763B72" w:rsidRPr="00763B72">
        <w:rPr>
          <w:rFonts w:ascii="Book Antiqua" w:hAnsi="Book Antiqua" w:cs="宋体"/>
          <w:sz w:val="24"/>
          <w:szCs w:val="24"/>
        </w:rPr>
        <w:t xml:space="preserve"> </w:t>
      </w:r>
      <w:r>
        <w:rPr>
          <w:rFonts w:ascii="Book Antiqua" w:hAnsi="Book Antiqua" w:cs="宋体"/>
          <w:sz w:val="24"/>
          <w:szCs w:val="24"/>
        </w:rPr>
        <w:t>Available from: http:</w:t>
      </w:r>
      <w:r w:rsidRPr="00110E4B">
        <w:rPr>
          <w:rFonts w:ascii="Book Antiqua" w:hAnsi="Book Antiqua" w:cs="宋体"/>
          <w:sz w:val="24"/>
          <w:szCs w:val="24"/>
        </w:rPr>
        <w:t>//www.cancer.org/cancer/esophaguscancer/detailedguide/esophagus-cancer-key-statistics</w:t>
      </w:r>
    </w:p>
    <w:p w14:paraId="6DB1C34B" w14:textId="018C8272" w:rsidR="00033802" w:rsidRPr="00110E4B" w:rsidRDefault="00033802" w:rsidP="00CB2DFE">
      <w:pPr>
        <w:spacing w:after="0" w:line="360" w:lineRule="auto"/>
        <w:jc w:val="both"/>
        <w:rPr>
          <w:rFonts w:ascii="Book Antiqua" w:hAnsi="Book Antiqua" w:cs="宋体"/>
          <w:sz w:val="24"/>
          <w:szCs w:val="24"/>
        </w:rPr>
      </w:pPr>
      <w:r>
        <w:rPr>
          <w:rFonts w:ascii="Book Antiqua" w:hAnsi="Book Antiqua" w:cs="宋体"/>
          <w:sz w:val="24"/>
          <w:szCs w:val="24"/>
        </w:rPr>
        <w:t xml:space="preserve">62 </w:t>
      </w:r>
      <w:r w:rsidR="00763B72" w:rsidRPr="00763B72">
        <w:rPr>
          <w:rFonts w:ascii="Book Antiqua" w:hAnsi="Book Antiqua" w:cs="宋体"/>
          <w:sz w:val="24"/>
          <w:szCs w:val="24"/>
        </w:rPr>
        <w:t xml:space="preserve">American Cancer </w:t>
      </w:r>
      <w:proofErr w:type="gramStart"/>
      <w:r w:rsidR="00763B72" w:rsidRPr="00763B72">
        <w:rPr>
          <w:rFonts w:ascii="Book Antiqua" w:hAnsi="Book Antiqua" w:cs="宋体"/>
          <w:sz w:val="24"/>
          <w:szCs w:val="24"/>
        </w:rPr>
        <w:t>Society</w:t>
      </w:r>
      <w:proofErr w:type="gramEnd"/>
      <w:r w:rsidR="00763B72">
        <w:rPr>
          <w:rFonts w:ascii="Book Antiqua" w:hAnsi="Book Antiqua" w:cs="宋体"/>
          <w:sz w:val="24"/>
          <w:szCs w:val="24"/>
        </w:rPr>
        <w:t>.</w:t>
      </w:r>
      <w:r w:rsidR="00763B72" w:rsidRPr="00763B72">
        <w:rPr>
          <w:rFonts w:ascii="Book Antiqua" w:hAnsi="Book Antiqua" w:cs="宋体"/>
          <w:sz w:val="24"/>
          <w:szCs w:val="24"/>
        </w:rPr>
        <w:t xml:space="preserve"> </w:t>
      </w:r>
      <w:r w:rsidRPr="00110E4B">
        <w:rPr>
          <w:rFonts w:ascii="Book Antiqua" w:hAnsi="Book Antiqua" w:cs="宋体"/>
          <w:sz w:val="24"/>
          <w:szCs w:val="24"/>
        </w:rPr>
        <w:t>What are the key statistics about stomach cancer?</w:t>
      </w:r>
      <w:r w:rsidR="00763B72">
        <w:rPr>
          <w:rFonts w:ascii="Book Antiqua" w:hAnsi="Book Antiqua" w:cs="宋体"/>
          <w:sz w:val="24"/>
          <w:szCs w:val="24"/>
        </w:rPr>
        <w:t xml:space="preserve"> </w:t>
      </w:r>
      <w:r w:rsidR="00763B72" w:rsidRPr="00763B72">
        <w:rPr>
          <w:rFonts w:ascii="Arial" w:hAnsi="Arial" w:cs="Arial"/>
          <w:sz w:val="24"/>
          <w:szCs w:val="24"/>
        </w:rPr>
        <w:t>[</w:t>
      </w:r>
      <w:proofErr w:type="gramStart"/>
      <w:r w:rsidR="00763B72" w:rsidRPr="00763B72">
        <w:rPr>
          <w:rFonts w:ascii="Arial" w:hAnsi="Arial" w:cs="Arial"/>
          <w:sz w:val="24"/>
          <w:szCs w:val="24"/>
        </w:rPr>
        <w:t>updated</w:t>
      </w:r>
      <w:proofErr w:type="gramEnd"/>
      <w:r w:rsidR="00763B72" w:rsidRPr="00763B72">
        <w:rPr>
          <w:rFonts w:ascii="Arial" w:hAnsi="Arial" w:cs="Arial"/>
          <w:sz w:val="24"/>
          <w:szCs w:val="24"/>
        </w:rPr>
        <w:t xml:space="preserve"> </w:t>
      </w:r>
      <w:r w:rsidR="00763B72" w:rsidRPr="00763B72">
        <w:rPr>
          <w:rFonts w:ascii="Arial" w:hAnsi="Arial" w:cs="Arial"/>
          <w:color w:val="353A42"/>
          <w:sz w:val="24"/>
          <w:szCs w:val="24"/>
        </w:rPr>
        <w:t>2015</w:t>
      </w:r>
      <w:r w:rsidR="00763B72" w:rsidRPr="00763B72">
        <w:rPr>
          <w:rFonts w:ascii="Arial" w:hAnsi="Arial" w:cs="Arial"/>
          <w:color w:val="353A42"/>
          <w:sz w:val="24"/>
          <w:szCs w:val="24"/>
        </w:rPr>
        <w:t xml:space="preserve"> Mar 06].</w:t>
      </w:r>
      <w:r w:rsidR="00763B72" w:rsidRPr="00763B72">
        <w:rPr>
          <w:rFonts w:ascii="Arial" w:hAnsi="Arial" w:cs="Arial"/>
          <w:color w:val="353A42"/>
          <w:sz w:val="24"/>
          <w:szCs w:val="24"/>
        </w:rPr>
        <w:t xml:space="preserve"> </w:t>
      </w:r>
      <w:r w:rsidRPr="00763B72">
        <w:rPr>
          <w:rFonts w:ascii="Arial" w:hAnsi="Arial" w:cs="Arial"/>
          <w:sz w:val="24"/>
          <w:szCs w:val="24"/>
        </w:rPr>
        <w:t xml:space="preserve"> </w:t>
      </w:r>
      <w:r w:rsidRPr="00110E4B">
        <w:rPr>
          <w:rFonts w:ascii="Book Antiqua" w:hAnsi="Book Antiqua" w:cs="宋体"/>
          <w:sz w:val="24"/>
          <w:szCs w:val="24"/>
        </w:rPr>
        <w:t>Available from: http: //www.cancer.org/cancer/stomachcancer/detailedguide/stomach-cancer-key-statistics</w:t>
      </w:r>
    </w:p>
    <w:p w14:paraId="579DF8CC"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63 </w:t>
      </w:r>
      <w:proofErr w:type="spellStart"/>
      <w:r w:rsidRPr="00110E4B">
        <w:rPr>
          <w:rFonts w:ascii="Book Antiqua" w:hAnsi="Book Antiqua" w:cs="宋体"/>
          <w:b/>
          <w:bCs/>
          <w:sz w:val="24"/>
          <w:szCs w:val="24"/>
        </w:rPr>
        <w:t>Balducci</w:t>
      </w:r>
      <w:proofErr w:type="spellEnd"/>
      <w:r w:rsidRPr="00110E4B">
        <w:rPr>
          <w:rFonts w:ascii="Book Antiqua" w:hAnsi="Book Antiqua" w:cs="宋体"/>
          <w:b/>
          <w:bCs/>
          <w:sz w:val="24"/>
          <w:szCs w:val="24"/>
        </w:rPr>
        <w:t xml:space="preserve"> L</w:t>
      </w:r>
      <w:r w:rsidRPr="00110E4B">
        <w:rPr>
          <w:rFonts w:ascii="Book Antiqua" w:hAnsi="Book Antiqua" w:cs="宋体"/>
          <w:sz w:val="24"/>
          <w:szCs w:val="24"/>
        </w:rPr>
        <w:t>. Systemic treatment of gastric and esophageal adenocarcinoma in elderly patients.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Gastrointest</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Oncol</w:t>
      </w:r>
      <w:proofErr w:type="spellEnd"/>
      <w:r w:rsidRPr="00110E4B">
        <w:rPr>
          <w:rFonts w:ascii="Book Antiqua" w:hAnsi="Book Antiqua" w:cs="宋体"/>
          <w:sz w:val="24"/>
          <w:szCs w:val="24"/>
        </w:rPr>
        <w:t> 2015; </w:t>
      </w:r>
      <w:r w:rsidRPr="00110E4B">
        <w:rPr>
          <w:rFonts w:ascii="Book Antiqua" w:hAnsi="Book Antiqua" w:cs="宋体"/>
          <w:b/>
          <w:bCs/>
          <w:sz w:val="24"/>
          <w:szCs w:val="24"/>
        </w:rPr>
        <w:t>6</w:t>
      </w:r>
      <w:r w:rsidRPr="00110E4B">
        <w:rPr>
          <w:rFonts w:ascii="Book Antiqua" w:hAnsi="Book Antiqua" w:cs="宋体"/>
          <w:sz w:val="24"/>
          <w:szCs w:val="24"/>
        </w:rPr>
        <w:t>: 75-78 [PMID: 25642340 DOI: 10.3978/j.issn.2078-6891.2014.093]</w:t>
      </w:r>
    </w:p>
    <w:p w14:paraId="625EA12B"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64 </w:t>
      </w:r>
      <w:proofErr w:type="spellStart"/>
      <w:r w:rsidRPr="00110E4B">
        <w:rPr>
          <w:rFonts w:ascii="Book Antiqua" w:hAnsi="Book Antiqua" w:cs="宋体"/>
          <w:b/>
          <w:bCs/>
          <w:sz w:val="24"/>
          <w:szCs w:val="24"/>
        </w:rPr>
        <w:t>Pultrum</w:t>
      </w:r>
      <w:proofErr w:type="spellEnd"/>
      <w:r w:rsidRPr="00110E4B">
        <w:rPr>
          <w:rFonts w:ascii="Book Antiqua" w:hAnsi="Book Antiqua" w:cs="宋体"/>
          <w:b/>
          <w:bCs/>
          <w:sz w:val="24"/>
          <w:szCs w:val="24"/>
        </w:rPr>
        <w:t xml:space="preserve"> BB</w:t>
      </w:r>
      <w:r w:rsidRPr="00110E4B">
        <w:rPr>
          <w:rFonts w:ascii="Book Antiqua" w:hAnsi="Book Antiqua" w:cs="宋体"/>
          <w:sz w:val="24"/>
          <w:szCs w:val="24"/>
        </w:rPr>
        <w:t xml:space="preserve">, Bosch DJ, </w:t>
      </w:r>
      <w:proofErr w:type="spellStart"/>
      <w:r w:rsidRPr="00110E4B">
        <w:rPr>
          <w:rFonts w:ascii="Book Antiqua" w:hAnsi="Book Antiqua" w:cs="宋体"/>
          <w:sz w:val="24"/>
          <w:szCs w:val="24"/>
        </w:rPr>
        <w:t>Nijsten</w:t>
      </w:r>
      <w:proofErr w:type="spellEnd"/>
      <w:r w:rsidRPr="00110E4B">
        <w:rPr>
          <w:rFonts w:ascii="Book Antiqua" w:hAnsi="Book Antiqua" w:cs="宋体"/>
          <w:sz w:val="24"/>
          <w:szCs w:val="24"/>
        </w:rPr>
        <w:t xml:space="preserve"> MW, Rodgers MG, </w:t>
      </w:r>
      <w:proofErr w:type="spellStart"/>
      <w:r w:rsidRPr="00110E4B">
        <w:rPr>
          <w:rFonts w:ascii="Book Antiqua" w:hAnsi="Book Antiqua" w:cs="宋体"/>
          <w:sz w:val="24"/>
          <w:szCs w:val="24"/>
        </w:rPr>
        <w:t>Groen</w:t>
      </w:r>
      <w:proofErr w:type="spellEnd"/>
      <w:r w:rsidRPr="00110E4B">
        <w:rPr>
          <w:rFonts w:ascii="Book Antiqua" w:hAnsi="Book Antiqua" w:cs="宋体"/>
          <w:sz w:val="24"/>
          <w:szCs w:val="24"/>
        </w:rPr>
        <w:t xml:space="preserve"> H, </w:t>
      </w:r>
      <w:proofErr w:type="spellStart"/>
      <w:r w:rsidRPr="00110E4B">
        <w:rPr>
          <w:rFonts w:ascii="Book Antiqua" w:hAnsi="Book Antiqua" w:cs="宋体"/>
          <w:sz w:val="24"/>
          <w:szCs w:val="24"/>
        </w:rPr>
        <w:t>Slaets</w:t>
      </w:r>
      <w:proofErr w:type="spellEnd"/>
      <w:r w:rsidRPr="00110E4B">
        <w:rPr>
          <w:rFonts w:ascii="Book Antiqua" w:hAnsi="Book Antiqua" w:cs="宋体"/>
          <w:sz w:val="24"/>
          <w:szCs w:val="24"/>
        </w:rPr>
        <w:t xml:space="preserve"> JP, </w:t>
      </w:r>
      <w:proofErr w:type="spellStart"/>
      <w:r w:rsidRPr="00110E4B">
        <w:rPr>
          <w:rFonts w:ascii="Book Antiqua" w:hAnsi="Book Antiqua" w:cs="宋体"/>
          <w:sz w:val="24"/>
          <w:szCs w:val="24"/>
        </w:rPr>
        <w:t>Plukker</w:t>
      </w:r>
      <w:proofErr w:type="spellEnd"/>
      <w:r w:rsidRPr="00110E4B">
        <w:rPr>
          <w:rFonts w:ascii="Book Antiqua" w:hAnsi="Book Antiqua" w:cs="宋体"/>
          <w:sz w:val="24"/>
          <w:szCs w:val="24"/>
        </w:rPr>
        <w:t xml:space="preserve"> JT. Extended </w:t>
      </w:r>
      <w:proofErr w:type="spellStart"/>
      <w:r w:rsidRPr="00110E4B">
        <w:rPr>
          <w:rFonts w:ascii="Book Antiqua" w:hAnsi="Book Antiqua" w:cs="宋体"/>
          <w:sz w:val="24"/>
          <w:szCs w:val="24"/>
        </w:rPr>
        <w:t>esophagectomy</w:t>
      </w:r>
      <w:proofErr w:type="spellEnd"/>
      <w:r w:rsidRPr="00110E4B">
        <w:rPr>
          <w:rFonts w:ascii="Book Antiqua" w:hAnsi="Book Antiqua" w:cs="宋体"/>
          <w:sz w:val="24"/>
          <w:szCs w:val="24"/>
        </w:rPr>
        <w:t xml:space="preserve"> in elderly patients with esophageal cancer: minor effect of age alone in determining the postoperative course and survival. </w:t>
      </w:r>
      <w:r w:rsidRPr="00110E4B">
        <w:rPr>
          <w:rFonts w:ascii="Book Antiqua" w:hAnsi="Book Antiqua" w:cs="宋体"/>
          <w:i/>
          <w:iCs/>
          <w:sz w:val="24"/>
          <w:szCs w:val="24"/>
        </w:rPr>
        <w:t xml:space="preserve">Ann </w:t>
      </w:r>
      <w:proofErr w:type="spellStart"/>
      <w:r w:rsidRPr="00110E4B">
        <w:rPr>
          <w:rFonts w:ascii="Book Antiqua" w:hAnsi="Book Antiqua" w:cs="宋体"/>
          <w:i/>
          <w:iCs/>
          <w:sz w:val="24"/>
          <w:szCs w:val="24"/>
        </w:rPr>
        <w:t>Surg</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Oncol</w:t>
      </w:r>
      <w:proofErr w:type="spellEnd"/>
      <w:r w:rsidRPr="00110E4B">
        <w:rPr>
          <w:rFonts w:ascii="Book Antiqua" w:hAnsi="Book Antiqua" w:cs="宋体"/>
          <w:sz w:val="24"/>
          <w:szCs w:val="24"/>
        </w:rPr>
        <w:t> 2010; </w:t>
      </w:r>
      <w:r w:rsidRPr="00110E4B">
        <w:rPr>
          <w:rFonts w:ascii="Book Antiqua" w:hAnsi="Book Antiqua" w:cs="宋体"/>
          <w:b/>
          <w:bCs/>
          <w:sz w:val="24"/>
          <w:szCs w:val="24"/>
        </w:rPr>
        <w:t>17</w:t>
      </w:r>
      <w:r w:rsidRPr="00110E4B">
        <w:rPr>
          <w:rFonts w:ascii="Book Antiqua" w:hAnsi="Book Antiqua" w:cs="宋体"/>
          <w:sz w:val="24"/>
          <w:szCs w:val="24"/>
        </w:rPr>
        <w:t>: 1572-1580 [PMID: 20180031 DOI: 10.1245/s10434-010-0966-7]</w:t>
      </w:r>
    </w:p>
    <w:p w14:paraId="6359E083"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65 </w:t>
      </w:r>
      <w:proofErr w:type="spellStart"/>
      <w:r w:rsidRPr="00110E4B">
        <w:rPr>
          <w:rFonts w:ascii="Book Antiqua" w:hAnsi="Book Antiqua" w:cs="宋体"/>
          <w:b/>
          <w:bCs/>
          <w:sz w:val="24"/>
          <w:szCs w:val="24"/>
        </w:rPr>
        <w:t>Tegels</w:t>
      </w:r>
      <w:proofErr w:type="spellEnd"/>
      <w:r w:rsidRPr="00110E4B">
        <w:rPr>
          <w:rFonts w:ascii="Book Antiqua" w:hAnsi="Book Antiqua" w:cs="宋体"/>
          <w:b/>
          <w:bCs/>
          <w:sz w:val="24"/>
          <w:szCs w:val="24"/>
        </w:rPr>
        <w:t xml:space="preserve"> JJ</w:t>
      </w:r>
      <w:r w:rsidRPr="00110E4B">
        <w:rPr>
          <w:rFonts w:ascii="Book Antiqua" w:hAnsi="Book Antiqua" w:cs="宋体"/>
          <w:sz w:val="24"/>
          <w:szCs w:val="24"/>
        </w:rPr>
        <w:t xml:space="preserve">, de Maat MF, </w:t>
      </w:r>
      <w:proofErr w:type="spellStart"/>
      <w:r w:rsidRPr="00110E4B">
        <w:rPr>
          <w:rFonts w:ascii="Book Antiqua" w:hAnsi="Book Antiqua" w:cs="宋体"/>
          <w:sz w:val="24"/>
          <w:szCs w:val="24"/>
        </w:rPr>
        <w:t>Hulsewé</w:t>
      </w:r>
      <w:proofErr w:type="spellEnd"/>
      <w:r w:rsidRPr="00110E4B">
        <w:rPr>
          <w:rFonts w:ascii="Book Antiqua" w:hAnsi="Book Antiqua" w:cs="宋体"/>
          <w:sz w:val="24"/>
          <w:szCs w:val="24"/>
        </w:rPr>
        <w:t xml:space="preserve"> KW, </w:t>
      </w:r>
      <w:proofErr w:type="spellStart"/>
      <w:r w:rsidRPr="00110E4B">
        <w:rPr>
          <w:rFonts w:ascii="Book Antiqua" w:hAnsi="Book Antiqua" w:cs="宋体"/>
          <w:sz w:val="24"/>
          <w:szCs w:val="24"/>
        </w:rPr>
        <w:t>Hoofwijk</w:t>
      </w:r>
      <w:proofErr w:type="spellEnd"/>
      <w:r w:rsidRPr="00110E4B">
        <w:rPr>
          <w:rFonts w:ascii="Book Antiqua" w:hAnsi="Book Antiqua" w:cs="宋体"/>
          <w:sz w:val="24"/>
          <w:szCs w:val="24"/>
        </w:rPr>
        <w:t xml:space="preserve"> AG, </w:t>
      </w:r>
      <w:proofErr w:type="spellStart"/>
      <w:r w:rsidRPr="00110E4B">
        <w:rPr>
          <w:rFonts w:ascii="Book Antiqua" w:hAnsi="Book Antiqua" w:cs="宋体"/>
          <w:sz w:val="24"/>
          <w:szCs w:val="24"/>
        </w:rPr>
        <w:t>Stoot</w:t>
      </w:r>
      <w:proofErr w:type="spellEnd"/>
      <w:r w:rsidRPr="00110E4B">
        <w:rPr>
          <w:rFonts w:ascii="Book Antiqua" w:hAnsi="Book Antiqua" w:cs="宋体"/>
          <w:sz w:val="24"/>
          <w:szCs w:val="24"/>
        </w:rPr>
        <w:t xml:space="preserve"> JH. </w:t>
      </w:r>
      <w:proofErr w:type="gramStart"/>
      <w:r w:rsidRPr="00110E4B">
        <w:rPr>
          <w:rFonts w:ascii="Book Antiqua" w:hAnsi="Book Antiqua" w:cs="宋体"/>
          <w:sz w:val="24"/>
          <w:szCs w:val="24"/>
        </w:rPr>
        <w:t>Value of geriatric frailty and nutritional status assessment in predicting postoperative mortality in gastric cancer surgery.</w:t>
      </w:r>
      <w:proofErr w:type="gramEnd"/>
      <w:r w:rsidRPr="00110E4B">
        <w:rPr>
          <w:rFonts w:ascii="Book Antiqua" w:hAnsi="Book Antiqua" w:cs="宋体"/>
          <w:sz w:val="24"/>
          <w:szCs w:val="24"/>
        </w:rPr>
        <w:t>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Gastrointest</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2014; </w:t>
      </w:r>
      <w:r w:rsidRPr="00110E4B">
        <w:rPr>
          <w:rFonts w:ascii="Book Antiqua" w:hAnsi="Book Antiqua" w:cs="宋体"/>
          <w:b/>
          <w:bCs/>
          <w:sz w:val="24"/>
          <w:szCs w:val="24"/>
        </w:rPr>
        <w:t>18</w:t>
      </w:r>
      <w:r w:rsidRPr="00110E4B">
        <w:rPr>
          <w:rFonts w:ascii="Book Antiqua" w:hAnsi="Book Antiqua" w:cs="宋体"/>
          <w:sz w:val="24"/>
          <w:szCs w:val="24"/>
        </w:rPr>
        <w:t>: 439-45; discussion 445-6 [PMID: 24420730 DOI: 10.1007/s11605-013-2443-7]</w:t>
      </w:r>
    </w:p>
    <w:p w14:paraId="0A06DF07" w14:textId="26365140" w:rsidR="00033802" w:rsidRPr="00110E4B" w:rsidRDefault="00033802" w:rsidP="00CB2DFE">
      <w:pPr>
        <w:spacing w:after="0" w:line="360" w:lineRule="auto"/>
        <w:jc w:val="both"/>
        <w:rPr>
          <w:rFonts w:ascii="Book Antiqua" w:hAnsi="Book Antiqua" w:cs="宋体"/>
          <w:sz w:val="24"/>
          <w:szCs w:val="24"/>
        </w:rPr>
      </w:pPr>
      <w:proofErr w:type="gramStart"/>
      <w:r>
        <w:rPr>
          <w:rFonts w:ascii="Book Antiqua" w:hAnsi="Book Antiqua" w:cs="宋体"/>
          <w:sz w:val="24"/>
          <w:szCs w:val="24"/>
        </w:rPr>
        <w:lastRenderedPageBreak/>
        <w:t xml:space="preserve">66 </w:t>
      </w:r>
      <w:r w:rsidR="00763B72" w:rsidRPr="00763B72">
        <w:rPr>
          <w:rFonts w:ascii="Book Antiqua" w:hAnsi="Book Antiqua" w:cs="宋体"/>
          <w:sz w:val="24"/>
          <w:szCs w:val="24"/>
        </w:rPr>
        <w:t>Surveillance Research Program</w:t>
      </w:r>
      <w:r w:rsidR="00763B72">
        <w:rPr>
          <w:rFonts w:ascii="Book Antiqua" w:hAnsi="Book Antiqua" w:cs="宋体"/>
          <w:sz w:val="24"/>
          <w:szCs w:val="24"/>
        </w:rPr>
        <w:t>.</w:t>
      </w:r>
      <w:proofErr w:type="gramEnd"/>
      <w:r w:rsidR="00763B72" w:rsidRPr="00763B72">
        <w:rPr>
          <w:rFonts w:ascii="Book Antiqua" w:hAnsi="Book Antiqua" w:cs="宋体"/>
          <w:sz w:val="24"/>
          <w:szCs w:val="24"/>
        </w:rPr>
        <w:t xml:space="preserve"> </w:t>
      </w:r>
      <w:proofErr w:type="gramStart"/>
      <w:r w:rsidRPr="00110E4B">
        <w:rPr>
          <w:rFonts w:ascii="Book Antiqua" w:hAnsi="Book Antiqua" w:cs="宋体"/>
          <w:sz w:val="24"/>
          <w:szCs w:val="24"/>
        </w:rPr>
        <w:t>Cancer of the Colon and Rectum - SEER Stat Fact Sheets.</w:t>
      </w:r>
      <w:proofErr w:type="gramEnd"/>
      <w:r w:rsidRPr="00110E4B">
        <w:rPr>
          <w:rFonts w:ascii="Book Antiqua" w:hAnsi="Book Antiqua" w:cs="宋体"/>
          <w:sz w:val="24"/>
          <w:szCs w:val="24"/>
        </w:rPr>
        <w:t xml:space="preserve"> Available from: http: //seer.cancer.gov/</w:t>
      </w:r>
      <w:proofErr w:type="spellStart"/>
      <w:r w:rsidRPr="00110E4B">
        <w:rPr>
          <w:rFonts w:ascii="Book Antiqua" w:hAnsi="Book Antiqua" w:cs="宋体"/>
          <w:sz w:val="24"/>
          <w:szCs w:val="24"/>
        </w:rPr>
        <w:t>statfacts</w:t>
      </w:r>
      <w:proofErr w:type="spellEnd"/>
      <w:r w:rsidRPr="00110E4B">
        <w:rPr>
          <w:rFonts w:ascii="Book Antiqua" w:hAnsi="Book Antiqua" w:cs="宋体"/>
          <w:sz w:val="24"/>
          <w:szCs w:val="24"/>
        </w:rPr>
        <w:t>/html/colorect.html</w:t>
      </w:r>
    </w:p>
    <w:p w14:paraId="44A6D66D"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67 </w:t>
      </w:r>
      <w:proofErr w:type="spellStart"/>
      <w:r w:rsidRPr="00110E4B">
        <w:rPr>
          <w:rFonts w:ascii="Book Antiqua" w:hAnsi="Book Antiqua" w:cs="宋体"/>
          <w:b/>
          <w:bCs/>
          <w:sz w:val="24"/>
          <w:szCs w:val="24"/>
        </w:rPr>
        <w:t>Rønning</w:t>
      </w:r>
      <w:proofErr w:type="spellEnd"/>
      <w:r w:rsidRPr="00110E4B">
        <w:rPr>
          <w:rFonts w:ascii="Book Antiqua" w:hAnsi="Book Antiqua" w:cs="宋体"/>
          <w:b/>
          <w:bCs/>
          <w:sz w:val="24"/>
          <w:szCs w:val="24"/>
        </w:rPr>
        <w:t xml:space="preserve"> B</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Wyller</w:t>
      </w:r>
      <w:proofErr w:type="spellEnd"/>
      <w:r w:rsidRPr="00110E4B">
        <w:rPr>
          <w:rFonts w:ascii="Book Antiqua" w:hAnsi="Book Antiqua" w:cs="宋体"/>
          <w:sz w:val="24"/>
          <w:szCs w:val="24"/>
        </w:rPr>
        <w:t xml:space="preserve"> TB, </w:t>
      </w:r>
      <w:proofErr w:type="spellStart"/>
      <w:r w:rsidRPr="00110E4B">
        <w:rPr>
          <w:rFonts w:ascii="Book Antiqua" w:hAnsi="Book Antiqua" w:cs="宋体"/>
          <w:sz w:val="24"/>
          <w:szCs w:val="24"/>
        </w:rPr>
        <w:t>Jordhøy</w:t>
      </w:r>
      <w:proofErr w:type="spellEnd"/>
      <w:r w:rsidRPr="00110E4B">
        <w:rPr>
          <w:rFonts w:ascii="Book Antiqua" w:hAnsi="Book Antiqua" w:cs="宋体"/>
          <w:sz w:val="24"/>
          <w:szCs w:val="24"/>
        </w:rPr>
        <w:t xml:space="preserve"> MS, </w:t>
      </w:r>
      <w:proofErr w:type="spellStart"/>
      <w:r w:rsidRPr="00110E4B">
        <w:rPr>
          <w:rFonts w:ascii="Book Antiqua" w:hAnsi="Book Antiqua" w:cs="宋体"/>
          <w:sz w:val="24"/>
          <w:szCs w:val="24"/>
        </w:rPr>
        <w:t>Nesbakken</w:t>
      </w:r>
      <w:proofErr w:type="spellEnd"/>
      <w:r w:rsidRPr="00110E4B">
        <w:rPr>
          <w:rFonts w:ascii="Book Antiqua" w:hAnsi="Book Antiqua" w:cs="宋体"/>
          <w:sz w:val="24"/>
          <w:szCs w:val="24"/>
        </w:rPr>
        <w:t xml:space="preserve"> A, </w:t>
      </w:r>
      <w:proofErr w:type="spellStart"/>
      <w:r w:rsidRPr="00110E4B">
        <w:rPr>
          <w:rFonts w:ascii="Book Antiqua" w:hAnsi="Book Antiqua" w:cs="宋体"/>
          <w:sz w:val="24"/>
          <w:szCs w:val="24"/>
        </w:rPr>
        <w:t>Bakka</w:t>
      </w:r>
      <w:proofErr w:type="spellEnd"/>
      <w:r w:rsidRPr="00110E4B">
        <w:rPr>
          <w:rFonts w:ascii="Book Antiqua" w:hAnsi="Book Antiqua" w:cs="宋体"/>
          <w:sz w:val="24"/>
          <w:szCs w:val="24"/>
        </w:rPr>
        <w:t xml:space="preserve"> A, </w:t>
      </w:r>
      <w:proofErr w:type="spellStart"/>
      <w:r w:rsidRPr="00110E4B">
        <w:rPr>
          <w:rFonts w:ascii="Book Antiqua" w:hAnsi="Book Antiqua" w:cs="宋体"/>
          <w:sz w:val="24"/>
          <w:szCs w:val="24"/>
        </w:rPr>
        <w:t>Seljeflot</w:t>
      </w:r>
      <w:proofErr w:type="spellEnd"/>
      <w:r w:rsidRPr="00110E4B">
        <w:rPr>
          <w:rFonts w:ascii="Book Antiqua" w:hAnsi="Book Antiqua" w:cs="宋体"/>
          <w:sz w:val="24"/>
          <w:szCs w:val="24"/>
        </w:rPr>
        <w:t xml:space="preserve"> I, </w:t>
      </w:r>
      <w:proofErr w:type="spellStart"/>
      <w:r w:rsidRPr="00110E4B">
        <w:rPr>
          <w:rFonts w:ascii="Book Antiqua" w:hAnsi="Book Antiqua" w:cs="宋体"/>
          <w:sz w:val="24"/>
          <w:szCs w:val="24"/>
        </w:rPr>
        <w:t>Kristjansson</w:t>
      </w:r>
      <w:proofErr w:type="spellEnd"/>
      <w:r w:rsidRPr="00110E4B">
        <w:rPr>
          <w:rFonts w:ascii="Book Antiqua" w:hAnsi="Book Antiqua" w:cs="宋体"/>
          <w:sz w:val="24"/>
          <w:szCs w:val="24"/>
        </w:rPr>
        <w:t xml:space="preserve"> SR. Frailty indicators and functional status in older patients after colorectal cancer surgery.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Geriatr</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Oncol</w:t>
      </w:r>
      <w:proofErr w:type="spellEnd"/>
      <w:r w:rsidRPr="00110E4B">
        <w:rPr>
          <w:rFonts w:ascii="Book Antiqua" w:hAnsi="Book Antiqua" w:cs="宋体"/>
          <w:sz w:val="24"/>
          <w:szCs w:val="24"/>
        </w:rPr>
        <w:t> 2014; </w:t>
      </w:r>
      <w:r w:rsidRPr="00110E4B">
        <w:rPr>
          <w:rFonts w:ascii="Book Antiqua" w:hAnsi="Book Antiqua" w:cs="宋体"/>
          <w:b/>
          <w:bCs/>
          <w:sz w:val="24"/>
          <w:szCs w:val="24"/>
        </w:rPr>
        <w:t>5</w:t>
      </w:r>
      <w:r w:rsidRPr="00110E4B">
        <w:rPr>
          <w:rFonts w:ascii="Book Antiqua" w:hAnsi="Book Antiqua" w:cs="宋体"/>
          <w:sz w:val="24"/>
          <w:szCs w:val="24"/>
        </w:rPr>
        <w:t>: 26-32 [PMID: 24484715 DOI: 10.1016/j.jgo.2013.08.001]</w:t>
      </w:r>
    </w:p>
    <w:p w14:paraId="4F7CE6FE"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68 </w:t>
      </w:r>
      <w:r w:rsidRPr="00110E4B">
        <w:rPr>
          <w:rFonts w:ascii="Book Antiqua" w:hAnsi="Book Antiqua" w:cs="宋体"/>
          <w:b/>
          <w:bCs/>
          <w:sz w:val="24"/>
          <w:szCs w:val="24"/>
        </w:rPr>
        <w:t>Robinson TN</w:t>
      </w:r>
      <w:r w:rsidRPr="00110E4B">
        <w:rPr>
          <w:rFonts w:ascii="Book Antiqua" w:hAnsi="Book Antiqua" w:cs="宋体"/>
          <w:sz w:val="24"/>
          <w:szCs w:val="24"/>
        </w:rPr>
        <w:t xml:space="preserve">, Wu DS, </w:t>
      </w:r>
      <w:proofErr w:type="spellStart"/>
      <w:r w:rsidRPr="00110E4B">
        <w:rPr>
          <w:rFonts w:ascii="Book Antiqua" w:hAnsi="Book Antiqua" w:cs="宋体"/>
          <w:sz w:val="24"/>
          <w:szCs w:val="24"/>
        </w:rPr>
        <w:t>Stiegmann</w:t>
      </w:r>
      <w:proofErr w:type="spellEnd"/>
      <w:r w:rsidRPr="00110E4B">
        <w:rPr>
          <w:rFonts w:ascii="Book Antiqua" w:hAnsi="Book Antiqua" w:cs="宋体"/>
          <w:sz w:val="24"/>
          <w:szCs w:val="24"/>
        </w:rPr>
        <w:t xml:space="preserve"> GV, Moss M. Frailty predicts increased hospital and six-month healthcare cost following colorectal surgery in older adults. </w:t>
      </w:r>
      <w:r w:rsidRPr="00110E4B">
        <w:rPr>
          <w:rFonts w:ascii="Book Antiqua" w:hAnsi="Book Antiqua" w:cs="宋体"/>
          <w:i/>
          <w:iCs/>
          <w:sz w:val="24"/>
          <w:szCs w:val="24"/>
        </w:rPr>
        <w:t xml:space="preserve">Am J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2011; </w:t>
      </w:r>
      <w:r w:rsidRPr="00110E4B">
        <w:rPr>
          <w:rFonts w:ascii="Book Antiqua" w:hAnsi="Book Antiqua" w:cs="宋体"/>
          <w:b/>
          <w:bCs/>
          <w:sz w:val="24"/>
          <w:szCs w:val="24"/>
        </w:rPr>
        <w:t>202</w:t>
      </w:r>
      <w:r w:rsidRPr="00110E4B">
        <w:rPr>
          <w:rFonts w:ascii="Book Antiqua" w:hAnsi="Book Antiqua" w:cs="宋体"/>
          <w:sz w:val="24"/>
          <w:szCs w:val="24"/>
        </w:rPr>
        <w:t>: 511-514 [PMID: 21890098 DOI: 10.1016/j.amjsurg.2011.06.017]</w:t>
      </w:r>
    </w:p>
    <w:p w14:paraId="05B67E7C"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69 </w:t>
      </w:r>
      <w:r w:rsidRPr="00110E4B">
        <w:rPr>
          <w:rFonts w:ascii="Book Antiqua" w:hAnsi="Book Antiqua" w:cs="宋体"/>
          <w:b/>
          <w:bCs/>
          <w:sz w:val="24"/>
          <w:szCs w:val="24"/>
        </w:rPr>
        <w:t>Fong Y</w:t>
      </w:r>
      <w:r w:rsidRPr="00110E4B">
        <w:rPr>
          <w:rFonts w:ascii="Book Antiqua" w:hAnsi="Book Antiqua" w:cs="宋体"/>
          <w:sz w:val="24"/>
          <w:szCs w:val="24"/>
        </w:rPr>
        <w:t xml:space="preserve">, Cohen AM, Fortner JG, </w:t>
      </w:r>
      <w:proofErr w:type="spellStart"/>
      <w:r w:rsidRPr="00110E4B">
        <w:rPr>
          <w:rFonts w:ascii="Book Antiqua" w:hAnsi="Book Antiqua" w:cs="宋体"/>
          <w:sz w:val="24"/>
          <w:szCs w:val="24"/>
        </w:rPr>
        <w:t>Enker</w:t>
      </w:r>
      <w:proofErr w:type="spellEnd"/>
      <w:r w:rsidRPr="00110E4B">
        <w:rPr>
          <w:rFonts w:ascii="Book Antiqua" w:hAnsi="Book Antiqua" w:cs="宋体"/>
          <w:sz w:val="24"/>
          <w:szCs w:val="24"/>
        </w:rPr>
        <w:t xml:space="preserve"> WE, Turnbull AD, </w:t>
      </w:r>
      <w:proofErr w:type="spellStart"/>
      <w:r w:rsidRPr="00110E4B">
        <w:rPr>
          <w:rFonts w:ascii="Book Antiqua" w:hAnsi="Book Antiqua" w:cs="宋体"/>
          <w:sz w:val="24"/>
          <w:szCs w:val="24"/>
        </w:rPr>
        <w:t>Coit</w:t>
      </w:r>
      <w:proofErr w:type="spellEnd"/>
      <w:r w:rsidRPr="00110E4B">
        <w:rPr>
          <w:rFonts w:ascii="Book Antiqua" w:hAnsi="Book Antiqua" w:cs="宋体"/>
          <w:sz w:val="24"/>
          <w:szCs w:val="24"/>
        </w:rPr>
        <w:t xml:space="preserve"> DG, Marrero AM, Prasad M, </w:t>
      </w:r>
      <w:proofErr w:type="spellStart"/>
      <w:r w:rsidRPr="00110E4B">
        <w:rPr>
          <w:rFonts w:ascii="Book Antiqua" w:hAnsi="Book Antiqua" w:cs="宋体"/>
          <w:sz w:val="24"/>
          <w:szCs w:val="24"/>
        </w:rPr>
        <w:t>Blumgart</w:t>
      </w:r>
      <w:proofErr w:type="spellEnd"/>
      <w:r w:rsidRPr="00110E4B">
        <w:rPr>
          <w:rFonts w:ascii="Book Antiqua" w:hAnsi="Book Antiqua" w:cs="宋体"/>
          <w:sz w:val="24"/>
          <w:szCs w:val="24"/>
        </w:rPr>
        <w:t xml:space="preserve"> LH, Brennan MF. </w:t>
      </w:r>
      <w:proofErr w:type="gramStart"/>
      <w:r w:rsidRPr="00110E4B">
        <w:rPr>
          <w:rFonts w:ascii="Book Antiqua" w:hAnsi="Book Antiqua" w:cs="宋体"/>
          <w:sz w:val="24"/>
          <w:szCs w:val="24"/>
        </w:rPr>
        <w:t>Liver resection for colorectal metastases.</w:t>
      </w:r>
      <w:proofErr w:type="gramEnd"/>
      <w:r w:rsidRPr="00110E4B">
        <w:rPr>
          <w:rFonts w:ascii="Book Antiqua" w:hAnsi="Book Antiqua" w:cs="宋体"/>
          <w:sz w:val="24"/>
          <w:szCs w:val="24"/>
        </w:rPr>
        <w:t>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Clin</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Oncol</w:t>
      </w:r>
      <w:proofErr w:type="spellEnd"/>
      <w:r w:rsidRPr="00110E4B">
        <w:rPr>
          <w:rFonts w:ascii="Book Antiqua" w:hAnsi="Book Antiqua" w:cs="宋体"/>
          <w:sz w:val="24"/>
          <w:szCs w:val="24"/>
        </w:rPr>
        <w:t> 1997; </w:t>
      </w:r>
      <w:r w:rsidRPr="00110E4B">
        <w:rPr>
          <w:rFonts w:ascii="Book Antiqua" w:hAnsi="Book Antiqua" w:cs="宋体"/>
          <w:b/>
          <w:bCs/>
          <w:sz w:val="24"/>
          <w:szCs w:val="24"/>
        </w:rPr>
        <w:t>15</w:t>
      </w:r>
      <w:r w:rsidRPr="00110E4B">
        <w:rPr>
          <w:rFonts w:ascii="Book Antiqua" w:hAnsi="Book Antiqua" w:cs="宋体"/>
          <w:sz w:val="24"/>
          <w:szCs w:val="24"/>
        </w:rPr>
        <w:t>: 938-946 [PMID: 9060531]</w:t>
      </w:r>
    </w:p>
    <w:p w14:paraId="451F1737"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70 </w:t>
      </w:r>
      <w:proofErr w:type="spellStart"/>
      <w:r w:rsidRPr="00110E4B">
        <w:rPr>
          <w:rFonts w:ascii="Book Antiqua" w:hAnsi="Book Antiqua" w:cs="宋体"/>
          <w:b/>
          <w:bCs/>
          <w:sz w:val="24"/>
          <w:szCs w:val="24"/>
        </w:rPr>
        <w:t>Jarnagin</w:t>
      </w:r>
      <w:proofErr w:type="spellEnd"/>
      <w:r w:rsidRPr="00110E4B">
        <w:rPr>
          <w:rFonts w:ascii="Book Antiqua" w:hAnsi="Book Antiqua" w:cs="宋体"/>
          <w:b/>
          <w:bCs/>
          <w:sz w:val="24"/>
          <w:szCs w:val="24"/>
        </w:rPr>
        <w:t xml:space="preserve"> WR</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Gonen</w:t>
      </w:r>
      <w:proofErr w:type="spellEnd"/>
      <w:r w:rsidRPr="00110E4B">
        <w:rPr>
          <w:rFonts w:ascii="Book Antiqua" w:hAnsi="Book Antiqua" w:cs="宋体"/>
          <w:sz w:val="24"/>
          <w:szCs w:val="24"/>
        </w:rPr>
        <w:t xml:space="preserve"> M, Fong Y, </w:t>
      </w:r>
      <w:proofErr w:type="spellStart"/>
      <w:r w:rsidRPr="00110E4B">
        <w:rPr>
          <w:rFonts w:ascii="Book Antiqua" w:hAnsi="Book Antiqua" w:cs="宋体"/>
          <w:sz w:val="24"/>
          <w:szCs w:val="24"/>
        </w:rPr>
        <w:t>DeMatteo</w:t>
      </w:r>
      <w:proofErr w:type="spellEnd"/>
      <w:r w:rsidRPr="00110E4B">
        <w:rPr>
          <w:rFonts w:ascii="Book Antiqua" w:hAnsi="Book Antiqua" w:cs="宋体"/>
          <w:sz w:val="24"/>
          <w:szCs w:val="24"/>
        </w:rPr>
        <w:t xml:space="preserve"> RP, Ben-</w:t>
      </w:r>
      <w:proofErr w:type="spellStart"/>
      <w:r w:rsidRPr="00110E4B">
        <w:rPr>
          <w:rFonts w:ascii="Book Antiqua" w:hAnsi="Book Antiqua" w:cs="宋体"/>
          <w:sz w:val="24"/>
          <w:szCs w:val="24"/>
        </w:rPr>
        <w:t>Porat</w:t>
      </w:r>
      <w:proofErr w:type="spellEnd"/>
      <w:r w:rsidRPr="00110E4B">
        <w:rPr>
          <w:rFonts w:ascii="Book Antiqua" w:hAnsi="Book Antiqua" w:cs="宋体"/>
          <w:sz w:val="24"/>
          <w:szCs w:val="24"/>
        </w:rPr>
        <w:t xml:space="preserve"> L, Little S, </w:t>
      </w:r>
      <w:proofErr w:type="spellStart"/>
      <w:r w:rsidRPr="00110E4B">
        <w:rPr>
          <w:rFonts w:ascii="Book Antiqua" w:hAnsi="Book Antiqua" w:cs="宋体"/>
          <w:sz w:val="24"/>
          <w:szCs w:val="24"/>
        </w:rPr>
        <w:t>Corvera</w:t>
      </w:r>
      <w:proofErr w:type="spellEnd"/>
      <w:r w:rsidRPr="00110E4B">
        <w:rPr>
          <w:rFonts w:ascii="Book Antiqua" w:hAnsi="Book Antiqua" w:cs="宋体"/>
          <w:sz w:val="24"/>
          <w:szCs w:val="24"/>
        </w:rPr>
        <w:t xml:space="preserve"> C, Weber S, </w:t>
      </w:r>
      <w:proofErr w:type="spellStart"/>
      <w:r w:rsidRPr="00110E4B">
        <w:rPr>
          <w:rFonts w:ascii="Book Antiqua" w:hAnsi="Book Antiqua" w:cs="宋体"/>
          <w:sz w:val="24"/>
          <w:szCs w:val="24"/>
        </w:rPr>
        <w:t>Blumgart</w:t>
      </w:r>
      <w:proofErr w:type="spellEnd"/>
      <w:r w:rsidRPr="00110E4B">
        <w:rPr>
          <w:rFonts w:ascii="Book Antiqua" w:hAnsi="Book Antiqua" w:cs="宋体"/>
          <w:sz w:val="24"/>
          <w:szCs w:val="24"/>
        </w:rPr>
        <w:t xml:space="preserve"> LH. Improvement in perioperative outcome after hepatic resection: analysis of 1,803 consecutive cases over the past decade. </w:t>
      </w:r>
      <w:r w:rsidRPr="00110E4B">
        <w:rPr>
          <w:rFonts w:ascii="Book Antiqua" w:hAnsi="Book Antiqua" w:cs="宋体"/>
          <w:i/>
          <w:iCs/>
          <w:sz w:val="24"/>
          <w:szCs w:val="24"/>
        </w:rPr>
        <w:t xml:space="preserve">Ann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2002; </w:t>
      </w:r>
      <w:r w:rsidRPr="00110E4B">
        <w:rPr>
          <w:rFonts w:ascii="Book Antiqua" w:hAnsi="Book Antiqua" w:cs="宋体"/>
          <w:b/>
          <w:bCs/>
          <w:sz w:val="24"/>
          <w:szCs w:val="24"/>
        </w:rPr>
        <w:t>236</w:t>
      </w:r>
      <w:r w:rsidRPr="00110E4B">
        <w:rPr>
          <w:rFonts w:ascii="Book Antiqua" w:hAnsi="Book Antiqua" w:cs="宋体"/>
          <w:sz w:val="24"/>
          <w:szCs w:val="24"/>
        </w:rPr>
        <w:t>: 397-406; discussion 406-7 [PMID: 12368667 DOI: 10.1097/01.SLA.0000029003.66466.B3]</w:t>
      </w:r>
    </w:p>
    <w:p w14:paraId="54CA6D59"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71 </w:t>
      </w:r>
      <w:r w:rsidRPr="00110E4B">
        <w:rPr>
          <w:rFonts w:ascii="Book Antiqua" w:hAnsi="Book Antiqua" w:cs="宋体"/>
          <w:b/>
          <w:bCs/>
          <w:sz w:val="24"/>
          <w:szCs w:val="24"/>
        </w:rPr>
        <w:t>Reddy SK</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Barbas</w:t>
      </w:r>
      <w:proofErr w:type="spellEnd"/>
      <w:r w:rsidRPr="00110E4B">
        <w:rPr>
          <w:rFonts w:ascii="Book Antiqua" w:hAnsi="Book Antiqua" w:cs="宋体"/>
          <w:sz w:val="24"/>
          <w:szCs w:val="24"/>
        </w:rPr>
        <w:t xml:space="preserve"> AS, Turley RS, </w:t>
      </w:r>
      <w:proofErr w:type="spellStart"/>
      <w:r w:rsidRPr="00110E4B">
        <w:rPr>
          <w:rFonts w:ascii="Book Antiqua" w:hAnsi="Book Antiqua" w:cs="宋体"/>
          <w:sz w:val="24"/>
          <w:szCs w:val="24"/>
        </w:rPr>
        <w:t>Gamblin</w:t>
      </w:r>
      <w:proofErr w:type="spellEnd"/>
      <w:r w:rsidRPr="00110E4B">
        <w:rPr>
          <w:rFonts w:ascii="Book Antiqua" w:hAnsi="Book Antiqua" w:cs="宋体"/>
          <w:sz w:val="24"/>
          <w:szCs w:val="24"/>
        </w:rPr>
        <w:t xml:space="preserve"> TC, Geller DA, Marsh JW, </w:t>
      </w:r>
      <w:proofErr w:type="spellStart"/>
      <w:r w:rsidRPr="00110E4B">
        <w:rPr>
          <w:rFonts w:ascii="Book Antiqua" w:hAnsi="Book Antiqua" w:cs="宋体"/>
          <w:sz w:val="24"/>
          <w:szCs w:val="24"/>
        </w:rPr>
        <w:t>Tsung</w:t>
      </w:r>
      <w:proofErr w:type="spellEnd"/>
      <w:r w:rsidRPr="00110E4B">
        <w:rPr>
          <w:rFonts w:ascii="Book Antiqua" w:hAnsi="Book Antiqua" w:cs="宋体"/>
          <w:sz w:val="24"/>
          <w:szCs w:val="24"/>
        </w:rPr>
        <w:t xml:space="preserve"> A, Clary BM, </w:t>
      </w:r>
      <w:proofErr w:type="spellStart"/>
      <w:r w:rsidRPr="00110E4B">
        <w:rPr>
          <w:rFonts w:ascii="Book Antiqua" w:hAnsi="Book Antiqua" w:cs="宋体"/>
          <w:sz w:val="24"/>
          <w:szCs w:val="24"/>
        </w:rPr>
        <w:t>Lagoo-Deenadayalan</w:t>
      </w:r>
      <w:proofErr w:type="spellEnd"/>
      <w:r w:rsidRPr="00110E4B">
        <w:rPr>
          <w:rFonts w:ascii="Book Antiqua" w:hAnsi="Book Antiqua" w:cs="宋体"/>
          <w:sz w:val="24"/>
          <w:szCs w:val="24"/>
        </w:rPr>
        <w:t xml:space="preserve"> S. Major liver resection in elderly patients: a multi-institutional analysis. </w:t>
      </w:r>
      <w:r w:rsidRPr="00110E4B">
        <w:rPr>
          <w:rFonts w:ascii="Book Antiqua" w:hAnsi="Book Antiqua" w:cs="宋体"/>
          <w:i/>
          <w:iCs/>
          <w:sz w:val="24"/>
          <w:szCs w:val="24"/>
        </w:rPr>
        <w:t xml:space="preserve">J Am </w:t>
      </w:r>
      <w:proofErr w:type="spellStart"/>
      <w:r w:rsidRPr="00110E4B">
        <w:rPr>
          <w:rFonts w:ascii="Book Antiqua" w:hAnsi="Book Antiqua" w:cs="宋体"/>
          <w:i/>
          <w:iCs/>
          <w:sz w:val="24"/>
          <w:szCs w:val="24"/>
        </w:rPr>
        <w:t>Coll</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2011; </w:t>
      </w:r>
      <w:r w:rsidRPr="00110E4B">
        <w:rPr>
          <w:rFonts w:ascii="Book Antiqua" w:hAnsi="Book Antiqua" w:cs="宋体"/>
          <w:b/>
          <w:bCs/>
          <w:sz w:val="24"/>
          <w:szCs w:val="24"/>
        </w:rPr>
        <w:t>212</w:t>
      </w:r>
      <w:r w:rsidRPr="00110E4B">
        <w:rPr>
          <w:rFonts w:ascii="Book Antiqua" w:hAnsi="Book Antiqua" w:cs="宋体"/>
          <w:sz w:val="24"/>
          <w:szCs w:val="24"/>
        </w:rPr>
        <w:t>: 787-795 [PMID: 21435922 DOI: 10.1016/j.jamcollsurg.2010.12.048]</w:t>
      </w:r>
    </w:p>
    <w:p w14:paraId="74D1DD66"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72 </w:t>
      </w:r>
      <w:r w:rsidRPr="00110E4B">
        <w:rPr>
          <w:rFonts w:ascii="Book Antiqua" w:hAnsi="Book Antiqua" w:cs="宋体"/>
          <w:b/>
          <w:bCs/>
          <w:sz w:val="24"/>
          <w:szCs w:val="24"/>
        </w:rPr>
        <w:t>Adam R</w:t>
      </w:r>
      <w:r w:rsidRPr="00110E4B">
        <w:rPr>
          <w:rFonts w:ascii="Book Antiqua" w:hAnsi="Book Antiqua" w:cs="宋体"/>
          <w:sz w:val="24"/>
          <w:szCs w:val="24"/>
        </w:rPr>
        <w:t xml:space="preserve">, Frilling A, Elias D, Laurent C, Ramos E, </w:t>
      </w:r>
      <w:proofErr w:type="spellStart"/>
      <w:r w:rsidRPr="00110E4B">
        <w:rPr>
          <w:rFonts w:ascii="Book Antiqua" w:hAnsi="Book Antiqua" w:cs="宋体"/>
          <w:sz w:val="24"/>
          <w:szCs w:val="24"/>
        </w:rPr>
        <w:t>Capussotti</w:t>
      </w:r>
      <w:proofErr w:type="spellEnd"/>
      <w:r w:rsidRPr="00110E4B">
        <w:rPr>
          <w:rFonts w:ascii="Book Antiqua" w:hAnsi="Book Antiqua" w:cs="宋体"/>
          <w:sz w:val="24"/>
          <w:szCs w:val="24"/>
        </w:rPr>
        <w:t xml:space="preserve"> L, Poston GJ, </w:t>
      </w:r>
      <w:proofErr w:type="spellStart"/>
      <w:r w:rsidRPr="00110E4B">
        <w:rPr>
          <w:rFonts w:ascii="Book Antiqua" w:hAnsi="Book Antiqua" w:cs="宋体"/>
          <w:sz w:val="24"/>
          <w:szCs w:val="24"/>
        </w:rPr>
        <w:t>Wicherts</w:t>
      </w:r>
      <w:proofErr w:type="spellEnd"/>
      <w:r w:rsidRPr="00110E4B">
        <w:rPr>
          <w:rFonts w:ascii="Book Antiqua" w:hAnsi="Book Antiqua" w:cs="宋体"/>
          <w:sz w:val="24"/>
          <w:szCs w:val="24"/>
        </w:rPr>
        <w:t xml:space="preserve"> DA, de Haas RJ. </w:t>
      </w:r>
      <w:proofErr w:type="gramStart"/>
      <w:r w:rsidRPr="00110E4B">
        <w:rPr>
          <w:rFonts w:ascii="Book Antiqua" w:hAnsi="Book Antiqua" w:cs="宋体"/>
          <w:sz w:val="24"/>
          <w:szCs w:val="24"/>
        </w:rPr>
        <w:t>Liver resection of colorectal metastases in elderly patients.</w:t>
      </w:r>
      <w:proofErr w:type="gramEnd"/>
      <w:r w:rsidRPr="00110E4B">
        <w:rPr>
          <w:rFonts w:ascii="Book Antiqua" w:hAnsi="Book Antiqua" w:cs="宋体"/>
          <w:sz w:val="24"/>
          <w:szCs w:val="24"/>
        </w:rPr>
        <w:t> </w:t>
      </w:r>
      <w:r w:rsidRPr="00110E4B">
        <w:rPr>
          <w:rFonts w:ascii="Book Antiqua" w:hAnsi="Book Antiqua" w:cs="宋体"/>
          <w:i/>
          <w:iCs/>
          <w:sz w:val="24"/>
          <w:szCs w:val="24"/>
        </w:rPr>
        <w:t xml:space="preserve">Br J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2010; </w:t>
      </w:r>
      <w:r w:rsidRPr="00110E4B">
        <w:rPr>
          <w:rFonts w:ascii="Book Antiqua" w:hAnsi="Book Antiqua" w:cs="宋体"/>
          <w:b/>
          <w:bCs/>
          <w:sz w:val="24"/>
          <w:szCs w:val="24"/>
        </w:rPr>
        <w:t>97</w:t>
      </w:r>
      <w:r w:rsidRPr="00110E4B">
        <w:rPr>
          <w:rFonts w:ascii="Book Antiqua" w:hAnsi="Book Antiqua" w:cs="宋体"/>
          <w:sz w:val="24"/>
          <w:szCs w:val="24"/>
        </w:rPr>
        <w:t>: 366-376 [PMID: 20101645 DOI: 10.1002/bjs.6889]</w:t>
      </w:r>
    </w:p>
    <w:p w14:paraId="32278BBD"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73 </w:t>
      </w:r>
      <w:proofErr w:type="spellStart"/>
      <w:r w:rsidRPr="00110E4B">
        <w:rPr>
          <w:rFonts w:ascii="Book Antiqua" w:hAnsi="Book Antiqua" w:cs="宋体"/>
          <w:b/>
          <w:bCs/>
          <w:sz w:val="24"/>
          <w:szCs w:val="24"/>
        </w:rPr>
        <w:t>Giovannini</w:t>
      </w:r>
      <w:proofErr w:type="spellEnd"/>
      <w:r w:rsidRPr="00110E4B">
        <w:rPr>
          <w:rFonts w:ascii="Book Antiqua" w:hAnsi="Book Antiqua" w:cs="宋体"/>
          <w:b/>
          <w:bCs/>
          <w:sz w:val="24"/>
          <w:szCs w:val="24"/>
        </w:rPr>
        <w:t xml:space="preserve"> I</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Chiarla</w:t>
      </w:r>
      <w:proofErr w:type="spellEnd"/>
      <w:r w:rsidRPr="00110E4B">
        <w:rPr>
          <w:rFonts w:ascii="Book Antiqua" w:hAnsi="Book Antiqua" w:cs="宋体"/>
          <w:sz w:val="24"/>
          <w:szCs w:val="24"/>
        </w:rPr>
        <w:t xml:space="preserve"> C, </w:t>
      </w:r>
      <w:proofErr w:type="spellStart"/>
      <w:r w:rsidRPr="00110E4B">
        <w:rPr>
          <w:rFonts w:ascii="Book Antiqua" w:hAnsi="Book Antiqua" w:cs="宋体"/>
          <w:sz w:val="24"/>
          <w:szCs w:val="24"/>
        </w:rPr>
        <w:t>Giuliante</w:t>
      </w:r>
      <w:proofErr w:type="spellEnd"/>
      <w:r w:rsidRPr="00110E4B">
        <w:rPr>
          <w:rFonts w:ascii="Book Antiqua" w:hAnsi="Book Antiqua" w:cs="宋体"/>
          <w:sz w:val="24"/>
          <w:szCs w:val="24"/>
        </w:rPr>
        <w:t xml:space="preserve"> F, </w:t>
      </w:r>
      <w:proofErr w:type="spellStart"/>
      <w:r w:rsidRPr="00110E4B">
        <w:rPr>
          <w:rFonts w:ascii="Book Antiqua" w:hAnsi="Book Antiqua" w:cs="宋体"/>
          <w:sz w:val="24"/>
          <w:szCs w:val="24"/>
        </w:rPr>
        <w:t>Vellone</w:t>
      </w:r>
      <w:proofErr w:type="spellEnd"/>
      <w:r w:rsidRPr="00110E4B">
        <w:rPr>
          <w:rFonts w:ascii="Book Antiqua" w:hAnsi="Book Antiqua" w:cs="宋体"/>
          <w:sz w:val="24"/>
          <w:szCs w:val="24"/>
        </w:rPr>
        <w:t xml:space="preserve"> M, </w:t>
      </w:r>
      <w:proofErr w:type="spellStart"/>
      <w:r w:rsidRPr="00110E4B">
        <w:rPr>
          <w:rFonts w:ascii="Book Antiqua" w:hAnsi="Book Antiqua" w:cs="宋体"/>
          <w:sz w:val="24"/>
          <w:szCs w:val="24"/>
        </w:rPr>
        <w:t>Ardito</w:t>
      </w:r>
      <w:proofErr w:type="spellEnd"/>
      <w:r w:rsidRPr="00110E4B">
        <w:rPr>
          <w:rFonts w:ascii="Book Antiqua" w:hAnsi="Book Antiqua" w:cs="宋体"/>
          <w:sz w:val="24"/>
          <w:szCs w:val="24"/>
        </w:rPr>
        <w:t xml:space="preserve"> F, </w:t>
      </w:r>
      <w:proofErr w:type="spellStart"/>
      <w:r w:rsidRPr="00110E4B">
        <w:rPr>
          <w:rFonts w:ascii="Book Antiqua" w:hAnsi="Book Antiqua" w:cs="宋体"/>
          <w:sz w:val="24"/>
          <w:szCs w:val="24"/>
        </w:rPr>
        <w:t>Nuzzo</w:t>
      </w:r>
      <w:proofErr w:type="spellEnd"/>
      <w:r w:rsidRPr="00110E4B">
        <w:rPr>
          <w:rFonts w:ascii="Book Antiqua" w:hAnsi="Book Antiqua" w:cs="宋体"/>
          <w:sz w:val="24"/>
          <w:szCs w:val="24"/>
        </w:rPr>
        <w:t xml:space="preserve"> G. </w:t>
      </w:r>
      <w:proofErr w:type="gramStart"/>
      <w:r w:rsidRPr="00110E4B">
        <w:rPr>
          <w:rFonts w:ascii="Book Antiqua" w:hAnsi="Book Antiqua" w:cs="宋体"/>
          <w:sz w:val="24"/>
          <w:szCs w:val="24"/>
        </w:rPr>
        <w:t>The relationship between albumin, other plasma proteins and variables, and age in the acute phase response after liver resection in man.</w:t>
      </w:r>
      <w:proofErr w:type="gramEnd"/>
      <w:r w:rsidRPr="00110E4B">
        <w:rPr>
          <w:rFonts w:ascii="Book Antiqua" w:hAnsi="Book Antiqua" w:cs="宋体"/>
          <w:sz w:val="24"/>
          <w:szCs w:val="24"/>
        </w:rPr>
        <w:t> </w:t>
      </w:r>
      <w:r w:rsidRPr="00110E4B">
        <w:rPr>
          <w:rFonts w:ascii="Book Antiqua" w:hAnsi="Book Antiqua" w:cs="宋体"/>
          <w:i/>
          <w:iCs/>
          <w:sz w:val="24"/>
          <w:szCs w:val="24"/>
        </w:rPr>
        <w:t>Amino Acids</w:t>
      </w:r>
      <w:r w:rsidRPr="00110E4B">
        <w:rPr>
          <w:rFonts w:ascii="Book Antiqua" w:hAnsi="Book Antiqua" w:cs="宋体"/>
          <w:sz w:val="24"/>
          <w:szCs w:val="24"/>
        </w:rPr>
        <w:t> 2006; </w:t>
      </w:r>
      <w:r w:rsidRPr="00110E4B">
        <w:rPr>
          <w:rFonts w:ascii="Book Antiqua" w:hAnsi="Book Antiqua" w:cs="宋体"/>
          <w:b/>
          <w:bCs/>
          <w:sz w:val="24"/>
          <w:szCs w:val="24"/>
        </w:rPr>
        <w:t>31</w:t>
      </w:r>
      <w:r w:rsidRPr="00110E4B">
        <w:rPr>
          <w:rFonts w:ascii="Book Antiqua" w:hAnsi="Book Antiqua" w:cs="宋体"/>
          <w:sz w:val="24"/>
          <w:szCs w:val="24"/>
        </w:rPr>
        <w:t>: 463-469 [PMID: 16583310 DOI: 10.1007/s00726-005-0287-5]</w:t>
      </w:r>
    </w:p>
    <w:p w14:paraId="3228AAE7"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74 </w:t>
      </w:r>
      <w:r w:rsidRPr="00110E4B">
        <w:rPr>
          <w:rFonts w:ascii="Book Antiqua" w:hAnsi="Book Antiqua" w:cs="宋体"/>
          <w:b/>
          <w:bCs/>
          <w:sz w:val="24"/>
          <w:szCs w:val="24"/>
        </w:rPr>
        <w:t>Durand F</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Buyse</w:t>
      </w:r>
      <w:proofErr w:type="spellEnd"/>
      <w:r w:rsidRPr="00110E4B">
        <w:rPr>
          <w:rFonts w:ascii="Book Antiqua" w:hAnsi="Book Antiqua" w:cs="宋体"/>
          <w:sz w:val="24"/>
          <w:szCs w:val="24"/>
        </w:rPr>
        <w:t xml:space="preserve"> S, </w:t>
      </w:r>
      <w:proofErr w:type="spellStart"/>
      <w:r w:rsidRPr="00110E4B">
        <w:rPr>
          <w:rFonts w:ascii="Book Antiqua" w:hAnsi="Book Antiqua" w:cs="宋体"/>
          <w:sz w:val="24"/>
          <w:szCs w:val="24"/>
        </w:rPr>
        <w:t>Francoz</w:t>
      </w:r>
      <w:proofErr w:type="spellEnd"/>
      <w:r w:rsidRPr="00110E4B">
        <w:rPr>
          <w:rFonts w:ascii="Book Antiqua" w:hAnsi="Book Antiqua" w:cs="宋体"/>
          <w:sz w:val="24"/>
          <w:szCs w:val="24"/>
        </w:rPr>
        <w:t xml:space="preserve"> C, </w:t>
      </w:r>
      <w:proofErr w:type="spellStart"/>
      <w:r w:rsidRPr="00110E4B">
        <w:rPr>
          <w:rFonts w:ascii="Book Antiqua" w:hAnsi="Book Antiqua" w:cs="宋体"/>
          <w:sz w:val="24"/>
          <w:szCs w:val="24"/>
        </w:rPr>
        <w:t>Laouénan</w:t>
      </w:r>
      <w:proofErr w:type="spellEnd"/>
      <w:r w:rsidRPr="00110E4B">
        <w:rPr>
          <w:rFonts w:ascii="Book Antiqua" w:hAnsi="Book Antiqua" w:cs="宋体"/>
          <w:sz w:val="24"/>
          <w:szCs w:val="24"/>
        </w:rPr>
        <w:t xml:space="preserve"> C, Bruno O, </w:t>
      </w:r>
      <w:proofErr w:type="spellStart"/>
      <w:r w:rsidRPr="00110E4B">
        <w:rPr>
          <w:rFonts w:ascii="Book Antiqua" w:hAnsi="Book Antiqua" w:cs="宋体"/>
          <w:sz w:val="24"/>
          <w:szCs w:val="24"/>
        </w:rPr>
        <w:t>Belghiti</w:t>
      </w:r>
      <w:proofErr w:type="spellEnd"/>
      <w:r w:rsidRPr="00110E4B">
        <w:rPr>
          <w:rFonts w:ascii="Book Antiqua" w:hAnsi="Book Antiqua" w:cs="宋体"/>
          <w:sz w:val="24"/>
          <w:szCs w:val="24"/>
        </w:rPr>
        <w:t xml:space="preserve"> J, Moreau R, </w:t>
      </w:r>
      <w:proofErr w:type="spellStart"/>
      <w:r w:rsidRPr="00110E4B">
        <w:rPr>
          <w:rFonts w:ascii="Book Antiqua" w:hAnsi="Book Antiqua" w:cs="宋体"/>
          <w:sz w:val="24"/>
          <w:szCs w:val="24"/>
        </w:rPr>
        <w:t>Vilgrain</w:t>
      </w:r>
      <w:proofErr w:type="spellEnd"/>
      <w:r w:rsidRPr="00110E4B">
        <w:rPr>
          <w:rFonts w:ascii="Book Antiqua" w:hAnsi="Book Antiqua" w:cs="宋体"/>
          <w:sz w:val="24"/>
          <w:szCs w:val="24"/>
        </w:rPr>
        <w:t xml:space="preserve"> V, Valla D. Prognostic value of muscle atrophy in cirrhosis using psoas muscle thickness on computed tomography.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Hepatol</w:t>
      </w:r>
      <w:proofErr w:type="spellEnd"/>
      <w:r w:rsidRPr="00110E4B">
        <w:rPr>
          <w:rFonts w:ascii="Book Antiqua" w:hAnsi="Book Antiqua" w:cs="宋体"/>
          <w:sz w:val="24"/>
          <w:szCs w:val="24"/>
        </w:rPr>
        <w:t> 2014; </w:t>
      </w:r>
      <w:r w:rsidRPr="00110E4B">
        <w:rPr>
          <w:rFonts w:ascii="Book Antiqua" w:hAnsi="Book Antiqua" w:cs="宋体"/>
          <w:b/>
          <w:bCs/>
          <w:sz w:val="24"/>
          <w:szCs w:val="24"/>
        </w:rPr>
        <w:t>60</w:t>
      </w:r>
      <w:r w:rsidRPr="00110E4B">
        <w:rPr>
          <w:rFonts w:ascii="Book Antiqua" w:hAnsi="Book Antiqua" w:cs="宋体"/>
          <w:sz w:val="24"/>
          <w:szCs w:val="24"/>
        </w:rPr>
        <w:t>: 1151-1157 [PMID: 24607622 DOI: 10.1016/j.jhep.2014.02.026]</w:t>
      </w:r>
    </w:p>
    <w:p w14:paraId="5D312034"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lastRenderedPageBreak/>
        <w:t>75 </w:t>
      </w:r>
      <w:r w:rsidRPr="00110E4B">
        <w:rPr>
          <w:rFonts w:ascii="Book Antiqua" w:hAnsi="Book Antiqua" w:cs="宋体"/>
          <w:b/>
          <w:bCs/>
          <w:sz w:val="24"/>
          <w:szCs w:val="24"/>
        </w:rPr>
        <w:t>Meza-Junco J</w:t>
      </w:r>
      <w:r w:rsidRPr="00110E4B">
        <w:rPr>
          <w:rFonts w:ascii="Book Antiqua" w:hAnsi="Book Antiqua" w:cs="宋体"/>
          <w:sz w:val="24"/>
          <w:szCs w:val="24"/>
        </w:rPr>
        <w:t>, Montano-</w:t>
      </w:r>
      <w:proofErr w:type="spellStart"/>
      <w:r w:rsidRPr="00110E4B">
        <w:rPr>
          <w:rFonts w:ascii="Book Antiqua" w:hAnsi="Book Antiqua" w:cs="宋体"/>
          <w:sz w:val="24"/>
          <w:szCs w:val="24"/>
        </w:rPr>
        <w:t>Loza</w:t>
      </w:r>
      <w:proofErr w:type="spellEnd"/>
      <w:r w:rsidRPr="00110E4B">
        <w:rPr>
          <w:rFonts w:ascii="Book Antiqua" w:hAnsi="Book Antiqua" w:cs="宋体"/>
          <w:sz w:val="24"/>
          <w:szCs w:val="24"/>
        </w:rPr>
        <w:t xml:space="preserve"> AJ, </w:t>
      </w:r>
      <w:proofErr w:type="spellStart"/>
      <w:r w:rsidRPr="00110E4B">
        <w:rPr>
          <w:rFonts w:ascii="Book Antiqua" w:hAnsi="Book Antiqua" w:cs="宋体"/>
          <w:sz w:val="24"/>
          <w:szCs w:val="24"/>
        </w:rPr>
        <w:t>Baracos</w:t>
      </w:r>
      <w:proofErr w:type="spellEnd"/>
      <w:r w:rsidRPr="00110E4B">
        <w:rPr>
          <w:rFonts w:ascii="Book Antiqua" w:hAnsi="Book Antiqua" w:cs="宋体"/>
          <w:sz w:val="24"/>
          <w:szCs w:val="24"/>
        </w:rPr>
        <w:t xml:space="preserve"> VE, Prado CM, Bain VG, Beaumont C, </w:t>
      </w:r>
      <w:proofErr w:type="spellStart"/>
      <w:r w:rsidRPr="00110E4B">
        <w:rPr>
          <w:rFonts w:ascii="Book Antiqua" w:hAnsi="Book Antiqua" w:cs="宋体"/>
          <w:sz w:val="24"/>
          <w:szCs w:val="24"/>
        </w:rPr>
        <w:t>Esfandiari</w:t>
      </w:r>
      <w:proofErr w:type="spellEnd"/>
      <w:r w:rsidRPr="00110E4B">
        <w:rPr>
          <w:rFonts w:ascii="Book Antiqua" w:hAnsi="Book Antiqua" w:cs="宋体"/>
          <w:sz w:val="24"/>
          <w:szCs w:val="24"/>
        </w:rPr>
        <w:t xml:space="preserve"> N, </w:t>
      </w:r>
      <w:proofErr w:type="spellStart"/>
      <w:r w:rsidRPr="00110E4B">
        <w:rPr>
          <w:rFonts w:ascii="Book Antiqua" w:hAnsi="Book Antiqua" w:cs="宋体"/>
          <w:sz w:val="24"/>
          <w:szCs w:val="24"/>
        </w:rPr>
        <w:t>Lieffers</w:t>
      </w:r>
      <w:proofErr w:type="spellEnd"/>
      <w:r w:rsidRPr="00110E4B">
        <w:rPr>
          <w:rFonts w:ascii="Book Antiqua" w:hAnsi="Book Antiqua" w:cs="宋体"/>
          <w:sz w:val="24"/>
          <w:szCs w:val="24"/>
        </w:rPr>
        <w:t xml:space="preserve"> JR, Sawyer MB. </w:t>
      </w:r>
      <w:proofErr w:type="gramStart"/>
      <w:r w:rsidRPr="00110E4B">
        <w:rPr>
          <w:rFonts w:ascii="Book Antiqua" w:hAnsi="Book Antiqua" w:cs="宋体"/>
          <w:sz w:val="24"/>
          <w:szCs w:val="24"/>
        </w:rPr>
        <w:t>Sarcopenia as a prognostic index of nutritional status in concurrent cirrhosis and hepatocellular carcinoma.</w:t>
      </w:r>
      <w:proofErr w:type="gramEnd"/>
      <w:r w:rsidRPr="00110E4B">
        <w:rPr>
          <w:rFonts w:ascii="Book Antiqua" w:hAnsi="Book Antiqua" w:cs="宋体"/>
          <w:sz w:val="24"/>
          <w:szCs w:val="24"/>
        </w:rPr>
        <w:t> </w:t>
      </w:r>
      <w:r w:rsidRPr="00110E4B">
        <w:rPr>
          <w:rFonts w:ascii="Book Antiqua" w:hAnsi="Book Antiqua" w:cs="宋体"/>
          <w:i/>
          <w:iCs/>
          <w:sz w:val="24"/>
          <w:szCs w:val="24"/>
        </w:rPr>
        <w:t xml:space="preserve">J </w:t>
      </w:r>
      <w:proofErr w:type="spellStart"/>
      <w:r w:rsidRPr="00110E4B">
        <w:rPr>
          <w:rFonts w:ascii="Book Antiqua" w:hAnsi="Book Antiqua" w:cs="宋体"/>
          <w:i/>
          <w:iCs/>
          <w:sz w:val="24"/>
          <w:szCs w:val="24"/>
        </w:rPr>
        <w:t>Clin</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Gastroenterol</w:t>
      </w:r>
      <w:proofErr w:type="spellEnd"/>
      <w:r w:rsidRPr="00110E4B">
        <w:rPr>
          <w:rFonts w:ascii="Book Antiqua" w:hAnsi="Book Antiqua" w:cs="宋体"/>
          <w:sz w:val="24"/>
          <w:szCs w:val="24"/>
        </w:rPr>
        <w:t> </w:t>
      </w:r>
      <w:r>
        <w:rPr>
          <w:rFonts w:ascii="Book Antiqua" w:hAnsi="Book Antiqua" w:cs="宋体" w:hint="eastAsia"/>
          <w:sz w:val="24"/>
          <w:szCs w:val="24"/>
        </w:rPr>
        <w:t>2013</w:t>
      </w:r>
      <w:r w:rsidRPr="00110E4B">
        <w:rPr>
          <w:rFonts w:ascii="Book Antiqua" w:hAnsi="Book Antiqua" w:cs="宋体"/>
          <w:sz w:val="24"/>
          <w:szCs w:val="24"/>
        </w:rPr>
        <w:t>; </w:t>
      </w:r>
      <w:r w:rsidRPr="00110E4B">
        <w:rPr>
          <w:rFonts w:ascii="Book Antiqua" w:hAnsi="Book Antiqua" w:cs="宋体"/>
          <w:b/>
          <w:bCs/>
          <w:sz w:val="24"/>
          <w:szCs w:val="24"/>
        </w:rPr>
        <w:t>47</w:t>
      </w:r>
      <w:r w:rsidRPr="00110E4B">
        <w:rPr>
          <w:rFonts w:ascii="Book Antiqua" w:hAnsi="Book Antiqua" w:cs="宋体"/>
          <w:sz w:val="24"/>
          <w:szCs w:val="24"/>
        </w:rPr>
        <w:t>: 861-870 [PMID: 23751844 DOI: 10.1097/MCG.0b013e318293a825]</w:t>
      </w:r>
    </w:p>
    <w:p w14:paraId="40AD6540"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76 </w:t>
      </w:r>
      <w:r w:rsidRPr="00110E4B">
        <w:rPr>
          <w:rFonts w:ascii="Book Antiqua" w:hAnsi="Book Antiqua" w:cs="宋体"/>
          <w:b/>
          <w:bCs/>
          <w:sz w:val="24"/>
          <w:szCs w:val="24"/>
        </w:rPr>
        <w:t>Masuda T</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Shirabe</w:t>
      </w:r>
      <w:proofErr w:type="spellEnd"/>
      <w:r w:rsidRPr="00110E4B">
        <w:rPr>
          <w:rFonts w:ascii="Book Antiqua" w:hAnsi="Book Antiqua" w:cs="宋体"/>
          <w:sz w:val="24"/>
          <w:szCs w:val="24"/>
        </w:rPr>
        <w:t xml:space="preserve"> K, Ikegami T, </w:t>
      </w:r>
      <w:proofErr w:type="spellStart"/>
      <w:r w:rsidRPr="00110E4B">
        <w:rPr>
          <w:rFonts w:ascii="Book Antiqua" w:hAnsi="Book Antiqua" w:cs="宋体"/>
          <w:sz w:val="24"/>
          <w:szCs w:val="24"/>
        </w:rPr>
        <w:t>Harimoto</w:t>
      </w:r>
      <w:proofErr w:type="spellEnd"/>
      <w:r w:rsidRPr="00110E4B">
        <w:rPr>
          <w:rFonts w:ascii="Book Antiqua" w:hAnsi="Book Antiqua" w:cs="宋体"/>
          <w:sz w:val="24"/>
          <w:szCs w:val="24"/>
        </w:rPr>
        <w:t xml:space="preserve"> N, </w:t>
      </w:r>
      <w:proofErr w:type="spellStart"/>
      <w:r w:rsidRPr="00110E4B">
        <w:rPr>
          <w:rFonts w:ascii="Book Antiqua" w:hAnsi="Book Antiqua" w:cs="宋体"/>
          <w:sz w:val="24"/>
          <w:szCs w:val="24"/>
        </w:rPr>
        <w:t>Yoshizumi</w:t>
      </w:r>
      <w:proofErr w:type="spellEnd"/>
      <w:r w:rsidRPr="00110E4B">
        <w:rPr>
          <w:rFonts w:ascii="Book Antiqua" w:hAnsi="Book Antiqua" w:cs="宋体"/>
          <w:sz w:val="24"/>
          <w:szCs w:val="24"/>
        </w:rPr>
        <w:t xml:space="preserve"> T, </w:t>
      </w:r>
      <w:proofErr w:type="spellStart"/>
      <w:r w:rsidRPr="00110E4B">
        <w:rPr>
          <w:rFonts w:ascii="Book Antiqua" w:hAnsi="Book Antiqua" w:cs="宋体"/>
          <w:sz w:val="24"/>
          <w:szCs w:val="24"/>
        </w:rPr>
        <w:t>Soejima</w:t>
      </w:r>
      <w:proofErr w:type="spellEnd"/>
      <w:r w:rsidRPr="00110E4B">
        <w:rPr>
          <w:rFonts w:ascii="Book Antiqua" w:hAnsi="Book Antiqua" w:cs="宋体"/>
          <w:sz w:val="24"/>
          <w:szCs w:val="24"/>
        </w:rPr>
        <w:t xml:space="preserve"> Y, Uchiyama H, Ikeda T, Baba H, </w:t>
      </w:r>
      <w:proofErr w:type="spellStart"/>
      <w:r w:rsidRPr="00110E4B">
        <w:rPr>
          <w:rFonts w:ascii="Book Antiqua" w:hAnsi="Book Antiqua" w:cs="宋体"/>
          <w:sz w:val="24"/>
          <w:szCs w:val="24"/>
        </w:rPr>
        <w:t>Maehara</w:t>
      </w:r>
      <w:proofErr w:type="spellEnd"/>
      <w:r w:rsidRPr="00110E4B">
        <w:rPr>
          <w:rFonts w:ascii="Book Antiqua" w:hAnsi="Book Antiqua" w:cs="宋体"/>
          <w:sz w:val="24"/>
          <w:szCs w:val="24"/>
        </w:rPr>
        <w:t xml:space="preserve"> Y. Sarcopenia is a prognostic factor in living donor liver transplantation. </w:t>
      </w:r>
      <w:r w:rsidRPr="00110E4B">
        <w:rPr>
          <w:rFonts w:ascii="Book Antiqua" w:hAnsi="Book Antiqua" w:cs="宋体"/>
          <w:i/>
          <w:iCs/>
          <w:sz w:val="24"/>
          <w:szCs w:val="24"/>
        </w:rPr>
        <w:t xml:space="preserve">Liver </w:t>
      </w:r>
      <w:proofErr w:type="spellStart"/>
      <w:r w:rsidRPr="00110E4B">
        <w:rPr>
          <w:rFonts w:ascii="Book Antiqua" w:hAnsi="Book Antiqua" w:cs="宋体"/>
          <w:i/>
          <w:iCs/>
          <w:sz w:val="24"/>
          <w:szCs w:val="24"/>
        </w:rPr>
        <w:t>Transpl</w:t>
      </w:r>
      <w:proofErr w:type="spellEnd"/>
      <w:r w:rsidRPr="00110E4B">
        <w:rPr>
          <w:rFonts w:ascii="Book Antiqua" w:hAnsi="Book Antiqua" w:cs="宋体"/>
          <w:sz w:val="24"/>
          <w:szCs w:val="24"/>
        </w:rPr>
        <w:t> 2014; </w:t>
      </w:r>
      <w:r w:rsidRPr="00110E4B">
        <w:rPr>
          <w:rFonts w:ascii="Book Antiqua" w:hAnsi="Book Antiqua" w:cs="宋体"/>
          <w:b/>
          <w:bCs/>
          <w:sz w:val="24"/>
          <w:szCs w:val="24"/>
        </w:rPr>
        <w:t>20</w:t>
      </w:r>
      <w:r w:rsidRPr="00110E4B">
        <w:rPr>
          <w:rFonts w:ascii="Book Antiqua" w:hAnsi="Book Antiqua" w:cs="宋体"/>
          <w:sz w:val="24"/>
          <w:szCs w:val="24"/>
        </w:rPr>
        <w:t>: 401-407 [PMID: 24357065 DOI: 10.1002/lt.23811]</w:t>
      </w:r>
    </w:p>
    <w:p w14:paraId="5712137A" w14:textId="77777777" w:rsidR="00033802" w:rsidRPr="00110E4B" w:rsidRDefault="00033802" w:rsidP="00CB2DFE">
      <w:pPr>
        <w:spacing w:after="0" w:line="360" w:lineRule="auto"/>
        <w:jc w:val="both"/>
        <w:rPr>
          <w:rFonts w:ascii="Book Antiqua" w:hAnsi="Book Antiqua" w:cs="宋体"/>
          <w:sz w:val="24"/>
          <w:szCs w:val="24"/>
        </w:rPr>
      </w:pPr>
      <w:proofErr w:type="gramStart"/>
      <w:r w:rsidRPr="00110E4B">
        <w:rPr>
          <w:rFonts w:ascii="Book Antiqua" w:hAnsi="Book Antiqua" w:cs="宋体"/>
          <w:sz w:val="24"/>
          <w:szCs w:val="24"/>
        </w:rPr>
        <w:t>77 </w:t>
      </w:r>
      <w:proofErr w:type="spellStart"/>
      <w:r w:rsidRPr="00110E4B">
        <w:rPr>
          <w:rFonts w:ascii="Book Antiqua" w:hAnsi="Book Antiqua" w:cs="宋体"/>
          <w:b/>
          <w:bCs/>
          <w:sz w:val="24"/>
          <w:szCs w:val="24"/>
        </w:rPr>
        <w:t>Riall</w:t>
      </w:r>
      <w:proofErr w:type="spellEnd"/>
      <w:r w:rsidRPr="00110E4B">
        <w:rPr>
          <w:rFonts w:ascii="Book Antiqua" w:hAnsi="Book Antiqua" w:cs="宋体"/>
          <w:b/>
          <w:bCs/>
          <w:sz w:val="24"/>
          <w:szCs w:val="24"/>
        </w:rPr>
        <w:t xml:space="preserve"> TS</w:t>
      </w:r>
      <w:r w:rsidRPr="00110E4B">
        <w:rPr>
          <w:rFonts w:ascii="Book Antiqua" w:hAnsi="Book Antiqua" w:cs="宋体"/>
          <w:sz w:val="24"/>
          <w:szCs w:val="24"/>
        </w:rPr>
        <w:t xml:space="preserve">, Reddy DM, </w:t>
      </w:r>
      <w:proofErr w:type="spellStart"/>
      <w:r w:rsidRPr="00110E4B">
        <w:rPr>
          <w:rFonts w:ascii="Book Antiqua" w:hAnsi="Book Antiqua" w:cs="宋体"/>
          <w:sz w:val="24"/>
          <w:szCs w:val="24"/>
        </w:rPr>
        <w:t>Nealon</w:t>
      </w:r>
      <w:proofErr w:type="spellEnd"/>
      <w:r w:rsidRPr="00110E4B">
        <w:rPr>
          <w:rFonts w:ascii="Book Antiqua" w:hAnsi="Book Antiqua" w:cs="宋体"/>
          <w:sz w:val="24"/>
          <w:szCs w:val="24"/>
        </w:rPr>
        <w:t xml:space="preserve"> WH, Goodwin JS.</w:t>
      </w:r>
      <w:proofErr w:type="gramEnd"/>
      <w:r w:rsidRPr="00110E4B">
        <w:rPr>
          <w:rFonts w:ascii="Book Antiqua" w:hAnsi="Book Antiqua" w:cs="宋体"/>
          <w:sz w:val="24"/>
          <w:szCs w:val="24"/>
        </w:rPr>
        <w:t xml:space="preserve"> The effect of age on short-term outcomes after pancreatic resection: a population-based study. </w:t>
      </w:r>
      <w:r w:rsidRPr="00110E4B">
        <w:rPr>
          <w:rFonts w:ascii="Book Antiqua" w:hAnsi="Book Antiqua" w:cs="宋体"/>
          <w:i/>
          <w:iCs/>
          <w:sz w:val="24"/>
          <w:szCs w:val="24"/>
        </w:rPr>
        <w:t xml:space="preserve">Ann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2008; </w:t>
      </w:r>
      <w:r w:rsidRPr="00110E4B">
        <w:rPr>
          <w:rFonts w:ascii="Book Antiqua" w:hAnsi="Book Antiqua" w:cs="宋体"/>
          <w:b/>
          <w:bCs/>
          <w:sz w:val="24"/>
          <w:szCs w:val="24"/>
        </w:rPr>
        <w:t>248</w:t>
      </w:r>
      <w:r w:rsidRPr="00110E4B">
        <w:rPr>
          <w:rFonts w:ascii="Book Antiqua" w:hAnsi="Book Antiqua" w:cs="宋体"/>
          <w:sz w:val="24"/>
          <w:szCs w:val="24"/>
        </w:rPr>
        <w:t>: 459-467 [PMID: 18791366 DOI: 10.1097/SLA.0b013e318185e1b3]</w:t>
      </w:r>
    </w:p>
    <w:p w14:paraId="6B82173E"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78 </w:t>
      </w:r>
      <w:proofErr w:type="spellStart"/>
      <w:r w:rsidRPr="00110E4B">
        <w:rPr>
          <w:rFonts w:ascii="Book Antiqua" w:hAnsi="Book Antiqua" w:cs="宋体"/>
          <w:b/>
          <w:bCs/>
          <w:sz w:val="24"/>
          <w:szCs w:val="24"/>
        </w:rPr>
        <w:t>Kow</w:t>
      </w:r>
      <w:proofErr w:type="spellEnd"/>
      <w:r w:rsidRPr="00110E4B">
        <w:rPr>
          <w:rFonts w:ascii="Book Antiqua" w:hAnsi="Book Antiqua" w:cs="宋体"/>
          <w:b/>
          <w:bCs/>
          <w:sz w:val="24"/>
          <w:szCs w:val="24"/>
        </w:rPr>
        <w:t xml:space="preserve"> AW</w:t>
      </w:r>
      <w:r w:rsidRPr="00110E4B">
        <w:rPr>
          <w:rFonts w:ascii="Book Antiqua" w:hAnsi="Book Antiqua" w:cs="宋体"/>
          <w:sz w:val="24"/>
          <w:szCs w:val="24"/>
        </w:rPr>
        <w:t xml:space="preserve">, </w:t>
      </w:r>
      <w:proofErr w:type="spellStart"/>
      <w:r w:rsidRPr="00110E4B">
        <w:rPr>
          <w:rFonts w:ascii="Book Antiqua" w:hAnsi="Book Antiqua" w:cs="宋体"/>
          <w:sz w:val="24"/>
          <w:szCs w:val="24"/>
        </w:rPr>
        <w:t>Sadayan</w:t>
      </w:r>
      <w:proofErr w:type="spellEnd"/>
      <w:r w:rsidRPr="00110E4B">
        <w:rPr>
          <w:rFonts w:ascii="Book Antiqua" w:hAnsi="Book Antiqua" w:cs="宋体"/>
          <w:sz w:val="24"/>
          <w:szCs w:val="24"/>
        </w:rPr>
        <w:t xml:space="preserve"> NA, Ernest A, Wang B, Chan CY, Ho CK, </w:t>
      </w:r>
      <w:proofErr w:type="spellStart"/>
      <w:r w:rsidRPr="00110E4B">
        <w:rPr>
          <w:rFonts w:ascii="Book Antiqua" w:hAnsi="Book Antiqua" w:cs="宋体"/>
          <w:sz w:val="24"/>
          <w:szCs w:val="24"/>
        </w:rPr>
        <w:t>Liau</w:t>
      </w:r>
      <w:proofErr w:type="spellEnd"/>
      <w:r w:rsidRPr="00110E4B">
        <w:rPr>
          <w:rFonts w:ascii="Book Antiqua" w:hAnsi="Book Antiqua" w:cs="宋体"/>
          <w:sz w:val="24"/>
          <w:szCs w:val="24"/>
        </w:rPr>
        <w:t xml:space="preserve"> KH. Is </w:t>
      </w:r>
      <w:proofErr w:type="spellStart"/>
      <w:r w:rsidRPr="00110E4B">
        <w:rPr>
          <w:rFonts w:ascii="Book Antiqua" w:hAnsi="Book Antiqua" w:cs="宋体"/>
          <w:sz w:val="24"/>
          <w:szCs w:val="24"/>
        </w:rPr>
        <w:t>pancreaticoduodenectomy</w:t>
      </w:r>
      <w:proofErr w:type="spellEnd"/>
      <w:r w:rsidRPr="00110E4B">
        <w:rPr>
          <w:rFonts w:ascii="Book Antiqua" w:hAnsi="Book Antiqua" w:cs="宋体"/>
          <w:sz w:val="24"/>
          <w:szCs w:val="24"/>
        </w:rPr>
        <w:t xml:space="preserve"> justified in elderly patients? </w:t>
      </w:r>
      <w:r w:rsidRPr="00110E4B">
        <w:rPr>
          <w:rFonts w:ascii="Book Antiqua" w:hAnsi="Book Antiqua" w:cs="宋体"/>
          <w:i/>
          <w:iCs/>
          <w:sz w:val="24"/>
          <w:szCs w:val="24"/>
        </w:rPr>
        <w:t>Surgeon</w:t>
      </w:r>
      <w:r w:rsidRPr="00110E4B">
        <w:rPr>
          <w:rFonts w:ascii="Book Antiqua" w:hAnsi="Book Antiqua" w:cs="宋体"/>
          <w:sz w:val="24"/>
          <w:szCs w:val="24"/>
        </w:rPr>
        <w:t> 2012; </w:t>
      </w:r>
      <w:r w:rsidRPr="00110E4B">
        <w:rPr>
          <w:rFonts w:ascii="Book Antiqua" w:hAnsi="Book Antiqua" w:cs="宋体"/>
          <w:b/>
          <w:bCs/>
          <w:sz w:val="24"/>
          <w:szCs w:val="24"/>
        </w:rPr>
        <w:t>10</w:t>
      </w:r>
      <w:r w:rsidRPr="00110E4B">
        <w:rPr>
          <w:rFonts w:ascii="Book Antiqua" w:hAnsi="Book Antiqua" w:cs="宋体"/>
          <w:sz w:val="24"/>
          <w:szCs w:val="24"/>
        </w:rPr>
        <w:t>: 128-136 [PMID: 22525414 DOI: 10.1016/j.surge.2011.02.005]</w:t>
      </w:r>
    </w:p>
    <w:p w14:paraId="78C2A340" w14:textId="77777777" w:rsidR="00033802" w:rsidRPr="00110E4B" w:rsidRDefault="00033802" w:rsidP="00CB2DFE">
      <w:pPr>
        <w:spacing w:after="0" w:line="360" w:lineRule="auto"/>
        <w:jc w:val="both"/>
        <w:rPr>
          <w:rFonts w:ascii="Book Antiqua" w:hAnsi="Book Antiqua" w:cs="宋体"/>
          <w:sz w:val="24"/>
          <w:szCs w:val="24"/>
        </w:rPr>
      </w:pPr>
      <w:r w:rsidRPr="00110E4B">
        <w:rPr>
          <w:rFonts w:ascii="Book Antiqua" w:hAnsi="Book Antiqua" w:cs="宋体"/>
          <w:sz w:val="24"/>
          <w:szCs w:val="24"/>
        </w:rPr>
        <w:t>79 </w:t>
      </w:r>
      <w:proofErr w:type="spellStart"/>
      <w:r w:rsidRPr="00110E4B">
        <w:rPr>
          <w:rFonts w:ascii="Book Antiqua" w:hAnsi="Book Antiqua" w:cs="宋体"/>
          <w:b/>
          <w:bCs/>
          <w:sz w:val="24"/>
          <w:szCs w:val="24"/>
        </w:rPr>
        <w:t>Tani</w:t>
      </w:r>
      <w:proofErr w:type="spellEnd"/>
      <w:r w:rsidRPr="00110E4B">
        <w:rPr>
          <w:rFonts w:ascii="Book Antiqua" w:hAnsi="Book Antiqua" w:cs="宋体"/>
          <w:b/>
          <w:bCs/>
          <w:sz w:val="24"/>
          <w:szCs w:val="24"/>
        </w:rPr>
        <w:t xml:space="preserve"> M</w:t>
      </w:r>
      <w:r w:rsidRPr="00110E4B">
        <w:rPr>
          <w:rFonts w:ascii="Book Antiqua" w:hAnsi="Book Antiqua" w:cs="宋体"/>
          <w:sz w:val="24"/>
          <w:szCs w:val="24"/>
        </w:rPr>
        <w:t xml:space="preserve">, Kawai M, </w:t>
      </w:r>
      <w:proofErr w:type="spellStart"/>
      <w:r w:rsidRPr="00110E4B">
        <w:rPr>
          <w:rFonts w:ascii="Book Antiqua" w:hAnsi="Book Antiqua" w:cs="宋体"/>
          <w:sz w:val="24"/>
          <w:szCs w:val="24"/>
        </w:rPr>
        <w:t>Hirono</w:t>
      </w:r>
      <w:proofErr w:type="spellEnd"/>
      <w:r w:rsidRPr="00110E4B">
        <w:rPr>
          <w:rFonts w:ascii="Book Antiqua" w:hAnsi="Book Antiqua" w:cs="宋体"/>
          <w:sz w:val="24"/>
          <w:szCs w:val="24"/>
        </w:rPr>
        <w:t xml:space="preserve"> S, Ina S, Miyazawa M, </w:t>
      </w:r>
      <w:proofErr w:type="spellStart"/>
      <w:r w:rsidRPr="00110E4B">
        <w:rPr>
          <w:rFonts w:ascii="Book Antiqua" w:hAnsi="Book Antiqua" w:cs="宋体"/>
          <w:sz w:val="24"/>
          <w:szCs w:val="24"/>
        </w:rPr>
        <w:t>Nishioka</w:t>
      </w:r>
      <w:proofErr w:type="spellEnd"/>
      <w:r w:rsidRPr="00110E4B">
        <w:rPr>
          <w:rFonts w:ascii="Book Antiqua" w:hAnsi="Book Antiqua" w:cs="宋体"/>
          <w:sz w:val="24"/>
          <w:szCs w:val="24"/>
        </w:rPr>
        <w:t xml:space="preserve"> R, Shimizu A, Uchiyama K, </w:t>
      </w:r>
      <w:proofErr w:type="spellStart"/>
      <w:r w:rsidRPr="00110E4B">
        <w:rPr>
          <w:rFonts w:ascii="Book Antiqua" w:hAnsi="Book Antiqua" w:cs="宋体"/>
          <w:sz w:val="24"/>
          <w:szCs w:val="24"/>
        </w:rPr>
        <w:t>Yamaue</w:t>
      </w:r>
      <w:proofErr w:type="spellEnd"/>
      <w:r w:rsidRPr="00110E4B">
        <w:rPr>
          <w:rFonts w:ascii="Book Antiqua" w:hAnsi="Book Antiqua" w:cs="宋体"/>
          <w:sz w:val="24"/>
          <w:szCs w:val="24"/>
        </w:rPr>
        <w:t xml:space="preserve"> H. A </w:t>
      </w:r>
      <w:proofErr w:type="spellStart"/>
      <w:r w:rsidRPr="00110E4B">
        <w:rPr>
          <w:rFonts w:ascii="Book Antiqua" w:hAnsi="Book Antiqua" w:cs="宋体"/>
          <w:sz w:val="24"/>
          <w:szCs w:val="24"/>
        </w:rPr>
        <w:t>pancreaticoduodenectomy</w:t>
      </w:r>
      <w:proofErr w:type="spellEnd"/>
      <w:r w:rsidRPr="00110E4B">
        <w:rPr>
          <w:rFonts w:ascii="Book Antiqua" w:hAnsi="Book Antiqua" w:cs="宋体"/>
          <w:sz w:val="24"/>
          <w:szCs w:val="24"/>
        </w:rPr>
        <w:t xml:space="preserve"> is acceptable for </w:t>
      </w:r>
      <w:proofErr w:type="spellStart"/>
      <w:r w:rsidRPr="00110E4B">
        <w:rPr>
          <w:rFonts w:ascii="Book Antiqua" w:hAnsi="Book Antiqua" w:cs="宋体"/>
          <w:sz w:val="24"/>
          <w:szCs w:val="24"/>
        </w:rPr>
        <w:t>periampullary</w:t>
      </w:r>
      <w:proofErr w:type="spellEnd"/>
      <w:r w:rsidRPr="00110E4B">
        <w:rPr>
          <w:rFonts w:ascii="Book Antiqua" w:hAnsi="Book Antiqua" w:cs="宋体"/>
          <w:sz w:val="24"/>
          <w:szCs w:val="24"/>
        </w:rPr>
        <w:t xml:space="preserve"> tumors in the elderly, even in patients over 80 years of age. </w:t>
      </w:r>
      <w:r w:rsidRPr="00110E4B">
        <w:rPr>
          <w:rFonts w:ascii="Book Antiqua" w:hAnsi="Book Antiqua" w:cs="宋体"/>
          <w:i/>
          <w:iCs/>
          <w:sz w:val="24"/>
          <w:szCs w:val="24"/>
        </w:rPr>
        <w:t xml:space="preserve">J Hepatobiliary </w:t>
      </w:r>
      <w:proofErr w:type="spellStart"/>
      <w:r w:rsidRPr="00110E4B">
        <w:rPr>
          <w:rFonts w:ascii="Book Antiqua" w:hAnsi="Book Antiqua" w:cs="宋体"/>
          <w:i/>
          <w:iCs/>
          <w:sz w:val="24"/>
          <w:szCs w:val="24"/>
        </w:rPr>
        <w:t>Pancreat</w:t>
      </w:r>
      <w:proofErr w:type="spellEnd"/>
      <w:r w:rsidRPr="00110E4B">
        <w:rPr>
          <w:rFonts w:ascii="Book Antiqua" w:hAnsi="Book Antiqua" w:cs="宋体"/>
          <w:i/>
          <w:iCs/>
          <w:sz w:val="24"/>
          <w:szCs w:val="24"/>
        </w:rPr>
        <w:t xml:space="preserve"> </w:t>
      </w:r>
      <w:proofErr w:type="spellStart"/>
      <w:r w:rsidRPr="00110E4B">
        <w:rPr>
          <w:rFonts w:ascii="Book Antiqua" w:hAnsi="Book Antiqua" w:cs="宋体"/>
          <w:i/>
          <w:iCs/>
          <w:sz w:val="24"/>
          <w:szCs w:val="24"/>
        </w:rPr>
        <w:t>Surg</w:t>
      </w:r>
      <w:proofErr w:type="spellEnd"/>
      <w:r w:rsidRPr="00110E4B">
        <w:rPr>
          <w:rFonts w:ascii="Book Antiqua" w:hAnsi="Book Antiqua" w:cs="宋体"/>
          <w:sz w:val="24"/>
          <w:szCs w:val="24"/>
        </w:rPr>
        <w:t> 2009; </w:t>
      </w:r>
      <w:r w:rsidRPr="00110E4B">
        <w:rPr>
          <w:rFonts w:ascii="Book Antiqua" w:hAnsi="Book Antiqua" w:cs="宋体"/>
          <w:b/>
          <w:bCs/>
          <w:sz w:val="24"/>
          <w:szCs w:val="24"/>
        </w:rPr>
        <w:t>16</w:t>
      </w:r>
      <w:r w:rsidRPr="00110E4B">
        <w:rPr>
          <w:rFonts w:ascii="Book Antiqua" w:hAnsi="Book Antiqua" w:cs="宋体"/>
          <w:sz w:val="24"/>
          <w:szCs w:val="24"/>
        </w:rPr>
        <w:t>: 675-680 [PMID: 19387530 DOI: 10.1007/s00534-009-0106-6]</w:t>
      </w:r>
    </w:p>
    <w:p w14:paraId="5DFDC682" w14:textId="77777777" w:rsidR="00033802" w:rsidRPr="00110E4B" w:rsidRDefault="00033802" w:rsidP="00CB2DFE">
      <w:pPr>
        <w:spacing w:after="0" w:line="360" w:lineRule="auto"/>
        <w:jc w:val="both"/>
        <w:rPr>
          <w:rFonts w:ascii="Book Antiqua" w:hAnsi="Book Antiqua" w:cs="宋体"/>
          <w:sz w:val="24"/>
          <w:szCs w:val="24"/>
        </w:rPr>
      </w:pPr>
      <w:proofErr w:type="gramStart"/>
      <w:r w:rsidRPr="00110E4B">
        <w:rPr>
          <w:rFonts w:ascii="Book Antiqua" w:hAnsi="Book Antiqua" w:cs="宋体"/>
          <w:sz w:val="24"/>
          <w:szCs w:val="24"/>
        </w:rPr>
        <w:t>80 </w:t>
      </w:r>
      <w:r w:rsidRPr="00110E4B">
        <w:rPr>
          <w:rFonts w:ascii="Book Antiqua" w:hAnsi="Book Antiqua" w:cs="宋体"/>
          <w:b/>
          <w:bCs/>
          <w:sz w:val="24"/>
          <w:szCs w:val="24"/>
        </w:rPr>
        <w:t>de la Fuente SG</w:t>
      </w:r>
      <w:r w:rsidRPr="00110E4B">
        <w:rPr>
          <w:rFonts w:ascii="Book Antiqua" w:hAnsi="Book Antiqua" w:cs="宋体"/>
          <w:sz w:val="24"/>
          <w:szCs w:val="24"/>
        </w:rPr>
        <w:t>, Bennett KM, Pappas TN, Scarborough JE.</w:t>
      </w:r>
      <w:proofErr w:type="gramEnd"/>
      <w:r w:rsidRPr="00110E4B">
        <w:rPr>
          <w:rFonts w:ascii="Book Antiqua" w:hAnsi="Book Antiqua" w:cs="宋体"/>
          <w:sz w:val="24"/>
          <w:szCs w:val="24"/>
        </w:rPr>
        <w:t xml:space="preserve"> </w:t>
      </w:r>
      <w:proofErr w:type="gramStart"/>
      <w:r w:rsidRPr="00110E4B">
        <w:rPr>
          <w:rFonts w:ascii="Book Antiqua" w:hAnsi="Book Antiqua" w:cs="宋体"/>
          <w:sz w:val="24"/>
          <w:szCs w:val="24"/>
        </w:rPr>
        <w:t xml:space="preserve">Pre- and intraoperative variables affecting early outcomes in elderly patients undergoing </w:t>
      </w:r>
      <w:proofErr w:type="spellStart"/>
      <w:r w:rsidRPr="00110E4B">
        <w:rPr>
          <w:rFonts w:ascii="Book Antiqua" w:hAnsi="Book Antiqua" w:cs="宋体"/>
          <w:sz w:val="24"/>
          <w:szCs w:val="24"/>
        </w:rPr>
        <w:t>pancreaticoduodenectomy</w:t>
      </w:r>
      <w:proofErr w:type="spellEnd"/>
      <w:r w:rsidRPr="00110E4B">
        <w:rPr>
          <w:rFonts w:ascii="Book Antiqua" w:hAnsi="Book Antiqua" w:cs="宋体"/>
          <w:sz w:val="24"/>
          <w:szCs w:val="24"/>
        </w:rPr>
        <w:t>.</w:t>
      </w:r>
      <w:proofErr w:type="gramEnd"/>
      <w:r w:rsidRPr="00110E4B">
        <w:rPr>
          <w:rFonts w:ascii="Book Antiqua" w:hAnsi="Book Antiqua" w:cs="宋体"/>
          <w:sz w:val="24"/>
          <w:szCs w:val="24"/>
        </w:rPr>
        <w:t> </w:t>
      </w:r>
      <w:r w:rsidRPr="00110E4B">
        <w:rPr>
          <w:rFonts w:ascii="Book Antiqua" w:hAnsi="Book Antiqua" w:cs="宋体"/>
          <w:i/>
          <w:iCs/>
          <w:sz w:val="24"/>
          <w:szCs w:val="24"/>
        </w:rPr>
        <w:t>HPB</w:t>
      </w:r>
      <w:r w:rsidRPr="00110E4B">
        <w:rPr>
          <w:rFonts w:ascii="Book Antiqua" w:hAnsi="Book Antiqua" w:cs="宋体"/>
          <w:iCs/>
          <w:sz w:val="24"/>
          <w:szCs w:val="24"/>
        </w:rPr>
        <w:t xml:space="preserve"> (Oxford)</w:t>
      </w:r>
      <w:r w:rsidRPr="00110E4B">
        <w:rPr>
          <w:rFonts w:ascii="Book Antiqua" w:hAnsi="Book Antiqua" w:cs="宋体"/>
          <w:sz w:val="24"/>
          <w:szCs w:val="24"/>
        </w:rPr>
        <w:t> 2011; </w:t>
      </w:r>
      <w:r w:rsidRPr="00110E4B">
        <w:rPr>
          <w:rFonts w:ascii="Book Antiqua" w:hAnsi="Book Antiqua" w:cs="宋体"/>
          <w:b/>
          <w:bCs/>
          <w:sz w:val="24"/>
          <w:szCs w:val="24"/>
        </w:rPr>
        <w:t>13</w:t>
      </w:r>
      <w:r w:rsidRPr="00110E4B">
        <w:rPr>
          <w:rFonts w:ascii="Book Antiqua" w:hAnsi="Book Antiqua" w:cs="宋体"/>
          <w:sz w:val="24"/>
          <w:szCs w:val="24"/>
        </w:rPr>
        <w:t>: 887-892 [PMID: 22081925 DOI: 10.1111/j.1477-2574.2011.00390.x]</w:t>
      </w:r>
    </w:p>
    <w:bookmarkEnd w:id="69"/>
    <w:bookmarkEnd w:id="70"/>
    <w:p w14:paraId="6BB55798" w14:textId="77777777" w:rsidR="00033802" w:rsidRPr="00110E4B" w:rsidRDefault="00033802" w:rsidP="00CB2DFE">
      <w:pPr>
        <w:spacing w:after="0" w:line="360" w:lineRule="auto"/>
        <w:jc w:val="both"/>
        <w:rPr>
          <w:rFonts w:ascii="Book Antiqua" w:hAnsi="Book Antiqua"/>
          <w:sz w:val="24"/>
          <w:szCs w:val="24"/>
        </w:rPr>
      </w:pPr>
    </w:p>
    <w:p w14:paraId="3BF7FF00" w14:textId="6895D804" w:rsidR="00B77A30" w:rsidRPr="00603AE1" w:rsidRDefault="00B77A30" w:rsidP="00CB2DFE">
      <w:pPr>
        <w:pStyle w:val="ListParagraph"/>
        <w:spacing w:after="0" w:line="360" w:lineRule="auto"/>
        <w:ind w:left="0"/>
        <w:jc w:val="right"/>
        <w:rPr>
          <w:rFonts w:ascii="Book Antiqua" w:hAnsi="Book Antiqua"/>
          <w:b/>
          <w:bCs/>
          <w:color w:val="000000"/>
          <w:sz w:val="24"/>
          <w:szCs w:val="24"/>
          <w:lang w:eastAsia="zh-CN"/>
        </w:rPr>
      </w:pPr>
      <w:r w:rsidRPr="00603AE1">
        <w:rPr>
          <w:rStyle w:val="Strong"/>
          <w:rFonts w:ascii="Book Antiqua" w:hAnsi="Book Antiqua" w:cs="Arial"/>
          <w:bCs w:val="0"/>
          <w:noProof/>
          <w:color w:val="000000"/>
          <w:sz w:val="24"/>
          <w:szCs w:val="24"/>
        </w:rPr>
        <w:t>P-Reviewer</w:t>
      </w:r>
      <w:r w:rsidRPr="00603AE1">
        <w:rPr>
          <w:rStyle w:val="Strong"/>
          <w:rFonts w:ascii="Book Antiqua" w:hAnsi="Book Antiqua" w:cs="Arial"/>
          <w:bCs w:val="0"/>
          <w:noProof/>
          <w:color w:val="000000"/>
          <w:sz w:val="24"/>
          <w:szCs w:val="24"/>
          <w:lang w:eastAsia="zh-CN"/>
        </w:rPr>
        <w:t>:</w:t>
      </w:r>
      <w:r w:rsidRPr="00603AE1">
        <w:rPr>
          <w:rFonts w:ascii="Book Antiqua" w:hAnsi="Book Antiqua"/>
          <w:bCs/>
          <w:color w:val="000000"/>
          <w:sz w:val="24"/>
          <w:szCs w:val="24"/>
        </w:rPr>
        <w:t xml:space="preserve"> Bramhall</w:t>
      </w:r>
      <w:r w:rsidRPr="00603AE1">
        <w:rPr>
          <w:rFonts w:ascii="Book Antiqua" w:hAnsi="Book Antiqua"/>
          <w:bCs/>
          <w:color w:val="000000"/>
          <w:sz w:val="24"/>
          <w:szCs w:val="24"/>
          <w:lang w:eastAsia="zh-CN"/>
        </w:rPr>
        <w:t xml:space="preserve"> S, </w:t>
      </w:r>
      <w:proofErr w:type="spellStart"/>
      <w:r w:rsidRPr="00603AE1">
        <w:rPr>
          <w:rFonts w:ascii="Book Antiqua" w:hAnsi="Book Antiqua"/>
          <w:bCs/>
          <w:color w:val="000000"/>
          <w:sz w:val="24"/>
          <w:szCs w:val="24"/>
          <w:lang w:eastAsia="zh-CN"/>
        </w:rPr>
        <w:t>Pera</w:t>
      </w:r>
      <w:proofErr w:type="spellEnd"/>
      <w:r w:rsidRPr="00603AE1">
        <w:rPr>
          <w:rFonts w:ascii="Book Antiqua" w:hAnsi="Book Antiqua"/>
          <w:bCs/>
          <w:color w:val="000000"/>
          <w:sz w:val="24"/>
          <w:szCs w:val="24"/>
          <w:lang w:eastAsia="zh-CN"/>
        </w:rPr>
        <w:t xml:space="preserve"> </w:t>
      </w:r>
      <w:proofErr w:type="gramStart"/>
      <w:r w:rsidRPr="00603AE1">
        <w:rPr>
          <w:rFonts w:ascii="Book Antiqua" w:hAnsi="Book Antiqua"/>
          <w:bCs/>
          <w:color w:val="000000"/>
          <w:sz w:val="24"/>
          <w:szCs w:val="24"/>
          <w:lang w:eastAsia="zh-CN"/>
        </w:rPr>
        <w:t>M</w:t>
      </w:r>
      <w:r w:rsidR="000A0F89">
        <w:rPr>
          <w:rFonts w:ascii="Book Antiqua" w:hAnsi="Book Antiqua"/>
          <w:bCs/>
          <w:color w:val="000000"/>
          <w:sz w:val="24"/>
          <w:szCs w:val="24"/>
        </w:rPr>
        <w:t xml:space="preserve"> </w:t>
      </w:r>
      <w:r w:rsidRPr="00603AE1">
        <w:rPr>
          <w:rFonts w:ascii="Book Antiqua" w:hAnsi="Book Antiqua"/>
          <w:bCs/>
          <w:color w:val="000000"/>
          <w:sz w:val="24"/>
          <w:szCs w:val="24"/>
        </w:rPr>
        <w:t xml:space="preserve"> </w:t>
      </w:r>
      <w:r w:rsidRPr="00603AE1">
        <w:rPr>
          <w:rFonts w:ascii="Book Antiqua" w:hAnsi="Book Antiqua"/>
          <w:b/>
          <w:bCs/>
          <w:color w:val="000000"/>
          <w:sz w:val="24"/>
          <w:szCs w:val="24"/>
        </w:rPr>
        <w:t>S</w:t>
      </w:r>
      <w:proofErr w:type="gramEnd"/>
      <w:r w:rsidRPr="00603AE1">
        <w:rPr>
          <w:rFonts w:ascii="Book Antiqua" w:hAnsi="Book Antiqua"/>
          <w:b/>
          <w:bCs/>
          <w:color w:val="000000"/>
          <w:sz w:val="24"/>
          <w:szCs w:val="24"/>
        </w:rPr>
        <w:t>-Editor</w:t>
      </w:r>
      <w:r w:rsidRPr="00603AE1">
        <w:rPr>
          <w:rFonts w:ascii="Book Antiqua" w:hAnsi="Book Antiqua"/>
          <w:b/>
          <w:bCs/>
          <w:color w:val="000000"/>
          <w:sz w:val="24"/>
          <w:szCs w:val="24"/>
          <w:lang w:eastAsia="zh-CN"/>
        </w:rPr>
        <w:t>:</w:t>
      </w:r>
      <w:r w:rsidRPr="00603AE1">
        <w:rPr>
          <w:rFonts w:ascii="Book Antiqua" w:hAnsi="Book Antiqua"/>
          <w:bCs/>
          <w:color w:val="000000"/>
          <w:sz w:val="24"/>
          <w:szCs w:val="24"/>
        </w:rPr>
        <w:t xml:space="preserve"> </w:t>
      </w:r>
      <w:r w:rsidRPr="00603AE1">
        <w:rPr>
          <w:rFonts w:ascii="Book Antiqua" w:hAnsi="Book Antiqua"/>
          <w:bCs/>
          <w:color w:val="000000"/>
          <w:sz w:val="24"/>
          <w:szCs w:val="24"/>
          <w:lang w:eastAsia="zh-CN"/>
        </w:rPr>
        <w:t>Qi Y</w:t>
      </w:r>
      <w:r w:rsidR="000A0F89">
        <w:rPr>
          <w:rFonts w:ascii="Book Antiqua" w:hAnsi="Book Antiqua"/>
          <w:b/>
          <w:bCs/>
          <w:color w:val="000000"/>
          <w:sz w:val="24"/>
          <w:szCs w:val="24"/>
        </w:rPr>
        <w:t xml:space="preserve"> </w:t>
      </w:r>
      <w:r w:rsidRPr="00603AE1">
        <w:rPr>
          <w:rFonts w:ascii="Book Antiqua" w:hAnsi="Book Antiqua"/>
          <w:b/>
          <w:bCs/>
          <w:color w:val="000000"/>
          <w:sz w:val="24"/>
          <w:szCs w:val="24"/>
        </w:rPr>
        <w:t xml:space="preserve"> L-Editor</w:t>
      </w:r>
      <w:r w:rsidRPr="00603AE1">
        <w:rPr>
          <w:rFonts w:ascii="Book Antiqua" w:hAnsi="Book Antiqua"/>
          <w:b/>
          <w:bCs/>
          <w:color w:val="000000"/>
          <w:sz w:val="24"/>
          <w:szCs w:val="24"/>
          <w:lang w:eastAsia="zh-CN"/>
        </w:rPr>
        <w:t>:</w:t>
      </w:r>
      <w:r w:rsidR="000A0F89">
        <w:rPr>
          <w:rFonts w:ascii="Book Antiqua" w:hAnsi="Book Antiqua"/>
          <w:b/>
          <w:bCs/>
          <w:color w:val="000000"/>
          <w:sz w:val="24"/>
          <w:szCs w:val="24"/>
        </w:rPr>
        <w:t xml:space="preserve"> </w:t>
      </w:r>
      <w:r w:rsidRPr="00603AE1">
        <w:rPr>
          <w:rFonts w:ascii="Book Antiqua" w:hAnsi="Book Antiqua"/>
          <w:b/>
          <w:bCs/>
          <w:color w:val="000000"/>
          <w:sz w:val="24"/>
          <w:szCs w:val="24"/>
        </w:rPr>
        <w:t xml:space="preserve"> E-Editor</w:t>
      </w:r>
      <w:r w:rsidRPr="00603AE1">
        <w:rPr>
          <w:rFonts w:ascii="Book Antiqua" w:hAnsi="Book Antiqua"/>
          <w:b/>
          <w:bCs/>
          <w:color w:val="000000"/>
          <w:sz w:val="24"/>
          <w:szCs w:val="24"/>
          <w:lang w:eastAsia="zh-CN"/>
        </w:rPr>
        <w:t>:</w:t>
      </w:r>
    </w:p>
    <w:bookmarkEnd w:id="55"/>
    <w:bookmarkEnd w:id="56"/>
    <w:bookmarkEnd w:id="57"/>
    <w:bookmarkEnd w:id="58"/>
    <w:bookmarkEnd w:id="59"/>
    <w:bookmarkEnd w:id="60"/>
    <w:bookmarkEnd w:id="61"/>
    <w:p w14:paraId="0017EEFF" w14:textId="5D696E86" w:rsidR="004F25FB" w:rsidRPr="00B77A30" w:rsidRDefault="002F5F98" w:rsidP="00CB2DFE">
      <w:pPr>
        <w:autoSpaceDE w:val="0"/>
        <w:autoSpaceDN w:val="0"/>
        <w:adjustRightInd w:val="0"/>
        <w:snapToGrid w:val="0"/>
        <w:spacing w:after="0" w:line="360" w:lineRule="auto"/>
        <w:jc w:val="both"/>
        <w:rPr>
          <w:rFonts w:ascii="Book Antiqua" w:hAnsi="Book Antiqua" w:cs="Times New Roman"/>
          <w:b/>
          <w:noProof/>
          <w:sz w:val="24"/>
          <w:szCs w:val="24"/>
        </w:rPr>
        <w:sectPr w:rsidR="004F25FB" w:rsidRPr="00B77A30">
          <w:footerReference w:type="default" r:id="rId10"/>
          <w:pgSz w:w="12240" w:h="15840"/>
          <w:pgMar w:top="1440" w:right="1440" w:bottom="1440" w:left="1440" w:header="720" w:footer="720" w:gutter="0"/>
          <w:cols w:space="720"/>
          <w:docGrid w:linePitch="360"/>
        </w:sectPr>
      </w:pPr>
      <w:r w:rsidRPr="00B77A30">
        <w:rPr>
          <w:rFonts w:ascii="Book Antiqua" w:hAnsi="Book Antiqua" w:cs="Times New Roman"/>
          <w:b/>
          <w:sz w:val="24"/>
          <w:szCs w:val="24"/>
        </w:rPr>
        <w:fldChar w:fldCharType="begin"/>
      </w:r>
      <w:r w:rsidRPr="00B77A30">
        <w:rPr>
          <w:rFonts w:ascii="Book Antiqua" w:hAnsi="Book Antiqua" w:cs="Times New Roman"/>
          <w:b/>
          <w:sz w:val="24"/>
          <w:szCs w:val="24"/>
        </w:rPr>
        <w:instrText xml:space="preserve"> ADDIN EN.REFLIST </w:instrText>
      </w:r>
      <w:r w:rsidRPr="00B77A30">
        <w:rPr>
          <w:rFonts w:ascii="Book Antiqua" w:hAnsi="Book Antiqua" w:cs="Times New Roman"/>
          <w:b/>
          <w:sz w:val="24"/>
          <w:szCs w:val="24"/>
        </w:rPr>
        <w:fldChar w:fldCharType="separate"/>
      </w:r>
    </w:p>
    <w:p w14:paraId="5ADCB0FB" w14:textId="60802BFE" w:rsidR="004F25FB" w:rsidRPr="00B77A30" w:rsidRDefault="00B77A30" w:rsidP="00CB2DFE">
      <w:pPr>
        <w:spacing w:after="0" w:line="360" w:lineRule="auto"/>
        <w:jc w:val="both"/>
        <w:rPr>
          <w:rFonts w:ascii="Book Antiqua" w:hAnsi="Book Antiqua" w:cs="Times New Roman"/>
          <w:sz w:val="24"/>
          <w:szCs w:val="24"/>
          <w:lang w:eastAsia="zh-CN"/>
        </w:rPr>
      </w:pPr>
      <w:r w:rsidRPr="00B77A30">
        <w:rPr>
          <w:rFonts w:ascii="Book Antiqua" w:hAnsi="Book Antiqua" w:cs="Times New Roman"/>
          <w:b/>
          <w:sz w:val="24"/>
          <w:szCs w:val="24"/>
        </w:rPr>
        <w:lastRenderedPageBreak/>
        <w:t>Figure 1</w:t>
      </w:r>
      <w:r w:rsidRPr="00B77A30">
        <w:rPr>
          <w:rFonts w:ascii="Book Antiqua" w:hAnsi="Book Antiqua" w:cs="Times New Roman"/>
          <w:b/>
          <w:sz w:val="24"/>
          <w:szCs w:val="24"/>
          <w:lang w:eastAsia="zh-CN"/>
        </w:rPr>
        <w:t xml:space="preserve"> </w:t>
      </w:r>
      <w:r w:rsidR="004F25FB" w:rsidRPr="008808CF">
        <w:rPr>
          <w:rFonts w:ascii="Book Antiqua" w:hAnsi="Book Antiqua" w:cs="Times New Roman"/>
          <w:b/>
          <w:sz w:val="24"/>
          <w:szCs w:val="24"/>
        </w:rPr>
        <w:t xml:space="preserve">Flow chart depicting the review process for the inclusion of publications. </w:t>
      </w:r>
    </w:p>
    <w:p w14:paraId="1586D9A5" w14:textId="084B4168" w:rsidR="00B77A30" w:rsidRPr="00B77A30" w:rsidRDefault="005F75A6" w:rsidP="00CB2DFE">
      <w:pPr>
        <w:spacing w:after="0" w:line="360" w:lineRule="auto"/>
        <w:jc w:val="both"/>
        <w:rPr>
          <w:rFonts w:ascii="Book Antiqua" w:hAnsi="Book Antiqua" w:cs="Times New Roman"/>
          <w:b/>
          <w:sz w:val="24"/>
          <w:szCs w:val="24"/>
          <w:lang w:eastAsia="zh-CN"/>
        </w:rPr>
      </w:pPr>
      <w:r>
        <w:rPr>
          <w:noProof/>
        </w:rPr>
        <w:drawing>
          <wp:inline distT="0" distB="0" distL="0" distR="0" wp14:anchorId="4A18EF9F" wp14:editId="39AD937C">
            <wp:extent cx="5486400" cy="39674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967480"/>
                    </a:xfrm>
                    <a:prstGeom prst="rect">
                      <a:avLst/>
                    </a:prstGeom>
                  </pic:spPr>
                </pic:pic>
              </a:graphicData>
            </a:graphic>
          </wp:inline>
        </w:drawing>
      </w:r>
    </w:p>
    <w:p w14:paraId="6D5A7830" w14:textId="77777777" w:rsidR="005F75A6" w:rsidRDefault="005F75A6" w:rsidP="00CB2DFE">
      <w:pPr>
        <w:spacing w:after="0"/>
        <w:rPr>
          <w:rFonts w:ascii="Book Antiqua" w:hAnsi="Book Antiqua" w:cs="Times New Roman"/>
          <w:b/>
          <w:sz w:val="24"/>
          <w:szCs w:val="24"/>
        </w:rPr>
      </w:pPr>
      <w:r>
        <w:rPr>
          <w:rFonts w:ascii="Book Antiqua" w:hAnsi="Book Antiqua" w:cs="Times New Roman"/>
          <w:b/>
          <w:sz w:val="24"/>
          <w:szCs w:val="24"/>
        </w:rPr>
        <w:br w:type="page"/>
      </w:r>
    </w:p>
    <w:p w14:paraId="11318C9C" w14:textId="4724E463" w:rsidR="004F25FB" w:rsidRDefault="00B77A30" w:rsidP="00CB2DFE">
      <w:pPr>
        <w:spacing w:after="0" w:line="360" w:lineRule="auto"/>
        <w:jc w:val="both"/>
        <w:rPr>
          <w:rFonts w:ascii="Book Antiqua" w:hAnsi="Book Antiqua" w:cs="Times New Roman"/>
          <w:sz w:val="24"/>
          <w:szCs w:val="24"/>
          <w:lang w:eastAsia="zh-CN"/>
        </w:rPr>
      </w:pPr>
      <w:r w:rsidRPr="00B77A30">
        <w:rPr>
          <w:rFonts w:ascii="Book Antiqua" w:hAnsi="Book Antiqua" w:cs="Times New Roman"/>
          <w:b/>
          <w:sz w:val="24"/>
          <w:szCs w:val="24"/>
        </w:rPr>
        <w:lastRenderedPageBreak/>
        <w:t>Figure 2</w:t>
      </w:r>
      <w:r w:rsidRPr="00B77A30">
        <w:rPr>
          <w:rFonts w:ascii="Book Antiqua" w:hAnsi="Book Antiqua" w:cs="Times New Roman"/>
          <w:b/>
          <w:sz w:val="24"/>
          <w:szCs w:val="24"/>
          <w:lang w:eastAsia="zh-CN"/>
        </w:rPr>
        <w:t xml:space="preserve"> </w:t>
      </w:r>
      <w:r w:rsidR="008808CF" w:rsidRPr="008808CF">
        <w:rPr>
          <w:rFonts w:ascii="Book Antiqua" w:hAnsi="Book Antiqua" w:cs="Times New Roman"/>
          <w:b/>
          <w:sz w:val="24"/>
          <w:szCs w:val="24"/>
          <w:lang w:eastAsia="zh-CN"/>
        </w:rPr>
        <w:t>power of frailty to predict worse outcomes was much higher than traditional peri-operative assessments</w:t>
      </w:r>
      <w:r w:rsidR="008808CF">
        <w:rPr>
          <w:rFonts w:ascii="Book Antiqua" w:hAnsi="Book Antiqua" w:cs="Times New Roman" w:hint="eastAsia"/>
          <w:b/>
          <w:sz w:val="24"/>
          <w:szCs w:val="24"/>
          <w:lang w:eastAsia="zh-CN"/>
        </w:rPr>
        <w:t xml:space="preserve">. </w:t>
      </w:r>
      <w:r w:rsidR="004F25FB" w:rsidRPr="00B77A30">
        <w:rPr>
          <w:rFonts w:ascii="Book Antiqua" w:hAnsi="Book Antiqua" w:cs="Times New Roman"/>
          <w:sz w:val="24"/>
          <w:szCs w:val="24"/>
        </w:rPr>
        <w:t>A</w:t>
      </w:r>
      <w:r w:rsidR="008808CF">
        <w:rPr>
          <w:rFonts w:ascii="Book Antiqua" w:hAnsi="Book Antiqua" w:cs="Times New Roman" w:hint="eastAsia"/>
          <w:sz w:val="24"/>
          <w:szCs w:val="24"/>
          <w:lang w:eastAsia="zh-CN"/>
        </w:rPr>
        <w:t>:</w:t>
      </w:r>
      <w:r w:rsidR="004F25FB" w:rsidRPr="00B77A30">
        <w:rPr>
          <w:rFonts w:ascii="Book Antiqua" w:hAnsi="Book Antiqua" w:cs="Times New Roman"/>
          <w:sz w:val="24"/>
          <w:szCs w:val="24"/>
        </w:rPr>
        <w:t xml:space="preserve"> American Society of Anesthesiologists (ASA)</w:t>
      </w:r>
      <w:r w:rsidR="008808CF">
        <w:rPr>
          <w:rFonts w:ascii="Book Antiqua" w:hAnsi="Book Antiqua" w:cs="Times New Roman" w:hint="eastAsia"/>
          <w:sz w:val="24"/>
          <w:szCs w:val="24"/>
          <w:lang w:eastAsia="zh-CN"/>
        </w:rPr>
        <w:t xml:space="preserve">; </w:t>
      </w:r>
      <w:r w:rsidR="004F25FB" w:rsidRPr="00B77A30">
        <w:rPr>
          <w:rFonts w:ascii="Book Antiqua" w:hAnsi="Book Antiqua" w:cs="Times New Roman"/>
          <w:sz w:val="24"/>
          <w:szCs w:val="24"/>
        </w:rPr>
        <w:t>B</w:t>
      </w:r>
      <w:r w:rsidR="008808CF">
        <w:rPr>
          <w:rFonts w:ascii="Book Antiqua" w:hAnsi="Book Antiqua" w:cs="Times New Roman" w:hint="eastAsia"/>
          <w:sz w:val="24"/>
          <w:szCs w:val="24"/>
          <w:lang w:eastAsia="zh-CN"/>
        </w:rPr>
        <w:t>:</w:t>
      </w:r>
      <w:r w:rsidR="004F25FB" w:rsidRPr="00B77A30">
        <w:rPr>
          <w:rFonts w:ascii="Book Antiqua" w:hAnsi="Book Antiqua" w:cs="Times New Roman"/>
          <w:sz w:val="24"/>
          <w:szCs w:val="24"/>
        </w:rPr>
        <w:t xml:space="preserve"> Lee</w:t>
      </w:r>
      <w:r w:rsidR="008808CF">
        <w:rPr>
          <w:rFonts w:ascii="Book Antiqua" w:hAnsi="Book Antiqua" w:cs="Times New Roman" w:hint="eastAsia"/>
          <w:sz w:val="24"/>
          <w:szCs w:val="24"/>
          <w:lang w:eastAsia="zh-CN"/>
        </w:rPr>
        <w:t>;</w:t>
      </w:r>
      <w:r w:rsidR="008808CF">
        <w:rPr>
          <w:rFonts w:ascii="Book Antiqua" w:hAnsi="Book Antiqua" w:cs="Times New Roman"/>
          <w:sz w:val="24"/>
          <w:szCs w:val="24"/>
        </w:rPr>
        <w:t xml:space="preserve"> and </w:t>
      </w:r>
      <w:r w:rsidR="004F25FB" w:rsidRPr="00B77A30">
        <w:rPr>
          <w:rFonts w:ascii="Book Antiqua" w:hAnsi="Book Antiqua" w:cs="Times New Roman"/>
          <w:sz w:val="24"/>
          <w:szCs w:val="24"/>
        </w:rPr>
        <w:t>C</w:t>
      </w:r>
      <w:r w:rsidR="008808CF">
        <w:rPr>
          <w:rFonts w:ascii="Book Antiqua" w:hAnsi="Book Antiqua" w:cs="Times New Roman" w:hint="eastAsia"/>
          <w:sz w:val="24"/>
          <w:szCs w:val="24"/>
          <w:lang w:eastAsia="zh-CN"/>
        </w:rPr>
        <w:t>:</w:t>
      </w:r>
      <w:r w:rsidR="004F25FB" w:rsidRPr="00B77A30">
        <w:rPr>
          <w:rFonts w:ascii="Book Antiqua" w:hAnsi="Book Antiqua" w:cs="Times New Roman"/>
          <w:sz w:val="24"/>
          <w:szCs w:val="24"/>
        </w:rPr>
        <w:t xml:space="preserve"> Eagle risk indices. Each panel shows the area under the receiver operator characteristics (ROC) curve to demonstrate the ability of the speciﬁc risk index to predict surgical complications and discharge to an assisted or skilled nursing facility. Frailty was added to the risk index scoring to demonstrate the combined ability of these indices to predict discharge disposition. Used with permission Makary </w:t>
      </w:r>
      <w:r w:rsidR="004F25FB" w:rsidRPr="008808CF">
        <w:rPr>
          <w:rFonts w:ascii="Book Antiqua" w:hAnsi="Book Antiqua" w:cs="Times New Roman"/>
          <w:i/>
          <w:sz w:val="24"/>
          <w:szCs w:val="24"/>
        </w:rPr>
        <w:t>et al</w:t>
      </w:r>
      <w:r w:rsidR="004F25FB" w:rsidRPr="00B77A30">
        <w:rPr>
          <w:rFonts w:ascii="Book Antiqua" w:hAnsi="Book Antiqua" w:cs="Times New Roman"/>
          <w:sz w:val="24"/>
          <w:szCs w:val="24"/>
        </w:rPr>
        <w:t xml:space="preserve"> 2010.</w:t>
      </w:r>
    </w:p>
    <w:p w14:paraId="46252A5F" w14:textId="64DA70A1" w:rsidR="00B77A30" w:rsidRDefault="005F75A6" w:rsidP="00CB2DFE">
      <w:pPr>
        <w:spacing w:after="0" w:line="360" w:lineRule="auto"/>
        <w:jc w:val="both"/>
        <w:rPr>
          <w:rFonts w:ascii="Book Antiqua" w:hAnsi="Book Antiqua" w:cs="Times New Roman"/>
          <w:b/>
          <w:sz w:val="24"/>
          <w:szCs w:val="24"/>
          <w:lang w:eastAsia="zh-CN"/>
        </w:rPr>
      </w:pPr>
      <w:r>
        <w:rPr>
          <w:noProof/>
        </w:rPr>
        <w:drawing>
          <wp:inline distT="0" distB="0" distL="0" distR="0" wp14:anchorId="73508EE9" wp14:editId="01DD7BC7">
            <wp:extent cx="1743075" cy="12270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47827" cy="1230356"/>
                    </a:xfrm>
                    <a:prstGeom prst="rect">
                      <a:avLst/>
                    </a:prstGeom>
                  </pic:spPr>
                </pic:pic>
              </a:graphicData>
            </a:graphic>
          </wp:inline>
        </w:drawing>
      </w:r>
      <w:r>
        <w:rPr>
          <w:rFonts w:ascii="Book Antiqua" w:hAnsi="Book Antiqua" w:cs="Times New Roman" w:hint="eastAsia"/>
          <w:b/>
          <w:sz w:val="24"/>
          <w:szCs w:val="24"/>
          <w:lang w:eastAsia="zh-CN"/>
        </w:rPr>
        <w:t xml:space="preserve"> </w:t>
      </w:r>
      <w:r>
        <w:rPr>
          <w:noProof/>
        </w:rPr>
        <w:drawing>
          <wp:inline distT="0" distB="0" distL="0" distR="0" wp14:anchorId="7A8402CD" wp14:editId="7E3E6013">
            <wp:extent cx="1781175" cy="1270117"/>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87655" cy="1274738"/>
                    </a:xfrm>
                    <a:prstGeom prst="rect">
                      <a:avLst/>
                    </a:prstGeom>
                  </pic:spPr>
                </pic:pic>
              </a:graphicData>
            </a:graphic>
          </wp:inline>
        </w:drawing>
      </w:r>
      <w:r w:rsidRPr="005F75A6">
        <w:rPr>
          <w:noProof/>
          <w:lang w:eastAsia="zh-CN"/>
        </w:rPr>
        <w:t xml:space="preserve"> </w:t>
      </w:r>
      <w:r>
        <w:rPr>
          <w:noProof/>
        </w:rPr>
        <w:drawing>
          <wp:inline distT="0" distB="0" distL="0" distR="0" wp14:anchorId="46572E5F" wp14:editId="74E73244">
            <wp:extent cx="1724025" cy="124053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28643" cy="1243862"/>
                    </a:xfrm>
                    <a:prstGeom prst="rect">
                      <a:avLst/>
                    </a:prstGeom>
                  </pic:spPr>
                </pic:pic>
              </a:graphicData>
            </a:graphic>
          </wp:inline>
        </w:drawing>
      </w:r>
    </w:p>
    <w:p w14:paraId="71299501" w14:textId="5864FFDB" w:rsidR="005F75A6" w:rsidRDefault="005F75A6" w:rsidP="00CB2DFE">
      <w:pPr>
        <w:spacing w:after="0"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A</w:t>
      </w:r>
      <w:r w:rsidR="000A0F89">
        <w:rPr>
          <w:rFonts w:ascii="Book Antiqua" w:hAnsi="Book Antiqua" w:cs="Times New Roman" w:hint="eastAsia"/>
          <w:b/>
          <w:sz w:val="24"/>
          <w:szCs w:val="24"/>
          <w:lang w:eastAsia="zh-CN"/>
        </w:rPr>
        <w:t xml:space="preserve">                           </w:t>
      </w:r>
      <w:r>
        <w:rPr>
          <w:rFonts w:ascii="Book Antiqua" w:hAnsi="Book Antiqua" w:cs="Times New Roman" w:hint="eastAsia"/>
          <w:b/>
          <w:sz w:val="24"/>
          <w:szCs w:val="24"/>
          <w:lang w:eastAsia="zh-CN"/>
        </w:rPr>
        <w:t xml:space="preserve"> B</w:t>
      </w:r>
      <w:r w:rsidR="000A0F89">
        <w:rPr>
          <w:rFonts w:ascii="Book Antiqua" w:hAnsi="Book Antiqua" w:cs="Times New Roman" w:hint="eastAsia"/>
          <w:b/>
          <w:sz w:val="24"/>
          <w:szCs w:val="24"/>
          <w:lang w:eastAsia="zh-CN"/>
        </w:rPr>
        <w:t xml:space="preserve">                    </w:t>
      </w:r>
      <w:r>
        <w:rPr>
          <w:rFonts w:ascii="Book Antiqua" w:hAnsi="Book Antiqua" w:cs="Times New Roman" w:hint="eastAsia"/>
          <w:b/>
          <w:sz w:val="24"/>
          <w:szCs w:val="24"/>
          <w:lang w:eastAsia="zh-CN"/>
        </w:rPr>
        <w:t>C</w:t>
      </w:r>
    </w:p>
    <w:p w14:paraId="634634FB" w14:textId="77777777" w:rsidR="005F75A6" w:rsidRDefault="005F75A6" w:rsidP="00CB2DFE">
      <w:pPr>
        <w:spacing w:after="0" w:line="360" w:lineRule="auto"/>
        <w:jc w:val="both"/>
        <w:rPr>
          <w:rFonts w:ascii="Book Antiqua" w:hAnsi="Book Antiqua" w:cs="Times New Roman"/>
          <w:b/>
          <w:sz w:val="24"/>
          <w:szCs w:val="24"/>
          <w:lang w:eastAsia="zh-CN"/>
        </w:rPr>
      </w:pPr>
    </w:p>
    <w:p w14:paraId="592872CD" w14:textId="77777777" w:rsidR="005F75A6" w:rsidRPr="00B77A30" w:rsidRDefault="005F75A6" w:rsidP="00CB2DFE">
      <w:pPr>
        <w:spacing w:after="0" w:line="360" w:lineRule="auto"/>
        <w:jc w:val="both"/>
        <w:rPr>
          <w:rFonts w:ascii="Book Antiqua" w:hAnsi="Book Antiqua" w:cs="Times New Roman"/>
          <w:b/>
          <w:sz w:val="24"/>
          <w:szCs w:val="24"/>
          <w:lang w:eastAsia="zh-CN"/>
        </w:rPr>
      </w:pPr>
    </w:p>
    <w:p w14:paraId="5D59D197" w14:textId="479564E6" w:rsidR="004F25FB" w:rsidRDefault="00B77A30" w:rsidP="00CB2DFE">
      <w:pPr>
        <w:spacing w:after="0" w:line="360" w:lineRule="auto"/>
        <w:jc w:val="both"/>
        <w:rPr>
          <w:rFonts w:ascii="Book Antiqua" w:hAnsi="Book Antiqua" w:cs="Times New Roman"/>
          <w:sz w:val="24"/>
          <w:szCs w:val="24"/>
          <w:lang w:eastAsia="zh-CN"/>
        </w:rPr>
      </w:pPr>
      <w:r>
        <w:rPr>
          <w:rFonts w:ascii="Book Antiqua" w:hAnsi="Book Antiqua" w:cs="Times New Roman"/>
          <w:b/>
          <w:sz w:val="24"/>
          <w:szCs w:val="24"/>
        </w:rPr>
        <w:t>Figure 3</w:t>
      </w:r>
      <w:r>
        <w:rPr>
          <w:rFonts w:ascii="Book Antiqua" w:hAnsi="Book Antiqua" w:cs="Times New Roman" w:hint="eastAsia"/>
          <w:b/>
          <w:sz w:val="24"/>
          <w:szCs w:val="24"/>
          <w:lang w:eastAsia="zh-CN"/>
        </w:rPr>
        <w:t xml:space="preserve"> </w:t>
      </w:r>
      <w:r w:rsidR="008F752F" w:rsidRPr="008F752F">
        <w:rPr>
          <w:rFonts w:ascii="Book Antiqua" w:hAnsi="Book Antiqua" w:cs="Times New Roman"/>
          <w:b/>
          <w:sz w:val="24"/>
          <w:szCs w:val="24"/>
          <w:lang w:eastAsia="zh-CN"/>
        </w:rPr>
        <w:t>define sarcopenia rather than a single axial image</w:t>
      </w:r>
      <w:r w:rsidR="008F752F">
        <w:rPr>
          <w:rFonts w:ascii="Book Antiqua" w:hAnsi="Book Antiqua" w:cs="Times New Roman" w:hint="eastAsia"/>
          <w:b/>
          <w:sz w:val="24"/>
          <w:szCs w:val="24"/>
          <w:lang w:eastAsia="zh-CN"/>
        </w:rPr>
        <w:t xml:space="preserve">. </w:t>
      </w:r>
      <w:r w:rsidR="008808CF" w:rsidRPr="00B77A30">
        <w:rPr>
          <w:rFonts w:ascii="Book Antiqua" w:hAnsi="Book Antiqua" w:cs="Times New Roman"/>
          <w:sz w:val="24"/>
          <w:szCs w:val="24"/>
        </w:rPr>
        <w:t>A</w:t>
      </w:r>
      <w:r w:rsidR="008F752F">
        <w:rPr>
          <w:rFonts w:ascii="Book Antiqua" w:hAnsi="Book Antiqua" w:cs="Times New Roman" w:hint="eastAsia"/>
          <w:sz w:val="24"/>
          <w:szCs w:val="24"/>
          <w:lang w:eastAsia="zh-CN"/>
        </w:rPr>
        <w:t xml:space="preserve">: </w:t>
      </w:r>
      <w:r w:rsidR="004F25FB" w:rsidRPr="00B77A30">
        <w:rPr>
          <w:rFonts w:ascii="Book Antiqua" w:hAnsi="Book Antiqua" w:cs="Times New Roman"/>
          <w:sz w:val="24"/>
          <w:szCs w:val="24"/>
        </w:rPr>
        <w:t xml:space="preserve">Total psoas area (TPA) is measured by circling both psoas muscles at the level of the patients CT where </w:t>
      </w:r>
      <w:r w:rsidR="008F752F">
        <w:rPr>
          <w:rFonts w:ascii="Book Antiqua" w:hAnsi="Book Antiqua" w:cs="Times New Roman"/>
          <w:sz w:val="24"/>
          <w:szCs w:val="24"/>
        </w:rPr>
        <w:t>both iliac crests are visible</w:t>
      </w:r>
      <w:r w:rsidR="008F752F">
        <w:rPr>
          <w:rFonts w:ascii="Book Antiqua" w:hAnsi="Book Antiqua" w:cs="Times New Roman" w:hint="eastAsia"/>
          <w:sz w:val="24"/>
          <w:szCs w:val="24"/>
          <w:lang w:eastAsia="zh-CN"/>
        </w:rPr>
        <w:t xml:space="preserve">; </w:t>
      </w:r>
      <w:r w:rsidR="008808CF" w:rsidRPr="00B77A30">
        <w:rPr>
          <w:rFonts w:ascii="Book Antiqua" w:hAnsi="Book Antiqua" w:cs="Times New Roman"/>
          <w:sz w:val="24"/>
          <w:szCs w:val="24"/>
        </w:rPr>
        <w:t>B</w:t>
      </w:r>
      <w:r w:rsidR="008F752F">
        <w:rPr>
          <w:rFonts w:ascii="Book Antiqua" w:hAnsi="Book Antiqua" w:cs="Times New Roman" w:hint="eastAsia"/>
          <w:sz w:val="24"/>
          <w:szCs w:val="24"/>
          <w:lang w:eastAsia="zh-CN"/>
        </w:rPr>
        <w:t>:</w:t>
      </w:r>
      <w:r w:rsidR="004F25FB" w:rsidRPr="00B77A30">
        <w:rPr>
          <w:rFonts w:ascii="Book Antiqua" w:hAnsi="Book Antiqua" w:cs="Times New Roman"/>
          <w:sz w:val="24"/>
          <w:szCs w:val="24"/>
        </w:rPr>
        <w:t xml:space="preserve"> Total psoas volume (TPV) is measured at the full length of the psoas muscles and normalized for the patients body surface area. Used with permission Amini </w:t>
      </w:r>
      <w:r w:rsidR="004F25FB" w:rsidRPr="008F752F">
        <w:rPr>
          <w:rFonts w:ascii="Book Antiqua" w:hAnsi="Book Antiqua" w:cs="Times New Roman"/>
          <w:i/>
          <w:sz w:val="24"/>
          <w:szCs w:val="24"/>
        </w:rPr>
        <w:t xml:space="preserve">et al </w:t>
      </w:r>
      <w:r w:rsidR="004F25FB" w:rsidRPr="00B77A30">
        <w:rPr>
          <w:rFonts w:ascii="Book Antiqua" w:hAnsi="Book Antiqua" w:cs="Times New Roman"/>
          <w:sz w:val="24"/>
          <w:szCs w:val="24"/>
        </w:rPr>
        <w:t xml:space="preserve">2015. </w:t>
      </w:r>
    </w:p>
    <w:p w14:paraId="17280BE1" w14:textId="51280DDE" w:rsidR="00B77A30" w:rsidRDefault="005F75A6" w:rsidP="00CB2DFE">
      <w:pPr>
        <w:spacing w:after="0" w:line="360" w:lineRule="auto"/>
        <w:jc w:val="both"/>
        <w:rPr>
          <w:rFonts w:ascii="Book Antiqua" w:hAnsi="Book Antiqua" w:cs="Times New Roman"/>
          <w:b/>
          <w:sz w:val="24"/>
          <w:szCs w:val="24"/>
          <w:lang w:eastAsia="zh-CN"/>
        </w:rPr>
      </w:pPr>
      <w:r>
        <w:rPr>
          <w:noProof/>
        </w:rPr>
        <w:drawing>
          <wp:inline distT="0" distB="0" distL="0" distR="0" wp14:anchorId="497786BD" wp14:editId="725290D6">
            <wp:extent cx="2409825" cy="24215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09825" cy="2421539"/>
                    </a:xfrm>
                    <a:prstGeom prst="rect">
                      <a:avLst/>
                    </a:prstGeom>
                  </pic:spPr>
                </pic:pic>
              </a:graphicData>
            </a:graphic>
          </wp:inline>
        </w:drawing>
      </w:r>
      <w:r w:rsidRPr="005F75A6">
        <w:rPr>
          <w:noProof/>
          <w:lang w:eastAsia="zh-CN"/>
        </w:rPr>
        <w:t xml:space="preserve"> </w:t>
      </w:r>
      <w:r>
        <w:rPr>
          <w:noProof/>
        </w:rPr>
        <w:drawing>
          <wp:inline distT="0" distB="0" distL="0" distR="0" wp14:anchorId="1C2D6E22" wp14:editId="179FCA96">
            <wp:extent cx="2388134" cy="241605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89694" cy="2417628"/>
                    </a:xfrm>
                    <a:prstGeom prst="rect">
                      <a:avLst/>
                    </a:prstGeom>
                  </pic:spPr>
                </pic:pic>
              </a:graphicData>
            </a:graphic>
          </wp:inline>
        </w:drawing>
      </w:r>
    </w:p>
    <w:p w14:paraId="648B4505" w14:textId="080410C0" w:rsidR="005F75A6" w:rsidRPr="00B77A30" w:rsidRDefault="005F75A6" w:rsidP="00CB2DFE">
      <w:pPr>
        <w:spacing w:after="0"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A</w:t>
      </w:r>
      <w:r w:rsidR="000A0F89">
        <w:rPr>
          <w:rFonts w:ascii="Book Antiqua" w:hAnsi="Book Antiqua" w:cs="Times New Roman" w:hint="eastAsia"/>
          <w:b/>
          <w:sz w:val="24"/>
          <w:szCs w:val="24"/>
          <w:lang w:eastAsia="zh-CN"/>
        </w:rPr>
        <w:t xml:space="preserve">                                 </w:t>
      </w:r>
      <w:r>
        <w:rPr>
          <w:rFonts w:ascii="Book Antiqua" w:hAnsi="Book Antiqua" w:cs="Times New Roman" w:hint="eastAsia"/>
          <w:b/>
          <w:sz w:val="24"/>
          <w:szCs w:val="24"/>
          <w:lang w:eastAsia="zh-CN"/>
        </w:rPr>
        <w:t>B</w:t>
      </w:r>
    </w:p>
    <w:p w14:paraId="4B9FA90B" w14:textId="77777777" w:rsidR="005F75A6" w:rsidRDefault="005F75A6" w:rsidP="00CB2DFE">
      <w:pPr>
        <w:spacing w:after="0"/>
        <w:rPr>
          <w:rFonts w:ascii="Book Antiqua" w:hAnsi="Book Antiqua" w:cs="Times New Roman"/>
          <w:b/>
          <w:sz w:val="24"/>
          <w:szCs w:val="24"/>
        </w:rPr>
      </w:pPr>
      <w:r>
        <w:rPr>
          <w:rFonts w:ascii="Book Antiqua" w:hAnsi="Book Antiqua" w:cs="Times New Roman"/>
          <w:b/>
          <w:sz w:val="24"/>
          <w:szCs w:val="24"/>
        </w:rPr>
        <w:lastRenderedPageBreak/>
        <w:br w:type="page"/>
      </w:r>
    </w:p>
    <w:p w14:paraId="28B0D30B" w14:textId="5987E57C" w:rsidR="00154C57" w:rsidRDefault="004F25FB" w:rsidP="00CB2DFE">
      <w:pPr>
        <w:spacing w:after="0" w:line="360" w:lineRule="auto"/>
        <w:jc w:val="both"/>
        <w:rPr>
          <w:rFonts w:ascii="Book Antiqua" w:hAnsi="Book Antiqua" w:cs="Times New Roman"/>
          <w:sz w:val="24"/>
          <w:szCs w:val="24"/>
          <w:lang w:eastAsia="zh-CN"/>
        </w:rPr>
      </w:pPr>
      <w:r w:rsidRPr="00B77A30">
        <w:rPr>
          <w:rFonts w:ascii="Book Antiqua" w:hAnsi="Book Antiqua" w:cs="Times New Roman"/>
          <w:b/>
          <w:sz w:val="24"/>
          <w:szCs w:val="24"/>
        </w:rPr>
        <w:lastRenderedPageBreak/>
        <w:t xml:space="preserve">Figure </w:t>
      </w:r>
      <w:r w:rsidR="00B77A30">
        <w:rPr>
          <w:rFonts w:ascii="Book Antiqua" w:hAnsi="Book Antiqua" w:cs="Times New Roman"/>
          <w:b/>
          <w:sz w:val="24"/>
          <w:szCs w:val="24"/>
        </w:rPr>
        <w:t>4</w:t>
      </w:r>
      <w:r w:rsidR="00B77A30">
        <w:rPr>
          <w:rFonts w:ascii="Book Antiqua" w:hAnsi="Book Antiqua" w:cs="Times New Roman" w:hint="eastAsia"/>
          <w:b/>
          <w:sz w:val="24"/>
          <w:szCs w:val="24"/>
          <w:lang w:eastAsia="zh-CN"/>
        </w:rPr>
        <w:t xml:space="preserve"> </w:t>
      </w:r>
      <w:r w:rsidR="008F752F" w:rsidRPr="008F752F">
        <w:rPr>
          <w:rFonts w:ascii="Book Antiqua" w:hAnsi="Book Antiqua" w:cs="Times New Roman"/>
          <w:b/>
          <w:sz w:val="24"/>
          <w:szCs w:val="24"/>
          <w:lang w:eastAsia="zh-CN"/>
        </w:rPr>
        <w:t>Sarcopenia was associated with an</w:t>
      </w:r>
      <w:r w:rsidR="008F752F">
        <w:rPr>
          <w:rFonts w:ascii="Book Antiqua" w:hAnsi="Book Antiqua" w:cs="Times New Roman"/>
          <w:b/>
          <w:sz w:val="24"/>
          <w:szCs w:val="24"/>
          <w:lang w:eastAsia="zh-CN"/>
        </w:rPr>
        <w:t xml:space="preserve"> increased three year mortality</w:t>
      </w:r>
      <w:r w:rsidR="008F752F">
        <w:rPr>
          <w:rFonts w:ascii="Book Antiqua" w:hAnsi="Book Antiqua" w:cs="Times New Roman" w:hint="eastAsia"/>
          <w:b/>
          <w:sz w:val="24"/>
          <w:szCs w:val="24"/>
          <w:lang w:eastAsia="zh-CN"/>
        </w:rPr>
        <w:t xml:space="preserve">. </w:t>
      </w:r>
      <w:r w:rsidR="008808CF" w:rsidRPr="00B77A30">
        <w:rPr>
          <w:rFonts w:ascii="Book Antiqua" w:hAnsi="Book Antiqua" w:cs="Times New Roman"/>
          <w:sz w:val="24"/>
          <w:szCs w:val="24"/>
        </w:rPr>
        <w:t>A</w:t>
      </w:r>
      <w:r w:rsidR="008F752F">
        <w:rPr>
          <w:rFonts w:ascii="Book Antiqua" w:hAnsi="Book Antiqua" w:cs="Times New Roman" w:hint="eastAsia"/>
          <w:sz w:val="24"/>
          <w:szCs w:val="24"/>
          <w:lang w:eastAsia="zh-CN"/>
        </w:rPr>
        <w:t>:</w:t>
      </w:r>
      <w:r w:rsidRPr="00B77A30">
        <w:rPr>
          <w:rFonts w:ascii="Book Antiqua" w:hAnsi="Book Antiqua" w:cs="Times New Roman"/>
          <w:sz w:val="24"/>
          <w:szCs w:val="24"/>
        </w:rPr>
        <w:t xml:space="preserve"> The presence of sarcopenia was also associated with the risk of death (no sarcopenia, 18.0 mo</w:t>
      </w:r>
      <w:r w:rsidR="008808CF">
        <w:rPr>
          <w:rFonts w:ascii="Book Antiqua" w:hAnsi="Book Antiqua" w:cs="Times New Roman"/>
          <w:sz w:val="24"/>
          <w:szCs w:val="24"/>
        </w:rPr>
        <w:t xml:space="preserve">; 40.0 % </w:t>
      </w:r>
      <w:r w:rsidR="008808CF" w:rsidRPr="008808CF">
        <w:rPr>
          <w:rFonts w:ascii="Book Antiqua" w:hAnsi="Book Antiqua" w:cs="Times New Roman"/>
          <w:i/>
          <w:sz w:val="24"/>
          <w:szCs w:val="24"/>
        </w:rPr>
        <w:t>vs</w:t>
      </w:r>
      <w:r w:rsidRPr="00B77A30">
        <w:rPr>
          <w:rFonts w:ascii="Book Antiqua" w:hAnsi="Book Antiqua" w:cs="Times New Roman"/>
          <w:sz w:val="24"/>
          <w:szCs w:val="24"/>
        </w:rPr>
        <w:t xml:space="preserve"> sarcopenia, 13.7 </w:t>
      </w:r>
      <w:r w:rsidR="008808CF" w:rsidRPr="00B77A30">
        <w:rPr>
          <w:rFonts w:ascii="Book Antiqua" w:hAnsi="Book Antiqua" w:cs="Times New Roman"/>
          <w:sz w:val="24"/>
          <w:szCs w:val="24"/>
        </w:rPr>
        <w:t>mo</w:t>
      </w:r>
      <w:r w:rsidRPr="00B77A30">
        <w:rPr>
          <w:rFonts w:ascii="Book Antiqua" w:hAnsi="Book Antiqua" w:cs="Times New Roman"/>
          <w:sz w:val="24"/>
          <w:szCs w:val="24"/>
        </w:rPr>
        <w:t xml:space="preserve">; 23.0 % median, 3-year survival, respectively; </w:t>
      </w:r>
      <w:r w:rsidRPr="008F752F">
        <w:rPr>
          <w:rFonts w:ascii="Book Antiqua" w:hAnsi="Book Antiqua" w:cs="Times New Roman"/>
          <w:i/>
          <w:sz w:val="24"/>
          <w:szCs w:val="24"/>
        </w:rPr>
        <w:t>P</w:t>
      </w:r>
      <w:r w:rsidR="008F752F">
        <w:rPr>
          <w:rFonts w:ascii="Book Antiqua" w:hAnsi="Book Antiqua" w:cs="Times New Roman" w:hint="eastAsia"/>
          <w:sz w:val="24"/>
          <w:szCs w:val="24"/>
          <w:lang w:eastAsia="zh-CN"/>
        </w:rPr>
        <w:t xml:space="preserve"> </w:t>
      </w:r>
      <w:r w:rsidRPr="00B77A30">
        <w:rPr>
          <w:rFonts w:ascii="Book Antiqua" w:hAnsi="Book Antiqua" w:cs="Times New Roman"/>
          <w:sz w:val="24"/>
          <w:szCs w:val="24"/>
        </w:rPr>
        <w:t>=</w:t>
      </w:r>
      <w:r w:rsidR="008F752F">
        <w:rPr>
          <w:rFonts w:ascii="Book Antiqua" w:hAnsi="Book Antiqua" w:cs="Times New Roman" w:hint="eastAsia"/>
          <w:sz w:val="24"/>
          <w:szCs w:val="24"/>
          <w:lang w:eastAsia="zh-CN"/>
        </w:rPr>
        <w:t xml:space="preserve"> </w:t>
      </w:r>
      <w:r w:rsidRPr="00B77A30">
        <w:rPr>
          <w:rFonts w:ascii="Book Antiqua" w:hAnsi="Book Antiqua" w:cs="Times New Roman"/>
          <w:sz w:val="24"/>
          <w:szCs w:val="24"/>
        </w:rPr>
        <w:t>0.01) in patients undergoing pancreatic surgery.</w:t>
      </w:r>
      <w:r w:rsidR="000A0F89">
        <w:rPr>
          <w:rFonts w:ascii="Book Antiqua" w:hAnsi="Book Antiqua" w:cs="Times New Roman"/>
          <w:sz w:val="24"/>
          <w:szCs w:val="24"/>
        </w:rPr>
        <w:t xml:space="preserve"> </w:t>
      </w:r>
      <w:r w:rsidRPr="00B77A30">
        <w:rPr>
          <w:rFonts w:ascii="Book Antiqua" w:hAnsi="Book Antiqua" w:cs="Times New Roman"/>
          <w:sz w:val="24"/>
          <w:szCs w:val="24"/>
        </w:rPr>
        <w:t xml:space="preserve">Used with permission Peng </w:t>
      </w:r>
      <w:r w:rsidRPr="008808CF">
        <w:rPr>
          <w:rFonts w:ascii="Book Antiqua" w:hAnsi="Book Antiqua" w:cs="Times New Roman"/>
          <w:i/>
          <w:sz w:val="24"/>
          <w:szCs w:val="24"/>
        </w:rPr>
        <w:t xml:space="preserve">et al </w:t>
      </w:r>
      <w:r w:rsidRPr="00B77A30">
        <w:rPr>
          <w:rFonts w:ascii="Book Antiqua" w:hAnsi="Book Antiqua" w:cs="Times New Roman"/>
          <w:sz w:val="24"/>
          <w:szCs w:val="24"/>
        </w:rPr>
        <w:t>2012.</w:t>
      </w:r>
      <w:r w:rsidR="00B77A30">
        <w:rPr>
          <w:rFonts w:ascii="Book Antiqua" w:hAnsi="Book Antiqua" w:cs="Times New Roman" w:hint="eastAsia"/>
          <w:b/>
          <w:sz w:val="24"/>
          <w:szCs w:val="24"/>
          <w:lang w:eastAsia="zh-CN"/>
        </w:rPr>
        <w:t xml:space="preserve"> </w:t>
      </w:r>
      <w:r w:rsidR="008808CF" w:rsidRPr="00B77A30">
        <w:rPr>
          <w:rFonts w:ascii="Book Antiqua" w:hAnsi="Book Antiqua" w:cs="Times New Roman"/>
          <w:sz w:val="24"/>
          <w:szCs w:val="24"/>
        </w:rPr>
        <w:t>B</w:t>
      </w:r>
      <w:r w:rsidR="008F752F">
        <w:rPr>
          <w:rFonts w:ascii="Book Antiqua" w:hAnsi="Book Antiqua" w:cs="Times New Roman" w:hint="eastAsia"/>
          <w:sz w:val="24"/>
          <w:szCs w:val="24"/>
          <w:lang w:eastAsia="zh-CN"/>
        </w:rPr>
        <w:t xml:space="preserve">: </w:t>
      </w:r>
      <w:r w:rsidRPr="00B77A30">
        <w:rPr>
          <w:rFonts w:ascii="Book Antiqua" w:hAnsi="Book Antiqua" w:cs="Times New Roman"/>
          <w:sz w:val="24"/>
          <w:szCs w:val="24"/>
        </w:rPr>
        <w:t>The overall survival according to total psoas volume (TPV) stratified by (a) sarcopenia patients</w:t>
      </w:r>
      <w:r w:rsidR="008808CF" w:rsidRPr="008808CF">
        <w:rPr>
          <w:rFonts w:ascii="Book Antiqua" w:hAnsi="Book Antiqua" w:cs="Times New Roman"/>
          <w:i/>
          <w:sz w:val="24"/>
          <w:szCs w:val="24"/>
        </w:rPr>
        <w:t xml:space="preserve"> vs</w:t>
      </w:r>
      <w:r w:rsidRPr="00B77A30">
        <w:rPr>
          <w:rFonts w:ascii="Book Antiqua" w:hAnsi="Book Antiqua" w:cs="Times New Roman"/>
          <w:sz w:val="24"/>
          <w:szCs w:val="24"/>
        </w:rPr>
        <w:t xml:space="preserve"> no sarcopenia patients (b) quartiles in patients undergoing pancreatic surgeries.</w:t>
      </w:r>
      <w:r w:rsidR="008F752F">
        <w:rPr>
          <w:rFonts w:ascii="Book Antiqua" w:hAnsi="Book Antiqua" w:cs="Times New Roman" w:hint="eastAsia"/>
          <w:sz w:val="24"/>
          <w:szCs w:val="24"/>
          <w:lang w:eastAsia="zh-CN"/>
        </w:rPr>
        <w:t xml:space="preserve"> </w:t>
      </w:r>
      <w:r w:rsidRPr="00B77A30">
        <w:rPr>
          <w:rFonts w:ascii="Book Antiqua" w:hAnsi="Book Antiqua" w:cs="Times New Roman"/>
          <w:sz w:val="24"/>
          <w:szCs w:val="24"/>
        </w:rPr>
        <w:t xml:space="preserve">Used with permission Amini </w:t>
      </w:r>
      <w:r w:rsidRPr="008808CF">
        <w:rPr>
          <w:rFonts w:ascii="Book Antiqua" w:hAnsi="Book Antiqua" w:cs="Times New Roman"/>
          <w:i/>
          <w:sz w:val="24"/>
          <w:szCs w:val="24"/>
        </w:rPr>
        <w:t>et al</w:t>
      </w:r>
      <w:r w:rsidRPr="00B77A30">
        <w:rPr>
          <w:rFonts w:ascii="Book Antiqua" w:hAnsi="Book Antiqua" w:cs="Times New Roman"/>
          <w:sz w:val="24"/>
          <w:szCs w:val="24"/>
        </w:rPr>
        <w:t xml:space="preserve"> 2015.</w:t>
      </w:r>
      <w:r w:rsidR="002F5F98" w:rsidRPr="00B77A30">
        <w:rPr>
          <w:rFonts w:ascii="Book Antiqua" w:hAnsi="Book Antiqua" w:cs="Times New Roman"/>
          <w:sz w:val="24"/>
          <w:szCs w:val="24"/>
        </w:rPr>
        <w:fldChar w:fldCharType="end"/>
      </w:r>
    </w:p>
    <w:p w14:paraId="6E74DE44" w14:textId="77777777" w:rsidR="005F75A6" w:rsidRDefault="005F75A6" w:rsidP="00CB2DFE">
      <w:pPr>
        <w:spacing w:after="0" w:line="360" w:lineRule="auto"/>
        <w:jc w:val="both"/>
        <w:rPr>
          <w:rFonts w:ascii="Book Antiqua" w:hAnsi="Book Antiqua" w:cs="Times New Roman"/>
          <w:sz w:val="24"/>
          <w:szCs w:val="24"/>
          <w:lang w:eastAsia="zh-CN"/>
        </w:rPr>
      </w:pPr>
    </w:p>
    <w:p w14:paraId="236D1B8B" w14:textId="38E1F11C" w:rsidR="005F75A6" w:rsidRDefault="005F75A6" w:rsidP="00CB2DFE">
      <w:pPr>
        <w:spacing w:after="0" w:line="360" w:lineRule="auto"/>
        <w:jc w:val="both"/>
        <w:rPr>
          <w:rFonts w:ascii="Book Antiqua" w:hAnsi="Book Antiqua" w:cs="Times New Roman"/>
          <w:b/>
          <w:sz w:val="24"/>
          <w:szCs w:val="24"/>
          <w:lang w:eastAsia="zh-CN"/>
        </w:rPr>
      </w:pPr>
      <w:r>
        <w:rPr>
          <w:noProof/>
          <w:lang w:eastAsia="zh-CN"/>
        </w:rPr>
        <w:t xml:space="preserve"> </w:t>
      </w:r>
      <w:r>
        <w:rPr>
          <w:noProof/>
        </w:rPr>
        <w:drawing>
          <wp:inline distT="0" distB="0" distL="0" distR="0" wp14:anchorId="68BAB987" wp14:editId="2762DDA9">
            <wp:extent cx="2438400" cy="179775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38400" cy="1797756"/>
                    </a:xfrm>
                    <a:prstGeom prst="rect">
                      <a:avLst/>
                    </a:prstGeom>
                  </pic:spPr>
                </pic:pic>
              </a:graphicData>
            </a:graphic>
          </wp:inline>
        </w:drawing>
      </w:r>
      <w:r>
        <w:rPr>
          <w:rFonts w:ascii="Book Antiqua" w:hAnsi="Book Antiqua" w:cs="Times New Roman" w:hint="eastAsia"/>
          <w:b/>
          <w:sz w:val="24"/>
          <w:szCs w:val="24"/>
          <w:lang w:eastAsia="zh-CN"/>
        </w:rPr>
        <w:t xml:space="preserve"> </w:t>
      </w:r>
      <w:r>
        <w:rPr>
          <w:noProof/>
        </w:rPr>
        <w:drawing>
          <wp:inline distT="0" distB="0" distL="0" distR="0" wp14:anchorId="4EEB94F7" wp14:editId="5FDC62A4">
            <wp:extent cx="2466975" cy="181139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66975" cy="1811399"/>
                    </a:xfrm>
                    <a:prstGeom prst="rect">
                      <a:avLst/>
                    </a:prstGeom>
                  </pic:spPr>
                </pic:pic>
              </a:graphicData>
            </a:graphic>
          </wp:inline>
        </w:drawing>
      </w:r>
    </w:p>
    <w:p w14:paraId="1DFB51E3" w14:textId="1BFCE31D" w:rsidR="005F75A6" w:rsidRDefault="005F75A6" w:rsidP="00CB2DFE">
      <w:pPr>
        <w:spacing w:after="0"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A</w:t>
      </w:r>
      <w:r w:rsidR="000A0F89">
        <w:rPr>
          <w:rFonts w:ascii="Book Antiqua" w:hAnsi="Book Antiqua" w:cs="Times New Roman" w:hint="eastAsia"/>
          <w:b/>
          <w:sz w:val="24"/>
          <w:szCs w:val="24"/>
          <w:lang w:eastAsia="zh-CN"/>
        </w:rPr>
        <w:t xml:space="preserve">                               </w:t>
      </w:r>
      <w:r>
        <w:rPr>
          <w:rFonts w:ascii="Book Antiqua" w:hAnsi="Book Antiqua" w:cs="Times New Roman" w:hint="eastAsia"/>
          <w:b/>
          <w:sz w:val="24"/>
          <w:szCs w:val="24"/>
          <w:lang w:eastAsia="zh-CN"/>
        </w:rPr>
        <w:t>B</w:t>
      </w:r>
    </w:p>
    <w:p w14:paraId="723E9782" w14:textId="77777777" w:rsidR="005F75A6" w:rsidRPr="00B77A30" w:rsidRDefault="005F75A6" w:rsidP="00CB2DFE">
      <w:pPr>
        <w:spacing w:after="0" w:line="360" w:lineRule="auto"/>
        <w:jc w:val="both"/>
        <w:rPr>
          <w:rFonts w:ascii="Book Antiqua" w:hAnsi="Book Antiqua" w:cs="Times New Roman"/>
          <w:b/>
          <w:sz w:val="24"/>
          <w:szCs w:val="24"/>
          <w:lang w:eastAsia="zh-CN"/>
        </w:rPr>
        <w:sectPr w:rsidR="005F75A6" w:rsidRPr="00B77A30" w:rsidSect="005473F3">
          <w:pgSz w:w="12240" w:h="15840"/>
          <w:pgMar w:top="1440" w:right="1440" w:bottom="1440" w:left="1440" w:header="0" w:footer="720" w:gutter="0"/>
          <w:cols w:space="720"/>
          <w:docGrid w:linePitch="360"/>
        </w:sectPr>
      </w:pPr>
    </w:p>
    <w:p w14:paraId="5F73E11C" w14:textId="3701EE5B" w:rsidR="00154C57" w:rsidRPr="00B77A30"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B77A30">
        <w:rPr>
          <w:rFonts w:ascii="Book Antiqua" w:eastAsia="Calibri" w:hAnsi="Book Antiqua" w:cs="Times New Roman"/>
          <w:b/>
          <w:kern w:val="2"/>
          <w:sz w:val="21"/>
          <w:szCs w:val="21"/>
        </w:rPr>
        <w:lastRenderedPageBreak/>
        <w:t>Table 1</w:t>
      </w:r>
      <w:r w:rsidRPr="00B77A30">
        <w:rPr>
          <w:rFonts w:ascii="Book Antiqua" w:eastAsia="Calibri" w:hAnsi="Book Antiqua" w:cs="Times New Roman"/>
          <w:kern w:val="2"/>
          <w:sz w:val="21"/>
          <w:szCs w:val="21"/>
        </w:rPr>
        <w:t xml:space="preserve"> </w:t>
      </w:r>
      <w:r w:rsidR="00B77A30" w:rsidRPr="00B77A30">
        <w:rPr>
          <w:rFonts w:ascii="Book Antiqua" w:eastAsia="Calibri" w:hAnsi="Book Antiqua" w:cs="Times New Roman"/>
          <w:b/>
          <w:kern w:val="2"/>
          <w:sz w:val="21"/>
          <w:szCs w:val="21"/>
        </w:rPr>
        <w:t xml:space="preserve">Complies </w:t>
      </w:r>
      <w:r w:rsidRPr="00B77A30">
        <w:rPr>
          <w:rFonts w:ascii="Book Antiqua" w:eastAsia="Calibri" w:hAnsi="Book Antiqua" w:cs="Times New Roman"/>
          <w:b/>
          <w:kern w:val="2"/>
          <w:sz w:val="21"/>
          <w:szCs w:val="21"/>
        </w:rPr>
        <w:t>all studies evaluated in patients undergoing esophageal or gastric resection</w:t>
      </w:r>
    </w:p>
    <w:tbl>
      <w:tblPr>
        <w:tblW w:w="0" w:type="auto"/>
        <w:tblLayout w:type="fixed"/>
        <w:tblLook w:val="04A0" w:firstRow="1" w:lastRow="0" w:firstColumn="1" w:lastColumn="0" w:noHBand="0" w:noVBand="1"/>
      </w:tblPr>
      <w:tblGrid>
        <w:gridCol w:w="1635"/>
        <w:gridCol w:w="551"/>
        <w:gridCol w:w="414"/>
        <w:gridCol w:w="468"/>
        <w:gridCol w:w="677"/>
        <w:gridCol w:w="449"/>
        <w:gridCol w:w="524"/>
        <w:gridCol w:w="1425"/>
        <w:gridCol w:w="1165"/>
        <w:gridCol w:w="510"/>
        <w:gridCol w:w="607"/>
        <w:gridCol w:w="607"/>
        <w:gridCol w:w="607"/>
        <w:gridCol w:w="650"/>
        <w:gridCol w:w="449"/>
        <w:gridCol w:w="1254"/>
        <w:gridCol w:w="1274"/>
      </w:tblGrid>
      <w:tr w:rsidR="00154C57" w:rsidRPr="008808CF" w14:paraId="42B71C74" w14:textId="77777777" w:rsidTr="00B77A30">
        <w:trPr>
          <w:cantSplit/>
          <w:trHeight w:val="1457"/>
        </w:trPr>
        <w:tc>
          <w:tcPr>
            <w:tcW w:w="1635" w:type="dxa"/>
            <w:tcBorders>
              <w:top w:val="single" w:sz="4" w:space="0" w:color="auto"/>
            </w:tcBorders>
            <w:vAlign w:val="center"/>
          </w:tcPr>
          <w:p w14:paraId="7B8FE81A"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Study</w:t>
            </w:r>
          </w:p>
        </w:tc>
        <w:tc>
          <w:tcPr>
            <w:tcW w:w="551" w:type="dxa"/>
            <w:tcBorders>
              <w:top w:val="single" w:sz="4" w:space="0" w:color="auto"/>
            </w:tcBorders>
            <w:vAlign w:val="center"/>
          </w:tcPr>
          <w:p w14:paraId="5AC83417"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Country</w:t>
            </w:r>
          </w:p>
        </w:tc>
        <w:tc>
          <w:tcPr>
            <w:tcW w:w="414" w:type="dxa"/>
            <w:tcBorders>
              <w:top w:val="single" w:sz="4" w:space="0" w:color="auto"/>
            </w:tcBorders>
            <w:vAlign w:val="center"/>
          </w:tcPr>
          <w:p w14:paraId="4D833FEE" w14:textId="113BE6FC" w:rsidR="00154C57" w:rsidRPr="008808CF" w:rsidRDefault="008808CF" w:rsidP="00CB2DFE">
            <w:pPr>
              <w:widowControl w:val="0"/>
              <w:suppressAutoHyphens/>
              <w:spacing w:after="0" w:line="360" w:lineRule="auto"/>
              <w:jc w:val="both"/>
              <w:rPr>
                <w:rFonts w:ascii="Book Antiqua" w:hAnsi="Book Antiqua" w:cs="Times New Roman"/>
                <w:b/>
                <w:kern w:val="2"/>
                <w:sz w:val="21"/>
                <w:szCs w:val="21"/>
                <w:lang w:eastAsia="zh-CN"/>
              </w:rPr>
            </w:pPr>
            <w:r>
              <w:rPr>
                <w:rFonts w:ascii="Book Antiqua" w:eastAsia="Calibri" w:hAnsi="Book Antiqua" w:cs="Times New Roman"/>
                <w:b/>
                <w:kern w:val="2"/>
                <w:sz w:val="21"/>
                <w:szCs w:val="21"/>
              </w:rPr>
              <w:t>Quality scor</w:t>
            </w:r>
            <w:r>
              <w:rPr>
                <w:rFonts w:ascii="Book Antiqua" w:hAnsi="Book Antiqua" w:cs="Times New Roman" w:hint="eastAsia"/>
                <w:b/>
                <w:kern w:val="2"/>
                <w:sz w:val="21"/>
                <w:szCs w:val="21"/>
                <w:vertAlign w:val="superscript"/>
                <w:lang w:eastAsia="zh-CN"/>
              </w:rPr>
              <w:t>1</w:t>
            </w:r>
          </w:p>
        </w:tc>
        <w:tc>
          <w:tcPr>
            <w:tcW w:w="468" w:type="dxa"/>
            <w:tcBorders>
              <w:top w:val="single" w:sz="4" w:space="0" w:color="auto"/>
            </w:tcBorders>
          </w:tcPr>
          <w:p w14:paraId="3F3864AE"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Study design</w:t>
            </w:r>
          </w:p>
        </w:tc>
        <w:tc>
          <w:tcPr>
            <w:tcW w:w="677" w:type="dxa"/>
            <w:tcBorders>
              <w:top w:val="single" w:sz="4" w:space="0" w:color="auto"/>
            </w:tcBorders>
            <w:vAlign w:val="center"/>
          </w:tcPr>
          <w:p w14:paraId="717B2B2B"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Sample size</w:t>
            </w:r>
          </w:p>
        </w:tc>
        <w:tc>
          <w:tcPr>
            <w:tcW w:w="449" w:type="dxa"/>
            <w:tcBorders>
              <w:top w:val="single" w:sz="4" w:space="0" w:color="auto"/>
            </w:tcBorders>
            <w:vAlign w:val="center"/>
          </w:tcPr>
          <w:p w14:paraId="1D340729" w14:textId="5E9122E6" w:rsidR="00154C57" w:rsidRPr="008808CF" w:rsidRDefault="008808CF"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Age (</w:t>
            </w:r>
            <w:proofErr w:type="spellStart"/>
            <w:r w:rsidRPr="008808CF">
              <w:rPr>
                <w:rFonts w:ascii="Book Antiqua" w:hAnsi="Book Antiqua" w:cs="Times New Roman" w:hint="eastAsia"/>
                <w:b/>
                <w:kern w:val="2"/>
                <w:sz w:val="21"/>
                <w:szCs w:val="21"/>
                <w:lang w:eastAsia="zh-CN"/>
              </w:rPr>
              <w:t>yr</w:t>
            </w:r>
            <w:proofErr w:type="spellEnd"/>
            <w:r w:rsidR="00154C57" w:rsidRPr="008808CF">
              <w:rPr>
                <w:rFonts w:ascii="Book Antiqua" w:eastAsia="Calibri" w:hAnsi="Book Antiqua" w:cs="Times New Roman"/>
                <w:b/>
                <w:kern w:val="2"/>
                <w:sz w:val="21"/>
                <w:szCs w:val="21"/>
              </w:rPr>
              <w:t>)</w:t>
            </w:r>
          </w:p>
        </w:tc>
        <w:tc>
          <w:tcPr>
            <w:tcW w:w="524" w:type="dxa"/>
            <w:tcBorders>
              <w:top w:val="single" w:sz="4" w:space="0" w:color="auto"/>
            </w:tcBorders>
            <w:vAlign w:val="center"/>
          </w:tcPr>
          <w:p w14:paraId="70037128"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Male sex (%)</w:t>
            </w:r>
          </w:p>
        </w:tc>
        <w:tc>
          <w:tcPr>
            <w:tcW w:w="1425" w:type="dxa"/>
            <w:tcBorders>
              <w:top w:val="single" w:sz="4" w:space="0" w:color="auto"/>
            </w:tcBorders>
            <w:vAlign w:val="center"/>
          </w:tcPr>
          <w:p w14:paraId="4F18ED63"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 xml:space="preserve">Surgery </w:t>
            </w:r>
          </w:p>
          <w:p w14:paraId="0A57D180"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 xml:space="preserve">type </w:t>
            </w:r>
          </w:p>
        </w:tc>
        <w:tc>
          <w:tcPr>
            <w:tcW w:w="1165" w:type="dxa"/>
            <w:tcBorders>
              <w:top w:val="single" w:sz="4" w:space="0" w:color="auto"/>
            </w:tcBorders>
            <w:vAlign w:val="center"/>
          </w:tcPr>
          <w:p w14:paraId="660CC981"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Parameter used to define frailty</w:t>
            </w:r>
          </w:p>
        </w:tc>
        <w:tc>
          <w:tcPr>
            <w:tcW w:w="510" w:type="dxa"/>
            <w:tcBorders>
              <w:top w:val="single" w:sz="4" w:space="0" w:color="auto"/>
            </w:tcBorders>
            <w:vAlign w:val="center"/>
          </w:tcPr>
          <w:p w14:paraId="139B47F0"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 xml:space="preserve">Postoperative complication rate </w:t>
            </w:r>
          </w:p>
        </w:tc>
        <w:tc>
          <w:tcPr>
            <w:tcW w:w="607" w:type="dxa"/>
            <w:tcBorders>
              <w:top w:val="single" w:sz="4" w:space="0" w:color="auto"/>
            </w:tcBorders>
            <w:vAlign w:val="center"/>
          </w:tcPr>
          <w:p w14:paraId="47236F25"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 xml:space="preserve">Follow-up </w:t>
            </w:r>
          </w:p>
          <w:p w14:paraId="356BB7AF"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(months)</w:t>
            </w:r>
          </w:p>
        </w:tc>
        <w:tc>
          <w:tcPr>
            <w:tcW w:w="607" w:type="dxa"/>
            <w:tcBorders>
              <w:top w:val="single" w:sz="4" w:space="0" w:color="auto"/>
            </w:tcBorders>
            <w:vAlign w:val="center"/>
          </w:tcPr>
          <w:p w14:paraId="007274DE" w14:textId="46996544"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 xml:space="preserve">30-d </w:t>
            </w:r>
          </w:p>
          <w:p w14:paraId="41FA1648"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Morbidity (%)</w:t>
            </w:r>
          </w:p>
        </w:tc>
        <w:tc>
          <w:tcPr>
            <w:tcW w:w="607" w:type="dxa"/>
            <w:tcBorders>
              <w:top w:val="single" w:sz="4" w:space="0" w:color="auto"/>
            </w:tcBorders>
            <w:vAlign w:val="center"/>
          </w:tcPr>
          <w:p w14:paraId="32359363" w14:textId="05CEC643"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 xml:space="preserve">30-d </w:t>
            </w:r>
          </w:p>
          <w:p w14:paraId="4C6409FE"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Mortality (%)</w:t>
            </w:r>
          </w:p>
        </w:tc>
        <w:tc>
          <w:tcPr>
            <w:tcW w:w="650" w:type="dxa"/>
            <w:tcBorders>
              <w:top w:val="single" w:sz="4" w:space="0" w:color="auto"/>
            </w:tcBorders>
            <w:vAlign w:val="center"/>
          </w:tcPr>
          <w:p w14:paraId="34E024A0" w14:textId="00F4B391"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 xml:space="preserve">1 </w:t>
            </w:r>
            <w:proofErr w:type="spellStart"/>
            <w:r w:rsidRPr="008808CF">
              <w:rPr>
                <w:rFonts w:ascii="Book Antiqua" w:eastAsia="Calibri" w:hAnsi="Book Antiqua" w:cs="Times New Roman"/>
                <w:b/>
                <w:kern w:val="2"/>
                <w:sz w:val="21"/>
                <w:szCs w:val="21"/>
              </w:rPr>
              <w:t>yr</w:t>
            </w:r>
            <w:proofErr w:type="spellEnd"/>
            <w:r w:rsidRPr="008808CF">
              <w:rPr>
                <w:rFonts w:ascii="Book Antiqua" w:eastAsia="Calibri" w:hAnsi="Book Antiqua" w:cs="Times New Roman"/>
                <w:b/>
                <w:kern w:val="2"/>
                <w:sz w:val="21"/>
                <w:szCs w:val="21"/>
              </w:rPr>
              <w:t xml:space="preserve"> OS (%)</w:t>
            </w:r>
          </w:p>
          <w:p w14:paraId="15E9CF51"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p>
        </w:tc>
        <w:tc>
          <w:tcPr>
            <w:tcW w:w="449" w:type="dxa"/>
            <w:tcBorders>
              <w:top w:val="single" w:sz="4" w:space="0" w:color="auto"/>
            </w:tcBorders>
            <w:vAlign w:val="center"/>
          </w:tcPr>
          <w:p w14:paraId="45C30AF3"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5-year OS (%)</w:t>
            </w:r>
          </w:p>
        </w:tc>
        <w:tc>
          <w:tcPr>
            <w:tcW w:w="1254" w:type="dxa"/>
            <w:tcBorders>
              <w:top w:val="single" w:sz="4" w:space="0" w:color="auto"/>
            </w:tcBorders>
          </w:tcPr>
          <w:p w14:paraId="6687F2C7"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Outcome parameter</w:t>
            </w:r>
          </w:p>
        </w:tc>
        <w:tc>
          <w:tcPr>
            <w:tcW w:w="1274" w:type="dxa"/>
            <w:tcBorders>
              <w:top w:val="single" w:sz="4" w:space="0" w:color="auto"/>
            </w:tcBorders>
            <w:vAlign w:val="center"/>
          </w:tcPr>
          <w:p w14:paraId="0879A8B8"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r w:rsidRPr="008808CF">
              <w:rPr>
                <w:rFonts w:ascii="Book Antiqua" w:eastAsia="Calibri" w:hAnsi="Book Antiqua" w:cs="Times New Roman"/>
                <w:b/>
                <w:kern w:val="2"/>
                <w:sz w:val="21"/>
                <w:szCs w:val="21"/>
              </w:rPr>
              <w:t>frailty /OS (OR)</w:t>
            </w:r>
          </w:p>
          <w:p w14:paraId="3E4A47F3" w14:textId="77777777" w:rsidR="00154C57" w:rsidRPr="008808CF" w:rsidRDefault="00154C57" w:rsidP="00CB2DFE">
            <w:pPr>
              <w:widowControl w:val="0"/>
              <w:suppressAutoHyphens/>
              <w:spacing w:after="0" w:line="360" w:lineRule="auto"/>
              <w:jc w:val="both"/>
              <w:rPr>
                <w:rFonts w:ascii="Book Antiqua" w:eastAsia="Calibri" w:hAnsi="Book Antiqua" w:cs="Times New Roman"/>
                <w:b/>
                <w:kern w:val="2"/>
                <w:sz w:val="21"/>
                <w:szCs w:val="21"/>
              </w:rPr>
            </w:pPr>
          </w:p>
        </w:tc>
      </w:tr>
      <w:tr w:rsidR="00154C57" w:rsidRPr="00B77A30" w14:paraId="3FC8570A" w14:textId="77777777" w:rsidTr="00BF0BA3">
        <w:trPr>
          <w:cantSplit/>
          <w:trHeight w:val="567"/>
        </w:trPr>
        <w:tc>
          <w:tcPr>
            <w:tcW w:w="1635" w:type="dxa"/>
            <w:tcBorders>
              <w:top w:val="single" w:sz="4" w:space="0" w:color="auto"/>
            </w:tcBorders>
            <w:vAlign w:val="center"/>
          </w:tcPr>
          <w:p w14:paraId="05CB6C8E" w14:textId="6597AF6F"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B77A30">
              <w:rPr>
                <w:rFonts w:ascii="Book Antiqua" w:eastAsia="Calibri" w:hAnsi="Book Antiqua" w:cs="Times New Roman"/>
                <w:kern w:val="2"/>
                <w:sz w:val="21"/>
                <w:szCs w:val="21"/>
              </w:rPr>
              <w:t>Hodari</w:t>
            </w:r>
            <w:proofErr w:type="spellEnd"/>
            <w:r w:rsidRPr="00CB2DFE">
              <w:rPr>
                <w:rFonts w:ascii="Book Antiqua" w:eastAsia="Calibri" w:hAnsi="Book Antiqua" w:cs="Times New Roman"/>
                <w:i/>
                <w:kern w:val="2"/>
                <w:sz w:val="21"/>
                <w:szCs w:val="21"/>
              </w:rPr>
              <w:t xml:space="preserve">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 xml:space="preserve">[34] </w:t>
            </w:r>
          </w:p>
        </w:tc>
        <w:tc>
          <w:tcPr>
            <w:tcW w:w="551" w:type="dxa"/>
            <w:tcBorders>
              <w:top w:val="single" w:sz="4" w:space="0" w:color="auto"/>
            </w:tcBorders>
            <w:vAlign w:val="center"/>
          </w:tcPr>
          <w:p w14:paraId="681031F7" w14:textId="561CF9DA" w:rsidR="00154C57" w:rsidRPr="00B77A30"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United States</w:t>
            </w:r>
          </w:p>
        </w:tc>
        <w:tc>
          <w:tcPr>
            <w:tcW w:w="414" w:type="dxa"/>
            <w:tcBorders>
              <w:top w:val="single" w:sz="4" w:space="0" w:color="auto"/>
            </w:tcBorders>
            <w:vAlign w:val="center"/>
          </w:tcPr>
          <w:p w14:paraId="5059BB47"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5</w:t>
            </w:r>
          </w:p>
        </w:tc>
        <w:tc>
          <w:tcPr>
            <w:tcW w:w="468" w:type="dxa"/>
            <w:tcBorders>
              <w:top w:val="single" w:sz="4" w:space="0" w:color="auto"/>
            </w:tcBorders>
          </w:tcPr>
          <w:p w14:paraId="1D7277E0"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B6D8120"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2FF7DAB"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R</w:t>
            </w:r>
          </w:p>
        </w:tc>
        <w:tc>
          <w:tcPr>
            <w:tcW w:w="677" w:type="dxa"/>
            <w:tcBorders>
              <w:top w:val="single" w:sz="4" w:space="0" w:color="auto"/>
            </w:tcBorders>
            <w:vAlign w:val="center"/>
          </w:tcPr>
          <w:p w14:paraId="5E84E92D"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2095</w:t>
            </w:r>
          </w:p>
        </w:tc>
        <w:tc>
          <w:tcPr>
            <w:tcW w:w="449" w:type="dxa"/>
            <w:tcBorders>
              <w:top w:val="single" w:sz="4" w:space="0" w:color="auto"/>
            </w:tcBorders>
            <w:vAlign w:val="center"/>
          </w:tcPr>
          <w:p w14:paraId="2BF25E4E"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524" w:type="dxa"/>
            <w:tcBorders>
              <w:top w:val="single" w:sz="4" w:space="0" w:color="auto"/>
            </w:tcBorders>
            <w:vAlign w:val="center"/>
          </w:tcPr>
          <w:p w14:paraId="0C18B2F3"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1425" w:type="dxa"/>
            <w:tcBorders>
              <w:top w:val="single" w:sz="4" w:space="0" w:color="auto"/>
            </w:tcBorders>
            <w:vAlign w:val="center"/>
          </w:tcPr>
          <w:p w14:paraId="2A95DB3C"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B77A30">
              <w:rPr>
                <w:rFonts w:ascii="Book Antiqua" w:eastAsia="Calibri" w:hAnsi="Book Antiqua" w:cs="Times New Roman"/>
                <w:kern w:val="2"/>
                <w:sz w:val="21"/>
                <w:szCs w:val="21"/>
              </w:rPr>
              <w:t>Esophagectomy</w:t>
            </w:r>
            <w:proofErr w:type="spellEnd"/>
          </w:p>
        </w:tc>
        <w:tc>
          <w:tcPr>
            <w:tcW w:w="1165" w:type="dxa"/>
            <w:tcBorders>
              <w:top w:val="single" w:sz="4" w:space="0" w:color="auto"/>
            </w:tcBorders>
            <w:vAlign w:val="center"/>
          </w:tcPr>
          <w:p w14:paraId="52086729"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Modified Canadian age index</w:t>
            </w:r>
          </w:p>
        </w:tc>
        <w:tc>
          <w:tcPr>
            <w:tcW w:w="510" w:type="dxa"/>
            <w:tcBorders>
              <w:top w:val="single" w:sz="4" w:space="0" w:color="auto"/>
            </w:tcBorders>
            <w:vAlign w:val="center"/>
          </w:tcPr>
          <w:p w14:paraId="276A6BFC"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17.8</w:t>
            </w:r>
          </w:p>
        </w:tc>
        <w:tc>
          <w:tcPr>
            <w:tcW w:w="607" w:type="dxa"/>
            <w:tcBorders>
              <w:top w:val="single" w:sz="4" w:space="0" w:color="auto"/>
            </w:tcBorders>
            <w:vAlign w:val="center"/>
          </w:tcPr>
          <w:p w14:paraId="38BD5F17"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607" w:type="dxa"/>
            <w:tcBorders>
              <w:top w:val="single" w:sz="4" w:space="0" w:color="auto"/>
            </w:tcBorders>
            <w:vAlign w:val="center"/>
          </w:tcPr>
          <w:p w14:paraId="53F5C634"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607" w:type="dxa"/>
            <w:tcBorders>
              <w:top w:val="single" w:sz="4" w:space="0" w:color="auto"/>
            </w:tcBorders>
            <w:vAlign w:val="center"/>
          </w:tcPr>
          <w:p w14:paraId="16C1925C"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650" w:type="dxa"/>
            <w:tcBorders>
              <w:top w:val="single" w:sz="4" w:space="0" w:color="auto"/>
            </w:tcBorders>
            <w:vAlign w:val="center"/>
          </w:tcPr>
          <w:p w14:paraId="1B188241"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96</w:t>
            </w:r>
          </w:p>
        </w:tc>
        <w:tc>
          <w:tcPr>
            <w:tcW w:w="449" w:type="dxa"/>
            <w:tcBorders>
              <w:top w:val="single" w:sz="4" w:space="0" w:color="auto"/>
            </w:tcBorders>
            <w:vAlign w:val="center"/>
          </w:tcPr>
          <w:p w14:paraId="1649BF3F"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1254" w:type="dxa"/>
            <w:tcBorders>
              <w:top w:val="single" w:sz="4" w:space="0" w:color="auto"/>
            </w:tcBorders>
          </w:tcPr>
          <w:p w14:paraId="263AA03E" w14:textId="77777777" w:rsidR="00154C57" w:rsidRPr="00B77A30" w:rsidRDefault="00154C57" w:rsidP="00CB2DFE">
            <w:pPr>
              <w:spacing w:after="0" w:line="360" w:lineRule="auto"/>
              <w:jc w:val="both"/>
              <w:rPr>
                <w:rFonts w:ascii="Book Antiqua" w:eastAsia="MS Mincho" w:hAnsi="Book Antiqua" w:cs="Times New Roman"/>
                <w:sz w:val="21"/>
                <w:szCs w:val="21"/>
                <w:lang w:eastAsia="de-DE"/>
              </w:rPr>
            </w:pPr>
          </w:p>
          <w:p w14:paraId="32222186" w14:textId="77777777" w:rsidR="00154C57" w:rsidRPr="00B77A30" w:rsidRDefault="00154C57" w:rsidP="00CB2DFE">
            <w:pPr>
              <w:spacing w:after="0" w:line="360" w:lineRule="auto"/>
              <w:jc w:val="both"/>
              <w:rPr>
                <w:rFonts w:ascii="Book Antiqua" w:eastAsia="MS Mincho" w:hAnsi="Book Antiqua" w:cs="Times New Roman"/>
                <w:sz w:val="21"/>
                <w:szCs w:val="21"/>
                <w:lang w:eastAsia="de-DE"/>
              </w:rPr>
            </w:pPr>
            <w:r w:rsidRPr="00B77A30">
              <w:rPr>
                <w:rFonts w:ascii="Book Antiqua" w:eastAsia="MS Mincho" w:hAnsi="Book Antiqua" w:cs="Times New Roman"/>
                <w:sz w:val="21"/>
                <w:szCs w:val="21"/>
                <w:lang w:eastAsia="de-DE"/>
              </w:rPr>
              <w:t>Postoperative complications</w:t>
            </w:r>
          </w:p>
        </w:tc>
        <w:tc>
          <w:tcPr>
            <w:tcW w:w="1274" w:type="dxa"/>
            <w:tcBorders>
              <w:top w:val="single" w:sz="4" w:space="0" w:color="auto"/>
            </w:tcBorders>
            <w:vAlign w:val="center"/>
          </w:tcPr>
          <w:p w14:paraId="626CD197" w14:textId="77777777" w:rsidR="00154C57" w:rsidRPr="00B77A30" w:rsidRDefault="00154C57" w:rsidP="00CB2DFE">
            <w:pPr>
              <w:spacing w:after="0" w:line="360" w:lineRule="auto"/>
              <w:jc w:val="both"/>
              <w:rPr>
                <w:rFonts w:ascii="Book Antiqua" w:eastAsia="MS Mincho" w:hAnsi="Book Antiqua" w:cs="Times New Roman"/>
                <w:sz w:val="21"/>
                <w:szCs w:val="21"/>
                <w:lang w:eastAsia="de-DE"/>
              </w:rPr>
            </w:pPr>
          </w:p>
          <w:p w14:paraId="03B18BBD" w14:textId="6E509B97" w:rsidR="00154C57" w:rsidRPr="00B77A30" w:rsidRDefault="008808CF" w:rsidP="00CB2DFE">
            <w:pPr>
              <w:spacing w:after="0" w:line="360" w:lineRule="auto"/>
              <w:jc w:val="both"/>
              <w:rPr>
                <w:rFonts w:ascii="Book Antiqua" w:eastAsia="MS Mincho" w:hAnsi="Book Antiqua" w:cs="Times New Roman"/>
                <w:sz w:val="21"/>
                <w:szCs w:val="21"/>
                <w:lang w:eastAsia="de-DE"/>
              </w:rPr>
            </w:pPr>
            <w:r>
              <w:rPr>
                <w:rFonts w:ascii="Book Antiqua" w:eastAsia="MS Mincho" w:hAnsi="Book Antiqua" w:cs="Times New Roman"/>
                <w:sz w:val="21"/>
                <w:szCs w:val="21"/>
                <w:lang w:eastAsia="de-DE"/>
              </w:rPr>
              <w:t>OR</w:t>
            </w:r>
            <w:r>
              <w:rPr>
                <w:rFonts w:ascii="Book Antiqua" w:hAnsi="Book Antiqua" w:cs="Times New Roman" w:hint="eastAsia"/>
                <w:sz w:val="21"/>
                <w:szCs w:val="21"/>
                <w:lang w:eastAsia="zh-CN"/>
              </w:rPr>
              <w:t xml:space="preserve"> = </w:t>
            </w:r>
            <w:r w:rsidR="00154C57" w:rsidRPr="00B77A30">
              <w:rPr>
                <w:rFonts w:ascii="Book Antiqua" w:eastAsia="MS Mincho" w:hAnsi="Book Antiqua" w:cs="Times New Roman"/>
                <w:sz w:val="21"/>
                <w:szCs w:val="21"/>
                <w:lang w:eastAsia="de-DE"/>
              </w:rPr>
              <w:t xml:space="preserve">31.84, </w:t>
            </w:r>
            <w:r w:rsidRPr="008808CF">
              <w:rPr>
                <w:rFonts w:ascii="Book Antiqua" w:eastAsia="MS Mincho" w:hAnsi="Book Antiqua" w:cs="Times New Roman"/>
                <w:i/>
                <w:sz w:val="21"/>
                <w:szCs w:val="21"/>
                <w:lang w:eastAsia="de-DE"/>
              </w:rPr>
              <w:t>P</w:t>
            </w:r>
            <w:r w:rsidR="00154C57" w:rsidRPr="00B77A30">
              <w:rPr>
                <w:rFonts w:ascii="Book Antiqua" w:eastAsia="MS Mincho" w:hAnsi="Book Antiqua" w:cs="Times New Roman"/>
                <w:sz w:val="21"/>
                <w:szCs w:val="21"/>
                <w:lang w:eastAsia="de-DE"/>
              </w:rPr>
              <w:t xml:space="preserve"> = 0.015 </w:t>
            </w:r>
          </w:p>
          <w:p w14:paraId="4D4A8B21"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tc>
      </w:tr>
      <w:tr w:rsidR="00154C57" w:rsidRPr="00B77A30" w14:paraId="5E7FC078" w14:textId="77777777" w:rsidTr="00BF0BA3">
        <w:trPr>
          <w:cantSplit/>
          <w:trHeight w:val="567"/>
        </w:trPr>
        <w:tc>
          <w:tcPr>
            <w:tcW w:w="1635" w:type="dxa"/>
            <w:tcBorders>
              <w:top w:val="single" w:sz="4" w:space="0" w:color="auto"/>
            </w:tcBorders>
            <w:vAlign w:val="center"/>
          </w:tcPr>
          <w:p w14:paraId="03C0039D" w14:textId="1924912A"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lastRenderedPageBreak/>
              <w:t xml:space="preserve">Sheetz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[35]</w:t>
            </w:r>
          </w:p>
        </w:tc>
        <w:tc>
          <w:tcPr>
            <w:tcW w:w="551" w:type="dxa"/>
            <w:tcBorders>
              <w:top w:val="single" w:sz="4" w:space="0" w:color="auto"/>
            </w:tcBorders>
            <w:vAlign w:val="center"/>
          </w:tcPr>
          <w:p w14:paraId="78573D80" w14:textId="6FDED416" w:rsidR="00154C57" w:rsidRPr="00B77A30"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United States</w:t>
            </w:r>
          </w:p>
        </w:tc>
        <w:tc>
          <w:tcPr>
            <w:tcW w:w="414" w:type="dxa"/>
            <w:tcBorders>
              <w:top w:val="single" w:sz="4" w:space="0" w:color="auto"/>
            </w:tcBorders>
            <w:vAlign w:val="center"/>
          </w:tcPr>
          <w:p w14:paraId="45DF62CB"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7</w:t>
            </w:r>
          </w:p>
        </w:tc>
        <w:tc>
          <w:tcPr>
            <w:tcW w:w="468" w:type="dxa"/>
            <w:tcBorders>
              <w:top w:val="single" w:sz="4" w:space="0" w:color="auto"/>
            </w:tcBorders>
          </w:tcPr>
          <w:p w14:paraId="25DDD300"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9F464E4"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FCF5A04"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10BD2778"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R</w:t>
            </w:r>
          </w:p>
        </w:tc>
        <w:tc>
          <w:tcPr>
            <w:tcW w:w="677" w:type="dxa"/>
            <w:tcBorders>
              <w:top w:val="single" w:sz="4" w:space="0" w:color="auto"/>
            </w:tcBorders>
            <w:vAlign w:val="center"/>
          </w:tcPr>
          <w:p w14:paraId="439FDC2B"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230</w:t>
            </w:r>
          </w:p>
        </w:tc>
        <w:tc>
          <w:tcPr>
            <w:tcW w:w="449" w:type="dxa"/>
            <w:tcBorders>
              <w:top w:val="single" w:sz="4" w:space="0" w:color="auto"/>
            </w:tcBorders>
            <w:vAlign w:val="center"/>
          </w:tcPr>
          <w:p w14:paraId="66CE3296"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62</w:t>
            </w:r>
          </w:p>
        </w:tc>
        <w:tc>
          <w:tcPr>
            <w:tcW w:w="524" w:type="dxa"/>
            <w:tcBorders>
              <w:top w:val="single" w:sz="4" w:space="0" w:color="auto"/>
            </w:tcBorders>
            <w:vAlign w:val="center"/>
          </w:tcPr>
          <w:p w14:paraId="0F77A3F3"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88</w:t>
            </w:r>
          </w:p>
        </w:tc>
        <w:tc>
          <w:tcPr>
            <w:tcW w:w="1425" w:type="dxa"/>
            <w:tcBorders>
              <w:top w:val="single" w:sz="4" w:space="0" w:color="auto"/>
            </w:tcBorders>
            <w:vAlign w:val="center"/>
          </w:tcPr>
          <w:p w14:paraId="7BD953A0"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B77A30">
              <w:rPr>
                <w:rFonts w:ascii="Book Antiqua" w:eastAsia="Calibri" w:hAnsi="Book Antiqua" w:cs="Times New Roman"/>
                <w:kern w:val="2"/>
                <w:sz w:val="21"/>
                <w:szCs w:val="21"/>
              </w:rPr>
              <w:t>Transhiatal</w:t>
            </w:r>
            <w:proofErr w:type="spellEnd"/>
            <w:r w:rsidRPr="00B77A30">
              <w:rPr>
                <w:rFonts w:ascii="Book Antiqua" w:eastAsia="Calibri" w:hAnsi="Book Antiqua" w:cs="Times New Roman"/>
                <w:kern w:val="2"/>
                <w:sz w:val="21"/>
                <w:szCs w:val="21"/>
              </w:rPr>
              <w:t xml:space="preserve"> </w:t>
            </w:r>
            <w:proofErr w:type="spellStart"/>
            <w:r w:rsidRPr="00B77A30">
              <w:rPr>
                <w:rFonts w:ascii="Book Antiqua" w:eastAsia="Calibri" w:hAnsi="Book Antiqua" w:cs="Times New Roman"/>
                <w:kern w:val="2"/>
                <w:sz w:val="21"/>
                <w:szCs w:val="21"/>
              </w:rPr>
              <w:t>esophagectomy</w:t>
            </w:r>
            <w:proofErr w:type="spellEnd"/>
          </w:p>
        </w:tc>
        <w:tc>
          <w:tcPr>
            <w:tcW w:w="1165" w:type="dxa"/>
            <w:tcBorders>
              <w:top w:val="single" w:sz="4" w:space="0" w:color="auto"/>
            </w:tcBorders>
            <w:vAlign w:val="center"/>
          </w:tcPr>
          <w:p w14:paraId="5B6A23B9"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Lean psoas area (L4 level)</w:t>
            </w:r>
          </w:p>
        </w:tc>
        <w:tc>
          <w:tcPr>
            <w:tcW w:w="510" w:type="dxa"/>
            <w:tcBorders>
              <w:top w:val="single" w:sz="4" w:space="0" w:color="auto"/>
            </w:tcBorders>
            <w:vAlign w:val="center"/>
          </w:tcPr>
          <w:p w14:paraId="11E96121"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57.8</w:t>
            </w:r>
          </w:p>
        </w:tc>
        <w:tc>
          <w:tcPr>
            <w:tcW w:w="607" w:type="dxa"/>
            <w:tcBorders>
              <w:top w:val="single" w:sz="4" w:space="0" w:color="auto"/>
            </w:tcBorders>
            <w:vAlign w:val="center"/>
          </w:tcPr>
          <w:p w14:paraId="413FD833"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12.8</w:t>
            </w:r>
          </w:p>
        </w:tc>
        <w:tc>
          <w:tcPr>
            <w:tcW w:w="607" w:type="dxa"/>
            <w:tcBorders>
              <w:top w:val="single" w:sz="4" w:space="0" w:color="auto"/>
            </w:tcBorders>
            <w:vAlign w:val="center"/>
          </w:tcPr>
          <w:p w14:paraId="4955F29F"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607" w:type="dxa"/>
            <w:tcBorders>
              <w:top w:val="single" w:sz="4" w:space="0" w:color="auto"/>
            </w:tcBorders>
            <w:vAlign w:val="center"/>
          </w:tcPr>
          <w:p w14:paraId="01498C4A"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650" w:type="dxa"/>
            <w:tcBorders>
              <w:top w:val="single" w:sz="4" w:space="0" w:color="auto"/>
            </w:tcBorders>
            <w:vAlign w:val="center"/>
          </w:tcPr>
          <w:p w14:paraId="7D97B424"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11</w:t>
            </w:r>
          </w:p>
        </w:tc>
        <w:tc>
          <w:tcPr>
            <w:tcW w:w="449" w:type="dxa"/>
            <w:tcBorders>
              <w:top w:val="single" w:sz="4" w:space="0" w:color="auto"/>
            </w:tcBorders>
            <w:vAlign w:val="center"/>
          </w:tcPr>
          <w:p w14:paraId="3FE6D14D"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highlight w:val="yellow"/>
              </w:rPr>
            </w:pPr>
            <w:r w:rsidRPr="00B77A30">
              <w:rPr>
                <w:rFonts w:ascii="Book Antiqua" w:eastAsia="Calibri" w:hAnsi="Book Antiqua" w:cs="Times New Roman"/>
                <w:kern w:val="2"/>
                <w:sz w:val="21"/>
                <w:szCs w:val="21"/>
              </w:rPr>
              <w:t>0</w:t>
            </w:r>
          </w:p>
        </w:tc>
        <w:tc>
          <w:tcPr>
            <w:tcW w:w="1254" w:type="dxa"/>
            <w:tcBorders>
              <w:top w:val="single" w:sz="4" w:space="0" w:color="auto"/>
            </w:tcBorders>
          </w:tcPr>
          <w:p w14:paraId="14F83E88" w14:textId="77777777" w:rsidR="00154C57" w:rsidRPr="00B77A30" w:rsidRDefault="00154C57" w:rsidP="00CB2DFE">
            <w:pPr>
              <w:spacing w:after="0" w:line="360" w:lineRule="auto"/>
              <w:jc w:val="both"/>
              <w:rPr>
                <w:rFonts w:ascii="Book Antiqua" w:eastAsia="MS Mincho" w:hAnsi="Book Antiqua" w:cs="Times New Roman"/>
                <w:sz w:val="21"/>
                <w:szCs w:val="21"/>
                <w:lang w:eastAsia="de-DE"/>
              </w:rPr>
            </w:pPr>
          </w:p>
          <w:p w14:paraId="1283ACCB" w14:textId="77777777" w:rsidR="00154C57" w:rsidRPr="00B77A30" w:rsidRDefault="00154C57" w:rsidP="00CB2DFE">
            <w:pPr>
              <w:spacing w:after="0" w:line="360" w:lineRule="auto"/>
              <w:jc w:val="both"/>
              <w:rPr>
                <w:rFonts w:ascii="Book Antiqua" w:eastAsia="MS Mincho" w:hAnsi="Book Antiqua" w:cs="Times New Roman"/>
                <w:sz w:val="21"/>
                <w:szCs w:val="21"/>
                <w:lang w:eastAsia="de-DE"/>
              </w:rPr>
            </w:pPr>
            <w:r w:rsidRPr="00B77A30">
              <w:rPr>
                <w:rFonts w:ascii="Book Antiqua" w:eastAsia="MS Mincho" w:hAnsi="Book Antiqua" w:cs="Times New Roman"/>
                <w:sz w:val="21"/>
                <w:szCs w:val="21"/>
                <w:lang w:eastAsia="de-DE"/>
              </w:rPr>
              <w:t>Overall survival</w:t>
            </w:r>
          </w:p>
        </w:tc>
        <w:tc>
          <w:tcPr>
            <w:tcW w:w="1274" w:type="dxa"/>
            <w:tcBorders>
              <w:top w:val="single" w:sz="4" w:space="0" w:color="auto"/>
            </w:tcBorders>
            <w:vAlign w:val="center"/>
          </w:tcPr>
          <w:p w14:paraId="6088A2DD" w14:textId="77777777" w:rsidR="00154C57" w:rsidRPr="00B77A30" w:rsidRDefault="00154C57" w:rsidP="00CB2DFE">
            <w:pPr>
              <w:spacing w:after="0" w:line="360" w:lineRule="auto"/>
              <w:jc w:val="both"/>
              <w:rPr>
                <w:rFonts w:ascii="Book Antiqua" w:eastAsia="MS Mincho" w:hAnsi="Book Antiqua" w:cs="Times New Roman"/>
                <w:sz w:val="21"/>
                <w:szCs w:val="21"/>
                <w:lang w:eastAsia="de-DE"/>
              </w:rPr>
            </w:pPr>
          </w:p>
          <w:p w14:paraId="74DCDE2F" w14:textId="63B5B464" w:rsidR="00154C57" w:rsidRPr="00B77A30" w:rsidRDefault="008808CF" w:rsidP="00CB2DFE">
            <w:pPr>
              <w:spacing w:after="0" w:line="360" w:lineRule="auto"/>
              <w:jc w:val="both"/>
              <w:rPr>
                <w:rFonts w:ascii="Book Antiqua" w:eastAsia="MS Mincho" w:hAnsi="Book Antiqua" w:cs="Times New Roman"/>
                <w:sz w:val="21"/>
                <w:szCs w:val="21"/>
                <w:lang w:eastAsia="de-DE"/>
              </w:rPr>
            </w:pPr>
            <w:r>
              <w:rPr>
                <w:rFonts w:ascii="Book Antiqua" w:eastAsia="MS Mincho" w:hAnsi="Book Antiqua" w:cs="Times New Roman"/>
                <w:sz w:val="21"/>
                <w:szCs w:val="21"/>
                <w:lang w:eastAsia="de-DE"/>
              </w:rPr>
              <w:t>OR = 0.456; 95%</w:t>
            </w:r>
            <w:r w:rsidR="00154C57" w:rsidRPr="00B77A30">
              <w:rPr>
                <w:rFonts w:ascii="Book Antiqua" w:eastAsia="MS Mincho" w:hAnsi="Book Antiqua" w:cs="Times New Roman"/>
                <w:sz w:val="21"/>
                <w:szCs w:val="21"/>
                <w:lang w:eastAsia="de-DE"/>
              </w:rPr>
              <w:t xml:space="preserve">CI: 0.197, 1.054; </w:t>
            </w:r>
            <w:r w:rsidR="00154C57" w:rsidRPr="00B77A30">
              <w:rPr>
                <w:rFonts w:ascii="Book Antiqua" w:eastAsia="MS Mincho" w:hAnsi="Book Antiqua" w:cs="Times New Roman"/>
                <w:i/>
                <w:iCs/>
                <w:sz w:val="21"/>
                <w:szCs w:val="21"/>
                <w:lang w:eastAsia="de-DE"/>
              </w:rPr>
              <w:t xml:space="preserve">P </w:t>
            </w:r>
            <w:r w:rsidR="00154C57" w:rsidRPr="00B77A30">
              <w:rPr>
                <w:rFonts w:ascii="Book Antiqua" w:eastAsia="MS Mincho" w:hAnsi="Book Antiqua" w:cs="Times New Roman"/>
                <w:sz w:val="21"/>
                <w:szCs w:val="21"/>
                <w:lang w:eastAsia="de-DE"/>
              </w:rPr>
              <w:t xml:space="preserve">= 0.067 </w:t>
            </w:r>
          </w:p>
          <w:p w14:paraId="5844B279"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tc>
      </w:tr>
      <w:tr w:rsidR="00154C57" w:rsidRPr="00B77A30" w14:paraId="63DDCCBB" w14:textId="77777777" w:rsidTr="00BF0BA3">
        <w:trPr>
          <w:cantSplit/>
          <w:trHeight w:val="567"/>
        </w:trPr>
        <w:tc>
          <w:tcPr>
            <w:tcW w:w="1635" w:type="dxa"/>
            <w:tcBorders>
              <w:top w:val="single" w:sz="4" w:space="0" w:color="auto"/>
            </w:tcBorders>
            <w:vAlign w:val="center"/>
          </w:tcPr>
          <w:p w14:paraId="6607A6BD" w14:textId="69BB3A2B"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 xml:space="preserve">Yip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[26]</w:t>
            </w:r>
          </w:p>
        </w:tc>
        <w:tc>
          <w:tcPr>
            <w:tcW w:w="551" w:type="dxa"/>
            <w:tcBorders>
              <w:top w:val="single" w:sz="4" w:space="0" w:color="auto"/>
            </w:tcBorders>
            <w:vAlign w:val="center"/>
          </w:tcPr>
          <w:p w14:paraId="4E94971F" w14:textId="681B0849" w:rsidR="00154C57" w:rsidRPr="00B77A30"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United Kingdom</w:t>
            </w:r>
          </w:p>
        </w:tc>
        <w:tc>
          <w:tcPr>
            <w:tcW w:w="414" w:type="dxa"/>
            <w:tcBorders>
              <w:top w:val="single" w:sz="4" w:space="0" w:color="auto"/>
            </w:tcBorders>
            <w:vAlign w:val="center"/>
          </w:tcPr>
          <w:p w14:paraId="357660C5"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5</w:t>
            </w:r>
          </w:p>
        </w:tc>
        <w:tc>
          <w:tcPr>
            <w:tcW w:w="468" w:type="dxa"/>
            <w:tcBorders>
              <w:top w:val="single" w:sz="4" w:space="0" w:color="auto"/>
            </w:tcBorders>
          </w:tcPr>
          <w:p w14:paraId="196B3D9C"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2274D8F"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78D73027"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725F33C3"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951B9BF"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P</w:t>
            </w:r>
          </w:p>
        </w:tc>
        <w:tc>
          <w:tcPr>
            <w:tcW w:w="677" w:type="dxa"/>
            <w:tcBorders>
              <w:top w:val="single" w:sz="4" w:space="0" w:color="auto"/>
            </w:tcBorders>
            <w:vAlign w:val="center"/>
          </w:tcPr>
          <w:p w14:paraId="5F4FC29B"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36</w:t>
            </w:r>
          </w:p>
        </w:tc>
        <w:tc>
          <w:tcPr>
            <w:tcW w:w="449" w:type="dxa"/>
            <w:tcBorders>
              <w:top w:val="single" w:sz="4" w:space="0" w:color="auto"/>
            </w:tcBorders>
            <w:vAlign w:val="center"/>
          </w:tcPr>
          <w:p w14:paraId="11E99592"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63</w:t>
            </w:r>
          </w:p>
        </w:tc>
        <w:tc>
          <w:tcPr>
            <w:tcW w:w="524" w:type="dxa"/>
            <w:tcBorders>
              <w:top w:val="single" w:sz="4" w:space="0" w:color="auto"/>
            </w:tcBorders>
            <w:vAlign w:val="center"/>
          </w:tcPr>
          <w:p w14:paraId="491BACAC"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86</w:t>
            </w:r>
          </w:p>
        </w:tc>
        <w:tc>
          <w:tcPr>
            <w:tcW w:w="1425" w:type="dxa"/>
            <w:tcBorders>
              <w:top w:val="single" w:sz="4" w:space="0" w:color="auto"/>
            </w:tcBorders>
            <w:vAlign w:val="center"/>
          </w:tcPr>
          <w:p w14:paraId="45BC29E3"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Neoadjuvant</w:t>
            </w:r>
          </w:p>
          <w:p w14:paraId="5E9FB66A"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Chemotherapy and</w:t>
            </w:r>
          </w:p>
          <w:p w14:paraId="3025EF41"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B77A30">
              <w:rPr>
                <w:rFonts w:ascii="Book Antiqua" w:eastAsia="Calibri" w:hAnsi="Book Antiqua" w:cs="Times New Roman"/>
                <w:kern w:val="2"/>
                <w:sz w:val="21"/>
                <w:szCs w:val="21"/>
              </w:rPr>
              <w:t>Esophagectomy</w:t>
            </w:r>
            <w:proofErr w:type="spellEnd"/>
          </w:p>
        </w:tc>
        <w:tc>
          <w:tcPr>
            <w:tcW w:w="1165" w:type="dxa"/>
            <w:tcBorders>
              <w:top w:val="single" w:sz="4" w:space="0" w:color="auto"/>
            </w:tcBorders>
            <w:vAlign w:val="center"/>
          </w:tcPr>
          <w:p w14:paraId="3A5855EC"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Body composition</w:t>
            </w:r>
          </w:p>
        </w:tc>
        <w:tc>
          <w:tcPr>
            <w:tcW w:w="510" w:type="dxa"/>
            <w:tcBorders>
              <w:top w:val="single" w:sz="4" w:space="0" w:color="auto"/>
            </w:tcBorders>
            <w:vAlign w:val="center"/>
          </w:tcPr>
          <w:p w14:paraId="69E5193F"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26</w:t>
            </w:r>
          </w:p>
        </w:tc>
        <w:tc>
          <w:tcPr>
            <w:tcW w:w="607" w:type="dxa"/>
            <w:tcBorders>
              <w:top w:val="single" w:sz="4" w:space="0" w:color="auto"/>
            </w:tcBorders>
            <w:vAlign w:val="center"/>
          </w:tcPr>
          <w:p w14:paraId="15066FEA"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30</w:t>
            </w:r>
          </w:p>
        </w:tc>
        <w:tc>
          <w:tcPr>
            <w:tcW w:w="607" w:type="dxa"/>
            <w:tcBorders>
              <w:top w:val="single" w:sz="4" w:space="0" w:color="auto"/>
            </w:tcBorders>
            <w:vAlign w:val="center"/>
          </w:tcPr>
          <w:p w14:paraId="3300184F"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26</w:t>
            </w:r>
          </w:p>
        </w:tc>
        <w:tc>
          <w:tcPr>
            <w:tcW w:w="607" w:type="dxa"/>
            <w:tcBorders>
              <w:top w:val="single" w:sz="4" w:space="0" w:color="auto"/>
            </w:tcBorders>
            <w:vAlign w:val="center"/>
          </w:tcPr>
          <w:p w14:paraId="25B1604C"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highlight w:val="yellow"/>
              </w:rPr>
            </w:pPr>
            <w:r w:rsidRPr="00B77A30">
              <w:rPr>
                <w:rFonts w:ascii="Book Antiqua" w:eastAsia="Calibri" w:hAnsi="Book Antiqua" w:cs="Times New Roman"/>
                <w:kern w:val="2"/>
                <w:sz w:val="21"/>
                <w:szCs w:val="21"/>
              </w:rPr>
              <w:t>0</w:t>
            </w:r>
          </w:p>
        </w:tc>
        <w:tc>
          <w:tcPr>
            <w:tcW w:w="650" w:type="dxa"/>
            <w:tcBorders>
              <w:top w:val="single" w:sz="4" w:space="0" w:color="auto"/>
            </w:tcBorders>
            <w:vAlign w:val="center"/>
          </w:tcPr>
          <w:p w14:paraId="20C81608"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449" w:type="dxa"/>
            <w:tcBorders>
              <w:top w:val="single" w:sz="4" w:space="0" w:color="auto"/>
            </w:tcBorders>
            <w:vAlign w:val="center"/>
          </w:tcPr>
          <w:p w14:paraId="37020341"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1254" w:type="dxa"/>
            <w:tcBorders>
              <w:top w:val="single" w:sz="4" w:space="0" w:color="auto"/>
            </w:tcBorders>
          </w:tcPr>
          <w:p w14:paraId="63439FFD"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45DA2C6"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No multivariate outcome analysis</w:t>
            </w:r>
          </w:p>
        </w:tc>
        <w:tc>
          <w:tcPr>
            <w:tcW w:w="1274" w:type="dxa"/>
            <w:tcBorders>
              <w:top w:val="single" w:sz="4" w:space="0" w:color="auto"/>
            </w:tcBorders>
            <w:vAlign w:val="center"/>
          </w:tcPr>
          <w:p w14:paraId="073A550F"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 xml:space="preserve">NR – significant increase in complications and decrease in survival </w:t>
            </w:r>
          </w:p>
        </w:tc>
      </w:tr>
      <w:tr w:rsidR="00154C57" w:rsidRPr="00B77A30" w14:paraId="4AEF77FA" w14:textId="77777777" w:rsidTr="00BF0BA3">
        <w:trPr>
          <w:cantSplit/>
          <w:trHeight w:val="567"/>
        </w:trPr>
        <w:tc>
          <w:tcPr>
            <w:tcW w:w="1635" w:type="dxa"/>
            <w:tcBorders>
              <w:top w:val="single" w:sz="4" w:space="0" w:color="auto"/>
            </w:tcBorders>
            <w:vAlign w:val="center"/>
          </w:tcPr>
          <w:p w14:paraId="4F04092F" w14:textId="04E557FE"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B77A30">
              <w:rPr>
                <w:rFonts w:ascii="Book Antiqua" w:eastAsia="Calibri" w:hAnsi="Book Antiqua" w:cs="Times New Roman"/>
                <w:kern w:val="2"/>
                <w:sz w:val="21"/>
                <w:szCs w:val="21"/>
              </w:rPr>
              <w:t>Awad</w:t>
            </w:r>
            <w:proofErr w:type="spellEnd"/>
            <w:r w:rsidRPr="00B77A30">
              <w:rPr>
                <w:rFonts w:ascii="Book Antiqua" w:eastAsia="Calibri" w:hAnsi="Book Antiqua" w:cs="Times New Roman"/>
                <w:kern w:val="2"/>
                <w:sz w:val="21"/>
                <w:szCs w:val="21"/>
              </w:rPr>
              <w:t xml:space="preserve">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[27]</w:t>
            </w:r>
          </w:p>
        </w:tc>
        <w:tc>
          <w:tcPr>
            <w:tcW w:w="551" w:type="dxa"/>
            <w:tcBorders>
              <w:top w:val="single" w:sz="4" w:space="0" w:color="auto"/>
            </w:tcBorders>
            <w:vAlign w:val="center"/>
          </w:tcPr>
          <w:p w14:paraId="68E13573" w14:textId="159DCF17" w:rsidR="00154C57" w:rsidRPr="00B77A30"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United Kingdom</w:t>
            </w:r>
          </w:p>
        </w:tc>
        <w:tc>
          <w:tcPr>
            <w:tcW w:w="414" w:type="dxa"/>
            <w:tcBorders>
              <w:top w:val="single" w:sz="4" w:space="0" w:color="auto"/>
            </w:tcBorders>
            <w:vAlign w:val="center"/>
          </w:tcPr>
          <w:p w14:paraId="22CC73C4"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7</w:t>
            </w:r>
          </w:p>
        </w:tc>
        <w:tc>
          <w:tcPr>
            <w:tcW w:w="468" w:type="dxa"/>
            <w:tcBorders>
              <w:top w:val="single" w:sz="4" w:space="0" w:color="auto"/>
            </w:tcBorders>
          </w:tcPr>
          <w:p w14:paraId="1881EAC4"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B181C65"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P</w:t>
            </w:r>
          </w:p>
        </w:tc>
        <w:tc>
          <w:tcPr>
            <w:tcW w:w="677" w:type="dxa"/>
            <w:tcBorders>
              <w:top w:val="single" w:sz="4" w:space="0" w:color="auto"/>
            </w:tcBorders>
            <w:vAlign w:val="center"/>
          </w:tcPr>
          <w:p w14:paraId="77063B8F"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47</w:t>
            </w:r>
          </w:p>
        </w:tc>
        <w:tc>
          <w:tcPr>
            <w:tcW w:w="449" w:type="dxa"/>
            <w:tcBorders>
              <w:top w:val="single" w:sz="4" w:space="0" w:color="auto"/>
            </w:tcBorders>
            <w:vAlign w:val="center"/>
          </w:tcPr>
          <w:p w14:paraId="4527DA3B"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63</w:t>
            </w:r>
          </w:p>
        </w:tc>
        <w:tc>
          <w:tcPr>
            <w:tcW w:w="524" w:type="dxa"/>
            <w:tcBorders>
              <w:top w:val="single" w:sz="4" w:space="0" w:color="auto"/>
            </w:tcBorders>
            <w:vAlign w:val="center"/>
          </w:tcPr>
          <w:p w14:paraId="24EBD7E3"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tc>
        <w:tc>
          <w:tcPr>
            <w:tcW w:w="1425" w:type="dxa"/>
            <w:tcBorders>
              <w:top w:val="single" w:sz="4" w:space="0" w:color="auto"/>
            </w:tcBorders>
            <w:vAlign w:val="center"/>
          </w:tcPr>
          <w:p w14:paraId="06C5D9C3"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B77A30">
              <w:rPr>
                <w:rFonts w:ascii="Book Antiqua" w:eastAsia="Calibri" w:hAnsi="Book Antiqua" w:cs="Times New Roman"/>
                <w:kern w:val="2"/>
                <w:sz w:val="21"/>
                <w:szCs w:val="21"/>
              </w:rPr>
              <w:t>Esophagectomy</w:t>
            </w:r>
            <w:proofErr w:type="spellEnd"/>
            <w:r w:rsidRPr="00B77A30">
              <w:rPr>
                <w:rFonts w:ascii="Book Antiqua" w:eastAsia="Calibri" w:hAnsi="Book Antiqua" w:cs="Times New Roman"/>
                <w:kern w:val="2"/>
                <w:sz w:val="21"/>
                <w:szCs w:val="21"/>
              </w:rPr>
              <w:t xml:space="preserve"> </w:t>
            </w:r>
          </w:p>
          <w:p w14:paraId="6F3FCD74"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Gastrectomy</w:t>
            </w:r>
          </w:p>
        </w:tc>
        <w:tc>
          <w:tcPr>
            <w:tcW w:w="1165" w:type="dxa"/>
            <w:tcBorders>
              <w:top w:val="single" w:sz="4" w:space="0" w:color="auto"/>
            </w:tcBorders>
            <w:vAlign w:val="center"/>
          </w:tcPr>
          <w:p w14:paraId="7DB9BD25"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 xml:space="preserve">Body composition </w:t>
            </w:r>
          </w:p>
        </w:tc>
        <w:tc>
          <w:tcPr>
            <w:tcW w:w="510" w:type="dxa"/>
            <w:tcBorders>
              <w:top w:val="single" w:sz="4" w:space="0" w:color="auto"/>
            </w:tcBorders>
            <w:vAlign w:val="center"/>
          </w:tcPr>
          <w:p w14:paraId="599A24C2"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607" w:type="dxa"/>
            <w:tcBorders>
              <w:top w:val="single" w:sz="4" w:space="0" w:color="auto"/>
            </w:tcBorders>
            <w:vAlign w:val="center"/>
          </w:tcPr>
          <w:p w14:paraId="09810B1C" w14:textId="06A9A809" w:rsidR="00154C57" w:rsidRPr="00B77A30" w:rsidRDefault="000A0F89" w:rsidP="00CB2DFE">
            <w:pPr>
              <w:widowControl w:val="0"/>
              <w:suppressAutoHyphens/>
              <w:spacing w:after="0" w:line="360" w:lineRule="auto"/>
              <w:jc w:val="both"/>
              <w:rPr>
                <w:rFonts w:ascii="Book Antiqua" w:eastAsia="Calibri" w:hAnsi="Book Antiqua" w:cs="Times New Roman"/>
                <w:kern w:val="2"/>
                <w:sz w:val="21"/>
                <w:szCs w:val="21"/>
              </w:rPr>
            </w:pPr>
            <w:r>
              <w:rPr>
                <w:rFonts w:ascii="Book Antiqua" w:eastAsia="Calibri" w:hAnsi="Book Antiqua" w:cs="Times New Roman"/>
                <w:kern w:val="2"/>
                <w:sz w:val="21"/>
                <w:szCs w:val="21"/>
              </w:rPr>
              <w:t xml:space="preserve"> </w:t>
            </w:r>
            <w:r w:rsidR="00154C57" w:rsidRPr="00B77A30">
              <w:rPr>
                <w:rFonts w:ascii="Book Antiqua" w:eastAsia="Calibri" w:hAnsi="Book Antiqua" w:cs="Times New Roman"/>
                <w:kern w:val="2"/>
                <w:sz w:val="21"/>
                <w:szCs w:val="21"/>
              </w:rPr>
              <w:t>24</w:t>
            </w:r>
          </w:p>
        </w:tc>
        <w:tc>
          <w:tcPr>
            <w:tcW w:w="607" w:type="dxa"/>
            <w:tcBorders>
              <w:top w:val="single" w:sz="4" w:space="0" w:color="auto"/>
            </w:tcBorders>
            <w:vAlign w:val="center"/>
          </w:tcPr>
          <w:p w14:paraId="3693E27A"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607" w:type="dxa"/>
            <w:tcBorders>
              <w:top w:val="single" w:sz="4" w:space="0" w:color="auto"/>
            </w:tcBorders>
            <w:vAlign w:val="center"/>
          </w:tcPr>
          <w:p w14:paraId="626429BA"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2.2</w:t>
            </w:r>
          </w:p>
        </w:tc>
        <w:tc>
          <w:tcPr>
            <w:tcW w:w="650" w:type="dxa"/>
            <w:tcBorders>
              <w:top w:val="single" w:sz="4" w:space="0" w:color="auto"/>
            </w:tcBorders>
            <w:vAlign w:val="center"/>
          </w:tcPr>
          <w:p w14:paraId="37A1A262"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23.9</w:t>
            </w:r>
          </w:p>
        </w:tc>
        <w:tc>
          <w:tcPr>
            <w:tcW w:w="449" w:type="dxa"/>
            <w:tcBorders>
              <w:top w:val="single" w:sz="4" w:space="0" w:color="auto"/>
            </w:tcBorders>
            <w:vAlign w:val="center"/>
          </w:tcPr>
          <w:p w14:paraId="4EDF4CF6"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19</w:t>
            </w:r>
          </w:p>
        </w:tc>
        <w:tc>
          <w:tcPr>
            <w:tcW w:w="1254" w:type="dxa"/>
            <w:tcBorders>
              <w:top w:val="single" w:sz="4" w:space="0" w:color="auto"/>
            </w:tcBorders>
          </w:tcPr>
          <w:p w14:paraId="67985E85"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No multivariate outcome analysis</w:t>
            </w:r>
          </w:p>
        </w:tc>
        <w:tc>
          <w:tcPr>
            <w:tcW w:w="1274" w:type="dxa"/>
            <w:tcBorders>
              <w:top w:val="single" w:sz="4" w:space="0" w:color="auto"/>
            </w:tcBorders>
            <w:vAlign w:val="center"/>
          </w:tcPr>
          <w:p w14:paraId="5B6EF665"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 significant increase in complications with frailty</w:t>
            </w:r>
          </w:p>
        </w:tc>
      </w:tr>
      <w:tr w:rsidR="00154C57" w:rsidRPr="00B77A30" w14:paraId="222C776E" w14:textId="77777777" w:rsidTr="00BF0BA3">
        <w:trPr>
          <w:cantSplit/>
          <w:trHeight w:val="567"/>
        </w:trPr>
        <w:tc>
          <w:tcPr>
            <w:tcW w:w="1635" w:type="dxa"/>
            <w:tcBorders>
              <w:top w:val="single" w:sz="4" w:space="0" w:color="auto"/>
            </w:tcBorders>
            <w:vAlign w:val="center"/>
          </w:tcPr>
          <w:p w14:paraId="5FDA9240" w14:textId="7C9F30F7" w:rsidR="00154C57" w:rsidRPr="00B77A30" w:rsidRDefault="00CB2DFE" w:rsidP="00CB2DFE">
            <w:pPr>
              <w:widowControl w:val="0"/>
              <w:suppressAutoHyphens/>
              <w:spacing w:after="0" w:line="360" w:lineRule="auto"/>
              <w:jc w:val="both"/>
              <w:rPr>
                <w:rFonts w:ascii="Book Antiqua" w:eastAsia="Calibri" w:hAnsi="Book Antiqua" w:cs="Times New Roman"/>
                <w:kern w:val="2"/>
                <w:sz w:val="21"/>
                <w:szCs w:val="21"/>
              </w:rPr>
            </w:pPr>
            <w:proofErr w:type="spellStart"/>
            <w:r>
              <w:rPr>
                <w:rFonts w:ascii="Book Antiqua" w:eastAsia="Calibri" w:hAnsi="Book Antiqua" w:cs="Times New Roman"/>
                <w:kern w:val="2"/>
                <w:sz w:val="21"/>
                <w:szCs w:val="21"/>
              </w:rPr>
              <w:lastRenderedPageBreak/>
              <w:t>Tegels</w:t>
            </w:r>
            <w:proofErr w:type="spellEnd"/>
            <w:r w:rsidR="00154C57" w:rsidRPr="00B77A30">
              <w:rPr>
                <w:rFonts w:ascii="Book Antiqua" w:eastAsia="Calibri" w:hAnsi="Book Antiqua" w:cs="Times New Roman"/>
                <w:kern w:val="2"/>
                <w:sz w:val="21"/>
                <w:szCs w:val="21"/>
              </w:rPr>
              <w:t xml:space="preserve"> </w:t>
            </w:r>
            <w:r w:rsidRPr="00CB2DFE">
              <w:rPr>
                <w:rFonts w:ascii="Book Antiqua" w:hAnsi="Book Antiqua" w:cs="Times New Roman" w:hint="eastAsia"/>
                <w:i/>
                <w:kern w:val="2"/>
                <w:sz w:val="21"/>
                <w:szCs w:val="21"/>
                <w:lang w:eastAsia="zh-CN"/>
              </w:rPr>
              <w:t>et al</w:t>
            </w:r>
            <w:r>
              <w:rPr>
                <w:rFonts w:ascii="Book Antiqua" w:hAnsi="Book Antiqua" w:cs="Times New Roman" w:hint="eastAsia"/>
                <w:kern w:val="2"/>
                <w:sz w:val="21"/>
                <w:szCs w:val="21"/>
                <w:vertAlign w:val="superscript"/>
                <w:lang w:eastAsia="zh-CN"/>
              </w:rPr>
              <w:t>[49]</w:t>
            </w:r>
          </w:p>
        </w:tc>
        <w:tc>
          <w:tcPr>
            <w:tcW w:w="551" w:type="dxa"/>
            <w:tcBorders>
              <w:top w:val="single" w:sz="4" w:space="0" w:color="auto"/>
            </w:tcBorders>
            <w:vAlign w:val="center"/>
          </w:tcPr>
          <w:p w14:paraId="5F2998AF" w14:textId="2D938656" w:rsidR="00154C57" w:rsidRPr="00B77A30"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Netherlands</w:t>
            </w:r>
          </w:p>
        </w:tc>
        <w:tc>
          <w:tcPr>
            <w:tcW w:w="414" w:type="dxa"/>
            <w:tcBorders>
              <w:top w:val="single" w:sz="4" w:space="0" w:color="auto"/>
            </w:tcBorders>
            <w:vAlign w:val="center"/>
          </w:tcPr>
          <w:p w14:paraId="59D35FF1"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5</w:t>
            </w:r>
          </w:p>
        </w:tc>
        <w:tc>
          <w:tcPr>
            <w:tcW w:w="468" w:type="dxa"/>
            <w:tcBorders>
              <w:top w:val="single" w:sz="4" w:space="0" w:color="auto"/>
            </w:tcBorders>
          </w:tcPr>
          <w:p w14:paraId="1D148FBF"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8DB5B25"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52445C3A"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23930958"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R/P</w:t>
            </w:r>
          </w:p>
        </w:tc>
        <w:tc>
          <w:tcPr>
            <w:tcW w:w="677" w:type="dxa"/>
            <w:tcBorders>
              <w:top w:val="single" w:sz="4" w:space="0" w:color="auto"/>
            </w:tcBorders>
            <w:vAlign w:val="center"/>
          </w:tcPr>
          <w:p w14:paraId="5ADA3A80"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tc>
        <w:tc>
          <w:tcPr>
            <w:tcW w:w="449" w:type="dxa"/>
            <w:tcBorders>
              <w:top w:val="single" w:sz="4" w:space="0" w:color="auto"/>
            </w:tcBorders>
            <w:vAlign w:val="center"/>
          </w:tcPr>
          <w:p w14:paraId="01032FEC"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70</w:t>
            </w:r>
          </w:p>
        </w:tc>
        <w:tc>
          <w:tcPr>
            <w:tcW w:w="524" w:type="dxa"/>
            <w:tcBorders>
              <w:top w:val="single" w:sz="4" w:space="0" w:color="auto"/>
            </w:tcBorders>
            <w:vAlign w:val="center"/>
          </w:tcPr>
          <w:p w14:paraId="72522807"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59</w:t>
            </w:r>
          </w:p>
        </w:tc>
        <w:tc>
          <w:tcPr>
            <w:tcW w:w="1425" w:type="dxa"/>
            <w:tcBorders>
              <w:top w:val="single" w:sz="4" w:space="0" w:color="auto"/>
            </w:tcBorders>
            <w:vAlign w:val="center"/>
          </w:tcPr>
          <w:p w14:paraId="54D696B2"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Gastrectomy</w:t>
            </w:r>
          </w:p>
        </w:tc>
        <w:tc>
          <w:tcPr>
            <w:tcW w:w="1165" w:type="dxa"/>
            <w:tcBorders>
              <w:top w:val="single" w:sz="4" w:space="0" w:color="auto"/>
            </w:tcBorders>
            <w:vAlign w:val="center"/>
          </w:tcPr>
          <w:p w14:paraId="475FFD4F"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 xml:space="preserve">Groningen Frailty Index </w:t>
            </w:r>
          </w:p>
          <w:p w14:paraId="4885A6F3"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tc>
        <w:tc>
          <w:tcPr>
            <w:tcW w:w="510" w:type="dxa"/>
            <w:tcBorders>
              <w:top w:val="single" w:sz="4" w:space="0" w:color="auto"/>
            </w:tcBorders>
            <w:vAlign w:val="center"/>
          </w:tcPr>
          <w:p w14:paraId="4A629DA8"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 xml:space="preserve"> 28</w:t>
            </w:r>
          </w:p>
        </w:tc>
        <w:tc>
          <w:tcPr>
            <w:tcW w:w="607" w:type="dxa"/>
            <w:tcBorders>
              <w:top w:val="single" w:sz="4" w:space="0" w:color="auto"/>
            </w:tcBorders>
            <w:vAlign w:val="center"/>
          </w:tcPr>
          <w:p w14:paraId="444706A7"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6</w:t>
            </w:r>
          </w:p>
        </w:tc>
        <w:tc>
          <w:tcPr>
            <w:tcW w:w="607" w:type="dxa"/>
            <w:tcBorders>
              <w:top w:val="single" w:sz="4" w:space="0" w:color="auto"/>
            </w:tcBorders>
            <w:vAlign w:val="center"/>
          </w:tcPr>
          <w:p w14:paraId="73D71F96"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607" w:type="dxa"/>
            <w:tcBorders>
              <w:top w:val="single" w:sz="4" w:space="0" w:color="auto"/>
            </w:tcBorders>
            <w:vAlign w:val="center"/>
          </w:tcPr>
          <w:p w14:paraId="1EE3C56A"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9.1</w:t>
            </w:r>
          </w:p>
        </w:tc>
        <w:tc>
          <w:tcPr>
            <w:tcW w:w="650" w:type="dxa"/>
            <w:tcBorders>
              <w:top w:val="single" w:sz="4" w:space="0" w:color="auto"/>
            </w:tcBorders>
            <w:vAlign w:val="center"/>
          </w:tcPr>
          <w:p w14:paraId="23193A2B"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449" w:type="dxa"/>
            <w:tcBorders>
              <w:top w:val="single" w:sz="4" w:space="0" w:color="auto"/>
            </w:tcBorders>
            <w:vAlign w:val="center"/>
          </w:tcPr>
          <w:p w14:paraId="19D9421D"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NR</w:t>
            </w:r>
          </w:p>
        </w:tc>
        <w:tc>
          <w:tcPr>
            <w:tcW w:w="1254" w:type="dxa"/>
            <w:tcBorders>
              <w:top w:val="single" w:sz="4" w:space="0" w:color="auto"/>
            </w:tcBorders>
          </w:tcPr>
          <w:p w14:paraId="3ECA18BE"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6A24126E"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04E3E4E6"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5D1045A" w14:textId="4326991D"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B77A30">
              <w:rPr>
                <w:rFonts w:ascii="Book Antiqua" w:eastAsia="Calibri" w:hAnsi="Book Antiqua" w:cs="Times New Roman"/>
                <w:kern w:val="2"/>
                <w:sz w:val="21"/>
                <w:szCs w:val="21"/>
              </w:rPr>
              <w:t>30 d mortality</w:t>
            </w:r>
          </w:p>
        </w:tc>
        <w:tc>
          <w:tcPr>
            <w:tcW w:w="1274" w:type="dxa"/>
            <w:tcBorders>
              <w:top w:val="single" w:sz="4" w:space="0" w:color="auto"/>
            </w:tcBorders>
            <w:vAlign w:val="center"/>
          </w:tcPr>
          <w:p w14:paraId="2EA0BE66" w14:textId="77777777" w:rsidR="00154C57" w:rsidRPr="00B77A30" w:rsidRDefault="00154C57" w:rsidP="00CB2DFE">
            <w:pPr>
              <w:spacing w:after="0" w:line="360" w:lineRule="auto"/>
              <w:jc w:val="both"/>
              <w:rPr>
                <w:rFonts w:ascii="Book Antiqua" w:eastAsia="MS Mincho" w:hAnsi="Book Antiqua" w:cs="Times New Roman"/>
                <w:color w:val="111111"/>
                <w:sz w:val="21"/>
                <w:szCs w:val="21"/>
                <w:lang w:eastAsia="de-DE"/>
              </w:rPr>
            </w:pPr>
          </w:p>
          <w:p w14:paraId="67B51064" w14:textId="71C8E5D9" w:rsidR="00154C57" w:rsidRPr="00B77A30" w:rsidRDefault="008808CF" w:rsidP="00CB2DFE">
            <w:pPr>
              <w:spacing w:after="0" w:line="360" w:lineRule="auto"/>
              <w:jc w:val="both"/>
              <w:rPr>
                <w:rFonts w:ascii="Book Antiqua" w:eastAsia="MS Mincho" w:hAnsi="Book Antiqua" w:cs="Times New Roman"/>
                <w:sz w:val="21"/>
                <w:szCs w:val="21"/>
                <w:lang w:eastAsia="de-DE"/>
              </w:rPr>
            </w:pPr>
            <w:r>
              <w:rPr>
                <w:rFonts w:ascii="Book Antiqua" w:eastAsia="MS Mincho" w:hAnsi="Book Antiqua" w:cs="Times New Roman"/>
                <w:color w:val="111111"/>
                <w:sz w:val="21"/>
                <w:szCs w:val="21"/>
                <w:lang w:eastAsia="de-DE"/>
              </w:rPr>
              <w:t>3.96 (95%</w:t>
            </w:r>
            <w:r w:rsidR="00154C57" w:rsidRPr="00B77A30">
              <w:rPr>
                <w:rFonts w:ascii="Book Antiqua" w:eastAsia="MS Mincho" w:hAnsi="Book Antiqua" w:cs="Times New Roman"/>
                <w:color w:val="111111"/>
                <w:sz w:val="21"/>
                <w:szCs w:val="21"/>
                <w:lang w:eastAsia="de-DE"/>
              </w:rPr>
              <w:t>CI</w:t>
            </w:r>
            <w:r>
              <w:rPr>
                <w:rFonts w:ascii="Book Antiqua" w:hAnsi="Book Antiqua" w:cs="Times New Roman" w:hint="eastAsia"/>
                <w:color w:val="111111"/>
                <w:sz w:val="21"/>
                <w:szCs w:val="21"/>
                <w:lang w:eastAsia="zh-CN"/>
              </w:rPr>
              <w:t>:</w:t>
            </w:r>
            <w:r w:rsidR="00154C57" w:rsidRPr="00B77A30">
              <w:rPr>
                <w:rFonts w:ascii="Book Antiqua" w:eastAsia="MS Mincho" w:hAnsi="Book Antiqua" w:cs="Times New Roman"/>
                <w:color w:val="111111"/>
                <w:sz w:val="21"/>
                <w:szCs w:val="21"/>
                <w:lang w:eastAsia="de-DE"/>
              </w:rPr>
              <w:t xml:space="preserve"> 1.12</w:t>
            </w:r>
            <w:r>
              <w:rPr>
                <w:rFonts w:ascii="Book Antiqua" w:hAnsi="Book Antiqua" w:cs="Times New Roman" w:hint="eastAsia"/>
                <w:color w:val="111111"/>
                <w:sz w:val="21"/>
                <w:szCs w:val="21"/>
                <w:lang w:eastAsia="zh-CN"/>
              </w:rPr>
              <w:t xml:space="preserve"> -</w:t>
            </w:r>
            <w:r w:rsidR="00154C57" w:rsidRPr="00B77A30">
              <w:rPr>
                <w:rFonts w:ascii="Book Antiqua" w:eastAsia="MS Mincho" w:hAnsi="Book Antiqua" w:cs="Times New Roman"/>
                <w:color w:val="111111"/>
                <w:sz w:val="21"/>
                <w:szCs w:val="21"/>
                <w:lang w:eastAsia="de-DE"/>
              </w:rPr>
              <w:t xml:space="preserve"> 14.09, </w:t>
            </w:r>
            <w:r w:rsidRPr="008808CF">
              <w:rPr>
                <w:rFonts w:ascii="Book Antiqua" w:eastAsia="MS Mincho" w:hAnsi="Book Antiqua" w:cs="Times New Roman"/>
                <w:i/>
                <w:sz w:val="21"/>
                <w:szCs w:val="21"/>
                <w:lang w:eastAsia="de-DE"/>
              </w:rPr>
              <w:t>P</w:t>
            </w:r>
            <w:r w:rsidRPr="00B77A30">
              <w:rPr>
                <w:rFonts w:ascii="Book Antiqua" w:eastAsia="MS Mincho" w:hAnsi="Book Antiqua" w:cs="Times New Roman"/>
                <w:color w:val="111111"/>
                <w:sz w:val="21"/>
                <w:szCs w:val="21"/>
                <w:lang w:eastAsia="de-DE"/>
              </w:rPr>
              <w:t xml:space="preserve"> </w:t>
            </w:r>
            <w:r w:rsidR="00154C57" w:rsidRPr="00B77A30">
              <w:rPr>
                <w:rFonts w:ascii="Book Antiqua" w:eastAsia="MS Mincho" w:hAnsi="Book Antiqua" w:cs="Times New Roman"/>
                <w:color w:val="111111"/>
                <w:sz w:val="21"/>
                <w:szCs w:val="21"/>
                <w:lang w:eastAsia="de-DE"/>
              </w:rPr>
              <w:t>=</w:t>
            </w:r>
            <w:r>
              <w:rPr>
                <w:rFonts w:ascii="Book Antiqua" w:hAnsi="Book Antiqua" w:cs="Times New Roman" w:hint="eastAsia"/>
                <w:color w:val="111111"/>
                <w:sz w:val="21"/>
                <w:szCs w:val="21"/>
                <w:lang w:eastAsia="zh-CN"/>
              </w:rPr>
              <w:t xml:space="preserve"> </w:t>
            </w:r>
            <w:r w:rsidR="00154C57" w:rsidRPr="00B77A30">
              <w:rPr>
                <w:rFonts w:ascii="Book Antiqua" w:eastAsia="MS Mincho" w:hAnsi="Book Antiqua" w:cs="Times New Roman"/>
                <w:color w:val="111111"/>
                <w:sz w:val="21"/>
                <w:szCs w:val="21"/>
                <w:lang w:eastAsia="de-DE"/>
              </w:rPr>
              <w:t xml:space="preserve">0.03) </w:t>
            </w:r>
          </w:p>
          <w:p w14:paraId="2842B528"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pPr>
          </w:p>
        </w:tc>
      </w:tr>
      <w:tr w:rsidR="00154C57" w:rsidRPr="00B77A30" w14:paraId="01E55157" w14:textId="77777777" w:rsidTr="00BF0BA3">
        <w:tc>
          <w:tcPr>
            <w:tcW w:w="13266" w:type="dxa"/>
            <w:gridSpan w:val="17"/>
            <w:tcBorders>
              <w:top w:val="single" w:sz="4" w:space="0" w:color="auto"/>
            </w:tcBorders>
            <w:vAlign w:val="center"/>
          </w:tcPr>
          <w:p w14:paraId="6021869A" w14:textId="53A7AA00" w:rsidR="00154C57" w:rsidRPr="00B77A30" w:rsidRDefault="008808CF" w:rsidP="00CB2DFE">
            <w:pPr>
              <w:widowControl w:val="0"/>
              <w:suppressAutoHyphens/>
              <w:spacing w:after="0" w:line="360" w:lineRule="auto"/>
              <w:jc w:val="both"/>
              <w:rPr>
                <w:rFonts w:ascii="Book Antiqua" w:hAnsi="Book Antiqua" w:cs="Times New Roman"/>
                <w:kern w:val="2"/>
                <w:sz w:val="21"/>
                <w:szCs w:val="21"/>
                <w:lang w:eastAsia="zh-CN"/>
              </w:rPr>
            </w:pPr>
            <w:r>
              <w:rPr>
                <w:rFonts w:ascii="Book Antiqua" w:hAnsi="Book Antiqua" w:cs="Times New Roman" w:hint="eastAsia"/>
                <w:kern w:val="2"/>
                <w:sz w:val="21"/>
                <w:szCs w:val="21"/>
                <w:vertAlign w:val="superscript"/>
                <w:lang w:eastAsia="zh-CN"/>
              </w:rPr>
              <w:t>1</w:t>
            </w:r>
            <w:r w:rsidRPr="00B77A30">
              <w:rPr>
                <w:rFonts w:ascii="Book Antiqua" w:eastAsia="Calibri" w:hAnsi="Book Antiqua" w:cs="Times New Roman"/>
                <w:kern w:val="2"/>
                <w:sz w:val="21"/>
                <w:szCs w:val="21"/>
              </w:rPr>
              <w:t>According to the Newcastle-Ottawa Scale ranging from 1 to 9 stars</w:t>
            </w:r>
            <w:r>
              <w:rPr>
                <w:rFonts w:ascii="Book Antiqua" w:hAnsi="Book Antiqua" w:cs="Times New Roman" w:hint="eastAsia"/>
                <w:kern w:val="2"/>
                <w:sz w:val="21"/>
                <w:szCs w:val="21"/>
                <w:lang w:eastAsia="zh-CN"/>
              </w:rPr>
              <w:t xml:space="preserve">. </w:t>
            </w:r>
            <w:r w:rsidR="00154C57" w:rsidRPr="00B77A30">
              <w:rPr>
                <w:rFonts w:ascii="Book Antiqua" w:eastAsia="Calibri" w:hAnsi="Book Antiqua" w:cs="Times New Roman"/>
                <w:kern w:val="2"/>
                <w:sz w:val="21"/>
                <w:szCs w:val="21"/>
              </w:rPr>
              <w:t>Age, and OS are presented as median val</w:t>
            </w:r>
            <w:r w:rsidR="00B77A30" w:rsidRPr="00B77A30">
              <w:rPr>
                <w:rFonts w:ascii="Book Antiqua" w:eastAsia="Calibri" w:hAnsi="Book Antiqua" w:cs="Times New Roman"/>
                <w:kern w:val="2"/>
                <w:sz w:val="21"/>
                <w:szCs w:val="21"/>
              </w:rPr>
              <w:t>ues unless indicated otherwise</w:t>
            </w:r>
            <w:r w:rsidR="00B77A30" w:rsidRPr="00B77A30">
              <w:rPr>
                <w:rFonts w:ascii="Book Antiqua" w:hAnsi="Book Antiqua" w:cs="Times New Roman"/>
                <w:kern w:val="2"/>
                <w:sz w:val="21"/>
                <w:szCs w:val="21"/>
                <w:lang w:eastAsia="zh-CN"/>
              </w:rPr>
              <w:t xml:space="preserve">. </w:t>
            </w:r>
            <w:r w:rsidR="00154C57" w:rsidRPr="00B77A30">
              <w:rPr>
                <w:rFonts w:ascii="Book Antiqua" w:eastAsia="Calibri" w:hAnsi="Book Antiqua" w:cs="Times New Roman"/>
                <w:kern w:val="2"/>
                <w:sz w:val="21"/>
                <w:szCs w:val="21"/>
              </w:rPr>
              <w:t>NR</w:t>
            </w:r>
            <w:r w:rsidR="00B77A30">
              <w:rPr>
                <w:rFonts w:ascii="Book Antiqua" w:hAnsi="Book Antiqua" w:cs="Times New Roman" w:hint="eastAsia"/>
                <w:kern w:val="2"/>
                <w:sz w:val="21"/>
                <w:szCs w:val="21"/>
                <w:lang w:eastAsia="zh-CN"/>
              </w:rPr>
              <w:t>:</w:t>
            </w:r>
            <w:r w:rsidR="00154C57" w:rsidRPr="00B77A30">
              <w:rPr>
                <w:rFonts w:ascii="Book Antiqua" w:eastAsia="Calibri" w:hAnsi="Book Antiqua" w:cs="Times New Roman"/>
                <w:kern w:val="2"/>
                <w:sz w:val="21"/>
                <w:szCs w:val="21"/>
              </w:rPr>
              <w:t xml:space="preserve"> </w:t>
            </w:r>
            <w:r w:rsidR="00B77A30" w:rsidRPr="00B77A30">
              <w:rPr>
                <w:rFonts w:ascii="Book Antiqua" w:eastAsia="Calibri" w:hAnsi="Book Antiqua" w:cs="Times New Roman"/>
                <w:kern w:val="2"/>
                <w:sz w:val="21"/>
                <w:szCs w:val="21"/>
              </w:rPr>
              <w:t xml:space="preserve">Not </w:t>
            </w:r>
            <w:r w:rsidR="00154C57" w:rsidRPr="00B77A30">
              <w:rPr>
                <w:rFonts w:ascii="Book Antiqua" w:eastAsia="Calibri" w:hAnsi="Book Antiqua" w:cs="Times New Roman"/>
                <w:kern w:val="2"/>
                <w:sz w:val="21"/>
                <w:szCs w:val="21"/>
              </w:rPr>
              <w:t>reported</w:t>
            </w:r>
            <w:r w:rsidR="00B77A30">
              <w:rPr>
                <w:rFonts w:ascii="Book Antiqua" w:hAnsi="Book Antiqua" w:cs="Times New Roman" w:hint="eastAsia"/>
                <w:kern w:val="2"/>
                <w:sz w:val="21"/>
                <w:szCs w:val="21"/>
                <w:lang w:eastAsia="zh-CN"/>
              </w:rPr>
              <w:t>;</w:t>
            </w:r>
            <w:r w:rsidR="00154C57" w:rsidRPr="00B77A30">
              <w:rPr>
                <w:rFonts w:ascii="Book Antiqua" w:eastAsia="Calibri" w:hAnsi="Book Antiqua" w:cs="Times New Roman"/>
                <w:kern w:val="2"/>
                <w:sz w:val="21"/>
                <w:szCs w:val="21"/>
              </w:rPr>
              <w:t xml:space="preserve"> OS</w:t>
            </w:r>
            <w:r w:rsidR="00B77A30">
              <w:rPr>
                <w:rFonts w:ascii="Book Antiqua" w:hAnsi="Book Antiqua" w:cs="Times New Roman" w:hint="eastAsia"/>
                <w:kern w:val="2"/>
                <w:sz w:val="21"/>
                <w:szCs w:val="21"/>
                <w:lang w:eastAsia="zh-CN"/>
              </w:rPr>
              <w:t>:</w:t>
            </w:r>
            <w:r w:rsidR="00154C57" w:rsidRPr="00B77A30">
              <w:rPr>
                <w:rFonts w:ascii="Book Antiqua" w:eastAsia="Calibri" w:hAnsi="Book Antiqua" w:cs="Times New Roman"/>
                <w:kern w:val="2"/>
                <w:sz w:val="21"/>
                <w:szCs w:val="21"/>
              </w:rPr>
              <w:t xml:space="preserve"> </w:t>
            </w:r>
            <w:r w:rsidR="00B77A30" w:rsidRPr="00B77A30">
              <w:rPr>
                <w:rFonts w:ascii="Book Antiqua" w:eastAsia="Calibri" w:hAnsi="Book Antiqua" w:cs="Times New Roman"/>
                <w:kern w:val="2"/>
                <w:sz w:val="21"/>
                <w:szCs w:val="21"/>
              </w:rPr>
              <w:t xml:space="preserve">Overall </w:t>
            </w:r>
            <w:r w:rsidR="00154C57" w:rsidRPr="00B77A30">
              <w:rPr>
                <w:rFonts w:ascii="Book Antiqua" w:eastAsia="Calibri" w:hAnsi="Book Antiqua" w:cs="Times New Roman"/>
                <w:kern w:val="2"/>
                <w:sz w:val="21"/>
                <w:szCs w:val="21"/>
              </w:rPr>
              <w:t>survival; OR</w:t>
            </w:r>
            <w:r w:rsidR="00B77A30">
              <w:rPr>
                <w:rFonts w:ascii="Book Antiqua" w:hAnsi="Book Antiqua" w:cs="Times New Roman" w:hint="eastAsia"/>
                <w:kern w:val="2"/>
                <w:sz w:val="21"/>
                <w:szCs w:val="21"/>
                <w:lang w:eastAsia="zh-CN"/>
              </w:rPr>
              <w:t>:</w:t>
            </w:r>
            <w:r w:rsidR="00154C57" w:rsidRPr="00B77A30">
              <w:rPr>
                <w:rFonts w:ascii="Book Antiqua" w:eastAsia="Calibri" w:hAnsi="Book Antiqua" w:cs="Times New Roman"/>
                <w:kern w:val="2"/>
                <w:sz w:val="21"/>
                <w:szCs w:val="21"/>
              </w:rPr>
              <w:t xml:space="preserve"> </w:t>
            </w:r>
            <w:r w:rsidR="00B77A30" w:rsidRPr="00B77A30">
              <w:rPr>
                <w:rFonts w:ascii="Book Antiqua" w:eastAsia="Calibri" w:hAnsi="Book Antiqua" w:cs="Times New Roman"/>
                <w:kern w:val="2"/>
                <w:sz w:val="21"/>
                <w:szCs w:val="21"/>
              </w:rPr>
              <w:t xml:space="preserve">Odds </w:t>
            </w:r>
            <w:r w:rsidR="00154C57" w:rsidRPr="00B77A30">
              <w:rPr>
                <w:rFonts w:ascii="Book Antiqua" w:eastAsia="Calibri" w:hAnsi="Book Antiqua" w:cs="Times New Roman"/>
                <w:kern w:val="2"/>
                <w:sz w:val="21"/>
                <w:szCs w:val="21"/>
              </w:rPr>
              <w:t>ratio; CI</w:t>
            </w:r>
            <w:r w:rsidR="00B77A30">
              <w:rPr>
                <w:rFonts w:ascii="Book Antiqua" w:hAnsi="Book Antiqua" w:cs="Times New Roman" w:hint="eastAsia"/>
                <w:kern w:val="2"/>
                <w:sz w:val="21"/>
                <w:szCs w:val="21"/>
                <w:lang w:eastAsia="zh-CN"/>
              </w:rPr>
              <w:t>:</w:t>
            </w:r>
            <w:r w:rsidR="00154C57" w:rsidRPr="00B77A30">
              <w:rPr>
                <w:rFonts w:ascii="Book Antiqua" w:eastAsia="Calibri" w:hAnsi="Book Antiqua" w:cs="Times New Roman"/>
                <w:kern w:val="2"/>
                <w:sz w:val="21"/>
                <w:szCs w:val="21"/>
              </w:rPr>
              <w:t xml:space="preserve"> </w:t>
            </w:r>
            <w:r w:rsidR="00B77A30" w:rsidRPr="00B77A30">
              <w:rPr>
                <w:rFonts w:ascii="Book Antiqua" w:eastAsia="Calibri" w:hAnsi="Book Antiqua" w:cs="Times New Roman"/>
                <w:kern w:val="2"/>
                <w:sz w:val="21"/>
                <w:szCs w:val="21"/>
              </w:rPr>
              <w:t xml:space="preserve">Confidence </w:t>
            </w:r>
            <w:r>
              <w:rPr>
                <w:rFonts w:ascii="Book Antiqua" w:eastAsia="Calibri" w:hAnsi="Book Antiqua" w:cs="Times New Roman"/>
                <w:kern w:val="2"/>
                <w:sz w:val="21"/>
                <w:szCs w:val="21"/>
              </w:rPr>
              <w:t xml:space="preserve">interval; </w:t>
            </w:r>
            <w:r w:rsidR="00154C57" w:rsidRPr="00B77A30">
              <w:rPr>
                <w:rFonts w:ascii="Book Antiqua" w:eastAsia="Calibri" w:hAnsi="Book Antiqua" w:cs="Times New Roman"/>
                <w:kern w:val="2"/>
                <w:sz w:val="21"/>
                <w:szCs w:val="21"/>
              </w:rPr>
              <w:t>P</w:t>
            </w:r>
            <w:r w:rsidR="00B77A30">
              <w:rPr>
                <w:rFonts w:ascii="Book Antiqua" w:hAnsi="Book Antiqua" w:cs="Times New Roman" w:hint="eastAsia"/>
                <w:kern w:val="2"/>
                <w:sz w:val="21"/>
                <w:szCs w:val="21"/>
                <w:lang w:eastAsia="zh-CN"/>
              </w:rPr>
              <w:t xml:space="preserve">: </w:t>
            </w:r>
            <w:r w:rsidR="00B77A30" w:rsidRPr="00B77A30">
              <w:rPr>
                <w:rFonts w:ascii="Book Antiqua" w:eastAsia="Calibri" w:hAnsi="Book Antiqua" w:cs="Times New Roman"/>
                <w:kern w:val="2"/>
                <w:sz w:val="21"/>
                <w:szCs w:val="21"/>
              </w:rPr>
              <w:t xml:space="preserve">Prospective </w:t>
            </w:r>
            <w:r w:rsidR="00154C57" w:rsidRPr="00B77A30">
              <w:rPr>
                <w:rFonts w:ascii="Book Antiqua" w:eastAsia="Calibri" w:hAnsi="Book Antiqua" w:cs="Times New Roman"/>
                <w:kern w:val="2"/>
                <w:sz w:val="21"/>
                <w:szCs w:val="21"/>
              </w:rPr>
              <w:t>trial; P/R</w:t>
            </w:r>
            <w:r w:rsidR="00B77A30">
              <w:rPr>
                <w:rFonts w:ascii="Book Antiqua" w:hAnsi="Book Antiqua" w:cs="Times New Roman" w:hint="eastAsia"/>
                <w:kern w:val="2"/>
                <w:sz w:val="21"/>
                <w:szCs w:val="21"/>
                <w:lang w:eastAsia="zh-CN"/>
              </w:rPr>
              <w:t xml:space="preserve">: </w:t>
            </w:r>
            <w:r w:rsidR="00B77A30" w:rsidRPr="00B77A30">
              <w:rPr>
                <w:rFonts w:ascii="Book Antiqua" w:eastAsia="Calibri" w:hAnsi="Book Antiqua" w:cs="Times New Roman"/>
                <w:kern w:val="2"/>
                <w:sz w:val="21"/>
                <w:szCs w:val="21"/>
              </w:rPr>
              <w:t xml:space="preserve">Retrospective </w:t>
            </w:r>
            <w:r w:rsidR="00154C57" w:rsidRPr="00B77A30">
              <w:rPr>
                <w:rFonts w:ascii="Book Antiqua" w:eastAsia="Calibri" w:hAnsi="Book Antiqua" w:cs="Times New Roman"/>
                <w:kern w:val="2"/>
                <w:sz w:val="21"/>
                <w:szCs w:val="21"/>
              </w:rPr>
              <w:t>analysis on prospectively collected data; R</w:t>
            </w:r>
            <w:r w:rsidR="00B77A30">
              <w:rPr>
                <w:rFonts w:ascii="Book Antiqua" w:hAnsi="Book Antiqua" w:cs="Times New Roman" w:hint="eastAsia"/>
                <w:kern w:val="2"/>
                <w:sz w:val="21"/>
                <w:szCs w:val="21"/>
                <w:lang w:eastAsia="zh-CN"/>
              </w:rPr>
              <w:t>:</w:t>
            </w:r>
            <w:r w:rsidR="00154C57" w:rsidRPr="00B77A30">
              <w:rPr>
                <w:rFonts w:ascii="Book Antiqua" w:eastAsia="Calibri" w:hAnsi="Book Antiqua" w:cs="Times New Roman"/>
                <w:kern w:val="2"/>
                <w:sz w:val="21"/>
                <w:szCs w:val="21"/>
              </w:rPr>
              <w:t xml:space="preserve"> </w:t>
            </w:r>
            <w:r w:rsidR="00B77A30" w:rsidRPr="00B77A30">
              <w:rPr>
                <w:rFonts w:ascii="Book Antiqua" w:eastAsia="Calibri" w:hAnsi="Book Antiqua" w:cs="Times New Roman"/>
                <w:kern w:val="2"/>
                <w:sz w:val="21"/>
                <w:szCs w:val="21"/>
              </w:rPr>
              <w:t xml:space="preserve">Retrospective </w:t>
            </w:r>
            <w:r w:rsidR="00B77A30">
              <w:rPr>
                <w:rFonts w:ascii="Book Antiqua" w:eastAsia="Calibri" w:hAnsi="Book Antiqua" w:cs="Times New Roman"/>
                <w:kern w:val="2"/>
                <w:sz w:val="21"/>
                <w:szCs w:val="21"/>
              </w:rPr>
              <w:t>trial</w:t>
            </w:r>
            <w:r w:rsidR="00B77A30">
              <w:rPr>
                <w:rFonts w:ascii="Book Antiqua" w:hAnsi="Book Antiqua" w:cs="Times New Roman" w:hint="eastAsia"/>
                <w:kern w:val="2"/>
                <w:sz w:val="21"/>
                <w:szCs w:val="21"/>
                <w:lang w:eastAsia="zh-CN"/>
              </w:rPr>
              <w:t>.</w:t>
            </w:r>
          </w:p>
          <w:p w14:paraId="0135A41B" w14:textId="0E7D8990" w:rsidR="00154C57" w:rsidRPr="008808CF" w:rsidRDefault="00154C57" w:rsidP="00CB2DFE">
            <w:pPr>
              <w:widowControl w:val="0"/>
              <w:suppressAutoHyphens/>
              <w:spacing w:after="0" w:line="360" w:lineRule="auto"/>
              <w:jc w:val="both"/>
              <w:rPr>
                <w:rFonts w:ascii="Book Antiqua" w:hAnsi="Book Antiqua" w:cs="Times New Roman"/>
                <w:kern w:val="2"/>
                <w:sz w:val="21"/>
                <w:szCs w:val="21"/>
                <w:lang w:eastAsia="zh-CN"/>
              </w:rPr>
            </w:pPr>
          </w:p>
        </w:tc>
      </w:tr>
    </w:tbl>
    <w:p w14:paraId="556E2C8E"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21"/>
          <w:szCs w:val="21"/>
        </w:rPr>
        <w:sectPr w:rsidR="00154C57" w:rsidRPr="00B77A30" w:rsidSect="005473F3">
          <w:pgSz w:w="15840" w:h="12240" w:orient="landscape"/>
          <w:pgMar w:top="1440" w:right="1440" w:bottom="1440" w:left="1440" w:header="0" w:footer="720" w:gutter="0"/>
          <w:cols w:space="720"/>
          <w:docGrid w:linePitch="360"/>
        </w:sectPr>
      </w:pPr>
    </w:p>
    <w:p w14:paraId="7EB02087" w14:textId="751BC541" w:rsidR="00154C57" w:rsidRPr="00B77A30" w:rsidRDefault="00154C57" w:rsidP="00CB2DFE">
      <w:pPr>
        <w:widowControl w:val="0"/>
        <w:suppressAutoHyphens/>
        <w:spacing w:after="0" w:line="360" w:lineRule="auto"/>
        <w:jc w:val="both"/>
        <w:rPr>
          <w:rFonts w:ascii="Book Antiqua" w:eastAsia="Calibri" w:hAnsi="Book Antiqua" w:cs="Times New Roman"/>
          <w:kern w:val="2"/>
          <w:sz w:val="24"/>
          <w:szCs w:val="24"/>
        </w:rPr>
      </w:pPr>
      <w:r w:rsidRPr="00B77A30">
        <w:rPr>
          <w:rFonts w:ascii="Book Antiqua" w:eastAsia="Calibri" w:hAnsi="Book Antiqua" w:cs="Times New Roman"/>
          <w:b/>
          <w:kern w:val="2"/>
          <w:sz w:val="24"/>
          <w:szCs w:val="24"/>
        </w:rPr>
        <w:lastRenderedPageBreak/>
        <w:t>Table</w:t>
      </w:r>
      <w:r w:rsidR="00B77A30">
        <w:rPr>
          <w:rFonts w:ascii="Book Antiqua" w:hAnsi="Book Antiqua" w:cs="Times New Roman" w:hint="eastAsia"/>
          <w:b/>
          <w:kern w:val="2"/>
          <w:sz w:val="24"/>
          <w:szCs w:val="24"/>
          <w:lang w:eastAsia="zh-CN"/>
        </w:rPr>
        <w:t xml:space="preserve"> 2 </w:t>
      </w:r>
      <w:proofErr w:type="gramStart"/>
      <w:r w:rsidR="00B77A30" w:rsidRPr="00B77A30">
        <w:rPr>
          <w:rFonts w:ascii="Book Antiqua" w:eastAsia="Calibri" w:hAnsi="Book Antiqua" w:cs="Times New Roman"/>
          <w:b/>
          <w:kern w:val="2"/>
          <w:sz w:val="24"/>
          <w:szCs w:val="24"/>
        </w:rPr>
        <w:t>Complies</w:t>
      </w:r>
      <w:proofErr w:type="gramEnd"/>
      <w:r w:rsidR="00B77A30" w:rsidRPr="00B77A30">
        <w:rPr>
          <w:rFonts w:ascii="Book Antiqua" w:eastAsia="Calibri" w:hAnsi="Book Antiqua" w:cs="Times New Roman"/>
          <w:b/>
          <w:kern w:val="2"/>
          <w:sz w:val="24"/>
          <w:szCs w:val="24"/>
        </w:rPr>
        <w:t xml:space="preserve"> </w:t>
      </w:r>
      <w:r w:rsidRPr="00B77A30">
        <w:rPr>
          <w:rFonts w:ascii="Book Antiqua" w:eastAsia="Calibri" w:hAnsi="Book Antiqua" w:cs="Times New Roman"/>
          <w:b/>
          <w:kern w:val="2"/>
          <w:sz w:val="24"/>
          <w:szCs w:val="24"/>
        </w:rPr>
        <w:t>the characteristics of all studies evaluated in patients undergoing colorectal resections</w:t>
      </w:r>
    </w:p>
    <w:tbl>
      <w:tblPr>
        <w:tblW w:w="14459" w:type="dxa"/>
        <w:tblInd w:w="-601" w:type="dxa"/>
        <w:tblLayout w:type="fixed"/>
        <w:tblLook w:val="04A0" w:firstRow="1" w:lastRow="0" w:firstColumn="1" w:lastColumn="0" w:noHBand="0" w:noVBand="1"/>
      </w:tblPr>
      <w:tblGrid>
        <w:gridCol w:w="1418"/>
        <w:gridCol w:w="1134"/>
        <w:gridCol w:w="567"/>
        <w:gridCol w:w="550"/>
        <w:gridCol w:w="677"/>
        <w:gridCol w:w="449"/>
        <w:gridCol w:w="524"/>
        <w:gridCol w:w="1425"/>
        <w:gridCol w:w="1165"/>
        <w:gridCol w:w="510"/>
        <w:gridCol w:w="607"/>
        <w:gridCol w:w="607"/>
        <w:gridCol w:w="607"/>
        <w:gridCol w:w="650"/>
        <w:gridCol w:w="1018"/>
        <w:gridCol w:w="992"/>
        <w:gridCol w:w="1559"/>
      </w:tblGrid>
      <w:tr w:rsidR="00154C57" w:rsidRPr="003C6F52" w14:paraId="251C5E71" w14:textId="77777777" w:rsidTr="008808CF">
        <w:trPr>
          <w:cantSplit/>
          <w:trHeight w:val="1457"/>
        </w:trPr>
        <w:tc>
          <w:tcPr>
            <w:tcW w:w="1418" w:type="dxa"/>
            <w:tcBorders>
              <w:top w:val="single" w:sz="4" w:space="0" w:color="auto"/>
            </w:tcBorders>
            <w:vAlign w:val="center"/>
          </w:tcPr>
          <w:p w14:paraId="45DCE3F0"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Study</w:t>
            </w:r>
          </w:p>
        </w:tc>
        <w:tc>
          <w:tcPr>
            <w:tcW w:w="1134" w:type="dxa"/>
            <w:tcBorders>
              <w:top w:val="single" w:sz="4" w:space="0" w:color="auto"/>
            </w:tcBorders>
            <w:vAlign w:val="center"/>
          </w:tcPr>
          <w:p w14:paraId="462142A2"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Country</w:t>
            </w:r>
          </w:p>
        </w:tc>
        <w:tc>
          <w:tcPr>
            <w:tcW w:w="567" w:type="dxa"/>
            <w:tcBorders>
              <w:top w:val="single" w:sz="4" w:space="0" w:color="auto"/>
            </w:tcBorders>
            <w:vAlign w:val="center"/>
          </w:tcPr>
          <w:p w14:paraId="05060F88" w14:textId="26E64534" w:rsidR="00154C57" w:rsidRPr="008808CF" w:rsidRDefault="00154C57" w:rsidP="00CB2DFE">
            <w:pPr>
              <w:widowControl w:val="0"/>
              <w:suppressAutoHyphens/>
              <w:spacing w:after="0" w:line="360" w:lineRule="auto"/>
              <w:jc w:val="both"/>
              <w:rPr>
                <w:rFonts w:ascii="Book Antiqua" w:hAnsi="Book Antiqua" w:cs="Times New Roman"/>
                <w:kern w:val="2"/>
                <w:sz w:val="21"/>
                <w:szCs w:val="21"/>
                <w:lang w:eastAsia="zh-CN"/>
              </w:rPr>
            </w:pPr>
            <w:r w:rsidRPr="003C6F52">
              <w:rPr>
                <w:rFonts w:ascii="Book Antiqua" w:eastAsia="Calibri" w:hAnsi="Book Antiqua" w:cs="Times New Roman"/>
                <w:kern w:val="2"/>
                <w:sz w:val="21"/>
                <w:szCs w:val="21"/>
              </w:rPr>
              <w:t>Quality score</w:t>
            </w:r>
            <w:r w:rsidR="008808CF">
              <w:rPr>
                <w:rFonts w:ascii="Book Antiqua" w:hAnsi="Book Antiqua" w:cs="Times New Roman" w:hint="eastAsia"/>
                <w:kern w:val="2"/>
                <w:sz w:val="21"/>
                <w:szCs w:val="21"/>
                <w:vertAlign w:val="superscript"/>
                <w:lang w:eastAsia="zh-CN"/>
              </w:rPr>
              <w:t>1</w:t>
            </w:r>
          </w:p>
        </w:tc>
        <w:tc>
          <w:tcPr>
            <w:tcW w:w="550" w:type="dxa"/>
            <w:tcBorders>
              <w:top w:val="single" w:sz="4" w:space="0" w:color="auto"/>
            </w:tcBorders>
          </w:tcPr>
          <w:p w14:paraId="548E7D3E"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Study design</w:t>
            </w:r>
          </w:p>
        </w:tc>
        <w:tc>
          <w:tcPr>
            <w:tcW w:w="677" w:type="dxa"/>
            <w:tcBorders>
              <w:top w:val="single" w:sz="4" w:space="0" w:color="auto"/>
            </w:tcBorders>
            <w:vAlign w:val="center"/>
          </w:tcPr>
          <w:p w14:paraId="79678D22"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Sample size</w:t>
            </w:r>
          </w:p>
        </w:tc>
        <w:tc>
          <w:tcPr>
            <w:tcW w:w="449" w:type="dxa"/>
            <w:tcBorders>
              <w:top w:val="single" w:sz="4" w:space="0" w:color="auto"/>
            </w:tcBorders>
            <w:vAlign w:val="center"/>
          </w:tcPr>
          <w:p w14:paraId="149E5AD9" w14:textId="25B38B60" w:rsidR="00154C57" w:rsidRPr="003C6F52" w:rsidRDefault="008808CF" w:rsidP="00CB2DFE">
            <w:pPr>
              <w:widowControl w:val="0"/>
              <w:suppressAutoHyphens/>
              <w:spacing w:after="0" w:line="360" w:lineRule="auto"/>
              <w:jc w:val="both"/>
              <w:rPr>
                <w:rFonts w:ascii="Book Antiqua" w:eastAsia="Calibri" w:hAnsi="Book Antiqua" w:cs="Times New Roman"/>
                <w:kern w:val="2"/>
                <w:sz w:val="21"/>
                <w:szCs w:val="21"/>
              </w:rPr>
            </w:pPr>
            <w:r>
              <w:rPr>
                <w:rFonts w:ascii="Book Antiqua" w:eastAsia="Calibri" w:hAnsi="Book Antiqua" w:cs="Times New Roman"/>
                <w:kern w:val="2"/>
                <w:sz w:val="21"/>
                <w:szCs w:val="21"/>
              </w:rPr>
              <w:t>Age (</w:t>
            </w:r>
            <w:proofErr w:type="spellStart"/>
            <w:r>
              <w:rPr>
                <w:rFonts w:ascii="Book Antiqua" w:hAnsi="Book Antiqua" w:cs="Times New Roman" w:hint="eastAsia"/>
                <w:kern w:val="2"/>
                <w:sz w:val="21"/>
                <w:szCs w:val="21"/>
                <w:lang w:eastAsia="zh-CN"/>
              </w:rPr>
              <w:t>yr</w:t>
            </w:r>
            <w:proofErr w:type="spellEnd"/>
            <w:r w:rsidR="00154C57" w:rsidRPr="003C6F52">
              <w:rPr>
                <w:rFonts w:ascii="Book Antiqua" w:eastAsia="Calibri" w:hAnsi="Book Antiqua" w:cs="Times New Roman"/>
                <w:kern w:val="2"/>
                <w:sz w:val="21"/>
                <w:szCs w:val="21"/>
              </w:rPr>
              <w:t>)</w:t>
            </w:r>
          </w:p>
        </w:tc>
        <w:tc>
          <w:tcPr>
            <w:tcW w:w="524" w:type="dxa"/>
            <w:tcBorders>
              <w:top w:val="single" w:sz="4" w:space="0" w:color="auto"/>
            </w:tcBorders>
            <w:vAlign w:val="center"/>
          </w:tcPr>
          <w:p w14:paraId="1A0FF64D"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Male sex (%)</w:t>
            </w:r>
          </w:p>
        </w:tc>
        <w:tc>
          <w:tcPr>
            <w:tcW w:w="1425" w:type="dxa"/>
            <w:tcBorders>
              <w:top w:val="single" w:sz="4" w:space="0" w:color="auto"/>
            </w:tcBorders>
            <w:vAlign w:val="center"/>
          </w:tcPr>
          <w:p w14:paraId="716895AD"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Surgery </w:t>
            </w:r>
          </w:p>
          <w:p w14:paraId="54430668"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type </w:t>
            </w:r>
          </w:p>
        </w:tc>
        <w:tc>
          <w:tcPr>
            <w:tcW w:w="1165" w:type="dxa"/>
            <w:tcBorders>
              <w:top w:val="single" w:sz="4" w:space="0" w:color="auto"/>
            </w:tcBorders>
            <w:vAlign w:val="center"/>
          </w:tcPr>
          <w:p w14:paraId="2A59A7AA"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Parameter used to define frailty</w:t>
            </w:r>
          </w:p>
        </w:tc>
        <w:tc>
          <w:tcPr>
            <w:tcW w:w="510" w:type="dxa"/>
            <w:tcBorders>
              <w:top w:val="single" w:sz="4" w:space="0" w:color="auto"/>
            </w:tcBorders>
            <w:vAlign w:val="center"/>
          </w:tcPr>
          <w:p w14:paraId="4C81DD1A"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Postoperative complication rate </w:t>
            </w:r>
          </w:p>
        </w:tc>
        <w:tc>
          <w:tcPr>
            <w:tcW w:w="607" w:type="dxa"/>
            <w:tcBorders>
              <w:top w:val="single" w:sz="4" w:space="0" w:color="auto"/>
            </w:tcBorders>
            <w:vAlign w:val="center"/>
          </w:tcPr>
          <w:p w14:paraId="2D0C1F10"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Follow-up </w:t>
            </w:r>
          </w:p>
          <w:p w14:paraId="451082E0"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(months)</w:t>
            </w:r>
          </w:p>
        </w:tc>
        <w:tc>
          <w:tcPr>
            <w:tcW w:w="607" w:type="dxa"/>
            <w:tcBorders>
              <w:top w:val="single" w:sz="4" w:space="0" w:color="auto"/>
            </w:tcBorders>
            <w:vAlign w:val="center"/>
          </w:tcPr>
          <w:p w14:paraId="2579B1F4" w14:textId="51EA125D"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30-d </w:t>
            </w:r>
          </w:p>
          <w:p w14:paraId="48ACAAAB"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Morbidity (%)</w:t>
            </w:r>
          </w:p>
        </w:tc>
        <w:tc>
          <w:tcPr>
            <w:tcW w:w="607" w:type="dxa"/>
            <w:tcBorders>
              <w:top w:val="single" w:sz="4" w:space="0" w:color="auto"/>
            </w:tcBorders>
            <w:vAlign w:val="center"/>
          </w:tcPr>
          <w:p w14:paraId="231C3179" w14:textId="2A77D318"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30-d </w:t>
            </w:r>
          </w:p>
          <w:p w14:paraId="0BA2B026"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Mortality (%)</w:t>
            </w:r>
          </w:p>
        </w:tc>
        <w:tc>
          <w:tcPr>
            <w:tcW w:w="650" w:type="dxa"/>
            <w:tcBorders>
              <w:top w:val="single" w:sz="4" w:space="0" w:color="auto"/>
            </w:tcBorders>
            <w:vAlign w:val="center"/>
          </w:tcPr>
          <w:p w14:paraId="7B4C565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1 year OS (%)</w:t>
            </w:r>
          </w:p>
          <w:p w14:paraId="3A98BB05"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tc>
        <w:tc>
          <w:tcPr>
            <w:tcW w:w="1018" w:type="dxa"/>
            <w:tcBorders>
              <w:top w:val="single" w:sz="4" w:space="0" w:color="auto"/>
            </w:tcBorders>
            <w:vAlign w:val="center"/>
          </w:tcPr>
          <w:p w14:paraId="104B74E1" w14:textId="742F9A46"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5-yr OS (%)</w:t>
            </w:r>
          </w:p>
        </w:tc>
        <w:tc>
          <w:tcPr>
            <w:tcW w:w="992" w:type="dxa"/>
            <w:tcBorders>
              <w:top w:val="single" w:sz="4" w:space="0" w:color="auto"/>
            </w:tcBorders>
          </w:tcPr>
          <w:p w14:paraId="39CF88D9"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Outcome parameter</w:t>
            </w:r>
          </w:p>
        </w:tc>
        <w:tc>
          <w:tcPr>
            <w:tcW w:w="1559" w:type="dxa"/>
            <w:tcBorders>
              <w:top w:val="single" w:sz="4" w:space="0" w:color="auto"/>
            </w:tcBorders>
            <w:vAlign w:val="center"/>
          </w:tcPr>
          <w:p w14:paraId="69C1ADA5"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frailty /Outcome (OR)</w:t>
            </w:r>
          </w:p>
          <w:p w14:paraId="462F715A"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tc>
      </w:tr>
      <w:tr w:rsidR="00154C57" w:rsidRPr="003C6F52" w14:paraId="06D63399" w14:textId="77777777" w:rsidTr="008808CF">
        <w:trPr>
          <w:cantSplit/>
          <w:trHeight w:hRule="exact" w:val="1134"/>
        </w:trPr>
        <w:tc>
          <w:tcPr>
            <w:tcW w:w="1418" w:type="dxa"/>
            <w:tcBorders>
              <w:top w:val="single" w:sz="4" w:space="0" w:color="auto"/>
            </w:tcBorders>
            <w:vAlign w:val="center"/>
          </w:tcPr>
          <w:p w14:paraId="4C5FD93C" w14:textId="4B6B38EA"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3C6F52">
              <w:rPr>
                <w:rFonts w:ascii="Book Antiqua" w:eastAsia="Calibri" w:hAnsi="Book Antiqua" w:cs="Times New Roman"/>
                <w:kern w:val="2"/>
                <w:sz w:val="21"/>
                <w:szCs w:val="21"/>
              </w:rPr>
              <w:t>Rooning</w:t>
            </w:r>
            <w:proofErr w:type="spellEnd"/>
            <w:r w:rsidRPr="003C6F52">
              <w:rPr>
                <w:rFonts w:ascii="Book Antiqua" w:eastAsia="Calibri" w:hAnsi="Book Antiqua" w:cs="Times New Roman"/>
                <w:kern w:val="2"/>
                <w:sz w:val="21"/>
                <w:szCs w:val="21"/>
              </w:rPr>
              <w:t xml:space="preserve"> </w:t>
            </w:r>
            <w:r w:rsidR="00CB2DFE" w:rsidRPr="00CB2DFE">
              <w:rPr>
                <w:rFonts w:ascii="Book Antiqua" w:hAnsi="Book Antiqua" w:cs="Times New Roman" w:hint="eastAsia"/>
                <w:i/>
                <w:kern w:val="2"/>
                <w:sz w:val="21"/>
                <w:szCs w:val="21"/>
                <w:lang w:eastAsia="zh-CN"/>
              </w:rPr>
              <w:t>et al</w:t>
            </w:r>
          </w:p>
        </w:tc>
        <w:tc>
          <w:tcPr>
            <w:tcW w:w="1134" w:type="dxa"/>
            <w:tcBorders>
              <w:top w:val="single" w:sz="4" w:space="0" w:color="auto"/>
            </w:tcBorders>
            <w:vAlign w:val="center"/>
          </w:tcPr>
          <w:p w14:paraId="141DB7E1" w14:textId="4D846CF8" w:rsidR="00154C57" w:rsidRPr="003C6F52"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New Zealand</w:t>
            </w:r>
          </w:p>
        </w:tc>
        <w:tc>
          <w:tcPr>
            <w:tcW w:w="567" w:type="dxa"/>
            <w:tcBorders>
              <w:top w:val="single" w:sz="4" w:space="0" w:color="auto"/>
            </w:tcBorders>
            <w:vAlign w:val="center"/>
          </w:tcPr>
          <w:p w14:paraId="5323E77D"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hAnsi="Book Antiqua" w:cs="Times New Roman"/>
                <w:kern w:val="2"/>
                <w:sz w:val="21"/>
                <w:szCs w:val="21"/>
                <w:lang w:eastAsia="zh-CN"/>
              </w:rPr>
              <w:t>6</w:t>
            </w:r>
          </w:p>
        </w:tc>
        <w:tc>
          <w:tcPr>
            <w:tcW w:w="550" w:type="dxa"/>
            <w:tcBorders>
              <w:top w:val="single" w:sz="4" w:space="0" w:color="auto"/>
            </w:tcBorders>
          </w:tcPr>
          <w:p w14:paraId="23747B75"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6B0F13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0D220620"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6D51AFD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P</w:t>
            </w:r>
          </w:p>
        </w:tc>
        <w:tc>
          <w:tcPr>
            <w:tcW w:w="677" w:type="dxa"/>
            <w:tcBorders>
              <w:top w:val="single" w:sz="4" w:space="0" w:color="auto"/>
            </w:tcBorders>
            <w:vAlign w:val="center"/>
          </w:tcPr>
          <w:p w14:paraId="71D4EB54"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84</w:t>
            </w:r>
          </w:p>
        </w:tc>
        <w:tc>
          <w:tcPr>
            <w:tcW w:w="449" w:type="dxa"/>
            <w:tcBorders>
              <w:top w:val="single" w:sz="4" w:space="0" w:color="auto"/>
            </w:tcBorders>
            <w:vAlign w:val="center"/>
          </w:tcPr>
          <w:p w14:paraId="1054F652"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82</w:t>
            </w:r>
          </w:p>
        </w:tc>
        <w:tc>
          <w:tcPr>
            <w:tcW w:w="524" w:type="dxa"/>
            <w:tcBorders>
              <w:top w:val="single" w:sz="4" w:space="0" w:color="auto"/>
            </w:tcBorders>
            <w:vAlign w:val="center"/>
          </w:tcPr>
          <w:p w14:paraId="267A648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41</w:t>
            </w:r>
          </w:p>
        </w:tc>
        <w:tc>
          <w:tcPr>
            <w:tcW w:w="1425" w:type="dxa"/>
            <w:tcBorders>
              <w:top w:val="single" w:sz="4" w:space="0" w:color="auto"/>
            </w:tcBorders>
            <w:vAlign w:val="center"/>
          </w:tcPr>
          <w:p w14:paraId="4070815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Colorectal surgery </w:t>
            </w:r>
          </w:p>
        </w:tc>
        <w:tc>
          <w:tcPr>
            <w:tcW w:w="1165" w:type="dxa"/>
            <w:tcBorders>
              <w:top w:val="single" w:sz="4" w:space="0" w:color="auto"/>
            </w:tcBorders>
            <w:vAlign w:val="center"/>
          </w:tcPr>
          <w:p w14:paraId="371EB3B5"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Combined Geriatric Assessment</w:t>
            </w:r>
          </w:p>
        </w:tc>
        <w:tc>
          <w:tcPr>
            <w:tcW w:w="510" w:type="dxa"/>
            <w:tcBorders>
              <w:top w:val="single" w:sz="4" w:space="0" w:color="auto"/>
            </w:tcBorders>
            <w:vAlign w:val="center"/>
          </w:tcPr>
          <w:p w14:paraId="2FE0FD1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07" w:type="dxa"/>
            <w:tcBorders>
              <w:top w:val="single" w:sz="4" w:space="0" w:color="auto"/>
            </w:tcBorders>
            <w:vAlign w:val="center"/>
          </w:tcPr>
          <w:p w14:paraId="65597EF8"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22</w:t>
            </w:r>
          </w:p>
        </w:tc>
        <w:tc>
          <w:tcPr>
            <w:tcW w:w="607" w:type="dxa"/>
            <w:tcBorders>
              <w:top w:val="single" w:sz="4" w:space="0" w:color="auto"/>
            </w:tcBorders>
            <w:vAlign w:val="center"/>
          </w:tcPr>
          <w:p w14:paraId="3568CB5B"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07" w:type="dxa"/>
            <w:tcBorders>
              <w:top w:val="single" w:sz="4" w:space="0" w:color="auto"/>
            </w:tcBorders>
            <w:vAlign w:val="center"/>
          </w:tcPr>
          <w:p w14:paraId="104E450B"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50" w:type="dxa"/>
            <w:tcBorders>
              <w:top w:val="single" w:sz="4" w:space="0" w:color="auto"/>
            </w:tcBorders>
            <w:vAlign w:val="center"/>
          </w:tcPr>
          <w:p w14:paraId="25BB687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1018" w:type="dxa"/>
            <w:tcBorders>
              <w:top w:val="single" w:sz="4" w:space="0" w:color="auto"/>
            </w:tcBorders>
            <w:vAlign w:val="center"/>
          </w:tcPr>
          <w:p w14:paraId="21A2D91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992" w:type="dxa"/>
            <w:tcBorders>
              <w:top w:val="single" w:sz="4" w:space="0" w:color="auto"/>
            </w:tcBorders>
          </w:tcPr>
          <w:p w14:paraId="7F704FD4" w14:textId="77777777" w:rsidR="00154C57" w:rsidRPr="003C6F52" w:rsidRDefault="00154C57" w:rsidP="00CB2DFE">
            <w:pPr>
              <w:spacing w:after="0" w:line="360" w:lineRule="auto"/>
              <w:jc w:val="both"/>
              <w:rPr>
                <w:rFonts w:ascii="Book Antiqua" w:eastAsia="MS Mincho" w:hAnsi="Book Antiqua" w:cs="Times New Roman"/>
                <w:sz w:val="21"/>
                <w:szCs w:val="21"/>
                <w:lang w:eastAsia="de-DE"/>
              </w:rPr>
            </w:pPr>
            <w:r w:rsidRPr="003C6F52">
              <w:rPr>
                <w:rFonts w:ascii="Book Antiqua" w:eastAsia="MS Mincho" w:hAnsi="Book Antiqua" w:cs="Times New Roman"/>
                <w:sz w:val="21"/>
                <w:szCs w:val="21"/>
                <w:lang w:eastAsia="de-DE"/>
              </w:rPr>
              <w:t>No outcome analysis</w:t>
            </w:r>
          </w:p>
        </w:tc>
        <w:tc>
          <w:tcPr>
            <w:tcW w:w="1559" w:type="dxa"/>
            <w:tcBorders>
              <w:top w:val="single" w:sz="4" w:space="0" w:color="auto"/>
            </w:tcBorders>
            <w:vAlign w:val="center"/>
          </w:tcPr>
          <w:p w14:paraId="12B3627E" w14:textId="596573C4" w:rsidR="00154C57" w:rsidRPr="003C6F52" w:rsidRDefault="00154C57" w:rsidP="00CB2DFE">
            <w:pPr>
              <w:spacing w:after="0" w:line="360" w:lineRule="auto"/>
              <w:jc w:val="both"/>
              <w:rPr>
                <w:rFonts w:ascii="Book Antiqua" w:eastAsia="MS Mincho" w:hAnsi="Book Antiqua" w:cs="Times New Roman"/>
                <w:sz w:val="21"/>
                <w:szCs w:val="21"/>
                <w:lang w:eastAsia="de-DE"/>
              </w:rPr>
            </w:pPr>
            <w:r w:rsidRPr="003C6F52">
              <w:rPr>
                <w:rFonts w:ascii="Book Antiqua" w:eastAsia="MS Mincho" w:hAnsi="Book Antiqua" w:cs="Times New Roman"/>
                <w:sz w:val="21"/>
                <w:szCs w:val="21"/>
                <w:lang w:eastAsia="de-DE"/>
              </w:rPr>
              <w:t>NR – significant postoperative decrease of</w:t>
            </w:r>
            <w:r w:rsidR="000A0F89">
              <w:rPr>
                <w:rFonts w:ascii="Book Antiqua" w:eastAsia="MS Mincho" w:hAnsi="Book Antiqua" w:cs="Times New Roman"/>
                <w:sz w:val="21"/>
                <w:szCs w:val="21"/>
                <w:lang w:eastAsia="de-DE"/>
              </w:rPr>
              <w:t xml:space="preserve"> </w:t>
            </w:r>
            <w:r w:rsidRPr="003C6F52">
              <w:rPr>
                <w:rFonts w:ascii="Book Antiqua" w:eastAsia="MS Mincho" w:hAnsi="Book Antiqua" w:cs="Times New Roman"/>
                <w:sz w:val="21"/>
                <w:szCs w:val="21"/>
                <w:lang w:eastAsia="de-DE"/>
              </w:rPr>
              <w:t>ADL</w:t>
            </w:r>
          </w:p>
        </w:tc>
      </w:tr>
      <w:tr w:rsidR="00154C57" w:rsidRPr="003C6F52" w14:paraId="55E8F752" w14:textId="77777777" w:rsidTr="008808CF">
        <w:trPr>
          <w:cantSplit/>
          <w:trHeight w:hRule="exact" w:val="1134"/>
        </w:trPr>
        <w:tc>
          <w:tcPr>
            <w:tcW w:w="1418" w:type="dxa"/>
            <w:tcBorders>
              <w:top w:val="single" w:sz="4" w:space="0" w:color="auto"/>
            </w:tcBorders>
            <w:vAlign w:val="center"/>
          </w:tcPr>
          <w:p w14:paraId="6286346B" w14:textId="72F46818"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Obeid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[36]</w:t>
            </w:r>
          </w:p>
        </w:tc>
        <w:tc>
          <w:tcPr>
            <w:tcW w:w="1134" w:type="dxa"/>
            <w:tcBorders>
              <w:top w:val="single" w:sz="4" w:space="0" w:color="auto"/>
            </w:tcBorders>
            <w:vAlign w:val="center"/>
          </w:tcPr>
          <w:p w14:paraId="5195E3C8" w14:textId="325F08FD" w:rsidR="00154C57" w:rsidRPr="003C6F52"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United States</w:t>
            </w:r>
          </w:p>
        </w:tc>
        <w:tc>
          <w:tcPr>
            <w:tcW w:w="567" w:type="dxa"/>
            <w:tcBorders>
              <w:top w:val="single" w:sz="4" w:space="0" w:color="auto"/>
            </w:tcBorders>
            <w:vAlign w:val="center"/>
          </w:tcPr>
          <w:p w14:paraId="7E50539B"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5</w:t>
            </w:r>
          </w:p>
        </w:tc>
        <w:tc>
          <w:tcPr>
            <w:tcW w:w="550" w:type="dxa"/>
            <w:tcBorders>
              <w:top w:val="single" w:sz="4" w:space="0" w:color="auto"/>
            </w:tcBorders>
          </w:tcPr>
          <w:p w14:paraId="6AA46D59"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103DBE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C180E5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R</w:t>
            </w:r>
          </w:p>
        </w:tc>
        <w:tc>
          <w:tcPr>
            <w:tcW w:w="677" w:type="dxa"/>
            <w:tcBorders>
              <w:top w:val="single" w:sz="4" w:space="0" w:color="auto"/>
            </w:tcBorders>
            <w:vAlign w:val="center"/>
          </w:tcPr>
          <w:p w14:paraId="51EA6516"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58,448</w:t>
            </w:r>
          </w:p>
        </w:tc>
        <w:tc>
          <w:tcPr>
            <w:tcW w:w="449" w:type="dxa"/>
            <w:tcBorders>
              <w:top w:val="single" w:sz="4" w:space="0" w:color="auto"/>
            </w:tcBorders>
            <w:vAlign w:val="center"/>
          </w:tcPr>
          <w:p w14:paraId="2834DC2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524" w:type="dxa"/>
            <w:tcBorders>
              <w:top w:val="single" w:sz="4" w:space="0" w:color="auto"/>
            </w:tcBorders>
            <w:vAlign w:val="center"/>
          </w:tcPr>
          <w:p w14:paraId="0EEE91D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48</w:t>
            </w:r>
          </w:p>
        </w:tc>
        <w:tc>
          <w:tcPr>
            <w:tcW w:w="1425" w:type="dxa"/>
            <w:tcBorders>
              <w:top w:val="single" w:sz="4" w:space="0" w:color="auto"/>
            </w:tcBorders>
            <w:vAlign w:val="center"/>
          </w:tcPr>
          <w:p w14:paraId="715ED959"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Colectomy (33% malignant causes)</w:t>
            </w:r>
          </w:p>
        </w:tc>
        <w:tc>
          <w:tcPr>
            <w:tcW w:w="1165" w:type="dxa"/>
            <w:tcBorders>
              <w:top w:val="single" w:sz="4" w:space="0" w:color="auto"/>
            </w:tcBorders>
            <w:vAlign w:val="center"/>
          </w:tcPr>
          <w:p w14:paraId="5EC51428"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Canadian frailty index</w:t>
            </w:r>
          </w:p>
        </w:tc>
        <w:tc>
          <w:tcPr>
            <w:tcW w:w="510" w:type="dxa"/>
            <w:tcBorders>
              <w:top w:val="single" w:sz="4" w:space="0" w:color="auto"/>
            </w:tcBorders>
            <w:vAlign w:val="center"/>
          </w:tcPr>
          <w:p w14:paraId="49A320DE"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26</w:t>
            </w:r>
          </w:p>
        </w:tc>
        <w:tc>
          <w:tcPr>
            <w:tcW w:w="607" w:type="dxa"/>
            <w:tcBorders>
              <w:top w:val="single" w:sz="4" w:space="0" w:color="auto"/>
            </w:tcBorders>
            <w:vAlign w:val="center"/>
          </w:tcPr>
          <w:p w14:paraId="1230B26D"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07" w:type="dxa"/>
            <w:tcBorders>
              <w:top w:val="single" w:sz="4" w:space="0" w:color="auto"/>
            </w:tcBorders>
            <w:vAlign w:val="center"/>
          </w:tcPr>
          <w:p w14:paraId="7139C7E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15.9</w:t>
            </w:r>
          </w:p>
        </w:tc>
        <w:tc>
          <w:tcPr>
            <w:tcW w:w="607" w:type="dxa"/>
            <w:tcBorders>
              <w:top w:val="single" w:sz="4" w:space="0" w:color="auto"/>
            </w:tcBorders>
            <w:vAlign w:val="center"/>
          </w:tcPr>
          <w:p w14:paraId="50B6CD9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4.6</w:t>
            </w:r>
          </w:p>
        </w:tc>
        <w:tc>
          <w:tcPr>
            <w:tcW w:w="650" w:type="dxa"/>
            <w:tcBorders>
              <w:top w:val="single" w:sz="4" w:space="0" w:color="auto"/>
            </w:tcBorders>
            <w:vAlign w:val="center"/>
          </w:tcPr>
          <w:p w14:paraId="0FFB2B66"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1018" w:type="dxa"/>
            <w:tcBorders>
              <w:top w:val="single" w:sz="4" w:space="0" w:color="auto"/>
            </w:tcBorders>
            <w:vAlign w:val="center"/>
          </w:tcPr>
          <w:p w14:paraId="31BCAB5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992" w:type="dxa"/>
            <w:tcBorders>
              <w:top w:val="single" w:sz="4" w:space="0" w:color="auto"/>
            </w:tcBorders>
          </w:tcPr>
          <w:p w14:paraId="2E0606CB" w14:textId="4D4FFD15" w:rsidR="00154C57" w:rsidRPr="003C6F52" w:rsidRDefault="00154C57" w:rsidP="00CB2DFE">
            <w:pPr>
              <w:spacing w:after="0" w:line="360" w:lineRule="auto"/>
              <w:jc w:val="both"/>
              <w:rPr>
                <w:rFonts w:ascii="Book Antiqua" w:eastAsia="MS Mincho" w:hAnsi="Book Antiqua" w:cs="Times New Roman"/>
                <w:sz w:val="21"/>
                <w:szCs w:val="21"/>
                <w:lang w:eastAsia="de-DE"/>
              </w:rPr>
            </w:pPr>
            <w:r w:rsidRPr="003C6F52">
              <w:rPr>
                <w:rFonts w:ascii="Book Antiqua" w:eastAsia="MS Mincho" w:hAnsi="Book Antiqua" w:cs="Times New Roman"/>
                <w:sz w:val="21"/>
                <w:szCs w:val="21"/>
                <w:lang w:eastAsia="de-DE"/>
              </w:rPr>
              <w:t>30 d mortality and morbidity</w:t>
            </w:r>
          </w:p>
        </w:tc>
        <w:tc>
          <w:tcPr>
            <w:tcW w:w="1559" w:type="dxa"/>
            <w:tcBorders>
              <w:top w:val="single" w:sz="4" w:space="0" w:color="auto"/>
            </w:tcBorders>
            <w:vAlign w:val="center"/>
          </w:tcPr>
          <w:p w14:paraId="383F5996" w14:textId="77777777" w:rsidR="00154C57" w:rsidRPr="003C6F52" w:rsidRDefault="00154C57" w:rsidP="00CB2DFE">
            <w:pPr>
              <w:spacing w:after="0" w:line="360" w:lineRule="auto"/>
              <w:jc w:val="both"/>
              <w:rPr>
                <w:rFonts w:ascii="Book Antiqua" w:eastAsia="MS Mincho" w:hAnsi="Book Antiqua" w:cs="Times New Roman"/>
                <w:sz w:val="21"/>
                <w:szCs w:val="21"/>
                <w:lang w:eastAsia="de-DE"/>
              </w:rPr>
            </w:pPr>
          </w:p>
          <w:p w14:paraId="715CA00A" w14:textId="06589A63" w:rsidR="00154C57" w:rsidRPr="003C6F52" w:rsidRDefault="00154C57" w:rsidP="00CB2DFE">
            <w:pPr>
              <w:spacing w:after="0" w:line="360" w:lineRule="auto"/>
              <w:jc w:val="both"/>
              <w:rPr>
                <w:rFonts w:ascii="Book Antiqua" w:eastAsia="MS Mincho" w:hAnsi="Book Antiqua" w:cs="Times New Roman"/>
                <w:sz w:val="21"/>
                <w:szCs w:val="21"/>
                <w:lang w:eastAsia="de-DE"/>
              </w:rPr>
            </w:pPr>
            <w:r w:rsidRPr="003C6F52">
              <w:rPr>
                <w:rFonts w:ascii="Book Antiqua" w:eastAsia="MS Mincho" w:hAnsi="Book Antiqua" w:cs="Times New Roman"/>
                <w:sz w:val="21"/>
                <w:szCs w:val="21"/>
                <w:lang w:eastAsia="de-DE"/>
              </w:rPr>
              <w:t>OR</w:t>
            </w:r>
            <w:r w:rsidR="008808CF">
              <w:rPr>
                <w:rFonts w:ascii="Book Antiqua" w:hAnsi="Book Antiqua" w:cs="Times New Roman" w:hint="eastAsia"/>
                <w:sz w:val="21"/>
                <w:szCs w:val="21"/>
                <w:lang w:eastAsia="zh-CN"/>
              </w:rPr>
              <w:t xml:space="preserve"> </w:t>
            </w:r>
            <w:r w:rsidRPr="003C6F52">
              <w:rPr>
                <w:rFonts w:ascii="Book Antiqua" w:eastAsia="MS Mincho" w:hAnsi="Book Antiqua" w:cs="Times New Roman"/>
                <w:sz w:val="21"/>
                <w:szCs w:val="21"/>
                <w:lang w:eastAsia="de-DE"/>
              </w:rPr>
              <w:t>= 14.4 CI: 18.76-31.2</w:t>
            </w:r>
          </w:p>
          <w:p w14:paraId="0974839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tc>
      </w:tr>
      <w:tr w:rsidR="00154C57" w:rsidRPr="003C6F52" w14:paraId="1BB3FCD3" w14:textId="77777777" w:rsidTr="008808CF">
        <w:trPr>
          <w:cantSplit/>
          <w:trHeight w:hRule="exact" w:val="1134"/>
        </w:trPr>
        <w:tc>
          <w:tcPr>
            <w:tcW w:w="1418" w:type="dxa"/>
            <w:tcBorders>
              <w:top w:val="single" w:sz="4" w:space="0" w:color="auto"/>
            </w:tcBorders>
            <w:vAlign w:val="center"/>
          </w:tcPr>
          <w:p w14:paraId="6564D8DB" w14:textId="503CA080"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Neumann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[37]</w:t>
            </w:r>
          </w:p>
        </w:tc>
        <w:tc>
          <w:tcPr>
            <w:tcW w:w="1134" w:type="dxa"/>
            <w:tcBorders>
              <w:top w:val="single" w:sz="4" w:space="0" w:color="auto"/>
            </w:tcBorders>
            <w:vAlign w:val="center"/>
          </w:tcPr>
          <w:p w14:paraId="68E0421E" w14:textId="6AFCAA2B" w:rsidR="00154C57" w:rsidRPr="003C6F52"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United States</w:t>
            </w:r>
          </w:p>
        </w:tc>
        <w:tc>
          <w:tcPr>
            <w:tcW w:w="567" w:type="dxa"/>
            <w:tcBorders>
              <w:top w:val="single" w:sz="4" w:space="0" w:color="auto"/>
            </w:tcBorders>
            <w:vAlign w:val="center"/>
          </w:tcPr>
          <w:p w14:paraId="7E555CB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6</w:t>
            </w:r>
          </w:p>
        </w:tc>
        <w:tc>
          <w:tcPr>
            <w:tcW w:w="550" w:type="dxa"/>
            <w:tcBorders>
              <w:top w:val="single" w:sz="4" w:space="0" w:color="auto"/>
            </w:tcBorders>
          </w:tcPr>
          <w:p w14:paraId="2BD23D22"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B800FCD"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AEB0C21"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663D33F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R</w:t>
            </w:r>
          </w:p>
        </w:tc>
        <w:tc>
          <w:tcPr>
            <w:tcW w:w="677" w:type="dxa"/>
            <w:tcBorders>
              <w:top w:val="single" w:sz="4" w:space="0" w:color="auto"/>
            </w:tcBorders>
            <w:vAlign w:val="center"/>
          </w:tcPr>
          <w:p w14:paraId="54FF6CBC"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12,979</w:t>
            </w:r>
          </w:p>
        </w:tc>
        <w:tc>
          <w:tcPr>
            <w:tcW w:w="449" w:type="dxa"/>
            <w:tcBorders>
              <w:top w:val="single" w:sz="4" w:space="0" w:color="auto"/>
            </w:tcBorders>
            <w:vAlign w:val="center"/>
          </w:tcPr>
          <w:p w14:paraId="65FB589D"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84</w:t>
            </w:r>
          </w:p>
        </w:tc>
        <w:tc>
          <w:tcPr>
            <w:tcW w:w="524" w:type="dxa"/>
            <w:tcBorders>
              <w:top w:val="single" w:sz="4" w:space="0" w:color="auto"/>
            </w:tcBorders>
            <w:vAlign w:val="center"/>
          </w:tcPr>
          <w:p w14:paraId="76836396"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39</w:t>
            </w:r>
          </w:p>
        </w:tc>
        <w:tc>
          <w:tcPr>
            <w:tcW w:w="1425" w:type="dxa"/>
            <w:tcBorders>
              <w:top w:val="single" w:sz="4" w:space="0" w:color="auto"/>
            </w:tcBorders>
            <w:vAlign w:val="center"/>
          </w:tcPr>
          <w:p w14:paraId="2990688E"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Colectomy for colorectal cancer</w:t>
            </w:r>
          </w:p>
        </w:tc>
        <w:tc>
          <w:tcPr>
            <w:tcW w:w="1165" w:type="dxa"/>
            <w:tcBorders>
              <w:top w:val="single" w:sz="4" w:space="0" w:color="auto"/>
            </w:tcBorders>
            <w:vAlign w:val="center"/>
          </w:tcPr>
          <w:p w14:paraId="2407DB31"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Johns Hopkins adjusted case mix system</w:t>
            </w:r>
          </w:p>
        </w:tc>
        <w:tc>
          <w:tcPr>
            <w:tcW w:w="510" w:type="dxa"/>
            <w:tcBorders>
              <w:top w:val="single" w:sz="4" w:space="0" w:color="auto"/>
            </w:tcBorders>
            <w:vAlign w:val="center"/>
          </w:tcPr>
          <w:p w14:paraId="5C70A4D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07" w:type="dxa"/>
            <w:tcBorders>
              <w:top w:val="single" w:sz="4" w:space="0" w:color="auto"/>
            </w:tcBorders>
            <w:vAlign w:val="center"/>
          </w:tcPr>
          <w:p w14:paraId="6870B53A"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16</w:t>
            </w:r>
          </w:p>
        </w:tc>
        <w:tc>
          <w:tcPr>
            <w:tcW w:w="607" w:type="dxa"/>
            <w:tcBorders>
              <w:top w:val="single" w:sz="4" w:space="0" w:color="auto"/>
            </w:tcBorders>
            <w:vAlign w:val="center"/>
          </w:tcPr>
          <w:p w14:paraId="46E56C34"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07" w:type="dxa"/>
            <w:tcBorders>
              <w:top w:val="single" w:sz="4" w:space="0" w:color="auto"/>
            </w:tcBorders>
            <w:vAlign w:val="center"/>
          </w:tcPr>
          <w:p w14:paraId="6A74E39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50" w:type="dxa"/>
            <w:tcBorders>
              <w:top w:val="single" w:sz="4" w:space="0" w:color="auto"/>
            </w:tcBorders>
            <w:vAlign w:val="center"/>
          </w:tcPr>
          <w:p w14:paraId="214B72B1"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85.7%</w:t>
            </w:r>
          </w:p>
        </w:tc>
        <w:tc>
          <w:tcPr>
            <w:tcW w:w="1018" w:type="dxa"/>
            <w:tcBorders>
              <w:top w:val="single" w:sz="4" w:space="0" w:color="auto"/>
            </w:tcBorders>
            <w:vAlign w:val="center"/>
          </w:tcPr>
          <w:p w14:paraId="667BC68B"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highlight w:val="yellow"/>
              </w:rPr>
            </w:pPr>
            <w:r w:rsidRPr="003C6F52">
              <w:rPr>
                <w:rFonts w:ascii="Book Antiqua" w:eastAsia="Calibri" w:hAnsi="Book Antiqua" w:cs="Times New Roman"/>
                <w:kern w:val="2"/>
                <w:sz w:val="21"/>
                <w:szCs w:val="21"/>
              </w:rPr>
              <w:t>NR</w:t>
            </w:r>
          </w:p>
        </w:tc>
        <w:tc>
          <w:tcPr>
            <w:tcW w:w="992" w:type="dxa"/>
            <w:tcBorders>
              <w:top w:val="single" w:sz="4" w:space="0" w:color="auto"/>
            </w:tcBorders>
          </w:tcPr>
          <w:p w14:paraId="357C9EF5" w14:textId="38526DED" w:rsidR="00154C57" w:rsidRPr="003C6F52" w:rsidRDefault="00154C57" w:rsidP="00CB2DFE">
            <w:pPr>
              <w:spacing w:after="0" w:line="360" w:lineRule="auto"/>
              <w:jc w:val="both"/>
              <w:rPr>
                <w:rFonts w:ascii="Book Antiqua" w:eastAsia="MS Mincho" w:hAnsi="Book Antiqua" w:cs="Times New Roman"/>
                <w:sz w:val="21"/>
                <w:szCs w:val="21"/>
                <w:lang w:eastAsia="de-DE"/>
              </w:rPr>
            </w:pPr>
            <w:r w:rsidRPr="003C6F52">
              <w:rPr>
                <w:rFonts w:ascii="Book Antiqua" w:eastAsia="MS Mincho" w:hAnsi="Book Antiqua" w:cs="Times New Roman"/>
                <w:sz w:val="21"/>
                <w:szCs w:val="21"/>
                <w:lang w:eastAsia="de-DE"/>
              </w:rPr>
              <w:t xml:space="preserve">1 </w:t>
            </w:r>
            <w:r w:rsidR="008808CF">
              <w:rPr>
                <w:rFonts w:ascii="Book Antiqua" w:hAnsi="Book Antiqua" w:cs="Times New Roman" w:hint="eastAsia"/>
                <w:sz w:val="21"/>
                <w:szCs w:val="21"/>
                <w:lang w:val="de-DE" w:eastAsia="zh-CN"/>
              </w:rPr>
              <w:t>yr</w:t>
            </w:r>
            <w:r w:rsidR="008808CF" w:rsidRPr="00CC6846">
              <w:rPr>
                <w:rFonts w:ascii="Book Antiqua" w:eastAsiaTheme="minorEastAsia" w:hAnsi="Book Antiqua" w:cs="Times New Roman"/>
                <w:sz w:val="21"/>
                <w:szCs w:val="21"/>
                <w:lang w:val="de-DE" w:eastAsia="de-DE"/>
              </w:rPr>
              <w:t xml:space="preserve"> </w:t>
            </w:r>
            <w:r w:rsidRPr="003C6F52">
              <w:rPr>
                <w:rFonts w:ascii="Book Antiqua" w:eastAsia="MS Mincho" w:hAnsi="Book Antiqua" w:cs="Times New Roman"/>
                <w:sz w:val="21"/>
                <w:szCs w:val="21"/>
                <w:lang w:eastAsia="de-DE"/>
              </w:rPr>
              <w:t>survival</w:t>
            </w:r>
          </w:p>
        </w:tc>
        <w:tc>
          <w:tcPr>
            <w:tcW w:w="1559" w:type="dxa"/>
            <w:tcBorders>
              <w:top w:val="single" w:sz="4" w:space="0" w:color="auto"/>
            </w:tcBorders>
            <w:vAlign w:val="center"/>
          </w:tcPr>
          <w:p w14:paraId="08EAFC64" w14:textId="77777777" w:rsidR="00154C57" w:rsidRPr="003C6F52" w:rsidRDefault="00154C57" w:rsidP="00CB2DFE">
            <w:pPr>
              <w:spacing w:after="0" w:line="360" w:lineRule="auto"/>
              <w:jc w:val="both"/>
              <w:rPr>
                <w:rFonts w:ascii="Book Antiqua" w:eastAsia="MS Mincho" w:hAnsi="Book Antiqua" w:cs="Times New Roman"/>
                <w:sz w:val="21"/>
                <w:szCs w:val="21"/>
                <w:lang w:eastAsia="de-DE"/>
              </w:rPr>
            </w:pPr>
          </w:p>
          <w:p w14:paraId="39E14492" w14:textId="33F2D816" w:rsidR="00154C57" w:rsidRPr="003C6F52" w:rsidRDefault="00154C57" w:rsidP="00CB2DFE">
            <w:pPr>
              <w:spacing w:after="0" w:line="360" w:lineRule="auto"/>
              <w:jc w:val="both"/>
              <w:rPr>
                <w:rFonts w:ascii="Book Antiqua" w:eastAsia="MS Mincho" w:hAnsi="Book Antiqua" w:cs="Times New Roman"/>
                <w:sz w:val="21"/>
                <w:szCs w:val="21"/>
                <w:lang w:eastAsia="de-DE"/>
              </w:rPr>
            </w:pPr>
            <w:r w:rsidRPr="003C6F52">
              <w:rPr>
                <w:rFonts w:ascii="Book Antiqua" w:eastAsia="MS Mincho" w:hAnsi="Book Antiqua" w:cs="Times New Roman"/>
                <w:sz w:val="21"/>
                <w:szCs w:val="21"/>
                <w:lang w:eastAsia="de-DE"/>
              </w:rPr>
              <w:t>OR</w:t>
            </w:r>
            <w:r w:rsidR="008808CF">
              <w:rPr>
                <w:rFonts w:ascii="Book Antiqua" w:hAnsi="Book Antiqua" w:cs="Times New Roman" w:hint="eastAsia"/>
                <w:sz w:val="21"/>
                <w:szCs w:val="21"/>
                <w:lang w:eastAsia="zh-CN"/>
              </w:rPr>
              <w:t xml:space="preserve"> </w:t>
            </w:r>
            <w:r w:rsidRPr="003C6F52">
              <w:rPr>
                <w:rFonts w:ascii="Book Antiqua" w:eastAsia="MS Mincho" w:hAnsi="Book Antiqua" w:cs="Times New Roman"/>
                <w:sz w:val="21"/>
                <w:szCs w:val="21"/>
                <w:lang w:eastAsia="de-DE"/>
              </w:rPr>
              <w:t>=</w:t>
            </w:r>
            <w:r w:rsidR="008808CF">
              <w:rPr>
                <w:rFonts w:ascii="Book Antiqua" w:hAnsi="Book Antiqua" w:cs="Times New Roman" w:hint="eastAsia"/>
                <w:sz w:val="21"/>
                <w:szCs w:val="21"/>
                <w:lang w:eastAsia="zh-CN"/>
              </w:rPr>
              <w:t xml:space="preserve"> </w:t>
            </w:r>
            <w:r w:rsidRPr="003C6F52">
              <w:rPr>
                <w:rFonts w:ascii="Book Antiqua" w:eastAsia="MS Mincho" w:hAnsi="Book Antiqua" w:cs="Times New Roman"/>
                <w:sz w:val="21"/>
                <w:szCs w:val="21"/>
                <w:lang w:eastAsia="de-DE"/>
              </w:rPr>
              <w:t>8.4; CI: 6.4-11.1, P=0.001</w:t>
            </w:r>
          </w:p>
          <w:p w14:paraId="12107061"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tc>
      </w:tr>
      <w:tr w:rsidR="00154C57" w:rsidRPr="003C6F52" w14:paraId="37EBB783" w14:textId="77777777" w:rsidTr="008808CF">
        <w:trPr>
          <w:cantSplit/>
          <w:trHeight w:hRule="exact" w:val="1134"/>
        </w:trPr>
        <w:tc>
          <w:tcPr>
            <w:tcW w:w="1418" w:type="dxa"/>
            <w:tcBorders>
              <w:top w:val="single" w:sz="4" w:space="0" w:color="auto"/>
            </w:tcBorders>
            <w:vAlign w:val="center"/>
          </w:tcPr>
          <w:p w14:paraId="62F6FE58" w14:textId="22E003C5"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lastRenderedPageBreak/>
              <w:t xml:space="preserve">Robinson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[68]</w:t>
            </w:r>
          </w:p>
        </w:tc>
        <w:tc>
          <w:tcPr>
            <w:tcW w:w="1134" w:type="dxa"/>
            <w:tcBorders>
              <w:top w:val="single" w:sz="4" w:space="0" w:color="auto"/>
            </w:tcBorders>
            <w:vAlign w:val="center"/>
          </w:tcPr>
          <w:p w14:paraId="3888720D" w14:textId="581368B2" w:rsidR="00154C57" w:rsidRPr="003C6F52"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United States</w:t>
            </w:r>
          </w:p>
        </w:tc>
        <w:tc>
          <w:tcPr>
            <w:tcW w:w="567" w:type="dxa"/>
            <w:tcBorders>
              <w:top w:val="single" w:sz="4" w:space="0" w:color="auto"/>
            </w:tcBorders>
            <w:vAlign w:val="center"/>
          </w:tcPr>
          <w:p w14:paraId="658C2EC4"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4</w:t>
            </w:r>
          </w:p>
        </w:tc>
        <w:tc>
          <w:tcPr>
            <w:tcW w:w="550" w:type="dxa"/>
            <w:tcBorders>
              <w:top w:val="single" w:sz="4" w:space="0" w:color="auto"/>
            </w:tcBorders>
          </w:tcPr>
          <w:p w14:paraId="4DEB116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E08AF4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E3A375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5A694BE2"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14910A0D"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P</w:t>
            </w:r>
          </w:p>
        </w:tc>
        <w:tc>
          <w:tcPr>
            <w:tcW w:w="677" w:type="dxa"/>
            <w:tcBorders>
              <w:top w:val="single" w:sz="4" w:space="0" w:color="auto"/>
            </w:tcBorders>
            <w:vAlign w:val="center"/>
          </w:tcPr>
          <w:p w14:paraId="1B3B4C3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60</w:t>
            </w:r>
          </w:p>
        </w:tc>
        <w:tc>
          <w:tcPr>
            <w:tcW w:w="449" w:type="dxa"/>
            <w:tcBorders>
              <w:top w:val="single" w:sz="4" w:space="0" w:color="auto"/>
            </w:tcBorders>
            <w:vAlign w:val="center"/>
          </w:tcPr>
          <w:p w14:paraId="4CE8D73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75</w:t>
            </w:r>
          </w:p>
        </w:tc>
        <w:tc>
          <w:tcPr>
            <w:tcW w:w="524" w:type="dxa"/>
            <w:tcBorders>
              <w:top w:val="single" w:sz="4" w:space="0" w:color="auto"/>
            </w:tcBorders>
            <w:vAlign w:val="center"/>
          </w:tcPr>
          <w:p w14:paraId="1B953A04"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97%</w:t>
            </w:r>
          </w:p>
        </w:tc>
        <w:tc>
          <w:tcPr>
            <w:tcW w:w="1425" w:type="dxa"/>
            <w:tcBorders>
              <w:top w:val="single" w:sz="4" w:space="0" w:color="auto"/>
            </w:tcBorders>
            <w:vAlign w:val="center"/>
          </w:tcPr>
          <w:p w14:paraId="46DF678C"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Colectomy for colorectal cancer</w:t>
            </w:r>
          </w:p>
        </w:tc>
        <w:tc>
          <w:tcPr>
            <w:tcW w:w="1165" w:type="dxa"/>
            <w:tcBorders>
              <w:top w:val="single" w:sz="4" w:space="0" w:color="auto"/>
            </w:tcBorders>
            <w:vAlign w:val="center"/>
          </w:tcPr>
          <w:p w14:paraId="03943344"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Individual frailty score</w:t>
            </w:r>
          </w:p>
        </w:tc>
        <w:tc>
          <w:tcPr>
            <w:tcW w:w="510" w:type="dxa"/>
            <w:tcBorders>
              <w:top w:val="single" w:sz="4" w:space="0" w:color="auto"/>
            </w:tcBorders>
            <w:vAlign w:val="center"/>
          </w:tcPr>
          <w:p w14:paraId="677F5D2A"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10</w:t>
            </w:r>
          </w:p>
        </w:tc>
        <w:tc>
          <w:tcPr>
            <w:tcW w:w="607" w:type="dxa"/>
            <w:tcBorders>
              <w:top w:val="single" w:sz="4" w:space="0" w:color="auto"/>
            </w:tcBorders>
            <w:vAlign w:val="center"/>
          </w:tcPr>
          <w:p w14:paraId="1C260D92"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6</w:t>
            </w:r>
          </w:p>
        </w:tc>
        <w:tc>
          <w:tcPr>
            <w:tcW w:w="607" w:type="dxa"/>
            <w:tcBorders>
              <w:top w:val="single" w:sz="4" w:space="0" w:color="auto"/>
            </w:tcBorders>
            <w:vAlign w:val="center"/>
          </w:tcPr>
          <w:p w14:paraId="7AE3506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10</w:t>
            </w:r>
          </w:p>
        </w:tc>
        <w:tc>
          <w:tcPr>
            <w:tcW w:w="607" w:type="dxa"/>
            <w:tcBorders>
              <w:top w:val="single" w:sz="4" w:space="0" w:color="auto"/>
            </w:tcBorders>
            <w:vAlign w:val="center"/>
          </w:tcPr>
          <w:p w14:paraId="7D91AD94"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highlight w:val="yellow"/>
              </w:rPr>
            </w:pPr>
            <w:r w:rsidRPr="003C6F52">
              <w:rPr>
                <w:rFonts w:ascii="Book Antiqua" w:eastAsia="Calibri" w:hAnsi="Book Antiqua" w:cs="Times New Roman"/>
                <w:kern w:val="2"/>
                <w:sz w:val="21"/>
                <w:szCs w:val="21"/>
              </w:rPr>
              <w:t>2</w:t>
            </w:r>
          </w:p>
        </w:tc>
        <w:tc>
          <w:tcPr>
            <w:tcW w:w="650" w:type="dxa"/>
            <w:tcBorders>
              <w:top w:val="single" w:sz="4" w:space="0" w:color="auto"/>
            </w:tcBorders>
            <w:vAlign w:val="center"/>
          </w:tcPr>
          <w:p w14:paraId="58BCFF5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1018" w:type="dxa"/>
            <w:tcBorders>
              <w:top w:val="single" w:sz="4" w:space="0" w:color="auto"/>
            </w:tcBorders>
            <w:vAlign w:val="center"/>
          </w:tcPr>
          <w:p w14:paraId="659BF708"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992" w:type="dxa"/>
            <w:tcBorders>
              <w:top w:val="single" w:sz="4" w:space="0" w:color="auto"/>
            </w:tcBorders>
          </w:tcPr>
          <w:p w14:paraId="2B60CC9E"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B9693A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Hospital and health care costs</w:t>
            </w:r>
          </w:p>
        </w:tc>
        <w:tc>
          <w:tcPr>
            <w:tcW w:w="1559" w:type="dxa"/>
            <w:tcBorders>
              <w:top w:val="single" w:sz="4" w:space="0" w:color="auto"/>
            </w:tcBorders>
            <w:vAlign w:val="center"/>
          </w:tcPr>
          <w:p w14:paraId="1AAB47BC"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 – significant association to costs and length of stay</w:t>
            </w:r>
          </w:p>
        </w:tc>
      </w:tr>
      <w:tr w:rsidR="00154C57" w:rsidRPr="003C6F52" w14:paraId="0C3F31D3" w14:textId="77777777" w:rsidTr="008808CF">
        <w:trPr>
          <w:cantSplit/>
          <w:trHeight w:hRule="exact" w:val="1134"/>
        </w:trPr>
        <w:tc>
          <w:tcPr>
            <w:tcW w:w="1418" w:type="dxa"/>
            <w:tcBorders>
              <w:top w:val="single" w:sz="4" w:space="0" w:color="auto"/>
            </w:tcBorders>
            <w:vAlign w:val="center"/>
          </w:tcPr>
          <w:p w14:paraId="68EBE99D" w14:textId="6E69AB53"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Tran Ba </w:t>
            </w:r>
            <w:proofErr w:type="spellStart"/>
            <w:r w:rsidRPr="003C6F52">
              <w:rPr>
                <w:rFonts w:ascii="Book Antiqua" w:eastAsia="Calibri" w:hAnsi="Book Antiqua" w:cs="Times New Roman"/>
                <w:kern w:val="2"/>
                <w:sz w:val="21"/>
                <w:szCs w:val="21"/>
              </w:rPr>
              <w:t>Loc</w:t>
            </w:r>
            <w:proofErr w:type="spellEnd"/>
            <w:r w:rsidRPr="003C6F52">
              <w:rPr>
                <w:rFonts w:ascii="Book Antiqua" w:eastAsia="Calibri" w:hAnsi="Book Antiqua" w:cs="Times New Roman"/>
                <w:kern w:val="2"/>
                <w:sz w:val="21"/>
                <w:szCs w:val="21"/>
              </w:rPr>
              <w:t xml:space="preserve">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[29]</w:t>
            </w:r>
          </w:p>
        </w:tc>
        <w:tc>
          <w:tcPr>
            <w:tcW w:w="1134" w:type="dxa"/>
            <w:tcBorders>
              <w:top w:val="single" w:sz="4" w:space="0" w:color="auto"/>
            </w:tcBorders>
            <w:vAlign w:val="center"/>
          </w:tcPr>
          <w:p w14:paraId="3D6E21BF" w14:textId="57955C3E" w:rsidR="00154C57" w:rsidRPr="003C6F52"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France</w:t>
            </w:r>
          </w:p>
        </w:tc>
        <w:tc>
          <w:tcPr>
            <w:tcW w:w="567" w:type="dxa"/>
            <w:tcBorders>
              <w:top w:val="single" w:sz="4" w:space="0" w:color="auto"/>
            </w:tcBorders>
            <w:vAlign w:val="center"/>
          </w:tcPr>
          <w:p w14:paraId="451183F0"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7</w:t>
            </w:r>
          </w:p>
        </w:tc>
        <w:tc>
          <w:tcPr>
            <w:tcW w:w="550" w:type="dxa"/>
            <w:tcBorders>
              <w:top w:val="single" w:sz="4" w:space="0" w:color="auto"/>
            </w:tcBorders>
          </w:tcPr>
          <w:p w14:paraId="4BFF691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206EE468"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P</w:t>
            </w:r>
          </w:p>
        </w:tc>
        <w:tc>
          <w:tcPr>
            <w:tcW w:w="677" w:type="dxa"/>
            <w:tcBorders>
              <w:top w:val="single" w:sz="4" w:space="0" w:color="auto"/>
            </w:tcBorders>
            <w:vAlign w:val="center"/>
          </w:tcPr>
          <w:p w14:paraId="593D2FD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1186</w:t>
            </w:r>
          </w:p>
        </w:tc>
        <w:tc>
          <w:tcPr>
            <w:tcW w:w="449" w:type="dxa"/>
            <w:tcBorders>
              <w:top w:val="single" w:sz="4" w:space="0" w:color="auto"/>
            </w:tcBorders>
            <w:vAlign w:val="center"/>
          </w:tcPr>
          <w:p w14:paraId="1B611E94"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76</w:t>
            </w:r>
          </w:p>
        </w:tc>
        <w:tc>
          <w:tcPr>
            <w:tcW w:w="524" w:type="dxa"/>
            <w:tcBorders>
              <w:top w:val="single" w:sz="4" w:space="0" w:color="auto"/>
            </w:tcBorders>
            <w:vAlign w:val="center"/>
          </w:tcPr>
          <w:p w14:paraId="77DED49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1425" w:type="dxa"/>
            <w:tcBorders>
              <w:top w:val="single" w:sz="4" w:space="0" w:color="auto"/>
            </w:tcBorders>
            <w:vAlign w:val="center"/>
          </w:tcPr>
          <w:p w14:paraId="3A8E102D"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Major colorectal surgery</w:t>
            </w:r>
          </w:p>
        </w:tc>
        <w:tc>
          <w:tcPr>
            <w:tcW w:w="1165" w:type="dxa"/>
            <w:tcBorders>
              <w:top w:val="single" w:sz="4" w:space="0" w:color="auto"/>
            </w:tcBorders>
            <w:vAlign w:val="center"/>
          </w:tcPr>
          <w:p w14:paraId="770F631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Elderly POSSUM score</w:t>
            </w:r>
          </w:p>
        </w:tc>
        <w:tc>
          <w:tcPr>
            <w:tcW w:w="510" w:type="dxa"/>
            <w:tcBorders>
              <w:top w:val="single" w:sz="4" w:space="0" w:color="auto"/>
            </w:tcBorders>
            <w:vAlign w:val="center"/>
          </w:tcPr>
          <w:p w14:paraId="245953E8"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41</w:t>
            </w:r>
          </w:p>
        </w:tc>
        <w:tc>
          <w:tcPr>
            <w:tcW w:w="607" w:type="dxa"/>
            <w:tcBorders>
              <w:top w:val="single" w:sz="4" w:space="0" w:color="auto"/>
            </w:tcBorders>
            <w:vAlign w:val="center"/>
          </w:tcPr>
          <w:p w14:paraId="11F4AA26"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3</w:t>
            </w:r>
          </w:p>
        </w:tc>
        <w:tc>
          <w:tcPr>
            <w:tcW w:w="607" w:type="dxa"/>
            <w:tcBorders>
              <w:top w:val="single" w:sz="4" w:space="0" w:color="auto"/>
            </w:tcBorders>
            <w:vAlign w:val="center"/>
          </w:tcPr>
          <w:p w14:paraId="7230367D"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07" w:type="dxa"/>
            <w:tcBorders>
              <w:top w:val="single" w:sz="4" w:space="0" w:color="auto"/>
            </w:tcBorders>
            <w:vAlign w:val="center"/>
          </w:tcPr>
          <w:p w14:paraId="3EA74C9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2</w:t>
            </w:r>
          </w:p>
        </w:tc>
        <w:tc>
          <w:tcPr>
            <w:tcW w:w="650" w:type="dxa"/>
            <w:tcBorders>
              <w:top w:val="single" w:sz="4" w:space="0" w:color="auto"/>
            </w:tcBorders>
            <w:vAlign w:val="center"/>
          </w:tcPr>
          <w:p w14:paraId="33318449"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1018" w:type="dxa"/>
            <w:tcBorders>
              <w:top w:val="single" w:sz="4" w:space="0" w:color="auto"/>
            </w:tcBorders>
            <w:vAlign w:val="center"/>
          </w:tcPr>
          <w:p w14:paraId="0DACB90B"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992" w:type="dxa"/>
            <w:tcBorders>
              <w:top w:val="single" w:sz="4" w:space="0" w:color="auto"/>
            </w:tcBorders>
          </w:tcPr>
          <w:p w14:paraId="36438A4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581C90D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5AEE9500" w14:textId="10ACDC42"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30 d mortality</w:t>
            </w:r>
          </w:p>
        </w:tc>
        <w:tc>
          <w:tcPr>
            <w:tcW w:w="1559" w:type="dxa"/>
            <w:tcBorders>
              <w:top w:val="single" w:sz="4" w:space="0" w:color="auto"/>
            </w:tcBorders>
            <w:vAlign w:val="center"/>
          </w:tcPr>
          <w:p w14:paraId="0DD7009D" w14:textId="5832B324"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AUC 0.86 (0.81</w:t>
            </w:r>
            <w:r w:rsidR="008808CF">
              <w:rPr>
                <w:rFonts w:ascii="Book Antiqua" w:hAnsi="Book Antiqua" w:cs="Times New Roman" w:hint="eastAsia"/>
                <w:kern w:val="2"/>
                <w:sz w:val="21"/>
                <w:szCs w:val="21"/>
                <w:lang w:eastAsia="zh-CN"/>
              </w:rPr>
              <w:t>-</w:t>
            </w:r>
            <w:r w:rsidRPr="003C6F52">
              <w:rPr>
                <w:rFonts w:ascii="Book Antiqua" w:eastAsia="Calibri" w:hAnsi="Book Antiqua" w:cs="Times New Roman"/>
                <w:kern w:val="2"/>
                <w:sz w:val="21"/>
                <w:szCs w:val="21"/>
              </w:rPr>
              <w:t>0.92)</w:t>
            </w:r>
          </w:p>
        </w:tc>
      </w:tr>
      <w:tr w:rsidR="00154C57" w:rsidRPr="003C6F52" w14:paraId="394C17A7" w14:textId="77777777" w:rsidTr="008808CF">
        <w:trPr>
          <w:cantSplit/>
          <w:trHeight w:hRule="exact" w:val="1134"/>
        </w:trPr>
        <w:tc>
          <w:tcPr>
            <w:tcW w:w="1418" w:type="dxa"/>
            <w:tcBorders>
              <w:top w:val="single" w:sz="4" w:space="0" w:color="auto"/>
            </w:tcBorders>
            <w:vAlign w:val="center"/>
          </w:tcPr>
          <w:p w14:paraId="6F671443" w14:textId="5E995689"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Tan</w:t>
            </w:r>
            <w:r w:rsidR="000A0F89">
              <w:rPr>
                <w:rFonts w:ascii="Book Antiqua" w:eastAsia="Calibri" w:hAnsi="Book Antiqua" w:cs="Times New Roman"/>
                <w:kern w:val="2"/>
                <w:sz w:val="21"/>
                <w:szCs w:val="21"/>
              </w:rPr>
              <w:t xml:space="preserve">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[31]</w:t>
            </w:r>
          </w:p>
        </w:tc>
        <w:tc>
          <w:tcPr>
            <w:tcW w:w="1134" w:type="dxa"/>
            <w:tcBorders>
              <w:top w:val="single" w:sz="4" w:space="0" w:color="auto"/>
            </w:tcBorders>
            <w:vAlign w:val="center"/>
          </w:tcPr>
          <w:p w14:paraId="60813969" w14:textId="39BB4C01" w:rsidR="00154C57" w:rsidRPr="003C6F52"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China</w:t>
            </w:r>
          </w:p>
        </w:tc>
        <w:tc>
          <w:tcPr>
            <w:tcW w:w="567" w:type="dxa"/>
            <w:tcBorders>
              <w:top w:val="single" w:sz="4" w:space="0" w:color="auto"/>
            </w:tcBorders>
            <w:vAlign w:val="center"/>
          </w:tcPr>
          <w:p w14:paraId="588460B6"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6</w:t>
            </w:r>
          </w:p>
        </w:tc>
        <w:tc>
          <w:tcPr>
            <w:tcW w:w="550" w:type="dxa"/>
            <w:tcBorders>
              <w:top w:val="single" w:sz="4" w:space="0" w:color="auto"/>
            </w:tcBorders>
          </w:tcPr>
          <w:p w14:paraId="697F11B6"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AD76D06"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57E6D5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1E34E371"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P</w:t>
            </w:r>
          </w:p>
        </w:tc>
        <w:tc>
          <w:tcPr>
            <w:tcW w:w="677" w:type="dxa"/>
            <w:tcBorders>
              <w:top w:val="single" w:sz="4" w:space="0" w:color="auto"/>
            </w:tcBorders>
            <w:vAlign w:val="center"/>
          </w:tcPr>
          <w:p w14:paraId="6E063B2B"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83</w:t>
            </w:r>
          </w:p>
        </w:tc>
        <w:tc>
          <w:tcPr>
            <w:tcW w:w="449" w:type="dxa"/>
            <w:tcBorders>
              <w:top w:val="single" w:sz="4" w:space="0" w:color="auto"/>
            </w:tcBorders>
            <w:vAlign w:val="center"/>
          </w:tcPr>
          <w:p w14:paraId="0018C7A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82</w:t>
            </w:r>
          </w:p>
        </w:tc>
        <w:tc>
          <w:tcPr>
            <w:tcW w:w="524" w:type="dxa"/>
            <w:tcBorders>
              <w:top w:val="single" w:sz="4" w:space="0" w:color="auto"/>
            </w:tcBorders>
            <w:vAlign w:val="center"/>
          </w:tcPr>
          <w:p w14:paraId="51AFFBDA"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1425" w:type="dxa"/>
            <w:tcBorders>
              <w:top w:val="single" w:sz="4" w:space="0" w:color="auto"/>
            </w:tcBorders>
            <w:vAlign w:val="center"/>
          </w:tcPr>
          <w:p w14:paraId="675DBE26"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Colorectal resections</w:t>
            </w:r>
          </w:p>
        </w:tc>
        <w:tc>
          <w:tcPr>
            <w:tcW w:w="1165" w:type="dxa"/>
            <w:tcBorders>
              <w:top w:val="single" w:sz="4" w:space="0" w:color="auto"/>
            </w:tcBorders>
            <w:vAlign w:val="center"/>
          </w:tcPr>
          <w:p w14:paraId="1254AB1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Fried Frailty Criteria</w:t>
            </w:r>
          </w:p>
          <w:p w14:paraId="55358CA4"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tc>
        <w:tc>
          <w:tcPr>
            <w:tcW w:w="510" w:type="dxa"/>
            <w:tcBorders>
              <w:top w:val="single" w:sz="4" w:space="0" w:color="auto"/>
            </w:tcBorders>
            <w:vAlign w:val="center"/>
          </w:tcPr>
          <w:p w14:paraId="02615B41"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22</w:t>
            </w:r>
          </w:p>
        </w:tc>
        <w:tc>
          <w:tcPr>
            <w:tcW w:w="607" w:type="dxa"/>
            <w:tcBorders>
              <w:top w:val="single" w:sz="4" w:space="0" w:color="auto"/>
            </w:tcBorders>
            <w:vAlign w:val="center"/>
          </w:tcPr>
          <w:p w14:paraId="6BF680C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07" w:type="dxa"/>
            <w:tcBorders>
              <w:top w:val="single" w:sz="4" w:space="0" w:color="auto"/>
            </w:tcBorders>
            <w:vAlign w:val="center"/>
          </w:tcPr>
          <w:p w14:paraId="6AB6A2DD"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29</w:t>
            </w:r>
          </w:p>
        </w:tc>
        <w:tc>
          <w:tcPr>
            <w:tcW w:w="607" w:type="dxa"/>
            <w:tcBorders>
              <w:top w:val="single" w:sz="4" w:space="0" w:color="auto"/>
            </w:tcBorders>
            <w:vAlign w:val="center"/>
          </w:tcPr>
          <w:p w14:paraId="7B92E9F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0</w:t>
            </w:r>
          </w:p>
        </w:tc>
        <w:tc>
          <w:tcPr>
            <w:tcW w:w="650" w:type="dxa"/>
            <w:tcBorders>
              <w:top w:val="single" w:sz="4" w:space="0" w:color="auto"/>
            </w:tcBorders>
            <w:vAlign w:val="center"/>
          </w:tcPr>
          <w:p w14:paraId="4E25FE2C"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1018" w:type="dxa"/>
            <w:tcBorders>
              <w:top w:val="single" w:sz="4" w:space="0" w:color="auto"/>
            </w:tcBorders>
            <w:vAlign w:val="center"/>
          </w:tcPr>
          <w:p w14:paraId="2294B13B"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992" w:type="dxa"/>
            <w:tcBorders>
              <w:top w:val="single" w:sz="4" w:space="0" w:color="auto"/>
            </w:tcBorders>
          </w:tcPr>
          <w:p w14:paraId="3D5FF6B5"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2588422A" w14:textId="27EA3EEB"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30 d</w:t>
            </w:r>
            <w:r w:rsidR="008808CF">
              <w:rPr>
                <w:rFonts w:ascii="Book Antiqua" w:hAnsi="Book Antiqua" w:cs="Times New Roman" w:hint="eastAsia"/>
                <w:kern w:val="2"/>
                <w:sz w:val="21"/>
                <w:szCs w:val="21"/>
                <w:lang w:eastAsia="zh-CN"/>
              </w:rPr>
              <w:t xml:space="preserve"> </w:t>
            </w:r>
            <w:r w:rsidRPr="003C6F52">
              <w:rPr>
                <w:rFonts w:ascii="Book Antiqua" w:eastAsia="Calibri" w:hAnsi="Book Antiqua" w:cs="Times New Roman"/>
                <w:kern w:val="2"/>
                <w:sz w:val="21"/>
                <w:szCs w:val="21"/>
              </w:rPr>
              <w:t>morbidity</w:t>
            </w:r>
          </w:p>
        </w:tc>
        <w:tc>
          <w:tcPr>
            <w:tcW w:w="1559" w:type="dxa"/>
            <w:tcBorders>
              <w:top w:val="single" w:sz="4" w:space="0" w:color="auto"/>
            </w:tcBorders>
            <w:vAlign w:val="center"/>
          </w:tcPr>
          <w:p w14:paraId="775F18E0" w14:textId="7A4D74AE" w:rsidR="00154C57" w:rsidRPr="003C6F52" w:rsidRDefault="00154C57" w:rsidP="00CB2DFE">
            <w:pPr>
              <w:spacing w:after="0" w:line="360" w:lineRule="auto"/>
              <w:jc w:val="both"/>
              <w:rPr>
                <w:rFonts w:ascii="Book Antiqua" w:eastAsia="MS Mincho" w:hAnsi="Book Antiqua" w:cs="Times New Roman"/>
                <w:sz w:val="21"/>
                <w:szCs w:val="21"/>
                <w:lang w:eastAsia="de-DE"/>
              </w:rPr>
            </w:pPr>
            <w:r w:rsidRPr="003C6F52">
              <w:rPr>
                <w:rFonts w:ascii="Book Antiqua" w:eastAsia="MS Mincho" w:hAnsi="Book Antiqua" w:cs="Times New Roman"/>
                <w:color w:val="111111"/>
                <w:sz w:val="21"/>
                <w:szCs w:val="21"/>
                <w:lang w:eastAsia="de-DE"/>
              </w:rPr>
              <w:t>OR</w:t>
            </w:r>
            <w:r w:rsidR="008808CF">
              <w:rPr>
                <w:rFonts w:ascii="Book Antiqua" w:hAnsi="Book Antiqua" w:cs="Times New Roman" w:hint="eastAsia"/>
                <w:color w:val="111111"/>
                <w:sz w:val="21"/>
                <w:szCs w:val="21"/>
                <w:lang w:eastAsia="zh-CN"/>
              </w:rPr>
              <w:t xml:space="preserve"> </w:t>
            </w:r>
            <w:r w:rsidRPr="003C6F52">
              <w:rPr>
                <w:rFonts w:ascii="Book Antiqua" w:eastAsia="MS Mincho" w:hAnsi="Book Antiqua" w:cs="Times New Roman"/>
                <w:color w:val="111111"/>
                <w:sz w:val="21"/>
                <w:szCs w:val="21"/>
                <w:lang w:eastAsia="de-DE"/>
              </w:rPr>
              <w:t>=</w:t>
            </w:r>
            <w:r w:rsidR="008808CF">
              <w:rPr>
                <w:rFonts w:ascii="Book Antiqua" w:hAnsi="Book Antiqua" w:cs="Times New Roman" w:hint="eastAsia"/>
                <w:color w:val="111111"/>
                <w:sz w:val="21"/>
                <w:szCs w:val="21"/>
                <w:lang w:eastAsia="zh-CN"/>
              </w:rPr>
              <w:t xml:space="preserve"> </w:t>
            </w:r>
            <w:r w:rsidRPr="003C6F52">
              <w:rPr>
                <w:rFonts w:ascii="Book Antiqua" w:eastAsia="MS Mincho" w:hAnsi="Book Antiqua" w:cs="Times New Roman"/>
                <w:color w:val="111111"/>
                <w:sz w:val="21"/>
                <w:szCs w:val="21"/>
                <w:lang w:eastAsia="de-DE"/>
              </w:rPr>
              <w:t xml:space="preserve">4.08; CI: 1.43-11.64, </w:t>
            </w:r>
            <w:r w:rsidR="008808CF" w:rsidRPr="008808CF">
              <w:rPr>
                <w:rFonts w:ascii="Book Antiqua" w:eastAsia="MS Mincho" w:hAnsi="Book Antiqua" w:cs="Times New Roman"/>
                <w:i/>
                <w:color w:val="111111"/>
                <w:sz w:val="21"/>
                <w:szCs w:val="21"/>
                <w:lang w:eastAsia="de-DE"/>
              </w:rPr>
              <w:t>P</w:t>
            </w:r>
            <w:r w:rsidR="008808CF" w:rsidRPr="003C6F52">
              <w:rPr>
                <w:rFonts w:ascii="Book Antiqua" w:eastAsia="MS Mincho" w:hAnsi="Book Antiqua" w:cs="Times New Roman"/>
                <w:color w:val="111111"/>
                <w:sz w:val="21"/>
                <w:szCs w:val="21"/>
                <w:lang w:eastAsia="de-DE"/>
              </w:rPr>
              <w:t xml:space="preserve"> </w:t>
            </w:r>
            <w:r w:rsidRPr="003C6F52">
              <w:rPr>
                <w:rFonts w:ascii="Book Antiqua" w:eastAsia="MS Mincho" w:hAnsi="Book Antiqua" w:cs="Times New Roman"/>
                <w:color w:val="111111"/>
                <w:sz w:val="21"/>
                <w:szCs w:val="21"/>
                <w:lang w:eastAsia="de-DE"/>
              </w:rPr>
              <w:t>=</w:t>
            </w:r>
            <w:r w:rsidR="008808CF">
              <w:rPr>
                <w:rFonts w:ascii="Book Antiqua" w:hAnsi="Book Antiqua" w:cs="Times New Roman" w:hint="eastAsia"/>
                <w:color w:val="111111"/>
                <w:sz w:val="21"/>
                <w:szCs w:val="21"/>
                <w:lang w:eastAsia="zh-CN"/>
              </w:rPr>
              <w:t xml:space="preserve"> </w:t>
            </w:r>
            <w:r w:rsidRPr="003C6F52">
              <w:rPr>
                <w:rFonts w:ascii="Book Antiqua" w:eastAsia="MS Mincho" w:hAnsi="Book Antiqua" w:cs="Times New Roman"/>
                <w:color w:val="111111"/>
                <w:sz w:val="21"/>
                <w:szCs w:val="21"/>
                <w:lang w:eastAsia="de-DE"/>
              </w:rPr>
              <w:t xml:space="preserve">0.006 </w:t>
            </w:r>
          </w:p>
          <w:p w14:paraId="164A3E7E"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tc>
      </w:tr>
      <w:tr w:rsidR="00154C57" w:rsidRPr="003C6F52" w14:paraId="1689E688" w14:textId="77777777" w:rsidTr="008808CF">
        <w:trPr>
          <w:cantSplit/>
          <w:trHeight w:hRule="exact" w:val="1134"/>
        </w:trPr>
        <w:tc>
          <w:tcPr>
            <w:tcW w:w="1418" w:type="dxa"/>
            <w:tcBorders>
              <w:top w:val="single" w:sz="4" w:space="0" w:color="auto"/>
            </w:tcBorders>
            <w:vAlign w:val="center"/>
          </w:tcPr>
          <w:p w14:paraId="37343E21" w14:textId="36C473FF"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3C6F52">
              <w:rPr>
                <w:rFonts w:ascii="Book Antiqua" w:eastAsia="Calibri" w:hAnsi="Book Antiqua" w:cs="Times New Roman"/>
                <w:kern w:val="2"/>
                <w:sz w:val="21"/>
                <w:szCs w:val="21"/>
              </w:rPr>
              <w:t>Sabel</w:t>
            </w:r>
            <w:proofErr w:type="spellEnd"/>
            <w:r w:rsidRPr="003C6F52">
              <w:rPr>
                <w:rFonts w:ascii="Book Antiqua" w:eastAsia="Calibri" w:hAnsi="Book Antiqua" w:cs="Times New Roman"/>
                <w:kern w:val="2"/>
                <w:sz w:val="21"/>
                <w:szCs w:val="21"/>
              </w:rPr>
              <w:t xml:space="preserve">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[38]</w:t>
            </w:r>
          </w:p>
        </w:tc>
        <w:tc>
          <w:tcPr>
            <w:tcW w:w="1134" w:type="dxa"/>
            <w:tcBorders>
              <w:top w:val="single" w:sz="4" w:space="0" w:color="auto"/>
            </w:tcBorders>
            <w:vAlign w:val="center"/>
          </w:tcPr>
          <w:p w14:paraId="6A40575F" w14:textId="5F2E9C6E" w:rsidR="00154C57" w:rsidRPr="003C6F52"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United States</w:t>
            </w:r>
          </w:p>
        </w:tc>
        <w:tc>
          <w:tcPr>
            <w:tcW w:w="567" w:type="dxa"/>
            <w:tcBorders>
              <w:top w:val="single" w:sz="4" w:space="0" w:color="auto"/>
            </w:tcBorders>
            <w:vAlign w:val="center"/>
          </w:tcPr>
          <w:p w14:paraId="4164BA1E"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5</w:t>
            </w:r>
          </w:p>
        </w:tc>
        <w:tc>
          <w:tcPr>
            <w:tcW w:w="550" w:type="dxa"/>
            <w:tcBorders>
              <w:top w:val="single" w:sz="4" w:space="0" w:color="auto"/>
            </w:tcBorders>
          </w:tcPr>
          <w:p w14:paraId="5044EC3C"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7F27A3BE"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2EC1AA15"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R</w:t>
            </w:r>
          </w:p>
        </w:tc>
        <w:tc>
          <w:tcPr>
            <w:tcW w:w="677" w:type="dxa"/>
            <w:tcBorders>
              <w:top w:val="single" w:sz="4" w:space="0" w:color="auto"/>
            </w:tcBorders>
            <w:vAlign w:val="center"/>
          </w:tcPr>
          <w:p w14:paraId="56A6BD6C"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302</w:t>
            </w:r>
          </w:p>
        </w:tc>
        <w:tc>
          <w:tcPr>
            <w:tcW w:w="449" w:type="dxa"/>
            <w:tcBorders>
              <w:top w:val="single" w:sz="4" w:space="0" w:color="auto"/>
            </w:tcBorders>
            <w:vAlign w:val="center"/>
          </w:tcPr>
          <w:p w14:paraId="55BDB140"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68</w:t>
            </w:r>
          </w:p>
        </w:tc>
        <w:tc>
          <w:tcPr>
            <w:tcW w:w="524" w:type="dxa"/>
            <w:tcBorders>
              <w:top w:val="single" w:sz="4" w:space="0" w:color="auto"/>
            </w:tcBorders>
            <w:vAlign w:val="center"/>
          </w:tcPr>
          <w:p w14:paraId="6945B5F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52</w:t>
            </w:r>
          </w:p>
        </w:tc>
        <w:tc>
          <w:tcPr>
            <w:tcW w:w="1425" w:type="dxa"/>
            <w:tcBorders>
              <w:top w:val="single" w:sz="4" w:space="0" w:color="auto"/>
            </w:tcBorders>
            <w:vAlign w:val="center"/>
          </w:tcPr>
          <w:p w14:paraId="3263D7F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Colorectal resection</w:t>
            </w:r>
          </w:p>
        </w:tc>
        <w:tc>
          <w:tcPr>
            <w:tcW w:w="1165" w:type="dxa"/>
            <w:tcBorders>
              <w:top w:val="single" w:sz="4" w:space="0" w:color="auto"/>
            </w:tcBorders>
            <w:vAlign w:val="center"/>
          </w:tcPr>
          <w:p w14:paraId="3B621BBE"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Psoas area </w:t>
            </w:r>
          </w:p>
          <w:p w14:paraId="3DCF142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Psoas density</w:t>
            </w:r>
          </w:p>
        </w:tc>
        <w:tc>
          <w:tcPr>
            <w:tcW w:w="510" w:type="dxa"/>
            <w:tcBorders>
              <w:top w:val="single" w:sz="4" w:space="0" w:color="auto"/>
            </w:tcBorders>
            <w:vAlign w:val="center"/>
          </w:tcPr>
          <w:p w14:paraId="4C44E4A0"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58</w:t>
            </w:r>
          </w:p>
        </w:tc>
        <w:tc>
          <w:tcPr>
            <w:tcW w:w="607" w:type="dxa"/>
            <w:tcBorders>
              <w:top w:val="single" w:sz="4" w:space="0" w:color="auto"/>
            </w:tcBorders>
            <w:vAlign w:val="center"/>
          </w:tcPr>
          <w:p w14:paraId="0A039A68"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34</w:t>
            </w:r>
          </w:p>
        </w:tc>
        <w:tc>
          <w:tcPr>
            <w:tcW w:w="607" w:type="dxa"/>
            <w:tcBorders>
              <w:top w:val="single" w:sz="4" w:space="0" w:color="auto"/>
            </w:tcBorders>
            <w:vAlign w:val="center"/>
          </w:tcPr>
          <w:p w14:paraId="474737C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07" w:type="dxa"/>
            <w:tcBorders>
              <w:top w:val="single" w:sz="4" w:space="0" w:color="auto"/>
            </w:tcBorders>
            <w:vAlign w:val="center"/>
          </w:tcPr>
          <w:p w14:paraId="1234EA9A"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50" w:type="dxa"/>
            <w:tcBorders>
              <w:top w:val="single" w:sz="4" w:space="0" w:color="auto"/>
            </w:tcBorders>
            <w:vAlign w:val="center"/>
          </w:tcPr>
          <w:p w14:paraId="1318C6BA"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1018" w:type="dxa"/>
            <w:tcBorders>
              <w:top w:val="single" w:sz="4" w:space="0" w:color="auto"/>
            </w:tcBorders>
            <w:vAlign w:val="center"/>
          </w:tcPr>
          <w:p w14:paraId="388C8A90"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992" w:type="dxa"/>
            <w:tcBorders>
              <w:top w:val="single" w:sz="4" w:space="0" w:color="auto"/>
            </w:tcBorders>
          </w:tcPr>
          <w:p w14:paraId="02AC8A9C"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04E4369"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57CEA9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No outcome analysis</w:t>
            </w:r>
          </w:p>
        </w:tc>
        <w:tc>
          <w:tcPr>
            <w:tcW w:w="1559" w:type="dxa"/>
            <w:tcBorders>
              <w:top w:val="single" w:sz="4" w:space="0" w:color="auto"/>
            </w:tcBorders>
            <w:vAlign w:val="center"/>
          </w:tcPr>
          <w:p w14:paraId="64406C5C" w14:textId="77777777" w:rsidR="00154C57" w:rsidRPr="003C6F52" w:rsidRDefault="00154C57" w:rsidP="00CB2DFE">
            <w:pPr>
              <w:spacing w:after="0" w:line="360" w:lineRule="auto"/>
              <w:jc w:val="both"/>
              <w:rPr>
                <w:rFonts w:ascii="Book Antiqua" w:eastAsia="MS Mincho" w:hAnsi="Book Antiqua" w:cs="Times New Roman"/>
                <w:color w:val="111111"/>
                <w:sz w:val="21"/>
                <w:szCs w:val="21"/>
                <w:lang w:eastAsia="de-DE"/>
              </w:rPr>
            </w:pPr>
            <w:r w:rsidRPr="003C6F52">
              <w:rPr>
                <w:rFonts w:ascii="Book Antiqua" w:eastAsia="MS Mincho" w:hAnsi="Book Antiqua" w:cs="Times New Roman"/>
                <w:color w:val="111111"/>
                <w:sz w:val="21"/>
                <w:szCs w:val="21"/>
                <w:lang w:eastAsia="de-DE"/>
              </w:rPr>
              <w:t>NR</w:t>
            </w:r>
          </w:p>
        </w:tc>
      </w:tr>
      <w:tr w:rsidR="00154C57" w:rsidRPr="003C6F52" w14:paraId="69A14883" w14:textId="77777777" w:rsidTr="008808CF">
        <w:trPr>
          <w:cantSplit/>
          <w:trHeight w:hRule="exact" w:val="1134"/>
        </w:trPr>
        <w:tc>
          <w:tcPr>
            <w:tcW w:w="1418" w:type="dxa"/>
            <w:tcBorders>
              <w:top w:val="single" w:sz="4" w:space="0" w:color="auto"/>
            </w:tcBorders>
            <w:vAlign w:val="center"/>
          </w:tcPr>
          <w:p w14:paraId="435DB278" w14:textId="37904E26"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3C6F52">
              <w:rPr>
                <w:rFonts w:ascii="Book Antiqua" w:eastAsia="Calibri" w:hAnsi="Book Antiqua" w:cs="Times New Roman"/>
                <w:kern w:val="2"/>
                <w:sz w:val="21"/>
                <w:szCs w:val="21"/>
              </w:rPr>
              <w:t>Lieffers</w:t>
            </w:r>
            <w:proofErr w:type="spellEnd"/>
            <w:r w:rsidRPr="003C6F52">
              <w:rPr>
                <w:rFonts w:ascii="Book Antiqua" w:eastAsia="Calibri" w:hAnsi="Book Antiqua" w:cs="Times New Roman"/>
                <w:kern w:val="2"/>
                <w:sz w:val="21"/>
                <w:szCs w:val="21"/>
              </w:rPr>
              <w:t xml:space="preserve">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[39]</w:t>
            </w:r>
          </w:p>
        </w:tc>
        <w:tc>
          <w:tcPr>
            <w:tcW w:w="1134" w:type="dxa"/>
            <w:tcBorders>
              <w:top w:val="single" w:sz="4" w:space="0" w:color="auto"/>
            </w:tcBorders>
            <w:vAlign w:val="center"/>
          </w:tcPr>
          <w:p w14:paraId="7C946EDF" w14:textId="79061D43" w:rsidR="00154C57" w:rsidRPr="003C6F52"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Canada</w:t>
            </w:r>
          </w:p>
        </w:tc>
        <w:tc>
          <w:tcPr>
            <w:tcW w:w="567" w:type="dxa"/>
            <w:tcBorders>
              <w:top w:val="single" w:sz="4" w:space="0" w:color="auto"/>
            </w:tcBorders>
            <w:vAlign w:val="center"/>
          </w:tcPr>
          <w:p w14:paraId="656E539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5</w:t>
            </w:r>
          </w:p>
        </w:tc>
        <w:tc>
          <w:tcPr>
            <w:tcW w:w="550" w:type="dxa"/>
            <w:tcBorders>
              <w:top w:val="single" w:sz="4" w:space="0" w:color="auto"/>
            </w:tcBorders>
          </w:tcPr>
          <w:p w14:paraId="5489244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2C4113D4"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57A27EA9"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R</w:t>
            </w:r>
          </w:p>
        </w:tc>
        <w:tc>
          <w:tcPr>
            <w:tcW w:w="677" w:type="dxa"/>
            <w:tcBorders>
              <w:top w:val="single" w:sz="4" w:space="0" w:color="auto"/>
            </w:tcBorders>
            <w:vAlign w:val="center"/>
          </w:tcPr>
          <w:p w14:paraId="0FE200A6"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234</w:t>
            </w:r>
          </w:p>
        </w:tc>
        <w:tc>
          <w:tcPr>
            <w:tcW w:w="449" w:type="dxa"/>
            <w:tcBorders>
              <w:top w:val="single" w:sz="4" w:space="0" w:color="auto"/>
            </w:tcBorders>
            <w:vAlign w:val="center"/>
          </w:tcPr>
          <w:p w14:paraId="6C3F9F51"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63</w:t>
            </w:r>
          </w:p>
        </w:tc>
        <w:tc>
          <w:tcPr>
            <w:tcW w:w="524" w:type="dxa"/>
            <w:tcBorders>
              <w:top w:val="single" w:sz="4" w:space="0" w:color="auto"/>
            </w:tcBorders>
            <w:vAlign w:val="center"/>
          </w:tcPr>
          <w:p w14:paraId="5FCFDD69"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135</w:t>
            </w:r>
          </w:p>
        </w:tc>
        <w:tc>
          <w:tcPr>
            <w:tcW w:w="1425" w:type="dxa"/>
            <w:tcBorders>
              <w:top w:val="single" w:sz="4" w:space="0" w:color="auto"/>
            </w:tcBorders>
            <w:vAlign w:val="center"/>
          </w:tcPr>
          <w:p w14:paraId="446DF011"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Colorectal resection </w:t>
            </w:r>
          </w:p>
        </w:tc>
        <w:tc>
          <w:tcPr>
            <w:tcW w:w="1165" w:type="dxa"/>
            <w:tcBorders>
              <w:top w:val="single" w:sz="4" w:space="0" w:color="auto"/>
            </w:tcBorders>
            <w:vAlign w:val="center"/>
          </w:tcPr>
          <w:p w14:paraId="489F9DBB"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Skeletal muscle index</w:t>
            </w:r>
          </w:p>
        </w:tc>
        <w:tc>
          <w:tcPr>
            <w:tcW w:w="510" w:type="dxa"/>
            <w:tcBorders>
              <w:top w:val="single" w:sz="4" w:space="0" w:color="auto"/>
            </w:tcBorders>
            <w:vAlign w:val="center"/>
          </w:tcPr>
          <w:p w14:paraId="2E72FBCE"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6</w:t>
            </w:r>
          </w:p>
        </w:tc>
        <w:tc>
          <w:tcPr>
            <w:tcW w:w="607" w:type="dxa"/>
            <w:tcBorders>
              <w:top w:val="single" w:sz="4" w:space="0" w:color="auto"/>
            </w:tcBorders>
            <w:vAlign w:val="center"/>
          </w:tcPr>
          <w:p w14:paraId="0C32E4C2"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07" w:type="dxa"/>
            <w:tcBorders>
              <w:top w:val="single" w:sz="4" w:space="0" w:color="auto"/>
            </w:tcBorders>
            <w:vAlign w:val="center"/>
          </w:tcPr>
          <w:p w14:paraId="177E8E91"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07" w:type="dxa"/>
            <w:tcBorders>
              <w:top w:val="single" w:sz="4" w:space="0" w:color="auto"/>
            </w:tcBorders>
            <w:vAlign w:val="center"/>
          </w:tcPr>
          <w:p w14:paraId="6D300AF8"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50" w:type="dxa"/>
            <w:tcBorders>
              <w:top w:val="single" w:sz="4" w:space="0" w:color="auto"/>
            </w:tcBorders>
            <w:vAlign w:val="center"/>
          </w:tcPr>
          <w:p w14:paraId="6721B212"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1018" w:type="dxa"/>
            <w:tcBorders>
              <w:top w:val="single" w:sz="4" w:space="0" w:color="auto"/>
            </w:tcBorders>
            <w:vAlign w:val="center"/>
          </w:tcPr>
          <w:p w14:paraId="12B93EA0"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992" w:type="dxa"/>
            <w:tcBorders>
              <w:top w:val="single" w:sz="4" w:space="0" w:color="auto"/>
            </w:tcBorders>
          </w:tcPr>
          <w:p w14:paraId="67A42AA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20065C02"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2F0489CD"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Postoperative complications</w:t>
            </w:r>
          </w:p>
        </w:tc>
        <w:tc>
          <w:tcPr>
            <w:tcW w:w="1559" w:type="dxa"/>
            <w:tcBorders>
              <w:top w:val="single" w:sz="4" w:space="0" w:color="auto"/>
            </w:tcBorders>
            <w:vAlign w:val="center"/>
          </w:tcPr>
          <w:p w14:paraId="5C27457A" w14:textId="37A98900" w:rsidR="00154C57" w:rsidRPr="003C6F52" w:rsidRDefault="00154C57" w:rsidP="00CB2DFE">
            <w:pPr>
              <w:spacing w:after="0" w:line="360" w:lineRule="auto"/>
              <w:jc w:val="both"/>
              <w:rPr>
                <w:rFonts w:ascii="Book Antiqua" w:eastAsia="MS Mincho" w:hAnsi="Book Antiqua" w:cs="Times New Roman"/>
                <w:color w:val="111111"/>
                <w:sz w:val="21"/>
                <w:szCs w:val="21"/>
                <w:lang w:eastAsia="de-DE"/>
              </w:rPr>
            </w:pPr>
            <w:r w:rsidRPr="003C6F52">
              <w:rPr>
                <w:rFonts w:ascii="Book Antiqua" w:eastAsia="MS Mincho" w:hAnsi="Book Antiqua" w:cs="Times New Roman"/>
                <w:color w:val="111111"/>
                <w:sz w:val="21"/>
                <w:szCs w:val="21"/>
                <w:lang w:eastAsia="de-DE"/>
              </w:rPr>
              <w:t>OR</w:t>
            </w:r>
            <w:r w:rsidR="008808CF">
              <w:rPr>
                <w:rFonts w:ascii="Book Antiqua" w:hAnsi="Book Antiqua" w:cs="Times New Roman" w:hint="eastAsia"/>
                <w:color w:val="111111"/>
                <w:sz w:val="21"/>
                <w:szCs w:val="21"/>
                <w:lang w:eastAsia="zh-CN"/>
              </w:rPr>
              <w:t xml:space="preserve"> </w:t>
            </w:r>
            <w:r w:rsidRPr="003C6F52">
              <w:rPr>
                <w:rFonts w:ascii="Book Antiqua" w:eastAsia="MS Mincho" w:hAnsi="Book Antiqua" w:cs="Times New Roman"/>
                <w:color w:val="111111"/>
                <w:sz w:val="21"/>
                <w:szCs w:val="21"/>
                <w:lang w:eastAsia="de-DE"/>
              </w:rPr>
              <w:t>=</w:t>
            </w:r>
            <w:r w:rsidR="008808CF">
              <w:rPr>
                <w:rFonts w:ascii="Book Antiqua" w:hAnsi="Book Antiqua" w:cs="Times New Roman" w:hint="eastAsia"/>
                <w:color w:val="111111"/>
                <w:sz w:val="21"/>
                <w:szCs w:val="21"/>
                <w:lang w:eastAsia="zh-CN"/>
              </w:rPr>
              <w:t xml:space="preserve"> </w:t>
            </w:r>
            <w:r w:rsidRPr="003C6F52">
              <w:rPr>
                <w:rFonts w:ascii="Book Antiqua" w:eastAsia="MS Mincho" w:hAnsi="Book Antiqua" w:cs="Times New Roman"/>
                <w:color w:val="111111"/>
                <w:sz w:val="21"/>
                <w:szCs w:val="21"/>
                <w:lang w:eastAsia="de-DE"/>
              </w:rPr>
              <w:t xml:space="preserve">4.6; CI: 1.513.9, </w:t>
            </w:r>
            <w:r w:rsidR="008808CF" w:rsidRPr="008808CF">
              <w:rPr>
                <w:rFonts w:ascii="Book Antiqua" w:eastAsia="MS Mincho" w:hAnsi="Book Antiqua" w:cs="Times New Roman"/>
                <w:i/>
                <w:color w:val="111111"/>
                <w:sz w:val="21"/>
                <w:szCs w:val="21"/>
                <w:lang w:eastAsia="de-DE"/>
              </w:rPr>
              <w:t>P</w:t>
            </w:r>
            <w:r w:rsidR="008808CF" w:rsidRPr="003C6F52">
              <w:rPr>
                <w:rFonts w:ascii="Book Antiqua" w:eastAsia="MS Mincho" w:hAnsi="Book Antiqua" w:cs="Times New Roman"/>
                <w:color w:val="111111"/>
                <w:sz w:val="21"/>
                <w:szCs w:val="21"/>
                <w:lang w:eastAsia="de-DE"/>
              </w:rPr>
              <w:t xml:space="preserve"> </w:t>
            </w:r>
            <w:r w:rsidRPr="003C6F52">
              <w:rPr>
                <w:rFonts w:ascii="Book Antiqua" w:eastAsia="MS Mincho" w:hAnsi="Book Antiqua" w:cs="Times New Roman"/>
                <w:color w:val="111111"/>
                <w:sz w:val="21"/>
                <w:szCs w:val="21"/>
                <w:lang w:eastAsia="de-DE"/>
              </w:rPr>
              <w:t>=</w:t>
            </w:r>
            <w:r w:rsidR="008808CF">
              <w:rPr>
                <w:rFonts w:ascii="Book Antiqua" w:hAnsi="Book Antiqua" w:cs="Times New Roman" w:hint="eastAsia"/>
                <w:color w:val="111111"/>
                <w:sz w:val="21"/>
                <w:szCs w:val="21"/>
                <w:lang w:eastAsia="zh-CN"/>
              </w:rPr>
              <w:t xml:space="preserve"> </w:t>
            </w:r>
            <w:r w:rsidRPr="003C6F52">
              <w:rPr>
                <w:rFonts w:ascii="Book Antiqua" w:eastAsia="MS Mincho" w:hAnsi="Book Antiqua" w:cs="Times New Roman"/>
                <w:color w:val="111111"/>
                <w:sz w:val="21"/>
                <w:szCs w:val="21"/>
                <w:lang w:eastAsia="de-DE"/>
              </w:rPr>
              <w:t>0.007</w:t>
            </w:r>
          </w:p>
        </w:tc>
      </w:tr>
      <w:tr w:rsidR="00154C57" w:rsidRPr="003C6F52" w14:paraId="04DD70EC" w14:textId="77777777" w:rsidTr="008808CF">
        <w:trPr>
          <w:cantSplit/>
          <w:trHeight w:hRule="exact" w:val="1134"/>
        </w:trPr>
        <w:tc>
          <w:tcPr>
            <w:tcW w:w="1418" w:type="dxa"/>
            <w:tcBorders>
              <w:top w:val="single" w:sz="4" w:space="0" w:color="auto"/>
            </w:tcBorders>
            <w:vAlign w:val="center"/>
          </w:tcPr>
          <w:p w14:paraId="6B67B8B5" w14:textId="36BF6620"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Reisinger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[50]</w:t>
            </w:r>
          </w:p>
        </w:tc>
        <w:tc>
          <w:tcPr>
            <w:tcW w:w="1134" w:type="dxa"/>
            <w:tcBorders>
              <w:top w:val="single" w:sz="4" w:space="0" w:color="auto"/>
            </w:tcBorders>
            <w:vAlign w:val="center"/>
          </w:tcPr>
          <w:p w14:paraId="0525DFE8" w14:textId="006E6B4C" w:rsidR="00154C57" w:rsidRPr="003C6F52"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Netherlands</w:t>
            </w:r>
          </w:p>
        </w:tc>
        <w:tc>
          <w:tcPr>
            <w:tcW w:w="567" w:type="dxa"/>
            <w:tcBorders>
              <w:top w:val="single" w:sz="4" w:space="0" w:color="auto"/>
            </w:tcBorders>
            <w:vAlign w:val="center"/>
          </w:tcPr>
          <w:p w14:paraId="190B8D58"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5</w:t>
            </w:r>
          </w:p>
        </w:tc>
        <w:tc>
          <w:tcPr>
            <w:tcW w:w="550" w:type="dxa"/>
            <w:tcBorders>
              <w:top w:val="single" w:sz="4" w:space="0" w:color="auto"/>
            </w:tcBorders>
          </w:tcPr>
          <w:p w14:paraId="6B3A161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2E6DBE14"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321E3C0"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P/R</w:t>
            </w:r>
          </w:p>
        </w:tc>
        <w:tc>
          <w:tcPr>
            <w:tcW w:w="677" w:type="dxa"/>
            <w:tcBorders>
              <w:top w:val="single" w:sz="4" w:space="0" w:color="auto"/>
            </w:tcBorders>
            <w:vAlign w:val="center"/>
          </w:tcPr>
          <w:p w14:paraId="062B187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340</w:t>
            </w:r>
          </w:p>
        </w:tc>
        <w:tc>
          <w:tcPr>
            <w:tcW w:w="449" w:type="dxa"/>
            <w:tcBorders>
              <w:top w:val="single" w:sz="4" w:space="0" w:color="auto"/>
            </w:tcBorders>
            <w:vAlign w:val="center"/>
          </w:tcPr>
          <w:p w14:paraId="3E564D4B"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69</w:t>
            </w:r>
          </w:p>
        </w:tc>
        <w:tc>
          <w:tcPr>
            <w:tcW w:w="524" w:type="dxa"/>
            <w:tcBorders>
              <w:top w:val="single" w:sz="4" w:space="0" w:color="auto"/>
            </w:tcBorders>
            <w:vAlign w:val="center"/>
          </w:tcPr>
          <w:p w14:paraId="0FE01BB4"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50</w:t>
            </w:r>
          </w:p>
        </w:tc>
        <w:tc>
          <w:tcPr>
            <w:tcW w:w="1425" w:type="dxa"/>
            <w:tcBorders>
              <w:top w:val="single" w:sz="4" w:space="0" w:color="auto"/>
            </w:tcBorders>
            <w:vAlign w:val="center"/>
          </w:tcPr>
          <w:p w14:paraId="2393799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Colorectal resection</w:t>
            </w:r>
          </w:p>
        </w:tc>
        <w:tc>
          <w:tcPr>
            <w:tcW w:w="1165" w:type="dxa"/>
            <w:tcBorders>
              <w:top w:val="single" w:sz="4" w:space="0" w:color="auto"/>
            </w:tcBorders>
            <w:vAlign w:val="center"/>
          </w:tcPr>
          <w:p w14:paraId="6BAD893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L3 muscle index</w:t>
            </w:r>
          </w:p>
        </w:tc>
        <w:tc>
          <w:tcPr>
            <w:tcW w:w="510" w:type="dxa"/>
            <w:tcBorders>
              <w:top w:val="single" w:sz="4" w:space="0" w:color="auto"/>
            </w:tcBorders>
            <w:vAlign w:val="center"/>
          </w:tcPr>
          <w:p w14:paraId="7B754B75"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21</w:t>
            </w:r>
          </w:p>
        </w:tc>
        <w:tc>
          <w:tcPr>
            <w:tcW w:w="607" w:type="dxa"/>
            <w:tcBorders>
              <w:top w:val="single" w:sz="4" w:space="0" w:color="auto"/>
            </w:tcBorders>
            <w:vAlign w:val="center"/>
          </w:tcPr>
          <w:p w14:paraId="5DDCB0ED"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24</w:t>
            </w:r>
          </w:p>
        </w:tc>
        <w:tc>
          <w:tcPr>
            <w:tcW w:w="607" w:type="dxa"/>
            <w:tcBorders>
              <w:top w:val="single" w:sz="4" w:space="0" w:color="auto"/>
            </w:tcBorders>
            <w:vAlign w:val="center"/>
          </w:tcPr>
          <w:p w14:paraId="767C63D0"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07" w:type="dxa"/>
            <w:tcBorders>
              <w:top w:val="single" w:sz="4" w:space="0" w:color="auto"/>
            </w:tcBorders>
            <w:vAlign w:val="center"/>
          </w:tcPr>
          <w:p w14:paraId="1D0E1C19"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4.5</w:t>
            </w:r>
          </w:p>
        </w:tc>
        <w:tc>
          <w:tcPr>
            <w:tcW w:w="650" w:type="dxa"/>
            <w:tcBorders>
              <w:top w:val="single" w:sz="4" w:space="0" w:color="auto"/>
            </w:tcBorders>
            <w:vAlign w:val="center"/>
          </w:tcPr>
          <w:p w14:paraId="4158B689"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1018" w:type="dxa"/>
            <w:tcBorders>
              <w:top w:val="single" w:sz="4" w:space="0" w:color="auto"/>
            </w:tcBorders>
            <w:vAlign w:val="center"/>
          </w:tcPr>
          <w:p w14:paraId="035F7C3E"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992" w:type="dxa"/>
            <w:tcBorders>
              <w:top w:val="single" w:sz="4" w:space="0" w:color="auto"/>
            </w:tcBorders>
          </w:tcPr>
          <w:p w14:paraId="012DFB2B"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5C094D47"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Postoperative complications</w:t>
            </w:r>
          </w:p>
        </w:tc>
        <w:tc>
          <w:tcPr>
            <w:tcW w:w="1559" w:type="dxa"/>
            <w:tcBorders>
              <w:top w:val="single" w:sz="4" w:space="0" w:color="auto"/>
            </w:tcBorders>
            <w:vAlign w:val="center"/>
          </w:tcPr>
          <w:p w14:paraId="6BE68085" w14:textId="2DC6E00E" w:rsidR="00154C57" w:rsidRPr="003C6F52" w:rsidRDefault="00154C57" w:rsidP="00CB2DFE">
            <w:pPr>
              <w:spacing w:after="0" w:line="360" w:lineRule="auto"/>
              <w:jc w:val="both"/>
              <w:rPr>
                <w:rFonts w:ascii="Book Antiqua" w:eastAsia="MS Mincho" w:hAnsi="Book Antiqua" w:cs="Times New Roman"/>
                <w:color w:val="111111"/>
                <w:sz w:val="21"/>
                <w:szCs w:val="21"/>
                <w:lang w:eastAsia="de-DE"/>
              </w:rPr>
            </w:pPr>
            <w:r w:rsidRPr="003C6F52">
              <w:rPr>
                <w:rFonts w:ascii="Book Antiqua" w:eastAsia="MS Mincho" w:hAnsi="Book Antiqua" w:cs="Times New Roman"/>
                <w:color w:val="111111"/>
                <w:sz w:val="21"/>
                <w:szCs w:val="21"/>
                <w:lang w:eastAsia="de-DE"/>
              </w:rPr>
              <w:t>OR</w:t>
            </w:r>
            <w:r w:rsidR="008808CF">
              <w:rPr>
                <w:rFonts w:ascii="Book Antiqua" w:hAnsi="Book Antiqua" w:cs="Times New Roman" w:hint="eastAsia"/>
                <w:color w:val="111111"/>
                <w:sz w:val="21"/>
                <w:szCs w:val="21"/>
                <w:lang w:eastAsia="zh-CN"/>
              </w:rPr>
              <w:t xml:space="preserve"> </w:t>
            </w:r>
            <w:r w:rsidRPr="003C6F52">
              <w:rPr>
                <w:rFonts w:ascii="Book Antiqua" w:eastAsia="MS Mincho" w:hAnsi="Book Antiqua" w:cs="Times New Roman"/>
                <w:color w:val="111111"/>
                <w:sz w:val="21"/>
                <w:szCs w:val="21"/>
                <w:lang w:eastAsia="de-DE"/>
              </w:rPr>
              <w:t>=</w:t>
            </w:r>
            <w:r w:rsidR="008808CF">
              <w:rPr>
                <w:rFonts w:ascii="Book Antiqua" w:hAnsi="Book Antiqua" w:cs="Times New Roman" w:hint="eastAsia"/>
                <w:color w:val="111111"/>
                <w:sz w:val="21"/>
                <w:szCs w:val="21"/>
                <w:lang w:eastAsia="zh-CN"/>
              </w:rPr>
              <w:t xml:space="preserve"> </w:t>
            </w:r>
            <w:r w:rsidRPr="003C6F52">
              <w:rPr>
                <w:rFonts w:ascii="Book Antiqua" w:eastAsia="MS Mincho" w:hAnsi="Book Antiqua" w:cs="Times New Roman"/>
                <w:color w:val="111111"/>
                <w:sz w:val="21"/>
                <w:szCs w:val="21"/>
                <w:lang w:eastAsia="de-DE"/>
              </w:rPr>
              <w:t xml:space="preserve">43.3; CI: 2.74-685.2, </w:t>
            </w:r>
            <w:r w:rsidR="008808CF" w:rsidRPr="008808CF">
              <w:rPr>
                <w:rFonts w:ascii="Book Antiqua" w:eastAsia="MS Mincho" w:hAnsi="Book Antiqua" w:cs="Times New Roman"/>
                <w:i/>
                <w:color w:val="111111"/>
                <w:sz w:val="21"/>
                <w:szCs w:val="21"/>
                <w:lang w:eastAsia="de-DE"/>
              </w:rPr>
              <w:t>P</w:t>
            </w:r>
            <w:r w:rsidR="008808CF">
              <w:rPr>
                <w:rFonts w:ascii="Book Antiqua" w:hAnsi="Book Antiqua" w:cs="Times New Roman" w:hint="eastAsia"/>
                <w:color w:val="111111"/>
                <w:sz w:val="21"/>
                <w:szCs w:val="21"/>
                <w:lang w:eastAsia="zh-CN"/>
              </w:rPr>
              <w:t xml:space="preserve"> </w:t>
            </w:r>
            <w:r w:rsidRPr="003C6F52">
              <w:rPr>
                <w:rFonts w:ascii="Book Antiqua" w:eastAsia="MS Mincho" w:hAnsi="Book Antiqua" w:cs="Times New Roman"/>
                <w:color w:val="111111"/>
                <w:sz w:val="21"/>
                <w:szCs w:val="21"/>
                <w:lang w:eastAsia="de-DE"/>
              </w:rPr>
              <w:t>=</w:t>
            </w:r>
            <w:r w:rsidR="008808CF">
              <w:rPr>
                <w:rFonts w:ascii="Book Antiqua" w:hAnsi="Book Antiqua" w:cs="Times New Roman" w:hint="eastAsia"/>
                <w:color w:val="111111"/>
                <w:sz w:val="21"/>
                <w:szCs w:val="21"/>
                <w:lang w:eastAsia="zh-CN"/>
              </w:rPr>
              <w:t xml:space="preserve"> </w:t>
            </w:r>
            <w:r w:rsidRPr="003C6F52">
              <w:rPr>
                <w:rFonts w:ascii="Book Antiqua" w:eastAsia="MS Mincho" w:hAnsi="Book Antiqua" w:cs="Times New Roman"/>
                <w:color w:val="111111"/>
                <w:sz w:val="21"/>
                <w:szCs w:val="21"/>
                <w:lang w:eastAsia="de-DE"/>
              </w:rPr>
              <w:t>0.007</w:t>
            </w:r>
          </w:p>
        </w:tc>
      </w:tr>
      <w:tr w:rsidR="00154C57" w:rsidRPr="003C6F52" w14:paraId="178EC057" w14:textId="77777777" w:rsidTr="008808CF">
        <w:trPr>
          <w:cantSplit/>
          <w:trHeight w:hRule="exact" w:val="1134"/>
        </w:trPr>
        <w:tc>
          <w:tcPr>
            <w:tcW w:w="1418" w:type="dxa"/>
            <w:tcBorders>
              <w:top w:val="single" w:sz="4" w:space="0" w:color="auto"/>
            </w:tcBorders>
            <w:vAlign w:val="center"/>
          </w:tcPr>
          <w:p w14:paraId="3E41B1ED" w14:textId="26DCC504"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Huang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[30]</w:t>
            </w:r>
          </w:p>
        </w:tc>
        <w:tc>
          <w:tcPr>
            <w:tcW w:w="1134" w:type="dxa"/>
            <w:tcBorders>
              <w:top w:val="single" w:sz="4" w:space="0" w:color="auto"/>
            </w:tcBorders>
            <w:vAlign w:val="center"/>
          </w:tcPr>
          <w:p w14:paraId="7953A0AB" w14:textId="027C998D" w:rsidR="00154C57" w:rsidRPr="003C6F52"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China</w:t>
            </w:r>
          </w:p>
        </w:tc>
        <w:tc>
          <w:tcPr>
            <w:tcW w:w="567" w:type="dxa"/>
            <w:tcBorders>
              <w:top w:val="single" w:sz="4" w:space="0" w:color="auto"/>
            </w:tcBorders>
            <w:vAlign w:val="center"/>
          </w:tcPr>
          <w:p w14:paraId="1847BC94"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6</w:t>
            </w:r>
          </w:p>
        </w:tc>
        <w:tc>
          <w:tcPr>
            <w:tcW w:w="550" w:type="dxa"/>
            <w:tcBorders>
              <w:top w:val="single" w:sz="4" w:space="0" w:color="auto"/>
            </w:tcBorders>
          </w:tcPr>
          <w:p w14:paraId="131A485E"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72570660"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0F9C94FA"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050BF74B"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P</w:t>
            </w:r>
          </w:p>
        </w:tc>
        <w:tc>
          <w:tcPr>
            <w:tcW w:w="677" w:type="dxa"/>
            <w:tcBorders>
              <w:top w:val="single" w:sz="4" w:space="0" w:color="auto"/>
            </w:tcBorders>
            <w:vAlign w:val="center"/>
          </w:tcPr>
          <w:p w14:paraId="371A9BC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142</w:t>
            </w:r>
          </w:p>
        </w:tc>
        <w:tc>
          <w:tcPr>
            <w:tcW w:w="449" w:type="dxa"/>
            <w:tcBorders>
              <w:top w:val="single" w:sz="4" w:space="0" w:color="auto"/>
            </w:tcBorders>
            <w:vAlign w:val="center"/>
          </w:tcPr>
          <w:p w14:paraId="12D6656E"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62</w:t>
            </w:r>
          </w:p>
        </w:tc>
        <w:tc>
          <w:tcPr>
            <w:tcW w:w="524" w:type="dxa"/>
            <w:tcBorders>
              <w:top w:val="single" w:sz="4" w:space="0" w:color="auto"/>
            </w:tcBorders>
            <w:vAlign w:val="center"/>
          </w:tcPr>
          <w:p w14:paraId="45FDDB6B"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62</w:t>
            </w:r>
          </w:p>
        </w:tc>
        <w:tc>
          <w:tcPr>
            <w:tcW w:w="1425" w:type="dxa"/>
            <w:tcBorders>
              <w:top w:val="single" w:sz="4" w:space="0" w:color="auto"/>
            </w:tcBorders>
            <w:vAlign w:val="center"/>
          </w:tcPr>
          <w:p w14:paraId="36D76306"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Colorectal resection</w:t>
            </w:r>
          </w:p>
        </w:tc>
        <w:tc>
          <w:tcPr>
            <w:tcW w:w="1165" w:type="dxa"/>
            <w:tcBorders>
              <w:top w:val="single" w:sz="4" w:space="0" w:color="auto"/>
            </w:tcBorders>
            <w:vAlign w:val="center"/>
          </w:tcPr>
          <w:p w14:paraId="7FFEBE22"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 xml:space="preserve">L3 muscle index and gait speed and grip </w:t>
            </w:r>
            <w:proofErr w:type="spellStart"/>
            <w:r w:rsidRPr="003C6F52">
              <w:rPr>
                <w:rFonts w:ascii="Book Antiqua" w:eastAsia="Calibri" w:hAnsi="Book Antiqua" w:cs="Times New Roman"/>
                <w:kern w:val="2"/>
                <w:sz w:val="21"/>
                <w:szCs w:val="21"/>
              </w:rPr>
              <w:t>sttrength</w:t>
            </w:r>
            <w:proofErr w:type="spellEnd"/>
          </w:p>
        </w:tc>
        <w:tc>
          <w:tcPr>
            <w:tcW w:w="510" w:type="dxa"/>
            <w:tcBorders>
              <w:top w:val="single" w:sz="4" w:space="0" w:color="auto"/>
            </w:tcBorders>
            <w:vAlign w:val="center"/>
          </w:tcPr>
          <w:p w14:paraId="6AD12033"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28</w:t>
            </w:r>
          </w:p>
        </w:tc>
        <w:tc>
          <w:tcPr>
            <w:tcW w:w="607" w:type="dxa"/>
            <w:tcBorders>
              <w:top w:val="single" w:sz="4" w:space="0" w:color="auto"/>
            </w:tcBorders>
            <w:vAlign w:val="center"/>
          </w:tcPr>
          <w:p w14:paraId="73CD3C7C"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07" w:type="dxa"/>
            <w:tcBorders>
              <w:top w:val="single" w:sz="4" w:space="0" w:color="auto"/>
            </w:tcBorders>
            <w:vAlign w:val="center"/>
          </w:tcPr>
          <w:p w14:paraId="239659E9"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07" w:type="dxa"/>
            <w:tcBorders>
              <w:top w:val="single" w:sz="4" w:space="0" w:color="auto"/>
            </w:tcBorders>
            <w:vAlign w:val="center"/>
          </w:tcPr>
          <w:p w14:paraId="5A03F2AB"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650" w:type="dxa"/>
            <w:tcBorders>
              <w:top w:val="single" w:sz="4" w:space="0" w:color="auto"/>
            </w:tcBorders>
            <w:vAlign w:val="center"/>
          </w:tcPr>
          <w:p w14:paraId="64817EB5"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1018" w:type="dxa"/>
            <w:tcBorders>
              <w:top w:val="single" w:sz="4" w:space="0" w:color="auto"/>
            </w:tcBorders>
            <w:vAlign w:val="center"/>
          </w:tcPr>
          <w:p w14:paraId="56E6D7DE"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NR</w:t>
            </w:r>
          </w:p>
        </w:tc>
        <w:tc>
          <w:tcPr>
            <w:tcW w:w="992" w:type="dxa"/>
            <w:tcBorders>
              <w:top w:val="single" w:sz="4" w:space="0" w:color="auto"/>
            </w:tcBorders>
          </w:tcPr>
          <w:p w14:paraId="70F451FD"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67FA37CA"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053B3B58"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3C6F52">
              <w:rPr>
                <w:rFonts w:ascii="Book Antiqua" w:eastAsia="Calibri" w:hAnsi="Book Antiqua" w:cs="Times New Roman"/>
                <w:kern w:val="2"/>
                <w:sz w:val="21"/>
                <w:szCs w:val="21"/>
              </w:rPr>
              <w:t>Postoperative complications</w:t>
            </w:r>
          </w:p>
        </w:tc>
        <w:tc>
          <w:tcPr>
            <w:tcW w:w="1559" w:type="dxa"/>
            <w:tcBorders>
              <w:top w:val="single" w:sz="4" w:space="0" w:color="auto"/>
            </w:tcBorders>
            <w:vAlign w:val="center"/>
          </w:tcPr>
          <w:p w14:paraId="4C605537" w14:textId="69868FDD" w:rsidR="00154C57" w:rsidRPr="003C6F52" w:rsidRDefault="008808CF" w:rsidP="00CB2DFE">
            <w:pPr>
              <w:widowControl w:val="0"/>
              <w:autoSpaceDE w:val="0"/>
              <w:autoSpaceDN w:val="0"/>
              <w:adjustRightInd w:val="0"/>
              <w:spacing w:after="0" w:line="360" w:lineRule="auto"/>
              <w:jc w:val="both"/>
              <w:rPr>
                <w:rFonts w:ascii="Book Antiqua" w:eastAsiaTheme="minorHAnsi" w:hAnsi="Book Antiqua" w:cs="Times"/>
                <w:sz w:val="21"/>
                <w:szCs w:val="21"/>
                <w:lang w:val="de-DE"/>
              </w:rPr>
            </w:pPr>
            <w:r>
              <w:rPr>
                <w:rFonts w:ascii="Book Antiqua" w:eastAsiaTheme="minorHAnsi" w:hAnsi="Book Antiqua" w:cs="Times"/>
                <w:sz w:val="21"/>
                <w:szCs w:val="21"/>
                <w:lang w:val="de-DE"/>
              </w:rPr>
              <w:t>OR</w:t>
            </w:r>
            <w:r>
              <w:rPr>
                <w:rFonts w:ascii="Book Antiqua" w:hAnsi="Book Antiqua" w:cs="Times" w:hint="eastAsia"/>
                <w:sz w:val="21"/>
                <w:szCs w:val="21"/>
                <w:lang w:val="de-DE" w:eastAsia="zh-CN"/>
              </w:rPr>
              <w:t xml:space="preserve"> = </w:t>
            </w:r>
            <w:r>
              <w:rPr>
                <w:rFonts w:ascii="Book Antiqua" w:eastAsiaTheme="minorHAnsi" w:hAnsi="Book Antiqua" w:cs="Times"/>
                <w:sz w:val="21"/>
                <w:szCs w:val="21"/>
                <w:lang w:val="de-DE"/>
              </w:rPr>
              <w:t>4.524, 95%CI</w:t>
            </w:r>
            <w:r>
              <w:rPr>
                <w:rFonts w:ascii="Book Antiqua" w:hAnsi="Book Antiqua" w:cs="Times" w:hint="eastAsia"/>
                <w:sz w:val="21"/>
                <w:szCs w:val="21"/>
                <w:lang w:val="de-DE" w:eastAsia="zh-CN"/>
              </w:rPr>
              <w:t xml:space="preserve">: </w:t>
            </w:r>
            <w:r w:rsidR="00154C57" w:rsidRPr="003C6F52">
              <w:rPr>
                <w:rFonts w:ascii="Book Antiqua" w:eastAsiaTheme="minorHAnsi" w:hAnsi="Book Antiqua" w:cs="Times"/>
                <w:sz w:val="21"/>
                <w:szCs w:val="21"/>
                <w:lang w:val="de-DE"/>
              </w:rPr>
              <w:t xml:space="preserve">1.584-12.921, </w:t>
            </w:r>
            <w:r w:rsidR="00154C57" w:rsidRPr="003C6F52">
              <w:rPr>
                <w:rFonts w:ascii="Book Antiqua" w:eastAsiaTheme="minorHAnsi" w:hAnsi="Book Antiqua" w:cs="Times"/>
                <w:i/>
                <w:iCs/>
                <w:sz w:val="21"/>
                <w:szCs w:val="21"/>
                <w:lang w:val="de-DE"/>
              </w:rPr>
              <w:t xml:space="preserve">P </w:t>
            </w:r>
            <w:r w:rsidR="00154C57" w:rsidRPr="003C6F52">
              <w:rPr>
                <w:rFonts w:ascii="Book Antiqua" w:eastAsiaTheme="minorHAnsi" w:hAnsi="Book Antiqua" w:cs="Times"/>
                <w:sz w:val="21"/>
                <w:szCs w:val="21"/>
                <w:lang w:val="de-DE"/>
              </w:rPr>
              <w:t xml:space="preserve">= 0.007 </w:t>
            </w:r>
          </w:p>
          <w:p w14:paraId="26B20C4D" w14:textId="77777777" w:rsidR="00154C57" w:rsidRPr="003C6F52" w:rsidRDefault="00154C57" w:rsidP="00CB2DFE">
            <w:pPr>
              <w:spacing w:after="0" w:line="360" w:lineRule="auto"/>
              <w:jc w:val="both"/>
              <w:rPr>
                <w:rFonts w:ascii="Book Antiqua" w:eastAsia="MS Mincho" w:hAnsi="Book Antiqua" w:cs="Times New Roman"/>
                <w:color w:val="111111"/>
                <w:sz w:val="21"/>
                <w:szCs w:val="21"/>
                <w:lang w:eastAsia="de-DE"/>
              </w:rPr>
            </w:pPr>
          </w:p>
        </w:tc>
      </w:tr>
      <w:tr w:rsidR="00154C57" w:rsidRPr="003C6F52" w14:paraId="2C29D632" w14:textId="77777777" w:rsidTr="008808CF">
        <w:tc>
          <w:tcPr>
            <w:tcW w:w="14459" w:type="dxa"/>
            <w:gridSpan w:val="17"/>
            <w:tcBorders>
              <w:top w:val="single" w:sz="4" w:space="0" w:color="auto"/>
            </w:tcBorders>
            <w:vAlign w:val="center"/>
          </w:tcPr>
          <w:p w14:paraId="4A8C37DC" w14:textId="7E9C0AE4" w:rsidR="00B77A30" w:rsidRPr="003C6F52" w:rsidRDefault="008808CF" w:rsidP="00CB2DFE">
            <w:pPr>
              <w:widowControl w:val="0"/>
              <w:suppressAutoHyphens/>
              <w:spacing w:after="0" w:line="360" w:lineRule="auto"/>
              <w:jc w:val="both"/>
              <w:rPr>
                <w:rFonts w:ascii="Book Antiqua" w:hAnsi="Book Antiqua" w:cs="Times New Roman"/>
                <w:kern w:val="2"/>
                <w:sz w:val="21"/>
                <w:szCs w:val="21"/>
                <w:lang w:eastAsia="zh-CN"/>
              </w:rPr>
            </w:pPr>
            <w:r>
              <w:rPr>
                <w:rFonts w:ascii="Book Antiqua" w:hAnsi="Book Antiqua" w:cs="Times New Roman" w:hint="eastAsia"/>
                <w:kern w:val="2"/>
                <w:sz w:val="21"/>
                <w:szCs w:val="21"/>
                <w:vertAlign w:val="superscript"/>
                <w:lang w:eastAsia="zh-CN"/>
              </w:rPr>
              <w:t>1</w:t>
            </w:r>
            <w:r w:rsidRPr="003C6F52">
              <w:rPr>
                <w:rFonts w:ascii="Book Antiqua" w:eastAsia="Calibri" w:hAnsi="Book Antiqua" w:cs="Times New Roman"/>
                <w:kern w:val="2"/>
                <w:sz w:val="21"/>
                <w:szCs w:val="21"/>
              </w:rPr>
              <w:t>According to the Newcastle-Ottawa Scale ranging from 1 to 9 stars</w:t>
            </w:r>
            <w:r>
              <w:rPr>
                <w:rFonts w:ascii="Book Antiqua" w:hAnsi="Book Antiqua" w:cs="Times New Roman" w:hint="eastAsia"/>
                <w:kern w:val="2"/>
                <w:sz w:val="21"/>
                <w:szCs w:val="21"/>
                <w:lang w:eastAsia="zh-CN"/>
              </w:rPr>
              <w:t xml:space="preserve">. </w:t>
            </w:r>
            <w:r w:rsidR="00B77A30" w:rsidRPr="003C6F52">
              <w:rPr>
                <w:rFonts w:ascii="Book Antiqua" w:eastAsia="Calibri" w:hAnsi="Book Antiqua" w:cs="Times New Roman"/>
                <w:kern w:val="2"/>
                <w:sz w:val="21"/>
                <w:szCs w:val="21"/>
              </w:rPr>
              <w:t>Age, and OS are presented as median values unless indicated otherwise</w:t>
            </w:r>
            <w:r w:rsidR="00B77A30" w:rsidRPr="003C6F52">
              <w:rPr>
                <w:rFonts w:ascii="Book Antiqua" w:hAnsi="Book Antiqua" w:cs="Times New Roman"/>
                <w:kern w:val="2"/>
                <w:sz w:val="21"/>
                <w:szCs w:val="21"/>
                <w:lang w:eastAsia="zh-CN"/>
              </w:rPr>
              <w:t xml:space="preserve">. </w:t>
            </w:r>
            <w:r w:rsidR="00B77A30" w:rsidRPr="003C6F52">
              <w:rPr>
                <w:rFonts w:ascii="Book Antiqua" w:eastAsia="Calibri" w:hAnsi="Book Antiqua" w:cs="Times New Roman"/>
                <w:kern w:val="2"/>
                <w:sz w:val="21"/>
                <w:szCs w:val="21"/>
              </w:rPr>
              <w:t>NR</w:t>
            </w:r>
            <w:r w:rsidR="00B77A30" w:rsidRPr="003C6F52">
              <w:rPr>
                <w:rFonts w:ascii="Book Antiqua" w:hAnsi="Book Antiqua" w:cs="Times New Roman"/>
                <w:kern w:val="2"/>
                <w:sz w:val="21"/>
                <w:szCs w:val="21"/>
                <w:lang w:eastAsia="zh-CN"/>
              </w:rPr>
              <w:t>:</w:t>
            </w:r>
            <w:r w:rsidR="00B77A30" w:rsidRPr="003C6F52">
              <w:rPr>
                <w:rFonts w:ascii="Book Antiqua" w:eastAsia="Calibri" w:hAnsi="Book Antiqua" w:cs="Times New Roman"/>
                <w:kern w:val="2"/>
                <w:sz w:val="21"/>
                <w:szCs w:val="21"/>
              </w:rPr>
              <w:t xml:space="preserve"> Not reported</w:t>
            </w:r>
            <w:r w:rsidR="00B77A30" w:rsidRPr="003C6F52">
              <w:rPr>
                <w:rFonts w:ascii="Book Antiqua" w:hAnsi="Book Antiqua" w:cs="Times New Roman"/>
                <w:kern w:val="2"/>
                <w:sz w:val="21"/>
                <w:szCs w:val="21"/>
                <w:lang w:eastAsia="zh-CN"/>
              </w:rPr>
              <w:t>;</w:t>
            </w:r>
            <w:r w:rsidR="00B77A30" w:rsidRPr="003C6F52">
              <w:rPr>
                <w:rFonts w:ascii="Book Antiqua" w:eastAsia="Calibri" w:hAnsi="Book Antiqua" w:cs="Times New Roman"/>
                <w:kern w:val="2"/>
                <w:sz w:val="21"/>
                <w:szCs w:val="21"/>
              </w:rPr>
              <w:t xml:space="preserve"> OS</w:t>
            </w:r>
            <w:r w:rsidR="00B77A30" w:rsidRPr="003C6F52">
              <w:rPr>
                <w:rFonts w:ascii="Book Antiqua" w:hAnsi="Book Antiqua" w:cs="Times New Roman"/>
                <w:kern w:val="2"/>
                <w:sz w:val="21"/>
                <w:szCs w:val="21"/>
                <w:lang w:eastAsia="zh-CN"/>
              </w:rPr>
              <w:t>:</w:t>
            </w:r>
            <w:r w:rsidR="00B77A30" w:rsidRPr="003C6F52">
              <w:rPr>
                <w:rFonts w:ascii="Book Antiqua" w:eastAsia="Calibri" w:hAnsi="Book Antiqua" w:cs="Times New Roman"/>
                <w:kern w:val="2"/>
                <w:sz w:val="21"/>
                <w:szCs w:val="21"/>
              </w:rPr>
              <w:t xml:space="preserve"> Overall survival; OR</w:t>
            </w:r>
            <w:r w:rsidR="00B77A30" w:rsidRPr="003C6F52">
              <w:rPr>
                <w:rFonts w:ascii="Book Antiqua" w:hAnsi="Book Antiqua" w:cs="Times New Roman"/>
                <w:kern w:val="2"/>
                <w:sz w:val="21"/>
                <w:szCs w:val="21"/>
                <w:lang w:eastAsia="zh-CN"/>
              </w:rPr>
              <w:t>:</w:t>
            </w:r>
            <w:r w:rsidR="00B77A30" w:rsidRPr="003C6F52">
              <w:rPr>
                <w:rFonts w:ascii="Book Antiqua" w:eastAsia="Calibri" w:hAnsi="Book Antiqua" w:cs="Times New Roman"/>
                <w:kern w:val="2"/>
                <w:sz w:val="21"/>
                <w:szCs w:val="21"/>
              </w:rPr>
              <w:t xml:space="preserve"> Odds ratio; CI</w:t>
            </w:r>
            <w:r w:rsidR="00B77A30" w:rsidRPr="003C6F52">
              <w:rPr>
                <w:rFonts w:ascii="Book Antiqua" w:hAnsi="Book Antiqua" w:cs="Times New Roman"/>
                <w:kern w:val="2"/>
                <w:sz w:val="21"/>
                <w:szCs w:val="21"/>
                <w:lang w:eastAsia="zh-CN"/>
              </w:rPr>
              <w:t>:</w:t>
            </w:r>
            <w:r w:rsidR="00B77A30" w:rsidRPr="003C6F52">
              <w:rPr>
                <w:rFonts w:ascii="Book Antiqua" w:eastAsia="Calibri" w:hAnsi="Book Antiqua" w:cs="Times New Roman"/>
                <w:kern w:val="2"/>
                <w:sz w:val="21"/>
                <w:szCs w:val="21"/>
              </w:rPr>
              <w:t xml:space="preserve"> Confidence interval;</w:t>
            </w:r>
            <w:r w:rsidR="000A0F89">
              <w:rPr>
                <w:rFonts w:ascii="Book Antiqua" w:eastAsia="Calibri" w:hAnsi="Book Antiqua" w:cs="Times New Roman"/>
                <w:kern w:val="2"/>
                <w:sz w:val="21"/>
                <w:szCs w:val="21"/>
              </w:rPr>
              <w:t xml:space="preserve"> </w:t>
            </w:r>
            <w:r w:rsidR="00B77A30" w:rsidRPr="003C6F52">
              <w:rPr>
                <w:rFonts w:ascii="Book Antiqua" w:eastAsia="Calibri" w:hAnsi="Book Antiqua" w:cs="Times New Roman"/>
                <w:kern w:val="2"/>
                <w:sz w:val="21"/>
                <w:szCs w:val="21"/>
              </w:rPr>
              <w:t>P</w:t>
            </w:r>
            <w:r w:rsidR="00B77A30" w:rsidRPr="003C6F52">
              <w:rPr>
                <w:rFonts w:ascii="Book Antiqua" w:hAnsi="Book Antiqua" w:cs="Times New Roman"/>
                <w:kern w:val="2"/>
                <w:sz w:val="21"/>
                <w:szCs w:val="21"/>
                <w:lang w:eastAsia="zh-CN"/>
              </w:rPr>
              <w:t xml:space="preserve">: </w:t>
            </w:r>
            <w:r w:rsidR="00B77A30" w:rsidRPr="003C6F52">
              <w:rPr>
                <w:rFonts w:ascii="Book Antiqua" w:eastAsia="Calibri" w:hAnsi="Book Antiqua" w:cs="Times New Roman"/>
                <w:kern w:val="2"/>
                <w:sz w:val="21"/>
                <w:szCs w:val="21"/>
              </w:rPr>
              <w:t>Prospective trial; P/R</w:t>
            </w:r>
            <w:r w:rsidR="00B77A30" w:rsidRPr="003C6F52">
              <w:rPr>
                <w:rFonts w:ascii="Book Antiqua" w:hAnsi="Book Antiqua" w:cs="Times New Roman"/>
                <w:kern w:val="2"/>
                <w:sz w:val="21"/>
                <w:szCs w:val="21"/>
                <w:lang w:eastAsia="zh-CN"/>
              </w:rPr>
              <w:t xml:space="preserve">: </w:t>
            </w:r>
            <w:r w:rsidR="00B77A30" w:rsidRPr="003C6F52">
              <w:rPr>
                <w:rFonts w:ascii="Book Antiqua" w:eastAsia="Calibri" w:hAnsi="Book Antiqua" w:cs="Times New Roman"/>
                <w:kern w:val="2"/>
                <w:sz w:val="21"/>
                <w:szCs w:val="21"/>
              </w:rPr>
              <w:t>Retrospective analysis on prospectively collected data; R</w:t>
            </w:r>
            <w:r w:rsidR="00B77A30" w:rsidRPr="003C6F52">
              <w:rPr>
                <w:rFonts w:ascii="Book Antiqua" w:hAnsi="Book Antiqua" w:cs="Times New Roman"/>
                <w:kern w:val="2"/>
                <w:sz w:val="21"/>
                <w:szCs w:val="21"/>
                <w:lang w:eastAsia="zh-CN"/>
              </w:rPr>
              <w:t>:</w:t>
            </w:r>
            <w:r w:rsidR="00B77A30" w:rsidRPr="003C6F52">
              <w:rPr>
                <w:rFonts w:ascii="Book Antiqua" w:eastAsia="Calibri" w:hAnsi="Book Antiqua" w:cs="Times New Roman"/>
                <w:kern w:val="2"/>
                <w:sz w:val="21"/>
                <w:szCs w:val="21"/>
              </w:rPr>
              <w:t xml:space="preserve"> Retrospective trial; Countries abbreviations: NL</w:t>
            </w:r>
            <w:r w:rsidR="00B77A30" w:rsidRPr="003C6F52">
              <w:rPr>
                <w:rFonts w:ascii="Book Antiqua" w:hAnsi="Book Antiqua" w:cs="Times New Roman"/>
                <w:kern w:val="2"/>
                <w:sz w:val="21"/>
                <w:szCs w:val="21"/>
                <w:lang w:eastAsia="zh-CN"/>
              </w:rPr>
              <w:t>:</w:t>
            </w:r>
            <w:r w:rsidR="00B77A30" w:rsidRPr="003C6F52">
              <w:rPr>
                <w:rFonts w:ascii="Book Antiqua" w:eastAsia="Calibri" w:hAnsi="Book Antiqua" w:cs="Times New Roman"/>
                <w:kern w:val="2"/>
                <w:sz w:val="21"/>
                <w:szCs w:val="21"/>
              </w:rPr>
              <w:t xml:space="preserve"> Netherlands; US</w:t>
            </w:r>
            <w:r w:rsidR="00B77A30" w:rsidRPr="003C6F52">
              <w:rPr>
                <w:rFonts w:ascii="Book Antiqua" w:hAnsi="Book Antiqua" w:cs="Times New Roman"/>
                <w:kern w:val="2"/>
                <w:sz w:val="21"/>
                <w:szCs w:val="21"/>
                <w:lang w:eastAsia="zh-CN"/>
              </w:rPr>
              <w:t>:</w:t>
            </w:r>
            <w:r w:rsidR="00B77A30" w:rsidRPr="003C6F52">
              <w:rPr>
                <w:rFonts w:ascii="Book Antiqua" w:eastAsia="Calibri" w:hAnsi="Book Antiqua" w:cs="Times New Roman"/>
                <w:kern w:val="2"/>
                <w:sz w:val="21"/>
                <w:szCs w:val="21"/>
              </w:rPr>
              <w:t xml:space="preserve"> United States of America; UK</w:t>
            </w:r>
            <w:r w:rsidR="00B77A30" w:rsidRPr="003C6F52">
              <w:rPr>
                <w:rFonts w:ascii="Book Antiqua" w:hAnsi="Book Antiqua" w:cs="Times New Roman"/>
                <w:kern w:val="2"/>
                <w:sz w:val="21"/>
                <w:szCs w:val="21"/>
                <w:lang w:eastAsia="zh-CN"/>
              </w:rPr>
              <w:t>:</w:t>
            </w:r>
            <w:r w:rsidR="00B77A30" w:rsidRPr="003C6F52">
              <w:rPr>
                <w:rFonts w:ascii="Book Antiqua" w:eastAsia="Calibri" w:hAnsi="Book Antiqua" w:cs="Times New Roman"/>
                <w:kern w:val="2"/>
                <w:sz w:val="21"/>
                <w:szCs w:val="21"/>
              </w:rPr>
              <w:t xml:space="preserve"> United Kingdom; CH</w:t>
            </w:r>
            <w:r w:rsidR="00B77A30" w:rsidRPr="003C6F52">
              <w:rPr>
                <w:rFonts w:ascii="Book Antiqua" w:hAnsi="Book Antiqua" w:cs="Times New Roman"/>
                <w:kern w:val="2"/>
                <w:sz w:val="21"/>
                <w:szCs w:val="21"/>
                <w:lang w:eastAsia="zh-CN"/>
              </w:rPr>
              <w:t>:</w:t>
            </w:r>
            <w:r w:rsidR="00B77A30" w:rsidRPr="003C6F52">
              <w:rPr>
                <w:rFonts w:ascii="Book Antiqua" w:eastAsia="Calibri" w:hAnsi="Book Antiqua" w:cs="Times New Roman"/>
                <w:kern w:val="2"/>
                <w:sz w:val="21"/>
                <w:szCs w:val="21"/>
              </w:rPr>
              <w:t xml:space="preserve"> China; CA</w:t>
            </w:r>
            <w:r w:rsidR="00B77A30" w:rsidRPr="003C6F52">
              <w:rPr>
                <w:rFonts w:ascii="Book Antiqua" w:hAnsi="Book Antiqua" w:cs="Times New Roman"/>
                <w:kern w:val="2"/>
                <w:sz w:val="21"/>
                <w:szCs w:val="21"/>
                <w:lang w:eastAsia="zh-CN"/>
              </w:rPr>
              <w:t>:</w:t>
            </w:r>
            <w:r w:rsidR="00B77A30" w:rsidRPr="003C6F52">
              <w:rPr>
                <w:rFonts w:ascii="Book Antiqua" w:eastAsia="Calibri" w:hAnsi="Book Antiqua" w:cs="Times New Roman"/>
                <w:kern w:val="2"/>
                <w:sz w:val="21"/>
                <w:szCs w:val="21"/>
              </w:rPr>
              <w:t xml:space="preserve"> Canada</w:t>
            </w:r>
            <w:r w:rsidR="00B77A30" w:rsidRPr="003C6F52">
              <w:rPr>
                <w:rFonts w:ascii="Book Antiqua" w:hAnsi="Book Antiqua" w:cs="Times New Roman"/>
                <w:kern w:val="2"/>
                <w:sz w:val="21"/>
                <w:szCs w:val="21"/>
                <w:lang w:eastAsia="zh-CN"/>
              </w:rPr>
              <w:t>.</w:t>
            </w:r>
          </w:p>
          <w:p w14:paraId="2B8C1CEA"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93E04A4"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1B44D3EF"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55A81491" w14:textId="77777777" w:rsidR="00154C57" w:rsidRPr="003C6F52" w:rsidRDefault="00154C57" w:rsidP="00CB2DFE">
            <w:pPr>
              <w:widowControl w:val="0"/>
              <w:suppressAutoHyphens/>
              <w:spacing w:after="0" w:line="360" w:lineRule="auto"/>
              <w:jc w:val="both"/>
              <w:rPr>
                <w:rFonts w:ascii="Book Antiqua" w:eastAsia="Calibri" w:hAnsi="Book Antiqua" w:cs="Times New Roman"/>
                <w:kern w:val="2"/>
                <w:sz w:val="21"/>
                <w:szCs w:val="21"/>
              </w:rPr>
            </w:pPr>
          </w:p>
        </w:tc>
      </w:tr>
    </w:tbl>
    <w:p w14:paraId="7EFEF997" w14:textId="77777777" w:rsidR="00154C57" w:rsidRPr="00B77A30" w:rsidRDefault="00154C57" w:rsidP="00CB2DFE">
      <w:pPr>
        <w:widowControl w:val="0"/>
        <w:suppressAutoHyphens/>
        <w:spacing w:after="0" w:line="360" w:lineRule="auto"/>
        <w:jc w:val="both"/>
        <w:rPr>
          <w:rFonts w:ascii="Book Antiqua" w:eastAsia="Calibri" w:hAnsi="Book Antiqua" w:cs="Times New Roman"/>
          <w:b/>
          <w:kern w:val="2"/>
          <w:sz w:val="24"/>
          <w:szCs w:val="24"/>
        </w:rPr>
        <w:sectPr w:rsidR="00154C57" w:rsidRPr="00B77A30" w:rsidSect="005473F3">
          <w:pgSz w:w="15840" w:h="12240" w:orient="landscape"/>
          <w:pgMar w:top="1440" w:right="1440" w:bottom="1440" w:left="1440" w:header="0" w:footer="720" w:gutter="0"/>
          <w:cols w:space="720"/>
          <w:docGrid w:linePitch="360"/>
        </w:sectPr>
      </w:pPr>
    </w:p>
    <w:tbl>
      <w:tblPr>
        <w:tblW w:w="14434" w:type="dxa"/>
        <w:tblInd w:w="-1168" w:type="dxa"/>
        <w:tblLayout w:type="fixed"/>
        <w:tblLook w:val="04A0" w:firstRow="1" w:lastRow="0" w:firstColumn="1" w:lastColumn="0" w:noHBand="0" w:noVBand="1"/>
      </w:tblPr>
      <w:tblGrid>
        <w:gridCol w:w="14434"/>
      </w:tblGrid>
      <w:tr w:rsidR="00154C57" w:rsidRPr="00B77A30" w14:paraId="1182C4B9" w14:textId="77777777" w:rsidTr="00CB2DFE">
        <w:tc>
          <w:tcPr>
            <w:tcW w:w="14434" w:type="dxa"/>
            <w:vAlign w:val="center"/>
          </w:tcPr>
          <w:p w14:paraId="6FC8A5DE" w14:textId="7B79DD87" w:rsidR="00154C57" w:rsidRPr="00B77A30" w:rsidRDefault="00B77A30" w:rsidP="00CB2DFE">
            <w:pPr>
              <w:widowControl w:val="0"/>
              <w:suppressAutoHyphens/>
              <w:spacing w:after="0" w:line="360" w:lineRule="auto"/>
              <w:jc w:val="both"/>
              <w:rPr>
                <w:rFonts w:ascii="Book Antiqua" w:eastAsia="Calibri" w:hAnsi="Book Antiqua" w:cs="Times New Roman"/>
                <w:b/>
                <w:kern w:val="2"/>
                <w:sz w:val="24"/>
                <w:szCs w:val="24"/>
              </w:rPr>
            </w:pPr>
            <w:r>
              <w:rPr>
                <w:rFonts w:ascii="Book Antiqua" w:eastAsia="Calibri" w:hAnsi="Book Antiqua" w:cs="Times New Roman"/>
                <w:b/>
                <w:kern w:val="2"/>
                <w:sz w:val="24"/>
                <w:szCs w:val="24"/>
              </w:rPr>
              <w:lastRenderedPageBreak/>
              <w:t xml:space="preserve">Table </w:t>
            </w:r>
            <w:r>
              <w:rPr>
                <w:rFonts w:ascii="Book Antiqua" w:hAnsi="Book Antiqua" w:cs="Times New Roman" w:hint="eastAsia"/>
                <w:b/>
                <w:kern w:val="2"/>
                <w:sz w:val="24"/>
                <w:szCs w:val="24"/>
                <w:lang w:eastAsia="zh-CN"/>
              </w:rPr>
              <w:t xml:space="preserve">3 </w:t>
            </w:r>
            <w:r w:rsidR="00154C57" w:rsidRPr="00B77A30">
              <w:rPr>
                <w:rFonts w:ascii="Book Antiqua" w:eastAsia="Calibri" w:hAnsi="Book Antiqua" w:cs="Times New Roman"/>
                <w:b/>
                <w:kern w:val="2"/>
                <w:sz w:val="24"/>
                <w:szCs w:val="24"/>
              </w:rPr>
              <w:t xml:space="preserve">Complies the characteristics of all trials which evaluated frailty in patients undergoing </w:t>
            </w:r>
            <w:proofErr w:type="spellStart"/>
            <w:r w:rsidR="00154C57" w:rsidRPr="00B77A30">
              <w:rPr>
                <w:rFonts w:ascii="Book Antiqua" w:eastAsia="Calibri" w:hAnsi="Book Antiqua" w:cs="Times New Roman"/>
                <w:b/>
                <w:kern w:val="2"/>
                <w:sz w:val="24"/>
                <w:szCs w:val="24"/>
              </w:rPr>
              <w:t>hepato</w:t>
            </w:r>
            <w:proofErr w:type="spellEnd"/>
            <w:r w:rsidR="00763B72">
              <w:rPr>
                <w:rFonts w:ascii="Book Antiqua" w:eastAsia="Calibri" w:hAnsi="Book Antiqua" w:cs="Times New Roman"/>
                <w:b/>
                <w:kern w:val="2"/>
                <w:sz w:val="24"/>
                <w:szCs w:val="24"/>
              </w:rPr>
              <w:t>-</w:t>
            </w:r>
            <w:proofErr w:type="spellStart"/>
            <w:r w:rsidR="00154C57" w:rsidRPr="00B77A30">
              <w:rPr>
                <w:rFonts w:ascii="Book Antiqua" w:eastAsia="Calibri" w:hAnsi="Book Antiqua" w:cs="Times New Roman"/>
                <w:b/>
                <w:kern w:val="2"/>
                <w:sz w:val="24"/>
                <w:szCs w:val="24"/>
              </w:rPr>
              <w:t>pancreatico</w:t>
            </w:r>
            <w:proofErr w:type="spellEnd"/>
            <w:r w:rsidR="00763B72">
              <w:rPr>
                <w:rFonts w:ascii="Book Antiqua" w:eastAsia="Calibri" w:hAnsi="Book Antiqua" w:cs="Times New Roman"/>
                <w:b/>
                <w:kern w:val="2"/>
                <w:sz w:val="24"/>
                <w:szCs w:val="24"/>
              </w:rPr>
              <w:t>-</w:t>
            </w:r>
            <w:r w:rsidR="00154C57" w:rsidRPr="00B77A30">
              <w:rPr>
                <w:rFonts w:ascii="Book Antiqua" w:eastAsia="Calibri" w:hAnsi="Book Antiqua" w:cs="Times New Roman"/>
                <w:b/>
                <w:kern w:val="2"/>
                <w:sz w:val="24"/>
                <w:szCs w:val="24"/>
              </w:rPr>
              <w:t>biliary resections</w:t>
            </w:r>
          </w:p>
          <w:tbl>
            <w:tblPr>
              <w:tblW w:w="14210" w:type="dxa"/>
              <w:tblLayout w:type="fixed"/>
              <w:tblLook w:val="04A0" w:firstRow="1" w:lastRow="0" w:firstColumn="1" w:lastColumn="0" w:noHBand="0" w:noVBand="1"/>
            </w:tblPr>
            <w:tblGrid>
              <w:gridCol w:w="742"/>
              <w:gridCol w:w="568"/>
              <w:gridCol w:w="709"/>
              <w:gridCol w:w="567"/>
              <w:gridCol w:w="708"/>
              <w:gridCol w:w="568"/>
              <w:gridCol w:w="709"/>
              <w:gridCol w:w="1258"/>
              <w:gridCol w:w="1434"/>
              <w:gridCol w:w="837"/>
              <w:gridCol w:w="545"/>
              <w:gridCol w:w="633"/>
              <w:gridCol w:w="633"/>
              <w:gridCol w:w="529"/>
              <w:gridCol w:w="1218"/>
              <w:gridCol w:w="851"/>
              <w:gridCol w:w="1701"/>
            </w:tblGrid>
            <w:tr w:rsidR="00095057" w:rsidRPr="00CC6846" w14:paraId="0F5B12F7" w14:textId="77777777" w:rsidTr="00095057">
              <w:trPr>
                <w:cantSplit/>
                <w:trHeight w:val="1457"/>
              </w:trPr>
              <w:tc>
                <w:tcPr>
                  <w:tcW w:w="742" w:type="dxa"/>
                  <w:tcBorders>
                    <w:top w:val="single" w:sz="4" w:space="0" w:color="auto"/>
                  </w:tcBorders>
                  <w:vAlign w:val="center"/>
                </w:tcPr>
                <w:p w14:paraId="7F9024EA"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Study</w:t>
                  </w:r>
                </w:p>
              </w:tc>
              <w:tc>
                <w:tcPr>
                  <w:tcW w:w="568" w:type="dxa"/>
                  <w:tcBorders>
                    <w:top w:val="single" w:sz="4" w:space="0" w:color="auto"/>
                  </w:tcBorders>
                  <w:vAlign w:val="center"/>
                </w:tcPr>
                <w:p w14:paraId="57E51B2B"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Country</w:t>
                  </w:r>
                </w:p>
              </w:tc>
              <w:tc>
                <w:tcPr>
                  <w:tcW w:w="709" w:type="dxa"/>
                  <w:tcBorders>
                    <w:top w:val="single" w:sz="4" w:space="0" w:color="auto"/>
                  </w:tcBorders>
                  <w:vAlign w:val="center"/>
                </w:tcPr>
                <w:p w14:paraId="0B502BB2" w14:textId="16DF91F0" w:rsidR="00154C57" w:rsidRPr="008808CF" w:rsidRDefault="00154C57" w:rsidP="00CB2DFE">
                  <w:pPr>
                    <w:widowControl w:val="0"/>
                    <w:suppressAutoHyphens/>
                    <w:spacing w:after="0" w:line="360" w:lineRule="auto"/>
                    <w:jc w:val="both"/>
                    <w:rPr>
                      <w:rFonts w:ascii="Book Antiqua" w:hAnsi="Book Antiqua" w:cs="Times New Roman"/>
                      <w:kern w:val="2"/>
                      <w:sz w:val="21"/>
                      <w:szCs w:val="21"/>
                      <w:lang w:eastAsia="zh-CN"/>
                    </w:rPr>
                  </w:pPr>
                  <w:r w:rsidRPr="00CC6846">
                    <w:rPr>
                      <w:rFonts w:ascii="Book Antiqua" w:eastAsia="Calibri" w:hAnsi="Book Antiqua" w:cs="Times New Roman"/>
                      <w:kern w:val="2"/>
                      <w:sz w:val="21"/>
                      <w:szCs w:val="21"/>
                    </w:rPr>
                    <w:t>Quality score</w:t>
                  </w:r>
                  <w:r w:rsidR="008808CF">
                    <w:rPr>
                      <w:rFonts w:ascii="Book Antiqua" w:hAnsi="Book Antiqua" w:cs="Times New Roman" w:hint="eastAsia"/>
                      <w:kern w:val="2"/>
                      <w:sz w:val="21"/>
                      <w:szCs w:val="21"/>
                      <w:vertAlign w:val="superscript"/>
                      <w:lang w:eastAsia="zh-CN"/>
                    </w:rPr>
                    <w:t>1</w:t>
                  </w:r>
                </w:p>
              </w:tc>
              <w:tc>
                <w:tcPr>
                  <w:tcW w:w="567" w:type="dxa"/>
                  <w:tcBorders>
                    <w:top w:val="single" w:sz="4" w:space="0" w:color="auto"/>
                  </w:tcBorders>
                </w:tcPr>
                <w:p w14:paraId="1DA914C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Study design</w:t>
                  </w:r>
                </w:p>
              </w:tc>
              <w:tc>
                <w:tcPr>
                  <w:tcW w:w="708" w:type="dxa"/>
                  <w:tcBorders>
                    <w:top w:val="single" w:sz="4" w:space="0" w:color="auto"/>
                  </w:tcBorders>
                  <w:vAlign w:val="center"/>
                </w:tcPr>
                <w:p w14:paraId="7A8F945F"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Sample size</w:t>
                  </w:r>
                </w:p>
              </w:tc>
              <w:tc>
                <w:tcPr>
                  <w:tcW w:w="568" w:type="dxa"/>
                  <w:tcBorders>
                    <w:top w:val="single" w:sz="4" w:space="0" w:color="auto"/>
                  </w:tcBorders>
                  <w:vAlign w:val="center"/>
                </w:tcPr>
                <w:p w14:paraId="713BFE8A" w14:textId="04F5096A"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Age (</w:t>
                  </w:r>
                  <w:proofErr w:type="spellStart"/>
                  <w:r w:rsidRPr="00CC6846">
                    <w:rPr>
                      <w:rFonts w:ascii="Book Antiqua" w:eastAsia="Calibri" w:hAnsi="Book Antiqua" w:cs="Times New Roman"/>
                      <w:kern w:val="2"/>
                      <w:sz w:val="21"/>
                      <w:szCs w:val="21"/>
                    </w:rPr>
                    <w:t>y</w:t>
                  </w:r>
                  <w:r w:rsidR="00095057">
                    <w:rPr>
                      <w:rFonts w:ascii="Book Antiqua" w:eastAsia="Calibri" w:hAnsi="Book Antiqua" w:cs="Times New Roman"/>
                      <w:kern w:val="2"/>
                      <w:sz w:val="21"/>
                      <w:szCs w:val="21"/>
                    </w:rPr>
                    <w:t>r</w:t>
                  </w:r>
                  <w:proofErr w:type="spellEnd"/>
                  <w:r w:rsidRPr="00CC6846">
                    <w:rPr>
                      <w:rFonts w:ascii="Book Antiqua" w:eastAsia="Calibri" w:hAnsi="Book Antiqua" w:cs="Times New Roman"/>
                      <w:kern w:val="2"/>
                      <w:sz w:val="21"/>
                      <w:szCs w:val="21"/>
                    </w:rPr>
                    <w:t>)</w:t>
                  </w:r>
                </w:p>
              </w:tc>
              <w:tc>
                <w:tcPr>
                  <w:tcW w:w="709" w:type="dxa"/>
                  <w:tcBorders>
                    <w:top w:val="single" w:sz="4" w:space="0" w:color="auto"/>
                  </w:tcBorders>
                  <w:vAlign w:val="center"/>
                </w:tcPr>
                <w:p w14:paraId="25A0E20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Male sex (%)</w:t>
                  </w:r>
                </w:p>
              </w:tc>
              <w:tc>
                <w:tcPr>
                  <w:tcW w:w="1258" w:type="dxa"/>
                  <w:tcBorders>
                    <w:top w:val="single" w:sz="4" w:space="0" w:color="auto"/>
                  </w:tcBorders>
                  <w:vAlign w:val="center"/>
                </w:tcPr>
                <w:p w14:paraId="280CF88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Surgery </w:t>
                  </w:r>
                </w:p>
                <w:p w14:paraId="14A7D4F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type </w:t>
                  </w:r>
                </w:p>
              </w:tc>
              <w:tc>
                <w:tcPr>
                  <w:tcW w:w="1434" w:type="dxa"/>
                  <w:tcBorders>
                    <w:top w:val="single" w:sz="4" w:space="0" w:color="auto"/>
                  </w:tcBorders>
                  <w:vAlign w:val="center"/>
                </w:tcPr>
                <w:p w14:paraId="05A129B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Parameter used to define frailty</w:t>
                  </w:r>
                </w:p>
              </w:tc>
              <w:tc>
                <w:tcPr>
                  <w:tcW w:w="837" w:type="dxa"/>
                  <w:tcBorders>
                    <w:top w:val="single" w:sz="4" w:space="0" w:color="auto"/>
                  </w:tcBorders>
                  <w:vAlign w:val="center"/>
                </w:tcPr>
                <w:p w14:paraId="12C96D14"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Postoperative complication rate </w:t>
                  </w:r>
                </w:p>
              </w:tc>
              <w:tc>
                <w:tcPr>
                  <w:tcW w:w="545" w:type="dxa"/>
                  <w:tcBorders>
                    <w:top w:val="single" w:sz="4" w:space="0" w:color="auto"/>
                  </w:tcBorders>
                  <w:vAlign w:val="center"/>
                </w:tcPr>
                <w:p w14:paraId="546A62D1"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Follow-up </w:t>
                  </w:r>
                </w:p>
                <w:p w14:paraId="105DE1D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(months)</w:t>
                  </w:r>
                </w:p>
              </w:tc>
              <w:tc>
                <w:tcPr>
                  <w:tcW w:w="633" w:type="dxa"/>
                  <w:tcBorders>
                    <w:top w:val="single" w:sz="4" w:space="0" w:color="auto"/>
                  </w:tcBorders>
                  <w:vAlign w:val="center"/>
                </w:tcPr>
                <w:p w14:paraId="7CAEB160" w14:textId="3C3A78E5"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30-d </w:t>
                  </w:r>
                </w:p>
                <w:p w14:paraId="54D7A4C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Morbidity (%)</w:t>
                  </w:r>
                </w:p>
              </w:tc>
              <w:tc>
                <w:tcPr>
                  <w:tcW w:w="633" w:type="dxa"/>
                  <w:tcBorders>
                    <w:top w:val="single" w:sz="4" w:space="0" w:color="auto"/>
                  </w:tcBorders>
                  <w:vAlign w:val="center"/>
                </w:tcPr>
                <w:p w14:paraId="6FD8B477" w14:textId="36497C83"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30-d </w:t>
                  </w:r>
                </w:p>
                <w:p w14:paraId="67901B1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Mortality (%)</w:t>
                  </w:r>
                </w:p>
              </w:tc>
              <w:tc>
                <w:tcPr>
                  <w:tcW w:w="529" w:type="dxa"/>
                  <w:tcBorders>
                    <w:top w:val="single" w:sz="4" w:space="0" w:color="auto"/>
                  </w:tcBorders>
                  <w:vAlign w:val="center"/>
                </w:tcPr>
                <w:p w14:paraId="1E6BFD86" w14:textId="5BE69946"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1 </w:t>
                  </w:r>
                  <w:proofErr w:type="spellStart"/>
                  <w:r w:rsidRPr="00CC6846">
                    <w:rPr>
                      <w:rFonts w:ascii="Book Antiqua" w:eastAsia="Calibri" w:hAnsi="Book Antiqua" w:cs="Times New Roman"/>
                      <w:kern w:val="2"/>
                      <w:sz w:val="21"/>
                      <w:szCs w:val="21"/>
                    </w:rPr>
                    <w:t>yr</w:t>
                  </w:r>
                  <w:proofErr w:type="spellEnd"/>
                  <w:r w:rsidRPr="00CC6846">
                    <w:rPr>
                      <w:rFonts w:ascii="Book Antiqua" w:eastAsia="Calibri" w:hAnsi="Book Antiqua" w:cs="Times New Roman"/>
                      <w:kern w:val="2"/>
                      <w:sz w:val="21"/>
                      <w:szCs w:val="21"/>
                    </w:rPr>
                    <w:t xml:space="preserve"> OS (%)</w:t>
                  </w:r>
                </w:p>
                <w:p w14:paraId="2FE9D20D"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tc>
              <w:tc>
                <w:tcPr>
                  <w:tcW w:w="1218" w:type="dxa"/>
                  <w:tcBorders>
                    <w:top w:val="single" w:sz="4" w:space="0" w:color="auto"/>
                  </w:tcBorders>
                  <w:vAlign w:val="center"/>
                </w:tcPr>
                <w:p w14:paraId="382C046E" w14:textId="79B52B42"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5-y</w:t>
                  </w:r>
                  <w:r w:rsidR="00095057">
                    <w:rPr>
                      <w:rFonts w:ascii="Book Antiqua" w:hAnsi="Book Antiqua" w:cs="Times New Roman" w:hint="eastAsia"/>
                      <w:kern w:val="2"/>
                      <w:sz w:val="21"/>
                      <w:szCs w:val="21"/>
                      <w:lang w:eastAsia="zh-CN"/>
                    </w:rPr>
                    <w:t xml:space="preserve">r </w:t>
                  </w:r>
                  <w:r w:rsidRPr="00CC6846">
                    <w:rPr>
                      <w:rFonts w:ascii="Book Antiqua" w:eastAsia="Calibri" w:hAnsi="Book Antiqua" w:cs="Times New Roman"/>
                      <w:kern w:val="2"/>
                      <w:sz w:val="21"/>
                      <w:szCs w:val="21"/>
                    </w:rPr>
                    <w:t>OS (%)</w:t>
                  </w:r>
                </w:p>
              </w:tc>
              <w:tc>
                <w:tcPr>
                  <w:tcW w:w="851" w:type="dxa"/>
                  <w:tcBorders>
                    <w:top w:val="single" w:sz="4" w:space="0" w:color="auto"/>
                  </w:tcBorders>
                </w:tcPr>
                <w:p w14:paraId="0BB2C349"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Outcome parameter</w:t>
                  </w:r>
                </w:p>
              </w:tc>
              <w:tc>
                <w:tcPr>
                  <w:tcW w:w="1701" w:type="dxa"/>
                  <w:tcBorders>
                    <w:top w:val="single" w:sz="4" w:space="0" w:color="auto"/>
                  </w:tcBorders>
                  <w:vAlign w:val="center"/>
                </w:tcPr>
                <w:p w14:paraId="63FA7A6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frailty /Outcome (OR)</w:t>
                  </w:r>
                </w:p>
                <w:p w14:paraId="1B365B59"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tc>
            </w:tr>
            <w:tr w:rsidR="00095057" w:rsidRPr="00CC6846" w14:paraId="0B6CFC03" w14:textId="77777777" w:rsidTr="00CB2DFE">
              <w:trPr>
                <w:cantSplit/>
                <w:trHeight w:hRule="exact" w:val="1634"/>
              </w:trPr>
              <w:tc>
                <w:tcPr>
                  <w:tcW w:w="742" w:type="dxa"/>
                  <w:tcBorders>
                    <w:top w:val="single" w:sz="4" w:space="0" w:color="auto"/>
                  </w:tcBorders>
                  <w:vAlign w:val="center"/>
                </w:tcPr>
                <w:p w14:paraId="33F358F6" w14:textId="62A91B94"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CC6846">
                    <w:rPr>
                      <w:rFonts w:ascii="Book Antiqua" w:eastAsia="Calibri" w:hAnsi="Book Antiqua" w:cs="Times New Roman"/>
                      <w:kern w:val="2"/>
                      <w:sz w:val="21"/>
                      <w:szCs w:val="21"/>
                    </w:rPr>
                    <w:t>Harimoto</w:t>
                  </w:r>
                  <w:proofErr w:type="spellEnd"/>
                  <w:r w:rsidRPr="00CC6846">
                    <w:rPr>
                      <w:rFonts w:ascii="Book Antiqua" w:eastAsia="Calibri" w:hAnsi="Book Antiqua" w:cs="Times New Roman"/>
                      <w:kern w:val="2"/>
                      <w:sz w:val="21"/>
                      <w:szCs w:val="21"/>
                    </w:rPr>
                    <w:t xml:space="preserve">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[40]</w:t>
                  </w:r>
                </w:p>
              </w:tc>
              <w:tc>
                <w:tcPr>
                  <w:tcW w:w="568" w:type="dxa"/>
                  <w:tcBorders>
                    <w:top w:val="single" w:sz="4" w:space="0" w:color="auto"/>
                  </w:tcBorders>
                  <w:vAlign w:val="center"/>
                </w:tcPr>
                <w:p w14:paraId="19A896EF" w14:textId="3CE11068" w:rsidR="00154C57" w:rsidRPr="00CC6846"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Japanese</w:t>
                  </w:r>
                </w:p>
              </w:tc>
              <w:tc>
                <w:tcPr>
                  <w:tcW w:w="709" w:type="dxa"/>
                  <w:tcBorders>
                    <w:top w:val="single" w:sz="4" w:space="0" w:color="auto"/>
                  </w:tcBorders>
                  <w:vAlign w:val="center"/>
                </w:tcPr>
                <w:p w14:paraId="73B2FFD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hAnsi="Book Antiqua" w:cs="Times New Roman"/>
                      <w:kern w:val="2"/>
                      <w:sz w:val="21"/>
                      <w:szCs w:val="21"/>
                      <w:lang w:eastAsia="zh-CN"/>
                    </w:rPr>
                    <w:t>6</w:t>
                  </w:r>
                </w:p>
              </w:tc>
              <w:tc>
                <w:tcPr>
                  <w:tcW w:w="567" w:type="dxa"/>
                  <w:tcBorders>
                    <w:top w:val="single" w:sz="4" w:space="0" w:color="auto"/>
                  </w:tcBorders>
                </w:tcPr>
                <w:p w14:paraId="350D39EA"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57738E0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071BF84A"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R</w:t>
                  </w:r>
                </w:p>
              </w:tc>
              <w:tc>
                <w:tcPr>
                  <w:tcW w:w="708" w:type="dxa"/>
                  <w:tcBorders>
                    <w:top w:val="single" w:sz="4" w:space="0" w:color="auto"/>
                  </w:tcBorders>
                  <w:vAlign w:val="center"/>
                </w:tcPr>
                <w:p w14:paraId="5710D14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186</w:t>
                  </w:r>
                </w:p>
              </w:tc>
              <w:tc>
                <w:tcPr>
                  <w:tcW w:w="568" w:type="dxa"/>
                  <w:tcBorders>
                    <w:top w:val="single" w:sz="4" w:space="0" w:color="auto"/>
                  </w:tcBorders>
                  <w:vAlign w:val="center"/>
                </w:tcPr>
                <w:p w14:paraId="3B39529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67</w:t>
                  </w:r>
                </w:p>
              </w:tc>
              <w:tc>
                <w:tcPr>
                  <w:tcW w:w="709" w:type="dxa"/>
                  <w:tcBorders>
                    <w:top w:val="single" w:sz="4" w:space="0" w:color="auto"/>
                  </w:tcBorders>
                  <w:vAlign w:val="center"/>
                </w:tcPr>
                <w:p w14:paraId="2121E40A"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40</w:t>
                  </w:r>
                </w:p>
              </w:tc>
              <w:tc>
                <w:tcPr>
                  <w:tcW w:w="1258" w:type="dxa"/>
                  <w:tcBorders>
                    <w:top w:val="single" w:sz="4" w:space="0" w:color="auto"/>
                  </w:tcBorders>
                  <w:vAlign w:val="center"/>
                </w:tcPr>
                <w:p w14:paraId="2C36192B"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Partial </w:t>
                  </w:r>
                  <w:proofErr w:type="spellStart"/>
                  <w:r w:rsidRPr="00CC6846">
                    <w:rPr>
                      <w:rFonts w:ascii="Book Antiqua" w:eastAsia="Calibri" w:hAnsi="Book Antiqua" w:cs="Times New Roman"/>
                      <w:kern w:val="2"/>
                      <w:sz w:val="21"/>
                      <w:szCs w:val="21"/>
                    </w:rPr>
                    <w:t>hepatectomy</w:t>
                  </w:r>
                  <w:proofErr w:type="spellEnd"/>
                  <w:r w:rsidRPr="00CC6846">
                    <w:rPr>
                      <w:rFonts w:ascii="Book Antiqua" w:eastAsia="Calibri" w:hAnsi="Book Antiqua" w:cs="Times New Roman"/>
                      <w:kern w:val="2"/>
                      <w:sz w:val="21"/>
                      <w:szCs w:val="21"/>
                    </w:rPr>
                    <w:t xml:space="preserve"> HCC</w:t>
                  </w:r>
                </w:p>
              </w:tc>
              <w:tc>
                <w:tcPr>
                  <w:tcW w:w="1434" w:type="dxa"/>
                  <w:tcBorders>
                    <w:top w:val="single" w:sz="4" w:space="0" w:color="auto"/>
                  </w:tcBorders>
                  <w:vAlign w:val="center"/>
                </w:tcPr>
                <w:p w14:paraId="32704FAD"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L3 muscle area</w:t>
                  </w:r>
                </w:p>
              </w:tc>
              <w:tc>
                <w:tcPr>
                  <w:tcW w:w="837" w:type="dxa"/>
                  <w:tcBorders>
                    <w:top w:val="single" w:sz="4" w:space="0" w:color="auto"/>
                  </w:tcBorders>
                  <w:vAlign w:val="center"/>
                </w:tcPr>
                <w:p w14:paraId="19AD7D8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545" w:type="dxa"/>
                  <w:tcBorders>
                    <w:top w:val="single" w:sz="4" w:space="0" w:color="auto"/>
                  </w:tcBorders>
                  <w:vAlign w:val="center"/>
                </w:tcPr>
                <w:p w14:paraId="2FB4C004"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60</w:t>
                  </w:r>
                </w:p>
              </w:tc>
              <w:tc>
                <w:tcPr>
                  <w:tcW w:w="633" w:type="dxa"/>
                  <w:tcBorders>
                    <w:top w:val="single" w:sz="4" w:space="0" w:color="auto"/>
                  </w:tcBorders>
                  <w:vAlign w:val="center"/>
                </w:tcPr>
                <w:p w14:paraId="4437207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633" w:type="dxa"/>
                  <w:tcBorders>
                    <w:top w:val="single" w:sz="4" w:space="0" w:color="auto"/>
                  </w:tcBorders>
                  <w:vAlign w:val="center"/>
                </w:tcPr>
                <w:p w14:paraId="11E6166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529" w:type="dxa"/>
                  <w:tcBorders>
                    <w:top w:val="single" w:sz="4" w:space="0" w:color="auto"/>
                  </w:tcBorders>
                  <w:vAlign w:val="center"/>
                </w:tcPr>
                <w:p w14:paraId="42F55F34"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1218" w:type="dxa"/>
                  <w:tcBorders>
                    <w:top w:val="single" w:sz="4" w:space="0" w:color="auto"/>
                  </w:tcBorders>
                  <w:vAlign w:val="center"/>
                </w:tcPr>
                <w:p w14:paraId="5A52312B"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71</w:t>
                  </w:r>
                </w:p>
              </w:tc>
              <w:tc>
                <w:tcPr>
                  <w:tcW w:w="851" w:type="dxa"/>
                  <w:tcBorders>
                    <w:top w:val="single" w:sz="4" w:space="0" w:color="auto"/>
                  </w:tcBorders>
                </w:tcPr>
                <w:p w14:paraId="1E353250" w14:textId="77777777" w:rsidR="00154C57" w:rsidRPr="00CC6846" w:rsidRDefault="00154C57" w:rsidP="00CB2DFE">
                  <w:pPr>
                    <w:spacing w:after="0" w:line="360" w:lineRule="auto"/>
                    <w:jc w:val="both"/>
                    <w:rPr>
                      <w:rFonts w:ascii="Book Antiqua" w:eastAsiaTheme="minorEastAsia" w:hAnsi="Book Antiqua" w:cs="Times New Roman"/>
                      <w:sz w:val="21"/>
                      <w:szCs w:val="21"/>
                      <w:lang w:val="de-DE" w:eastAsia="de-DE"/>
                    </w:rPr>
                  </w:pPr>
                </w:p>
                <w:p w14:paraId="79D7EBEB" w14:textId="1DFB8C42" w:rsidR="00154C57" w:rsidRPr="00CC6846" w:rsidRDefault="00154C57" w:rsidP="00CB2DFE">
                  <w:pPr>
                    <w:spacing w:after="0" w:line="360" w:lineRule="auto"/>
                    <w:jc w:val="both"/>
                    <w:rPr>
                      <w:rFonts w:ascii="Book Antiqua" w:eastAsiaTheme="minorEastAsia" w:hAnsi="Book Antiqua" w:cs="Times New Roman"/>
                      <w:sz w:val="21"/>
                      <w:szCs w:val="21"/>
                      <w:lang w:val="de-DE" w:eastAsia="de-DE"/>
                    </w:rPr>
                  </w:pPr>
                  <w:r w:rsidRPr="00CC6846">
                    <w:rPr>
                      <w:rFonts w:ascii="Book Antiqua" w:eastAsiaTheme="minorEastAsia" w:hAnsi="Book Antiqua" w:cs="Times New Roman"/>
                      <w:sz w:val="21"/>
                      <w:szCs w:val="21"/>
                      <w:lang w:val="de-DE" w:eastAsia="de-DE"/>
                    </w:rPr>
                    <w:t xml:space="preserve">5 </w:t>
                  </w:r>
                  <w:r w:rsidR="00095057">
                    <w:rPr>
                      <w:rFonts w:ascii="Book Antiqua" w:hAnsi="Book Antiqua" w:cs="Times New Roman" w:hint="eastAsia"/>
                      <w:sz w:val="21"/>
                      <w:szCs w:val="21"/>
                      <w:lang w:val="de-DE" w:eastAsia="zh-CN"/>
                    </w:rPr>
                    <w:t>yr</w:t>
                  </w:r>
                  <w:r w:rsidRPr="00CC6846">
                    <w:rPr>
                      <w:rFonts w:ascii="Book Antiqua" w:eastAsiaTheme="minorEastAsia" w:hAnsi="Book Antiqua" w:cs="Times New Roman"/>
                      <w:sz w:val="21"/>
                      <w:szCs w:val="21"/>
                      <w:lang w:val="de-DE" w:eastAsia="de-DE"/>
                    </w:rPr>
                    <w:t xml:space="preserve"> survival</w:t>
                  </w:r>
                </w:p>
              </w:tc>
              <w:tc>
                <w:tcPr>
                  <w:tcW w:w="1701" w:type="dxa"/>
                  <w:tcBorders>
                    <w:top w:val="single" w:sz="4" w:space="0" w:color="auto"/>
                  </w:tcBorders>
                  <w:vAlign w:val="center"/>
                </w:tcPr>
                <w:p w14:paraId="6B8293CC" w14:textId="0F0B652C" w:rsidR="00154C57" w:rsidRPr="00CC6846" w:rsidRDefault="00154C57" w:rsidP="00CB2DFE">
                  <w:pPr>
                    <w:spacing w:after="0" w:line="360" w:lineRule="auto"/>
                    <w:jc w:val="both"/>
                    <w:rPr>
                      <w:rFonts w:ascii="Book Antiqua" w:eastAsiaTheme="minorEastAsia" w:hAnsi="Book Antiqua" w:cs="Times New Roman"/>
                      <w:sz w:val="21"/>
                      <w:szCs w:val="21"/>
                      <w:lang w:eastAsia="de-DE"/>
                    </w:rPr>
                  </w:pPr>
                  <w:r w:rsidRPr="00CC6846">
                    <w:rPr>
                      <w:rFonts w:ascii="Book Antiqua" w:eastAsiaTheme="minorEastAsia" w:hAnsi="Book Antiqua" w:cs="Times New Roman"/>
                      <w:sz w:val="21"/>
                      <w:szCs w:val="21"/>
                      <w:lang w:eastAsia="de-DE"/>
                    </w:rPr>
                    <w:t>OR</w:t>
                  </w:r>
                  <w:r w:rsidR="00095057">
                    <w:rPr>
                      <w:rFonts w:ascii="Book Antiqua" w:hAnsi="Book Antiqua" w:cs="Times New Roman" w:hint="eastAsia"/>
                      <w:sz w:val="21"/>
                      <w:szCs w:val="21"/>
                      <w:lang w:eastAsia="zh-CN"/>
                    </w:rPr>
                    <w:t xml:space="preserve"> </w:t>
                  </w:r>
                  <w:r w:rsidRPr="00CC6846">
                    <w:rPr>
                      <w:rFonts w:ascii="Book Antiqua" w:eastAsiaTheme="minorEastAsia" w:hAnsi="Book Antiqua" w:cs="Times New Roman"/>
                      <w:sz w:val="21"/>
                      <w:szCs w:val="21"/>
                      <w:lang w:eastAsia="de-DE"/>
                    </w:rPr>
                    <w:t>=</w:t>
                  </w:r>
                  <w:r w:rsidR="00095057">
                    <w:rPr>
                      <w:rFonts w:ascii="Book Antiqua" w:hAnsi="Book Antiqua" w:cs="Times New Roman" w:hint="eastAsia"/>
                      <w:sz w:val="21"/>
                      <w:szCs w:val="21"/>
                      <w:lang w:eastAsia="zh-CN"/>
                    </w:rPr>
                    <w:t xml:space="preserve"> </w:t>
                  </w:r>
                  <w:r w:rsidRPr="00CC6846">
                    <w:rPr>
                      <w:rFonts w:ascii="Book Antiqua" w:eastAsiaTheme="minorEastAsia" w:hAnsi="Book Antiqua" w:cs="Times New Roman"/>
                      <w:sz w:val="21"/>
                      <w:szCs w:val="21"/>
                      <w:lang w:eastAsia="de-DE"/>
                    </w:rPr>
                    <w:t xml:space="preserve">0.9; CI: 0.84-093, </w:t>
                  </w:r>
                  <w:r w:rsidR="00095057" w:rsidRPr="00095057">
                    <w:rPr>
                      <w:rFonts w:ascii="Book Antiqua" w:eastAsiaTheme="minorEastAsia" w:hAnsi="Book Antiqua" w:cs="Times New Roman"/>
                      <w:i/>
                      <w:sz w:val="21"/>
                      <w:szCs w:val="21"/>
                      <w:lang w:eastAsia="de-DE"/>
                    </w:rPr>
                    <w:t>P</w:t>
                  </w:r>
                  <w:r w:rsidR="00095057">
                    <w:rPr>
                      <w:rFonts w:ascii="Book Antiqua" w:hAnsi="Book Antiqua" w:cs="Times New Roman" w:hint="eastAsia"/>
                      <w:sz w:val="21"/>
                      <w:szCs w:val="21"/>
                      <w:lang w:eastAsia="zh-CN"/>
                    </w:rPr>
                    <w:t xml:space="preserve"> </w:t>
                  </w:r>
                  <w:r w:rsidRPr="00CC6846">
                    <w:rPr>
                      <w:rFonts w:ascii="Book Antiqua" w:eastAsiaTheme="minorEastAsia" w:hAnsi="Book Antiqua" w:cs="Times New Roman"/>
                      <w:sz w:val="21"/>
                      <w:szCs w:val="21"/>
                      <w:lang w:eastAsia="de-DE"/>
                    </w:rPr>
                    <w:t>=</w:t>
                  </w:r>
                  <w:r w:rsidR="00095057">
                    <w:rPr>
                      <w:rFonts w:ascii="Book Antiqua" w:hAnsi="Book Antiqua" w:cs="Times New Roman" w:hint="eastAsia"/>
                      <w:sz w:val="21"/>
                      <w:szCs w:val="21"/>
                      <w:lang w:eastAsia="zh-CN"/>
                    </w:rPr>
                    <w:t xml:space="preserve"> </w:t>
                  </w:r>
                  <w:r w:rsidRPr="00CC6846">
                    <w:rPr>
                      <w:rFonts w:ascii="Book Antiqua" w:eastAsiaTheme="minorEastAsia" w:hAnsi="Book Antiqua" w:cs="Times New Roman"/>
                      <w:sz w:val="21"/>
                      <w:szCs w:val="21"/>
                      <w:lang w:eastAsia="de-DE"/>
                    </w:rPr>
                    <w:t>0.002</w:t>
                  </w:r>
                </w:p>
              </w:tc>
            </w:tr>
            <w:tr w:rsidR="00095057" w:rsidRPr="00CC6846" w14:paraId="7CC8F26F" w14:textId="77777777" w:rsidTr="005222B5">
              <w:trPr>
                <w:cantSplit/>
                <w:trHeight w:hRule="exact" w:val="1558"/>
              </w:trPr>
              <w:tc>
                <w:tcPr>
                  <w:tcW w:w="742" w:type="dxa"/>
                  <w:tcBorders>
                    <w:top w:val="single" w:sz="4" w:space="0" w:color="auto"/>
                  </w:tcBorders>
                  <w:vAlign w:val="center"/>
                </w:tcPr>
                <w:p w14:paraId="6F0CBF27" w14:textId="12A68F66" w:rsidR="00154C57" w:rsidRPr="00CC6846" w:rsidRDefault="00154C57" w:rsidP="005222B5">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Van </w:t>
                  </w:r>
                  <w:proofErr w:type="spellStart"/>
                  <w:r w:rsidRPr="00CC6846">
                    <w:rPr>
                      <w:rFonts w:ascii="Book Antiqua" w:eastAsia="Calibri" w:hAnsi="Book Antiqua" w:cs="Times New Roman"/>
                      <w:kern w:val="2"/>
                      <w:sz w:val="21"/>
                      <w:szCs w:val="21"/>
                    </w:rPr>
                    <w:t>Vledder</w:t>
                  </w:r>
                  <w:proofErr w:type="spellEnd"/>
                  <w:r w:rsidRPr="00CC6846">
                    <w:rPr>
                      <w:rFonts w:ascii="Book Antiqua" w:eastAsia="Calibri" w:hAnsi="Book Antiqua" w:cs="Times New Roman"/>
                      <w:kern w:val="2"/>
                      <w:sz w:val="21"/>
                      <w:szCs w:val="21"/>
                    </w:rPr>
                    <w:t xml:space="preserve">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w:t>
                  </w:r>
                  <w:r w:rsidR="005222B5">
                    <w:rPr>
                      <w:rFonts w:ascii="Book Antiqua" w:hAnsi="Book Antiqua" w:cs="Times New Roman" w:hint="eastAsia"/>
                      <w:kern w:val="2"/>
                      <w:sz w:val="21"/>
                      <w:szCs w:val="21"/>
                      <w:vertAlign w:val="superscript"/>
                      <w:lang w:eastAsia="zh-CN"/>
                    </w:rPr>
                    <w:t>46</w:t>
                  </w:r>
                  <w:r w:rsidR="00CB2DFE">
                    <w:rPr>
                      <w:rFonts w:ascii="Book Antiqua" w:hAnsi="Book Antiqua" w:cs="Times New Roman" w:hint="eastAsia"/>
                      <w:kern w:val="2"/>
                      <w:sz w:val="21"/>
                      <w:szCs w:val="21"/>
                      <w:vertAlign w:val="superscript"/>
                      <w:lang w:eastAsia="zh-CN"/>
                    </w:rPr>
                    <w:t>]</w:t>
                  </w:r>
                </w:p>
              </w:tc>
              <w:tc>
                <w:tcPr>
                  <w:tcW w:w="568" w:type="dxa"/>
                  <w:tcBorders>
                    <w:top w:val="single" w:sz="4" w:space="0" w:color="auto"/>
                  </w:tcBorders>
                  <w:vAlign w:val="center"/>
                </w:tcPr>
                <w:p w14:paraId="570E209F" w14:textId="628EF375" w:rsidR="00154C57" w:rsidRPr="00CC6846"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Netherlands</w:t>
                  </w:r>
                </w:p>
              </w:tc>
              <w:tc>
                <w:tcPr>
                  <w:tcW w:w="709" w:type="dxa"/>
                  <w:tcBorders>
                    <w:top w:val="single" w:sz="4" w:space="0" w:color="auto"/>
                  </w:tcBorders>
                  <w:vAlign w:val="center"/>
                </w:tcPr>
                <w:p w14:paraId="54064B80"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5</w:t>
                  </w:r>
                </w:p>
              </w:tc>
              <w:tc>
                <w:tcPr>
                  <w:tcW w:w="567" w:type="dxa"/>
                  <w:tcBorders>
                    <w:top w:val="single" w:sz="4" w:space="0" w:color="auto"/>
                  </w:tcBorders>
                </w:tcPr>
                <w:p w14:paraId="108B623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E4497D9"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88249E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R</w:t>
                  </w:r>
                </w:p>
              </w:tc>
              <w:tc>
                <w:tcPr>
                  <w:tcW w:w="708" w:type="dxa"/>
                  <w:tcBorders>
                    <w:top w:val="single" w:sz="4" w:space="0" w:color="auto"/>
                  </w:tcBorders>
                  <w:vAlign w:val="center"/>
                </w:tcPr>
                <w:p w14:paraId="795B111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196</w:t>
                  </w:r>
                </w:p>
              </w:tc>
              <w:tc>
                <w:tcPr>
                  <w:tcW w:w="568" w:type="dxa"/>
                  <w:tcBorders>
                    <w:top w:val="single" w:sz="4" w:space="0" w:color="auto"/>
                  </w:tcBorders>
                  <w:vAlign w:val="center"/>
                </w:tcPr>
                <w:p w14:paraId="35AB933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65</w:t>
                  </w:r>
                </w:p>
              </w:tc>
              <w:tc>
                <w:tcPr>
                  <w:tcW w:w="709" w:type="dxa"/>
                  <w:tcBorders>
                    <w:top w:val="single" w:sz="4" w:space="0" w:color="auto"/>
                  </w:tcBorders>
                  <w:vAlign w:val="center"/>
                </w:tcPr>
                <w:p w14:paraId="123AB81D"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61</w:t>
                  </w:r>
                </w:p>
              </w:tc>
              <w:tc>
                <w:tcPr>
                  <w:tcW w:w="1258" w:type="dxa"/>
                  <w:tcBorders>
                    <w:top w:val="single" w:sz="4" w:space="0" w:color="auto"/>
                  </w:tcBorders>
                  <w:vAlign w:val="center"/>
                </w:tcPr>
                <w:p w14:paraId="71B5E6E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Liver resection for CRLM</w:t>
                  </w:r>
                </w:p>
              </w:tc>
              <w:tc>
                <w:tcPr>
                  <w:tcW w:w="1434" w:type="dxa"/>
                  <w:tcBorders>
                    <w:top w:val="single" w:sz="4" w:space="0" w:color="auto"/>
                  </w:tcBorders>
                  <w:vAlign w:val="center"/>
                </w:tcPr>
                <w:p w14:paraId="6A6933B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Skeletal muscle mass</w:t>
                  </w:r>
                </w:p>
              </w:tc>
              <w:tc>
                <w:tcPr>
                  <w:tcW w:w="837" w:type="dxa"/>
                  <w:tcBorders>
                    <w:top w:val="single" w:sz="4" w:space="0" w:color="auto"/>
                  </w:tcBorders>
                  <w:vAlign w:val="center"/>
                </w:tcPr>
                <w:p w14:paraId="60F1EC0A"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545" w:type="dxa"/>
                  <w:tcBorders>
                    <w:top w:val="single" w:sz="4" w:space="0" w:color="auto"/>
                  </w:tcBorders>
                  <w:vAlign w:val="center"/>
                </w:tcPr>
                <w:p w14:paraId="3BF91F70"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29</w:t>
                  </w:r>
                </w:p>
              </w:tc>
              <w:tc>
                <w:tcPr>
                  <w:tcW w:w="633" w:type="dxa"/>
                  <w:tcBorders>
                    <w:top w:val="single" w:sz="4" w:space="0" w:color="auto"/>
                  </w:tcBorders>
                  <w:vAlign w:val="center"/>
                </w:tcPr>
                <w:p w14:paraId="5F37E36D"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633" w:type="dxa"/>
                  <w:tcBorders>
                    <w:top w:val="single" w:sz="4" w:space="0" w:color="auto"/>
                  </w:tcBorders>
                  <w:vAlign w:val="center"/>
                </w:tcPr>
                <w:p w14:paraId="7E1CC15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529" w:type="dxa"/>
                  <w:tcBorders>
                    <w:top w:val="single" w:sz="4" w:space="0" w:color="auto"/>
                  </w:tcBorders>
                  <w:vAlign w:val="center"/>
                </w:tcPr>
                <w:p w14:paraId="3031D9EF"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94</w:t>
                  </w:r>
                </w:p>
              </w:tc>
              <w:tc>
                <w:tcPr>
                  <w:tcW w:w="1218" w:type="dxa"/>
                  <w:tcBorders>
                    <w:top w:val="single" w:sz="4" w:space="0" w:color="auto"/>
                  </w:tcBorders>
                  <w:vAlign w:val="center"/>
                </w:tcPr>
                <w:p w14:paraId="038269A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43</w:t>
                  </w:r>
                </w:p>
              </w:tc>
              <w:tc>
                <w:tcPr>
                  <w:tcW w:w="851" w:type="dxa"/>
                  <w:tcBorders>
                    <w:top w:val="single" w:sz="4" w:space="0" w:color="auto"/>
                  </w:tcBorders>
                </w:tcPr>
                <w:p w14:paraId="3D1B5474" w14:textId="77777777" w:rsidR="00154C57" w:rsidRPr="00CC6846" w:rsidRDefault="00154C57" w:rsidP="00CB2DFE">
                  <w:pPr>
                    <w:spacing w:after="0" w:line="360" w:lineRule="auto"/>
                    <w:jc w:val="both"/>
                    <w:rPr>
                      <w:rFonts w:ascii="Book Antiqua" w:eastAsiaTheme="minorEastAsia" w:hAnsi="Book Antiqua" w:cs="Times New Roman"/>
                      <w:sz w:val="21"/>
                      <w:szCs w:val="21"/>
                      <w:lang w:val="de-DE" w:eastAsia="de-DE"/>
                    </w:rPr>
                  </w:pPr>
                </w:p>
                <w:p w14:paraId="5C83AF7E" w14:textId="77777777" w:rsidR="00154C57" w:rsidRPr="00CC6846" w:rsidRDefault="00154C57" w:rsidP="00CB2DFE">
                  <w:pPr>
                    <w:spacing w:after="0" w:line="360" w:lineRule="auto"/>
                    <w:jc w:val="both"/>
                    <w:rPr>
                      <w:rFonts w:ascii="Book Antiqua" w:eastAsiaTheme="minorEastAsia" w:hAnsi="Book Antiqua" w:cs="Times New Roman"/>
                      <w:sz w:val="21"/>
                      <w:szCs w:val="21"/>
                      <w:lang w:eastAsia="de-DE"/>
                    </w:rPr>
                  </w:pPr>
                  <w:r w:rsidRPr="00CC6846">
                    <w:rPr>
                      <w:rFonts w:ascii="Book Antiqua" w:eastAsiaTheme="minorEastAsia" w:hAnsi="Book Antiqua" w:cs="Times New Roman"/>
                      <w:sz w:val="21"/>
                      <w:szCs w:val="21"/>
                      <w:lang w:eastAsia="de-DE"/>
                    </w:rPr>
                    <w:t>Overall survival</w:t>
                  </w:r>
                </w:p>
              </w:tc>
              <w:tc>
                <w:tcPr>
                  <w:tcW w:w="1701" w:type="dxa"/>
                  <w:tcBorders>
                    <w:top w:val="single" w:sz="4" w:space="0" w:color="auto"/>
                  </w:tcBorders>
                  <w:vAlign w:val="center"/>
                </w:tcPr>
                <w:p w14:paraId="42F06E4F" w14:textId="77777777" w:rsidR="00154C57" w:rsidRPr="00CC6846" w:rsidRDefault="00154C57" w:rsidP="00CB2DFE">
                  <w:pPr>
                    <w:spacing w:after="0" w:line="360" w:lineRule="auto"/>
                    <w:jc w:val="both"/>
                    <w:rPr>
                      <w:rFonts w:ascii="Book Antiqua" w:eastAsiaTheme="minorEastAsia" w:hAnsi="Book Antiqua" w:cs="Times New Roman"/>
                      <w:sz w:val="21"/>
                      <w:szCs w:val="21"/>
                      <w:lang w:eastAsia="de-DE"/>
                    </w:rPr>
                  </w:pPr>
                </w:p>
                <w:p w14:paraId="1CC49801" w14:textId="6444E833" w:rsidR="00154C57" w:rsidRPr="00CC6846" w:rsidRDefault="00154C57" w:rsidP="00CB2DFE">
                  <w:pPr>
                    <w:spacing w:after="0" w:line="360" w:lineRule="auto"/>
                    <w:jc w:val="both"/>
                    <w:rPr>
                      <w:rFonts w:ascii="Book Antiqua" w:eastAsiaTheme="minorEastAsia" w:hAnsi="Book Antiqua" w:cs="Times New Roman"/>
                      <w:sz w:val="21"/>
                      <w:szCs w:val="21"/>
                      <w:lang w:eastAsia="de-DE"/>
                    </w:rPr>
                  </w:pPr>
                  <w:r w:rsidRPr="00CC6846">
                    <w:rPr>
                      <w:rFonts w:ascii="Book Antiqua" w:eastAsiaTheme="minorEastAsia" w:hAnsi="Book Antiqua" w:cs="Times New Roman"/>
                      <w:sz w:val="21"/>
                      <w:szCs w:val="21"/>
                      <w:lang w:eastAsia="de-DE"/>
                    </w:rPr>
                    <w:t>OR</w:t>
                  </w:r>
                  <w:r w:rsidR="00095057">
                    <w:rPr>
                      <w:rFonts w:ascii="Book Antiqua" w:hAnsi="Book Antiqua" w:cs="Times New Roman" w:hint="eastAsia"/>
                      <w:sz w:val="21"/>
                      <w:szCs w:val="21"/>
                      <w:lang w:eastAsia="zh-CN"/>
                    </w:rPr>
                    <w:t xml:space="preserve"> </w:t>
                  </w:r>
                  <w:r w:rsidRPr="00CC6846">
                    <w:rPr>
                      <w:rFonts w:ascii="Book Antiqua" w:eastAsiaTheme="minorEastAsia" w:hAnsi="Book Antiqua" w:cs="Times New Roman"/>
                      <w:sz w:val="21"/>
                      <w:szCs w:val="21"/>
                      <w:lang w:eastAsia="de-DE"/>
                    </w:rPr>
                    <w:t>= 14.4 CI: 18.76-31.2</w:t>
                  </w:r>
                </w:p>
                <w:p w14:paraId="3D0826E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tc>
            </w:tr>
            <w:tr w:rsidR="00095057" w:rsidRPr="00CC6846" w14:paraId="01FE86F5" w14:textId="77777777" w:rsidTr="005222B5">
              <w:trPr>
                <w:cantSplit/>
                <w:trHeight w:hRule="exact" w:val="2272"/>
              </w:trPr>
              <w:tc>
                <w:tcPr>
                  <w:tcW w:w="742" w:type="dxa"/>
                  <w:tcBorders>
                    <w:top w:val="single" w:sz="4" w:space="0" w:color="auto"/>
                  </w:tcBorders>
                  <w:vAlign w:val="center"/>
                </w:tcPr>
                <w:p w14:paraId="440984F5" w14:textId="1D993E16" w:rsidR="00154C57" w:rsidRPr="00CC6846" w:rsidRDefault="00154C57" w:rsidP="005222B5">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Valero 3</w:t>
                  </w:r>
                  <w:r w:rsidRPr="00CC6846">
                    <w:rPr>
                      <w:rFonts w:ascii="Book Antiqua" w:eastAsia="Calibri" w:hAnsi="Book Antiqua" w:cs="Times New Roman"/>
                      <w:kern w:val="2"/>
                      <w:sz w:val="21"/>
                      <w:szCs w:val="21"/>
                      <w:vertAlign w:val="superscript"/>
                    </w:rPr>
                    <w:t>rd</w:t>
                  </w:r>
                  <w:r w:rsidRPr="00CC6846">
                    <w:rPr>
                      <w:rFonts w:ascii="Book Antiqua" w:eastAsia="Calibri" w:hAnsi="Book Antiqua" w:cs="Times New Roman"/>
                      <w:kern w:val="2"/>
                      <w:sz w:val="21"/>
                      <w:szCs w:val="21"/>
                    </w:rPr>
                    <w:t xml:space="preserve">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w:t>
                  </w:r>
                  <w:r w:rsidR="005222B5">
                    <w:rPr>
                      <w:rFonts w:ascii="Book Antiqua" w:hAnsi="Book Antiqua" w:cs="Times New Roman" w:hint="eastAsia"/>
                      <w:kern w:val="2"/>
                      <w:sz w:val="21"/>
                      <w:szCs w:val="21"/>
                      <w:vertAlign w:val="superscript"/>
                      <w:lang w:eastAsia="zh-CN"/>
                    </w:rPr>
                    <w:t>42</w:t>
                  </w:r>
                  <w:r w:rsidR="00CB2DFE">
                    <w:rPr>
                      <w:rFonts w:ascii="Book Antiqua" w:hAnsi="Book Antiqua" w:cs="Times New Roman" w:hint="eastAsia"/>
                      <w:kern w:val="2"/>
                      <w:sz w:val="21"/>
                      <w:szCs w:val="21"/>
                      <w:vertAlign w:val="superscript"/>
                      <w:lang w:eastAsia="zh-CN"/>
                    </w:rPr>
                    <w:t>]</w:t>
                  </w:r>
                </w:p>
              </w:tc>
              <w:tc>
                <w:tcPr>
                  <w:tcW w:w="568" w:type="dxa"/>
                  <w:tcBorders>
                    <w:top w:val="single" w:sz="4" w:space="0" w:color="auto"/>
                  </w:tcBorders>
                  <w:vAlign w:val="center"/>
                </w:tcPr>
                <w:p w14:paraId="3C3E95ED" w14:textId="39692A76" w:rsidR="00154C57" w:rsidRPr="00CC6846" w:rsidRDefault="003C6F52"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 xml:space="preserve">United </w:t>
                  </w:r>
                  <w:proofErr w:type="spellStart"/>
                  <w:r w:rsidRPr="00095057">
                    <w:rPr>
                      <w:rFonts w:ascii="Book Antiqua" w:eastAsia="Calibri" w:hAnsi="Book Antiqua" w:cs="Times New Roman"/>
                      <w:kern w:val="2"/>
                      <w:sz w:val="21"/>
                      <w:szCs w:val="21"/>
                    </w:rPr>
                    <w:t>Sta</w:t>
                  </w:r>
                  <w:proofErr w:type="spellEnd"/>
                </w:p>
              </w:tc>
              <w:tc>
                <w:tcPr>
                  <w:tcW w:w="709" w:type="dxa"/>
                  <w:tcBorders>
                    <w:top w:val="single" w:sz="4" w:space="0" w:color="auto"/>
                  </w:tcBorders>
                  <w:vAlign w:val="center"/>
                </w:tcPr>
                <w:p w14:paraId="480A86A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7</w:t>
                  </w:r>
                </w:p>
              </w:tc>
              <w:tc>
                <w:tcPr>
                  <w:tcW w:w="567" w:type="dxa"/>
                  <w:tcBorders>
                    <w:top w:val="single" w:sz="4" w:space="0" w:color="auto"/>
                  </w:tcBorders>
                </w:tcPr>
                <w:p w14:paraId="56DCA18A"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692E020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25117B2D"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R</w:t>
                  </w:r>
                </w:p>
              </w:tc>
              <w:tc>
                <w:tcPr>
                  <w:tcW w:w="708" w:type="dxa"/>
                  <w:tcBorders>
                    <w:top w:val="single" w:sz="4" w:space="0" w:color="auto"/>
                  </w:tcBorders>
                  <w:vAlign w:val="center"/>
                </w:tcPr>
                <w:p w14:paraId="2AAF27A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96</w:t>
                  </w:r>
                </w:p>
              </w:tc>
              <w:tc>
                <w:tcPr>
                  <w:tcW w:w="568" w:type="dxa"/>
                  <w:tcBorders>
                    <w:top w:val="single" w:sz="4" w:space="0" w:color="auto"/>
                  </w:tcBorders>
                  <w:vAlign w:val="center"/>
                </w:tcPr>
                <w:p w14:paraId="1C90A48F"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62</w:t>
                  </w:r>
                </w:p>
              </w:tc>
              <w:tc>
                <w:tcPr>
                  <w:tcW w:w="709" w:type="dxa"/>
                  <w:tcBorders>
                    <w:top w:val="single" w:sz="4" w:space="0" w:color="auto"/>
                  </w:tcBorders>
                  <w:vAlign w:val="center"/>
                </w:tcPr>
                <w:p w14:paraId="7405BD9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61</w:t>
                  </w:r>
                </w:p>
              </w:tc>
              <w:tc>
                <w:tcPr>
                  <w:tcW w:w="1258" w:type="dxa"/>
                  <w:tcBorders>
                    <w:top w:val="single" w:sz="4" w:space="0" w:color="auto"/>
                  </w:tcBorders>
                  <w:vAlign w:val="center"/>
                </w:tcPr>
                <w:p w14:paraId="1B473A2D"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Liver resection liver transplantation</w:t>
                  </w:r>
                </w:p>
              </w:tc>
              <w:tc>
                <w:tcPr>
                  <w:tcW w:w="1434" w:type="dxa"/>
                  <w:tcBorders>
                    <w:top w:val="single" w:sz="4" w:space="0" w:color="auto"/>
                  </w:tcBorders>
                  <w:vAlign w:val="center"/>
                </w:tcPr>
                <w:p w14:paraId="168F8E9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Total psoas area &amp; total psoas volume</w:t>
                  </w:r>
                </w:p>
              </w:tc>
              <w:tc>
                <w:tcPr>
                  <w:tcW w:w="837" w:type="dxa"/>
                  <w:tcBorders>
                    <w:top w:val="single" w:sz="4" w:space="0" w:color="auto"/>
                  </w:tcBorders>
                  <w:vAlign w:val="center"/>
                </w:tcPr>
                <w:p w14:paraId="1C5EF4B4"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29</w:t>
                  </w:r>
                </w:p>
              </w:tc>
              <w:tc>
                <w:tcPr>
                  <w:tcW w:w="545" w:type="dxa"/>
                  <w:tcBorders>
                    <w:top w:val="single" w:sz="4" w:space="0" w:color="auto"/>
                  </w:tcBorders>
                  <w:vAlign w:val="center"/>
                </w:tcPr>
                <w:p w14:paraId="01DE64CD"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26</w:t>
                  </w:r>
                </w:p>
              </w:tc>
              <w:tc>
                <w:tcPr>
                  <w:tcW w:w="633" w:type="dxa"/>
                  <w:tcBorders>
                    <w:top w:val="single" w:sz="4" w:space="0" w:color="auto"/>
                  </w:tcBorders>
                  <w:vAlign w:val="center"/>
                </w:tcPr>
                <w:p w14:paraId="4BCDC3EB"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633" w:type="dxa"/>
                  <w:tcBorders>
                    <w:top w:val="single" w:sz="4" w:space="0" w:color="auto"/>
                  </w:tcBorders>
                  <w:vAlign w:val="center"/>
                </w:tcPr>
                <w:p w14:paraId="2FE1F819"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529" w:type="dxa"/>
                  <w:tcBorders>
                    <w:top w:val="single" w:sz="4" w:space="0" w:color="auto"/>
                  </w:tcBorders>
                  <w:vAlign w:val="center"/>
                </w:tcPr>
                <w:p w14:paraId="0AF7ACE1"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82</w:t>
                  </w:r>
                </w:p>
              </w:tc>
              <w:tc>
                <w:tcPr>
                  <w:tcW w:w="1218" w:type="dxa"/>
                  <w:tcBorders>
                    <w:top w:val="single" w:sz="4" w:space="0" w:color="auto"/>
                  </w:tcBorders>
                  <w:vAlign w:val="center"/>
                </w:tcPr>
                <w:p w14:paraId="5AAFE66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highlight w:val="yellow"/>
                    </w:rPr>
                  </w:pPr>
                  <w:r w:rsidRPr="00CC6846">
                    <w:rPr>
                      <w:rFonts w:ascii="Book Antiqua" w:eastAsia="Calibri" w:hAnsi="Book Antiqua" w:cs="Times New Roman"/>
                      <w:kern w:val="2"/>
                      <w:sz w:val="21"/>
                      <w:szCs w:val="21"/>
                    </w:rPr>
                    <w:t>47</w:t>
                  </w:r>
                </w:p>
              </w:tc>
              <w:tc>
                <w:tcPr>
                  <w:tcW w:w="851" w:type="dxa"/>
                  <w:tcBorders>
                    <w:top w:val="single" w:sz="4" w:space="0" w:color="auto"/>
                  </w:tcBorders>
                </w:tcPr>
                <w:p w14:paraId="29265C14" w14:textId="77777777" w:rsidR="00154C57" w:rsidRPr="00CC6846" w:rsidRDefault="00154C57" w:rsidP="00CB2DFE">
                  <w:pPr>
                    <w:spacing w:after="0" w:line="360" w:lineRule="auto"/>
                    <w:jc w:val="both"/>
                    <w:rPr>
                      <w:rFonts w:ascii="Book Antiqua" w:eastAsiaTheme="minorEastAsia" w:hAnsi="Book Antiqua" w:cs="Times New Roman"/>
                      <w:sz w:val="21"/>
                      <w:szCs w:val="21"/>
                      <w:lang w:eastAsia="de-DE"/>
                    </w:rPr>
                  </w:pPr>
                </w:p>
                <w:p w14:paraId="3FA72543" w14:textId="77777777" w:rsidR="00154C57" w:rsidRPr="00CC6846" w:rsidRDefault="00154C57" w:rsidP="00CB2DFE">
                  <w:pPr>
                    <w:spacing w:after="0" w:line="360" w:lineRule="auto"/>
                    <w:jc w:val="both"/>
                    <w:rPr>
                      <w:rFonts w:ascii="Book Antiqua" w:eastAsiaTheme="minorEastAsia" w:hAnsi="Book Antiqua" w:cs="Times New Roman"/>
                      <w:sz w:val="21"/>
                      <w:szCs w:val="21"/>
                      <w:lang w:eastAsia="de-DE"/>
                    </w:rPr>
                  </w:pPr>
                  <w:r w:rsidRPr="00CC6846">
                    <w:rPr>
                      <w:rFonts w:ascii="Book Antiqua" w:eastAsiaTheme="minorEastAsia" w:hAnsi="Book Antiqua" w:cs="Times New Roman"/>
                      <w:sz w:val="21"/>
                      <w:szCs w:val="21"/>
                      <w:lang w:eastAsia="de-DE"/>
                    </w:rPr>
                    <w:t>Complication rate</w:t>
                  </w:r>
                </w:p>
              </w:tc>
              <w:tc>
                <w:tcPr>
                  <w:tcW w:w="1701" w:type="dxa"/>
                  <w:tcBorders>
                    <w:top w:val="single" w:sz="4" w:space="0" w:color="auto"/>
                  </w:tcBorders>
                  <w:vAlign w:val="center"/>
                </w:tcPr>
                <w:p w14:paraId="0A4D4573" w14:textId="1D8B6D31" w:rsidR="00154C57" w:rsidRPr="00CC6846" w:rsidRDefault="00154C57" w:rsidP="00CB2DFE">
                  <w:pPr>
                    <w:spacing w:after="0" w:line="360" w:lineRule="auto"/>
                    <w:jc w:val="both"/>
                    <w:rPr>
                      <w:rFonts w:ascii="Book Antiqua" w:eastAsiaTheme="minorEastAsia" w:hAnsi="Book Antiqua" w:cs="Times New Roman"/>
                      <w:sz w:val="21"/>
                      <w:szCs w:val="21"/>
                      <w:lang w:eastAsia="de-DE"/>
                    </w:rPr>
                  </w:pPr>
                  <w:r w:rsidRPr="00CC6846">
                    <w:rPr>
                      <w:rFonts w:ascii="Book Antiqua" w:eastAsiaTheme="minorEastAsia" w:hAnsi="Book Antiqua" w:cs="Times New Roman"/>
                      <w:sz w:val="21"/>
                      <w:szCs w:val="21"/>
                      <w:lang w:eastAsia="de-DE"/>
                    </w:rPr>
                    <w:t>OR</w:t>
                  </w:r>
                  <w:r w:rsidR="00095057">
                    <w:rPr>
                      <w:rFonts w:ascii="Book Antiqua" w:hAnsi="Book Antiqua" w:cs="Times New Roman" w:hint="eastAsia"/>
                      <w:sz w:val="21"/>
                      <w:szCs w:val="21"/>
                      <w:lang w:eastAsia="zh-CN"/>
                    </w:rPr>
                    <w:t xml:space="preserve"> </w:t>
                  </w:r>
                  <w:r w:rsidRPr="00CC6846">
                    <w:rPr>
                      <w:rFonts w:ascii="Book Antiqua" w:eastAsiaTheme="minorEastAsia" w:hAnsi="Book Antiqua" w:cs="Times New Roman"/>
                      <w:sz w:val="21"/>
                      <w:szCs w:val="21"/>
                      <w:lang w:eastAsia="de-DE"/>
                    </w:rPr>
                    <w:t>=</w:t>
                  </w:r>
                  <w:r w:rsidR="00095057">
                    <w:rPr>
                      <w:rFonts w:ascii="Book Antiqua" w:hAnsi="Book Antiqua" w:cs="Times New Roman" w:hint="eastAsia"/>
                      <w:sz w:val="21"/>
                      <w:szCs w:val="21"/>
                      <w:lang w:eastAsia="zh-CN"/>
                    </w:rPr>
                    <w:t xml:space="preserve"> </w:t>
                  </w:r>
                  <w:r w:rsidRPr="00CC6846">
                    <w:rPr>
                      <w:rFonts w:ascii="Book Antiqua" w:eastAsiaTheme="minorEastAsia" w:hAnsi="Book Antiqua" w:cs="Times New Roman"/>
                      <w:sz w:val="21"/>
                      <w:szCs w:val="21"/>
                      <w:lang w:eastAsia="de-DE"/>
                    </w:rPr>
                    <w:t xml:space="preserve">3.06; CI: 1.07-8.52, </w:t>
                  </w:r>
                  <w:r w:rsidR="00095057" w:rsidRPr="00095057">
                    <w:rPr>
                      <w:rFonts w:ascii="Book Antiqua" w:eastAsiaTheme="minorEastAsia" w:hAnsi="Book Antiqua" w:cs="Times New Roman"/>
                      <w:i/>
                      <w:sz w:val="21"/>
                      <w:szCs w:val="21"/>
                      <w:lang w:eastAsia="de-DE"/>
                    </w:rPr>
                    <w:t>P</w:t>
                  </w:r>
                  <w:r w:rsidR="00095057" w:rsidRPr="00CC6846">
                    <w:rPr>
                      <w:rFonts w:ascii="Book Antiqua" w:eastAsiaTheme="minorEastAsia" w:hAnsi="Book Antiqua" w:cs="Times New Roman"/>
                      <w:sz w:val="21"/>
                      <w:szCs w:val="21"/>
                      <w:lang w:eastAsia="de-DE"/>
                    </w:rPr>
                    <w:t xml:space="preserve"> </w:t>
                  </w:r>
                  <w:r w:rsidRPr="00CC6846">
                    <w:rPr>
                      <w:rFonts w:ascii="Book Antiqua" w:eastAsiaTheme="minorEastAsia" w:hAnsi="Book Antiqua" w:cs="Times New Roman"/>
                      <w:sz w:val="21"/>
                      <w:szCs w:val="21"/>
                      <w:lang w:eastAsia="de-DE"/>
                    </w:rPr>
                    <w:t>=</w:t>
                  </w:r>
                  <w:r w:rsidR="00095057">
                    <w:rPr>
                      <w:rFonts w:ascii="Book Antiqua" w:hAnsi="Book Antiqua" w:cs="Times New Roman" w:hint="eastAsia"/>
                      <w:sz w:val="21"/>
                      <w:szCs w:val="21"/>
                      <w:lang w:eastAsia="zh-CN"/>
                    </w:rPr>
                    <w:t xml:space="preserve"> </w:t>
                  </w:r>
                  <w:r w:rsidRPr="00CC6846">
                    <w:rPr>
                      <w:rFonts w:ascii="Book Antiqua" w:eastAsiaTheme="minorEastAsia" w:hAnsi="Book Antiqua" w:cs="Times New Roman"/>
                      <w:sz w:val="21"/>
                      <w:szCs w:val="21"/>
                      <w:lang w:eastAsia="de-DE"/>
                    </w:rPr>
                    <w:t>0.003</w:t>
                  </w:r>
                </w:p>
                <w:p w14:paraId="516DF28A"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tc>
            </w:tr>
            <w:tr w:rsidR="00095057" w:rsidRPr="00CC6846" w14:paraId="0DE3EB1B" w14:textId="77777777" w:rsidTr="00CB2DFE">
              <w:trPr>
                <w:cantSplit/>
                <w:trHeight w:hRule="exact" w:val="1712"/>
              </w:trPr>
              <w:tc>
                <w:tcPr>
                  <w:tcW w:w="742" w:type="dxa"/>
                  <w:tcBorders>
                    <w:top w:val="single" w:sz="4" w:space="0" w:color="auto"/>
                  </w:tcBorders>
                  <w:vAlign w:val="center"/>
                </w:tcPr>
                <w:p w14:paraId="1C8C0AEC" w14:textId="18F0F679"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CC6846">
                    <w:rPr>
                      <w:rFonts w:ascii="Book Antiqua" w:eastAsia="Calibri" w:hAnsi="Book Antiqua" w:cs="Times New Roman"/>
                      <w:kern w:val="2"/>
                      <w:sz w:val="21"/>
                      <w:szCs w:val="21"/>
                    </w:rPr>
                    <w:lastRenderedPageBreak/>
                    <w:t>Engelsbe</w:t>
                  </w:r>
                  <w:proofErr w:type="spellEnd"/>
                  <w:r w:rsidRPr="00CC6846">
                    <w:rPr>
                      <w:rFonts w:ascii="Book Antiqua" w:eastAsia="Calibri" w:hAnsi="Book Antiqua" w:cs="Times New Roman"/>
                      <w:kern w:val="2"/>
                      <w:sz w:val="21"/>
                      <w:szCs w:val="21"/>
                    </w:rPr>
                    <w:t xml:space="preserve"> </w:t>
                  </w:r>
                  <w:r w:rsidR="00CB2DFE" w:rsidRPr="00CB2DFE">
                    <w:rPr>
                      <w:rFonts w:ascii="Book Antiqua" w:hAnsi="Book Antiqua" w:cs="Times New Roman" w:hint="eastAsia"/>
                      <w:i/>
                      <w:kern w:val="2"/>
                      <w:sz w:val="21"/>
                      <w:szCs w:val="21"/>
                      <w:lang w:eastAsia="zh-CN"/>
                    </w:rPr>
                    <w:t>et al</w:t>
                  </w:r>
                </w:p>
              </w:tc>
              <w:tc>
                <w:tcPr>
                  <w:tcW w:w="568" w:type="dxa"/>
                  <w:tcBorders>
                    <w:top w:val="single" w:sz="4" w:space="0" w:color="auto"/>
                  </w:tcBorders>
                  <w:vAlign w:val="center"/>
                </w:tcPr>
                <w:p w14:paraId="438BAFC4" w14:textId="077CCA6D" w:rsidR="00154C57" w:rsidRPr="00CC6846" w:rsidRDefault="003C6F52"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 xml:space="preserve">United </w:t>
                  </w:r>
                  <w:proofErr w:type="spellStart"/>
                  <w:r w:rsidRPr="00095057">
                    <w:rPr>
                      <w:rFonts w:ascii="Book Antiqua" w:eastAsia="Calibri" w:hAnsi="Book Antiqua" w:cs="Times New Roman"/>
                      <w:kern w:val="2"/>
                      <w:sz w:val="21"/>
                      <w:szCs w:val="21"/>
                    </w:rPr>
                    <w:t>Sta</w:t>
                  </w:r>
                  <w:proofErr w:type="spellEnd"/>
                </w:p>
              </w:tc>
              <w:tc>
                <w:tcPr>
                  <w:tcW w:w="709" w:type="dxa"/>
                  <w:tcBorders>
                    <w:top w:val="single" w:sz="4" w:space="0" w:color="auto"/>
                  </w:tcBorders>
                  <w:vAlign w:val="center"/>
                </w:tcPr>
                <w:p w14:paraId="60E2CD3D"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5</w:t>
                  </w:r>
                </w:p>
              </w:tc>
              <w:tc>
                <w:tcPr>
                  <w:tcW w:w="567" w:type="dxa"/>
                  <w:tcBorders>
                    <w:top w:val="single" w:sz="4" w:space="0" w:color="auto"/>
                  </w:tcBorders>
                </w:tcPr>
                <w:p w14:paraId="77E89198"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0267EC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FD9D32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R</w:t>
                  </w:r>
                </w:p>
              </w:tc>
              <w:tc>
                <w:tcPr>
                  <w:tcW w:w="708" w:type="dxa"/>
                  <w:tcBorders>
                    <w:top w:val="single" w:sz="4" w:space="0" w:color="auto"/>
                  </w:tcBorders>
                  <w:vAlign w:val="center"/>
                </w:tcPr>
                <w:p w14:paraId="7285A67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163</w:t>
                  </w:r>
                </w:p>
              </w:tc>
              <w:tc>
                <w:tcPr>
                  <w:tcW w:w="568" w:type="dxa"/>
                  <w:tcBorders>
                    <w:top w:val="single" w:sz="4" w:space="0" w:color="auto"/>
                  </w:tcBorders>
                  <w:vAlign w:val="center"/>
                </w:tcPr>
                <w:p w14:paraId="0C4F879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53</w:t>
                  </w:r>
                </w:p>
              </w:tc>
              <w:tc>
                <w:tcPr>
                  <w:tcW w:w="709" w:type="dxa"/>
                  <w:tcBorders>
                    <w:top w:val="single" w:sz="4" w:space="0" w:color="auto"/>
                  </w:tcBorders>
                  <w:vAlign w:val="center"/>
                </w:tcPr>
                <w:p w14:paraId="62113811"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1258" w:type="dxa"/>
                  <w:tcBorders>
                    <w:top w:val="single" w:sz="4" w:space="0" w:color="auto"/>
                  </w:tcBorders>
                  <w:vAlign w:val="center"/>
                </w:tcPr>
                <w:p w14:paraId="49A0D551"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Liver transplantation</w:t>
                  </w:r>
                </w:p>
              </w:tc>
              <w:tc>
                <w:tcPr>
                  <w:tcW w:w="1434" w:type="dxa"/>
                  <w:tcBorders>
                    <w:top w:val="single" w:sz="4" w:space="0" w:color="auto"/>
                  </w:tcBorders>
                  <w:vAlign w:val="center"/>
                </w:tcPr>
                <w:p w14:paraId="3A2468E8" w14:textId="7B07CD95"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Total psoas area </w:t>
                  </w:r>
                  <w:r w:rsidR="00095057">
                    <w:rPr>
                      <w:rFonts w:ascii="Book Antiqua" w:hAnsi="Book Antiqua" w:cs="Times New Roman" w:hint="eastAsia"/>
                      <w:kern w:val="2"/>
                      <w:sz w:val="21"/>
                      <w:szCs w:val="21"/>
                      <w:lang w:eastAsia="zh-CN"/>
                    </w:rPr>
                    <w:t>and</w:t>
                  </w:r>
                  <w:r w:rsidRPr="00CC6846">
                    <w:rPr>
                      <w:rFonts w:ascii="Book Antiqua" w:eastAsia="Calibri" w:hAnsi="Book Antiqua" w:cs="Times New Roman"/>
                      <w:kern w:val="2"/>
                      <w:sz w:val="21"/>
                      <w:szCs w:val="21"/>
                    </w:rPr>
                    <w:t xml:space="preserve"> psoas density</w:t>
                  </w:r>
                </w:p>
              </w:tc>
              <w:tc>
                <w:tcPr>
                  <w:tcW w:w="837" w:type="dxa"/>
                  <w:tcBorders>
                    <w:top w:val="single" w:sz="4" w:space="0" w:color="auto"/>
                  </w:tcBorders>
                  <w:vAlign w:val="center"/>
                </w:tcPr>
                <w:p w14:paraId="21D9560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545" w:type="dxa"/>
                  <w:tcBorders>
                    <w:top w:val="single" w:sz="4" w:space="0" w:color="auto"/>
                  </w:tcBorders>
                  <w:vAlign w:val="center"/>
                </w:tcPr>
                <w:p w14:paraId="29C580B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36</w:t>
                  </w:r>
                </w:p>
              </w:tc>
              <w:tc>
                <w:tcPr>
                  <w:tcW w:w="633" w:type="dxa"/>
                  <w:tcBorders>
                    <w:top w:val="single" w:sz="4" w:space="0" w:color="auto"/>
                  </w:tcBorders>
                  <w:vAlign w:val="center"/>
                </w:tcPr>
                <w:p w14:paraId="18E8AFB9"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633" w:type="dxa"/>
                  <w:tcBorders>
                    <w:top w:val="single" w:sz="4" w:space="0" w:color="auto"/>
                  </w:tcBorders>
                  <w:vAlign w:val="center"/>
                </w:tcPr>
                <w:p w14:paraId="31AA169D"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highlight w:val="yellow"/>
                    </w:rPr>
                  </w:pPr>
                  <w:r w:rsidRPr="00CC6846">
                    <w:rPr>
                      <w:rFonts w:ascii="Book Antiqua" w:eastAsia="Calibri" w:hAnsi="Book Antiqua" w:cs="Times New Roman"/>
                      <w:kern w:val="2"/>
                      <w:sz w:val="21"/>
                      <w:szCs w:val="21"/>
                    </w:rPr>
                    <w:t>NR</w:t>
                  </w:r>
                </w:p>
              </w:tc>
              <w:tc>
                <w:tcPr>
                  <w:tcW w:w="529" w:type="dxa"/>
                  <w:tcBorders>
                    <w:top w:val="single" w:sz="4" w:space="0" w:color="auto"/>
                  </w:tcBorders>
                  <w:vAlign w:val="center"/>
                </w:tcPr>
                <w:p w14:paraId="653246A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1218" w:type="dxa"/>
                  <w:tcBorders>
                    <w:top w:val="single" w:sz="4" w:space="0" w:color="auto"/>
                  </w:tcBorders>
                  <w:vAlign w:val="center"/>
                </w:tcPr>
                <w:p w14:paraId="54CE12D1"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851" w:type="dxa"/>
                  <w:tcBorders>
                    <w:top w:val="single" w:sz="4" w:space="0" w:color="auto"/>
                  </w:tcBorders>
                </w:tcPr>
                <w:p w14:paraId="00B4D01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39EE47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Overall survival rate</w:t>
                  </w:r>
                </w:p>
              </w:tc>
              <w:tc>
                <w:tcPr>
                  <w:tcW w:w="1701" w:type="dxa"/>
                  <w:tcBorders>
                    <w:top w:val="single" w:sz="4" w:space="0" w:color="auto"/>
                  </w:tcBorders>
                  <w:vAlign w:val="center"/>
                </w:tcPr>
                <w:p w14:paraId="71B02763" w14:textId="055B8E6C"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OR</w:t>
                  </w:r>
                  <w:r w:rsidR="00095057">
                    <w:rPr>
                      <w:rFonts w:ascii="Book Antiqua" w:hAnsi="Book Antiqua" w:cs="Times New Roman" w:hint="eastAsia"/>
                      <w:kern w:val="2"/>
                      <w:sz w:val="21"/>
                      <w:szCs w:val="21"/>
                      <w:lang w:eastAsia="zh-CN"/>
                    </w:rPr>
                    <w:t xml:space="preserve"> </w:t>
                  </w:r>
                  <w:r w:rsidRPr="00CC6846">
                    <w:rPr>
                      <w:rFonts w:ascii="Book Antiqua" w:eastAsia="Calibri" w:hAnsi="Book Antiqua" w:cs="Times New Roman"/>
                      <w:kern w:val="2"/>
                      <w:sz w:val="21"/>
                      <w:szCs w:val="21"/>
                    </w:rPr>
                    <w:t>=</w:t>
                  </w:r>
                  <w:r w:rsidR="00095057">
                    <w:rPr>
                      <w:rFonts w:ascii="Book Antiqua" w:hAnsi="Book Antiqua" w:cs="Times New Roman" w:hint="eastAsia"/>
                      <w:kern w:val="2"/>
                      <w:sz w:val="21"/>
                      <w:szCs w:val="21"/>
                      <w:lang w:eastAsia="zh-CN"/>
                    </w:rPr>
                    <w:t xml:space="preserve"> </w:t>
                  </w:r>
                  <w:r w:rsidRPr="00CC6846">
                    <w:rPr>
                      <w:rFonts w:ascii="Book Antiqua" w:eastAsia="Calibri" w:hAnsi="Book Antiqua" w:cs="Times New Roman"/>
                      <w:kern w:val="2"/>
                      <w:sz w:val="21"/>
                      <w:szCs w:val="21"/>
                    </w:rPr>
                    <w:t xml:space="preserve">0.27; CI: 0.11-0.33, </w:t>
                  </w:r>
                  <w:r w:rsidR="00095057" w:rsidRPr="00095057">
                    <w:rPr>
                      <w:rFonts w:ascii="Book Antiqua" w:eastAsiaTheme="minorEastAsia" w:hAnsi="Book Antiqua" w:cs="Times New Roman"/>
                      <w:i/>
                      <w:sz w:val="21"/>
                      <w:szCs w:val="21"/>
                      <w:lang w:eastAsia="de-DE"/>
                    </w:rPr>
                    <w:t>P</w:t>
                  </w:r>
                  <w:r w:rsidR="00095057" w:rsidRPr="00CC6846">
                    <w:rPr>
                      <w:rFonts w:ascii="Book Antiqua" w:eastAsia="Calibri" w:hAnsi="Book Antiqua" w:cs="Times New Roman"/>
                      <w:kern w:val="2"/>
                      <w:sz w:val="21"/>
                      <w:szCs w:val="21"/>
                    </w:rPr>
                    <w:t xml:space="preserve"> </w:t>
                  </w:r>
                  <w:r w:rsidRPr="00CC6846">
                    <w:rPr>
                      <w:rFonts w:ascii="Book Antiqua" w:eastAsia="Calibri" w:hAnsi="Book Antiqua" w:cs="Times New Roman"/>
                      <w:kern w:val="2"/>
                      <w:sz w:val="21"/>
                      <w:szCs w:val="21"/>
                    </w:rPr>
                    <w:t>=</w:t>
                  </w:r>
                  <w:r w:rsidR="00095057">
                    <w:rPr>
                      <w:rFonts w:ascii="Book Antiqua" w:hAnsi="Book Antiqua" w:cs="Times New Roman" w:hint="eastAsia"/>
                      <w:kern w:val="2"/>
                      <w:sz w:val="21"/>
                      <w:szCs w:val="21"/>
                      <w:lang w:eastAsia="zh-CN"/>
                    </w:rPr>
                    <w:t xml:space="preserve"> </w:t>
                  </w:r>
                  <w:r w:rsidRPr="00CC6846">
                    <w:rPr>
                      <w:rFonts w:ascii="Book Antiqua" w:eastAsia="Calibri" w:hAnsi="Book Antiqua" w:cs="Times New Roman"/>
                      <w:kern w:val="2"/>
                      <w:sz w:val="21"/>
                      <w:szCs w:val="21"/>
                    </w:rPr>
                    <w:t>0.001</w:t>
                  </w:r>
                </w:p>
              </w:tc>
            </w:tr>
            <w:tr w:rsidR="00095057" w:rsidRPr="00CC6846" w14:paraId="52DEBF97" w14:textId="77777777" w:rsidTr="00095057">
              <w:trPr>
                <w:cantSplit/>
                <w:trHeight w:hRule="exact" w:val="1134"/>
              </w:trPr>
              <w:tc>
                <w:tcPr>
                  <w:tcW w:w="742" w:type="dxa"/>
                  <w:tcBorders>
                    <w:top w:val="single" w:sz="4" w:space="0" w:color="auto"/>
                  </w:tcBorders>
                  <w:vAlign w:val="center"/>
                </w:tcPr>
                <w:p w14:paraId="7BBF167D" w14:textId="3E26C41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Waits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[44]</w:t>
                  </w:r>
                </w:p>
              </w:tc>
              <w:tc>
                <w:tcPr>
                  <w:tcW w:w="568" w:type="dxa"/>
                  <w:tcBorders>
                    <w:top w:val="single" w:sz="4" w:space="0" w:color="auto"/>
                  </w:tcBorders>
                  <w:vAlign w:val="center"/>
                </w:tcPr>
                <w:p w14:paraId="6CCEB5A4" w14:textId="79B8A479" w:rsidR="00154C57" w:rsidRPr="00CC6846" w:rsidRDefault="003C6F52"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 xml:space="preserve">United </w:t>
                  </w:r>
                  <w:proofErr w:type="spellStart"/>
                  <w:r w:rsidRPr="00095057">
                    <w:rPr>
                      <w:rFonts w:ascii="Book Antiqua" w:eastAsia="Calibri" w:hAnsi="Book Antiqua" w:cs="Times New Roman"/>
                      <w:kern w:val="2"/>
                      <w:sz w:val="21"/>
                      <w:szCs w:val="21"/>
                    </w:rPr>
                    <w:t>Sta</w:t>
                  </w:r>
                  <w:proofErr w:type="spellEnd"/>
                </w:p>
              </w:tc>
              <w:tc>
                <w:tcPr>
                  <w:tcW w:w="709" w:type="dxa"/>
                  <w:tcBorders>
                    <w:top w:val="single" w:sz="4" w:space="0" w:color="auto"/>
                  </w:tcBorders>
                  <w:vAlign w:val="center"/>
                </w:tcPr>
                <w:p w14:paraId="511B34B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8</w:t>
                  </w:r>
                </w:p>
              </w:tc>
              <w:tc>
                <w:tcPr>
                  <w:tcW w:w="567" w:type="dxa"/>
                  <w:tcBorders>
                    <w:top w:val="single" w:sz="4" w:space="0" w:color="auto"/>
                  </w:tcBorders>
                </w:tcPr>
                <w:p w14:paraId="1BC205C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7D639C9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717A769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R</w:t>
                  </w:r>
                </w:p>
              </w:tc>
              <w:tc>
                <w:tcPr>
                  <w:tcW w:w="708" w:type="dxa"/>
                  <w:tcBorders>
                    <w:top w:val="single" w:sz="4" w:space="0" w:color="auto"/>
                  </w:tcBorders>
                  <w:vAlign w:val="center"/>
                </w:tcPr>
                <w:p w14:paraId="02253C5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348</w:t>
                  </w:r>
                </w:p>
              </w:tc>
              <w:tc>
                <w:tcPr>
                  <w:tcW w:w="568" w:type="dxa"/>
                  <w:tcBorders>
                    <w:top w:val="single" w:sz="4" w:space="0" w:color="auto"/>
                  </w:tcBorders>
                  <w:vAlign w:val="center"/>
                </w:tcPr>
                <w:p w14:paraId="69882D84"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51</w:t>
                  </w:r>
                </w:p>
              </w:tc>
              <w:tc>
                <w:tcPr>
                  <w:tcW w:w="709" w:type="dxa"/>
                  <w:tcBorders>
                    <w:top w:val="single" w:sz="4" w:space="0" w:color="auto"/>
                  </w:tcBorders>
                  <w:vAlign w:val="center"/>
                </w:tcPr>
                <w:p w14:paraId="28471A5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62</w:t>
                  </w:r>
                </w:p>
              </w:tc>
              <w:tc>
                <w:tcPr>
                  <w:tcW w:w="1258" w:type="dxa"/>
                  <w:tcBorders>
                    <w:top w:val="single" w:sz="4" w:space="0" w:color="auto"/>
                  </w:tcBorders>
                  <w:vAlign w:val="center"/>
                </w:tcPr>
                <w:p w14:paraId="4ACA4FF9"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Liver transplantation</w:t>
                  </w:r>
                </w:p>
              </w:tc>
              <w:tc>
                <w:tcPr>
                  <w:tcW w:w="1434" w:type="dxa"/>
                  <w:tcBorders>
                    <w:top w:val="single" w:sz="4" w:space="0" w:color="auto"/>
                  </w:tcBorders>
                  <w:vAlign w:val="center"/>
                </w:tcPr>
                <w:p w14:paraId="4E6AF18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Total psoas area &amp; psoas density &amp; age – summarized in new parameter “</w:t>
                  </w:r>
                  <w:proofErr w:type="spellStart"/>
                  <w:r w:rsidRPr="00CC6846">
                    <w:rPr>
                      <w:rFonts w:ascii="Book Antiqua" w:eastAsia="Calibri" w:hAnsi="Book Antiqua" w:cs="Times New Roman"/>
                      <w:kern w:val="2"/>
                      <w:sz w:val="21"/>
                      <w:szCs w:val="21"/>
                    </w:rPr>
                    <w:t>monomorphometric</w:t>
                  </w:r>
                  <w:proofErr w:type="spellEnd"/>
                  <w:r w:rsidRPr="00CC6846">
                    <w:rPr>
                      <w:rFonts w:ascii="Book Antiqua" w:eastAsia="Calibri" w:hAnsi="Book Antiqua" w:cs="Times New Roman"/>
                      <w:kern w:val="2"/>
                      <w:sz w:val="21"/>
                      <w:szCs w:val="21"/>
                    </w:rPr>
                    <w:t xml:space="preserve"> age”</w:t>
                  </w:r>
                </w:p>
              </w:tc>
              <w:tc>
                <w:tcPr>
                  <w:tcW w:w="837" w:type="dxa"/>
                  <w:tcBorders>
                    <w:top w:val="single" w:sz="4" w:space="0" w:color="auto"/>
                  </w:tcBorders>
                  <w:vAlign w:val="center"/>
                </w:tcPr>
                <w:p w14:paraId="77C09B5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545" w:type="dxa"/>
                  <w:tcBorders>
                    <w:top w:val="single" w:sz="4" w:space="0" w:color="auto"/>
                  </w:tcBorders>
                  <w:vAlign w:val="center"/>
                </w:tcPr>
                <w:p w14:paraId="3315180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60</w:t>
                  </w:r>
                </w:p>
              </w:tc>
              <w:tc>
                <w:tcPr>
                  <w:tcW w:w="633" w:type="dxa"/>
                  <w:tcBorders>
                    <w:top w:val="single" w:sz="4" w:space="0" w:color="auto"/>
                  </w:tcBorders>
                  <w:vAlign w:val="center"/>
                </w:tcPr>
                <w:p w14:paraId="4B4784E8"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633" w:type="dxa"/>
                  <w:tcBorders>
                    <w:top w:val="single" w:sz="4" w:space="0" w:color="auto"/>
                  </w:tcBorders>
                  <w:vAlign w:val="center"/>
                </w:tcPr>
                <w:p w14:paraId="11C2933F"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529" w:type="dxa"/>
                  <w:tcBorders>
                    <w:top w:val="single" w:sz="4" w:space="0" w:color="auto"/>
                  </w:tcBorders>
                  <w:vAlign w:val="center"/>
                </w:tcPr>
                <w:p w14:paraId="70979EF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85</w:t>
                  </w:r>
                </w:p>
              </w:tc>
              <w:tc>
                <w:tcPr>
                  <w:tcW w:w="1218" w:type="dxa"/>
                  <w:tcBorders>
                    <w:top w:val="single" w:sz="4" w:space="0" w:color="auto"/>
                  </w:tcBorders>
                  <w:vAlign w:val="center"/>
                </w:tcPr>
                <w:p w14:paraId="03BB5E94"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59</w:t>
                  </w:r>
                </w:p>
              </w:tc>
              <w:tc>
                <w:tcPr>
                  <w:tcW w:w="851" w:type="dxa"/>
                  <w:tcBorders>
                    <w:top w:val="single" w:sz="4" w:space="0" w:color="auto"/>
                  </w:tcBorders>
                </w:tcPr>
                <w:p w14:paraId="4628013F"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07C4B18C" w14:textId="5CBDF721"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1 </w:t>
                  </w:r>
                  <w:r w:rsidR="008808CF">
                    <w:rPr>
                      <w:rFonts w:ascii="Book Antiqua" w:hAnsi="Book Antiqua" w:cs="Times New Roman" w:hint="eastAsia"/>
                      <w:sz w:val="21"/>
                      <w:szCs w:val="21"/>
                      <w:lang w:val="de-DE" w:eastAsia="zh-CN"/>
                    </w:rPr>
                    <w:t>yr</w:t>
                  </w:r>
                  <w:r w:rsidR="008808CF" w:rsidRPr="00CC6846">
                    <w:rPr>
                      <w:rFonts w:ascii="Book Antiqua" w:eastAsiaTheme="minorEastAsia" w:hAnsi="Book Antiqua" w:cs="Times New Roman"/>
                      <w:sz w:val="21"/>
                      <w:szCs w:val="21"/>
                      <w:lang w:val="de-DE" w:eastAsia="de-DE"/>
                    </w:rPr>
                    <w:t xml:space="preserve"> </w:t>
                  </w:r>
                  <w:r w:rsidRPr="00CC6846">
                    <w:rPr>
                      <w:rFonts w:ascii="Book Antiqua" w:eastAsia="Calibri" w:hAnsi="Book Antiqua" w:cs="Times New Roman"/>
                      <w:kern w:val="2"/>
                      <w:sz w:val="21"/>
                      <w:szCs w:val="21"/>
                    </w:rPr>
                    <w:t>and 5 year survival</w:t>
                  </w:r>
                </w:p>
              </w:tc>
              <w:tc>
                <w:tcPr>
                  <w:tcW w:w="1701" w:type="dxa"/>
                  <w:tcBorders>
                    <w:top w:val="single" w:sz="4" w:space="0" w:color="auto"/>
                  </w:tcBorders>
                  <w:vAlign w:val="center"/>
                </w:tcPr>
                <w:p w14:paraId="1FDBEB4E" w14:textId="7A9201FB"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OR</w:t>
                  </w:r>
                  <w:r w:rsidR="00095057">
                    <w:rPr>
                      <w:rFonts w:ascii="Book Antiqua" w:hAnsi="Book Antiqua" w:cs="Times New Roman" w:hint="eastAsia"/>
                      <w:kern w:val="2"/>
                      <w:sz w:val="21"/>
                      <w:szCs w:val="21"/>
                      <w:lang w:eastAsia="zh-CN"/>
                    </w:rPr>
                    <w:t xml:space="preserve"> </w:t>
                  </w:r>
                  <w:r w:rsidRPr="00CC6846">
                    <w:rPr>
                      <w:rFonts w:ascii="Book Antiqua" w:eastAsia="Calibri" w:hAnsi="Book Antiqua" w:cs="Times New Roman"/>
                      <w:kern w:val="2"/>
                      <w:sz w:val="21"/>
                      <w:szCs w:val="21"/>
                    </w:rPr>
                    <w:t>=</w:t>
                  </w:r>
                  <w:r w:rsidR="00095057">
                    <w:rPr>
                      <w:rFonts w:ascii="Book Antiqua" w:hAnsi="Book Antiqua" w:cs="Times New Roman" w:hint="eastAsia"/>
                      <w:kern w:val="2"/>
                      <w:sz w:val="21"/>
                      <w:szCs w:val="21"/>
                      <w:lang w:eastAsia="zh-CN"/>
                    </w:rPr>
                    <w:t xml:space="preserve"> </w:t>
                  </w:r>
                  <w:r w:rsidRPr="00CC6846">
                    <w:rPr>
                      <w:rFonts w:ascii="Book Antiqua" w:eastAsia="Calibri" w:hAnsi="Book Antiqua" w:cs="Times New Roman"/>
                      <w:kern w:val="2"/>
                      <w:sz w:val="21"/>
                      <w:szCs w:val="21"/>
                    </w:rPr>
                    <w:t xml:space="preserve">1.04; CI: 1.03-1.06, </w:t>
                  </w:r>
                  <w:r w:rsidR="00095057" w:rsidRPr="00095057">
                    <w:rPr>
                      <w:rFonts w:ascii="Book Antiqua" w:eastAsiaTheme="minorEastAsia" w:hAnsi="Book Antiqua" w:cs="Times New Roman"/>
                      <w:i/>
                      <w:sz w:val="21"/>
                      <w:szCs w:val="21"/>
                      <w:lang w:eastAsia="de-DE"/>
                    </w:rPr>
                    <w:t>P</w:t>
                  </w:r>
                  <w:r w:rsidR="00095057" w:rsidRPr="00CC6846">
                    <w:rPr>
                      <w:rFonts w:ascii="Book Antiqua" w:eastAsia="Calibri" w:hAnsi="Book Antiqua" w:cs="Times New Roman"/>
                      <w:kern w:val="2"/>
                      <w:sz w:val="21"/>
                      <w:szCs w:val="21"/>
                    </w:rPr>
                    <w:t xml:space="preserve"> </w:t>
                  </w:r>
                  <w:r w:rsidRPr="00CC6846">
                    <w:rPr>
                      <w:rFonts w:ascii="Book Antiqua" w:eastAsia="Calibri" w:hAnsi="Book Antiqua" w:cs="Times New Roman"/>
                      <w:kern w:val="2"/>
                      <w:sz w:val="21"/>
                      <w:szCs w:val="21"/>
                    </w:rPr>
                    <w:t>=</w:t>
                  </w:r>
                  <w:r w:rsidR="00095057">
                    <w:rPr>
                      <w:rFonts w:ascii="Book Antiqua" w:hAnsi="Book Antiqua" w:cs="Times New Roman" w:hint="eastAsia"/>
                      <w:kern w:val="2"/>
                      <w:sz w:val="21"/>
                      <w:szCs w:val="21"/>
                      <w:lang w:eastAsia="zh-CN"/>
                    </w:rPr>
                    <w:t xml:space="preserve"> </w:t>
                  </w:r>
                  <w:r w:rsidRPr="00CC6846">
                    <w:rPr>
                      <w:rFonts w:ascii="Book Antiqua" w:eastAsia="Calibri" w:hAnsi="Book Antiqua" w:cs="Times New Roman"/>
                      <w:kern w:val="2"/>
                      <w:sz w:val="21"/>
                      <w:szCs w:val="21"/>
                    </w:rPr>
                    <w:t>0.001</w:t>
                  </w:r>
                </w:p>
              </w:tc>
            </w:tr>
            <w:tr w:rsidR="00095057" w:rsidRPr="00CC6846" w14:paraId="6FF362E9" w14:textId="77777777" w:rsidTr="00095057">
              <w:trPr>
                <w:cantSplit/>
                <w:trHeight w:hRule="exact" w:val="1134"/>
              </w:trPr>
              <w:tc>
                <w:tcPr>
                  <w:tcW w:w="742" w:type="dxa"/>
                  <w:tcBorders>
                    <w:top w:val="single" w:sz="4" w:space="0" w:color="auto"/>
                  </w:tcBorders>
                  <w:vAlign w:val="center"/>
                </w:tcPr>
                <w:p w14:paraId="4668DCCC" w14:textId="317FF295"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Masuda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[76]</w:t>
                  </w:r>
                </w:p>
              </w:tc>
              <w:tc>
                <w:tcPr>
                  <w:tcW w:w="568" w:type="dxa"/>
                  <w:tcBorders>
                    <w:top w:val="single" w:sz="4" w:space="0" w:color="auto"/>
                  </w:tcBorders>
                  <w:vAlign w:val="center"/>
                </w:tcPr>
                <w:p w14:paraId="3FEB48E3" w14:textId="29E1FD0F" w:rsidR="00154C57" w:rsidRPr="00CC6846"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Japanese</w:t>
                  </w:r>
                </w:p>
              </w:tc>
              <w:tc>
                <w:tcPr>
                  <w:tcW w:w="709" w:type="dxa"/>
                  <w:tcBorders>
                    <w:top w:val="single" w:sz="4" w:space="0" w:color="auto"/>
                  </w:tcBorders>
                  <w:vAlign w:val="center"/>
                </w:tcPr>
                <w:p w14:paraId="405810F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5</w:t>
                  </w:r>
                </w:p>
              </w:tc>
              <w:tc>
                <w:tcPr>
                  <w:tcW w:w="567" w:type="dxa"/>
                  <w:tcBorders>
                    <w:top w:val="single" w:sz="4" w:space="0" w:color="auto"/>
                  </w:tcBorders>
                </w:tcPr>
                <w:p w14:paraId="0D8EDDA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CD9D29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0B70C7E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R</w:t>
                  </w:r>
                </w:p>
              </w:tc>
              <w:tc>
                <w:tcPr>
                  <w:tcW w:w="708" w:type="dxa"/>
                  <w:tcBorders>
                    <w:top w:val="single" w:sz="4" w:space="0" w:color="auto"/>
                  </w:tcBorders>
                  <w:vAlign w:val="center"/>
                </w:tcPr>
                <w:p w14:paraId="00B24CC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2014</w:t>
                  </w:r>
                </w:p>
              </w:tc>
              <w:tc>
                <w:tcPr>
                  <w:tcW w:w="568" w:type="dxa"/>
                  <w:tcBorders>
                    <w:top w:val="single" w:sz="4" w:space="0" w:color="auto"/>
                  </w:tcBorders>
                  <w:vAlign w:val="center"/>
                </w:tcPr>
                <w:p w14:paraId="53382FE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48</w:t>
                  </w:r>
                </w:p>
              </w:tc>
              <w:tc>
                <w:tcPr>
                  <w:tcW w:w="709" w:type="dxa"/>
                  <w:tcBorders>
                    <w:top w:val="single" w:sz="4" w:space="0" w:color="auto"/>
                  </w:tcBorders>
                  <w:vAlign w:val="center"/>
                </w:tcPr>
                <w:p w14:paraId="2D939BC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50</w:t>
                  </w:r>
                </w:p>
              </w:tc>
              <w:tc>
                <w:tcPr>
                  <w:tcW w:w="1258" w:type="dxa"/>
                  <w:tcBorders>
                    <w:top w:val="single" w:sz="4" w:space="0" w:color="auto"/>
                  </w:tcBorders>
                  <w:vAlign w:val="center"/>
                </w:tcPr>
                <w:p w14:paraId="12CCBA5A"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Living donor Liver transplantation</w:t>
                  </w:r>
                </w:p>
              </w:tc>
              <w:tc>
                <w:tcPr>
                  <w:tcW w:w="1434" w:type="dxa"/>
                  <w:tcBorders>
                    <w:top w:val="single" w:sz="4" w:space="0" w:color="auto"/>
                  </w:tcBorders>
                  <w:vAlign w:val="center"/>
                </w:tcPr>
                <w:p w14:paraId="5315CEF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Total psoas area</w:t>
                  </w:r>
                </w:p>
                <w:p w14:paraId="06B26D8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tc>
              <w:tc>
                <w:tcPr>
                  <w:tcW w:w="837" w:type="dxa"/>
                  <w:tcBorders>
                    <w:top w:val="single" w:sz="4" w:space="0" w:color="auto"/>
                  </w:tcBorders>
                  <w:vAlign w:val="center"/>
                </w:tcPr>
                <w:p w14:paraId="062138BA"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18</w:t>
                  </w:r>
                </w:p>
              </w:tc>
              <w:tc>
                <w:tcPr>
                  <w:tcW w:w="545" w:type="dxa"/>
                  <w:tcBorders>
                    <w:top w:val="single" w:sz="4" w:space="0" w:color="auto"/>
                  </w:tcBorders>
                  <w:vAlign w:val="center"/>
                </w:tcPr>
                <w:p w14:paraId="4389F92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60</w:t>
                  </w:r>
                </w:p>
              </w:tc>
              <w:tc>
                <w:tcPr>
                  <w:tcW w:w="633" w:type="dxa"/>
                  <w:tcBorders>
                    <w:top w:val="single" w:sz="4" w:space="0" w:color="auto"/>
                  </w:tcBorders>
                  <w:vAlign w:val="center"/>
                </w:tcPr>
                <w:p w14:paraId="1F2764B8"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633" w:type="dxa"/>
                  <w:tcBorders>
                    <w:top w:val="single" w:sz="4" w:space="0" w:color="auto"/>
                  </w:tcBorders>
                  <w:vAlign w:val="center"/>
                </w:tcPr>
                <w:p w14:paraId="454FB8B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529" w:type="dxa"/>
                  <w:tcBorders>
                    <w:top w:val="single" w:sz="4" w:space="0" w:color="auto"/>
                  </w:tcBorders>
                  <w:vAlign w:val="center"/>
                </w:tcPr>
                <w:p w14:paraId="1E6F18F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75</w:t>
                  </w:r>
                </w:p>
              </w:tc>
              <w:tc>
                <w:tcPr>
                  <w:tcW w:w="1218" w:type="dxa"/>
                  <w:tcBorders>
                    <w:top w:val="single" w:sz="4" w:space="0" w:color="auto"/>
                  </w:tcBorders>
                  <w:vAlign w:val="center"/>
                </w:tcPr>
                <w:p w14:paraId="271D30D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89</w:t>
                  </w:r>
                </w:p>
              </w:tc>
              <w:tc>
                <w:tcPr>
                  <w:tcW w:w="851" w:type="dxa"/>
                  <w:tcBorders>
                    <w:top w:val="single" w:sz="4" w:space="0" w:color="auto"/>
                  </w:tcBorders>
                </w:tcPr>
                <w:p w14:paraId="25E8818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63BDD974" w14:textId="6CF68EA2" w:rsidR="00154C57" w:rsidRPr="00CC6846" w:rsidRDefault="008808CF" w:rsidP="00CB2DFE">
                  <w:pPr>
                    <w:widowControl w:val="0"/>
                    <w:suppressAutoHyphens/>
                    <w:spacing w:after="0" w:line="360" w:lineRule="auto"/>
                    <w:jc w:val="both"/>
                    <w:rPr>
                      <w:rFonts w:ascii="Book Antiqua" w:eastAsia="Calibri" w:hAnsi="Book Antiqua" w:cs="Times New Roman"/>
                      <w:kern w:val="2"/>
                      <w:sz w:val="21"/>
                      <w:szCs w:val="21"/>
                    </w:rPr>
                  </w:pPr>
                  <w:r>
                    <w:rPr>
                      <w:rFonts w:ascii="Book Antiqua" w:eastAsia="Calibri" w:hAnsi="Book Antiqua" w:cs="Times New Roman"/>
                      <w:kern w:val="2"/>
                      <w:sz w:val="21"/>
                      <w:szCs w:val="21"/>
                    </w:rPr>
                    <w:t>1</w:t>
                  </w:r>
                  <w:r>
                    <w:rPr>
                      <w:rFonts w:ascii="Book Antiqua" w:hAnsi="Book Antiqua" w:cs="Times New Roman" w:hint="eastAsia"/>
                      <w:kern w:val="2"/>
                      <w:sz w:val="21"/>
                      <w:szCs w:val="21"/>
                      <w:lang w:eastAsia="zh-CN"/>
                    </w:rPr>
                    <w:t xml:space="preserve"> </w:t>
                  </w:r>
                  <w:r>
                    <w:rPr>
                      <w:rFonts w:ascii="Book Antiqua" w:hAnsi="Book Antiqua" w:cs="Times New Roman" w:hint="eastAsia"/>
                      <w:sz w:val="21"/>
                      <w:szCs w:val="21"/>
                      <w:lang w:val="de-DE" w:eastAsia="zh-CN"/>
                    </w:rPr>
                    <w:t>yr</w:t>
                  </w:r>
                  <w:r w:rsidRPr="00CC6846">
                    <w:rPr>
                      <w:rFonts w:ascii="Book Antiqua" w:eastAsiaTheme="minorEastAsia" w:hAnsi="Book Antiqua" w:cs="Times New Roman"/>
                      <w:sz w:val="21"/>
                      <w:szCs w:val="21"/>
                      <w:lang w:val="de-DE" w:eastAsia="de-DE"/>
                    </w:rPr>
                    <w:t xml:space="preserve"> </w:t>
                  </w:r>
                  <w:r w:rsidR="00154C57" w:rsidRPr="00CC6846">
                    <w:rPr>
                      <w:rFonts w:ascii="Book Antiqua" w:eastAsia="Calibri" w:hAnsi="Book Antiqua" w:cs="Times New Roman"/>
                      <w:kern w:val="2"/>
                      <w:sz w:val="21"/>
                      <w:szCs w:val="21"/>
                    </w:rPr>
                    <w:t>and 5 year survival</w:t>
                  </w:r>
                </w:p>
              </w:tc>
              <w:tc>
                <w:tcPr>
                  <w:tcW w:w="1701" w:type="dxa"/>
                  <w:tcBorders>
                    <w:top w:val="single" w:sz="4" w:space="0" w:color="auto"/>
                  </w:tcBorders>
                  <w:vAlign w:val="center"/>
                </w:tcPr>
                <w:p w14:paraId="054C26F0" w14:textId="1279BFF6" w:rsidR="00154C57" w:rsidRPr="00CC6846" w:rsidRDefault="00154C57" w:rsidP="00CB2DFE">
                  <w:pPr>
                    <w:spacing w:after="0" w:line="360" w:lineRule="auto"/>
                    <w:jc w:val="both"/>
                    <w:rPr>
                      <w:rFonts w:ascii="Book Antiqua" w:eastAsiaTheme="minorEastAsia" w:hAnsi="Book Antiqua" w:cs="Times New Roman"/>
                      <w:sz w:val="21"/>
                      <w:szCs w:val="21"/>
                      <w:lang w:eastAsia="de-DE"/>
                    </w:rPr>
                  </w:pPr>
                  <w:r w:rsidRPr="00CC6846">
                    <w:rPr>
                      <w:rFonts w:ascii="Book Antiqua" w:eastAsiaTheme="minorEastAsia" w:hAnsi="Book Antiqua" w:cs="Times New Roman"/>
                      <w:color w:val="111111"/>
                      <w:sz w:val="21"/>
                      <w:szCs w:val="21"/>
                      <w:lang w:eastAsia="de-DE"/>
                    </w:rPr>
                    <w:t>OR</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 xml:space="preserve">2,06; CI: 1.1-4.2, </w:t>
                  </w:r>
                  <w:r w:rsidR="00095057" w:rsidRPr="00095057">
                    <w:rPr>
                      <w:rFonts w:ascii="Book Antiqua" w:eastAsiaTheme="minorEastAsia" w:hAnsi="Book Antiqua" w:cs="Times New Roman"/>
                      <w:i/>
                      <w:sz w:val="21"/>
                      <w:szCs w:val="21"/>
                      <w:lang w:eastAsia="de-DE"/>
                    </w:rPr>
                    <w:t>P</w:t>
                  </w:r>
                  <w:r w:rsidR="00095057" w:rsidRPr="00CC6846">
                    <w:rPr>
                      <w:rFonts w:ascii="Book Antiqua" w:eastAsiaTheme="minorEastAsia" w:hAnsi="Book Antiqua" w:cs="Times New Roman"/>
                      <w:color w:val="111111"/>
                      <w:sz w:val="21"/>
                      <w:szCs w:val="21"/>
                      <w:lang w:eastAsia="de-DE"/>
                    </w:rPr>
                    <w:t xml:space="preserve"> </w:t>
                  </w:r>
                  <w:r w:rsidRPr="00CC6846">
                    <w:rPr>
                      <w:rFonts w:ascii="Book Antiqua" w:eastAsiaTheme="minorEastAsia" w:hAnsi="Book Antiqua" w:cs="Times New Roman"/>
                      <w:color w:val="111111"/>
                      <w:sz w:val="21"/>
                      <w:szCs w:val="21"/>
                      <w:lang w:eastAsia="de-DE"/>
                    </w:rPr>
                    <w:t>=</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0.05</w:t>
                  </w:r>
                </w:p>
                <w:p w14:paraId="557E78F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tc>
            </w:tr>
            <w:tr w:rsidR="00095057" w:rsidRPr="00CC6846" w14:paraId="5DA21AEA" w14:textId="77777777" w:rsidTr="00095057">
              <w:trPr>
                <w:cantSplit/>
                <w:trHeight w:hRule="exact" w:val="1134"/>
              </w:trPr>
              <w:tc>
                <w:tcPr>
                  <w:tcW w:w="742" w:type="dxa"/>
                  <w:tcBorders>
                    <w:top w:val="single" w:sz="4" w:space="0" w:color="auto"/>
                  </w:tcBorders>
                  <w:vAlign w:val="center"/>
                </w:tcPr>
                <w:p w14:paraId="672673E9" w14:textId="43D2257E"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CC6846">
                    <w:rPr>
                      <w:rFonts w:ascii="Book Antiqua" w:eastAsia="Calibri" w:hAnsi="Book Antiqua" w:cs="Times New Roman"/>
                      <w:kern w:val="2"/>
                      <w:sz w:val="21"/>
                      <w:szCs w:val="21"/>
                    </w:rPr>
                    <w:t>Kaido</w:t>
                  </w:r>
                  <w:proofErr w:type="spellEnd"/>
                  <w:r w:rsidRPr="00CC6846">
                    <w:rPr>
                      <w:rFonts w:ascii="Book Antiqua" w:eastAsia="Calibri" w:hAnsi="Book Antiqua" w:cs="Times New Roman"/>
                      <w:kern w:val="2"/>
                      <w:sz w:val="21"/>
                      <w:szCs w:val="21"/>
                    </w:rPr>
                    <w:t xml:space="preserve">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[32]</w:t>
                  </w:r>
                </w:p>
              </w:tc>
              <w:tc>
                <w:tcPr>
                  <w:tcW w:w="568" w:type="dxa"/>
                  <w:tcBorders>
                    <w:top w:val="single" w:sz="4" w:space="0" w:color="auto"/>
                  </w:tcBorders>
                  <w:vAlign w:val="center"/>
                </w:tcPr>
                <w:p w14:paraId="4939A7CE" w14:textId="11BED096" w:rsidR="00154C57" w:rsidRPr="00CC6846"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Japanese</w:t>
                  </w:r>
                </w:p>
              </w:tc>
              <w:tc>
                <w:tcPr>
                  <w:tcW w:w="709" w:type="dxa"/>
                  <w:tcBorders>
                    <w:top w:val="single" w:sz="4" w:space="0" w:color="auto"/>
                  </w:tcBorders>
                  <w:vAlign w:val="center"/>
                </w:tcPr>
                <w:p w14:paraId="43E774D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w:t>
                  </w:r>
                </w:p>
              </w:tc>
              <w:tc>
                <w:tcPr>
                  <w:tcW w:w="567" w:type="dxa"/>
                  <w:tcBorders>
                    <w:top w:val="single" w:sz="4" w:space="0" w:color="auto"/>
                  </w:tcBorders>
                </w:tcPr>
                <w:p w14:paraId="2179F7E8"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5F2841AB"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266C146A"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P</w:t>
                  </w:r>
                </w:p>
              </w:tc>
              <w:tc>
                <w:tcPr>
                  <w:tcW w:w="708" w:type="dxa"/>
                  <w:tcBorders>
                    <w:top w:val="single" w:sz="4" w:space="0" w:color="auto"/>
                  </w:tcBorders>
                  <w:vAlign w:val="center"/>
                </w:tcPr>
                <w:p w14:paraId="1B57F170"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124</w:t>
                  </w:r>
                </w:p>
              </w:tc>
              <w:tc>
                <w:tcPr>
                  <w:tcW w:w="568" w:type="dxa"/>
                  <w:tcBorders>
                    <w:top w:val="single" w:sz="4" w:space="0" w:color="auto"/>
                  </w:tcBorders>
                  <w:vAlign w:val="center"/>
                </w:tcPr>
                <w:p w14:paraId="17D621B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54</w:t>
                  </w:r>
                </w:p>
              </w:tc>
              <w:tc>
                <w:tcPr>
                  <w:tcW w:w="709" w:type="dxa"/>
                  <w:tcBorders>
                    <w:top w:val="single" w:sz="4" w:space="0" w:color="auto"/>
                  </w:tcBorders>
                  <w:vAlign w:val="center"/>
                </w:tcPr>
                <w:p w14:paraId="0CD93784"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1258" w:type="dxa"/>
                  <w:tcBorders>
                    <w:top w:val="single" w:sz="4" w:space="0" w:color="auto"/>
                  </w:tcBorders>
                  <w:vAlign w:val="center"/>
                </w:tcPr>
                <w:p w14:paraId="04336CF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Living donor Liver transplantation </w:t>
                  </w:r>
                </w:p>
              </w:tc>
              <w:tc>
                <w:tcPr>
                  <w:tcW w:w="1434" w:type="dxa"/>
                  <w:tcBorders>
                    <w:top w:val="single" w:sz="4" w:space="0" w:color="auto"/>
                  </w:tcBorders>
                  <w:vAlign w:val="center"/>
                </w:tcPr>
                <w:p w14:paraId="43E8FBE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Skeletal muscle mass &amp; </w:t>
                  </w:r>
                  <w:proofErr w:type="spellStart"/>
                  <w:r w:rsidRPr="00CC6846">
                    <w:rPr>
                      <w:rFonts w:ascii="Book Antiqua" w:eastAsia="Calibri" w:hAnsi="Book Antiqua" w:cs="Times New Roman"/>
                      <w:kern w:val="2"/>
                      <w:sz w:val="21"/>
                      <w:szCs w:val="21"/>
                    </w:rPr>
                    <w:t>bioimpedance</w:t>
                  </w:r>
                  <w:proofErr w:type="spellEnd"/>
                  <w:r w:rsidRPr="00CC6846">
                    <w:rPr>
                      <w:rFonts w:ascii="Book Antiqua" w:eastAsia="Calibri" w:hAnsi="Book Antiqua" w:cs="Times New Roman"/>
                      <w:kern w:val="2"/>
                      <w:sz w:val="21"/>
                      <w:szCs w:val="21"/>
                    </w:rPr>
                    <w:t xml:space="preserve"> analysis</w:t>
                  </w:r>
                </w:p>
              </w:tc>
              <w:tc>
                <w:tcPr>
                  <w:tcW w:w="837" w:type="dxa"/>
                  <w:tcBorders>
                    <w:top w:val="single" w:sz="4" w:space="0" w:color="auto"/>
                  </w:tcBorders>
                  <w:vAlign w:val="center"/>
                </w:tcPr>
                <w:p w14:paraId="5C15A104"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545" w:type="dxa"/>
                  <w:tcBorders>
                    <w:top w:val="single" w:sz="4" w:space="0" w:color="auto"/>
                  </w:tcBorders>
                  <w:vAlign w:val="center"/>
                </w:tcPr>
                <w:p w14:paraId="44CF023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60</w:t>
                  </w:r>
                </w:p>
              </w:tc>
              <w:tc>
                <w:tcPr>
                  <w:tcW w:w="633" w:type="dxa"/>
                  <w:tcBorders>
                    <w:top w:val="single" w:sz="4" w:space="0" w:color="auto"/>
                  </w:tcBorders>
                  <w:vAlign w:val="center"/>
                </w:tcPr>
                <w:p w14:paraId="5494400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633" w:type="dxa"/>
                  <w:tcBorders>
                    <w:top w:val="single" w:sz="4" w:space="0" w:color="auto"/>
                  </w:tcBorders>
                  <w:vAlign w:val="center"/>
                </w:tcPr>
                <w:p w14:paraId="566872A1"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529" w:type="dxa"/>
                  <w:tcBorders>
                    <w:top w:val="single" w:sz="4" w:space="0" w:color="auto"/>
                  </w:tcBorders>
                  <w:vAlign w:val="center"/>
                </w:tcPr>
                <w:p w14:paraId="00026588"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80</w:t>
                  </w:r>
                </w:p>
              </w:tc>
              <w:tc>
                <w:tcPr>
                  <w:tcW w:w="1218" w:type="dxa"/>
                  <w:tcBorders>
                    <w:top w:val="single" w:sz="4" w:space="0" w:color="auto"/>
                  </w:tcBorders>
                  <w:vAlign w:val="center"/>
                </w:tcPr>
                <w:p w14:paraId="76FDBA1D"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73</w:t>
                  </w:r>
                </w:p>
              </w:tc>
              <w:tc>
                <w:tcPr>
                  <w:tcW w:w="851" w:type="dxa"/>
                  <w:tcBorders>
                    <w:top w:val="single" w:sz="4" w:space="0" w:color="auto"/>
                  </w:tcBorders>
                </w:tcPr>
                <w:p w14:paraId="7ED9F51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0A9BE25A" w14:textId="01D7EA2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1 </w:t>
                  </w:r>
                  <w:r w:rsidR="008808CF">
                    <w:rPr>
                      <w:rFonts w:ascii="Book Antiqua" w:hAnsi="Book Antiqua" w:cs="Times New Roman" w:hint="eastAsia"/>
                      <w:sz w:val="21"/>
                      <w:szCs w:val="21"/>
                      <w:lang w:val="de-DE" w:eastAsia="zh-CN"/>
                    </w:rPr>
                    <w:t>yr</w:t>
                  </w:r>
                  <w:r w:rsidR="008808CF" w:rsidRPr="00CC6846">
                    <w:rPr>
                      <w:rFonts w:ascii="Book Antiqua" w:eastAsiaTheme="minorEastAsia" w:hAnsi="Book Antiqua" w:cs="Times New Roman"/>
                      <w:sz w:val="21"/>
                      <w:szCs w:val="21"/>
                      <w:lang w:val="de-DE" w:eastAsia="de-DE"/>
                    </w:rPr>
                    <w:t xml:space="preserve"> </w:t>
                  </w:r>
                  <w:r w:rsidRPr="00CC6846">
                    <w:rPr>
                      <w:rFonts w:ascii="Book Antiqua" w:eastAsia="Calibri" w:hAnsi="Book Antiqua" w:cs="Times New Roman"/>
                      <w:kern w:val="2"/>
                      <w:sz w:val="21"/>
                      <w:szCs w:val="21"/>
                    </w:rPr>
                    <w:t>and 5 year survival</w:t>
                  </w:r>
                </w:p>
              </w:tc>
              <w:tc>
                <w:tcPr>
                  <w:tcW w:w="1701" w:type="dxa"/>
                  <w:tcBorders>
                    <w:top w:val="single" w:sz="4" w:space="0" w:color="auto"/>
                  </w:tcBorders>
                  <w:vAlign w:val="center"/>
                </w:tcPr>
                <w:p w14:paraId="19474155" w14:textId="4FBDFED0" w:rsidR="00154C57" w:rsidRPr="00CC6846" w:rsidRDefault="00154C57" w:rsidP="00CB2DFE">
                  <w:pPr>
                    <w:spacing w:after="0" w:line="360" w:lineRule="auto"/>
                    <w:jc w:val="both"/>
                    <w:rPr>
                      <w:rFonts w:ascii="Book Antiqua" w:eastAsiaTheme="minorEastAsia" w:hAnsi="Book Antiqua" w:cs="Times New Roman"/>
                      <w:color w:val="111111"/>
                      <w:sz w:val="21"/>
                      <w:szCs w:val="21"/>
                      <w:lang w:eastAsia="de-DE"/>
                    </w:rPr>
                  </w:pPr>
                  <w:r w:rsidRPr="00CC6846">
                    <w:rPr>
                      <w:rFonts w:ascii="Book Antiqua" w:eastAsiaTheme="minorEastAsia" w:hAnsi="Book Antiqua" w:cs="Times New Roman"/>
                      <w:color w:val="111111"/>
                      <w:sz w:val="21"/>
                      <w:szCs w:val="21"/>
                      <w:lang w:eastAsia="de-DE"/>
                    </w:rPr>
                    <w:t>OR</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 xml:space="preserve">4.85; CI: 2.092-11.79, </w:t>
                  </w:r>
                  <w:r w:rsidR="00095057" w:rsidRPr="00095057">
                    <w:rPr>
                      <w:rFonts w:ascii="Book Antiqua" w:eastAsiaTheme="minorEastAsia" w:hAnsi="Book Antiqua" w:cs="Times New Roman"/>
                      <w:i/>
                      <w:sz w:val="21"/>
                      <w:szCs w:val="21"/>
                      <w:lang w:eastAsia="de-DE"/>
                    </w:rPr>
                    <w:t>P</w:t>
                  </w:r>
                  <w:r w:rsidR="00095057" w:rsidRPr="00CC6846">
                    <w:rPr>
                      <w:rFonts w:ascii="Book Antiqua" w:eastAsiaTheme="minorEastAsia" w:hAnsi="Book Antiqua" w:cs="Times New Roman"/>
                      <w:color w:val="111111"/>
                      <w:sz w:val="21"/>
                      <w:szCs w:val="21"/>
                      <w:lang w:eastAsia="de-DE"/>
                    </w:rPr>
                    <w:t xml:space="preserve"> </w:t>
                  </w:r>
                  <w:r w:rsidRPr="00CC6846">
                    <w:rPr>
                      <w:rFonts w:ascii="Book Antiqua" w:eastAsiaTheme="minorEastAsia" w:hAnsi="Book Antiqua" w:cs="Times New Roman"/>
                      <w:color w:val="111111"/>
                      <w:sz w:val="21"/>
                      <w:szCs w:val="21"/>
                      <w:lang w:eastAsia="de-DE"/>
                    </w:rPr>
                    <w:t>=</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0.001</w:t>
                  </w:r>
                </w:p>
              </w:tc>
            </w:tr>
            <w:tr w:rsidR="00095057" w:rsidRPr="00CC6846" w14:paraId="1FEC9049" w14:textId="77777777" w:rsidTr="00095057">
              <w:trPr>
                <w:cantSplit/>
                <w:trHeight w:hRule="exact" w:val="1134"/>
              </w:trPr>
              <w:tc>
                <w:tcPr>
                  <w:tcW w:w="742" w:type="dxa"/>
                  <w:tcBorders>
                    <w:top w:val="single" w:sz="4" w:space="0" w:color="auto"/>
                  </w:tcBorders>
                  <w:vAlign w:val="center"/>
                </w:tcPr>
                <w:p w14:paraId="2EEF7653" w14:textId="11328462"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Peng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[46]</w:t>
                  </w:r>
                </w:p>
              </w:tc>
              <w:tc>
                <w:tcPr>
                  <w:tcW w:w="568" w:type="dxa"/>
                  <w:tcBorders>
                    <w:top w:val="single" w:sz="4" w:space="0" w:color="auto"/>
                  </w:tcBorders>
                  <w:vAlign w:val="center"/>
                </w:tcPr>
                <w:p w14:paraId="339B1689" w14:textId="2203DF25" w:rsidR="00154C57" w:rsidRPr="00CC6846"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United States</w:t>
                  </w:r>
                </w:p>
              </w:tc>
              <w:tc>
                <w:tcPr>
                  <w:tcW w:w="709" w:type="dxa"/>
                  <w:tcBorders>
                    <w:top w:val="single" w:sz="4" w:space="0" w:color="auto"/>
                  </w:tcBorders>
                  <w:vAlign w:val="center"/>
                </w:tcPr>
                <w:p w14:paraId="5FBC4B14"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w:t>
                  </w:r>
                </w:p>
              </w:tc>
              <w:tc>
                <w:tcPr>
                  <w:tcW w:w="567" w:type="dxa"/>
                  <w:tcBorders>
                    <w:top w:val="single" w:sz="4" w:space="0" w:color="auto"/>
                  </w:tcBorders>
                </w:tcPr>
                <w:p w14:paraId="559918C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6D587450"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7573221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R</w:t>
                  </w:r>
                </w:p>
              </w:tc>
              <w:tc>
                <w:tcPr>
                  <w:tcW w:w="708" w:type="dxa"/>
                  <w:tcBorders>
                    <w:top w:val="single" w:sz="4" w:space="0" w:color="auto"/>
                  </w:tcBorders>
                  <w:vAlign w:val="center"/>
                </w:tcPr>
                <w:p w14:paraId="5CEF9E1A"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259</w:t>
                  </w:r>
                </w:p>
              </w:tc>
              <w:tc>
                <w:tcPr>
                  <w:tcW w:w="568" w:type="dxa"/>
                  <w:tcBorders>
                    <w:top w:val="single" w:sz="4" w:space="0" w:color="auto"/>
                  </w:tcBorders>
                  <w:vAlign w:val="center"/>
                </w:tcPr>
                <w:p w14:paraId="6F912BE0"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68</w:t>
                  </w:r>
                </w:p>
              </w:tc>
              <w:tc>
                <w:tcPr>
                  <w:tcW w:w="709" w:type="dxa"/>
                  <w:tcBorders>
                    <w:top w:val="single" w:sz="4" w:space="0" w:color="auto"/>
                  </w:tcBorders>
                  <w:vAlign w:val="center"/>
                </w:tcPr>
                <w:p w14:paraId="2F4D27D0"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60</w:t>
                  </w:r>
                </w:p>
              </w:tc>
              <w:tc>
                <w:tcPr>
                  <w:tcW w:w="1258" w:type="dxa"/>
                  <w:tcBorders>
                    <w:top w:val="single" w:sz="4" w:space="0" w:color="auto"/>
                  </w:tcBorders>
                  <w:vAlign w:val="center"/>
                </w:tcPr>
                <w:p w14:paraId="3DFD1EB8"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Liver resection for CRLM</w:t>
                  </w:r>
                </w:p>
              </w:tc>
              <w:tc>
                <w:tcPr>
                  <w:tcW w:w="1434" w:type="dxa"/>
                  <w:tcBorders>
                    <w:top w:val="single" w:sz="4" w:space="0" w:color="auto"/>
                  </w:tcBorders>
                  <w:vAlign w:val="center"/>
                </w:tcPr>
                <w:p w14:paraId="32904F9D"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Total psoas area</w:t>
                  </w:r>
                </w:p>
              </w:tc>
              <w:tc>
                <w:tcPr>
                  <w:tcW w:w="837" w:type="dxa"/>
                  <w:tcBorders>
                    <w:top w:val="single" w:sz="4" w:space="0" w:color="auto"/>
                  </w:tcBorders>
                  <w:vAlign w:val="center"/>
                </w:tcPr>
                <w:p w14:paraId="654AFA8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10</w:t>
                  </w:r>
                </w:p>
              </w:tc>
              <w:tc>
                <w:tcPr>
                  <w:tcW w:w="545" w:type="dxa"/>
                  <w:tcBorders>
                    <w:top w:val="single" w:sz="4" w:space="0" w:color="auto"/>
                  </w:tcBorders>
                  <w:vAlign w:val="center"/>
                </w:tcPr>
                <w:p w14:paraId="087AB5C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60</w:t>
                  </w:r>
                </w:p>
              </w:tc>
              <w:tc>
                <w:tcPr>
                  <w:tcW w:w="633" w:type="dxa"/>
                  <w:tcBorders>
                    <w:top w:val="single" w:sz="4" w:space="0" w:color="auto"/>
                  </w:tcBorders>
                  <w:vAlign w:val="center"/>
                </w:tcPr>
                <w:p w14:paraId="669BB8B4"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633" w:type="dxa"/>
                  <w:tcBorders>
                    <w:top w:val="single" w:sz="4" w:space="0" w:color="auto"/>
                  </w:tcBorders>
                  <w:vAlign w:val="center"/>
                </w:tcPr>
                <w:p w14:paraId="7F09BA70"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529" w:type="dxa"/>
                  <w:tcBorders>
                    <w:top w:val="single" w:sz="4" w:space="0" w:color="auto"/>
                  </w:tcBorders>
                  <w:vAlign w:val="center"/>
                </w:tcPr>
                <w:p w14:paraId="33424DDA"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65</w:t>
                  </w:r>
                </w:p>
              </w:tc>
              <w:tc>
                <w:tcPr>
                  <w:tcW w:w="1218" w:type="dxa"/>
                  <w:tcBorders>
                    <w:top w:val="single" w:sz="4" w:space="0" w:color="auto"/>
                  </w:tcBorders>
                  <w:vAlign w:val="center"/>
                </w:tcPr>
                <w:p w14:paraId="11B1851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26</w:t>
                  </w:r>
                </w:p>
              </w:tc>
              <w:tc>
                <w:tcPr>
                  <w:tcW w:w="851" w:type="dxa"/>
                  <w:tcBorders>
                    <w:top w:val="single" w:sz="4" w:space="0" w:color="auto"/>
                  </w:tcBorders>
                </w:tcPr>
                <w:p w14:paraId="624B24C8"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77CF08A9"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5C8C2CD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Postoperative complications</w:t>
                  </w:r>
                </w:p>
              </w:tc>
              <w:tc>
                <w:tcPr>
                  <w:tcW w:w="1701" w:type="dxa"/>
                  <w:tcBorders>
                    <w:top w:val="single" w:sz="4" w:space="0" w:color="auto"/>
                  </w:tcBorders>
                  <w:vAlign w:val="center"/>
                </w:tcPr>
                <w:p w14:paraId="08A0E7E2" w14:textId="09A67612" w:rsidR="00154C57" w:rsidRPr="00CC6846" w:rsidRDefault="00154C57" w:rsidP="00CB2DFE">
                  <w:pPr>
                    <w:spacing w:after="0" w:line="360" w:lineRule="auto"/>
                    <w:jc w:val="both"/>
                    <w:rPr>
                      <w:rFonts w:ascii="Book Antiqua" w:eastAsiaTheme="minorEastAsia" w:hAnsi="Book Antiqua" w:cs="Times New Roman"/>
                      <w:color w:val="111111"/>
                      <w:sz w:val="21"/>
                      <w:szCs w:val="21"/>
                      <w:lang w:eastAsia="de-DE"/>
                    </w:rPr>
                  </w:pPr>
                  <w:r w:rsidRPr="00CC6846">
                    <w:rPr>
                      <w:rFonts w:ascii="Book Antiqua" w:eastAsiaTheme="minorEastAsia" w:hAnsi="Book Antiqua" w:cs="Times New Roman"/>
                      <w:color w:val="111111"/>
                      <w:sz w:val="21"/>
                      <w:szCs w:val="21"/>
                      <w:lang w:eastAsia="de-DE"/>
                    </w:rPr>
                    <w:t>OR</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 xml:space="preserve">3.1; CI: 1.14-8.29, </w:t>
                  </w:r>
                  <w:r w:rsidR="00095057" w:rsidRPr="00095057">
                    <w:rPr>
                      <w:rFonts w:ascii="Book Antiqua" w:eastAsiaTheme="minorEastAsia" w:hAnsi="Book Antiqua" w:cs="Times New Roman"/>
                      <w:i/>
                      <w:sz w:val="21"/>
                      <w:szCs w:val="21"/>
                      <w:lang w:eastAsia="de-DE"/>
                    </w:rPr>
                    <w:t>P</w:t>
                  </w:r>
                  <w:r w:rsidR="00095057" w:rsidRPr="00CC6846">
                    <w:rPr>
                      <w:rFonts w:ascii="Book Antiqua" w:eastAsiaTheme="minorEastAsia" w:hAnsi="Book Antiqua" w:cs="Times New Roman"/>
                      <w:color w:val="111111"/>
                      <w:sz w:val="21"/>
                      <w:szCs w:val="21"/>
                      <w:lang w:eastAsia="de-DE"/>
                    </w:rPr>
                    <w:t xml:space="preserve"> </w:t>
                  </w:r>
                  <w:r w:rsidRPr="00CC6846">
                    <w:rPr>
                      <w:rFonts w:ascii="Book Antiqua" w:eastAsiaTheme="minorEastAsia" w:hAnsi="Book Antiqua" w:cs="Times New Roman"/>
                      <w:color w:val="111111"/>
                      <w:sz w:val="21"/>
                      <w:szCs w:val="21"/>
                      <w:lang w:eastAsia="de-DE"/>
                    </w:rPr>
                    <w:t>=</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0.02</w:t>
                  </w:r>
                </w:p>
              </w:tc>
            </w:tr>
            <w:tr w:rsidR="00095057" w:rsidRPr="00CC6846" w14:paraId="17C0BC1F" w14:textId="77777777" w:rsidTr="00095057">
              <w:trPr>
                <w:cantSplit/>
                <w:trHeight w:hRule="exact" w:val="1134"/>
              </w:trPr>
              <w:tc>
                <w:tcPr>
                  <w:tcW w:w="742" w:type="dxa"/>
                  <w:tcBorders>
                    <w:top w:val="single" w:sz="4" w:space="0" w:color="auto"/>
                  </w:tcBorders>
                  <w:vAlign w:val="center"/>
                </w:tcPr>
                <w:p w14:paraId="5168096D" w14:textId="73E73402"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CC6846">
                    <w:rPr>
                      <w:rFonts w:ascii="Book Antiqua" w:eastAsia="Calibri" w:hAnsi="Book Antiqua" w:cs="Times New Roman"/>
                      <w:kern w:val="2"/>
                      <w:sz w:val="21"/>
                      <w:szCs w:val="21"/>
                    </w:rPr>
                    <w:t>Amini</w:t>
                  </w:r>
                  <w:proofErr w:type="spellEnd"/>
                  <w:r w:rsidRPr="00CC6846">
                    <w:rPr>
                      <w:rFonts w:ascii="Book Antiqua" w:eastAsia="Calibri" w:hAnsi="Book Antiqua" w:cs="Times New Roman"/>
                      <w:kern w:val="2"/>
                      <w:sz w:val="21"/>
                      <w:szCs w:val="21"/>
                    </w:rPr>
                    <w:t xml:space="preserve">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[42]</w:t>
                  </w:r>
                </w:p>
              </w:tc>
              <w:tc>
                <w:tcPr>
                  <w:tcW w:w="568" w:type="dxa"/>
                  <w:tcBorders>
                    <w:top w:val="single" w:sz="4" w:space="0" w:color="auto"/>
                  </w:tcBorders>
                  <w:vAlign w:val="center"/>
                </w:tcPr>
                <w:p w14:paraId="1F3E6A53" w14:textId="0A43B66A" w:rsidR="00154C57" w:rsidRPr="00CC6846"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United States</w:t>
                  </w:r>
                </w:p>
              </w:tc>
              <w:tc>
                <w:tcPr>
                  <w:tcW w:w="709" w:type="dxa"/>
                  <w:tcBorders>
                    <w:top w:val="single" w:sz="4" w:space="0" w:color="auto"/>
                  </w:tcBorders>
                  <w:vAlign w:val="center"/>
                </w:tcPr>
                <w:p w14:paraId="3881AFD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7</w:t>
                  </w:r>
                </w:p>
              </w:tc>
              <w:tc>
                <w:tcPr>
                  <w:tcW w:w="567" w:type="dxa"/>
                  <w:tcBorders>
                    <w:top w:val="single" w:sz="4" w:space="0" w:color="auto"/>
                  </w:tcBorders>
                </w:tcPr>
                <w:p w14:paraId="6242D19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86EB66A"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0A58DB5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R</w:t>
                  </w:r>
                </w:p>
              </w:tc>
              <w:tc>
                <w:tcPr>
                  <w:tcW w:w="708" w:type="dxa"/>
                  <w:tcBorders>
                    <w:top w:val="single" w:sz="4" w:space="0" w:color="auto"/>
                  </w:tcBorders>
                  <w:vAlign w:val="center"/>
                </w:tcPr>
                <w:p w14:paraId="0DE2B85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763</w:t>
                  </w:r>
                </w:p>
              </w:tc>
              <w:tc>
                <w:tcPr>
                  <w:tcW w:w="568" w:type="dxa"/>
                  <w:tcBorders>
                    <w:top w:val="single" w:sz="4" w:space="0" w:color="auto"/>
                  </w:tcBorders>
                  <w:vAlign w:val="center"/>
                </w:tcPr>
                <w:p w14:paraId="4DC6125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67</w:t>
                  </w:r>
                </w:p>
              </w:tc>
              <w:tc>
                <w:tcPr>
                  <w:tcW w:w="709" w:type="dxa"/>
                  <w:tcBorders>
                    <w:top w:val="single" w:sz="4" w:space="0" w:color="auto"/>
                  </w:tcBorders>
                  <w:vAlign w:val="center"/>
                </w:tcPr>
                <w:p w14:paraId="42BA19F9"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57</w:t>
                  </w:r>
                </w:p>
              </w:tc>
              <w:tc>
                <w:tcPr>
                  <w:tcW w:w="1258" w:type="dxa"/>
                  <w:tcBorders>
                    <w:top w:val="single" w:sz="4" w:space="0" w:color="auto"/>
                  </w:tcBorders>
                  <w:vAlign w:val="center"/>
                </w:tcPr>
                <w:p w14:paraId="7883502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Pancreatic resection</w:t>
                  </w:r>
                </w:p>
              </w:tc>
              <w:tc>
                <w:tcPr>
                  <w:tcW w:w="1434" w:type="dxa"/>
                  <w:tcBorders>
                    <w:top w:val="single" w:sz="4" w:space="0" w:color="auto"/>
                  </w:tcBorders>
                  <w:vAlign w:val="center"/>
                </w:tcPr>
                <w:p w14:paraId="60A6DB2E"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Total psoas area &amp; total psoas volume</w:t>
                  </w:r>
                </w:p>
              </w:tc>
              <w:tc>
                <w:tcPr>
                  <w:tcW w:w="837" w:type="dxa"/>
                  <w:tcBorders>
                    <w:top w:val="single" w:sz="4" w:space="0" w:color="auto"/>
                  </w:tcBorders>
                  <w:vAlign w:val="center"/>
                </w:tcPr>
                <w:p w14:paraId="7C336D04"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48</w:t>
                  </w:r>
                </w:p>
              </w:tc>
              <w:tc>
                <w:tcPr>
                  <w:tcW w:w="545" w:type="dxa"/>
                  <w:tcBorders>
                    <w:top w:val="single" w:sz="4" w:space="0" w:color="auto"/>
                  </w:tcBorders>
                  <w:vAlign w:val="center"/>
                </w:tcPr>
                <w:p w14:paraId="5BEA3594"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24</w:t>
                  </w:r>
                </w:p>
              </w:tc>
              <w:tc>
                <w:tcPr>
                  <w:tcW w:w="633" w:type="dxa"/>
                  <w:tcBorders>
                    <w:top w:val="single" w:sz="4" w:space="0" w:color="auto"/>
                  </w:tcBorders>
                  <w:vAlign w:val="center"/>
                </w:tcPr>
                <w:p w14:paraId="431643CF"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0.5</w:t>
                  </w:r>
                </w:p>
              </w:tc>
              <w:tc>
                <w:tcPr>
                  <w:tcW w:w="633" w:type="dxa"/>
                  <w:tcBorders>
                    <w:top w:val="single" w:sz="4" w:space="0" w:color="auto"/>
                  </w:tcBorders>
                  <w:vAlign w:val="center"/>
                </w:tcPr>
                <w:p w14:paraId="48343C4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48</w:t>
                  </w:r>
                </w:p>
              </w:tc>
              <w:tc>
                <w:tcPr>
                  <w:tcW w:w="529" w:type="dxa"/>
                  <w:tcBorders>
                    <w:top w:val="single" w:sz="4" w:space="0" w:color="auto"/>
                  </w:tcBorders>
                  <w:vAlign w:val="center"/>
                </w:tcPr>
                <w:p w14:paraId="16F8849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76</w:t>
                  </w:r>
                </w:p>
              </w:tc>
              <w:tc>
                <w:tcPr>
                  <w:tcW w:w="1218" w:type="dxa"/>
                  <w:tcBorders>
                    <w:top w:val="single" w:sz="4" w:space="0" w:color="auto"/>
                  </w:tcBorders>
                  <w:vAlign w:val="center"/>
                </w:tcPr>
                <w:p w14:paraId="5702B1A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24</w:t>
                  </w:r>
                </w:p>
              </w:tc>
              <w:tc>
                <w:tcPr>
                  <w:tcW w:w="851" w:type="dxa"/>
                  <w:tcBorders>
                    <w:top w:val="single" w:sz="4" w:space="0" w:color="auto"/>
                  </w:tcBorders>
                </w:tcPr>
                <w:p w14:paraId="1D661AA1"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7118467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Postoperative complications</w:t>
                  </w:r>
                </w:p>
              </w:tc>
              <w:tc>
                <w:tcPr>
                  <w:tcW w:w="1701" w:type="dxa"/>
                  <w:tcBorders>
                    <w:top w:val="single" w:sz="4" w:space="0" w:color="auto"/>
                  </w:tcBorders>
                  <w:vAlign w:val="center"/>
                </w:tcPr>
                <w:p w14:paraId="4B55057F" w14:textId="0DB990CB" w:rsidR="00154C57" w:rsidRPr="00CC6846" w:rsidRDefault="00154C57" w:rsidP="00CB2DFE">
                  <w:pPr>
                    <w:spacing w:after="0" w:line="360" w:lineRule="auto"/>
                    <w:jc w:val="both"/>
                    <w:rPr>
                      <w:rFonts w:ascii="Book Antiqua" w:eastAsiaTheme="minorEastAsia" w:hAnsi="Book Antiqua" w:cs="Times New Roman"/>
                      <w:color w:val="111111"/>
                      <w:sz w:val="21"/>
                      <w:szCs w:val="21"/>
                      <w:lang w:eastAsia="de-DE"/>
                    </w:rPr>
                  </w:pPr>
                  <w:r w:rsidRPr="00CC6846">
                    <w:rPr>
                      <w:rFonts w:ascii="Book Antiqua" w:eastAsiaTheme="minorEastAsia" w:hAnsi="Book Antiqua" w:cs="Times New Roman"/>
                      <w:color w:val="111111"/>
                      <w:sz w:val="21"/>
                      <w:szCs w:val="21"/>
                      <w:lang w:eastAsia="de-DE"/>
                    </w:rPr>
                    <w:t>OR</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 xml:space="preserve">1.79; CI: 1.15-2.56, </w:t>
                  </w:r>
                  <w:r w:rsidR="00095057" w:rsidRPr="00095057">
                    <w:rPr>
                      <w:rFonts w:ascii="Book Antiqua" w:eastAsiaTheme="minorEastAsia" w:hAnsi="Book Antiqua" w:cs="Times New Roman"/>
                      <w:i/>
                      <w:sz w:val="21"/>
                      <w:szCs w:val="21"/>
                      <w:lang w:eastAsia="de-DE"/>
                    </w:rPr>
                    <w:t>P</w:t>
                  </w:r>
                  <w:r w:rsidR="00095057" w:rsidRPr="00CC6846">
                    <w:rPr>
                      <w:rFonts w:ascii="Book Antiqua" w:eastAsiaTheme="minorEastAsia" w:hAnsi="Book Antiqua" w:cs="Times New Roman"/>
                      <w:color w:val="111111"/>
                      <w:sz w:val="21"/>
                      <w:szCs w:val="21"/>
                      <w:lang w:eastAsia="de-DE"/>
                    </w:rPr>
                    <w:t xml:space="preserve"> </w:t>
                  </w:r>
                  <w:r w:rsidRPr="00CC6846">
                    <w:rPr>
                      <w:rFonts w:ascii="Book Antiqua" w:eastAsiaTheme="minorEastAsia" w:hAnsi="Book Antiqua" w:cs="Times New Roman"/>
                      <w:color w:val="111111"/>
                      <w:sz w:val="21"/>
                      <w:szCs w:val="21"/>
                      <w:lang w:eastAsia="de-DE"/>
                    </w:rPr>
                    <w:t>=</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0.002</w:t>
                  </w:r>
                </w:p>
              </w:tc>
            </w:tr>
            <w:tr w:rsidR="00095057" w:rsidRPr="00CC6846" w14:paraId="2E070647" w14:textId="77777777" w:rsidTr="00095057">
              <w:trPr>
                <w:cantSplit/>
                <w:trHeight w:hRule="exact" w:val="1134"/>
              </w:trPr>
              <w:tc>
                <w:tcPr>
                  <w:tcW w:w="742" w:type="dxa"/>
                  <w:tcBorders>
                    <w:top w:val="single" w:sz="4" w:space="0" w:color="auto"/>
                  </w:tcBorders>
                  <w:vAlign w:val="center"/>
                </w:tcPr>
                <w:p w14:paraId="57FDA2B7" w14:textId="395C07D5"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Dale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[33]</w:t>
                  </w:r>
                </w:p>
              </w:tc>
              <w:tc>
                <w:tcPr>
                  <w:tcW w:w="568" w:type="dxa"/>
                  <w:tcBorders>
                    <w:top w:val="single" w:sz="4" w:space="0" w:color="auto"/>
                  </w:tcBorders>
                  <w:vAlign w:val="center"/>
                </w:tcPr>
                <w:p w14:paraId="38581BD3" w14:textId="152FD47D" w:rsidR="00154C57" w:rsidRPr="00CC6846"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United States</w:t>
                  </w:r>
                </w:p>
              </w:tc>
              <w:tc>
                <w:tcPr>
                  <w:tcW w:w="709" w:type="dxa"/>
                  <w:tcBorders>
                    <w:top w:val="single" w:sz="4" w:space="0" w:color="auto"/>
                  </w:tcBorders>
                  <w:vAlign w:val="center"/>
                </w:tcPr>
                <w:p w14:paraId="27304339"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9</w:t>
                  </w:r>
                </w:p>
              </w:tc>
              <w:tc>
                <w:tcPr>
                  <w:tcW w:w="567" w:type="dxa"/>
                  <w:tcBorders>
                    <w:top w:val="single" w:sz="4" w:space="0" w:color="auto"/>
                  </w:tcBorders>
                </w:tcPr>
                <w:p w14:paraId="018FA5D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7ED92108"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6AD53581"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P</w:t>
                  </w:r>
                </w:p>
              </w:tc>
              <w:tc>
                <w:tcPr>
                  <w:tcW w:w="708" w:type="dxa"/>
                  <w:tcBorders>
                    <w:top w:val="single" w:sz="4" w:space="0" w:color="auto"/>
                  </w:tcBorders>
                  <w:vAlign w:val="center"/>
                </w:tcPr>
                <w:p w14:paraId="1072762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76</w:t>
                  </w:r>
                </w:p>
              </w:tc>
              <w:tc>
                <w:tcPr>
                  <w:tcW w:w="568" w:type="dxa"/>
                  <w:tcBorders>
                    <w:top w:val="single" w:sz="4" w:space="0" w:color="auto"/>
                  </w:tcBorders>
                  <w:vAlign w:val="center"/>
                </w:tcPr>
                <w:p w14:paraId="122B530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67</w:t>
                  </w:r>
                </w:p>
              </w:tc>
              <w:tc>
                <w:tcPr>
                  <w:tcW w:w="709" w:type="dxa"/>
                  <w:tcBorders>
                    <w:top w:val="single" w:sz="4" w:space="0" w:color="auto"/>
                  </w:tcBorders>
                  <w:vAlign w:val="center"/>
                </w:tcPr>
                <w:p w14:paraId="231C97A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55</w:t>
                  </w:r>
                </w:p>
              </w:tc>
              <w:tc>
                <w:tcPr>
                  <w:tcW w:w="1258" w:type="dxa"/>
                  <w:tcBorders>
                    <w:top w:val="single" w:sz="4" w:space="0" w:color="auto"/>
                  </w:tcBorders>
                  <w:vAlign w:val="center"/>
                </w:tcPr>
                <w:p w14:paraId="1AF3657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CC6846">
                    <w:rPr>
                      <w:rFonts w:ascii="Book Antiqua" w:eastAsia="Calibri" w:hAnsi="Book Antiqua" w:cs="Times New Roman"/>
                      <w:kern w:val="2"/>
                      <w:sz w:val="21"/>
                      <w:szCs w:val="21"/>
                    </w:rPr>
                    <w:t>Pancreaticoduodenectomy</w:t>
                  </w:r>
                  <w:proofErr w:type="spellEnd"/>
                </w:p>
              </w:tc>
              <w:tc>
                <w:tcPr>
                  <w:tcW w:w="1434" w:type="dxa"/>
                  <w:tcBorders>
                    <w:top w:val="single" w:sz="4" w:space="0" w:color="auto"/>
                  </w:tcBorders>
                  <w:vAlign w:val="center"/>
                </w:tcPr>
                <w:p w14:paraId="0687969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CC6846">
                    <w:rPr>
                      <w:rFonts w:ascii="Book Antiqua" w:eastAsia="Calibri" w:hAnsi="Book Antiqua" w:cs="Times New Roman"/>
                      <w:kern w:val="2"/>
                      <w:sz w:val="21"/>
                      <w:szCs w:val="21"/>
                    </w:rPr>
                    <w:t>Fried’s</w:t>
                  </w:r>
                  <w:proofErr w:type="spellEnd"/>
                  <w:r w:rsidRPr="00CC6846">
                    <w:rPr>
                      <w:rFonts w:ascii="Book Antiqua" w:eastAsia="Calibri" w:hAnsi="Book Antiqua" w:cs="Times New Roman"/>
                      <w:kern w:val="2"/>
                      <w:sz w:val="21"/>
                      <w:szCs w:val="21"/>
                    </w:rPr>
                    <w:t xml:space="preserve"> criteria, Short Physical Performance Battery, Vulnerable Elderly Survey</w:t>
                  </w:r>
                </w:p>
              </w:tc>
              <w:tc>
                <w:tcPr>
                  <w:tcW w:w="837" w:type="dxa"/>
                  <w:tcBorders>
                    <w:top w:val="single" w:sz="4" w:space="0" w:color="auto"/>
                  </w:tcBorders>
                  <w:vAlign w:val="center"/>
                </w:tcPr>
                <w:p w14:paraId="1AA8DFF9"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80</w:t>
                  </w:r>
                </w:p>
              </w:tc>
              <w:tc>
                <w:tcPr>
                  <w:tcW w:w="545" w:type="dxa"/>
                  <w:tcBorders>
                    <w:top w:val="single" w:sz="4" w:space="0" w:color="auto"/>
                  </w:tcBorders>
                  <w:vAlign w:val="center"/>
                </w:tcPr>
                <w:p w14:paraId="5BA5010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1</w:t>
                  </w:r>
                </w:p>
              </w:tc>
              <w:tc>
                <w:tcPr>
                  <w:tcW w:w="633" w:type="dxa"/>
                  <w:tcBorders>
                    <w:top w:val="single" w:sz="4" w:space="0" w:color="auto"/>
                  </w:tcBorders>
                  <w:vAlign w:val="center"/>
                </w:tcPr>
                <w:p w14:paraId="6424BAB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4</w:t>
                  </w:r>
                </w:p>
              </w:tc>
              <w:tc>
                <w:tcPr>
                  <w:tcW w:w="633" w:type="dxa"/>
                  <w:tcBorders>
                    <w:top w:val="single" w:sz="4" w:space="0" w:color="auto"/>
                  </w:tcBorders>
                  <w:vAlign w:val="center"/>
                </w:tcPr>
                <w:p w14:paraId="701BC429"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21</w:t>
                  </w:r>
                </w:p>
              </w:tc>
              <w:tc>
                <w:tcPr>
                  <w:tcW w:w="529" w:type="dxa"/>
                  <w:tcBorders>
                    <w:top w:val="single" w:sz="4" w:space="0" w:color="auto"/>
                  </w:tcBorders>
                  <w:vAlign w:val="center"/>
                </w:tcPr>
                <w:p w14:paraId="7441563F"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1218" w:type="dxa"/>
                  <w:tcBorders>
                    <w:top w:val="single" w:sz="4" w:space="0" w:color="auto"/>
                  </w:tcBorders>
                  <w:vAlign w:val="center"/>
                </w:tcPr>
                <w:p w14:paraId="0996AABF"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851" w:type="dxa"/>
                  <w:tcBorders>
                    <w:top w:val="single" w:sz="4" w:space="0" w:color="auto"/>
                  </w:tcBorders>
                </w:tcPr>
                <w:p w14:paraId="74211E9A"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59FE32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Postoperative complications</w:t>
                  </w:r>
                </w:p>
              </w:tc>
              <w:tc>
                <w:tcPr>
                  <w:tcW w:w="1701" w:type="dxa"/>
                  <w:tcBorders>
                    <w:top w:val="single" w:sz="4" w:space="0" w:color="auto"/>
                  </w:tcBorders>
                  <w:vAlign w:val="center"/>
                </w:tcPr>
                <w:p w14:paraId="51D9DD2E" w14:textId="5692DF8F" w:rsidR="00154C57" w:rsidRPr="00CC6846" w:rsidRDefault="00154C57" w:rsidP="00CB2DFE">
                  <w:pPr>
                    <w:spacing w:after="0" w:line="360" w:lineRule="auto"/>
                    <w:jc w:val="both"/>
                    <w:rPr>
                      <w:rFonts w:ascii="Book Antiqua" w:eastAsiaTheme="minorEastAsia" w:hAnsi="Book Antiqua" w:cs="Times New Roman"/>
                      <w:color w:val="111111"/>
                      <w:sz w:val="21"/>
                      <w:szCs w:val="21"/>
                      <w:lang w:eastAsia="de-DE"/>
                    </w:rPr>
                  </w:pPr>
                  <w:r w:rsidRPr="00CC6846">
                    <w:rPr>
                      <w:rFonts w:ascii="Book Antiqua" w:eastAsiaTheme="minorEastAsia" w:hAnsi="Book Antiqua" w:cs="Times New Roman"/>
                      <w:color w:val="111111"/>
                      <w:sz w:val="21"/>
                      <w:szCs w:val="21"/>
                      <w:lang w:eastAsia="de-DE"/>
                    </w:rPr>
                    <w:t>OR</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 xml:space="preserve">4.06, </w:t>
                  </w:r>
                  <w:r w:rsidR="00095057" w:rsidRPr="00095057">
                    <w:rPr>
                      <w:rFonts w:ascii="Book Antiqua" w:eastAsiaTheme="minorEastAsia" w:hAnsi="Book Antiqua" w:cs="Times New Roman"/>
                      <w:i/>
                      <w:sz w:val="21"/>
                      <w:szCs w:val="21"/>
                      <w:lang w:eastAsia="de-DE"/>
                    </w:rPr>
                    <w:t>P</w:t>
                  </w:r>
                  <w:r w:rsidR="00095057" w:rsidRPr="00CC6846">
                    <w:rPr>
                      <w:rFonts w:ascii="Book Antiqua" w:eastAsiaTheme="minorEastAsia" w:hAnsi="Book Antiqua" w:cs="Times New Roman"/>
                      <w:color w:val="111111"/>
                      <w:sz w:val="21"/>
                      <w:szCs w:val="21"/>
                      <w:lang w:eastAsia="de-DE"/>
                    </w:rPr>
                    <w:t xml:space="preserve"> </w:t>
                  </w:r>
                  <w:r w:rsidRPr="00CC6846">
                    <w:rPr>
                      <w:rFonts w:ascii="Book Antiqua" w:eastAsiaTheme="minorEastAsia" w:hAnsi="Book Antiqua" w:cs="Times New Roman"/>
                      <w:color w:val="111111"/>
                      <w:sz w:val="21"/>
                      <w:szCs w:val="21"/>
                      <w:lang w:eastAsia="de-DE"/>
                    </w:rPr>
                    <w:t>=</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0.01</w:t>
                  </w:r>
                </w:p>
              </w:tc>
            </w:tr>
            <w:tr w:rsidR="00095057" w:rsidRPr="00CC6846" w14:paraId="586D7CCF" w14:textId="77777777" w:rsidTr="00095057">
              <w:trPr>
                <w:cantSplit/>
                <w:trHeight w:hRule="exact" w:val="1134"/>
              </w:trPr>
              <w:tc>
                <w:tcPr>
                  <w:tcW w:w="742" w:type="dxa"/>
                  <w:tcBorders>
                    <w:top w:val="single" w:sz="4" w:space="0" w:color="auto"/>
                  </w:tcBorders>
                  <w:vAlign w:val="center"/>
                </w:tcPr>
                <w:p w14:paraId="5E88A017" w14:textId="19D36CA4"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roofErr w:type="spellStart"/>
                  <w:r w:rsidRPr="00CC6846">
                    <w:rPr>
                      <w:rFonts w:ascii="Book Antiqua" w:eastAsia="Calibri" w:hAnsi="Book Antiqua" w:cs="Times New Roman"/>
                      <w:kern w:val="2"/>
                      <w:sz w:val="21"/>
                      <w:szCs w:val="21"/>
                    </w:rPr>
                    <w:lastRenderedPageBreak/>
                    <w:t>Joglekar</w:t>
                  </w:r>
                  <w:proofErr w:type="spellEnd"/>
                  <w:r w:rsidRPr="00CC6846">
                    <w:rPr>
                      <w:rFonts w:ascii="Book Antiqua" w:eastAsia="Calibri" w:hAnsi="Book Antiqua" w:cs="Times New Roman"/>
                      <w:kern w:val="2"/>
                      <w:sz w:val="21"/>
                      <w:szCs w:val="21"/>
                    </w:rPr>
                    <w:t xml:space="preserve">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[48]</w:t>
                  </w:r>
                </w:p>
              </w:tc>
              <w:tc>
                <w:tcPr>
                  <w:tcW w:w="568" w:type="dxa"/>
                  <w:tcBorders>
                    <w:top w:val="single" w:sz="4" w:space="0" w:color="auto"/>
                  </w:tcBorders>
                  <w:vAlign w:val="center"/>
                </w:tcPr>
                <w:p w14:paraId="3A728B71" w14:textId="561BDD86" w:rsidR="00154C57" w:rsidRPr="00CC6846"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United States</w:t>
                  </w:r>
                </w:p>
              </w:tc>
              <w:tc>
                <w:tcPr>
                  <w:tcW w:w="709" w:type="dxa"/>
                  <w:tcBorders>
                    <w:top w:val="single" w:sz="4" w:space="0" w:color="auto"/>
                  </w:tcBorders>
                  <w:vAlign w:val="center"/>
                </w:tcPr>
                <w:p w14:paraId="575C35E8"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w:t>
                  </w:r>
                </w:p>
              </w:tc>
              <w:tc>
                <w:tcPr>
                  <w:tcW w:w="567" w:type="dxa"/>
                  <w:tcBorders>
                    <w:top w:val="single" w:sz="4" w:space="0" w:color="auto"/>
                  </w:tcBorders>
                </w:tcPr>
                <w:p w14:paraId="078CE68B"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3750D21"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7C85926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R</w:t>
                  </w:r>
                </w:p>
              </w:tc>
              <w:tc>
                <w:tcPr>
                  <w:tcW w:w="708" w:type="dxa"/>
                  <w:tcBorders>
                    <w:top w:val="single" w:sz="4" w:space="0" w:color="auto"/>
                  </w:tcBorders>
                  <w:vAlign w:val="center"/>
                </w:tcPr>
                <w:p w14:paraId="2B4DD348"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118</w:t>
                  </w:r>
                </w:p>
              </w:tc>
              <w:tc>
                <w:tcPr>
                  <w:tcW w:w="568" w:type="dxa"/>
                  <w:tcBorders>
                    <w:top w:val="single" w:sz="4" w:space="0" w:color="auto"/>
                  </w:tcBorders>
                  <w:vAlign w:val="center"/>
                </w:tcPr>
                <w:p w14:paraId="63AF399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65</w:t>
                  </w:r>
                </w:p>
              </w:tc>
              <w:tc>
                <w:tcPr>
                  <w:tcW w:w="709" w:type="dxa"/>
                  <w:tcBorders>
                    <w:top w:val="single" w:sz="4" w:space="0" w:color="auto"/>
                  </w:tcBorders>
                  <w:vAlign w:val="center"/>
                </w:tcPr>
                <w:p w14:paraId="54420850"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75</w:t>
                  </w:r>
                </w:p>
              </w:tc>
              <w:tc>
                <w:tcPr>
                  <w:tcW w:w="1258" w:type="dxa"/>
                  <w:tcBorders>
                    <w:top w:val="single" w:sz="4" w:space="0" w:color="auto"/>
                  </w:tcBorders>
                  <w:vAlign w:val="center"/>
                </w:tcPr>
                <w:p w14:paraId="0445BB7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Pancreatic resection</w:t>
                  </w:r>
                </w:p>
              </w:tc>
              <w:tc>
                <w:tcPr>
                  <w:tcW w:w="1434" w:type="dxa"/>
                  <w:tcBorders>
                    <w:top w:val="single" w:sz="4" w:space="0" w:color="auto"/>
                  </w:tcBorders>
                  <w:vAlign w:val="center"/>
                </w:tcPr>
                <w:p w14:paraId="02353B8B"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Total psoas index &amp; psoas density</w:t>
                  </w:r>
                </w:p>
              </w:tc>
              <w:tc>
                <w:tcPr>
                  <w:tcW w:w="837" w:type="dxa"/>
                  <w:tcBorders>
                    <w:top w:val="single" w:sz="4" w:space="0" w:color="auto"/>
                  </w:tcBorders>
                  <w:vAlign w:val="center"/>
                </w:tcPr>
                <w:p w14:paraId="4F39F44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78</w:t>
                  </w:r>
                </w:p>
              </w:tc>
              <w:tc>
                <w:tcPr>
                  <w:tcW w:w="545" w:type="dxa"/>
                  <w:tcBorders>
                    <w:top w:val="single" w:sz="4" w:space="0" w:color="auto"/>
                  </w:tcBorders>
                  <w:vAlign w:val="center"/>
                </w:tcPr>
                <w:p w14:paraId="7D5D04C9"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3</w:t>
                  </w:r>
                </w:p>
              </w:tc>
              <w:tc>
                <w:tcPr>
                  <w:tcW w:w="633" w:type="dxa"/>
                  <w:tcBorders>
                    <w:top w:val="single" w:sz="4" w:space="0" w:color="auto"/>
                  </w:tcBorders>
                  <w:vAlign w:val="center"/>
                </w:tcPr>
                <w:p w14:paraId="748D7E50"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633" w:type="dxa"/>
                  <w:tcBorders>
                    <w:top w:val="single" w:sz="4" w:space="0" w:color="auto"/>
                  </w:tcBorders>
                  <w:vAlign w:val="center"/>
                </w:tcPr>
                <w:p w14:paraId="7333C77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23</w:t>
                  </w:r>
                </w:p>
              </w:tc>
              <w:tc>
                <w:tcPr>
                  <w:tcW w:w="529" w:type="dxa"/>
                  <w:tcBorders>
                    <w:top w:val="single" w:sz="4" w:space="0" w:color="auto"/>
                  </w:tcBorders>
                  <w:vAlign w:val="center"/>
                </w:tcPr>
                <w:p w14:paraId="2477D23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1218" w:type="dxa"/>
                  <w:tcBorders>
                    <w:top w:val="single" w:sz="4" w:space="0" w:color="auto"/>
                  </w:tcBorders>
                  <w:vAlign w:val="center"/>
                </w:tcPr>
                <w:p w14:paraId="23C81B1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851" w:type="dxa"/>
                  <w:tcBorders>
                    <w:top w:val="single" w:sz="4" w:space="0" w:color="auto"/>
                  </w:tcBorders>
                </w:tcPr>
                <w:p w14:paraId="4EC4010B"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5068EBF8"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Postoperative complications</w:t>
                  </w:r>
                </w:p>
              </w:tc>
              <w:tc>
                <w:tcPr>
                  <w:tcW w:w="1701" w:type="dxa"/>
                  <w:tcBorders>
                    <w:top w:val="single" w:sz="4" w:space="0" w:color="auto"/>
                  </w:tcBorders>
                  <w:vAlign w:val="center"/>
                </w:tcPr>
                <w:p w14:paraId="6431754A" w14:textId="34FF03F8" w:rsidR="00154C57" w:rsidRPr="00CC6846" w:rsidRDefault="00154C57" w:rsidP="00CB2DFE">
                  <w:pPr>
                    <w:spacing w:after="0" w:line="360" w:lineRule="auto"/>
                    <w:jc w:val="both"/>
                    <w:rPr>
                      <w:rFonts w:ascii="Book Antiqua" w:eastAsiaTheme="minorEastAsia" w:hAnsi="Book Antiqua" w:cs="Times New Roman"/>
                      <w:color w:val="111111"/>
                      <w:sz w:val="21"/>
                      <w:szCs w:val="21"/>
                      <w:lang w:eastAsia="de-DE"/>
                    </w:rPr>
                  </w:pPr>
                  <w:r w:rsidRPr="00CC6846">
                    <w:rPr>
                      <w:rFonts w:ascii="Book Antiqua" w:eastAsiaTheme="minorEastAsia" w:hAnsi="Book Antiqua" w:cs="Times New Roman"/>
                      <w:color w:val="111111"/>
                      <w:sz w:val="21"/>
                      <w:szCs w:val="21"/>
                      <w:lang w:eastAsia="de-DE"/>
                    </w:rPr>
                    <w:t>OR</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 xml:space="preserve">2.78; CI: 2.28-22, </w:t>
                  </w:r>
                  <w:r w:rsidR="00095057" w:rsidRPr="00095057">
                    <w:rPr>
                      <w:rFonts w:ascii="Book Antiqua" w:eastAsiaTheme="minorEastAsia" w:hAnsi="Book Antiqua" w:cs="Times New Roman"/>
                      <w:i/>
                      <w:sz w:val="21"/>
                      <w:szCs w:val="21"/>
                      <w:lang w:eastAsia="de-DE"/>
                    </w:rPr>
                    <w:t>P</w:t>
                  </w:r>
                  <w:r w:rsidR="00095057" w:rsidRPr="00CC6846">
                    <w:rPr>
                      <w:rFonts w:ascii="Book Antiqua" w:eastAsiaTheme="minorEastAsia" w:hAnsi="Book Antiqua" w:cs="Times New Roman"/>
                      <w:color w:val="111111"/>
                      <w:sz w:val="21"/>
                      <w:szCs w:val="21"/>
                      <w:lang w:eastAsia="de-DE"/>
                    </w:rPr>
                    <w:t xml:space="preserve"> </w:t>
                  </w:r>
                  <w:r w:rsidRPr="00CC6846">
                    <w:rPr>
                      <w:rFonts w:ascii="Book Antiqua" w:eastAsiaTheme="minorEastAsia" w:hAnsi="Book Antiqua" w:cs="Times New Roman"/>
                      <w:color w:val="111111"/>
                      <w:sz w:val="21"/>
                      <w:szCs w:val="21"/>
                      <w:lang w:eastAsia="de-DE"/>
                    </w:rPr>
                    <w:t>=</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0.02</w:t>
                  </w:r>
                </w:p>
              </w:tc>
            </w:tr>
            <w:tr w:rsidR="00095057" w:rsidRPr="00CC6846" w14:paraId="454F0507" w14:textId="77777777" w:rsidTr="00095057">
              <w:trPr>
                <w:cantSplit/>
                <w:trHeight w:hRule="exact" w:val="1134"/>
              </w:trPr>
              <w:tc>
                <w:tcPr>
                  <w:tcW w:w="742" w:type="dxa"/>
                  <w:tcBorders>
                    <w:top w:val="single" w:sz="4" w:space="0" w:color="auto"/>
                  </w:tcBorders>
                  <w:vAlign w:val="center"/>
                </w:tcPr>
                <w:p w14:paraId="7B5A04BC" w14:textId="1D5E15BA"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Peng </w:t>
                  </w:r>
                  <w:r w:rsidR="00CB2DFE" w:rsidRPr="00CB2DFE">
                    <w:rPr>
                      <w:rFonts w:ascii="Book Antiqua" w:hAnsi="Book Antiqua" w:cs="Times New Roman" w:hint="eastAsia"/>
                      <w:i/>
                      <w:kern w:val="2"/>
                      <w:sz w:val="21"/>
                      <w:szCs w:val="21"/>
                      <w:lang w:eastAsia="zh-CN"/>
                    </w:rPr>
                    <w:t>et al</w:t>
                  </w:r>
                  <w:r w:rsidR="00CB2DFE">
                    <w:rPr>
                      <w:rFonts w:ascii="Book Antiqua" w:hAnsi="Book Antiqua" w:cs="Times New Roman" w:hint="eastAsia"/>
                      <w:kern w:val="2"/>
                      <w:sz w:val="21"/>
                      <w:szCs w:val="21"/>
                      <w:vertAlign w:val="superscript"/>
                      <w:lang w:eastAsia="zh-CN"/>
                    </w:rPr>
                    <w:t>[45]</w:t>
                  </w:r>
                </w:p>
              </w:tc>
              <w:tc>
                <w:tcPr>
                  <w:tcW w:w="568" w:type="dxa"/>
                  <w:tcBorders>
                    <w:top w:val="single" w:sz="4" w:space="0" w:color="auto"/>
                  </w:tcBorders>
                  <w:vAlign w:val="center"/>
                </w:tcPr>
                <w:p w14:paraId="4774A3F2" w14:textId="14918A0A" w:rsidR="00154C57" w:rsidRPr="00CC6846" w:rsidRDefault="00095057" w:rsidP="00CB2DFE">
                  <w:pPr>
                    <w:widowControl w:val="0"/>
                    <w:suppressAutoHyphens/>
                    <w:spacing w:after="0" w:line="360" w:lineRule="auto"/>
                    <w:jc w:val="both"/>
                    <w:rPr>
                      <w:rFonts w:ascii="Book Antiqua" w:eastAsia="Calibri" w:hAnsi="Book Antiqua" w:cs="Times New Roman"/>
                      <w:kern w:val="2"/>
                      <w:sz w:val="21"/>
                      <w:szCs w:val="21"/>
                    </w:rPr>
                  </w:pPr>
                  <w:r w:rsidRPr="00095057">
                    <w:rPr>
                      <w:rFonts w:ascii="Book Antiqua" w:eastAsia="Calibri" w:hAnsi="Book Antiqua" w:cs="Times New Roman"/>
                      <w:kern w:val="2"/>
                      <w:sz w:val="21"/>
                      <w:szCs w:val="21"/>
                    </w:rPr>
                    <w:t>United States</w:t>
                  </w:r>
                </w:p>
              </w:tc>
              <w:tc>
                <w:tcPr>
                  <w:tcW w:w="709" w:type="dxa"/>
                  <w:tcBorders>
                    <w:top w:val="single" w:sz="4" w:space="0" w:color="auto"/>
                  </w:tcBorders>
                  <w:vAlign w:val="center"/>
                </w:tcPr>
                <w:p w14:paraId="60C25A4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w:t>
                  </w:r>
                </w:p>
              </w:tc>
              <w:tc>
                <w:tcPr>
                  <w:tcW w:w="567" w:type="dxa"/>
                  <w:tcBorders>
                    <w:top w:val="single" w:sz="4" w:space="0" w:color="auto"/>
                  </w:tcBorders>
                </w:tcPr>
                <w:p w14:paraId="1B0EF838"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2855315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6751DA5F"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R</w:t>
                  </w:r>
                </w:p>
              </w:tc>
              <w:tc>
                <w:tcPr>
                  <w:tcW w:w="708" w:type="dxa"/>
                  <w:tcBorders>
                    <w:top w:val="single" w:sz="4" w:space="0" w:color="auto"/>
                  </w:tcBorders>
                  <w:vAlign w:val="center"/>
                </w:tcPr>
                <w:p w14:paraId="4A33689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557</w:t>
                  </w:r>
                </w:p>
              </w:tc>
              <w:tc>
                <w:tcPr>
                  <w:tcW w:w="568" w:type="dxa"/>
                  <w:tcBorders>
                    <w:top w:val="single" w:sz="4" w:space="0" w:color="auto"/>
                  </w:tcBorders>
                  <w:vAlign w:val="center"/>
                </w:tcPr>
                <w:p w14:paraId="313F7EC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66</w:t>
                  </w:r>
                </w:p>
              </w:tc>
              <w:tc>
                <w:tcPr>
                  <w:tcW w:w="709" w:type="dxa"/>
                  <w:tcBorders>
                    <w:top w:val="single" w:sz="4" w:space="0" w:color="auto"/>
                  </w:tcBorders>
                  <w:vAlign w:val="center"/>
                </w:tcPr>
                <w:p w14:paraId="6BEEAA85"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53</w:t>
                  </w:r>
                </w:p>
              </w:tc>
              <w:tc>
                <w:tcPr>
                  <w:tcW w:w="1258" w:type="dxa"/>
                  <w:tcBorders>
                    <w:top w:val="single" w:sz="4" w:space="0" w:color="auto"/>
                  </w:tcBorders>
                  <w:vAlign w:val="center"/>
                </w:tcPr>
                <w:p w14:paraId="3E10AC8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Pancreatic resection</w:t>
                  </w:r>
                </w:p>
              </w:tc>
              <w:tc>
                <w:tcPr>
                  <w:tcW w:w="1434" w:type="dxa"/>
                  <w:tcBorders>
                    <w:top w:val="single" w:sz="4" w:space="0" w:color="auto"/>
                  </w:tcBorders>
                  <w:vAlign w:val="center"/>
                </w:tcPr>
                <w:p w14:paraId="20B856FF"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Total psoas area</w:t>
                  </w:r>
                </w:p>
              </w:tc>
              <w:tc>
                <w:tcPr>
                  <w:tcW w:w="837" w:type="dxa"/>
                  <w:tcBorders>
                    <w:top w:val="single" w:sz="4" w:space="0" w:color="auto"/>
                  </w:tcBorders>
                  <w:vAlign w:val="center"/>
                </w:tcPr>
                <w:p w14:paraId="5AEE29D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47</w:t>
                  </w:r>
                </w:p>
              </w:tc>
              <w:tc>
                <w:tcPr>
                  <w:tcW w:w="545" w:type="dxa"/>
                  <w:tcBorders>
                    <w:top w:val="single" w:sz="4" w:space="0" w:color="auto"/>
                  </w:tcBorders>
                  <w:vAlign w:val="center"/>
                </w:tcPr>
                <w:p w14:paraId="7DC7CF3B"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36</w:t>
                  </w:r>
                </w:p>
              </w:tc>
              <w:tc>
                <w:tcPr>
                  <w:tcW w:w="633" w:type="dxa"/>
                  <w:tcBorders>
                    <w:top w:val="single" w:sz="4" w:space="0" w:color="auto"/>
                  </w:tcBorders>
                  <w:vAlign w:val="center"/>
                </w:tcPr>
                <w:p w14:paraId="7565F820"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633" w:type="dxa"/>
                  <w:tcBorders>
                    <w:top w:val="single" w:sz="4" w:space="0" w:color="auto"/>
                  </w:tcBorders>
                  <w:vAlign w:val="center"/>
                </w:tcPr>
                <w:p w14:paraId="63ECE0D4"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NR</w:t>
                  </w:r>
                </w:p>
              </w:tc>
              <w:tc>
                <w:tcPr>
                  <w:tcW w:w="529" w:type="dxa"/>
                  <w:tcBorders>
                    <w:top w:val="single" w:sz="4" w:space="0" w:color="auto"/>
                  </w:tcBorders>
                  <w:vAlign w:val="center"/>
                </w:tcPr>
                <w:p w14:paraId="117A12F0"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62</w:t>
                  </w:r>
                </w:p>
              </w:tc>
              <w:tc>
                <w:tcPr>
                  <w:tcW w:w="1218" w:type="dxa"/>
                  <w:tcBorders>
                    <w:top w:val="single" w:sz="4" w:space="0" w:color="auto"/>
                  </w:tcBorders>
                  <w:vAlign w:val="center"/>
                </w:tcPr>
                <w:p w14:paraId="1335469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3 a OS: </w:t>
                  </w:r>
                </w:p>
                <w:p w14:paraId="7DE13084"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36</w:t>
                  </w:r>
                </w:p>
              </w:tc>
              <w:tc>
                <w:tcPr>
                  <w:tcW w:w="851" w:type="dxa"/>
                  <w:tcBorders>
                    <w:top w:val="single" w:sz="4" w:space="0" w:color="auto"/>
                  </w:tcBorders>
                </w:tcPr>
                <w:p w14:paraId="430F4438"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3BB8F362" w14:textId="2373519B"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r w:rsidRPr="00CC6846">
                    <w:rPr>
                      <w:rFonts w:ascii="Book Antiqua" w:eastAsia="Calibri" w:hAnsi="Book Antiqua" w:cs="Times New Roman"/>
                      <w:kern w:val="2"/>
                      <w:sz w:val="21"/>
                      <w:szCs w:val="21"/>
                    </w:rPr>
                    <w:t xml:space="preserve">3 </w:t>
                  </w:r>
                  <w:r w:rsidR="008808CF">
                    <w:rPr>
                      <w:rFonts w:ascii="Book Antiqua" w:hAnsi="Book Antiqua" w:cs="Times New Roman" w:hint="eastAsia"/>
                      <w:sz w:val="21"/>
                      <w:szCs w:val="21"/>
                      <w:lang w:val="de-DE" w:eastAsia="zh-CN"/>
                    </w:rPr>
                    <w:t>yr</w:t>
                  </w:r>
                  <w:r w:rsidR="008808CF" w:rsidRPr="00CC6846">
                    <w:rPr>
                      <w:rFonts w:ascii="Book Antiqua" w:eastAsiaTheme="minorEastAsia" w:hAnsi="Book Antiqua" w:cs="Times New Roman"/>
                      <w:sz w:val="21"/>
                      <w:szCs w:val="21"/>
                      <w:lang w:val="de-DE" w:eastAsia="de-DE"/>
                    </w:rPr>
                    <w:t xml:space="preserve"> </w:t>
                  </w:r>
                  <w:r w:rsidRPr="00CC6846">
                    <w:rPr>
                      <w:rFonts w:ascii="Book Antiqua" w:eastAsia="Calibri" w:hAnsi="Book Antiqua" w:cs="Times New Roman"/>
                      <w:kern w:val="2"/>
                      <w:sz w:val="21"/>
                      <w:szCs w:val="21"/>
                    </w:rPr>
                    <w:t>OS</w:t>
                  </w:r>
                </w:p>
              </w:tc>
              <w:tc>
                <w:tcPr>
                  <w:tcW w:w="1701" w:type="dxa"/>
                  <w:tcBorders>
                    <w:top w:val="single" w:sz="4" w:space="0" w:color="auto"/>
                  </w:tcBorders>
                  <w:vAlign w:val="center"/>
                </w:tcPr>
                <w:p w14:paraId="415DC4AD" w14:textId="24BA989B" w:rsidR="00154C57" w:rsidRPr="00CC6846" w:rsidRDefault="00154C57" w:rsidP="00CB2DFE">
                  <w:pPr>
                    <w:spacing w:after="0" w:line="360" w:lineRule="auto"/>
                    <w:jc w:val="both"/>
                    <w:rPr>
                      <w:rFonts w:ascii="Book Antiqua" w:eastAsiaTheme="minorEastAsia" w:hAnsi="Book Antiqua" w:cs="Times New Roman"/>
                      <w:color w:val="111111"/>
                      <w:sz w:val="21"/>
                      <w:szCs w:val="21"/>
                      <w:lang w:eastAsia="de-DE"/>
                    </w:rPr>
                  </w:pPr>
                  <w:r w:rsidRPr="00CC6846">
                    <w:rPr>
                      <w:rFonts w:ascii="Book Antiqua" w:eastAsiaTheme="minorEastAsia" w:hAnsi="Book Antiqua" w:cs="Times New Roman"/>
                      <w:color w:val="111111"/>
                      <w:sz w:val="21"/>
                      <w:szCs w:val="21"/>
                      <w:lang w:eastAsia="de-DE"/>
                    </w:rPr>
                    <w:t>OR</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 xml:space="preserve">1.68; CI: 1.32-2.11; </w:t>
                  </w:r>
                  <w:r w:rsidR="00095057" w:rsidRPr="00095057">
                    <w:rPr>
                      <w:rFonts w:ascii="Book Antiqua" w:eastAsiaTheme="minorEastAsia" w:hAnsi="Book Antiqua" w:cs="Times New Roman"/>
                      <w:i/>
                      <w:sz w:val="21"/>
                      <w:szCs w:val="21"/>
                      <w:lang w:eastAsia="de-DE"/>
                    </w:rPr>
                    <w:t>P</w:t>
                  </w:r>
                  <w:r w:rsidR="00095057" w:rsidRPr="00CC6846">
                    <w:rPr>
                      <w:rFonts w:ascii="Book Antiqua" w:eastAsiaTheme="minorEastAsia" w:hAnsi="Book Antiqua" w:cs="Times New Roman"/>
                      <w:color w:val="111111"/>
                      <w:sz w:val="21"/>
                      <w:szCs w:val="21"/>
                      <w:lang w:eastAsia="de-DE"/>
                    </w:rPr>
                    <w:t xml:space="preserve"> </w:t>
                  </w:r>
                  <w:r w:rsidRPr="00CC6846">
                    <w:rPr>
                      <w:rFonts w:ascii="Book Antiqua" w:eastAsiaTheme="minorEastAsia" w:hAnsi="Book Antiqua" w:cs="Times New Roman"/>
                      <w:color w:val="111111"/>
                      <w:sz w:val="21"/>
                      <w:szCs w:val="21"/>
                      <w:lang w:eastAsia="de-DE"/>
                    </w:rPr>
                    <w:t>=</w:t>
                  </w:r>
                  <w:r w:rsidR="00095057">
                    <w:rPr>
                      <w:rFonts w:ascii="Book Antiqua" w:hAnsi="Book Antiqua" w:cs="Times New Roman" w:hint="eastAsia"/>
                      <w:color w:val="111111"/>
                      <w:sz w:val="21"/>
                      <w:szCs w:val="21"/>
                      <w:lang w:eastAsia="zh-CN"/>
                    </w:rPr>
                    <w:t xml:space="preserve"> </w:t>
                  </w:r>
                  <w:r w:rsidRPr="00CC6846">
                    <w:rPr>
                      <w:rFonts w:ascii="Book Antiqua" w:eastAsiaTheme="minorEastAsia" w:hAnsi="Book Antiqua" w:cs="Times New Roman"/>
                      <w:color w:val="111111"/>
                      <w:sz w:val="21"/>
                      <w:szCs w:val="21"/>
                      <w:lang w:eastAsia="de-DE"/>
                    </w:rPr>
                    <w:t>0.001</w:t>
                  </w:r>
                </w:p>
              </w:tc>
            </w:tr>
            <w:tr w:rsidR="00154C57" w:rsidRPr="00CC6846" w14:paraId="0257880E" w14:textId="77777777" w:rsidTr="00095057">
              <w:tc>
                <w:tcPr>
                  <w:tcW w:w="14210" w:type="dxa"/>
                  <w:gridSpan w:val="17"/>
                  <w:tcBorders>
                    <w:top w:val="single" w:sz="4" w:space="0" w:color="auto"/>
                  </w:tcBorders>
                  <w:vAlign w:val="center"/>
                </w:tcPr>
                <w:p w14:paraId="266F1872" w14:textId="15D7E134" w:rsidR="00B77A30" w:rsidRPr="008808CF" w:rsidRDefault="008808CF" w:rsidP="00CB2DFE">
                  <w:pPr>
                    <w:widowControl w:val="0"/>
                    <w:suppressAutoHyphens/>
                    <w:spacing w:after="0" w:line="360" w:lineRule="auto"/>
                    <w:jc w:val="both"/>
                    <w:rPr>
                      <w:rFonts w:ascii="Book Antiqua" w:hAnsi="Book Antiqua" w:cs="Times New Roman"/>
                      <w:kern w:val="2"/>
                      <w:sz w:val="21"/>
                      <w:szCs w:val="21"/>
                      <w:lang w:eastAsia="zh-CN"/>
                    </w:rPr>
                  </w:pPr>
                  <w:r>
                    <w:rPr>
                      <w:rFonts w:ascii="Book Antiqua" w:hAnsi="Book Antiqua" w:cs="Times New Roman" w:hint="eastAsia"/>
                      <w:kern w:val="2"/>
                      <w:sz w:val="21"/>
                      <w:szCs w:val="21"/>
                      <w:vertAlign w:val="superscript"/>
                      <w:lang w:eastAsia="zh-CN"/>
                    </w:rPr>
                    <w:t>1</w:t>
                  </w:r>
                  <w:r w:rsidRPr="00CC6846">
                    <w:rPr>
                      <w:rFonts w:ascii="Book Antiqua" w:eastAsia="Calibri" w:hAnsi="Book Antiqua" w:cs="Times New Roman"/>
                      <w:kern w:val="2"/>
                      <w:sz w:val="21"/>
                      <w:szCs w:val="21"/>
                    </w:rPr>
                    <w:t>According to the Newcastle-Ottawa Scale ranging from 1 to 9 stars</w:t>
                  </w:r>
                  <w:r>
                    <w:rPr>
                      <w:rFonts w:ascii="Book Antiqua" w:hAnsi="Book Antiqua" w:cs="Times New Roman" w:hint="eastAsia"/>
                      <w:kern w:val="2"/>
                      <w:sz w:val="21"/>
                      <w:szCs w:val="21"/>
                      <w:lang w:eastAsia="zh-CN"/>
                    </w:rPr>
                    <w:t>.</w:t>
                  </w:r>
                  <w:r>
                    <w:rPr>
                      <w:rFonts w:ascii="Book Antiqua" w:eastAsia="Calibri" w:hAnsi="Book Antiqua" w:cs="Times New Roman"/>
                      <w:kern w:val="2"/>
                      <w:sz w:val="21"/>
                      <w:szCs w:val="21"/>
                    </w:rPr>
                    <w:t xml:space="preserve"> </w:t>
                  </w:r>
                  <w:r w:rsidR="00B77A30" w:rsidRPr="00CC6846">
                    <w:rPr>
                      <w:rFonts w:ascii="Book Antiqua" w:eastAsia="Calibri" w:hAnsi="Book Antiqua" w:cs="Times New Roman"/>
                      <w:kern w:val="2"/>
                      <w:sz w:val="21"/>
                      <w:szCs w:val="21"/>
                    </w:rPr>
                    <w:t>Age, and OS are presented as median values unless indicated otherwise</w:t>
                  </w:r>
                  <w:r w:rsidR="00B77A30" w:rsidRPr="00CC6846">
                    <w:rPr>
                      <w:rFonts w:ascii="Book Antiqua" w:hAnsi="Book Antiqua" w:cs="Times New Roman"/>
                      <w:kern w:val="2"/>
                      <w:sz w:val="21"/>
                      <w:szCs w:val="21"/>
                      <w:lang w:eastAsia="zh-CN"/>
                    </w:rPr>
                    <w:t xml:space="preserve">. </w:t>
                  </w:r>
                  <w:r w:rsidR="00B77A30" w:rsidRPr="00CC6846">
                    <w:rPr>
                      <w:rFonts w:ascii="Book Antiqua" w:eastAsia="Calibri" w:hAnsi="Book Antiqua" w:cs="Times New Roman"/>
                      <w:kern w:val="2"/>
                      <w:sz w:val="21"/>
                      <w:szCs w:val="21"/>
                    </w:rPr>
                    <w:t>NR</w:t>
                  </w:r>
                  <w:r w:rsidR="00B77A30" w:rsidRPr="00CC6846">
                    <w:rPr>
                      <w:rFonts w:ascii="Book Antiqua" w:hAnsi="Book Antiqua" w:cs="Times New Roman"/>
                      <w:kern w:val="2"/>
                      <w:sz w:val="21"/>
                      <w:szCs w:val="21"/>
                      <w:lang w:eastAsia="zh-CN"/>
                    </w:rPr>
                    <w:t>:</w:t>
                  </w:r>
                  <w:r w:rsidR="00B77A30" w:rsidRPr="00CC6846">
                    <w:rPr>
                      <w:rFonts w:ascii="Book Antiqua" w:eastAsia="Calibri" w:hAnsi="Book Antiqua" w:cs="Times New Roman"/>
                      <w:kern w:val="2"/>
                      <w:sz w:val="21"/>
                      <w:szCs w:val="21"/>
                    </w:rPr>
                    <w:t xml:space="preserve"> Not reported</w:t>
                  </w:r>
                  <w:r w:rsidR="00B77A30" w:rsidRPr="00CC6846">
                    <w:rPr>
                      <w:rFonts w:ascii="Book Antiqua" w:hAnsi="Book Antiqua" w:cs="Times New Roman"/>
                      <w:kern w:val="2"/>
                      <w:sz w:val="21"/>
                      <w:szCs w:val="21"/>
                      <w:lang w:eastAsia="zh-CN"/>
                    </w:rPr>
                    <w:t>;</w:t>
                  </w:r>
                  <w:r w:rsidR="00B77A30" w:rsidRPr="00CC6846">
                    <w:rPr>
                      <w:rFonts w:ascii="Book Antiqua" w:eastAsia="Calibri" w:hAnsi="Book Antiqua" w:cs="Times New Roman"/>
                      <w:kern w:val="2"/>
                      <w:sz w:val="21"/>
                      <w:szCs w:val="21"/>
                    </w:rPr>
                    <w:t xml:space="preserve"> OS</w:t>
                  </w:r>
                  <w:r w:rsidR="00B77A30" w:rsidRPr="00CC6846">
                    <w:rPr>
                      <w:rFonts w:ascii="Book Antiqua" w:hAnsi="Book Antiqua" w:cs="Times New Roman"/>
                      <w:kern w:val="2"/>
                      <w:sz w:val="21"/>
                      <w:szCs w:val="21"/>
                      <w:lang w:eastAsia="zh-CN"/>
                    </w:rPr>
                    <w:t>:</w:t>
                  </w:r>
                  <w:r w:rsidR="00B77A30" w:rsidRPr="00CC6846">
                    <w:rPr>
                      <w:rFonts w:ascii="Book Antiqua" w:eastAsia="Calibri" w:hAnsi="Book Antiqua" w:cs="Times New Roman"/>
                      <w:kern w:val="2"/>
                      <w:sz w:val="21"/>
                      <w:szCs w:val="21"/>
                    </w:rPr>
                    <w:t xml:space="preserve"> Overall survival; OR</w:t>
                  </w:r>
                  <w:r w:rsidR="00B77A30" w:rsidRPr="00CC6846">
                    <w:rPr>
                      <w:rFonts w:ascii="Book Antiqua" w:hAnsi="Book Antiqua" w:cs="Times New Roman"/>
                      <w:kern w:val="2"/>
                      <w:sz w:val="21"/>
                      <w:szCs w:val="21"/>
                      <w:lang w:eastAsia="zh-CN"/>
                    </w:rPr>
                    <w:t>:</w:t>
                  </w:r>
                  <w:r w:rsidR="00B77A30" w:rsidRPr="00CC6846">
                    <w:rPr>
                      <w:rFonts w:ascii="Book Antiqua" w:eastAsia="Calibri" w:hAnsi="Book Antiqua" w:cs="Times New Roman"/>
                      <w:kern w:val="2"/>
                      <w:sz w:val="21"/>
                      <w:szCs w:val="21"/>
                    </w:rPr>
                    <w:t xml:space="preserve"> Odds ratio; CI</w:t>
                  </w:r>
                  <w:r w:rsidR="00B77A30" w:rsidRPr="00CC6846">
                    <w:rPr>
                      <w:rFonts w:ascii="Book Antiqua" w:hAnsi="Book Antiqua" w:cs="Times New Roman"/>
                      <w:kern w:val="2"/>
                      <w:sz w:val="21"/>
                      <w:szCs w:val="21"/>
                      <w:lang w:eastAsia="zh-CN"/>
                    </w:rPr>
                    <w:t>:</w:t>
                  </w:r>
                  <w:r w:rsidR="00B77A30" w:rsidRPr="00CC6846">
                    <w:rPr>
                      <w:rFonts w:ascii="Book Antiqua" w:eastAsia="Calibri" w:hAnsi="Book Antiqua" w:cs="Times New Roman"/>
                      <w:kern w:val="2"/>
                      <w:sz w:val="21"/>
                      <w:szCs w:val="21"/>
                    </w:rPr>
                    <w:t xml:space="preserve"> Confidence </w:t>
                  </w:r>
                  <w:r w:rsidR="00095057">
                    <w:rPr>
                      <w:rFonts w:ascii="Book Antiqua" w:eastAsia="Calibri" w:hAnsi="Book Antiqua" w:cs="Times New Roman"/>
                      <w:kern w:val="2"/>
                      <w:sz w:val="21"/>
                      <w:szCs w:val="21"/>
                    </w:rPr>
                    <w:t xml:space="preserve">interval; </w:t>
                  </w:r>
                  <w:r w:rsidR="00B77A30" w:rsidRPr="00CC6846">
                    <w:rPr>
                      <w:rFonts w:ascii="Book Antiqua" w:eastAsia="Calibri" w:hAnsi="Book Antiqua" w:cs="Times New Roman"/>
                      <w:kern w:val="2"/>
                      <w:sz w:val="21"/>
                      <w:szCs w:val="21"/>
                    </w:rPr>
                    <w:t>P</w:t>
                  </w:r>
                  <w:r w:rsidR="00B77A30" w:rsidRPr="00CC6846">
                    <w:rPr>
                      <w:rFonts w:ascii="Book Antiqua" w:hAnsi="Book Antiqua" w:cs="Times New Roman"/>
                      <w:kern w:val="2"/>
                      <w:sz w:val="21"/>
                      <w:szCs w:val="21"/>
                      <w:lang w:eastAsia="zh-CN"/>
                    </w:rPr>
                    <w:t xml:space="preserve">: </w:t>
                  </w:r>
                  <w:r w:rsidR="00B77A30" w:rsidRPr="00CC6846">
                    <w:rPr>
                      <w:rFonts w:ascii="Book Antiqua" w:eastAsia="Calibri" w:hAnsi="Book Antiqua" w:cs="Times New Roman"/>
                      <w:kern w:val="2"/>
                      <w:sz w:val="21"/>
                      <w:szCs w:val="21"/>
                    </w:rPr>
                    <w:t>Prospective trial; P/R</w:t>
                  </w:r>
                  <w:r w:rsidR="00B77A30" w:rsidRPr="00CC6846">
                    <w:rPr>
                      <w:rFonts w:ascii="Book Antiqua" w:hAnsi="Book Antiqua" w:cs="Times New Roman"/>
                      <w:kern w:val="2"/>
                      <w:sz w:val="21"/>
                      <w:szCs w:val="21"/>
                      <w:lang w:eastAsia="zh-CN"/>
                    </w:rPr>
                    <w:t xml:space="preserve">: </w:t>
                  </w:r>
                  <w:r w:rsidR="00B77A30" w:rsidRPr="00CC6846">
                    <w:rPr>
                      <w:rFonts w:ascii="Book Antiqua" w:eastAsia="Calibri" w:hAnsi="Book Antiqua" w:cs="Times New Roman"/>
                      <w:kern w:val="2"/>
                      <w:sz w:val="21"/>
                      <w:szCs w:val="21"/>
                    </w:rPr>
                    <w:t>Retrospective analysis on prospectively collected data; R</w:t>
                  </w:r>
                  <w:r w:rsidR="00B77A30" w:rsidRPr="00CC6846">
                    <w:rPr>
                      <w:rFonts w:ascii="Book Antiqua" w:hAnsi="Book Antiqua" w:cs="Times New Roman"/>
                      <w:kern w:val="2"/>
                      <w:sz w:val="21"/>
                      <w:szCs w:val="21"/>
                      <w:lang w:eastAsia="zh-CN"/>
                    </w:rPr>
                    <w:t>:</w:t>
                  </w:r>
                  <w:r w:rsidR="00B77A30" w:rsidRPr="00CC6846">
                    <w:rPr>
                      <w:rFonts w:ascii="Book Antiqua" w:eastAsia="Calibri" w:hAnsi="Book Antiqua" w:cs="Times New Roman"/>
                      <w:kern w:val="2"/>
                      <w:sz w:val="21"/>
                      <w:szCs w:val="21"/>
                    </w:rPr>
                    <w:t xml:space="preserve"> Retrospective </w:t>
                  </w:r>
                  <w:r>
                    <w:rPr>
                      <w:rFonts w:ascii="Book Antiqua" w:eastAsia="Calibri" w:hAnsi="Book Antiqua" w:cs="Times New Roman"/>
                      <w:kern w:val="2"/>
                      <w:sz w:val="21"/>
                      <w:szCs w:val="21"/>
                    </w:rPr>
                    <w:t>trial</w:t>
                  </w:r>
                  <w:r>
                    <w:rPr>
                      <w:rFonts w:ascii="Book Antiqua" w:hAnsi="Book Antiqua" w:cs="Times New Roman" w:hint="eastAsia"/>
                      <w:kern w:val="2"/>
                      <w:sz w:val="21"/>
                      <w:szCs w:val="21"/>
                      <w:lang w:eastAsia="zh-CN"/>
                    </w:rPr>
                    <w:t>.</w:t>
                  </w:r>
                </w:p>
                <w:p w14:paraId="22591AC6"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F64EC87"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6DD2E5A2"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EC07BF3"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p w14:paraId="495FFC1C" w14:textId="77777777" w:rsidR="00154C57" w:rsidRPr="00CC6846" w:rsidRDefault="00154C57" w:rsidP="00CB2DFE">
                  <w:pPr>
                    <w:widowControl w:val="0"/>
                    <w:suppressAutoHyphens/>
                    <w:spacing w:after="0" w:line="360" w:lineRule="auto"/>
                    <w:jc w:val="both"/>
                    <w:rPr>
                      <w:rFonts w:ascii="Book Antiqua" w:eastAsia="Calibri" w:hAnsi="Book Antiqua" w:cs="Times New Roman"/>
                      <w:kern w:val="2"/>
                      <w:sz w:val="21"/>
                      <w:szCs w:val="21"/>
                    </w:rPr>
                  </w:pPr>
                </w:p>
              </w:tc>
            </w:tr>
          </w:tbl>
          <w:p w14:paraId="730B384E"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16"/>
                <w:szCs w:val="16"/>
              </w:rPr>
            </w:pPr>
          </w:p>
          <w:p w14:paraId="107C0386"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16"/>
                <w:szCs w:val="16"/>
              </w:rPr>
            </w:pPr>
          </w:p>
          <w:p w14:paraId="009FE78D" w14:textId="77777777" w:rsidR="00154C57" w:rsidRPr="00B77A30" w:rsidRDefault="00154C57" w:rsidP="00CB2DFE">
            <w:pPr>
              <w:widowControl w:val="0"/>
              <w:suppressAutoHyphens/>
              <w:spacing w:after="0" w:line="360" w:lineRule="auto"/>
              <w:jc w:val="both"/>
              <w:rPr>
                <w:rFonts w:ascii="Book Antiqua" w:eastAsia="Calibri" w:hAnsi="Book Antiqua" w:cs="Times New Roman"/>
                <w:kern w:val="2"/>
                <w:sz w:val="16"/>
                <w:szCs w:val="16"/>
              </w:rPr>
            </w:pPr>
          </w:p>
        </w:tc>
      </w:tr>
    </w:tbl>
    <w:p w14:paraId="0702E67A" w14:textId="77777777" w:rsidR="00154C57" w:rsidRPr="00B77A30" w:rsidRDefault="00154C57" w:rsidP="00CB2DFE">
      <w:pPr>
        <w:spacing w:after="0" w:line="360" w:lineRule="auto"/>
        <w:jc w:val="both"/>
        <w:rPr>
          <w:rFonts w:ascii="Book Antiqua" w:hAnsi="Book Antiqua" w:cs="Times New Roman"/>
          <w:sz w:val="24"/>
          <w:szCs w:val="24"/>
        </w:rPr>
        <w:sectPr w:rsidR="00154C57" w:rsidRPr="00B77A30" w:rsidSect="005473F3">
          <w:pgSz w:w="15840" w:h="12240" w:orient="landscape"/>
          <w:pgMar w:top="1440" w:right="1440" w:bottom="1440" w:left="1440" w:header="0" w:footer="720" w:gutter="0"/>
          <w:cols w:space="720"/>
          <w:docGrid w:linePitch="360"/>
        </w:sectPr>
      </w:pPr>
    </w:p>
    <w:p w14:paraId="7545B10F" w14:textId="71BCED78" w:rsidR="00154C57" w:rsidRPr="00B77A30" w:rsidRDefault="00154C57" w:rsidP="00CB2DFE">
      <w:pPr>
        <w:pStyle w:val="NoSpacing"/>
        <w:spacing w:line="360" w:lineRule="auto"/>
        <w:jc w:val="both"/>
        <w:rPr>
          <w:rFonts w:ascii="Book Antiqua" w:hAnsi="Book Antiqua"/>
        </w:rPr>
      </w:pPr>
      <w:r w:rsidRPr="00B77A30">
        <w:rPr>
          <w:rFonts w:ascii="Book Antiqua" w:hAnsi="Book Antiqua"/>
          <w:b/>
        </w:rPr>
        <w:lastRenderedPageBreak/>
        <w:t xml:space="preserve">Table </w:t>
      </w:r>
      <w:r w:rsidR="00B77A30">
        <w:rPr>
          <w:rFonts w:ascii="Book Antiqua" w:eastAsia="宋体" w:hAnsi="Book Antiqua" w:hint="eastAsia"/>
          <w:b/>
          <w:lang w:eastAsia="zh-CN"/>
        </w:rPr>
        <w:t xml:space="preserve">4 </w:t>
      </w:r>
      <w:proofErr w:type="spellStart"/>
      <w:r w:rsidRPr="00B77A30">
        <w:rPr>
          <w:rFonts w:ascii="Book Antiqua" w:hAnsi="Book Antiqua"/>
          <w:b/>
        </w:rPr>
        <w:t>Makary</w:t>
      </w:r>
      <w:proofErr w:type="spellEnd"/>
      <w:r w:rsidRPr="00B77A30">
        <w:rPr>
          <w:rFonts w:ascii="Book Antiqua" w:hAnsi="Book Antiqua"/>
          <w:b/>
        </w:rPr>
        <w:t xml:space="preserve"> and colleagues did report on the surgical outcomes of a large cohort of older patients in which frailty was assessed using a frailty scale based </w:t>
      </w:r>
      <w:r w:rsidR="00C57E3D" w:rsidRPr="00B77A30">
        <w:rPr>
          <w:rFonts w:ascii="Book Antiqua" w:hAnsi="Book Antiqua"/>
          <w:b/>
        </w:rPr>
        <w:t>on the Fried frailty phenotype</w:t>
      </w:r>
      <w:r w:rsidRPr="00B77A30">
        <w:rPr>
          <w:rFonts w:ascii="Book Antiqua" w:hAnsi="Book Antiqua"/>
        </w:rPr>
        <w:fldChar w:fldCharType="begin">
          <w:fldData xml:space="preserve">PEVuZE5vdGU+PENpdGU+PEF1dGhvcj5NYWthcnk8L0F1dGhvcj48WWVhcj4yMDEwPC9ZZWFyPjxS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==
</w:fldData>
        </w:fldChar>
      </w:r>
      <w:r w:rsidRPr="00B77A30">
        <w:rPr>
          <w:rFonts w:ascii="Book Antiqua" w:hAnsi="Book Antiqua"/>
        </w:rPr>
        <w:instrText xml:space="preserve"> ADDIN EN.CITE </w:instrText>
      </w:r>
      <w:r w:rsidRPr="00B77A30">
        <w:rPr>
          <w:rFonts w:ascii="Book Antiqua" w:hAnsi="Book Antiqua"/>
        </w:rPr>
        <w:fldChar w:fldCharType="begin">
          <w:fldData xml:space="preserve">PEVuZE5vdGU+PENpdGU+PEF1dGhvcj5NYWthcnk8L0F1dGhvcj48WWVhcj4yMDEwPC9ZZWFyPjxS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==
</w:fldData>
        </w:fldChar>
      </w:r>
      <w:r w:rsidRPr="00B77A30">
        <w:rPr>
          <w:rFonts w:ascii="Book Antiqua" w:hAnsi="Book Antiqua"/>
        </w:rPr>
        <w:instrText xml:space="preserve"> ADDIN EN.CITE.DATA </w:instrText>
      </w:r>
      <w:r w:rsidRPr="00B77A30">
        <w:rPr>
          <w:rFonts w:ascii="Book Antiqua" w:hAnsi="Book Antiqua"/>
        </w:rPr>
      </w:r>
      <w:r w:rsidRPr="00B77A30">
        <w:rPr>
          <w:rFonts w:ascii="Book Antiqua" w:hAnsi="Book Antiqua"/>
        </w:rPr>
        <w:fldChar w:fldCharType="end"/>
      </w:r>
      <w:r w:rsidRPr="00B77A30">
        <w:rPr>
          <w:rFonts w:ascii="Book Antiqua" w:hAnsi="Book Antiqua"/>
        </w:rPr>
      </w:r>
      <w:r w:rsidRPr="00B77A30">
        <w:rPr>
          <w:rFonts w:ascii="Book Antiqua" w:hAnsi="Book Antiqua"/>
        </w:rPr>
        <w:fldChar w:fldCharType="end"/>
      </w:r>
    </w:p>
    <w:tbl>
      <w:tblPr>
        <w:tblStyle w:val="TableGrid"/>
        <w:tblW w:w="879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9"/>
        <w:gridCol w:w="5144"/>
      </w:tblGrid>
      <w:tr w:rsidR="00B77A30" w:rsidRPr="00B77A30" w14:paraId="7FC7D947" w14:textId="77777777" w:rsidTr="00B77A30">
        <w:trPr>
          <w:trHeight w:val="392"/>
          <w:jc w:val="center"/>
        </w:trPr>
        <w:tc>
          <w:tcPr>
            <w:tcW w:w="3649" w:type="dxa"/>
            <w:tcBorders>
              <w:top w:val="single" w:sz="4" w:space="0" w:color="auto"/>
              <w:bottom w:val="single" w:sz="4" w:space="0" w:color="auto"/>
            </w:tcBorders>
            <w:shd w:val="clear" w:color="auto" w:fill="auto"/>
          </w:tcPr>
          <w:p w14:paraId="098CB7D4" w14:textId="7EDB4CB0" w:rsidR="00B77A30" w:rsidRPr="00B77A30" w:rsidRDefault="00B77A30" w:rsidP="00CB2DFE">
            <w:pPr>
              <w:spacing w:line="360" w:lineRule="auto"/>
              <w:jc w:val="both"/>
              <w:rPr>
                <w:rFonts w:ascii="Book Antiqua" w:hAnsi="Book Antiqua" w:cs="Times New Roman"/>
                <w:b/>
                <w:sz w:val="21"/>
                <w:szCs w:val="21"/>
              </w:rPr>
            </w:pPr>
            <w:r w:rsidRPr="00B77A30">
              <w:rPr>
                <w:rFonts w:ascii="Book Antiqua" w:hAnsi="Book Antiqua" w:cs="Times New Roman"/>
                <w:b/>
                <w:sz w:val="21"/>
                <w:szCs w:val="21"/>
              </w:rPr>
              <w:t>Characteristic</w:t>
            </w:r>
          </w:p>
        </w:tc>
        <w:tc>
          <w:tcPr>
            <w:tcW w:w="5144" w:type="dxa"/>
            <w:tcBorders>
              <w:top w:val="single" w:sz="4" w:space="0" w:color="auto"/>
              <w:bottom w:val="single" w:sz="4" w:space="0" w:color="auto"/>
            </w:tcBorders>
            <w:shd w:val="clear" w:color="auto" w:fill="auto"/>
          </w:tcPr>
          <w:p w14:paraId="7674F42A" w14:textId="77777777" w:rsidR="00B77A30" w:rsidRPr="00B77A30" w:rsidRDefault="00B77A30" w:rsidP="00CB2DFE">
            <w:pPr>
              <w:spacing w:line="360" w:lineRule="auto"/>
              <w:jc w:val="both"/>
              <w:rPr>
                <w:rFonts w:ascii="Book Antiqua" w:hAnsi="Book Antiqua" w:cs="Times New Roman"/>
                <w:sz w:val="21"/>
                <w:szCs w:val="21"/>
              </w:rPr>
            </w:pPr>
          </w:p>
        </w:tc>
      </w:tr>
      <w:tr w:rsidR="00154C57" w:rsidRPr="00B77A30" w14:paraId="2BA2CE7C" w14:textId="77777777" w:rsidTr="00B77A30">
        <w:trPr>
          <w:trHeight w:val="1600"/>
          <w:jc w:val="center"/>
        </w:trPr>
        <w:tc>
          <w:tcPr>
            <w:tcW w:w="3649" w:type="dxa"/>
            <w:tcBorders>
              <w:top w:val="single" w:sz="4" w:space="0" w:color="auto"/>
            </w:tcBorders>
            <w:shd w:val="clear" w:color="auto" w:fill="auto"/>
          </w:tcPr>
          <w:p w14:paraId="0DA67C78" w14:textId="77777777" w:rsidR="00154C57" w:rsidRPr="00B77A30" w:rsidRDefault="00154C57" w:rsidP="00CB2DFE">
            <w:pPr>
              <w:spacing w:line="360" w:lineRule="auto"/>
              <w:jc w:val="both"/>
              <w:rPr>
                <w:rFonts w:ascii="Book Antiqua" w:hAnsi="Book Antiqua" w:cs="Times New Roman"/>
                <w:sz w:val="21"/>
                <w:szCs w:val="21"/>
              </w:rPr>
            </w:pPr>
            <w:r w:rsidRPr="00B77A30">
              <w:rPr>
                <w:rFonts w:ascii="Book Antiqua" w:hAnsi="Book Antiqua" w:cs="Times New Roman"/>
                <w:sz w:val="21"/>
                <w:szCs w:val="21"/>
              </w:rPr>
              <w:t>Weakness</w:t>
            </w:r>
          </w:p>
        </w:tc>
        <w:tc>
          <w:tcPr>
            <w:tcW w:w="5144" w:type="dxa"/>
            <w:tcBorders>
              <w:top w:val="single" w:sz="4" w:space="0" w:color="auto"/>
            </w:tcBorders>
            <w:shd w:val="clear" w:color="auto" w:fill="auto"/>
          </w:tcPr>
          <w:p w14:paraId="4701D059" w14:textId="65332469" w:rsidR="00154C57" w:rsidRPr="00B77A30" w:rsidRDefault="00154C57" w:rsidP="00CB2DFE">
            <w:pPr>
              <w:spacing w:line="360" w:lineRule="auto"/>
              <w:jc w:val="both"/>
              <w:rPr>
                <w:rFonts w:ascii="Book Antiqua" w:hAnsi="Book Antiqua" w:cs="Times New Roman"/>
                <w:sz w:val="21"/>
                <w:szCs w:val="21"/>
              </w:rPr>
            </w:pPr>
            <w:r w:rsidRPr="00B77A30">
              <w:rPr>
                <w:rFonts w:ascii="Book Antiqua" w:hAnsi="Book Antiqua" w:cs="Times New Roman"/>
                <w:sz w:val="21"/>
                <w:szCs w:val="21"/>
                <w:lang w:val="en-US"/>
              </w:rPr>
              <w:t xml:space="preserve">Weakness should be assessed by grip strength and measured directly with a hand held JAMAR dynamometer (Sammons, Preston </w:t>
            </w:r>
            <w:proofErr w:type="spellStart"/>
            <w:r w:rsidRPr="00B77A30">
              <w:rPr>
                <w:rFonts w:ascii="Book Antiqua" w:hAnsi="Book Antiqua" w:cs="Times New Roman"/>
                <w:sz w:val="21"/>
                <w:szCs w:val="21"/>
                <w:lang w:val="en-US"/>
              </w:rPr>
              <w:t>Rolyan</w:t>
            </w:r>
            <w:proofErr w:type="spellEnd"/>
            <w:r w:rsidRPr="00B77A30">
              <w:rPr>
                <w:rFonts w:ascii="Book Antiqua" w:hAnsi="Book Antiqua" w:cs="Times New Roman"/>
                <w:sz w:val="21"/>
                <w:szCs w:val="21"/>
                <w:lang w:val="en-US"/>
              </w:rPr>
              <w:t>). Three serial tests of maximum grip strength with the dominant hand will be performed and a mean of the three values will be calculated and adjusted by body mass index and gender. Actual weakness will be defined in the lowest 20</w:t>
            </w:r>
            <w:r w:rsidRPr="00B77A30">
              <w:rPr>
                <w:rFonts w:ascii="Book Antiqua" w:hAnsi="Book Antiqua" w:cs="Times New Roman"/>
                <w:sz w:val="21"/>
                <w:szCs w:val="21"/>
                <w:vertAlign w:val="superscript"/>
                <w:lang w:val="en-US"/>
              </w:rPr>
              <w:t>th</w:t>
            </w:r>
            <w:r w:rsidRPr="00B77A30">
              <w:rPr>
                <w:rFonts w:ascii="Book Antiqua" w:hAnsi="Book Antiqua" w:cs="Times New Roman"/>
                <w:sz w:val="21"/>
                <w:szCs w:val="21"/>
                <w:lang w:val="en-US"/>
              </w:rPr>
              <w:t xml:space="preserve"> percentile of a community dwelling adults of 65 </w:t>
            </w:r>
            <w:proofErr w:type="spellStart"/>
            <w:r w:rsidRPr="00B77A30">
              <w:rPr>
                <w:rFonts w:ascii="Book Antiqua" w:hAnsi="Book Antiqua" w:cs="Times New Roman"/>
                <w:sz w:val="21"/>
                <w:szCs w:val="21"/>
                <w:lang w:val="en-US"/>
              </w:rPr>
              <w:t>y</w:t>
            </w:r>
            <w:r w:rsidR="00B77A30">
              <w:rPr>
                <w:rFonts w:ascii="Book Antiqua" w:hAnsi="Book Antiqua" w:cs="Times New Roman"/>
                <w:sz w:val="21"/>
                <w:szCs w:val="21"/>
                <w:lang w:val="en-US"/>
              </w:rPr>
              <w:t>r</w:t>
            </w:r>
            <w:proofErr w:type="spellEnd"/>
            <w:r w:rsidRPr="00B77A30">
              <w:rPr>
                <w:rFonts w:ascii="Book Antiqua" w:hAnsi="Book Antiqua" w:cs="Times New Roman"/>
                <w:sz w:val="21"/>
                <w:szCs w:val="21"/>
                <w:lang w:val="en-US"/>
              </w:rPr>
              <w:t xml:space="preserve"> and older.</w:t>
            </w:r>
          </w:p>
        </w:tc>
      </w:tr>
      <w:tr w:rsidR="00154C57" w:rsidRPr="00B77A30" w14:paraId="40B13330" w14:textId="77777777" w:rsidTr="00B77A30">
        <w:trPr>
          <w:trHeight w:val="526"/>
          <w:jc w:val="center"/>
        </w:trPr>
        <w:tc>
          <w:tcPr>
            <w:tcW w:w="3649" w:type="dxa"/>
            <w:shd w:val="clear" w:color="auto" w:fill="auto"/>
          </w:tcPr>
          <w:p w14:paraId="1FD830F5" w14:textId="77777777" w:rsidR="00154C57" w:rsidRPr="00B77A30" w:rsidRDefault="00154C57" w:rsidP="00CB2DFE">
            <w:pPr>
              <w:spacing w:line="360" w:lineRule="auto"/>
              <w:jc w:val="both"/>
              <w:rPr>
                <w:rFonts w:ascii="Book Antiqua" w:hAnsi="Book Antiqua" w:cs="Times New Roman"/>
                <w:sz w:val="21"/>
                <w:szCs w:val="21"/>
              </w:rPr>
            </w:pPr>
            <w:r w:rsidRPr="00B77A30">
              <w:rPr>
                <w:rFonts w:ascii="Book Antiqua" w:hAnsi="Book Antiqua" w:cs="Times New Roman"/>
                <w:sz w:val="21"/>
                <w:szCs w:val="21"/>
              </w:rPr>
              <w:t>Shrinking</w:t>
            </w:r>
          </w:p>
        </w:tc>
        <w:tc>
          <w:tcPr>
            <w:tcW w:w="5144" w:type="dxa"/>
            <w:shd w:val="clear" w:color="auto" w:fill="auto"/>
          </w:tcPr>
          <w:p w14:paraId="43DAEC8A" w14:textId="77777777" w:rsidR="00154C57" w:rsidRPr="00B77A30" w:rsidRDefault="00154C57" w:rsidP="00CB2DFE">
            <w:pPr>
              <w:spacing w:line="360" w:lineRule="auto"/>
              <w:jc w:val="both"/>
              <w:rPr>
                <w:rFonts w:ascii="Book Antiqua" w:hAnsi="Book Antiqua" w:cs="Times New Roman"/>
                <w:sz w:val="21"/>
                <w:szCs w:val="21"/>
              </w:rPr>
            </w:pPr>
            <w:r w:rsidRPr="00B77A30">
              <w:rPr>
                <w:rFonts w:ascii="Book Antiqua" w:hAnsi="Book Antiqua" w:cs="Times New Roman"/>
                <w:sz w:val="21"/>
                <w:szCs w:val="21"/>
                <w:lang w:val="en-US"/>
              </w:rPr>
              <w:t>Shrinking should be defined through a self-report as unintentional weight loss above 10 pounds during the last year.</w:t>
            </w:r>
          </w:p>
        </w:tc>
      </w:tr>
      <w:tr w:rsidR="00154C57" w:rsidRPr="00B77A30" w14:paraId="6632EA0B" w14:textId="77777777" w:rsidTr="00B77A30">
        <w:trPr>
          <w:trHeight w:val="1884"/>
          <w:jc w:val="center"/>
        </w:trPr>
        <w:tc>
          <w:tcPr>
            <w:tcW w:w="3649" w:type="dxa"/>
            <w:shd w:val="clear" w:color="auto" w:fill="auto"/>
          </w:tcPr>
          <w:p w14:paraId="69059618" w14:textId="77777777" w:rsidR="00154C57" w:rsidRPr="00B77A30" w:rsidRDefault="00154C57" w:rsidP="00CB2DFE">
            <w:pPr>
              <w:spacing w:line="360" w:lineRule="auto"/>
              <w:jc w:val="both"/>
              <w:rPr>
                <w:rFonts w:ascii="Book Antiqua" w:hAnsi="Book Antiqua" w:cs="Times New Roman"/>
                <w:sz w:val="21"/>
                <w:szCs w:val="21"/>
              </w:rPr>
            </w:pPr>
            <w:r w:rsidRPr="00B77A30">
              <w:rPr>
                <w:rFonts w:ascii="Book Antiqua" w:hAnsi="Book Antiqua" w:cs="Times New Roman"/>
                <w:sz w:val="21"/>
                <w:szCs w:val="21"/>
              </w:rPr>
              <w:t>Exhaustion</w:t>
            </w:r>
          </w:p>
        </w:tc>
        <w:tc>
          <w:tcPr>
            <w:tcW w:w="5144" w:type="dxa"/>
            <w:shd w:val="clear" w:color="auto" w:fill="auto"/>
          </w:tcPr>
          <w:p w14:paraId="165C18DF" w14:textId="38EB4495" w:rsidR="00154C57" w:rsidRPr="00B77A30" w:rsidRDefault="00154C57" w:rsidP="00CB2DFE">
            <w:pPr>
              <w:spacing w:line="360" w:lineRule="auto"/>
              <w:jc w:val="both"/>
              <w:rPr>
                <w:rFonts w:ascii="Book Antiqua" w:hAnsi="Book Antiqua" w:cs="Times New Roman"/>
                <w:sz w:val="21"/>
                <w:szCs w:val="21"/>
              </w:rPr>
            </w:pPr>
            <w:r w:rsidRPr="00B77A30">
              <w:rPr>
                <w:rFonts w:ascii="Book Antiqua" w:hAnsi="Book Antiqua" w:cs="Times New Roman"/>
                <w:sz w:val="21"/>
                <w:szCs w:val="21"/>
                <w:lang w:val="en-US"/>
              </w:rPr>
              <w:t>Exhaustion should be measured by responses following 2 statements from the modified 10 item Center for Epidemiological Studies – Depression scale: “I felt that everything I did was an effort and I could not get going”</w:t>
            </w:r>
            <w:r w:rsidR="000A0F89">
              <w:rPr>
                <w:rFonts w:ascii="Book Antiqua" w:hAnsi="Book Antiqua" w:cs="Times New Roman"/>
                <w:sz w:val="21"/>
                <w:szCs w:val="21"/>
                <w:lang w:val="en-US"/>
              </w:rPr>
              <w:t xml:space="preserve"> </w:t>
            </w:r>
            <w:r w:rsidRPr="00B77A30">
              <w:rPr>
                <w:rFonts w:ascii="Book Antiqua" w:hAnsi="Book Antiqua" w:cs="Times New Roman"/>
                <w:sz w:val="21"/>
                <w:szCs w:val="21"/>
                <w:lang w:val="en-US"/>
              </w:rPr>
              <w:t>and</w:t>
            </w:r>
            <w:r w:rsidR="000A0F89">
              <w:rPr>
                <w:rFonts w:ascii="Book Antiqua" w:hAnsi="Book Antiqua" w:cs="Times New Roman"/>
                <w:sz w:val="21"/>
                <w:szCs w:val="21"/>
                <w:lang w:val="en-US"/>
              </w:rPr>
              <w:t xml:space="preserve"> </w:t>
            </w:r>
            <w:r w:rsidRPr="00B77A30">
              <w:rPr>
                <w:rFonts w:ascii="Book Antiqua" w:hAnsi="Book Antiqua" w:cs="Times New Roman"/>
                <w:sz w:val="21"/>
                <w:szCs w:val="21"/>
                <w:lang w:val="en-US"/>
              </w:rPr>
              <w:t>“How often in the last week did you feel way?” and will be given the opportunity to reply with 0=rarely or none of the time (&lt;</w:t>
            </w:r>
            <w:r w:rsidR="00B77A30">
              <w:rPr>
                <w:rFonts w:ascii="Book Antiqua" w:eastAsia="宋体" w:hAnsi="Book Antiqua" w:cs="Times New Roman" w:hint="eastAsia"/>
                <w:sz w:val="21"/>
                <w:szCs w:val="21"/>
                <w:lang w:val="en-US" w:eastAsia="zh-CN"/>
              </w:rPr>
              <w:t xml:space="preserve"> </w:t>
            </w:r>
            <w:r w:rsidRPr="00B77A30">
              <w:rPr>
                <w:rFonts w:ascii="Book Antiqua" w:hAnsi="Book Antiqua" w:cs="Times New Roman"/>
                <w:sz w:val="21"/>
                <w:szCs w:val="21"/>
                <w:lang w:val="en-US"/>
              </w:rPr>
              <w:t>1 d); 1</w:t>
            </w:r>
            <w:r w:rsidR="00B77A30">
              <w:rPr>
                <w:rFonts w:ascii="Book Antiqua" w:eastAsia="宋体" w:hAnsi="Book Antiqua" w:cs="Times New Roman" w:hint="eastAsia"/>
                <w:sz w:val="21"/>
                <w:szCs w:val="21"/>
                <w:lang w:val="en-US" w:eastAsia="zh-CN"/>
              </w:rPr>
              <w:t xml:space="preserve"> </w:t>
            </w:r>
            <w:r w:rsidRPr="00B77A30">
              <w:rPr>
                <w:rFonts w:ascii="Book Antiqua" w:hAnsi="Book Antiqua" w:cs="Times New Roman"/>
                <w:sz w:val="21"/>
                <w:szCs w:val="21"/>
                <w:lang w:val="en-US"/>
              </w:rPr>
              <w:t>=</w:t>
            </w:r>
            <w:r w:rsidR="00B77A30">
              <w:rPr>
                <w:rFonts w:ascii="Book Antiqua" w:eastAsia="宋体" w:hAnsi="Book Antiqua" w:cs="Times New Roman" w:hint="eastAsia"/>
                <w:sz w:val="21"/>
                <w:szCs w:val="21"/>
                <w:lang w:val="en-US" w:eastAsia="zh-CN"/>
              </w:rPr>
              <w:t xml:space="preserve"> </w:t>
            </w:r>
            <w:r w:rsidRPr="00B77A30">
              <w:rPr>
                <w:rFonts w:ascii="Book Antiqua" w:hAnsi="Book Antiqua" w:cs="Times New Roman"/>
                <w:sz w:val="21"/>
                <w:szCs w:val="21"/>
                <w:lang w:val="en-US"/>
              </w:rPr>
              <w:t>some or a little time (1-2 d); 2</w:t>
            </w:r>
            <w:r w:rsidR="00B77A30">
              <w:rPr>
                <w:rFonts w:ascii="Book Antiqua" w:eastAsia="宋体" w:hAnsi="Book Antiqua" w:cs="Times New Roman" w:hint="eastAsia"/>
                <w:sz w:val="21"/>
                <w:szCs w:val="21"/>
                <w:lang w:val="en-US" w:eastAsia="zh-CN"/>
              </w:rPr>
              <w:t xml:space="preserve"> </w:t>
            </w:r>
            <w:r w:rsidRPr="00B77A30">
              <w:rPr>
                <w:rFonts w:ascii="Book Antiqua" w:hAnsi="Book Antiqua" w:cs="Times New Roman"/>
                <w:sz w:val="21"/>
                <w:szCs w:val="21"/>
                <w:lang w:val="en-US"/>
              </w:rPr>
              <w:t>=</w:t>
            </w:r>
            <w:r w:rsidR="00B77A30">
              <w:rPr>
                <w:rFonts w:ascii="Book Antiqua" w:eastAsia="宋体" w:hAnsi="Book Antiqua" w:cs="Times New Roman" w:hint="eastAsia"/>
                <w:sz w:val="21"/>
                <w:szCs w:val="21"/>
                <w:lang w:val="en-US" w:eastAsia="zh-CN"/>
              </w:rPr>
              <w:t xml:space="preserve"> </w:t>
            </w:r>
            <w:r w:rsidRPr="00B77A30">
              <w:rPr>
                <w:rFonts w:ascii="Book Antiqua" w:hAnsi="Book Antiqua" w:cs="Times New Roman"/>
                <w:sz w:val="21"/>
                <w:szCs w:val="21"/>
                <w:lang w:val="en-US"/>
              </w:rPr>
              <w:t>a moderate amount of time (3-4 d); and 3</w:t>
            </w:r>
            <w:r w:rsidR="00B77A30">
              <w:rPr>
                <w:rFonts w:ascii="Book Antiqua" w:eastAsia="宋体" w:hAnsi="Book Antiqua" w:cs="Times New Roman" w:hint="eastAsia"/>
                <w:sz w:val="21"/>
                <w:szCs w:val="21"/>
                <w:lang w:val="en-US" w:eastAsia="zh-CN"/>
              </w:rPr>
              <w:t xml:space="preserve"> </w:t>
            </w:r>
            <w:r w:rsidRPr="00B77A30">
              <w:rPr>
                <w:rFonts w:ascii="Book Antiqua" w:hAnsi="Book Antiqua" w:cs="Times New Roman"/>
                <w:sz w:val="21"/>
                <w:szCs w:val="21"/>
                <w:lang w:val="en-US"/>
              </w:rPr>
              <w:t>= most of the time. Patients answering either with 2 or 3 will be classified as exhausted.</w:t>
            </w:r>
          </w:p>
        </w:tc>
      </w:tr>
      <w:tr w:rsidR="00154C57" w:rsidRPr="00B77A30" w14:paraId="0E91D8F8" w14:textId="77777777" w:rsidTr="00B77A30">
        <w:trPr>
          <w:trHeight w:val="1600"/>
          <w:jc w:val="center"/>
        </w:trPr>
        <w:tc>
          <w:tcPr>
            <w:tcW w:w="3649" w:type="dxa"/>
            <w:shd w:val="clear" w:color="auto" w:fill="auto"/>
          </w:tcPr>
          <w:p w14:paraId="4A498954" w14:textId="77777777" w:rsidR="00154C57" w:rsidRPr="00B77A30" w:rsidRDefault="00154C57" w:rsidP="00CB2DFE">
            <w:pPr>
              <w:spacing w:line="360" w:lineRule="auto"/>
              <w:jc w:val="both"/>
              <w:rPr>
                <w:rFonts w:ascii="Book Antiqua" w:hAnsi="Book Antiqua" w:cs="Times New Roman"/>
                <w:sz w:val="21"/>
                <w:szCs w:val="21"/>
              </w:rPr>
            </w:pPr>
            <w:r w:rsidRPr="00B77A30">
              <w:rPr>
                <w:rFonts w:ascii="Book Antiqua" w:hAnsi="Book Antiqua" w:cs="Times New Roman"/>
                <w:sz w:val="21"/>
                <w:szCs w:val="21"/>
              </w:rPr>
              <w:lastRenderedPageBreak/>
              <w:t>Low activity</w:t>
            </w:r>
          </w:p>
        </w:tc>
        <w:tc>
          <w:tcPr>
            <w:tcW w:w="5144" w:type="dxa"/>
            <w:shd w:val="clear" w:color="auto" w:fill="auto"/>
          </w:tcPr>
          <w:p w14:paraId="0226337C" w14:textId="5328E9B1" w:rsidR="00154C57" w:rsidRPr="00B77A30" w:rsidRDefault="00154C57" w:rsidP="00CB2DFE">
            <w:pPr>
              <w:spacing w:line="360" w:lineRule="auto"/>
              <w:jc w:val="both"/>
              <w:rPr>
                <w:rFonts w:ascii="Book Antiqua" w:hAnsi="Book Antiqua" w:cs="Times New Roman"/>
                <w:sz w:val="21"/>
                <w:szCs w:val="21"/>
              </w:rPr>
            </w:pPr>
            <w:r w:rsidRPr="00B77A30">
              <w:rPr>
                <w:rFonts w:ascii="Book Antiqua" w:hAnsi="Book Antiqua" w:cs="Times New Roman"/>
                <w:sz w:val="21"/>
                <w:szCs w:val="21"/>
                <w:lang w:val="en-US"/>
              </w:rPr>
              <w:t>Physical activities should be assessed using the Minnesota Leisure Time Activities Questionnaire which includes frequency and duration. The focus should be placed on activities in the past 2 weeks prior to operation. Weekly tasks will be converted to equivalent kilocalories of expenditu</w:t>
            </w:r>
            <w:r w:rsidR="00B77A30">
              <w:rPr>
                <w:rFonts w:ascii="Book Antiqua" w:hAnsi="Book Antiqua" w:cs="Times New Roman"/>
                <w:sz w:val="21"/>
                <w:szCs w:val="21"/>
                <w:lang w:val="en-US"/>
              </w:rPr>
              <w:t xml:space="preserve">re, and individuals reporting </w:t>
            </w:r>
            <w:proofErr w:type="spellStart"/>
            <w:r w:rsidR="00B77A30">
              <w:rPr>
                <w:rFonts w:ascii="Book Antiqua" w:hAnsi="Book Antiqua" w:cs="Times New Roman"/>
                <w:sz w:val="21"/>
                <w:szCs w:val="21"/>
                <w:lang w:val="en-US"/>
              </w:rPr>
              <w:t>a</w:t>
            </w:r>
            <w:r w:rsidRPr="00B77A30">
              <w:rPr>
                <w:rFonts w:ascii="Book Antiqua" w:hAnsi="Book Antiqua" w:cs="Times New Roman"/>
                <w:sz w:val="21"/>
                <w:szCs w:val="21"/>
                <w:lang w:val="en-US"/>
              </w:rPr>
              <w:t>w</w:t>
            </w:r>
            <w:bookmarkStart w:id="71" w:name="_GoBack"/>
            <w:bookmarkEnd w:id="71"/>
            <w:r w:rsidRPr="00B77A30">
              <w:rPr>
                <w:rFonts w:ascii="Book Antiqua" w:hAnsi="Book Antiqua" w:cs="Times New Roman"/>
                <w:sz w:val="21"/>
                <w:szCs w:val="21"/>
                <w:lang w:val="en-US"/>
              </w:rPr>
              <w:t>eekly</w:t>
            </w:r>
            <w:proofErr w:type="spellEnd"/>
            <w:r w:rsidRPr="00B77A30">
              <w:rPr>
                <w:rFonts w:ascii="Book Antiqua" w:hAnsi="Book Antiqua" w:cs="Times New Roman"/>
                <w:sz w:val="21"/>
                <w:szCs w:val="21"/>
                <w:lang w:val="en-US"/>
              </w:rPr>
              <w:t xml:space="preserve"> kilocalorie expenditure in the lowest 20</w:t>
            </w:r>
            <w:r w:rsidRPr="00B77A30">
              <w:rPr>
                <w:rFonts w:ascii="Book Antiqua" w:hAnsi="Book Antiqua" w:cs="Times New Roman"/>
                <w:sz w:val="21"/>
                <w:szCs w:val="21"/>
                <w:vertAlign w:val="superscript"/>
                <w:lang w:val="en-US"/>
              </w:rPr>
              <w:t>th</w:t>
            </w:r>
            <w:r w:rsidRPr="00B77A30">
              <w:rPr>
                <w:rFonts w:ascii="Book Antiqua" w:hAnsi="Book Antiqua" w:cs="Times New Roman"/>
                <w:sz w:val="21"/>
                <w:szCs w:val="21"/>
                <w:lang w:val="en-US"/>
              </w:rPr>
              <w:t xml:space="preserve"> percentile for their gender will be classified as having low activity.</w:t>
            </w:r>
          </w:p>
        </w:tc>
      </w:tr>
      <w:tr w:rsidR="00154C57" w:rsidRPr="00B77A30" w14:paraId="7538A205" w14:textId="77777777" w:rsidTr="00B77A30">
        <w:trPr>
          <w:trHeight w:val="1073"/>
          <w:jc w:val="center"/>
        </w:trPr>
        <w:tc>
          <w:tcPr>
            <w:tcW w:w="3649" w:type="dxa"/>
            <w:shd w:val="clear" w:color="auto" w:fill="auto"/>
          </w:tcPr>
          <w:p w14:paraId="0C3D4910" w14:textId="77777777" w:rsidR="00154C57" w:rsidRPr="00B77A30" w:rsidRDefault="00154C57" w:rsidP="00CB2DFE">
            <w:pPr>
              <w:spacing w:line="360" w:lineRule="auto"/>
              <w:jc w:val="both"/>
              <w:rPr>
                <w:rFonts w:ascii="Book Antiqua" w:hAnsi="Book Antiqua" w:cs="Times New Roman"/>
                <w:sz w:val="21"/>
                <w:szCs w:val="21"/>
              </w:rPr>
            </w:pPr>
            <w:r w:rsidRPr="00B77A30">
              <w:rPr>
                <w:rFonts w:ascii="Book Antiqua" w:hAnsi="Book Antiqua" w:cs="Times New Roman"/>
                <w:sz w:val="21"/>
                <w:szCs w:val="21"/>
              </w:rPr>
              <w:t>Slow Walking Speed</w:t>
            </w:r>
          </w:p>
        </w:tc>
        <w:tc>
          <w:tcPr>
            <w:tcW w:w="5144" w:type="dxa"/>
            <w:shd w:val="clear" w:color="auto" w:fill="auto"/>
          </w:tcPr>
          <w:p w14:paraId="2628A050" w14:textId="77777777" w:rsidR="00154C57" w:rsidRPr="00B77A30" w:rsidRDefault="00154C57" w:rsidP="00CB2DFE">
            <w:pPr>
              <w:spacing w:line="360" w:lineRule="auto"/>
              <w:jc w:val="both"/>
              <w:rPr>
                <w:rFonts w:ascii="Book Antiqua" w:hAnsi="Book Antiqua" w:cs="Times New Roman"/>
                <w:sz w:val="21"/>
                <w:szCs w:val="21"/>
                <w:lang w:val="en-US"/>
              </w:rPr>
            </w:pPr>
            <w:r w:rsidRPr="00B77A30">
              <w:rPr>
                <w:rFonts w:ascii="Book Antiqua" w:hAnsi="Book Antiqua" w:cs="Times New Roman"/>
                <w:sz w:val="21"/>
                <w:szCs w:val="21"/>
                <w:lang w:val="en-US"/>
              </w:rPr>
              <w:t>Walking speed should be measured combining 3 trials of walking 15 feet at a normal pace for the patient. Patients with a walking speed in the lowest 20</w:t>
            </w:r>
            <w:r w:rsidRPr="00B77A30">
              <w:rPr>
                <w:rFonts w:ascii="Book Antiqua" w:hAnsi="Book Antiqua" w:cs="Times New Roman"/>
                <w:sz w:val="21"/>
                <w:szCs w:val="21"/>
                <w:vertAlign w:val="superscript"/>
                <w:lang w:val="en-US"/>
              </w:rPr>
              <w:t>th</w:t>
            </w:r>
            <w:r w:rsidRPr="00B77A30">
              <w:rPr>
                <w:rFonts w:ascii="Book Antiqua" w:hAnsi="Book Antiqua" w:cs="Times New Roman"/>
                <w:sz w:val="21"/>
                <w:szCs w:val="21"/>
                <w:lang w:val="en-US"/>
              </w:rPr>
              <w:t xml:space="preserve"> percentile, adjusted for gender and height, will be scored as having a slow walking speed.</w:t>
            </w:r>
          </w:p>
          <w:p w14:paraId="7F9AEB0F" w14:textId="77777777" w:rsidR="00154C57" w:rsidRPr="00B77A30" w:rsidRDefault="00154C57" w:rsidP="00CB2DFE">
            <w:pPr>
              <w:spacing w:line="360" w:lineRule="auto"/>
              <w:jc w:val="both"/>
              <w:rPr>
                <w:rFonts w:ascii="Book Antiqua" w:hAnsi="Book Antiqua" w:cs="Times New Roman"/>
                <w:sz w:val="21"/>
                <w:szCs w:val="21"/>
              </w:rPr>
            </w:pPr>
          </w:p>
        </w:tc>
      </w:tr>
    </w:tbl>
    <w:p w14:paraId="22812128" w14:textId="769D2E37" w:rsidR="00491063" w:rsidRPr="00B77A30" w:rsidRDefault="00491063" w:rsidP="00CB2DFE">
      <w:pPr>
        <w:spacing w:after="0" w:line="360" w:lineRule="auto"/>
        <w:jc w:val="both"/>
        <w:rPr>
          <w:rFonts w:ascii="Book Antiqua" w:hAnsi="Book Antiqua" w:cs="Times New Roman"/>
          <w:sz w:val="24"/>
          <w:szCs w:val="24"/>
        </w:rPr>
      </w:pPr>
    </w:p>
    <w:sectPr w:rsidR="00491063" w:rsidRPr="00B77A30" w:rsidSect="00154C57">
      <w:pgSz w:w="15840" w:h="12240" w:orient="landscape"/>
      <w:pgMar w:top="720" w:right="720" w:bottom="720" w:left="720" w:header="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94757" w14:textId="77777777" w:rsidR="00E267F7" w:rsidRDefault="00E267F7" w:rsidP="00A470D2">
      <w:pPr>
        <w:spacing w:after="0" w:line="240" w:lineRule="auto"/>
      </w:pPr>
      <w:r>
        <w:separator/>
      </w:r>
    </w:p>
  </w:endnote>
  <w:endnote w:type="continuationSeparator" w:id="0">
    <w:p w14:paraId="2AED69F3" w14:textId="77777777" w:rsidR="00E267F7" w:rsidRDefault="00E267F7" w:rsidP="00A47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ＭＳ 明朝">
    <w:altName w:val="ＭＳ 明朝"/>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59599"/>
      <w:docPartObj>
        <w:docPartGallery w:val="Page Numbers (Bottom of Page)"/>
        <w:docPartUnique/>
      </w:docPartObj>
    </w:sdtPr>
    <w:sdtEndPr>
      <w:rPr>
        <w:rFonts w:ascii="Times New Roman" w:hAnsi="Times New Roman" w:cs="Times New Roman"/>
        <w:noProof/>
        <w:sz w:val="24"/>
        <w:szCs w:val="24"/>
      </w:rPr>
    </w:sdtEndPr>
    <w:sdtContent>
      <w:p w14:paraId="06D364CF" w14:textId="77777777" w:rsidR="00CB2DFE" w:rsidRPr="008877AD" w:rsidRDefault="00CB2DFE">
        <w:pPr>
          <w:pStyle w:val="Footer"/>
          <w:jc w:val="right"/>
          <w:rPr>
            <w:rFonts w:ascii="Times New Roman" w:hAnsi="Times New Roman" w:cs="Times New Roman"/>
            <w:sz w:val="24"/>
            <w:szCs w:val="24"/>
          </w:rPr>
        </w:pPr>
        <w:r w:rsidRPr="008877AD">
          <w:rPr>
            <w:rFonts w:ascii="Times New Roman" w:hAnsi="Times New Roman" w:cs="Times New Roman"/>
            <w:sz w:val="24"/>
            <w:szCs w:val="24"/>
          </w:rPr>
          <w:fldChar w:fldCharType="begin"/>
        </w:r>
        <w:r w:rsidRPr="008877AD">
          <w:rPr>
            <w:rFonts w:ascii="Times New Roman" w:hAnsi="Times New Roman" w:cs="Times New Roman"/>
            <w:sz w:val="24"/>
            <w:szCs w:val="24"/>
          </w:rPr>
          <w:instrText xml:space="preserve"> PAGE   \* MERGEFORMAT </w:instrText>
        </w:r>
        <w:r w:rsidRPr="008877AD">
          <w:rPr>
            <w:rFonts w:ascii="Times New Roman" w:hAnsi="Times New Roman" w:cs="Times New Roman"/>
            <w:sz w:val="24"/>
            <w:szCs w:val="24"/>
          </w:rPr>
          <w:fldChar w:fldCharType="separate"/>
        </w:r>
        <w:r w:rsidR="00763B72">
          <w:rPr>
            <w:rFonts w:ascii="Times New Roman" w:hAnsi="Times New Roman" w:cs="Times New Roman"/>
            <w:noProof/>
            <w:sz w:val="24"/>
            <w:szCs w:val="24"/>
          </w:rPr>
          <w:t>43</w:t>
        </w:r>
        <w:r w:rsidRPr="008877AD">
          <w:rPr>
            <w:rFonts w:ascii="Times New Roman" w:hAnsi="Times New Roman" w:cs="Times New Roman"/>
            <w:noProof/>
            <w:sz w:val="24"/>
            <w:szCs w:val="24"/>
          </w:rPr>
          <w:fldChar w:fldCharType="end"/>
        </w:r>
      </w:p>
    </w:sdtContent>
  </w:sdt>
  <w:p w14:paraId="76CF08C7" w14:textId="77777777" w:rsidR="00CB2DFE" w:rsidRDefault="00CB2D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E3190" w14:textId="77777777" w:rsidR="00E267F7" w:rsidRDefault="00E267F7" w:rsidP="00A470D2">
      <w:pPr>
        <w:spacing w:after="0" w:line="240" w:lineRule="auto"/>
      </w:pPr>
      <w:r>
        <w:separator/>
      </w:r>
    </w:p>
  </w:footnote>
  <w:footnote w:type="continuationSeparator" w:id="0">
    <w:p w14:paraId="5ABD4FBB" w14:textId="77777777" w:rsidR="00E267F7" w:rsidRDefault="00E267F7" w:rsidP="00A470D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160A6"/>
    <w:multiLevelType w:val="hybridMultilevel"/>
    <w:tmpl w:val="08E0EE52"/>
    <w:lvl w:ilvl="0" w:tplc="F036D872">
      <w:start w:val="1"/>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D4845CD"/>
    <w:multiLevelType w:val="hybridMultilevel"/>
    <w:tmpl w:val="BB229578"/>
    <w:lvl w:ilvl="0" w:tplc="6AF8418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6AB6ABB"/>
    <w:multiLevelType w:val="hybridMultilevel"/>
    <w:tmpl w:val="A7BE94A0"/>
    <w:lvl w:ilvl="0" w:tplc="3E4A11CC">
      <w:start w:val="1"/>
      <w:numFmt w:val="bullet"/>
      <w:lvlText w:val="-"/>
      <w:lvlJc w:val="left"/>
      <w:pPr>
        <w:tabs>
          <w:tab w:val="num" w:pos="720"/>
        </w:tabs>
        <w:ind w:left="720" w:hanging="360"/>
      </w:pPr>
      <w:rPr>
        <w:rFonts w:ascii="Times" w:hAnsi="Times" w:hint="default"/>
      </w:rPr>
    </w:lvl>
    <w:lvl w:ilvl="1" w:tplc="43045EF4" w:tentative="1">
      <w:start w:val="1"/>
      <w:numFmt w:val="bullet"/>
      <w:lvlText w:val="-"/>
      <w:lvlJc w:val="left"/>
      <w:pPr>
        <w:tabs>
          <w:tab w:val="num" w:pos="1440"/>
        </w:tabs>
        <w:ind w:left="1440" w:hanging="360"/>
      </w:pPr>
      <w:rPr>
        <w:rFonts w:ascii="Times" w:hAnsi="Times" w:hint="default"/>
      </w:rPr>
    </w:lvl>
    <w:lvl w:ilvl="2" w:tplc="457CF1BA" w:tentative="1">
      <w:start w:val="1"/>
      <w:numFmt w:val="bullet"/>
      <w:lvlText w:val="-"/>
      <w:lvlJc w:val="left"/>
      <w:pPr>
        <w:tabs>
          <w:tab w:val="num" w:pos="2160"/>
        </w:tabs>
        <w:ind w:left="2160" w:hanging="360"/>
      </w:pPr>
      <w:rPr>
        <w:rFonts w:ascii="Times" w:hAnsi="Times" w:hint="default"/>
      </w:rPr>
    </w:lvl>
    <w:lvl w:ilvl="3" w:tplc="0624F374" w:tentative="1">
      <w:start w:val="1"/>
      <w:numFmt w:val="bullet"/>
      <w:lvlText w:val="-"/>
      <w:lvlJc w:val="left"/>
      <w:pPr>
        <w:tabs>
          <w:tab w:val="num" w:pos="2880"/>
        </w:tabs>
        <w:ind w:left="2880" w:hanging="360"/>
      </w:pPr>
      <w:rPr>
        <w:rFonts w:ascii="Times" w:hAnsi="Times" w:hint="default"/>
      </w:rPr>
    </w:lvl>
    <w:lvl w:ilvl="4" w:tplc="688A0580" w:tentative="1">
      <w:start w:val="1"/>
      <w:numFmt w:val="bullet"/>
      <w:lvlText w:val="-"/>
      <w:lvlJc w:val="left"/>
      <w:pPr>
        <w:tabs>
          <w:tab w:val="num" w:pos="3600"/>
        </w:tabs>
        <w:ind w:left="3600" w:hanging="360"/>
      </w:pPr>
      <w:rPr>
        <w:rFonts w:ascii="Times" w:hAnsi="Times" w:hint="default"/>
      </w:rPr>
    </w:lvl>
    <w:lvl w:ilvl="5" w:tplc="69A2C5FE" w:tentative="1">
      <w:start w:val="1"/>
      <w:numFmt w:val="bullet"/>
      <w:lvlText w:val="-"/>
      <w:lvlJc w:val="left"/>
      <w:pPr>
        <w:tabs>
          <w:tab w:val="num" w:pos="4320"/>
        </w:tabs>
        <w:ind w:left="4320" w:hanging="360"/>
      </w:pPr>
      <w:rPr>
        <w:rFonts w:ascii="Times" w:hAnsi="Times" w:hint="default"/>
      </w:rPr>
    </w:lvl>
    <w:lvl w:ilvl="6" w:tplc="4E268BBA" w:tentative="1">
      <w:start w:val="1"/>
      <w:numFmt w:val="bullet"/>
      <w:lvlText w:val="-"/>
      <w:lvlJc w:val="left"/>
      <w:pPr>
        <w:tabs>
          <w:tab w:val="num" w:pos="5040"/>
        </w:tabs>
        <w:ind w:left="5040" w:hanging="360"/>
      </w:pPr>
      <w:rPr>
        <w:rFonts w:ascii="Times" w:hAnsi="Times" w:hint="default"/>
      </w:rPr>
    </w:lvl>
    <w:lvl w:ilvl="7" w:tplc="D2745224" w:tentative="1">
      <w:start w:val="1"/>
      <w:numFmt w:val="bullet"/>
      <w:lvlText w:val="-"/>
      <w:lvlJc w:val="left"/>
      <w:pPr>
        <w:tabs>
          <w:tab w:val="num" w:pos="5760"/>
        </w:tabs>
        <w:ind w:left="5760" w:hanging="360"/>
      </w:pPr>
      <w:rPr>
        <w:rFonts w:ascii="Times" w:hAnsi="Times" w:hint="default"/>
      </w:rPr>
    </w:lvl>
    <w:lvl w:ilvl="8" w:tplc="AC1C4132" w:tentative="1">
      <w:start w:val="1"/>
      <w:numFmt w:val="bullet"/>
      <w:lvlText w:val="-"/>
      <w:lvlJc w:val="left"/>
      <w:pPr>
        <w:tabs>
          <w:tab w:val="num" w:pos="6480"/>
        </w:tabs>
        <w:ind w:left="6480" w:hanging="360"/>
      </w:pPr>
      <w:rPr>
        <w:rFonts w:ascii="Times" w:hAnsi="Times" w:hint="default"/>
      </w:rPr>
    </w:lvl>
  </w:abstractNum>
  <w:abstractNum w:abstractNumId="3">
    <w:nsid w:val="70F66A85"/>
    <w:multiLevelType w:val="hybridMultilevel"/>
    <w:tmpl w:val="B47C828C"/>
    <w:lvl w:ilvl="0" w:tplc="9BB847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9252ra9rewvzmedepvv5v5sv0vzxw09aa5s&quot;&gt;References Review&lt;record-ids&gt;&lt;item&gt;86&lt;/item&gt;&lt;item&gt;107&lt;/item&gt;&lt;item&gt;112&lt;/item&gt;&lt;item&gt;141&lt;/item&gt;&lt;item&gt;146&lt;/item&gt;&lt;item&gt;163&lt;/item&gt;&lt;item&gt;172&lt;/item&gt;&lt;item&gt;173&lt;/item&gt;&lt;item&gt;180&lt;/item&gt;&lt;item&gt;189&lt;/item&gt;&lt;item&gt;193&lt;/item&gt;&lt;item&gt;200&lt;/item&gt;&lt;item&gt;202&lt;/item&gt;&lt;item&gt;248&lt;/item&gt;&lt;item&gt;274&lt;/item&gt;&lt;item&gt;278&lt;/item&gt;&lt;item&gt;279&lt;/item&gt;&lt;item&gt;291&lt;/item&gt;&lt;item&gt;302&lt;/item&gt;&lt;item&gt;311&lt;/item&gt;&lt;item&gt;318&lt;/item&gt;&lt;item&gt;325&lt;/item&gt;&lt;item&gt;335&lt;/item&gt;&lt;item&gt;337&lt;/item&gt;&lt;item&gt;340&lt;/item&gt;&lt;item&gt;348&lt;/item&gt;&lt;item&gt;355&lt;/item&gt;&lt;item&gt;356&lt;/item&gt;&lt;item&gt;361&lt;/item&gt;&lt;item&gt;364&lt;/item&gt;&lt;item&gt;369&lt;/item&gt;&lt;item&gt;373&lt;/item&gt;&lt;item&gt;389&lt;/item&gt;&lt;item&gt;394&lt;/item&gt;&lt;item&gt;402&lt;/item&gt;&lt;item&gt;413&lt;/item&gt;&lt;item&gt;415&lt;/item&gt;&lt;item&gt;420&lt;/item&gt;&lt;item&gt;426&lt;/item&gt;&lt;item&gt;429&lt;/item&gt;&lt;item&gt;440&lt;/item&gt;&lt;item&gt;447&lt;/item&gt;&lt;item&gt;448&lt;/item&gt;&lt;item&gt;474&lt;/item&gt;&lt;item&gt;476&lt;/item&gt;&lt;item&gt;477&lt;/item&gt;&lt;item&gt;478&lt;/item&gt;&lt;item&gt;480&lt;/item&gt;&lt;item&gt;481&lt;/item&gt;&lt;item&gt;487&lt;/item&gt;&lt;item&gt;490&lt;/item&gt;&lt;item&gt;496&lt;/item&gt;&lt;item&gt;504&lt;/item&gt;&lt;item&gt;510&lt;/item&gt;&lt;item&gt;516&lt;/item&gt;&lt;item&gt;519&lt;/item&gt;&lt;item&gt;530&lt;/item&gt;&lt;item&gt;536&lt;/item&gt;&lt;item&gt;558&lt;/item&gt;&lt;item&gt;599&lt;/item&gt;&lt;item&gt;614&lt;/item&gt;&lt;item&gt;631&lt;/item&gt;&lt;item&gt;638&lt;/item&gt;&lt;item&gt;646&lt;/item&gt;&lt;item&gt;660&lt;/item&gt;&lt;item&gt;677&lt;/item&gt;&lt;item&gt;689&lt;/item&gt;&lt;item&gt;710&lt;/item&gt;&lt;item&gt;727&lt;/item&gt;&lt;item&gt;736&lt;/item&gt;&lt;item&gt;737&lt;/item&gt;&lt;item&gt;738&lt;/item&gt;&lt;item&gt;746&lt;/item&gt;&lt;item&gt;775&lt;/item&gt;&lt;item&gt;786&lt;/item&gt;&lt;item&gt;808&lt;/item&gt;&lt;item&gt;809&lt;/item&gt;&lt;item&gt;813&lt;/item&gt;&lt;item&gt;814&lt;/item&gt;&lt;item&gt;815&lt;/item&gt;&lt;/record-ids&gt;&lt;/item&gt;&lt;/Libraries&gt;"/>
  </w:docVars>
  <w:rsids>
    <w:rsidRoot w:val="00605BE5"/>
    <w:rsid w:val="00000211"/>
    <w:rsid w:val="00001A8C"/>
    <w:rsid w:val="0000780C"/>
    <w:rsid w:val="00017906"/>
    <w:rsid w:val="0002220A"/>
    <w:rsid w:val="00033802"/>
    <w:rsid w:val="000347D1"/>
    <w:rsid w:val="00036E64"/>
    <w:rsid w:val="00041FEB"/>
    <w:rsid w:val="0004781D"/>
    <w:rsid w:val="00056612"/>
    <w:rsid w:val="00056C22"/>
    <w:rsid w:val="00060FA3"/>
    <w:rsid w:val="000647B4"/>
    <w:rsid w:val="00075EE5"/>
    <w:rsid w:val="00081D19"/>
    <w:rsid w:val="00095057"/>
    <w:rsid w:val="000A0F89"/>
    <w:rsid w:val="000A1482"/>
    <w:rsid w:val="000A4FB0"/>
    <w:rsid w:val="000B157D"/>
    <w:rsid w:val="000B71E6"/>
    <w:rsid w:val="000C265B"/>
    <w:rsid w:val="000C6214"/>
    <w:rsid w:val="000D0363"/>
    <w:rsid w:val="000D11C6"/>
    <w:rsid w:val="000D764B"/>
    <w:rsid w:val="000E7611"/>
    <w:rsid w:val="000F376A"/>
    <w:rsid w:val="000F7274"/>
    <w:rsid w:val="00102254"/>
    <w:rsid w:val="00105E98"/>
    <w:rsid w:val="00114633"/>
    <w:rsid w:val="00116D54"/>
    <w:rsid w:val="00120A44"/>
    <w:rsid w:val="001216D0"/>
    <w:rsid w:val="00125A6D"/>
    <w:rsid w:val="00126BC7"/>
    <w:rsid w:val="001330B3"/>
    <w:rsid w:val="00133AE6"/>
    <w:rsid w:val="00135880"/>
    <w:rsid w:val="00143308"/>
    <w:rsid w:val="00154C57"/>
    <w:rsid w:val="00155F12"/>
    <w:rsid w:val="00156C8B"/>
    <w:rsid w:val="00170819"/>
    <w:rsid w:val="00170B18"/>
    <w:rsid w:val="00171AF5"/>
    <w:rsid w:val="001756A1"/>
    <w:rsid w:val="00180D93"/>
    <w:rsid w:val="00196599"/>
    <w:rsid w:val="0019686B"/>
    <w:rsid w:val="001A5B06"/>
    <w:rsid w:val="001B0219"/>
    <w:rsid w:val="001B0DEC"/>
    <w:rsid w:val="001B1DEA"/>
    <w:rsid w:val="001B31F8"/>
    <w:rsid w:val="001C1785"/>
    <w:rsid w:val="001D2B38"/>
    <w:rsid w:val="001E3077"/>
    <w:rsid w:val="001E46D3"/>
    <w:rsid w:val="001F26E9"/>
    <w:rsid w:val="001F4861"/>
    <w:rsid w:val="001F75AE"/>
    <w:rsid w:val="001F7C85"/>
    <w:rsid w:val="00205E30"/>
    <w:rsid w:val="00211446"/>
    <w:rsid w:val="0021183E"/>
    <w:rsid w:val="00220704"/>
    <w:rsid w:val="00244DFB"/>
    <w:rsid w:val="00245197"/>
    <w:rsid w:val="00247D71"/>
    <w:rsid w:val="00252B05"/>
    <w:rsid w:val="00262A54"/>
    <w:rsid w:val="00263362"/>
    <w:rsid w:val="00267D71"/>
    <w:rsid w:val="00277421"/>
    <w:rsid w:val="00277777"/>
    <w:rsid w:val="002778D2"/>
    <w:rsid w:val="00281873"/>
    <w:rsid w:val="00282092"/>
    <w:rsid w:val="00283C20"/>
    <w:rsid w:val="00291AD7"/>
    <w:rsid w:val="0029257C"/>
    <w:rsid w:val="002A01B7"/>
    <w:rsid w:val="002A19FB"/>
    <w:rsid w:val="002A701D"/>
    <w:rsid w:val="002C23F7"/>
    <w:rsid w:val="002C62A9"/>
    <w:rsid w:val="002D038D"/>
    <w:rsid w:val="002E4929"/>
    <w:rsid w:val="002F5F98"/>
    <w:rsid w:val="00301ADD"/>
    <w:rsid w:val="00301D27"/>
    <w:rsid w:val="00307147"/>
    <w:rsid w:val="00307ACC"/>
    <w:rsid w:val="003116B1"/>
    <w:rsid w:val="00312A66"/>
    <w:rsid w:val="0031337D"/>
    <w:rsid w:val="00313564"/>
    <w:rsid w:val="00314FA5"/>
    <w:rsid w:val="00316787"/>
    <w:rsid w:val="003207C2"/>
    <w:rsid w:val="00326E62"/>
    <w:rsid w:val="00327DB3"/>
    <w:rsid w:val="00332DA1"/>
    <w:rsid w:val="0034063F"/>
    <w:rsid w:val="003413C3"/>
    <w:rsid w:val="00341DF7"/>
    <w:rsid w:val="00351DE1"/>
    <w:rsid w:val="003644F5"/>
    <w:rsid w:val="00372519"/>
    <w:rsid w:val="00373581"/>
    <w:rsid w:val="003815A7"/>
    <w:rsid w:val="00383D56"/>
    <w:rsid w:val="003854A9"/>
    <w:rsid w:val="00387837"/>
    <w:rsid w:val="003878CE"/>
    <w:rsid w:val="00392B73"/>
    <w:rsid w:val="00393750"/>
    <w:rsid w:val="003947F2"/>
    <w:rsid w:val="00395C23"/>
    <w:rsid w:val="003A2862"/>
    <w:rsid w:val="003A5195"/>
    <w:rsid w:val="003B2FB9"/>
    <w:rsid w:val="003C0321"/>
    <w:rsid w:val="003C2341"/>
    <w:rsid w:val="003C43AD"/>
    <w:rsid w:val="003C6F52"/>
    <w:rsid w:val="003D1710"/>
    <w:rsid w:val="003E03D2"/>
    <w:rsid w:val="003E3E2C"/>
    <w:rsid w:val="003E7567"/>
    <w:rsid w:val="003E762E"/>
    <w:rsid w:val="003F1EB8"/>
    <w:rsid w:val="003F40BC"/>
    <w:rsid w:val="003F75F7"/>
    <w:rsid w:val="003F79E3"/>
    <w:rsid w:val="00404CD4"/>
    <w:rsid w:val="00411B6C"/>
    <w:rsid w:val="00415D12"/>
    <w:rsid w:val="0041608E"/>
    <w:rsid w:val="00425304"/>
    <w:rsid w:val="0044065E"/>
    <w:rsid w:val="004436AB"/>
    <w:rsid w:val="00456074"/>
    <w:rsid w:val="00466DF4"/>
    <w:rsid w:val="00467AF0"/>
    <w:rsid w:val="00473B08"/>
    <w:rsid w:val="00474B95"/>
    <w:rsid w:val="00477ADD"/>
    <w:rsid w:val="0048095C"/>
    <w:rsid w:val="00481575"/>
    <w:rsid w:val="004869C3"/>
    <w:rsid w:val="00490AED"/>
    <w:rsid w:val="00491063"/>
    <w:rsid w:val="004946C5"/>
    <w:rsid w:val="004A4C15"/>
    <w:rsid w:val="004B05E7"/>
    <w:rsid w:val="004B0B95"/>
    <w:rsid w:val="004C443E"/>
    <w:rsid w:val="004D194E"/>
    <w:rsid w:val="004D2BC0"/>
    <w:rsid w:val="004D4B7C"/>
    <w:rsid w:val="004D4FB4"/>
    <w:rsid w:val="004D583E"/>
    <w:rsid w:val="004E5A43"/>
    <w:rsid w:val="004F24F1"/>
    <w:rsid w:val="004F25FB"/>
    <w:rsid w:val="004F267E"/>
    <w:rsid w:val="004F6661"/>
    <w:rsid w:val="00504032"/>
    <w:rsid w:val="00506F1B"/>
    <w:rsid w:val="005222B5"/>
    <w:rsid w:val="00526173"/>
    <w:rsid w:val="0052664C"/>
    <w:rsid w:val="00532528"/>
    <w:rsid w:val="00533217"/>
    <w:rsid w:val="00537542"/>
    <w:rsid w:val="0054070D"/>
    <w:rsid w:val="0054083E"/>
    <w:rsid w:val="00546842"/>
    <w:rsid w:val="005473F3"/>
    <w:rsid w:val="00571757"/>
    <w:rsid w:val="00573CC7"/>
    <w:rsid w:val="00574125"/>
    <w:rsid w:val="00593262"/>
    <w:rsid w:val="00594F77"/>
    <w:rsid w:val="005A19AC"/>
    <w:rsid w:val="005A65AC"/>
    <w:rsid w:val="005C3FCC"/>
    <w:rsid w:val="005D1850"/>
    <w:rsid w:val="005D1AD8"/>
    <w:rsid w:val="005D220C"/>
    <w:rsid w:val="005D4452"/>
    <w:rsid w:val="005E484D"/>
    <w:rsid w:val="005F6534"/>
    <w:rsid w:val="005F75A6"/>
    <w:rsid w:val="00603106"/>
    <w:rsid w:val="00603AE1"/>
    <w:rsid w:val="00604E87"/>
    <w:rsid w:val="00605BE5"/>
    <w:rsid w:val="00612211"/>
    <w:rsid w:val="00621A59"/>
    <w:rsid w:val="00622BBF"/>
    <w:rsid w:val="006261A1"/>
    <w:rsid w:val="0063505D"/>
    <w:rsid w:val="00635965"/>
    <w:rsid w:val="0063677B"/>
    <w:rsid w:val="006704EA"/>
    <w:rsid w:val="00671877"/>
    <w:rsid w:val="00671DA0"/>
    <w:rsid w:val="006739B6"/>
    <w:rsid w:val="006753FC"/>
    <w:rsid w:val="006758F6"/>
    <w:rsid w:val="00686409"/>
    <w:rsid w:val="00686973"/>
    <w:rsid w:val="00697215"/>
    <w:rsid w:val="006A6849"/>
    <w:rsid w:val="006B4921"/>
    <w:rsid w:val="006B5A21"/>
    <w:rsid w:val="006B756F"/>
    <w:rsid w:val="006C3346"/>
    <w:rsid w:val="006D0342"/>
    <w:rsid w:val="006D1C10"/>
    <w:rsid w:val="006F0C82"/>
    <w:rsid w:val="00704B0B"/>
    <w:rsid w:val="00711BED"/>
    <w:rsid w:val="00713689"/>
    <w:rsid w:val="00720605"/>
    <w:rsid w:val="00722C05"/>
    <w:rsid w:val="00722C24"/>
    <w:rsid w:val="00723D9F"/>
    <w:rsid w:val="00723F40"/>
    <w:rsid w:val="007270FF"/>
    <w:rsid w:val="00731F01"/>
    <w:rsid w:val="007376D1"/>
    <w:rsid w:val="007459DA"/>
    <w:rsid w:val="00761BBC"/>
    <w:rsid w:val="00761CD9"/>
    <w:rsid w:val="00762281"/>
    <w:rsid w:val="00763B72"/>
    <w:rsid w:val="007857B0"/>
    <w:rsid w:val="00794FC9"/>
    <w:rsid w:val="007A04DC"/>
    <w:rsid w:val="007B7D07"/>
    <w:rsid w:val="007C762F"/>
    <w:rsid w:val="007D141F"/>
    <w:rsid w:val="007D273C"/>
    <w:rsid w:val="007D7546"/>
    <w:rsid w:val="007E55FB"/>
    <w:rsid w:val="007F31FF"/>
    <w:rsid w:val="007F42E0"/>
    <w:rsid w:val="007F7DE3"/>
    <w:rsid w:val="00804528"/>
    <w:rsid w:val="00805CF6"/>
    <w:rsid w:val="0081159C"/>
    <w:rsid w:val="00815B6E"/>
    <w:rsid w:val="00817A09"/>
    <w:rsid w:val="00817A34"/>
    <w:rsid w:val="00831484"/>
    <w:rsid w:val="00832588"/>
    <w:rsid w:val="00834283"/>
    <w:rsid w:val="00835D1B"/>
    <w:rsid w:val="00857482"/>
    <w:rsid w:val="00862E2F"/>
    <w:rsid w:val="008633A2"/>
    <w:rsid w:val="008642C3"/>
    <w:rsid w:val="00871BBB"/>
    <w:rsid w:val="00876659"/>
    <w:rsid w:val="008808CF"/>
    <w:rsid w:val="00884925"/>
    <w:rsid w:val="00884FA8"/>
    <w:rsid w:val="0088599A"/>
    <w:rsid w:val="008877AD"/>
    <w:rsid w:val="00892EA4"/>
    <w:rsid w:val="00894ADC"/>
    <w:rsid w:val="008A13AF"/>
    <w:rsid w:val="008D19E9"/>
    <w:rsid w:val="008D3C9D"/>
    <w:rsid w:val="008D41DC"/>
    <w:rsid w:val="008D594A"/>
    <w:rsid w:val="008D6D91"/>
    <w:rsid w:val="008E2102"/>
    <w:rsid w:val="008E5865"/>
    <w:rsid w:val="008E7AF0"/>
    <w:rsid w:val="008F752F"/>
    <w:rsid w:val="00901188"/>
    <w:rsid w:val="00901284"/>
    <w:rsid w:val="00912626"/>
    <w:rsid w:val="00917FA5"/>
    <w:rsid w:val="009216CD"/>
    <w:rsid w:val="00932110"/>
    <w:rsid w:val="009335AA"/>
    <w:rsid w:val="00933A69"/>
    <w:rsid w:val="009357D8"/>
    <w:rsid w:val="00943EEA"/>
    <w:rsid w:val="00944A6E"/>
    <w:rsid w:val="009557E8"/>
    <w:rsid w:val="00961BC0"/>
    <w:rsid w:val="00962B80"/>
    <w:rsid w:val="009650C4"/>
    <w:rsid w:val="00970995"/>
    <w:rsid w:val="00971656"/>
    <w:rsid w:val="00972362"/>
    <w:rsid w:val="0097367E"/>
    <w:rsid w:val="00980C52"/>
    <w:rsid w:val="009827F6"/>
    <w:rsid w:val="00984588"/>
    <w:rsid w:val="009A1855"/>
    <w:rsid w:val="009A19C6"/>
    <w:rsid w:val="009A1ABA"/>
    <w:rsid w:val="009B019D"/>
    <w:rsid w:val="009B09F8"/>
    <w:rsid w:val="009B0E44"/>
    <w:rsid w:val="009B473D"/>
    <w:rsid w:val="009B7EE5"/>
    <w:rsid w:val="009C5244"/>
    <w:rsid w:val="009C532E"/>
    <w:rsid w:val="009C5F59"/>
    <w:rsid w:val="009D583A"/>
    <w:rsid w:val="009E2C62"/>
    <w:rsid w:val="009E68F2"/>
    <w:rsid w:val="009F2382"/>
    <w:rsid w:val="009F5F2A"/>
    <w:rsid w:val="00A00E97"/>
    <w:rsid w:val="00A0242D"/>
    <w:rsid w:val="00A116FB"/>
    <w:rsid w:val="00A14B40"/>
    <w:rsid w:val="00A171EE"/>
    <w:rsid w:val="00A22AFD"/>
    <w:rsid w:val="00A33A51"/>
    <w:rsid w:val="00A366CC"/>
    <w:rsid w:val="00A41D8B"/>
    <w:rsid w:val="00A436E6"/>
    <w:rsid w:val="00A470D2"/>
    <w:rsid w:val="00A57008"/>
    <w:rsid w:val="00A672BC"/>
    <w:rsid w:val="00A723E7"/>
    <w:rsid w:val="00A76B7D"/>
    <w:rsid w:val="00A86E44"/>
    <w:rsid w:val="00AA4D76"/>
    <w:rsid w:val="00AB608C"/>
    <w:rsid w:val="00AC7DAA"/>
    <w:rsid w:val="00AD04E3"/>
    <w:rsid w:val="00AD22F9"/>
    <w:rsid w:val="00AE47D4"/>
    <w:rsid w:val="00AF00B1"/>
    <w:rsid w:val="00AF1ACA"/>
    <w:rsid w:val="00B019DD"/>
    <w:rsid w:val="00B11315"/>
    <w:rsid w:val="00B24FE2"/>
    <w:rsid w:val="00B2681E"/>
    <w:rsid w:val="00B278EB"/>
    <w:rsid w:val="00B34971"/>
    <w:rsid w:val="00B40332"/>
    <w:rsid w:val="00B4272F"/>
    <w:rsid w:val="00B514C2"/>
    <w:rsid w:val="00B5604F"/>
    <w:rsid w:val="00B663B3"/>
    <w:rsid w:val="00B67EB7"/>
    <w:rsid w:val="00B71907"/>
    <w:rsid w:val="00B74728"/>
    <w:rsid w:val="00B77A30"/>
    <w:rsid w:val="00B806C3"/>
    <w:rsid w:val="00B81B04"/>
    <w:rsid w:val="00B90E3E"/>
    <w:rsid w:val="00B92EC8"/>
    <w:rsid w:val="00B97644"/>
    <w:rsid w:val="00B97806"/>
    <w:rsid w:val="00BA1C48"/>
    <w:rsid w:val="00BB39EB"/>
    <w:rsid w:val="00BB71A6"/>
    <w:rsid w:val="00BC29EA"/>
    <w:rsid w:val="00BD2048"/>
    <w:rsid w:val="00BD5714"/>
    <w:rsid w:val="00BE01B0"/>
    <w:rsid w:val="00BF0BA3"/>
    <w:rsid w:val="00BF4805"/>
    <w:rsid w:val="00C01C00"/>
    <w:rsid w:val="00C059EA"/>
    <w:rsid w:val="00C16CAD"/>
    <w:rsid w:val="00C172CD"/>
    <w:rsid w:val="00C2021F"/>
    <w:rsid w:val="00C36E15"/>
    <w:rsid w:val="00C379B9"/>
    <w:rsid w:val="00C40E14"/>
    <w:rsid w:val="00C47D52"/>
    <w:rsid w:val="00C5073E"/>
    <w:rsid w:val="00C567F3"/>
    <w:rsid w:val="00C57E3D"/>
    <w:rsid w:val="00C62A8C"/>
    <w:rsid w:val="00C631E2"/>
    <w:rsid w:val="00C65003"/>
    <w:rsid w:val="00C6503B"/>
    <w:rsid w:val="00C81D0F"/>
    <w:rsid w:val="00C83976"/>
    <w:rsid w:val="00C8491C"/>
    <w:rsid w:val="00C90BFF"/>
    <w:rsid w:val="00C918CC"/>
    <w:rsid w:val="00CA0B3C"/>
    <w:rsid w:val="00CA6E35"/>
    <w:rsid w:val="00CB2DFE"/>
    <w:rsid w:val="00CC6846"/>
    <w:rsid w:val="00CD7B76"/>
    <w:rsid w:val="00CE01AB"/>
    <w:rsid w:val="00CE29F4"/>
    <w:rsid w:val="00CF21AE"/>
    <w:rsid w:val="00CF283F"/>
    <w:rsid w:val="00D04778"/>
    <w:rsid w:val="00D13420"/>
    <w:rsid w:val="00D15B87"/>
    <w:rsid w:val="00D253F4"/>
    <w:rsid w:val="00D34449"/>
    <w:rsid w:val="00D353D0"/>
    <w:rsid w:val="00D37937"/>
    <w:rsid w:val="00D57565"/>
    <w:rsid w:val="00D61838"/>
    <w:rsid w:val="00D63CD6"/>
    <w:rsid w:val="00D650FF"/>
    <w:rsid w:val="00D6641E"/>
    <w:rsid w:val="00D67A67"/>
    <w:rsid w:val="00D73024"/>
    <w:rsid w:val="00D84444"/>
    <w:rsid w:val="00D86C00"/>
    <w:rsid w:val="00DA4367"/>
    <w:rsid w:val="00DA6324"/>
    <w:rsid w:val="00DA712D"/>
    <w:rsid w:val="00DB136B"/>
    <w:rsid w:val="00DB27E3"/>
    <w:rsid w:val="00DD19A1"/>
    <w:rsid w:val="00DE4F5E"/>
    <w:rsid w:val="00DE69B1"/>
    <w:rsid w:val="00DE6D8B"/>
    <w:rsid w:val="00DE7B86"/>
    <w:rsid w:val="00DF20DF"/>
    <w:rsid w:val="00E15F07"/>
    <w:rsid w:val="00E23606"/>
    <w:rsid w:val="00E267F7"/>
    <w:rsid w:val="00E3131F"/>
    <w:rsid w:val="00E477E7"/>
    <w:rsid w:val="00E50290"/>
    <w:rsid w:val="00E532FF"/>
    <w:rsid w:val="00E60236"/>
    <w:rsid w:val="00E722F0"/>
    <w:rsid w:val="00E74383"/>
    <w:rsid w:val="00E818BE"/>
    <w:rsid w:val="00E83C7E"/>
    <w:rsid w:val="00E85330"/>
    <w:rsid w:val="00EA0F61"/>
    <w:rsid w:val="00EA21D7"/>
    <w:rsid w:val="00EA3429"/>
    <w:rsid w:val="00EA5B51"/>
    <w:rsid w:val="00EA7E42"/>
    <w:rsid w:val="00EB2276"/>
    <w:rsid w:val="00EC0DDF"/>
    <w:rsid w:val="00ED3104"/>
    <w:rsid w:val="00EE4046"/>
    <w:rsid w:val="00EE76BC"/>
    <w:rsid w:val="00EF4654"/>
    <w:rsid w:val="00F02F8D"/>
    <w:rsid w:val="00F04B6C"/>
    <w:rsid w:val="00F06674"/>
    <w:rsid w:val="00F132CC"/>
    <w:rsid w:val="00F1478B"/>
    <w:rsid w:val="00F23099"/>
    <w:rsid w:val="00F24A79"/>
    <w:rsid w:val="00F3145F"/>
    <w:rsid w:val="00F36DDA"/>
    <w:rsid w:val="00F36E84"/>
    <w:rsid w:val="00F6058D"/>
    <w:rsid w:val="00F6093A"/>
    <w:rsid w:val="00F6575E"/>
    <w:rsid w:val="00F713D6"/>
    <w:rsid w:val="00F76C1A"/>
    <w:rsid w:val="00F87DC7"/>
    <w:rsid w:val="00F90696"/>
    <w:rsid w:val="00F95B15"/>
    <w:rsid w:val="00FA3B44"/>
    <w:rsid w:val="00FA416F"/>
    <w:rsid w:val="00FA4E0D"/>
    <w:rsid w:val="00FB2A06"/>
    <w:rsid w:val="00FE55C8"/>
    <w:rsid w:val="00FF34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7B3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0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0D2"/>
  </w:style>
  <w:style w:type="paragraph" w:styleId="Footer">
    <w:name w:val="footer"/>
    <w:basedOn w:val="Normal"/>
    <w:link w:val="FooterChar"/>
    <w:uiPriority w:val="99"/>
    <w:unhideWhenUsed/>
    <w:rsid w:val="00A470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0D2"/>
  </w:style>
  <w:style w:type="character" w:styleId="CommentReference">
    <w:name w:val="annotation reference"/>
    <w:basedOn w:val="DefaultParagraphFont"/>
    <w:uiPriority w:val="99"/>
    <w:unhideWhenUsed/>
    <w:rsid w:val="003413C3"/>
    <w:rPr>
      <w:sz w:val="16"/>
      <w:szCs w:val="16"/>
    </w:rPr>
  </w:style>
  <w:style w:type="paragraph" w:styleId="CommentText">
    <w:name w:val="annotation text"/>
    <w:basedOn w:val="Normal"/>
    <w:link w:val="CommentTextChar"/>
    <w:uiPriority w:val="99"/>
    <w:unhideWhenUsed/>
    <w:rsid w:val="003413C3"/>
    <w:pPr>
      <w:spacing w:line="240" w:lineRule="auto"/>
    </w:pPr>
    <w:rPr>
      <w:sz w:val="20"/>
      <w:szCs w:val="20"/>
    </w:rPr>
  </w:style>
  <w:style w:type="character" w:customStyle="1" w:styleId="CommentTextChar">
    <w:name w:val="Comment Text Char"/>
    <w:basedOn w:val="DefaultParagraphFont"/>
    <w:link w:val="CommentText"/>
    <w:uiPriority w:val="99"/>
    <w:rsid w:val="003413C3"/>
    <w:rPr>
      <w:sz w:val="20"/>
      <w:szCs w:val="20"/>
    </w:rPr>
  </w:style>
  <w:style w:type="paragraph" w:styleId="CommentSubject">
    <w:name w:val="annotation subject"/>
    <w:basedOn w:val="CommentText"/>
    <w:next w:val="CommentText"/>
    <w:link w:val="CommentSubjectChar"/>
    <w:uiPriority w:val="99"/>
    <w:semiHidden/>
    <w:unhideWhenUsed/>
    <w:rsid w:val="003413C3"/>
    <w:rPr>
      <w:b/>
      <w:bCs/>
    </w:rPr>
  </w:style>
  <w:style w:type="character" w:customStyle="1" w:styleId="CommentSubjectChar">
    <w:name w:val="Comment Subject Char"/>
    <w:basedOn w:val="CommentTextChar"/>
    <w:link w:val="CommentSubject"/>
    <w:uiPriority w:val="99"/>
    <w:semiHidden/>
    <w:rsid w:val="003413C3"/>
    <w:rPr>
      <w:b/>
      <w:bCs/>
      <w:sz w:val="20"/>
      <w:szCs w:val="20"/>
    </w:rPr>
  </w:style>
  <w:style w:type="paragraph" w:styleId="BalloonText">
    <w:name w:val="Balloon Text"/>
    <w:basedOn w:val="Normal"/>
    <w:link w:val="BalloonTextChar"/>
    <w:uiPriority w:val="99"/>
    <w:semiHidden/>
    <w:unhideWhenUsed/>
    <w:rsid w:val="00341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3C3"/>
    <w:rPr>
      <w:rFonts w:ascii="Tahoma" w:hAnsi="Tahoma" w:cs="Tahoma"/>
      <w:sz w:val="16"/>
      <w:szCs w:val="16"/>
    </w:rPr>
  </w:style>
  <w:style w:type="paragraph" w:styleId="ListParagraph">
    <w:name w:val="List Paragraph"/>
    <w:basedOn w:val="Normal"/>
    <w:uiPriority w:val="34"/>
    <w:qFormat/>
    <w:rsid w:val="00697215"/>
    <w:pPr>
      <w:ind w:left="720"/>
      <w:contextualSpacing/>
    </w:pPr>
  </w:style>
  <w:style w:type="character" w:styleId="Hyperlink">
    <w:name w:val="Hyperlink"/>
    <w:basedOn w:val="DefaultParagraphFont"/>
    <w:uiPriority w:val="99"/>
    <w:unhideWhenUsed/>
    <w:rsid w:val="00697215"/>
    <w:rPr>
      <w:color w:val="0000FF" w:themeColor="hyperlink"/>
      <w:u w:val="single"/>
    </w:rPr>
  </w:style>
  <w:style w:type="paragraph" w:styleId="Revision">
    <w:name w:val="Revision"/>
    <w:hidden/>
    <w:uiPriority w:val="99"/>
    <w:semiHidden/>
    <w:rsid w:val="00263362"/>
    <w:pPr>
      <w:spacing w:after="0" w:line="240" w:lineRule="auto"/>
    </w:pPr>
  </w:style>
  <w:style w:type="paragraph" w:styleId="NoSpacing">
    <w:name w:val="No Spacing"/>
    <w:uiPriority w:val="1"/>
    <w:qFormat/>
    <w:rsid w:val="00F95B15"/>
    <w:pPr>
      <w:widowControl w:val="0"/>
      <w:suppressAutoHyphens/>
      <w:spacing w:after="0" w:line="240" w:lineRule="auto"/>
    </w:pPr>
    <w:rPr>
      <w:rFonts w:ascii="Times New Roman" w:eastAsia="Calibri" w:hAnsi="Times New Roman" w:cs="Times New Roman"/>
      <w:kern w:val="2"/>
      <w:sz w:val="24"/>
      <w:szCs w:val="24"/>
    </w:rPr>
  </w:style>
  <w:style w:type="paragraph" w:styleId="NormalWeb">
    <w:name w:val="Normal (Web)"/>
    <w:basedOn w:val="Normal"/>
    <w:uiPriority w:val="99"/>
    <w:unhideWhenUsed/>
    <w:rsid w:val="00F95B15"/>
    <w:pPr>
      <w:spacing w:before="100" w:beforeAutospacing="1" w:after="100" w:afterAutospacing="1" w:line="240" w:lineRule="auto"/>
    </w:pPr>
    <w:rPr>
      <w:rFonts w:ascii="Times" w:eastAsiaTheme="minorEastAsia" w:hAnsi="Times" w:cs="Times New Roman"/>
      <w:sz w:val="20"/>
      <w:szCs w:val="20"/>
      <w:lang w:eastAsia="de-DE"/>
    </w:rPr>
  </w:style>
  <w:style w:type="table" w:styleId="TableGrid">
    <w:name w:val="Table Grid"/>
    <w:basedOn w:val="TableNormal"/>
    <w:uiPriority w:val="59"/>
    <w:rsid w:val="00F95B15"/>
    <w:pPr>
      <w:spacing w:after="0" w:line="240" w:lineRule="auto"/>
    </w:pPr>
    <w:rPr>
      <w:rFonts w:eastAsiaTheme="minorEastAsia"/>
      <w:sz w:val="24"/>
      <w:szCs w:val="24"/>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526173"/>
    <w:rPr>
      <w:b/>
      <w:bCs/>
    </w:rPr>
  </w:style>
  <w:style w:type="paragraph" w:customStyle="1" w:styleId="Listeafsnit1">
    <w:name w:val="Listeafsnit1"/>
    <w:basedOn w:val="Normal"/>
    <w:rsid w:val="00526173"/>
    <w:pPr>
      <w:ind w:left="720"/>
      <w:contextualSpacing/>
    </w:pPr>
    <w:rPr>
      <w:rFonts w:ascii="Calibri" w:eastAsia="Times New Roman" w:hAnsi="Calibri" w:cs="Times New Roman"/>
      <w:lang w:val="da-DK" w:eastAsia="da-DK"/>
    </w:rPr>
  </w:style>
  <w:style w:type="paragraph" w:customStyle="1" w:styleId="EndNoteBibliographyTitle">
    <w:name w:val="EndNote Bibliography Title"/>
    <w:basedOn w:val="Normal"/>
    <w:rsid w:val="005A19AC"/>
    <w:pPr>
      <w:spacing w:after="0"/>
      <w:jc w:val="center"/>
    </w:pPr>
    <w:rPr>
      <w:rFonts w:ascii="Calibri" w:eastAsiaTheme="minorHAnsi" w:hAnsi="Calibri"/>
    </w:rPr>
  </w:style>
  <w:style w:type="paragraph" w:customStyle="1" w:styleId="EndNoteBibliography">
    <w:name w:val="EndNote Bibliography"/>
    <w:basedOn w:val="Normal"/>
    <w:rsid w:val="005A19AC"/>
    <w:pPr>
      <w:spacing w:line="240" w:lineRule="auto"/>
    </w:pPr>
    <w:rPr>
      <w:rFonts w:ascii="Calibri" w:eastAsiaTheme="minorHAnsi" w:hAnsi="Calibri"/>
    </w:rPr>
  </w:style>
  <w:style w:type="character" w:styleId="Emphasis">
    <w:name w:val="Emphasis"/>
    <w:qFormat/>
    <w:rsid w:val="00763B7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0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0D2"/>
  </w:style>
  <w:style w:type="paragraph" w:styleId="Footer">
    <w:name w:val="footer"/>
    <w:basedOn w:val="Normal"/>
    <w:link w:val="FooterChar"/>
    <w:uiPriority w:val="99"/>
    <w:unhideWhenUsed/>
    <w:rsid w:val="00A470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0D2"/>
  </w:style>
  <w:style w:type="character" w:styleId="CommentReference">
    <w:name w:val="annotation reference"/>
    <w:basedOn w:val="DefaultParagraphFont"/>
    <w:uiPriority w:val="99"/>
    <w:unhideWhenUsed/>
    <w:rsid w:val="003413C3"/>
    <w:rPr>
      <w:sz w:val="16"/>
      <w:szCs w:val="16"/>
    </w:rPr>
  </w:style>
  <w:style w:type="paragraph" w:styleId="CommentText">
    <w:name w:val="annotation text"/>
    <w:basedOn w:val="Normal"/>
    <w:link w:val="CommentTextChar"/>
    <w:uiPriority w:val="99"/>
    <w:unhideWhenUsed/>
    <w:rsid w:val="003413C3"/>
    <w:pPr>
      <w:spacing w:line="240" w:lineRule="auto"/>
    </w:pPr>
    <w:rPr>
      <w:sz w:val="20"/>
      <w:szCs w:val="20"/>
    </w:rPr>
  </w:style>
  <w:style w:type="character" w:customStyle="1" w:styleId="CommentTextChar">
    <w:name w:val="Comment Text Char"/>
    <w:basedOn w:val="DefaultParagraphFont"/>
    <w:link w:val="CommentText"/>
    <w:uiPriority w:val="99"/>
    <w:rsid w:val="003413C3"/>
    <w:rPr>
      <w:sz w:val="20"/>
      <w:szCs w:val="20"/>
    </w:rPr>
  </w:style>
  <w:style w:type="paragraph" w:styleId="CommentSubject">
    <w:name w:val="annotation subject"/>
    <w:basedOn w:val="CommentText"/>
    <w:next w:val="CommentText"/>
    <w:link w:val="CommentSubjectChar"/>
    <w:uiPriority w:val="99"/>
    <w:semiHidden/>
    <w:unhideWhenUsed/>
    <w:rsid w:val="003413C3"/>
    <w:rPr>
      <w:b/>
      <w:bCs/>
    </w:rPr>
  </w:style>
  <w:style w:type="character" w:customStyle="1" w:styleId="CommentSubjectChar">
    <w:name w:val="Comment Subject Char"/>
    <w:basedOn w:val="CommentTextChar"/>
    <w:link w:val="CommentSubject"/>
    <w:uiPriority w:val="99"/>
    <w:semiHidden/>
    <w:rsid w:val="003413C3"/>
    <w:rPr>
      <w:b/>
      <w:bCs/>
      <w:sz w:val="20"/>
      <w:szCs w:val="20"/>
    </w:rPr>
  </w:style>
  <w:style w:type="paragraph" w:styleId="BalloonText">
    <w:name w:val="Balloon Text"/>
    <w:basedOn w:val="Normal"/>
    <w:link w:val="BalloonTextChar"/>
    <w:uiPriority w:val="99"/>
    <w:semiHidden/>
    <w:unhideWhenUsed/>
    <w:rsid w:val="00341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3C3"/>
    <w:rPr>
      <w:rFonts w:ascii="Tahoma" w:hAnsi="Tahoma" w:cs="Tahoma"/>
      <w:sz w:val="16"/>
      <w:szCs w:val="16"/>
    </w:rPr>
  </w:style>
  <w:style w:type="paragraph" w:styleId="ListParagraph">
    <w:name w:val="List Paragraph"/>
    <w:basedOn w:val="Normal"/>
    <w:uiPriority w:val="34"/>
    <w:qFormat/>
    <w:rsid w:val="00697215"/>
    <w:pPr>
      <w:ind w:left="720"/>
      <w:contextualSpacing/>
    </w:pPr>
  </w:style>
  <w:style w:type="character" w:styleId="Hyperlink">
    <w:name w:val="Hyperlink"/>
    <w:basedOn w:val="DefaultParagraphFont"/>
    <w:uiPriority w:val="99"/>
    <w:unhideWhenUsed/>
    <w:rsid w:val="00697215"/>
    <w:rPr>
      <w:color w:val="0000FF" w:themeColor="hyperlink"/>
      <w:u w:val="single"/>
    </w:rPr>
  </w:style>
  <w:style w:type="paragraph" w:styleId="Revision">
    <w:name w:val="Revision"/>
    <w:hidden/>
    <w:uiPriority w:val="99"/>
    <w:semiHidden/>
    <w:rsid w:val="00263362"/>
    <w:pPr>
      <w:spacing w:after="0" w:line="240" w:lineRule="auto"/>
    </w:pPr>
  </w:style>
  <w:style w:type="paragraph" w:styleId="NoSpacing">
    <w:name w:val="No Spacing"/>
    <w:uiPriority w:val="1"/>
    <w:qFormat/>
    <w:rsid w:val="00F95B15"/>
    <w:pPr>
      <w:widowControl w:val="0"/>
      <w:suppressAutoHyphens/>
      <w:spacing w:after="0" w:line="240" w:lineRule="auto"/>
    </w:pPr>
    <w:rPr>
      <w:rFonts w:ascii="Times New Roman" w:eastAsia="Calibri" w:hAnsi="Times New Roman" w:cs="Times New Roman"/>
      <w:kern w:val="2"/>
      <w:sz w:val="24"/>
      <w:szCs w:val="24"/>
    </w:rPr>
  </w:style>
  <w:style w:type="paragraph" w:styleId="NormalWeb">
    <w:name w:val="Normal (Web)"/>
    <w:basedOn w:val="Normal"/>
    <w:uiPriority w:val="99"/>
    <w:unhideWhenUsed/>
    <w:rsid w:val="00F95B15"/>
    <w:pPr>
      <w:spacing w:before="100" w:beforeAutospacing="1" w:after="100" w:afterAutospacing="1" w:line="240" w:lineRule="auto"/>
    </w:pPr>
    <w:rPr>
      <w:rFonts w:ascii="Times" w:eastAsiaTheme="minorEastAsia" w:hAnsi="Times" w:cs="Times New Roman"/>
      <w:sz w:val="20"/>
      <w:szCs w:val="20"/>
      <w:lang w:eastAsia="de-DE"/>
    </w:rPr>
  </w:style>
  <w:style w:type="table" w:styleId="TableGrid">
    <w:name w:val="Table Grid"/>
    <w:basedOn w:val="TableNormal"/>
    <w:uiPriority w:val="59"/>
    <w:rsid w:val="00F95B15"/>
    <w:pPr>
      <w:spacing w:after="0" w:line="240" w:lineRule="auto"/>
    </w:pPr>
    <w:rPr>
      <w:rFonts w:eastAsiaTheme="minorEastAsia"/>
      <w:sz w:val="24"/>
      <w:szCs w:val="24"/>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526173"/>
    <w:rPr>
      <w:b/>
      <w:bCs/>
    </w:rPr>
  </w:style>
  <w:style w:type="paragraph" w:customStyle="1" w:styleId="Listeafsnit1">
    <w:name w:val="Listeafsnit1"/>
    <w:basedOn w:val="Normal"/>
    <w:rsid w:val="00526173"/>
    <w:pPr>
      <w:ind w:left="720"/>
      <w:contextualSpacing/>
    </w:pPr>
    <w:rPr>
      <w:rFonts w:ascii="Calibri" w:eastAsia="Times New Roman" w:hAnsi="Calibri" w:cs="Times New Roman"/>
      <w:lang w:val="da-DK" w:eastAsia="da-DK"/>
    </w:rPr>
  </w:style>
  <w:style w:type="paragraph" w:customStyle="1" w:styleId="EndNoteBibliographyTitle">
    <w:name w:val="EndNote Bibliography Title"/>
    <w:basedOn w:val="Normal"/>
    <w:rsid w:val="005A19AC"/>
    <w:pPr>
      <w:spacing w:after="0"/>
      <w:jc w:val="center"/>
    </w:pPr>
    <w:rPr>
      <w:rFonts w:ascii="Calibri" w:eastAsiaTheme="minorHAnsi" w:hAnsi="Calibri"/>
    </w:rPr>
  </w:style>
  <w:style w:type="paragraph" w:customStyle="1" w:styleId="EndNoteBibliography">
    <w:name w:val="EndNote Bibliography"/>
    <w:basedOn w:val="Normal"/>
    <w:rsid w:val="005A19AC"/>
    <w:pPr>
      <w:spacing w:line="240" w:lineRule="auto"/>
    </w:pPr>
    <w:rPr>
      <w:rFonts w:ascii="Calibri" w:eastAsiaTheme="minorHAnsi" w:hAnsi="Calibri"/>
    </w:rPr>
  </w:style>
  <w:style w:type="character" w:styleId="Emphasis">
    <w:name w:val="Emphasis"/>
    <w:qFormat/>
    <w:rsid w:val="00763B7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703912">
      <w:bodyDiv w:val="1"/>
      <w:marLeft w:val="0"/>
      <w:marRight w:val="0"/>
      <w:marTop w:val="0"/>
      <w:marBottom w:val="0"/>
      <w:divBdr>
        <w:top w:val="none" w:sz="0" w:space="0" w:color="auto"/>
        <w:left w:val="none" w:sz="0" w:space="0" w:color="auto"/>
        <w:bottom w:val="none" w:sz="0" w:space="0" w:color="auto"/>
        <w:right w:val="none" w:sz="0" w:space="0" w:color="auto"/>
      </w:divBdr>
    </w:div>
    <w:div w:id="849484716">
      <w:bodyDiv w:val="1"/>
      <w:marLeft w:val="0"/>
      <w:marRight w:val="0"/>
      <w:marTop w:val="0"/>
      <w:marBottom w:val="0"/>
      <w:divBdr>
        <w:top w:val="none" w:sz="0" w:space="0" w:color="auto"/>
        <w:left w:val="none" w:sz="0" w:space="0" w:color="auto"/>
        <w:bottom w:val="none" w:sz="0" w:space="0" w:color="auto"/>
        <w:right w:val="none" w:sz="0" w:space="0" w:color="auto"/>
      </w:divBdr>
      <w:divsChild>
        <w:div w:id="559828195">
          <w:marLeft w:val="0"/>
          <w:marRight w:val="0"/>
          <w:marTop w:val="0"/>
          <w:marBottom w:val="0"/>
          <w:divBdr>
            <w:top w:val="none" w:sz="0" w:space="0" w:color="auto"/>
            <w:left w:val="none" w:sz="0" w:space="0" w:color="auto"/>
            <w:bottom w:val="none" w:sz="0" w:space="0" w:color="auto"/>
            <w:right w:val="none" w:sz="0" w:space="0" w:color="auto"/>
          </w:divBdr>
          <w:divsChild>
            <w:div w:id="1782996149">
              <w:marLeft w:val="0"/>
              <w:marRight w:val="0"/>
              <w:marTop w:val="0"/>
              <w:marBottom w:val="0"/>
              <w:divBdr>
                <w:top w:val="none" w:sz="0" w:space="0" w:color="auto"/>
                <w:left w:val="none" w:sz="0" w:space="0" w:color="auto"/>
                <w:bottom w:val="none" w:sz="0" w:space="0" w:color="auto"/>
                <w:right w:val="none" w:sz="0" w:space="0" w:color="auto"/>
              </w:divBdr>
              <w:divsChild>
                <w:div w:id="1695306934">
                  <w:marLeft w:val="0"/>
                  <w:marRight w:val="0"/>
                  <w:marTop w:val="0"/>
                  <w:marBottom w:val="0"/>
                  <w:divBdr>
                    <w:top w:val="none" w:sz="0" w:space="0" w:color="auto"/>
                    <w:left w:val="none" w:sz="0" w:space="0" w:color="auto"/>
                    <w:bottom w:val="none" w:sz="0" w:space="0" w:color="auto"/>
                    <w:right w:val="none" w:sz="0" w:space="0" w:color="auto"/>
                  </w:divBdr>
                  <w:divsChild>
                    <w:div w:id="17507404">
                      <w:marLeft w:val="0"/>
                      <w:marRight w:val="0"/>
                      <w:marTop w:val="0"/>
                      <w:marBottom w:val="0"/>
                      <w:divBdr>
                        <w:top w:val="none" w:sz="0" w:space="0" w:color="auto"/>
                        <w:left w:val="none" w:sz="0" w:space="0" w:color="auto"/>
                        <w:bottom w:val="none" w:sz="0" w:space="0" w:color="auto"/>
                        <w:right w:val="none" w:sz="0" w:space="0" w:color="auto"/>
                      </w:divBdr>
                      <w:divsChild>
                        <w:div w:id="983315751">
                          <w:marLeft w:val="0"/>
                          <w:marRight w:val="0"/>
                          <w:marTop w:val="0"/>
                          <w:marBottom w:val="0"/>
                          <w:divBdr>
                            <w:top w:val="none" w:sz="0" w:space="0" w:color="auto"/>
                            <w:left w:val="none" w:sz="0" w:space="0" w:color="auto"/>
                            <w:bottom w:val="none" w:sz="0" w:space="0" w:color="auto"/>
                            <w:right w:val="none" w:sz="0" w:space="0" w:color="auto"/>
                          </w:divBdr>
                          <w:divsChild>
                            <w:div w:id="788666495">
                              <w:marLeft w:val="0"/>
                              <w:marRight w:val="0"/>
                              <w:marTop w:val="0"/>
                              <w:marBottom w:val="0"/>
                              <w:divBdr>
                                <w:top w:val="none" w:sz="0" w:space="0" w:color="auto"/>
                                <w:left w:val="none" w:sz="0" w:space="0" w:color="auto"/>
                                <w:bottom w:val="none" w:sz="0" w:space="0" w:color="auto"/>
                                <w:right w:val="none" w:sz="0" w:space="0" w:color="auto"/>
                              </w:divBdr>
                              <w:divsChild>
                                <w:div w:id="986978844">
                                  <w:marLeft w:val="0"/>
                                  <w:marRight w:val="0"/>
                                  <w:marTop w:val="0"/>
                                  <w:marBottom w:val="0"/>
                                  <w:divBdr>
                                    <w:top w:val="none" w:sz="0" w:space="0" w:color="auto"/>
                                    <w:left w:val="none" w:sz="0" w:space="0" w:color="auto"/>
                                    <w:bottom w:val="none" w:sz="0" w:space="0" w:color="auto"/>
                                    <w:right w:val="none" w:sz="0" w:space="0" w:color="auto"/>
                                  </w:divBdr>
                                  <w:divsChild>
                                    <w:div w:id="2020502947">
                                      <w:marLeft w:val="0"/>
                                      <w:marRight w:val="0"/>
                                      <w:marTop w:val="0"/>
                                      <w:marBottom w:val="0"/>
                                      <w:divBdr>
                                        <w:top w:val="none" w:sz="0" w:space="0" w:color="auto"/>
                                        <w:left w:val="none" w:sz="0" w:space="0" w:color="auto"/>
                                        <w:bottom w:val="none" w:sz="0" w:space="0" w:color="auto"/>
                                        <w:right w:val="none" w:sz="0" w:space="0" w:color="auto"/>
                                      </w:divBdr>
                                      <w:divsChild>
                                        <w:div w:id="730233906">
                                          <w:marLeft w:val="0"/>
                                          <w:marRight w:val="0"/>
                                          <w:marTop w:val="0"/>
                                          <w:marBottom w:val="0"/>
                                          <w:divBdr>
                                            <w:top w:val="none" w:sz="0" w:space="0" w:color="auto"/>
                                            <w:left w:val="none" w:sz="0" w:space="0" w:color="auto"/>
                                            <w:bottom w:val="none" w:sz="0" w:space="0" w:color="auto"/>
                                            <w:right w:val="none" w:sz="0" w:space="0" w:color="auto"/>
                                          </w:divBdr>
                                          <w:divsChild>
                                            <w:div w:id="1082217450">
                                              <w:marLeft w:val="0"/>
                                              <w:marRight w:val="0"/>
                                              <w:marTop w:val="0"/>
                                              <w:marBottom w:val="0"/>
                                              <w:divBdr>
                                                <w:top w:val="none" w:sz="0" w:space="0" w:color="auto"/>
                                                <w:left w:val="none" w:sz="0" w:space="0" w:color="auto"/>
                                                <w:bottom w:val="none" w:sz="0" w:space="0" w:color="auto"/>
                                                <w:right w:val="none" w:sz="0" w:space="0" w:color="auto"/>
                                              </w:divBdr>
                                              <w:divsChild>
                                                <w:div w:id="1153259481">
                                                  <w:marLeft w:val="0"/>
                                                  <w:marRight w:val="0"/>
                                                  <w:marTop w:val="0"/>
                                                  <w:marBottom w:val="0"/>
                                                  <w:divBdr>
                                                    <w:top w:val="none" w:sz="0" w:space="0" w:color="auto"/>
                                                    <w:left w:val="none" w:sz="0" w:space="0" w:color="auto"/>
                                                    <w:bottom w:val="none" w:sz="0" w:space="0" w:color="auto"/>
                                                    <w:right w:val="none" w:sz="0" w:space="0" w:color="auto"/>
                                                  </w:divBdr>
                                                  <w:divsChild>
                                                    <w:div w:id="1871406557">
                                                      <w:marLeft w:val="0"/>
                                                      <w:marRight w:val="0"/>
                                                      <w:marTop w:val="0"/>
                                                      <w:marBottom w:val="0"/>
                                                      <w:divBdr>
                                                        <w:top w:val="none" w:sz="0" w:space="0" w:color="auto"/>
                                                        <w:left w:val="none" w:sz="0" w:space="0" w:color="auto"/>
                                                        <w:bottom w:val="none" w:sz="0" w:space="0" w:color="auto"/>
                                                        <w:right w:val="none" w:sz="0" w:space="0" w:color="auto"/>
                                                      </w:divBdr>
                                                      <w:divsChild>
                                                        <w:div w:id="590623011">
                                                          <w:marLeft w:val="0"/>
                                                          <w:marRight w:val="0"/>
                                                          <w:marTop w:val="0"/>
                                                          <w:marBottom w:val="0"/>
                                                          <w:divBdr>
                                                            <w:top w:val="none" w:sz="0" w:space="0" w:color="auto"/>
                                                            <w:left w:val="none" w:sz="0" w:space="0" w:color="auto"/>
                                                            <w:bottom w:val="none" w:sz="0" w:space="0" w:color="auto"/>
                                                            <w:right w:val="none" w:sz="0" w:space="0" w:color="auto"/>
                                                          </w:divBdr>
                                                          <w:divsChild>
                                                            <w:div w:id="875586083">
                                                              <w:marLeft w:val="0"/>
                                                              <w:marRight w:val="0"/>
                                                              <w:marTop w:val="0"/>
                                                              <w:marBottom w:val="0"/>
                                                              <w:divBdr>
                                                                <w:top w:val="none" w:sz="0" w:space="0" w:color="auto"/>
                                                                <w:left w:val="none" w:sz="0" w:space="0" w:color="auto"/>
                                                                <w:bottom w:val="none" w:sz="0" w:space="0" w:color="auto"/>
                                                                <w:right w:val="none" w:sz="0" w:space="0" w:color="auto"/>
                                                              </w:divBdr>
                                                              <w:divsChild>
                                                                <w:div w:id="970139029">
                                                                  <w:marLeft w:val="0"/>
                                                                  <w:marRight w:val="0"/>
                                                                  <w:marTop w:val="0"/>
                                                                  <w:marBottom w:val="0"/>
                                                                  <w:divBdr>
                                                                    <w:top w:val="none" w:sz="0" w:space="0" w:color="auto"/>
                                                                    <w:left w:val="none" w:sz="0" w:space="0" w:color="auto"/>
                                                                    <w:bottom w:val="none" w:sz="0" w:space="0" w:color="auto"/>
                                                                    <w:right w:val="none" w:sz="0" w:space="0" w:color="auto"/>
                                                                  </w:divBdr>
                                                                  <w:divsChild>
                                                                    <w:div w:id="879977277">
                                                                      <w:marLeft w:val="0"/>
                                                                      <w:marRight w:val="0"/>
                                                                      <w:marTop w:val="0"/>
                                                                      <w:marBottom w:val="0"/>
                                                                      <w:divBdr>
                                                                        <w:top w:val="none" w:sz="0" w:space="0" w:color="auto"/>
                                                                        <w:left w:val="none" w:sz="0" w:space="0" w:color="auto"/>
                                                                        <w:bottom w:val="none" w:sz="0" w:space="0" w:color="auto"/>
                                                                        <w:right w:val="none" w:sz="0" w:space="0" w:color="auto"/>
                                                                      </w:divBdr>
                                                                      <w:divsChild>
                                                                        <w:div w:id="379477097">
                                                                          <w:marLeft w:val="0"/>
                                                                          <w:marRight w:val="0"/>
                                                                          <w:marTop w:val="0"/>
                                                                          <w:marBottom w:val="0"/>
                                                                          <w:divBdr>
                                                                            <w:top w:val="none" w:sz="0" w:space="0" w:color="auto"/>
                                                                            <w:left w:val="none" w:sz="0" w:space="0" w:color="auto"/>
                                                                            <w:bottom w:val="none" w:sz="0" w:space="0" w:color="auto"/>
                                                                            <w:right w:val="none" w:sz="0" w:space="0" w:color="auto"/>
                                                                          </w:divBdr>
                                                                          <w:divsChild>
                                                                            <w:div w:id="1551722545">
                                                                              <w:marLeft w:val="0"/>
                                                                              <w:marRight w:val="0"/>
                                                                              <w:marTop w:val="0"/>
                                                                              <w:marBottom w:val="0"/>
                                                                              <w:divBdr>
                                                                                <w:top w:val="none" w:sz="0" w:space="0" w:color="auto"/>
                                                                                <w:left w:val="none" w:sz="0" w:space="0" w:color="auto"/>
                                                                                <w:bottom w:val="none" w:sz="0" w:space="0" w:color="auto"/>
                                                                                <w:right w:val="none" w:sz="0" w:space="0" w:color="auto"/>
                                                                              </w:divBdr>
                                                                              <w:divsChild>
                                                                                <w:div w:id="814492519">
                                                                                  <w:marLeft w:val="0"/>
                                                                                  <w:marRight w:val="0"/>
                                                                                  <w:marTop w:val="0"/>
                                                                                  <w:marBottom w:val="0"/>
                                                                                  <w:divBdr>
                                                                                    <w:top w:val="none" w:sz="0" w:space="0" w:color="auto"/>
                                                                                    <w:left w:val="none" w:sz="0" w:space="0" w:color="auto"/>
                                                                                    <w:bottom w:val="none" w:sz="0" w:space="0" w:color="auto"/>
                                                                                    <w:right w:val="none" w:sz="0" w:space="0" w:color="auto"/>
                                                                                  </w:divBdr>
                                                                                  <w:divsChild>
                                                                                    <w:div w:id="1996911839">
                                                                                      <w:marLeft w:val="0"/>
                                                                                      <w:marRight w:val="0"/>
                                                                                      <w:marTop w:val="0"/>
                                                                                      <w:marBottom w:val="0"/>
                                                                                      <w:divBdr>
                                                                                        <w:top w:val="none" w:sz="0" w:space="0" w:color="auto"/>
                                                                                        <w:left w:val="none" w:sz="0" w:space="0" w:color="auto"/>
                                                                                        <w:bottom w:val="none" w:sz="0" w:space="0" w:color="auto"/>
                                                                                        <w:right w:val="none" w:sz="0" w:space="0" w:color="auto"/>
                                                                                      </w:divBdr>
                                                                                      <w:divsChild>
                                                                                        <w:div w:id="929239180">
                                                                                          <w:marLeft w:val="0"/>
                                                                                          <w:marRight w:val="0"/>
                                                                                          <w:marTop w:val="0"/>
                                                                                          <w:marBottom w:val="0"/>
                                                                                          <w:divBdr>
                                                                                            <w:top w:val="none" w:sz="0" w:space="0" w:color="auto"/>
                                                                                            <w:left w:val="none" w:sz="0" w:space="0" w:color="auto"/>
                                                                                            <w:bottom w:val="none" w:sz="0" w:space="0" w:color="auto"/>
                                                                                            <w:right w:val="none" w:sz="0" w:space="0" w:color="auto"/>
                                                                                          </w:divBdr>
                                                                                          <w:divsChild>
                                                                                            <w:div w:id="1431004192">
                                                                                              <w:marLeft w:val="0"/>
                                                                                              <w:marRight w:val="0"/>
                                                                                              <w:marTop w:val="0"/>
                                                                                              <w:marBottom w:val="0"/>
                                                                                              <w:divBdr>
                                                                                                <w:top w:val="none" w:sz="0" w:space="0" w:color="auto"/>
                                                                                                <w:left w:val="none" w:sz="0" w:space="0" w:color="auto"/>
                                                                                                <w:bottom w:val="none" w:sz="0" w:space="0" w:color="auto"/>
                                                                                                <w:right w:val="none" w:sz="0" w:space="0" w:color="auto"/>
                                                                                              </w:divBdr>
                                                                                              <w:divsChild>
                                                                                                <w:div w:id="333728376">
                                                                                                  <w:marLeft w:val="0"/>
                                                                                                  <w:marRight w:val="0"/>
                                                                                                  <w:marTop w:val="0"/>
                                                                                                  <w:marBottom w:val="0"/>
                                                                                                  <w:divBdr>
                                                                                                    <w:top w:val="none" w:sz="0" w:space="0" w:color="auto"/>
                                                                                                    <w:left w:val="none" w:sz="0" w:space="0" w:color="auto"/>
                                                                                                    <w:bottom w:val="none" w:sz="0" w:space="0" w:color="auto"/>
                                                                                                    <w:right w:val="none" w:sz="0" w:space="0" w:color="auto"/>
                                                                                                  </w:divBdr>
                                                                                                  <w:divsChild>
                                                                                                    <w:div w:id="618874938">
                                                                                                      <w:marLeft w:val="0"/>
                                                                                                      <w:marRight w:val="0"/>
                                                                                                      <w:marTop w:val="0"/>
                                                                                                      <w:marBottom w:val="0"/>
                                                                                                      <w:divBdr>
                                                                                                        <w:top w:val="none" w:sz="0" w:space="0" w:color="auto"/>
                                                                                                        <w:left w:val="none" w:sz="0" w:space="0" w:color="auto"/>
                                                                                                        <w:bottom w:val="none" w:sz="0" w:space="0" w:color="auto"/>
                                                                                                        <w:right w:val="none" w:sz="0" w:space="0" w:color="auto"/>
                                                                                                      </w:divBdr>
                                                                                                      <w:divsChild>
                                                                                                        <w:div w:id="2106612117">
                                                                                                          <w:marLeft w:val="0"/>
                                                                                                          <w:marRight w:val="0"/>
                                                                                                          <w:marTop w:val="0"/>
                                                                                                          <w:marBottom w:val="0"/>
                                                                                                          <w:divBdr>
                                                                                                            <w:top w:val="none" w:sz="0" w:space="0" w:color="auto"/>
                                                                                                            <w:left w:val="none" w:sz="0" w:space="0" w:color="auto"/>
                                                                                                            <w:bottom w:val="none" w:sz="0" w:space="0" w:color="auto"/>
                                                                                                            <w:right w:val="none" w:sz="0" w:space="0" w:color="auto"/>
                                                                                                          </w:divBdr>
                                                                                                          <w:divsChild>
                                                                                                            <w:div w:id="1095631767">
                                                                                                              <w:marLeft w:val="0"/>
                                                                                                              <w:marRight w:val="0"/>
                                                                                                              <w:marTop w:val="0"/>
                                                                                                              <w:marBottom w:val="0"/>
                                                                                                              <w:divBdr>
                                                                                                                <w:top w:val="none" w:sz="0" w:space="0" w:color="auto"/>
                                                                                                                <w:left w:val="none" w:sz="0" w:space="0" w:color="auto"/>
                                                                                                                <w:bottom w:val="none" w:sz="0" w:space="0" w:color="auto"/>
                                                                                                                <w:right w:val="none" w:sz="0" w:space="0" w:color="auto"/>
                                                                                                              </w:divBdr>
                                                                                                              <w:divsChild>
                                                                                                                <w:div w:id="65301646">
                                                                                                                  <w:marLeft w:val="0"/>
                                                                                                                  <w:marRight w:val="0"/>
                                                                                                                  <w:marTop w:val="0"/>
                                                                                                                  <w:marBottom w:val="0"/>
                                                                                                                  <w:divBdr>
                                                                                                                    <w:top w:val="none" w:sz="0" w:space="0" w:color="auto"/>
                                                                                                                    <w:left w:val="none" w:sz="0" w:space="0" w:color="auto"/>
                                                                                                                    <w:bottom w:val="none" w:sz="0" w:space="0" w:color="auto"/>
                                                                                                                    <w:right w:val="none" w:sz="0" w:space="0" w:color="auto"/>
                                                                                                                  </w:divBdr>
                                                                                                                  <w:divsChild>
                                                                                                                    <w:div w:id="28535688">
                                                                                                                      <w:marLeft w:val="0"/>
                                                                                                                      <w:marRight w:val="0"/>
                                                                                                                      <w:marTop w:val="0"/>
                                                                                                                      <w:marBottom w:val="0"/>
                                                                                                                      <w:divBdr>
                                                                                                                        <w:top w:val="none" w:sz="0" w:space="0" w:color="auto"/>
                                                                                                                        <w:left w:val="none" w:sz="0" w:space="0" w:color="auto"/>
                                                                                                                        <w:bottom w:val="none" w:sz="0" w:space="0" w:color="auto"/>
                                                                                                                        <w:right w:val="none" w:sz="0" w:space="0" w:color="auto"/>
                                                                                                                      </w:divBdr>
                                                                                                                      <w:divsChild>
                                                                                                                        <w:div w:id="1367831393">
                                                                                                                          <w:marLeft w:val="0"/>
                                                                                                                          <w:marRight w:val="0"/>
                                                                                                                          <w:marTop w:val="0"/>
                                                                                                                          <w:marBottom w:val="0"/>
                                                                                                                          <w:divBdr>
                                                                                                                            <w:top w:val="none" w:sz="0" w:space="0" w:color="auto"/>
                                                                                                                            <w:left w:val="none" w:sz="0" w:space="0" w:color="auto"/>
                                                                                                                            <w:bottom w:val="none" w:sz="0" w:space="0" w:color="auto"/>
                                                                                                                            <w:right w:val="none" w:sz="0" w:space="0" w:color="auto"/>
                                                                                                                          </w:divBdr>
                                                                                                                          <w:divsChild>
                                                                                                                            <w:div w:id="185944529">
                                                                                                                              <w:marLeft w:val="0"/>
                                                                                                                              <w:marRight w:val="0"/>
                                                                                                                              <w:marTop w:val="0"/>
                                                                                                                              <w:marBottom w:val="0"/>
                                                                                                                              <w:divBdr>
                                                                                                                                <w:top w:val="none" w:sz="0" w:space="0" w:color="auto"/>
                                                                                                                                <w:left w:val="none" w:sz="0" w:space="0" w:color="auto"/>
                                                                                                                                <w:bottom w:val="none" w:sz="0" w:space="0" w:color="auto"/>
                                                                                                                                <w:right w:val="none" w:sz="0" w:space="0" w:color="auto"/>
                                                                                                                              </w:divBdr>
                                                                                                                              <w:divsChild>
                                                                                                                                <w:div w:id="1764061241">
                                                                                                                                  <w:marLeft w:val="0"/>
                                                                                                                                  <w:marRight w:val="0"/>
                                                                                                                                  <w:marTop w:val="0"/>
                                                                                                                                  <w:marBottom w:val="0"/>
                                                                                                                                  <w:divBdr>
                                                                                                                                    <w:top w:val="none" w:sz="0" w:space="0" w:color="auto"/>
                                                                                                                                    <w:left w:val="none" w:sz="0" w:space="0" w:color="auto"/>
                                                                                                                                    <w:bottom w:val="none" w:sz="0" w:space="0" w:color="auto"/>
                                                                                                                                    <w:right w:val="none" w:sz="0" w:space="0" w:color="auto"/>
                                                                                                                                  </w:divBdr>
                                                                                                                                  <w:divsChild>
                                                                                                                                    <w:div w:id="1002974312">
                                                                                                                                      <w:marLeft w:val="0"/>
                                                                                                                                      <w:marRight w:val="0"/>
                                                                                                                                      <w:marTop w:val="0"/>
                                                                                                                                      <w:marBottom w:val="0"/>
                                                                                                                                      <w:divBdr>
                                                                                                                                        <w:top w:val="none" w:sz="0" w:space="0" w:color="auto"/>
                                                                                                                                        <w:left w:val="none" w:sz="0" w:space="0" w:color="auto"/>
                                                                                                                                        <w:bottom w:val="none" w:sz="0" w:space="0" w:color="auto"/>
                                                                                                                                        <w:right w:val="none" w:sz="0" w:space="0" w:color="auto"/>
                                                                                                                                      </w:divBdr>
                                                                                                                                      <w:divsChild>
                                                                                                                                        <w:div w:id="1989282677">
                                                                                                                                          <w:marLeft w:val="0"/>
                                                                                                                                          <w:marRight w:val="0"/>
                                                                                                                                          <w:marTop w:val="0"/>
                                                                                                                                          <w:marBottom w:val="0"/>
                                                                                                                                          <w:divBdr>
                                                                                                                                            <w:top w:val="none" w:sz="0" w:space="0" w:color="auto"/>
                                                                                                                                            <w:left w:val="none" w:sz="0" w:space="0" w:color="auto"/>
                                                                                                                                            <w:bottom w:val="none" w:sz="0" w:space="0" w:color="auto"/>
                                                                                                                                            <w:right w:val="none" w:sz="0" w:space="0" w:color="auto"/>
                                                                                                                                          </w:divBdr>
                                                                                                                                          <w:divsChild>
                                                                                                                                            <w:div w:id="29763967">
                                                                                                                                              <w:marLeft w:val="0"/>
                                                                                                                                              <w:marRight w:val="0"/>
                                                                                                                                              <w:marTop w:val="0"/>
                                                                                                                                              <w:marBottom w:val="0"/>
                                                                                                                                              <w:divBdr>
                                                                                                                                                <w:top w:val="none" w:sz="0" w:space="0" w:color="auto"/>
                                                                                                                                                <w:left w:val="none" w:sz="0" w:space="0" w:color="auto"/>
                                                                                                                                                <w:bottom w:val="none" w:sz="0" w:space="0" w:color="auto"/>
                                                                                                                                                <w:right w:val="none" w:sz="0" w:space="0" w:color="auto"/>
                                                                                                                                              </w:divBdr>
                                                                                                                                              <w:divsChild>
                                                                                                                                                <w:div w:id="406877506">
                                                                                                                                                  <w:marLeft w:val="0"/>
                                                                                                                                                  <w:marRight w:val="0"/>
                                                                                                                                                  <w:marTop w:val="0"/>
                                                                                                                                                  <w:marBottom w:val="0"/>
                                                                                                                                                  <w:divBdr>
                                                                                                                                                    <w:top w:val="none" w:sz="0" w:space="0" w:color="auto"/>
                                                                                                                                                    <w:left w:val="none" w:sz="0" w:space="0" w:color="auto"/>
                                                                                                                                                    <w:bottom w:val="none" w:sz="0" w:space="0" w:color="auto"/>
                                                                                                                                                    <w:right w:val="none" w:sz="0" w:space="0" w:color="auto"/>
                                                                                                                                                  </w:divBdr>
                                                                                                                                                  <w:divsChild>
                                                                                                                                                    <w:div w:id="1920020223">
                                                                                                                                                      <w:marLeft w:val="0"/>
                                                                                                                                                      <w:marRight w:val="0"/>
                                                                                                                                                      <w:marTop w:val="0"/>
                                                                                                                                                      <w:marBottom w:val="0"/>
                                                                                                                                                      <w:divBdr>
                                                                                                                                                        <w:top w:val="none" w:sz="0" w:space="0" w:color="auto"/>
                                                                                                                                                        <w:left w:val="none" w:sz="0" w:space="0" w:color="auto"/>
                                                                                                                                                        <w:bottom w:val="none" w:sz="0" w:space="0" w:color="auto"/>
                                                                                                                                                        <w:right w:val="none" w:sz="0" w:space="0" w:color="auto"/>
                                                                                                                                                      </w:divBdr>
                                                                                                                                                      <w:divsChild>
                                                                                                                                                        <w:div w:id="1606232915">
                                                                                                                                                          <w:marLeft w:val="0"/>
                                                                                                                                                          <w:marRight w:val="0"/>
                                                                                                                                                          <w:marTop w:val="0"/>
                                                                                                                                                          <w:marBottom w:val="0"/>
                                                                                                                                                          <w:divBdr>
                                                                                                                                                            <w:top w:val="none" w:sz="0" w:space="0" w:color="auto"/>
                                                                                                                                                            <w:left w:val="none" w:sz="0" w:space="0" w:color="auto"/>
                                                                                                                                                            <w:bottom w:val="none" w:sz="0" w:space="0" w:color="auto"/>
                                                                                                                                                            <w:right w:val="none" w:sz="0" w:space="0" w:color="auto"/>
                                                                                                                                                          </w:divBdr>
                                                                                                                                                          <w:divsChild>
                                                                                                                                                            <w:div w:id="942808394">
                                                                                                                                                              <w:marLeft w:val="0"/>
                                                                                                                                                              <w:marRight w:val="0"/>
                                                                                                                                                              <w:marTop w:val="0"/>
                                                                                                                                                              <w:marBottom w:val="0"/>
                                                                                                                                                              <w:divBdr>
                                                                                                                                                                <w:top w:val="none" w:sz="0" w:space="0" w:color="auto"/>
                                                                                                                                                                <w:left w:val="none" w:sz="0" w:space="0" w:color="auto"/>
                                                                                                                                                                <w:bottom w:val="none" w:sz="0" w:space="0" w:color="auto"/>
                                                                                                                                                                <w:right w:val="none" w:sz="0" w:space="0" w:color="auto"/>
                                                                                                                                                              </w:divBdr>
                                                                                                                                                              <w:divsChild>
                                                                                                                                                                <w:div w:id="1330671793">
                                                                                                                                                                  <w:marLeft w:val="0"/>
                                                                                                                                                                  <w:marRight w:val="0"/>
                                                                                                                                                                  <w:marTop w:val="0"/>
                                                                                                                                                                  <w:marBottom w:val="0"/>
                                                                                                                                                                  <w:divBdr>
                                                                                                                                                                    <w:top w:val="none" w:sz="0" w:space="0" w:color="auto"/>
                                                                                                                                                                    <w:left w:val="none" w:sz="0" w:space="0" w:color="auto"/>
                                                                                                                                                                    <w:bottom w:val="none" w:sz="0" w:space="0" w:color="auto"/>
                                                                                                                                                                    <w:right w:val="none" w:sz="0" w:space="0" w:color="auto"/>
                                                                                                                                                                  </w:divBdr>
                                                                                                                                                                  <w:divsChild>
                                                                                                                                                                    <w:div w:id="1412392912">
                                                                                                                                                                      <w:marLeft w:val="0"/>
                                                                                                                                                                      <w:marRight w:val="0"/>
                                                                                                                                                                      <w:marTop w:val="0"/>
                                                                                                                                                                      <w:marBottom w:val="0"/>
                                                                                                                                                                      <w:divBdr>
                                                                                                                                                                        <w:top w:val="none" w:sz="0" w:space="0" w:color="auto"/>
                                                                                                                                                                        <w:left w:val="none" w:sz="0" w:space="0" w:color="auto"/>
                                                                                                                                                                        <w:bottom w:val="none" w:sz="0" w:space="0" w:color="auto"/>
                                                                                                                                                                        <w:right w:val="none" w:sz="0" w:space="0" w:color="auto"/>
                                                                                                                                                                      </w:divBdr>
                                                                                                                                                                      <w:divsChild>
                                                                                                                                                                        <w:div w:id="325481946">
                                                                                                                                                                          <w:marLeft w:val="0"/>
                                                                                                                                                                          <w:marRight w:val="0"/>
                                                                                                                                                                          <w:marTop w:val="0"/>
                                                                                                                                                                          <w:marBottom w:val="0"/>
                                                                                                                                                                          <w:divBdr>
                                                                                                                                                                            <w:top w:val="none" w:sz="0" w:space="0" w:color="auto"/>
                                                                                                                                                                            <w:left w:val="none" w:sz="0" w:space="0" w:color="auto"/>
                                                                                                                                                                            <w:bottom w:val="none" w:sz="0" w:space="0" w:color="auto"/>
                                                                                                                                                                            <w:right w:val="none" w:sz="0" w:space="0" w:color="auto"/>
                                                                                                                                                                          </w:divBdr>
                                                                                                                                                                          <w:divsChild>
                                                                                                                                                                            <w:div w:id="29652683">
                                                                                                                                                                              <w:marLeft w:val="0"/>
                                                                                                                                                                              <w:marRight w:val="0"/>
                                                                                                                                                                              <w:marTop w:val="0"/>
                                                                                                                                                                              <w:marBottom w:val="0"/>
                                                                                                                                                                              <w:divBdr>
                                                                                                                                                                                <w:top w:val="none" w:sz="0" w:space="0" w:color="auto"/>
                                                                                                                                                                                <w:left w:val="none" w:sz="0" w:space="0" w:color="auto"/>
                                                                                                                                                                                <w:bottom w:val="none" w:sz="0" w:space="0" w:color="auto"/>
                                                                                                                                                                                <w:right w:val="none" w:sz="0" w:space="0" w:color="auto"/>
                                                                                                                                                                              </w:divBdr>
                                                                                                                                                                              <w:divsChild>
                                                                                                                                                                                <w:div w:id="1391080690">
                                                                                                                                                                                  <w:marLeft w:val="0"/>
                                                                                                                                                                                  <w:marRight w:val="0"/>
                                                                                                                                                                                  <w:marTop w:val="0"/>
                                                                                                                                                                                  <w:marBottom w:val="0"/>
                                                                                                                                                                                  <w:divBdr>
                                                                                                                                                                                    <w:top w:val="none" w:sz="0" w:space="0" w:color="auto"/>
                                                                                                                                                                                    <w:left w:val="none" w:sz="0" w:space="0" w:color="auto"/>
                                                                                                                                                                                    <w:bottom w:val="none" w:sz="0" w:space="0" w:color="auto"/>
                                                                                                                                                                                    <w:right w:val="none" w:sz="0" w:space="0" w:color="auto"/>
                                                                                                                                                                                  </w:divBdr>
                                                                                                                                                                                  <w:divsChild>
                                                                                                                                                                                    <w:div w:id="5057922">
                                                                                                                                                                                      <w:marLeft w:val="0"/>
                                                                                                                                                                                      <w:marRight w:val="0"/>
                                                                                                                                                                                      <w:marTop w:val="0"/>
                                                                                                                                                                                      <w:marBottom w:val="0"/>
                                                                                                                                                                                      <w:divBdr>
                                                                                                                                                                                        <w:top w:val="none" w:sz="0" w:space="0" w:color="auto"/>
                                                                                                                                                                                        <w:left w:val="none" w:sz="0" w:space="0" w:color="auto"/>
                                                                                                                                                                                        <w:bottom w:val="none" w:sz="0" w:space="0" w:color="auto"/>
                                                                                                                                                                                        <w:right w:val="none" w:sz="0" w:space="0" w:color="auto"/>
                                                                                                                                                                                      </w:divBdr>
                                                                                                                                                                                      <w:divsChild>
                                                                                                                                                                                        <w:div w:id="1231619627">
                                                                                                                                                                                          <w:marLeft w:val="0"/>
                                                                                                                                                                                          <w:marRight w:val="0"/>
                                                                                                                                                                                          <w:marTop w:val="0"/>
                                                                                                                                                                                          <w:marBottom w:val="0"/>
                                                                                                                                                                                          <w:divBdr>
                                                                                                                                                                                            <w:top w:val="none" w:sz="0" w:space="0" w:color="auto"/>
                                                                                                                                                                                            <w:left w:val="none" w:sz="0" w:space="0" w:color="auto"/>
                                                                                                                                                                                            <w:bottom w:val="none" w:sz="0" w:space="0" w:color="auto"/>
                                                                                                                                                                                            <w:right w:val="none" w:sz="0" w:space="0" w:color="auto"/>
                                                                                                                                                                                          </w:divBdr>
                                                                                                                                                                                          <w:divsChild>
                                                                                                                                                                                            <w:div w:id="1003046203">
                                                                                                                                                                                              <w:marLeft w:val="0"/>
                                                                                                                                                                                              <w:marRight w:val="0"/>
                                                                                                                                                                                              <w:marTop w:val="0"/>
                                                                                                                                                                                              <w:marBottom w:val="0"/>
                                                                                                                                                                                              <w:divBdr>
                                                                                                                                                                                                <w:top w:val="none" w:sz="0" w:space="0" w:color="auto"/>
                                                                                                                                                                                                <w:left w:val="none" w:sz="0" w:space="0" w:color="auto"/>
                                                                                                                                                                                                <w:bottom w:val="none" w:sz="0" w:space="0" w:color="auto"/>
                                                                                                                                                                                                <w:right w:val="none" w:sz="0" w:space="0" w:color="auto"/>
                                                                                                                                                                                              </w:divBdr>
                                                                                                                                                                                              <w:divsChild>
                                                                                                                                                                                                <w:div w:id="889266451">
                                                                                                                                                                                                  <w:marLeft w:val="0"/>
                                                                                                                                                                                                  <w:marRight w:val="0"/>
                                                                                                                                                                                                  <w:marTop w:val="0"/>
                                                                                                                                                                                                  <w:marBottom w:val="0"/>
                                                                                                                                                                                                  <w:divBdr>
                                                                                                                                                                                                    <w:top w:val="none" w:sz="0" w:space="0" w:color="auto"/>
                                                                                                                                                                                                    <w:left w:val="none" w:sz="0" w:space="0" w:color="auto"/>
                                                                                                                                                                                                    <w:bottom w:val="none" w:sz="0" w:space="0" w:color="auto"/>
                                                                                                                                                                                                    <w:right w:val="none" w:sz="0" w:space="0" w:color="auto"/>
                                                                                                                                                                                                  </w:divBdr>
                                                                                                                                                                                                  <w:divsChild>
                                                                                                                                                                                                    <w:div w:id="1089885693">
                                                                                                                                                                                                      <w:marLeft w:val="0"/>
                                                                                                                                                                                                      <w:marRight w:val="0"/>
                                                                                                                                                                                                      <w:marTop w:val="0"/>
                                                                                                                                                                                                      <w:marBottom w:val="0"/>
                                                                                                                                                                                                      <w:divBdr>
                                                                                                                                                                                                        <w:top w:val="none" w:sz="0" w:space="0" w:color="auto"/>
                                                                                                                                                                                                        <w:left w:val="none" w:sz="0" w:space="0" w:color="auto"/>
                                                                                                                                                                                                        <w:bottom w:val="none" w:sz="0" w:space="0" w:color="auto"/>
                                                                                                                                                                                                        <w:right w:val="none" w:sz="0" w:space="0" w:color="auto"/>
                                                                                                                                                                                                      </w:divBdr>
                                                                                                                                                                                                      <w:divsChild>
                                                                                                                                                                                                        <w:div w:id="853154625">
                                                                                                                                                                                                          <w:marLeft w:val="0"/>
                                                                                                                                                                                                          <w:marRight w:val="0"/>
                                                                                                                                                                                                          <w:marTop w:val="0"/>
                                                                                                                                                                                                          <w:marBottom w:val="0"/>
                                                                                                                                                                                                          <w:divBdr>
                                                                                                                                                                                                            <w:top w:val="none" w:sz="0" w:space="0" w:color="auto"/>
                                                                                                                                                                                                            <w:left w:val="none" w:sz="0" w:space="0" w:color="auto"/>
                                                                                                                                                                                                            <w:bottom w:val="none" w:sz="0" w:space="0" w:color="auto"/>
                                                                                                                                                                                                            <w:right w:val="none" w:sz="0" w:space="0" w:color="auto"/>
                                                                                                                                                                                                          </w:divBdr>
                                                                                                                                                                                                          <w:divsChild>
                                                                                                                                                                                                            <w:div w:id="567574138">
                                                                                                                                                                                                              <w:marLeft w:val="0"/>
                                                                                                                                                                                                              <w:marRight w:val="0"/>
                                                                                                                                                                                                              <w:marTop w:val="0"/>
                                                                                                                                                                                                              <w:marBottom w:val="0"/>
                                                                                                                                                                                                              <w:divBdr>
                                                                                                                                                                                                                <w:top w:val="none" w:sz="0" w:space="0" w:color="auto"/>
                                                                                                                                                                                                                <w:left w:val="none" w:sz="0" w:space="0" w:color="auto"/>
                                                                                                                                                                                                                <w:bottom w:val="none" w:sz="0" w:space="0" w:color="auto"/>
                                                                                                                                                                                                                <w:right w:val="none" w:sz="0" w:space="0" w:color="auto"/>
                                                                                                                                                                                                              </w:divBdr>
                                                                                                                                                                                                              <w:divsChild>
                                                                                                                                                                                                                <w:div w:id="381102542">
                                                                                                                                                                                                                  <w:marLeft w:val="0"/>
                                                                                                                                                                                                                  <w:marRight w:val="0"/>
                                                                                                                                                                                                                  <w:marTop w:val="0"/>
                                                                                                                                                                                                                  <w:marBottom w:val="0"/>
                                                                                                                                                                                                                  <w:divBdr>
                                                                                                                                                                                                                    <w:top w:val="none" w:sz="0" w:space="0" w:color="auto"/>
                                                                                                                                                                                                                    <w:left w:val="none" w:sz="0" w:space="0" w:color="auto"/>
                                                                                                                                                                                                                    <w:bottom w:val="none" w:sz="0" w:space="0" w:color="auto"/>
                                                                                                                                                                                                                    <w:right w:val="none" w:sz="0" w:space="0" w:color="auto"/>
                                                                                                                                                                                                                  </w:divBdr>
                                                                                                                                                                                                                  <w:divsChild>
                                                                                                                                                                                                                    <w:div w:id="1269309106">
                                                                                                                                                                                                                      <w:marLeft w:val="0"/>
                                                                                                                                                                                                                      <w:marRight w:val="0"/>
                                                                                                                                                                                                                      <w:marTop w:val="0"/>
                                                                                                                                                                                                                      <w:marBottom w:val="0"/>
                                                                                                                                                                                                                      <w:divBdr>
                                                                                                                                                                                                                        <w:top w:val="none" w:sz="0" w:space="0" w:color="auto"/>
                                                                                                                                                                                                                        <w:left w:val="none" w:sz="0" w:space="0" w:color="auto"/>
                                                                                                                                                                                                                        <w:bottom w:val="none" w:sz="0" w:space="0" w:color="auto"/>
                                                                                                                                                                                                                        <w:right w:val="none" w:sz="0" w:space="0" w:color="auto"/>
                                                                                                                                                                                                                      </w:divBdr>
                                                                                                                                                                                                                      <w:divsChild>
                                                                                                                                                                                                                        <w:div w:id="370572308">
                                                                                                                                                                                                                          <w:marLeft w:val="0"/>
                                                                                                                                                                                                                          <w:marRight w:val="0"/>
                                                                                                                                                                                                                          <w:marTop w:val="0"/>
                                                                                                                                                                                                                          <w:marBottom w:val="0"/>
                                                                                                                                                                                                                          <w:divBdr>
                                                                                                                                                                                                                            <w:top w:val="none" w:sz="0" w:space="0" w:color="auto"/>
                                                                                                                                                                                                                            <w:left w:val="none" w:sz="0" w:space="0" w:color="auto"/>
                                                                                                                                                                                                                            <w:bottom w:val="none" w:sz="0" w:space="0" w:color="auto"/>
                                                                                                                                                                                                                            <w:right w:val="none" w:sz="0" w:space="0" w:color="auto"/>
                                                                                                                                                                                                                          </w:divBdr>
                                                                                                                                                                                                                          <w:divsChild>
                                                                                                                                                                                                                            <w:div w:id="1083988337">
                                                                                                                                                                                                                              <w:marLeft w:val="0"/>
                                                                                                                                                                                                                              <w:marRight w:val="0"/>
                                                                                                                                                                                                                              <w:marTop w:val="0"/>
                                                                                                                                                                                                                              <w:marBottom w:val="0"/>
                                                                                                                                                                                                                              <w:divBdr>
                                                                                                                                                                                                                                <w:top w:val="none" w:sz="0" w:space="0" w:color="auto"/>
                                                                                                                                                                                                                                <w:left w:val="none" w:sz="0" w:space="0" w:color="auto"/>
                                                                                                                                                                                                                                <w:bottom w:val="none" w:sz="0" w:space="0" w:color="auto"/>
                                                                                                                                                                                                                                <w:right w:val="none" w:sz="0" w:space="0" w:color="auto"/>
                                                                                                                                                                                                                              </w:divBdr>
                                                                                                                                                                                                                              <w:divsChild>
                                                                                                                                                                                                                                <w:div w:id="593973771">
                                                                                                                                                                                                                                  <w:marLeft w:val="0"/>
                                                                                                                                                                                                                                  <w:marRight w:val="0"/>
                                                                                                                                                                                                                                  <w:marTop w:val="0"/>
                                                                                                                                                                                                                                  <w:marBottom w:val="0"/>
                                                                                                                                                                                                                                  <w:divBdr>
                                                                                                                                                                                                                                    <w:top w:val="none" w:sz="0" w:space="0" w:color="auto"/>
                                                                                                                                                                                                                                    <w:left w:val="none" w:sz="0" w:space="0" w:color="auto"/>
                                                                                                                                                                                                                                    <w:bottom w:val="none" w:sz="0" w:space="0" w:color="auto"/>
                                                                                                                                                                                                                                    <w:right w:val="none" w:sz="0" w:space="0" w:color="auto"/>
                                                                                                                                                                                                                                  </w:divBdr>
                                                                                                                                                                                                                                  <w:divsChild>
                                                                                                                                                                                                                                    <w:div w:id="683484820">
                                                                                                                                                                                                                                      <w:marLeft w:val="0"/>
                                                                                                                                                                                                                                      <w:marRight w:val="0"/>
                                                                                                                                                                                                                                      <w:marTop w:val="0"/>
                                                                                                                                                                                                                                      <w:marBottom w:val="0"/>
                                                                                                                                                                                                                                      <w:divBdr>
                                                                                                                                                                                                                                        <w:top w:val="none" w:sz="0" w:space="0" w:color="auto"/>
                                                                                                                                                                                                                                        <w:left w:val="none" w:sz="0" w:space="0" w:color="auto"/>
                                                                                                                                                                                                                                        <w:bottom w:val="none" w:sz="0" w:space="0" w:color="auto"/>
                                                                                                                                                                                                                                        <w:right w:val="none" w:sz="0" w:space="0" w:color="auto"/>
                                                                                                                                                                                                                                      </w:divBdr>
                                                                                                                                                                                                                                      <w:divsChild>
                                                                                                                                                                                                                                        <w:div w:id="585918485">
                                                                                                                                                                                                                                          <w:marLeft w:val="0"/>
                                                                                                                                                                                                                                          <w:marRight w:val="0"/>
                                                                                                                                                                                                                                          <w:marTop w:val="0"/>
                                                                                                                                                                                                                                          <w:marBottom w:val="0"/>
                                                                                                                                                                                                                                          <w:divBdr>
                                                                                                                                                                                                                                            <w:top w:val="none" w:sz="0" w:space="0" w:color="auto"/>
                                                                                                                                                                                                                                            <w:left w:val="none" w:sz="0" w:space="0" w:color="auto"/>
                                                                                                                                                                                                                                            <w:bottom w:val="none" w:sz="0" w:space="0" w:color="auto"/>
                                                                                                                                                                                                                                            <w:right w:val="none" w:sz="0" w:space="0" w:color="auto"/>
                                                                                                                                                                                                                                          </w:divBdr>
                                                                                                                                                                                                                                          <w:divsChild>
                                                                                                                                                                                                                                            <w:div w:id="446657476">
                                                                                                                                                                                                                                              <w:marLeft w:val="0"/>
                                                                                                                                                                                                                                              <w:marRight w:val="0"/>
                                                                                                                                                                                                                                              <w:marTop w:val="0"/>
                                                                                                                                                                                                                                              <w:marBottom w:val="0"/>
                                                                                                                                                                                                                                              <w:divBdr>
                                                                                                                                                                                                                                                <w:top w:val="none" w:sz="0" w:space="0" w:color="auto"/>
                                                                                                                                                                                                                                                <w:left w:val="none" w:sz="0" w:space="0" w:color="auto"/>
                                                                                                                                                                                                                                                <w:bottom w:val="none" w:sz="0" w:space="0" w:color="auto"/>
                                                                                                                                                                                                                                                <w:right w:val="none" w:sz="0" w:space="0" w:color="auto"/>
                                                                                                                                                                                                                                              </w:divBdr>
                                                                                                                                                                                                                                              <w:divsChild>
                                                                                                                                                                                                                                                <w:div w:id="1570000908">
                                                                                                                                                                                                                                                  <w:marLeft w:val="0"/>
                                                                                                                                                                                                                                                  <w:marRight w:val="0"/>
                                                                                                                                                                                                                                                  <w:marTop w:val="0"/>
                                                                                                                                                                                                                                                  <w:marBottom w:val="0"/>
                                                                                                                                                                                                                                                  <w:divBdr>
                                                                                                                                                                                                                                                    <w:top w:val="none" w:sz="0" w:space="0" w:color="auto"/>
                                                                                                                                                                                                                                                    <w:left w:val="none" w:sz="0" w:space="0" w:color="auto"/>
                                                                                                                                                                                                                                                    <w:bottom w:val="none" w:sz="0" w:space="0" w:color="auto"/>
                                                                                                                                                                                                                                                    <w:right w:val="none" w:sz="0" w:space="0" w:color="auto"/>
                                                                                                                                                                                                                                                  </w:divBdr>
                                                                                                                                                                                                                                                  <w:divsChild>
                                                                                                                                                                                                                                                    <w:div w:id="599532892">
                                                                                                                                                                                                                                                      <w:marLeft w:val="0"/>
                                                                                                                                                                                                                                                      <w:marRight w:val="0"/>
                                                                                                                                                                                                                                                      <w:marTop w:val="0"/>
                                                                                                                                                                                                                                                      <w:marBottom w:val="0"/>
                                                                                                                                                                                                                                                      <w:divBdr>
                                                                                                                                                                                                                                                        <w:top w:val="none" w:sz="0" w:space="0" w:color="auto"/>
                                                                                                                                                                                                                                                        <w:left w:val="none" w:sz="0" w:space="0" w:color="auto"/>
                                                                                                                                                                                                                                                        <w:bottom w:val="none" w:sz="0" w:space="0" w:color="auto"/>
                                                                                                                                                                                                                                                        <w:right w:val="none" w:sz="0" w:space="0" w:color="auto"/>
                                                                                                                                                                                                                                                      </w:divBdr>
                                                                                                                                                                                                                                                      <w:divsChild>
                                                                                                                                                                                                                                                        <w:div w:id="1271864176">
                                                                                                                                                                                                                                                          <w:marLeft w:val="0"/>
                                                                                                                                                                                                                                                          <w:marRight w:val="0"/>
                                                                                                                                                                                                                                                          <w:marTop w:val="0"/>
                                                                                                                                                                                                                                                          <w:marBottom w:val="0"/>
                                                                                                                                                                                                                                                          <w:divBdr>
                                                                                                                                                                                                                                                            <w:top w:val="none" w:sz="0" w:space="0" w:color="auto"/>
                                                                                                                                                                                                                                                            <w:left w:val="none" w:sz="0" w:space="0" w:color="auto"/>
                                                                                                                                                                                                                                                            <w:bottom w:val="none" w:sz="0" w:space="0" w:color="auto"/>
                                                                                                                                                                                                                                                            <w:right w:val="none" w:sz="0" w:space="0" w:color="auto"/>
                                                                                                                                                                                                                                                          </w:divBdr>
                                                                                                                                                                                                                                                          <w:divsChild>
                                                                                                                                                                                                                                                            <w:div w:id="1981229152">
                                                                                                                                                                                                                                                              <w:marLeft w:val="0"/>
                                                                                                                                                                                                                                                              <w:marRight w:val="0"/>
                                                                                                                                                                                                                                                              <w:marTop w:val="0"/>
                                                                                                                                                                                                                                                              <w:marBottom w:val="0"/>
                                                                                                                                                                                                                                                              <w:divBdr>
                                                                                                                                                                                                                                                                <w:top w:val="none" w:sz="0" w:space="0" w:color="auto"/>
                                                                                                                                                                                                                                                                <w:left w:val="none" w:sz="0" w:space="0" w:color="auto"/>
                                                                                                                                                                                                                                                                <w:bottom w:val="none" w:sz="0" w:space="0" w:color="auto"/>
                                                                                                                                                                                                                                                                <w:right w:val="none" w:sz="0" w:space="0" w:color="auto"/>
                                                                                                                                                                                                                                                              </w:divBdr>
                                                                                                                                                                                                                                                              <w:divsChild>
                                                                                                                                                                                                                                                                <w:div w:id="236206032">
                                                                                                                                                                                                                                                                  <w:marLeft w:val="0"/>
                                                                                                                                                                                                                                                                  <w:marRight w:val="0"/>
                                                                                                                                                                                                                                                                  <w:marTop w:val="0"/>
                                                                                                                                                                                                                                                                  <w:marBottom w:val="0"/>
                                                                                                                                                                                                                                                                  <w:divBdr>
                                                                                                                                                                                                                                                                    <w:top w:val="none" w:sz="0" w:space="0" w:color="auto"/>
                                                                                                                                                                                                                                                                    <w:left w:val="none" w:sz="0" w:space="0" w:color="auto"/>
                                                                                                                                                                                                                                                                    <w:bottom w:val="none" w:sz="0" w:space="0" w:color="auto"/>
                                                                                                                                                                                                                                                                    <w:right w:val="none" w:sz="0" w:space="0" w:color="auto"/>
                                                                                                                                                                                                                                                                  </w:divBdr>
                                                                                                                                                                                                                                                                  <w:divsChild>
                                                                                                                                                                                                                                                                    <w:div w:id="1587567517">
                                                                                                                                                                                                                                                                      <w:marLeft w:val="0"/>
                                                                                                                                                                                                                                                                      <w:marRight w:val="0"/>
                                                                                                                                                                                                                                                                      <w:marTop w:val="0"/>
                                                                                                                                                                                                                                                                      <w:marBottom w:val="0"/>
                                                                                                                                                                                                                                                                      <w:divBdr>
                                                                                                                                                                                                                                                                        <w:top w:val="none" w:sz="0" w:space="0" w:color="auto"/>
                                                                                                                                                                                                                                                                        <w:left w:val="none" w:sz="0" w:space="0" w:color="auto"/>
                                                                                                                                                                                                                                                                        <w:bottom w:val="none" w:sz="0" w:space="0" w:color="auto"/>
                                                                                                                                                                                                                                                                        <w:right w:val="none" w:sz="0" w:space="0" w:color="auto"/>
                                                                                                                                                                                                                                                                      </w:divBdr>
                                                                                                                                                                                                                                                                      <w:divsChild>
                                                                                                                                                                                                                                                                        <w:div w:id="2118669902">
                                                                                                                                                                                                                                                                          <w:marLeft w:val="0"/>
                                                                                                                                                                                                                                                                          <w:marRight w:val="0"/>
                                                                                                                                                                                                                                                                          <w:marTop w:val="0"/>
                                                                                                                                                                                                                                                                          <w:marBottom w:val="0"/>
                                                                                                                                                                                                                                                                          <w:divBdr>
                                                                                                                                                                                                                                                                            <w:top w:val="none" w:sz="0" w:space="0" w:color="auto"/>
                                                                                                                                                                                                                                                                            <w:left w:val="none" w:sz="0" w:space="0" w:color="auto"/>
                                                                                                                                                                                                                                                                            <w:bottom w:val="none" w:sz="0" w:space="0" w:color="auto"/>
                                                                                                                                                                                                                                                                            <w:right w:val="none" w:sz="0" w:space="0" w:color="auto"/>
                                                                                                                                                                                                                                                                          </w:divBdr>
                                                                                                                                                                                                                                                                          <w:divsChild>
                                                                                                                                                                                                                                                                            <w:div w:id="1218512937">
                                                                                                                                                                                                                                                                              <w:marLeft w:val="0"/>
                                                                                                                                                                                                                                                                              <w:marRight w:val="0"/>
                                                                                                                                                                                                                                                                              <w:marTop w:val="0"/>
                                                                                                                                                                                                                                                                              <w:marBottom w:val="0"/>
                                                                                                                                                                                                                                                                              <w:divBdr>
                                                                                                                                                                                                                                                                                <w:top w:val="none" w:sz="0" w:space="0" w:color="auto"/>
                                                                                                                                                                                                                                                                                <w:left w:val="none" w:sz="0" w:space="0" w:color="auto"/>
                                                                                                                                                                                                                                                                                <w:bottom w:val="none" w:sz="0" w:space="0" w:color="auto"/>
                                                                                                                                                                                                                                                                                <w:right w:val="none" w:sz="0" w:space="0" w:color="auto"/>
                                                                                                                                                                                                                                                                              </w:divBdr>
                                                                                                                                                                                                                                                                              <w:divsChild>
                                                                                                                                                                                                                                                                                <w:div w:id="1439988494">
                                                                                                                                                                                                                                                                                  <w:marLeft w:val="0"/>
                                                                                                                                                                                                                                                                                  <w:marRight w:val="0"/>
                                                                                                                                                                                                                                                                                  <w:marTop w:val="0"/>
                                                                                                                                                                                                                                                                                  <w:marBottom w:val="0"/>
                                                                                                                                                                                                                                                                                  <w:divBdr>
                                                                                                                                                                                                                                                                                    <w:top w:val="none" w:sz="0" w:space="0" w:color="auto"/>
                                                                                                                                                                                                                                                                                    <w:left w:val="none" w:sz="0" w:space="0" w:color="auto"/>
                                                                                                                                                                                                                                                                                    <w:bottom w:val="none" w:sz="0" w:space="0" w:color="auto"/>
                                                                                                                                                                                                                                                                                    <w:right w:val="none" w:sz="0" w:space="0" w:color="auto"/>
                                                                                                                                                                                                                                                                                  </w:divBdr>
                                                                                                                                                                                                                                                                                  <w:divsChild>
                                                                                                                                                                                                                                                                                    <w:div w:id="248854131">
                                                                                                                                                                                                                                                                                      <w:marLeft w:val="0"/>
                                                                                                                                                                                                                                                                                      <w:marRight w:val="0"/>
                                                                                                                                                                                                                                                                                      <w:marTop w:val="0"/>
                                                                                                                                                                                                                                                                                      <w:marBottom w:val="0"/>
                                                                                                                                                                                                                                                                                      <w:divBdr>
                                                                                                                                                                                                                                                                                        <w:top w:val="none" w:sz="0" w:space="0" w:color="auto"/>
                                                                                                                                                                                                                                                                                        <w:left w:val="none" w:sz="0" w:space="0" w:color="auto"/>
                                                                                                                                                                                                                                                                                        <w:bottom w:val="none" w:sz="0" w:space="0" w:color="auto"/>
                                                                                                                                                                                                                                                                                        <w:right w:val="none" w:sz="0" w:space="0" w:color="auto"/>
                                                                                                                                                                                                                                                                                      </w:divBdr>
                                                                                                                                                                                                                                                                                      <w:divsChild>
                                                                                                                                                                                                                                                                                        <w:div w:id="1899901666">
                                                                                                                                                                                                                                                                                          <w:marLeft w:val="0"/>
                                                                                                                                                                                                                                                                                          <w:marRight w:val="0"/>
                                                                                                                                                                                                                                                                                          <w:marTop w:val="0"/>
                                                                                                                                                                                                                                                                                          <w:marBottom w:val="0"/>
                                                                                                                                                                                                                                                                                          <w:divBdr>
                                                                                                                                                                                                                                                                                            <w:top w:val="none" w:sz="0" w:space="0" w:color="auto"/>
                                                                                                                                                                                                                                                                                            <w:left w:val="none" w:sz="0" w:space="0" w:color="auto"/>
                                                                                                                                                                                                                                                                                            <w:bottom w:val="none" w:sz="0" w:space="0" w:color="auto"/>
                                                                                                                                                                                                                                                                                            <w:right w:val="none" w:sz="0" w:space="0" w:color="auto"/>
                                                                                                                                                                                                                                                                                          </w:divBdr>
                                                                                                                                                                                                                                                                                          <w:divsChild>
                                                                                                                                                                                                                                                                                            <w:div w:id="741369837">
                                                                                                                                                                                                                                                                                              <w:marLeft w:val="0"/>
                                                                                                                                                                                                                                                                                              <w:marRight w:val="0"/>
                                                                                                                                                                                                                                                                                              <w:marTop w:val="0"/>
                                                                                                                                                                                                                                                                                              <w:marBottom w:val="0"/>
                                                                                                                                                                                                                                                                                              <w:divBdr>
                                                                                                                                                                                                                                                                                                <w:top w:val="none" w:sz="0" w:space="0" w:color="auto"/>
                                                                                                                                                                                                                                                                                                <w:left w:val="none" w:sz="0" w:space="0" w:color="auto"/>
                                                                                                                                                                                                                                                                                                <w:bottom w:val="none" w:sz="0" w:space="0" w:color="auto"/>
                                                                                                                                                                                                                                                                                                <w:right w:val="none" w:sz="0" w:space="0" w:color="auto"/>
                                                                                                                                                                                                                                                                                              </w:divBdr>
                                                                                                                                                                                                                                                                                              <w:divsChild>
                                                                                                                                                                                                                                                                                                <w:div w:id="1763067279">
                                                                                                                                                                                                                                                                                                  <w:marLeft w:val="0"/>
                                                                                                                                                                                                                                                                                                  <w:marRight w:val="0"/>
                                                                                                                                                                                                                                                                                                  <w:marTop w:val="0"/>
                                                                                                                                                                                                                                                                                                  <w:marBottom w:val="0"/>
                                                                                                                                                                                                                                                                                                  <w:divBdr>
                                                                                                                                                                                                                                                                                                    <w:top w:val="none" w:sz="0" w:space="0" w:color="auto"/>
                                                                                                                                                                                                                                                                                                    <w:left w:val="none" w:sz="0" w:space="0" w:color="auto"/>
                                                                                                                                                                                                                                                                                                    <w:bottom w:val="none" w:sz="0" w:space="0" w:color="auto"/>
                                                                                                                                                                                                                                                                                                    <w:right w:val="none" w:sz="0" w:space="0" w:color="auto"/>
                                                                                                                                                                                                                                                                                                  </w:divBdr>
                                                                                                                                                                                                                                                                                                  <w:divsChild>
                                                                                                                                                                                                                                                                                                    <w:div w:id="38677359">
                                                                                                                                                                                                                                                                                                      <w:marLeft w:val="0"/>
                                                                                                                                                                                                                                                                                                      <w:marRight w:val="0"/>
                                                                                                                                                                                                                                                                                                      <w:marTop w:val="0"/>
                                                                                                                                                                                                                                                                                                      <w:marBottom w:val="0"/>
                                                                                                                                                                                                                                                                                                      <w:divBdr>
                                                                                                                                                                                                                                                                                                        <w:top w:val="none" w:sz="0" w:space="0" w:color="auto"/>
                                                                                                                                                                                                                                                                                                        <w:left w:val="none" w:sz="0" w:space="0" w:color="auto"/>
                                                                                                                                                                                                                                                                                                        <w:bottom w:val="none" w:sz="0" w:space="0" w:color="auto"/>
                                                                                                                                                                                                                                                                                                        <w:right w:val="none" w:sz="0" w:space="0" w:color="auto"/>
                                                                                                                                                                                                                                                                                                      </w:divBdr>
                                                                                                                                                                                                                                                                                                      <w:divsChild>
                                                                                                                                                                                                                                                                                                        <w:div w:id="372468042">
                                                                                                                                                                                                                                                                                                          <w:marLeft w:val="0"/>
                                                                                                                                                                                                                                                                                                          <w:marRight w:val="0"/>
                                                                                                                                                                                                                                                                                                          <w:marTop w:val="0"/>
                                                                                                                                                                                                                                                                                                          <w:marBottom w:val="0"/>
                                                                                                                                                                                                                                                                                                          <w:divBdr>
                                                                                                                                                                                                                                                                                                            <w:top w:val="none" w:sz="0" w:space="0" w:color="auto"/>
                                                                                                                                                                                                                                                                                                            <w:left w:val="none" w:sz="0" w:space="0" w:color="auto"/>
                                                                                                                                                                                                                                                                                                            <w:bottom w:val="none" w:sz="0" w:space="0" w:color="auto"/>
                                                                                                                                                                                                                                                                                                            <w:right w:val="none" w:sz="0" w:space="0" w:color="auto"/>
                                                                                                                                                                                                                                                                                                          </w:divBdr>
                                                                                                                                                                                                                                                                                                          <w:divsChild>
                                                                                                                                                                                                                                                                                                            <w:div w:id="154880211">
                                                                                                                                                                                                                                                                                                              <w:marLeft w:val="0"/>
                                                                                                                                                                                                                                                                                                              <w:marRight w:val="0"/>
                                                                                                                                                                                                                                                                                                              <w:marTop w:val="0"/>
                                                                                                                                                                                                                                                                                                              <w:marBottom w:val="0"/>
                                                                                                                                                                                                                                                                                                              <w:divBdr>
                                                                                                                                                                                                                                                                                                                <w:top w:val="none" w:sz="0" w:space="0" w:color="auto"/>
                                                                                                                                                                                                                                                                                                                <w:left w:val="none" w:sz="0" w:space="0" w:color="auto"/>
                                                                                                                                                                                                                                                                                                                <w:bottom w:val="none" w:sz="0" w:space="0" w:color="auto"/>
                                                                                                                                                                                                                                                                                                                <w:right w:val="none" w:sz="0" w:space="0" w:color="auto"/>
                                                                                                                                                                                                                                                                                                              </w:divBdr>
                                                                                                                                                                                                                                                                                                              <w:divsChild>
                                                                                                                                                                                                                                                                                                                <w:div w:id="2077780764">
                                                                                                                                                                                                                                                                                                                  <w:marLeft w:val="0"/>
                                                                                                                                                                                                                                                                                                                  <w:marRight w:val="0"/>
                                                                                                                                                                                                                                                                                                                  <w:marTop w:val="0"/>
                                                                                                                                                                                                                                                                                                                  <w:marBottom w:val="0"/>
                                                                                                                                                                                                                                                                                                                  <w:divBdr>
                                                                                                                                                                                                                                                                                                                    <w:top w:val="none" w:sz="0" w:space="0" w:color="auto"/>
                                                                                                                                                                                                                                                                                                                    <w:left w:val="none" w:sz="0" w:space="0" w:color="auto"/>
                                                                                                                                                                                                                                                                                                                    <w:bottom w:val="none" w:sz="0" w:space="0" w:color="auto"/>
                                                                                                                                                                                                                                                                                                                    <w:right w:val="none" w:sz="0" w:space="0" w:color="auto"/>
                                                                                                                                                                                                                                                                                                                  </w:divBdr>
                                                                                                                                                                                                                                                                                                                  <w:divsChild>
                                                                                                                                                                                                                                                                                                                    <w:div w:id="896014689">
                                                                                                                                                                                                                                                                                                                      <w:marLeft w:val="0"/>
                                                                                                                                                                                                                                                                                                                      <w:marRight w:val="0"/>
                                                                                                                                                                                                                                                                                                                      <w:marTop w:val="0"/>
                                                                                                                                                                                                                                                                                                                      <w:marBottom w:val="0"/>
                                                                                                                                                                                                                                                                                                                      <w:divBdr>
                                                                                                                                                                                                                                                                                                                        <w:top w:val="none" w:sz="0" w:space="0" w:color="auto"/>
                                                                                                                                                                                                                                                                                                                        <w:left w:val="none" w:sz="0" w:space="0" w:color="auto"/>
                                                                                                                                                                                                                                                                                                                        <w:bottom w:val="none" w:sz="0" w:space="0" w:color="auto"/>
                                                                                                                                                                                                                                                                                                                        <w:right w:val="none" w:sz="0" w:space="0" w:color="auto"/>
                                                                                                                                                                                                                                                                                                                      </w:divBdr>
                                                                                                                                                                                                                                                                                                                      <w:divsChild>
                                                                                                                                                                                                                                                                                                                        <w:div w:id="444426889">
                                                                                                                                                                                                                                                                                                                          <w:marLeft w:val="0"/>
                                                                                                                                                                                                                                                                                                                          <w:marRight w:val="0"/>
                                                                                                                                                                                                                                                                                                                          <w:marTop w:val="0"/>
                                                                                                                                                                                                                                                                                                                          <w:marBottom w:val="0"/>
                                                                                                                                                                                                                                                                                                                          <w:divBdr>
                                                                                                                                                                                                                                                                                                                            <w:top w:val="none" w:sz="0" w:space="0" w:color="auto"/>
                                                                                                                                                                                                                                                                                                                            <w:left w:val="none" w:sz="0" w:space="0" w:color="auto"/>
                                                                                                                                                                                                                                                                                                                            <w:bottom w:val="none" w:sz="0" w:space="0" w:color="auto"/>
                                                                                                                                                                                                                                                                                                                            <w:right w:val="none" w:sz="0" w:space="0" w:color="auto"/>
                                                                                                                                                                                                                                                                                                                          </w:divBdr>
                                                                                                                                                                                                                                                                                                                          <w:divsChild>
                                                                                                                                                                                                                                                                                                                            <w:div w:id="832261562">
                                                                                                                                                                                                                                                                                                                              <w:marLeft w:val="0"/>
                                                                                                                                                                                                                                                                                                                              <w:marRight w:val="0"/>
                                                                                                                                                                                                                                                                                                                              <w:marTop w:val="0"/>
                                                                                                                                                                                                                                                                                                                              <w:marBottom w:val="0"/>
                                                                                                                                                                                                                                                                                                                              <w:divBdr>
                                                                                                                                                                                                                                                                                                                                <w:top w:val="none" w:sz="0" w:space="0" w:color="auto"/>
                                                                                                                                                                                                                                                                                                                                <w:left w:val="none" w:sz="0" w:space="0" w:color="auto"/>
                                                                                                                                                                                                                                                                                                                                <w:bottom w:val="none" w:sz="0" w:space="0" w:color="auto"/>
                                                                                                                                                                                                                                                                                                                                <w:right w:val="none" w:sz="0" w:space="0" w:color="auto"/>
                                                                                                                                                                                                                                                                                                                              </w:divBdr>
                                                                                                                                                                                                                                                                                                                              <w:divsChild>
                                                                                                                                                                                                                                                                                                                                <w:div w:id="469516403">
                                                                                                                                                                                                                                                                                                                                  <w:marLeft w:val="0"/>
                                                                                                                                                                                                                                                                                                                                  <w:marRight w:val="0"/>
                                                                                                                                                                                                                                                                                                                                  <w:marTop w:val="0"/>
                                                                                                                                                                                                                                                                                                                                  <w:marBottom w:val="0"/>
                                                                                                                                                                                                                                                                                                                                  <w:divBdr>
                                                                                                                                                                                                                                                                                                                                    <w:top w:val="none" w:sz="0" w:space="0" w:color="auto"/>
                                                                                                                                                                                                                                                                                                                                    <w:left w:val="none" w:sz="0" w:space="0" w:color="auto"/>
                                                                                                                                                                                                                                                                                                                                    <w:bottom w:val="none" w:sz="0" w:space="0" w:color="auto"/>
                                                                                                                                                                                                                                                                                                                                    <w:right w:val="none" w:sz="0" w:space="0" w:color="auto"/>
                                                                                                                                                                                                                                                                                                                                  </w:divBdr>
                                                                                                                                                                                                                                                                                                                                  <w:divsChild>
                                                                                                                                                                                                                                                                                                                                    <w:div w:id="873882480">
                                                                                                                                                                                                                                                                                                                                      <w:marLeft w:val="0"/>
                                                                                                                                                                                                                                                                                                                                      <w:marRight w:val="0"/>
                                                                                                                                                                                                                                                                                                                                      <w:marTop w:val="0"/>
                                                                                                                                                                                                                                                                                                                                      <w:marBottom w:val="0"/>
                                                                                                                                                                                                                                                                                                                                      <w:divBdr>
                                                                                                                                                                                                                                                                                                                                        <w:top w:val="none" w:sz="0" w:space="0" w:color="auto"/>
                                                                                                                                                                                                                                                                                                                                        <w:left w:val="none" w:sz="0" w:space="0" w:color="auto"/>
                                                                                                                                                                                                                                                                                                                                        <w:bottom w:val="none" w:sz="0" w:space="0" w:color="auto"/>
                                                                                                                                                                                                                                                                                                                                        <w:right w:val="none" w:sz="0" w:space="0" w:color="auto"/>
                                                                                                                                                                                                                                                                                                                                      </w:divBdr>
                                                                                                                                                                                                                                                                                                                                      <w:divsChild>
                                                                                                                                                                                                                                                                                                                                        <w:div w:id="476340586">
                                                                                                                                                                                                                                                                                                                                          <w:marLeft w:val="0"/>
                                                                                                                                                                                                                                                                                                                                          <w:marRight w:val="0"/>
                                                                                                                                                                                                                                                                                                                                          <w:marTop w:val="0"/>
                                                                                                                                                                                                                                                                                                                                          <w:marBottom w:val="0"/>
                                                                                                                                                                                                                                                                                                                                          <w:divBdr>
                                                                                                                                                                                                                                                                                                                                            <w:top w:val="none" w:sz="0" w:space="0" w:color="auto"/>
                                                                                                                                                                                                                                                                                                                                            <w:left w:val="none" w:sz="0" w:space="0" w:color="auto"/>
                                                                                                                                                                                                                                                                                                                                            <w:bottom w:val="none" w:sz="0" w:space="0" w:color="auto"/>
                                                                                                                                                                                                                                                                                                                                            <w:right w:val="none" w:sz="0" w:space="0" w:color="auto"/>
                                                                                                                                                                                                                                                                                                                                          </w:divBdr>
                                                                                                                                                                                                                                                                                                                                          <w:divsChild>
                                                                                                                                                                                                                                                                                                                                            <w:div w:id="1558587270">
                                                                                                                                                                                                                                                                                                                                              <w:marLeft w:val="0"/>
                                                                                                                                                                                                                                                                                                                                              <w:marRight w:val="0"/>
                                                                                                                                                                                                                                                                                                                                              <w:marTop w:val="0"/>
                                                                                                                                                                                                                                                                                                                                              <w:marBottom w:val="0"/>
                                                                                                                                                                                                                                                                                                                                              <w:divBdr>
                                                                                                                                                                                                                                                                                                                                                <w:top w:val="none" w:sz="0" w:space="0" w:color="auto"/>
                                                                                                                                                                                                                                                                                                                                                <w:left w:val="none" w:sz="0" w:space="0" w:color="auto"/>
                                                                                                                                                                                                                                                                                                                                                <w:bottom w:val="none" w:sz="0" w:space="0" w:color="auto"/>
                                                                                                                                                                                                                                                                                                                                                <w:right w:val="none" w:sz="0" w:space="0" w:color="auto"/>
                                                                                                                                                                                                                                                                                                                                              </w:divBdr>
                                                                                                                                                                                                                                                                                                                                              <w:divsChild>
                                                                                                                                                                                                                                                                                                                                                <w:div w:id="1498954534">
                                                                                                                                                                                                                                                                                                                                                  <w:marLeft w:val="0"/>
                                                                                                                                                                                                                                                                                                                                                  <w:marRight w:val="0"/>
                                                                                                                                                                                                                                                                                                                                                  <w:marTop w:val="0"/>
                                                                                                                                                                                                                                                                                                                                                  <w:marBottom w:val="0"/>
                                                                                                                                                                                                                                                                                                                                                  <w:divBdr>
                                                                                                                                                                                                                                                                                                                                                    <w:top w:val="none" w:sz="0" w:space="0" w:color="auto"/>
                                                                                                                                                                                                                                                                                                                                                    <w:left w:val="none" w:sz="0" w:space="0" w:color="auto"/>
                                                                                                                                                                                                                                                                                                                                                    <w:bottom w:val="none" w:sz="0" w:space="0" w:color="auto"/>
                                                                                                                                                                                                                                                                                                                                                    <w:right w:val="none" w:sz="0" w:space="0" w:color="auto"/>
                                                                                                                                                                                                                                                                                                                                                  </w:divBdr>
                                                                                                                                                                                                                                                                                                                                                  <w:divsChild>
                                                                                                                                                                                                                                                                                                                                                    <w:div w:id="830025653">
                                                                                                                                                                                                                                                                                                                                                      <w:marLeft w:val="0"/>
                                                                                                                                                                                                                                                                                                                                                      <w:marRight w:val="0"/>
                                                                                                                                                                                                                                                                                                                                                      <w:marTop w:val="0"/>
                                                                                                                                                                                                                                                                                                                                                      <w:marBottom w:val="0"/>
                                                                                                                                                                                                                                                                                                                                                      <w:divBdr>
                                                                                                                                                                                                                                                                                                                                                        <w:top w:val="none" w:sz="0" w:space="0" w:color="auto"/>
                                                                                                                                                                                                                                                                                                                                                        <w:left w:val="none" w:sz="0" w:space="0" w:color="auto"/>
                                                                                                                                                                                                                                                                                                                                                        <w:bottom w:val="none" w:sz="0" w:space="0" w:color="auto"/>
                                                                                                                                                                                                                                                                                                                                                        <w:right w:val="none" w:sz="0" w:space="0" w:color="auto"/>
                                                                                                                                                                                                                                                                                                                                                      </w:divBdr>
                                                                                                                                                                                                                                                                                                                                                      <w:divsChild>
                                                                                                                                                                                                                                                                                                                                                        <w:div w:id="1912614814">
                                                                                                                                                                                                                                                                                                                                                          <w:marLeft w:val="0"/>
                                                                                                                                                                                                                                                                                                                                                          <w:marRight w:val="0"/>
                                                                                                                                                                                                                                                                                                                                                          <w:marTop w:val="0"/>
                                                                                                                                                                                                                                                                                                                                                          <w:marBottom w:val="0"/>
                                                                                                                                                                                                                                                                                                                                                          <w:divBdr>
                                                                                                                                                                                                                                                                                                                                                            <w:top w:val="none" w:sz="0" w:space="0" w:color="auto"/>
                                                                                                                                                                                                                                                                                                                                                            <w:left w:val="none" w:sz="0" w:space="0" w:color="auto"/>
                                                                                                                                                                                                                                                                                                                                                            <w:bottom w:val="none" w:sz="0" w:space="0" w:color="auto"/>
                                                                                                                                                                                                                                                                                                                                                            <w:right w:val="none" w:sz="0" w:space="0" w:color="auto"/>
                                                                                                                                                                                                                                                                                                                                                          </w:divBdr>
                                                                                                                                                                                                                                                                                                                                                          <w:divsChild>
                                                                                                                                                                                                                                                                                                                                                            <w:div w:id="938483521">
                                                                                                                                                                                                                                                                                                                                                              <w:marLeft w:val="0"/>
                                                                                                                                                                                                                                                                                                                                                              <w:marRight w:val="0"/>
                                                                                                                                                                                                                                                                                                                                                              <w:marTop w:val="0"/>
                                                                                                                                                                                                                                                                                                                                                              <w:marBottom w:val="0"/>
                                                                                                                                                                                                                                                                                                                                                              <w:divBdr>
                                                                                                                                                                                                                                                                                                                                                                <w:top w:val="none" w:sz="0" w:space="0" w:color="auto"/>
                                                                                                                                                                                                                                                                                                                                                                <w:left w:val="none" w:sz="0" w:space="0" w:color="auto"/>
                                                                                                                                                                                                                                                                                                                                                                <w:bottom w:val="none" w:sz="0" w:space="0" w:color="auto"/>
                                                                                                                                                                                                                                                                                                                                                                <w:right w:val="none" w:sz="0" w:space="0" w:color="auto"/>
                                                                                                                                                                                                                                                                                                                                                              </w:divBdr>
                                                                                                                                                                                                                                                                                                                                                              <w:divsChild>
                                                                                                                                                                                                                                                                                                                                                                <w:div w:id="867528473">
                                                                                                                                                                                                                                                                                                                                                                  <w:marLeft w:val="0"/>
                                                                                                                                                                                                                                                                                                                                                                  <w:marRight w:val="0"/>
                                                                                                                                                                                                                                                                                                                                                                  <w:marTop w:val="0"/>
                                                                                                                                                                                                                                                                                                                                                                  <w:marBottom w:val="0"/>
                                                                                                                                                                                                                                                                                                                                                                  <w:divBdr>
                                                                                                                                                                                                                                                                                                                                                                    <w:top w:val="none" w:sz="0" w:space="0" w:color="auto"/>
                                                                                                                                                                                                                                                                                                                                                                    <w:left w:val="none" w:sz="0" w:space="0" w:color="auto"/>
                                                                                                                                                                                                                                                                                                                                                                    <w:bottom w:val="none" w:sz="0" w:space="0" w:color="auto"/>
                                                                                                                                                                                                                                                                                                                                                                    <w:right w:val="none" w:sz="0" w:space="0" w:color="auto"/>
                                                                                                                                                                                                                                                                                                                                                                  </w:divBdr>
                                                                                                                                                                                                                                                                                                                                                                  <w:divsChild>
                                                                                                                                                                                                                                                                                                                                                                    <w:div w:id="578908781">
                                                                                                                                                                                                                                                                                                                                                                      <w:marLeft w:val="0"/>
                                                                                                                                                                                                                                                                                                                                                                      <w:marRight w:val="0"/>
                                                                                                                                                                                                                                                                                                                                                                      <w:marTop w:val="0"/>
                                                                                                                                                                                                                                                                                                                                                                      <w:marBottom w:val="0"/>
                                                                                                                                                                                                                                                                                                                                                                      <w:divBdr>
                                                                                                                                                                                                                                                                                                                                                                        <w:top w:val="none" w:sz="0" w:space="0" w:color="auto"/>
                                                                                                                                                                                                                                                                                                                                                                        <w:left w:val="none" w:sz="0" w:space="0" w:color="auto"/>
                                                                                                                                                                                                                                                                                                                                                                        <w:bottom w:val="none" w:sz="0" w:space="0" w:color="auto"/>
                                                                                                                                                                                                                                                                                                                                                                        <w:right w:val="none" w:sz="0" w:space="0" w:color="auto"/>
                                                                                                                                                                                                                                                                                                                                                                      </w:divBdr>
                                                                                                                                                                                                                                                                                                                                                                      <w:divsChild>
                                                                                                                                                                                                                                                                                                                                                                        <w:div w:id="2051687846">
                                                                                                                                                                                                                                                                                                                                                                          <w:marLeft w:val="0"/>
                                                                                                                                                                                                                                                                                                                                                                          <w:marRight w:val="0"/>
                                                                                                                                                                                                                                                                                                                                                                          <w:marTop w:val="0"/>
                                                                                                                                                                                                                                                                                                                                                                          <w:marBottom w:val="0"/>
                                                                                                                                                                                                                                                                                                                                                                          <w:divBdr>
                                                                                                                                                                                                                                                                                                                                                                            <w:top w:val="none" w:sz="0" w:space="0" w:color="auto"/>
                                                                                                                                                                                                                                                                                                                                                                            <w:left w:val="none" w:sz="0" w:space="0" w:color="auto"/>
                                                                                                                                                                                                                                                                                                                                                                            <w:bottom w:val="none" w:sz="0" w:space="0" w:color="auto"/>
                                                                                                                                                                                                                                                                                                                                                                            <w:right w:val="none" w:sz="0" w:space="0" w:color="auto"/>
                                                                                                                                                                                                                                                                                                                                                                          </w:divBdr>
                                                                                                                                                                                                                                                                                                                                                                          <w:divsChild>
                                                                                                                                                                                                                                                                                                                                                                            <w:div w:id="315184089">
                                                                                                                                                                                                                                                                                                                                                                              <w:marLeft w:val="0"/>
                                                                                                                                                                                                                                                                                                                                                                              <w:marRight w:val="0"/>
                                                                                                                                                                                                                                                                                                                                                                              <w:marTop w:val="0"/>
                                                                                                                                                                                                                                                                                                                                                                              <w:marBottom w:val="0"/>
                                                                                                                                                                                                                                                                                                                                                                              <w:divBdr>
                                                                                                                                                                                                                                                                                                                                                                                <w:top w:val="none" w:sz="0" w:space="0" w:color="auto"/>
                                                                                                                                                                                                                                                                                                                                                                                <w:left w:val="none" w:sz="0" w:space="0" w:color="auto"/>
                                                                                                                                                                                                                                                                                                                                                                                <w:bottom w:val="none" w:sz="0" w:space="0" w:color="auto"/>
                                                                                                                                                                                                                                                                                                                                                                                <w:right w:val="none" w:sz="0" w:space="0" w:color="auto"/>
                                                                                                                                                                                                                                                                                                                                                                              </w:divBdr>
                                                                                                                                                                                                                                                                                                                                                                              <w:divsChild>
                                                                                                                                                                                                                                                                                                                                                                                <w:div w:id="1965035009">
                                                                                                                                                                                                                                                                                                                                                                                  <w:marLeft w:val="0"/>
                                                                                                                                                                                                                                                                                                                                                                                  <w:marRight w:val="0"/>
                                                                                                                                                                                                                                                                                                                                                                                  <w:marTop w:val="0"/>
                                                                                                                                                                                                                                                                                                                                                                                  <w:marBottom w:val="0"/>
                                                                                                                                                                                                                                                                                                                                                                                  <w:divBdr>
                                                                                                                                                                                                                                                                                                                                                                                    <w:top w:val="none" w:sz="0" w:space="0" w:color="auto"/>
                                                                                                                                                                                                                                                                                                                                                                                    <w:left w:val="none" w:sz="0" w:space="0" w:color="auto"/>
                                                                                                                                                                                                                                                                                                                                                                                    <w:bottom w:val="none" w:sz="0" w:space="0" w:color="auto"/>
                                                                                                                                                                                                                                                                                                                                                                                    <w:right w:val="none" w:sz="0" w:space="0" w:color="auto"/>
                                                                                                                                                                                                                                                                                                                                                                                  </w:divBdr>
                                                                                                                                                                                                                                                                                                                                                                                  <w:divsChild>
                                                                                                                                                                                                                                                                                                                                                                                    <w:div w:id="210098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3831265">
      <w:bodyDiv w:val="1"/>
      <w:marLeft w:val="0"/>
      <w:marRight w:val="0"/>
      <w:marTop w:val="0"/>
      <w:marBottom w:val="0"/>
      <w:divBdr>
        <w:top w:val="none" w:sz="0" w:space="0" w:color="auto"/>
        <w:left w:val="none" w:sz="0" w:space="0" w:color="auto"/>
        <w:bottom w:val="none" w:sz="0" w:space="0" w:color="auto"/>
        <w:right w:val="none" w:sz="0" w:space="0" w:color="auto"/>
      </w:divBdr>
      <w:divsChild>
        <w:div w:id="1445617526">
          <w:marLeft w:val="0"/>
          <w:marRight w:val="0"/>
          <w:marTop w:val="0"/>
          <w:marBottom w:val="0"/>
          <w:divBdr>
            <w:top w:val="none" w:sz="0" w:space="0" w:color="auto"/>
            <w:left w:val="none" w:sz="0" w:space="0" w:color="auto"/>
            <w:bottom w:val="none" w:sz="0" w:space="0" w:color="auto"/>
            <w:right w:val="none" w:sz="0" w:space="0" w:color="auto"/>
          </w:divBdr>
          <w:divsChild>
            <w:div w:id="1630668232">
              <w:marLeft w:val="0"/>
              <w:marRight w:val="0"/>
              <w:marTop w:val="0"/>
              <w:marBottom w:val="0"/>
              <w:divBdr>
                <w:top w:val="none" w:sz="0" w:space="0" w:color="auto"/>
                <w:left w:val="none" w:sz="0" w:space="0" w:color="auto"/>
                <w:bottom w:val="none" w:sz="0" w:space="0" w:color="auto"/>
                <w:right w:val="none" w:sz="0" w:space="0" w:color="auto"/>
              </w:divBdr>
              <w:divsChild>
                <w:div w:id="958298886">
                  <w:marLeft w:val="0"/>
                  <w:marRight w:val="0"/>
                  <w:marTop w:val="0"/>
                  <w:marBottom w:val="0"/>
                  <w:divBdr>
                    <w:top w:val="none" w:sz="0" w:space="0" w:color="auto"/>
                    <w:left w:val="none" w:sz="0" w:space="0" w:color="auto"/>
                    <w:bottom w:val="none" w:sz="0" w:space="0" w:color="auto"/>
                    <w:right w:val="none" w:sz="0" w:space="0" w:color="auto"/>
                  </w:divBdr>
                  <w:divsChild>
                    <w:div w:id="962882039">
                      <w:marLeft w:val="0"/>
                      <w:marRight w:val="0"/>
                      <w:marTop w:val="0"/>
                      <w:marBottom w:val="0"/>
                      <w:divBdr>
                        <w:top w:val="none" w:sz="0" w:space="0" w:color="auto"/>
                        <w:left w:val="none" w:sz="0" w:space="0" w:color="auto"/>
                        <w:bottom w:val="none" w:sz="0" w:space="0" w:color="auto"/>
                        <w:right w:val="none" w:sz="0" w:space="0" w:color="auto"/>
                      </w:divBdr>
                      <w:divsChild>
                        <w:div w:id="200671260">
                          <w:marLeft w:val="0"/>
                          <w:marRight w:val="0"/>
                          <w:marTop w:val="0"/>
                          <w:marBottom w:val="0"/>
                          <w:divBdr>
                            <w:top w:val="none" w:sz="0" w:space="0" w:color="auto"/>
                            <w:left w:val="none" w:sz="0" w:space="0" w:color="auto"/>
                            <w:bottom w:val="none" w:sz="0" w:space="0" w:color="auto"/>
                            <w:right w:val="none" w:sz="0" w:space="0" w:color="auto"/>
                          </w:divBdr>
                          <w:divsChild>
                            <w:div w:id="10500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tpawlik1@jhmi.edu" TargetMode="External"/><Relationship Id="rId2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0C02964-9645-544D-8A4F-D3D8D7D28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87124</Words>
  <Characters>496609</Characters>
  <Application>Microsoft Macintosh Word</Application>
  <DocSecurity>0</DocSecurity>
  <Lines>4138</Lines>
  <Paragraphs>1165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Johns Hopkins</Company>
  <LinksUpToDate>false</LinksUpToDate>
  <CharactersWithSpaces>582568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delete</dc:creator>
  <cp:keywords/>
  <dc:description/>
  <cp:lastModifiedBy>Na Ma</cp:lastModifiedBy>
  <cp:revision>2</cp:revision>
  <cp:lastPrinted>2015-09-18T18:56:00Z</cp:lastPrinted>
  <dcterms:created xsi:type="dcterms:W3CDTF">2015-10-23T02:39:00Z</dcterms:created>
  <dcterms:modified xsi:type="dcterms:W3CDTF">2015-10-23T02:39:00Z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http://www.zotero.org/styles/annals-of-surgery</vt:lpwstr>
  </property>
  <property fmtid="{D5CDD505-2E9C-101B-9397-08002B2CF9AE}" pid="5" name="Mendeley Recent Style Name 1_1">
    <vt:lpwstr>Annals of Surgery</vt:lpwstr>
  </property>
  <property fmtid="{D5CDD505-2E9C-101B-9397-08002B2CF9AE}" pid="6" name="Mendeley Recent Style Id 2_1">
    <vt:lpwstr>http://www.zotero.org/styles/british-journal-of-surgery</vt:lpwstr>
  </property>
  <property fmtid="{D5CDD505-2E9C-101B-9397-08002B2CF9AE}" pid="7" name="Mendeley Recent Style Name 2_1">
    <vt:lpwstr>British Journal of Surgery</vt:lpwstr>
  </property>
  <property fmtid="{D5CDD505-2E9C-101B-9397-08002B2CF9AE}" pid="8" name="Mendeley Recent Style Id 3_1">
    <vt:lpwstr>http://csl.mendeley.com/styles/132509431/elsevier-vancouver</vt:lpwstr>
  </property>
  <property fmtid="{D5CDD505-2E9C-101B-9397-08002B2CF9AE}" pid="9" name="Mendeley Recent Style Name 3_1">
    <vt:lpwstr>Elsevier Vancouver - Faiz Gani</vt:lpwstr>
  </property>
  <property fmtid="{D5CDD505-2E9C-101B-9397-08002B2CF9AE}" pid="10" name="Mendeley Recent Style Id 4_1">
    <vt:lpwstr>http://csl.mendeley.com/styles/132509431/elsevier-BJS</vt:lpwstr>
  </property>
  <property fmtid="{D5CDD505-2E9C-101B-9397-08002B2CF9AE}" pid="11" name="Mendeley Recent Style Name 4_1">
    <vt:lpwstr>Elsevier Vancouver - Faiz Gani</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ser Name_1">
    <vt:lpwstr>faiz.gani@gmail.com@www.mendeley.com</vt:lpwstr>
  </property>
  <property fmtid="{D5CDD505-2E9C-101B-9397-08002B2CF9AE}" pid="24" name="Mendeley Citation Style_1">
    <vt:lpwstr>http://www.zotero.org/styles/world-journal-of-gastroenterology</vt:lpwstr>
  </property>
</Properties>
</file>