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0DF" w:rsidRPr="005936B2" w:rsidRDefault="007A30DF" w:rsidP="007A30DF">
      <w:pPr>
        <w:spacing w:line="360" w:lineRule="auto"/>
        <w:rPr>
          <w:rFonts w:ascii="Book Antiqua" w:eastAsia="Calibri" w:hAnsi="Book Antiqua" w:cs="Book Antiqua"/>
          <w:b/>
          <w:i/>
          <w:iCs/>
          <w:sz w:val="24"/>
          <w:szCs w:val="24"/>
          <w:lang w:eastAsia="bg-BG"/>
        </w:rPr>
      </w:pPr>
      <w:r w:rsidRPr="005936B2">
        <w:rPr>
          <w:rFonts w:ascii="Book Antiqua" w:eastAsia="Calibri" w:hAnsi="Book Antiqua" w:cs="Book Antiqua"/>
          <w:b/>
          <w:sz w:val="24"/>
          <w:szCs w:val="24"/>
          <w:lang w:val="bg-BG" w:eastAsia="bg-BG"/>
        </w:rPr>
        <w:t xml:space="preserve">Name of Journal: </w:t>
      </w:r>
      <w:r w:rsidRPr="005936B2">
        <w:rPr>
          <w:rFonts w:ascii="Book Antiqua" w:eastAsia="Calibri" w:hAnsi="Book Antiqua" w:cs="Book Antiqua"/>
          <w:b/>
          <w:iCs/>
          <w:sz w:val="24"/>
          <w:szCs w:val="24"/>
          <w:lang w:val="bg-BG" w:eastAsia="bg-BG"/>
        </w:rPr>
        <w:t xml:space="preserve">World Journal of </w:t>
      </w:r>
      <w:r w:rsidRPr="005936B2">
        <w:rPr>
          <w:rFonts w:ascii="Book Antiqua" w:eastAsia="Calibri" w:hAnsi="Book Antiqua" w:cs="Book Antiqua"/>
          <w:b/>
          <w:iCs/>
          <w:sz w:val="24"/>
          <w:szCs w:val="24"/>
          <w:lang w:eastAsia="bg-BG"/>
        </w:rPr>
        <w:t>Immunology</w:t>
      </w:r>
    </w:p>
    <w:p w:rsidR="007A30DF" w:rsidRPr="005936B2" w:rsidRDefault="007A30DF" w:rsidP="007A30DF">
      <w:pPr>
        <w:spacing w:line="360" w:lineRule="auto"/>
        <w:rPr>
          <w:rFonts w:ascii="Book Antiqua" w:eastAsia="Calibri" w:hAnsi="Book Antiqua" w:cs="Book Antiqua"/>
          <w:b/>
          <w:sz w:val="24"/>
          <w:szCs w:val="24"/>
          <w:lang w:eastAsia="bg-BG"/>
        </w:rPr>
      </w:pPr>
      <w:r w:rsidRPr="005936B2">
        <w:rPr>
          <w:rFonts w:ascii="Book Antiqua" w:eastAsia="Calibri" w:hAnsi="Book Antiqua" w:cs="Book Antiqua"/>
          <w:b/>
          <w:sz w:val="24"/>
          <w:szCs w:val="24"/>
          <w:lang w:val="bg-BG" w:eastAsia="bg-BG"/>
        </w:rPr>
        <w:t xml:space="preserve">ESPS Manuscript NO: </w:t>
      </w:r>
      <w:r w:rsidRPr="005936B2">
        <w:rPr>
          <w:rFonts w:ascii="Book Antiqua" w:eastAsia="Calibri" w:hAnsi="Book Antiqua" w:cs="Book Antiqua"/>
          <w:b/>
          <w:sz w:val="24"/>
          <w:szCs w:val="24"/>
          <w:lang w:eastAsia="bg-BG"/>
        </w:rPr>
        <w:t>21006</w:t>
      </w:r>
    </w:p>
    <w:p w:rsidR="007A30DF" w:rsidRPr="005936B2" w:rsidRDefault="007A30DF" w:rsidP="007A30DF">
      <w:pPr>
        <w:spacing w:line="360" w:lineRule="auto"/>
        <w:rPr>
          <w:rFonts w:ascii="Book Antiqua" w:eastAsia="Calibri" w:hAnsi="Book Antiqua" w:cs="Book Antiqua"/>
          <w:b/>
          <w:iCs/>
          <w:sz w:val="24"/>
          <w:szCs w:val="24"/>
          <w:lang w:eastAsia="bg-BG"/>
        </w:rPr>
      </w:pPr>
      <w:r w:rsidRPr="005936B2">
        <w:rPr>
          <w:rFonts w:ascii="Book Antiqua" w:eastAsia="Calibri" w:hAnsi="Book Antiqua" w:cs="Book Antiqua"/>
          <w:b/>
          <w:sz w:val="24"/>
          <w:szCs w:val="24"/>
          <w:lang w:val="bg-BG" w:eastAsia="bg-BG"/>
        </w:rPr>
        <w:t xml:space="preserve">Manuscript Type: </w:t>
      </w:r>
      <w:r w:rsidR="00FC483C" w:rsidRPr="005936B2">
        <w:rPr>
          <w:rFonts w:ascii="Book Antiqua" w:eastAsia="Calibri" w:hAnsi="Book Antiqua" w:cs="Book Antiqua"/>
          <w:b/>
          <w:sz w:val="24"/>
          <w:szCs w:val="24"/>
          <w:lang w:val="bg-BG" w:eastAsia="bg-BG"/>
        </w:rPr>
        <w:t>REVIEW</w:t>
      </w:r>
    </w:p>
    <w:p w:rsidR="007A30DF" w:rsidRPr="005936B2" w:rsidRDefault="007A30DF" w:rsidP="007A30DF">
      <w:pPr>
        <w:spacing w:line="360" w:lineRule="auto"/>
        <w:rPr>
          <w:rFonts w:ascii="Book Antiqua" w:eastAsia="Calibri" w:hAnsi="Book Antiqua" w:cs="Book Antiqua"/>
          <w:iCs/>
          <w:sz w:val="24"/>
          <w:szCs w:val="24"/>
          <w:lang w:eastAsia="bg-BG"/>
        </w:rPr>
      </w:pPr>
    </w:p>
    <w:p w:rsidR="007A30DF" w:rsidRPr="005936B2" w:rsidRDefault="007A30DF" w:rsidP="007A30DF">
      <w:pPr>
        <w:spacing w:line="360" w:lineRule="auto"/>
        <w:rPr>
          <w:rFonts w:ascii="Book Antiqua" w:eastAsia="宋体" w:hAnsi="Book Antiqua"/>
          <w:b/>
          <w:bCs/>
          <w:sz w:val="24"/>
          <w:szCs w:val="24"/>
        </w:rPr>
      </w:pPr>
      <w:r w:rsidRPr="005936B2">
        <w:rPr>
          <w:rFonts w:ascii="Book Antiqua" w:hAnsi="Book Antiqua"/>
          <w:b/>
          <w:bCs/>
          <w:sz w:val="24"/>
          <w:szCs w:val="24"/>
        </w:rPr>
        <w:t>Maillard reaction and immunogenicity of protein therapeutics</w:t>
      </w:r>
    </w:p>
    <w:p w:rsidR="007A30DF" w:rsidRPr="005936B2" w:rsidRDefault="007A30DF" w:rsidP="007A30DF">
      <w:pPr>
        <w:spacing w:line="360" w:lineRule="auto"/>
        <w:rPr>
          <w:rFonts w:ascii="Book Antiqua" w:eastAsia="宋体" w:hAnsi="Book Antiqua"/>
          <w:b/>
          <w:bCs/>
          <w:sz w:val="24"/>
          <w:szCs w:val="24"/>
        </w:rPr>
      </w:pPr>
    </w:p>
    <w:p w:rsidR="007A30DF" w:rsidRPr="005936B2" w:rsidRDefault="007A30DF" w:rsidP="007A30DF">
      <w:pPr>
        <w:spacing w:line="360" w:lineRule="auto"/>
        <w:rPr>
          <w:rFonts w:ascii="Book Antiqua" w:hAnsi="Book Antiqua"/>
          <w:sz w:val="24"/>
          <w:szCs w:val="24"/>
        </w:rPr>
      </w:pPr>
      <w:r w:rsidRPr="005936B2">
        <w:rPr>
          <w:rFonts w:ascii="Book Antiqua" w:hAnsi="Book Antiqua"/>
          <w:bCs/>
          <w:sz w:val="24"/>
          <w:szCs w:val="24"/>
        </w:rPr>
        <w:t xml:space="preserve">Tsekovska </w:t>
      </w:r>
      <w:r w:rsidRPr="005936B2">
        <w:rPr>
          <w:rFonts w:ascii="Book Antiqua" w:hAnsi="Book Antiqua"/>
          <w:bCs/>
          <w:i/>
          <w:sz w:val="24"/>
          <w:szCs w:val="24"/>
        </w:rPr>
        <w:t>et al.</w:t>
      </w:r>
      <w:r w:rsidRPr="005936B2">
        <w:rPr>
          <w:rFonts w:ascii="Book Antiqua" w:hAnsi="Book Antiqua"/>
          <w:bCs/>
          <w:sz w:val="24"/>
          <w:szCs w:val="24"/>
        </w:rPr>
        <w:t xml:space="preserve"> </w:t>
      </w:r>
      <w:r w:rsidRPr="005936B2">
        <w:rPr>
          <w:rFonts w:ascii="Book Antiqua" w:hAnsi="Book Antiqua"/>
          <w:sz w:val="24"/>
          <w:szCs w:val="24"/>
        </w:rPr>
        <w:t>Glycation and protein drugs’ immunogenicity</w:t>
      </w:r>
    </w:p>
    <w:p w:rsidR="007A30DF" w:rsidRPr="00C31BC9" w:rsidRDefault="007A30DF" w:rsidP="007A30DF">
      <w:pPr>
        <w:spacing w:line="360" w:lineRule="auto"/>
        <w:rPr>
          <w:rFonts w:ascii="Book Antiqua" w:hAnsi="Book Antiqua"/>
          <w:b/>
          <w:sz w:val="24"/>
          <w:szCs w:val="24"/>
        </w:rPr>
      </w:pPr>
    </w:p>
    <w:p w:rsidR="007A30DF" w:rsidRPr="00C31BC9" w:rsidRDefault="007A30DF" w:rsidP="007A30DF">
      <w:pPr>
        <w:spacing w:line="360" w:lineRule="auto"/>
        <w:rPr>
          <w:rFonts w:ascii="Book Antiqua" w:hAnsi="Book Antiqua"/>
          <w:b/>
          <w:bCs/>
          <w:sz w:val="24"/>
          <w:szCs w:val="24"/>
        </w:rPr>
      </w:pPr>
      <w:r w:rsidRPr="00C31BC9">
        <w:rPr>
          <w:rFonts w:ascii="Book Antiqua" w:hAnsi="Book Antiqua"/>
          <w:b/>
          <w:bCs/>
          <w:sz w:val="24"/>
          <w:szCs w:val="24"/>
        </w:rPr>
        <w:t>Rositsa Tsekovska, Angelina Sredovska-Bozhinov, Toshimitsu Niwa, Ivan Ivanov, Roumyana Mironova</w:t>
      </w:r>
    </w:p>
    <w:p w:rsidR="007A30DF" w:rsidRPr="005936B2" w:rsidRDefault="007A30DF" w:rsidP="007A30DF">
      <w:pPr>
        <w:spacing w:line="360" w:lineRule="auto"/>
        <w:rPr>
          <w:rFonts w:ascii="Book Antiqua" w:hAnsi="Book Antiqua"/>
          <w:b/>
          <w:bCs/>
          <w:sz w:val="24"/>
          <w:szCs w:val="24"/>
        </w:rPr>
      </w:pPr>
    </w:p>
    <w:p w:rsidR="007A30DF" w:rsidRPr="005936B2" w:rsidRDefault="007A30DF" w:rsidP="007A30DF">
      <w:pPr>
        <w:spacing w:line="360" w:lineRule="auto"/>
        <w:rPr>
          <w:rFonts w:ascii="Book Antiqua" w:hAnsi="Book Antiqua"/>
          <w:bCs/>
          <w:sz w:val="24"/>
          <w:szCs w:val="24"/>
        </w:rPr>
      </w:pPr>
      <w:r w:rsidRPr="005936B2">
        <w:rPr>
          <w:rFonts w:ascii="Book Antiqua" w:hAnsi="Book Antiqua"/>
          <w:bCs/>
          <w:sz w:val="24"/>
          <w:szCs w:val="24"/>
        </w:rPr>
        <w:t>R</w:t>
      </w:r>
      <w:r w:rsidRPr="005936B2">
        <w:rPr>
          <w:rFonts w:ascii="Book Antiqua" w:hAnsi="Book Antiqua"/>
          <w:b/>
          <w:bCs/>
          <w:sz w:val="24"/>
          <w:szCs w:val="24"/>
        </w:rPr>
        <w:t>ositsa Tsekovska, Ivan Ivanov, Roumyana Mironova</w:t>
      </w:r>
      <w:r w:rsidRPr="005936B2">
        <w:rPr>
          <w:rFonts w:ascii="Book Antiqua" w:hAnsi="Book Antiqua"/>
          <w:bCs/>
          <w:sz w:val="24"/>
          <w:szCs w:val="24"/>
        </w:rPr>
        <w:t>, Institute of Molecular Biology Roumen Tsanev, Bulgarian Academy of Sciences, Sofia 1113, Bulgaria</w:t>
      </w:r>
    </w:p>
    <w:p w:rsidR="007A30DF" w:rsidRPr="005936B2" w:rsidRDefault="007A30DF" w:rsidP="007A30DF">
      <w:pPr>
        <w:spacing w:line="360" w:lineRule="auto"/>
        <w:rPr>
          <w:rFonts w:ascii="Book Antiqua" w:hAnsi="Book Antiqua"/>
          <w:bCs/>
          <w:sz w:val="24"/>
          <w:szCs w:val="24"/>
        </w:rPr>
      </w:pPr>
    </w:p>
    <w:p w:rsidR="007A30DF" w:rsidRPr="005936B2" w:rsidRDefault="007A30DF" w:rsidP="007A30DF">
      <w:pPr>
        <w:spacing w:line="360" w:lineRule="auto"/>
        <w:rPr>
          <w:rFonts w:ascii="Book Antiqua" w:eastAsia="宋体" w:hAnsi="Book Antiqua" w:cs="Arial"/>
          <w:color w:val="222222"/>
          <w:sz w:val="24"/>
          <w:szCs w:val="24"/>
        </w:rPr>
      </w:pPr>
      <w:r w:rsidRPr="005936B2">
        <w:rPr>
          <w:rFonts w:ascii="Book Antiqua" w:hAnsi="Book Antiqua"/>
          <w:b/>
          <w:bCs/>
          <w:sz w:val="24"/>
          <w:szCs w:val="24"/>
        </w:rPr>
        <w:t>Angelina Sredovska-Bozhinov</w:t>
      </w:r>
      <w:r w:rsidRPr="005936B2">
        <w:rPr>
          <w:rFonts w:ascii="Book Antiqua" w:hAnsi="Book Antiqua"/>
          <w:bCs/>
          <w:sz w:val="24"/>
          <w:szCs w:val="24"/>
        </w:rPr>
        <w:t>, MIT University, Skopje 1000, Macedonia</w:t>
      </w:r>
    </w:p>
    <w:p w:rsidR="007A30DF" w:rsidRPr="005936B2" w:rsidRDefault="007A30DF" w:rsidP="007A30DF">
      <w:pPr>
        <w:spacing w:line="360" w:lineRule="auto"/>
        <w:rPr>
          <w:rFonts w:ascii="Book Antiqua" w:hAnsi="Book Antiqua"/>
          <w:bCs/>
          <w:sz w:val="24"/>
          <w:szCs w:val="24"/>
        </w:rPr>
      </w:pPr>
      <w:r w:rsidRPr="005936B2">
        <w:rPr>
          <w:rFonts w:ascii="Book Antiqua" w:hAnsi="Book Antiqua" w:cs="Arial"/>
          <w:color w:val="222222"/>
          <w:sz w:val="24"/>
          <w:szCs w:val="24"/>
        </w:rPr>
        <w:t xml:space="preserve"> </w:t>
      </w:r>
    </w:p>
    <w:p w:rsidR="007A30DF" w:rsidRPr="005936B2" w:rsidRDefault="007A30DF" w:rsidP="007A30DF">
      <w:pPr>
        <w:spacing w:line="360" w:lineRule="auto"/>
        <w:rPr>
          <w:rFonts w:ascii="Book Antiqua" w:hAnsi="Book Antiqua"/>
          <w:bCs/>
          <w:sz w:val="24"/>
          <w:szCs w:val="24"/>
        </w:rPr>
      </w:pPr>
      <w:r w:rsidRPr="005936B2">
        <w:rPr>
          <w:rFonts w:ascii="Book Antiqua" w:hAnsi="Book Antiqua"/>
          <w:b/>
          <w:bCs/>
          <w:sz w:val="24"/>
          <w:szCs w:val="24"/>
        </w:rPr>
        <w:t>Toshimitsu Niwa</w:t>
      </w:r>
      <w:r w:rsidRPr="005936B2">
        <w:rPr>
          <w:rFonts w:ascii="Book Antiqua" w:hAnsi="Book Antiqua"/>
          <w:bCs/>
          <w:sz w:val="24"/>
          <w:szCs w:val="24"/>
        </w:rPr>
        <w:t>, Nagoya University Graduate School of Medicine, Nagoya 466-8550, Japan</w:t>
      </w:r>
    </w:p>
    <w:p w:rsidR="007A30DF" w:rsidRPr="005936B2" w:rsidRDefault="007A30DF" w:rsidP="007A30DF">
      <w:pPr>
        <w:spacing w:line="360" w:lineRule="auto"/>
        <w:rPr>
          <w:rFonts w:ascii="Book Antiqua" w:hAnsi="Book Antiqua"/>
          <w:b/>
          <w:bCs/>
          <w:sz w:val="24"/>
          <w:szCs w:val="24"/>
        </w:rPr>
      </w:pPr>
    </w:p>
    <w:p w:rsidR="007A30DF" w:rsidRPr="005936B2" w:rsidRDefault="007A30DF" w:rsidP="007A30DF">
      <w:pPr>
        <w:spacing w:line="360" w:lineRule="auto"/>
        <w:rPr>
          <w:rFonts w:ascii="Book Antiqua" w:hAnsi="Book Antiqua"/>
          <w:bCs/>
          <w:sz w:val="24"/>
          <w:szCs w:val="24"/>
        </w:rPr>
      </w:pPr>
      <w:r w:rsidRPr="005936B2">
        <w:rPr>
          <w:rFonts w:ascii="Book Antiqua" w:hAnsi="Book Antiqua"/>
          <w:b/>
          <w:bCs/>
          <w:sz w:val="24"/>
          <w:szCs w:val="24"/>
        </w:rPr>
        <w:t>Author contributions:</w:t>
      </w:r>
      <w:r w:rsidRPr="005936B2">
        <w:rPr>
          <w:rFonts w:ascii="Book Antiqua" w:hAnsi="Book Antiqua"/>
          <w:bCs/>
          <w:sz w:val="24"/>
          <w:szCs w:val="24"/>
        </w:rPr>
        <w:t xml:space="preserve"> Tsekovska R and Sredovska-Bozhinov A contributed equally to this work; Mironova R, Niwa T and Ivanov I designed the research; Tsekovska R and Sredovska-Bozhinov A performed the research; Mironova R, Tsekovska R and Sredovska-Bozhinov A wrote the paper, Niwa T and Ivanov I reviewed the paper.</w:t>
      </w:r>
    </w:p>
    <w:p w:rsidR="007A30DF" w:rsidRPr="005936B2" w:rsidRDefault="007A30DF" w:rsidP="007A30DF">
      <w:pPr>
        <w:spacing w:line="360" w:lineRule="auto"/>
        <w:rPr>
          <w:rFonts w:ascii="Book Antiqua" w:hAnsi="Book Antiqua"/>
          <w:bCs/>
          <w:sz w:val="24"/>
          <w:szCs w:val="24"/>
        </w:rPr>
      </w:pPr>
    </w:p>
    <w:p w:rsidR="007A30DF" w:rsidRPr="005936B2" w:rsidRDefault="007A30DF" w:rsidP="007A30DF">
      <w:pPr>
        <w:spacing w:line="360" w:lineRule="auto"/>
        <w:rPr>
          <w:rFonts w:ascii="Book Antiqua" w:eastAsia="宋体" w:hAnsi="Book Antiqua" w:cs="Book Antiqua"/>
          <w:sz w:val="24"/>
          <w:szCs w:val="24"/>
          <w:lang w:val="bg-BG"/>
        </w:rPr>
      </w:pPr>
      <w:r w:rsidRPr="005936B2">
        <w:rPr>
          <w:rFonts w:ascii="Book Antiqua" w:eastAsia="Calibri" w:hAnsi="Book Antiqua" w:cs="Book Antiqua"/>
          <w:b/>
          <w:sz w:val="24"/>
          <w:szCs w:val="24"/>
          <w:lang w:val="bg-BG" w:eastAsia="bg-BG"/>
        </w:rPr>
        <w:t>Conflict-of-interest statement:</w:t>
      </w:r>
      <w:r w:rsidRPr="005936B2">
        <w:rPr>
          <w:rFonts w:ascii="Book Antiqua" w:eastAsia="Calibri" w:hAnsi="Book Antiqua" w:cs="Book Antiqua"/>
          <w:sz w:val="24"/>
          <w:szCs w:val="24"/>
          <w:lang w:val="bg-BG" w:eastAsia="bg-BG"/>
        </w:rPr>
        <w:t xml:space="preserve"> Authors declare no conflict of interests for this article.</w:t>
      </w:r>
    </w:p>
    <w:p w:rsidR="007A30DF" w:rsidRPr="005936B2" w:rsidRDefault="007A30DF" w:rsidP="007A30DF">
      <w:pPr>
        <w:autoSpaceDE w:val="0"/>
        <w:autoSpaceDN w:val="0"/>
        <w:adjustRightInd w:val="0"/>
        <w:spacing w:line="360" w:lineRule="auto"/>
        <w:rPr>
          <w:rFonts w:ascii="Book Antiqua" w:eastAsia="宋体" w:hAnsi="Book Antiqua" w:cs="Book Antiqua"/>
          <w:b/>
          <w:sz w:val="24"/>
          <w:szCs w:val="24"/>
          <w:lang w:val="bg-BG"/>
        </w:rPr>
        <w:sectPr w:rsidR="007A30DF" w:rsidRPr="005936B2" w:rsidSect="00F01A62">
          <w:footerReference w:type="default" r:id="rId8"/>
          <w:pgSz w:w="11906" w:h="16838"/>
          <w:pgMar w:top="1417" w:right="1417" w:bottom="1417" w:left="1417" w:header="708" w:footer="708" w:gutter="0"/>
          <w:cols w:space="708"/>
          <w:docGrid w:linePitch="360"/>
        </w:sectPr>
      </w:pPr>
    </w:p>
    <w:p w:rsidR="007A30DF" w:rsidRPr="005936B2" w:rsidRDefault="007A30DF" w:rsidP="007A30DF">
      <w:pPr>
        <w:autoSpaceDE w:val="0"/>
        <w:autoSpaceDN w:val="0"/>
        <w:adjustRightInd w:val="0"/>
        <w:spacing w:line="360" w:lineRule="auto"/>
        <w:rPr>
          <w:rFonts w:ascii="Book Antiqua" w:eastAsia="Calibri" w:hAnsi="Book Antiqua" w:cs="Book Antiqua"/>
          <w:sz w:val="24"/>
          <w:szCs w:val="24"/>
          <w:lang w:val="bg-BG" w:eastAsia="bg-BG"/>
        </w:rPr>
      </w:pPr>
      <w:r w:rsidRPr="005936B2">
        <w:rPr>
          <w:rFonts w:ascii="Book Antiqua" w:eastAsia="Calibri" w:hAnsi="Book Antiqua" w:cs="Book Antiqua"/>
          <w:b/>
          <w:sz w:val="24"/>
          <w:szCs w:val="24"/>
          <w:lang w:val="bg-BG" w:eastAsia="bg-BG"/>
        </w:rPr>
        <w:lastRenderedPageBreak/>
        <w:t>Open-Access:</w:t>
      </w:r>
      <w:r w:rsidRPr="005936B2">
        <w:rPr>
          <w:rFonts w:ascii="Book Antiqua" w:eastAsia="Calibri" w:hAnsi="Book Antiqua" w:cs="Book Antiqua"/>
          <w:sz w:val="24"/>
          <w:szCs w:val="24"/>
          <w:lang w:val="bg-BG" w:eastAsia="bg-BG"/>
        </w:rPr>
        <w:t xml:space="preserve"> This article is an open-access article which was selected byan in-house</w:t>
      </w:r>
    </w:p>
    <w:p w:rsidR="007A30DF" w:rsidRPr="005936B2" w:rsidRDefault="007A30DF" w:rsidP="007A30DF">
      <w:pPr>
        <w:autoSpaceDE w:val="0"/>
        <w:autoSpaceDN w:val="0"/>
        <w:adjustRightInd w:val="0"/>
        <w:spacing w:line="360" w:lineRule="auto"/>
        <w:rPr>
          <w:rFonts w:ascii="Book Antiqua" w:eastAsia="Calibri" w:hAnsi="Book Antiqua" w:cs="Book Antiqua"/>
          <w:sz w:val="24"/>
          <w:szCs w:val="24"/>
          <w:lang w:eastAsia="bg-BG"/>
        </w:rPr>
      </w:pPr>
      <w:r w:rsidRPr="005936B2">
        <w:rPr>
          <w:rFonts w:ascii="Book Antiqua" w:eastAsia="Calibri" w:hAnsi="Book Antiqua" w:cs="Book Antiqua"/>
          <w:sz w:val="24"/>
          <w:szCs w:val="24"/>
          <w:lang w:val="bg-BG" w:eastAsia="bg-BG"/>
        </w:rPr>
        <w:t>editor and fully peer-reviewed by external reviewers. It is</w:t>
      </w:r>
      <w:r w:rsidRPr="005936B2">
        <w:rPr>
          <w:rFonts w:ascii="Book Antiqua" w:eastAsia="Calibri" w:hAnsi="Book Antiqua" w:cs="Book Antiqua"/>
          <w:sz w:val="24"/>
          <w:szCs w:val="24"/>
          <w:lang w:eastAsia="bg-BG"/>
        </w:rPr>
        <w:t xml:space="preserve"> </w:t>
      </w:r>
      <w:r w:rsidRPr="005936B2">
        <w:rPr>
          <w:rFonts w:ascii="Book Antiqua" w:eastAsia="Calibri" w:hAnsi="Book Antiqua" w:cs="Book Antiqua"/>
          <w:sz w:val="24"/>
          <w:szCs w:val="24"/>
          <w:lang w:val="bg-BG" w:eastAsia="bg-BG"/>
        </w:rPr>
        <w:t>distributed in accordance with the Creative Commons Attribution Non Commercial</w:t>
      </w:r>
      <w:r w:rsidRPr="005936B2">
        <w:rPr>
          <w:rFonts w:ascii="Book Antiqua" w:eastAsia="Calibri" w:hAnsi="Book Antiqua" w:cs="Book Antiqua"/>
          <w:sz w:val="24"/>
          <w:szCs w:val="24"/>
          <w:lang w:eastAsia="bg-BG"/>
        </w:rPr>
        <w:t xml:space="preserve"> </w:t>
      </w:r>
      <w:r w:rsidRPr="005936B2">
        <w:rPr>
          <w:rFonts w:ascii="Book Antiqua" w:eastAsia="Calibri" w:hAnsi="Book Antiqua" w:cs="Book Antiqua"/>
          <w:sz w:val="24"/>
          <w:szCs w:val="24"/>
          <w:lang w:val="bg-BG" w:eastAsia="bg-BG"/>
        </w:rPr>
        <w:t>(CC BY-NC 4.0) license, which permits others to distribute, remix, adapt, build upon</w:t>
      </w:r>
      <w:r w:rsidRPr="005936B2">
        <w:rPr>
          <w:rFonts w:ascii="Book Antiqua" w:eastAsia="Calibri" w:hAnsi="Book Antiqua" w:cs="Book Antiqua"/>
          <w:sz w:val="24"/>
          <w:szCs w:val="24"/>
          <w:lang w:eastAsia="bg-BG"/>
        </w:rPr>
        <w:t xml:space="preserve"> </w:t>
      </w:r>
      <w:r w:rsidRPr="005936B2">
        <w:rPr>
          <w:rFonts w:ascii="Book Antiqua" w:eastAsia="Calibri" w:hAnsi="Book Antiqua" w:cs="Book Antiqua"/>
          <w:sz w:val="24"/>
          <w:szCs w:val="24"/>
          <w:lang w:val="bg-BG" w:eastAsia="bg-BG"/>
        </w:rPr>
        <w:t>this work non-commercially, and license their derivative works on different terms,</w:t>
      </w:r>
      <w:r w:rsidRPr="005936B2">
        <w:rPr>
          <w:rFonts w:ascii="Book Antiqua" w:eastAsia="Calibri" w:hAnsi="Book Antiqua" w:cs="Book Antiqua"/>
          <w:sz w:val="24"/>
          <w:szCs w:val="24"/>
          <w:lang w:eastAsia="bg-BG"/>
        </w:rPr>
        <w:t xml:space="preserve"> </w:t>
      </w:r>
      <w:r w:rsidRPr="005936B2">
        <w:rPr>
          <w:rFonts w:ascii="Book Antiqua" w:eastAsia="Calibri" w:hAnsi="Book Antiqua" w:cs="Book Antiqua"/>
          <w:sz w:val="24"/>
          <w:szCs w:val="24"/>
          <w:lang w:val="bg-BG" w:eastAsia="bg-BG"/>
        </w:rPr>
        <w:t>provided the original work is properly cited and the use is non-commercial. See:</w:t>
      </w:r>
      <w:r w:rsidRPr="005936B2">
        <w:rPr>
          <w:rFonts w:ascii="Book Antiqua" w:eastAsia="Calibri" w:hAnsi="Book Antiqua" w:cs="Book Antiqua"/>
          <w:sz w:val="24"/>
          <w:szCs w:val="24"/>
          <w:lang w:eastAsia="bg-BG"/>
        </w:rPr>
        <w:t xml:space="preserve"> </w:t>
      </w:r>
    </w:p>
    <w:p w:rsidR="007A30DF" w:rsidRPr="005936B2" w:rsidRDefault="007A30DF" w:rsidP="007A30DF">
      <w:pPr>
        <w:spacing w:line="360" w:lineRule="auto"/>
        <w:rPr>
          <w:rFonts w:ascii="Book Antiqua" w:eastAsia="Calibri" w:hAnsi="Book Antiqua" w:cs="Book Antiqua"/>
          <w:sz w:val="24"/>
          <w:szCs w:val="24"/>
          <w:lang w:eastAsia="bg-BG"/>
        </w:rPr>
      </w:pPr>
      <w:r w:rsidRPr="005936B2">
        <w:rPr>
          <w:rFonts w:ascii="Book Antiqua" w:eastAsia="Calibri" w:hAnsi="Book Antiqua" w:cs="Book Antiqua"/>
          <w:sz w:val="24"/>
          <w:szCs w:val="24"/>
          <w:lang w:val="bg-BG" w:eastAsia="bg-BG"/>
        </w:rPr>
        <w:t>http://creativecommons.org/licenses/by-nc/4.0/</w:t>
      </w:r>
    </w:p>
    <w:p w:rsidR="007A30DF" w:rsidRPr="005936B2" w:rsidRDefault="007A30DF" w:rsidP="007A30DF">
      <w:pPr>
        <w:spacing w:line="360" w:lineRule="auto"/>
        <w:rPr>
          <w:rFonts w:ascii="Book Antiqua" w:eastAsia="Calibri" w:hAnsi="Book Antiqua" w:cs="Book Antiqua"/>
          <w:sz w:val="24"/>
          <w:szCs w:val="24"/>
          <w:lang w:eastAsia="bg-BG"/>
        </w:rPr>
      </w:pPr>
    </w:p>
    <w:p w:rsidR="007A30DF" w:rsidRPr="005936B2" w:rsidRDefault="007A30DF" w:rsidP="007A30DF">
      <w:pPr>
        <w:spacing w:line="360" w:lineRule="auto"/>
        <w:rPr>
          <w:rFonts w:ascii="Book Antiqua" w:hAnsi="Book Antiqua"/>
          <w:bCs/>
          <w:sz w:val="24"/>
          <w:szCs w:val="24"/>
        </w:rPr>
      </w:pPr>
      <w:r w:rsidRPr="005936B2">
        <w:rPr>
          <w:rFonts w:ascii="Book Antiqua" w:hAnsi="Book Antiqua"/>
          <w:b/>
          <w:bCs/>
          <w:sz w:val="24"/>
          <w:szCs w:val="24"/>
        </w:rPr>
        <w:t>Correspondence to:</w:t>
      </w:r>
      <w:r w:rsidRPr="005936B2">
        <w:rPr>
          <w:rFonts w:ascii="Book Antiqua" w:hAnsi="Book Antiqua"/>
          <w:bCs/>
          <w:sz w:val="24"/>
          <w:szCs w:val="24"/>
        </w:rPr>
        <w:t xml:space="preserve"> </w:t>
      </w:r>
      <w:r w:rsidRPr="005936B2">
        <w:rPr>
          <w:rFonts w:ascii="Book Antiqua" w:hAnsi="Book Antiqua"/>
          <w:b/>
          <w:bCs/>
          <w:sz w:val="24"/>
          <w:szCs w:val="24"/>
        </w:rPr>
        <w:t>Roumyana Mironova, Professor</w:t>
      </w:r>
      <w:r w:rsidRPr="005936B2">
        <w:rPr>
          <w:rFonts w:ascii="Book Antiqua" w:hAnsi="Book Antiqua"/>
          <w:bCs/>
          <w:sz w:val="24"/>
          <w:szCs w:val="24"/>
        </w:rPr>
        <w:t>, Institute of Molecular Biology Roumen Tsanev, Bulgarian Academy of Sciences, Acad. G. Bonchev str., bl. 21, Sofia 1113, Bulgaria. rumym@bio21.bas.bg</w:t>
      </w:r>
    </w:p>
    <w:p w:rsidR="007A30DF" w:rsidRPr="005936B2" w:rsidRDefault="007A30DF" w:rsidP="007A30DF">
      <w:pPr>
        <w:spacing w:line="360" w:lineRule="auto"/>
        <w:rPr>
          <w:rFonts w:ascii="Book Antiqua" w:hAnsi="Book Antiqua"/>
          <w:bCs/>
          <w:sz w:val="24"/>
          <w:szCs w:val="24"/>
        </w:rPr>
      </w:pPr>
      <w:r w:rsidRPr="005936B2">
        <w:rPr>
          <w:rFonts w:ascii="Book Antiqua" w:hAnsi="Book Antiqua"/>
          <w:b/>
          <w:bCs/>
          <w:sz w:val="24"/>
          <w:szCs w:val="24"/>
        </w:rPr>
        <w:t>Telephone:</w:t>
      </w:r>
      <w:r w:rsidRPr="005936B2">
        <w:rPr>
          <w:rFonts w:ascii="Book Antiqua" w:hAnsi="Book Antiqua"/>
          <w:bCs/>
          <w:sz w:val="24"/>
          <w:szCs w:val="24"/>
        </w:rPr>
        <w:t xml:space="preserve"> +359-2979-2648</w:t>
      </w:r>
    </w:p>
    <w:p w:rsidR="007A30DF" w:rsidRPr="005936B2" w:rsidRDefault="007A30DF" w:rsidP="007A30DF">
      <w:pPr>
        <w:spacing w:line="360" w:lineRule="auto"/>
        <w:rPr>
          <w:rFonts w:ascii="Book Antiqua" w:hAnsi="Book Antiqua"/>
          <w:bCs/>
          <w:sz w:val="24"/>
          <w:szCs w:val="24"/>
        </w:rPr>
      </w:pPr>
      <w:r w:rsidRPr="005936B2">
        <w:rPr>
          <w:rFonts w:ascii="Book Antiqua" w:hAnsi="Book Antiqua"/>
          <w:b/>
          <w:bCs/>
          <w:sz w:val="24"/>
          <w:szCs w:val="24"/>
        </w:rPr>
        <w:t>Fax:</w:t>
      </w:r>
      <w:r w:rsidRPr="005936B2">
        <w:rPr>
          <w:rFonts w:ascii="Book Antiqua" w:hAnsi="Book Antiqua"/>
          <w:bCs/>
          <w:sz w:val="24"/>
          <w:szCs w:val="24"/>
        </w:rPr>
        <w:t xml:space="preserve"> +359-2872-3507</w:t>
      </w:r>
    </w:p>
    <w:p w:rsidR="007A30DF" w:rsidRPr="005936B2" w:rsidRDefault="007A30DF" w:rsidP="007A30DF">
      <w:pPr>
        <w:spacing w:line="360" w:lineRule="auto"/>
        <w:rPr>
          <w:rFonts w:ascii="Book Antiqua" w:hAnsi="Book Antiqua"/>
          <w:bCs/>
          <w:sz w:val="24"/>
          <w:szCs w:val="24"/>
        </w:rPr>
      </w:pPr>
    </w:p>
    <w:p w:rsidR="007A30DF" w:rsidRPr="005936B2" w:rsidRDefault="007A30DF" w:rsidP="007A30DF">
      <w:pPr>
        <w:autoSpaceDE w:val="0"/>
        <w:autoSpaceDN w:val="0"/>
        <w:adjustRightInd w:val="0"/>
        <w:spacing w:line="360" w:lineRule="auto"/>
        <w:rPr>
          <w:rFonts w:ascii="Book Antiqua" w:eastAsia="Calibri" w:hAnsi="Book Antiqua" w:cs="Book Antiqua"/>
          <w:sz w:val="24"/>
          <w:szCs w:val="24"/>
          <w:lang w:val="bg-BG" w:eastAsia="bg-BG"/>
        </w:rPr>
      </w:pPr>
      <w:r w:rsidRPr="005936B2">
        <w:rPr>
          <w:rFonts w:ascii="Book Antiqua" w:eastAsia="Calibri" w:hAnsi="Book Antiqua" w:cs="Book Antiqua"/>
          <w:b/>
          <w:sz w:val="24"/>
          <w:szCs w:val="24"/>
          <w:lang w:val="bg-BG" w:eastAsia="bg-BG"/>
        </w:rPr>
        <w:t>Received:</w:t>
      </w:r>
      <w:r w:rsidRPr="005936B2">
        <w:rPr>
          <w:rFonts w:ascii="Book Antiqua" w:eastAsia="Calibri" w:hAnsi="Book Antiqua" w:cs="Book Antiqua"/>
          <w:sz w:val="24"/>
          <w:szCs w:val="24"/>
          <w:lang w:val="bg-BG" w:eastAsia="bg-BG"/>
        </w:rPr>
        <w:t xml:space="preserve"> </w:t>
      </w:r>
      <w:r w:rsidRPr="005936B2">
        <w:rPr>
          <w:rFonts w:ascii="Book Antiqua" w:eastAsia="Calibri" w:hAnsi="Book Antiqua" w:cs="Book Antiqua"/>
          <w:sz w:val="24"/>
          <w:szCs w:val="24"/>
          <w:lang w:eastAsia="bg-BG"/>
        </w:rPr>
        <w:t>June</w:t>
      </w:r>
      <w:r w:rsidRPr="005936B2">
        <w:rPr>
          <w:rFonts w:ascii="Book Antiqua" w:eastAsia="Calibri" w:hAnsi="Book Antiqua" w:cs="Book Antiqua"/>
          <w:sz w:val="24"/>
          <w:szCs w:val="24"/>
          <w:lang w:val="bg-BG" w:eastAsia="bg-BG"/>
        </w:rPr>
        <w:t xml:space="preserve"> 2</w:t>
      </w:r>
      <w:r w:rsidRPr="005936B2">
        <w:rPr>
          <w:rFonts w:ascii="Book Antiqua" w:eastAsia="Calibri" w:hAnsi="Book Antiqua" w:cs="Book Antiqua"/>
          <w:sz w:val="24"/>
          <w:szCs w:val="24"/>
          <w:lang w:eastAsia="bg-BG"/>
        </w:rPr>
        <w:t>7</w:t>
      </w:r>
      <w:r w:rsidRPr="005936B2">
        <w:rPr>
          <w:rFonts w:ascii="Book Antiqua" w:eastAsia="Calibri" w:hAnsi="Book Antiqua" w:cs="Book Antiqua"/>
          <w:sz w:val="24"/>
          <w:szCs w:val="24"/>
          <w:lang w:val="bg-BG" w:eastAsia="bg-BG"/>
        </w:rPr>
        <w:t>, 2015</w:t>
      </w:r>
    </w:p>
    <w:p w:rsidR="007A30DF" w:rsidRPr="005936B2" w:rsidRDefault="007A30DF" w:rsidP="007A30DF">
      <w:pPr>
        <w:autoSpaceDE w:val="0"/>
        <w:autoSpaceDN w:val="0"/>
        <w:adjustRightInd w:val="0"/>
        <w:spacing w:line="360" w:lineRule="auto"/>
        <w:rPr>
          <w:rFonts w:ascii="Book Antiqua" w:eastAsia="Calibri" w:hAnsi="Book Antiqua" w:cs="Book Antiqua"/>
          <w:sz w:val="24"/>
          <w:szCs w:val="24"/>
          <w:lang w:val="bg-BG" w:eastAsia="bg-BG"/>
        </w:rPr>
      </w:pPr>
      <w:r w:rsidRPr="005936B2">
        <w:rPr>
          <w:rFonts w:ascii="Book Antiqua" w:eastAsia="Calibri" w:hAnsi="Book Antiqua" w:cs="Book Antiqua"/>
          <w:b/>
          <w:sz w:val="24"/>
          <w:szCs w:val="24"/>
          <w:lang w:val="bg-BG" w:eastAsia="bg-BG"/>
        </w:rPr>
        <w:t>Peer-review started:</w:t>
      </w:r>
      <w:r w:rsidRPr="005936B2">
        <w:rPr>
          <w:rFonts w:ascii="Book Antiqua" w:eastAsia="Calibri" w:hAnsi="Book Antiqua" w:cs="Book Antiqua"/>
          <w:sz w:val="24"/>
          <w:szCs w:val="24"/>
          <w:lang w:val="bg-BG" w:eastAsia="bg-BG"/>
        </w:rPr>
        <w:t xml:space="preserve"> </w:t>
      </w:r>
      <w:r w:rsidRPr="005936B2">
        <w:rPr>
          <w:rFonts w:ascii="Book Antiqua" w:eastAsia="Calibri" w:hAnsi="Book Antiqua" w:cs="Book Antiqua"/>
          <w:sz w:val="24"/>
          <w:szCs w:val="24"/>
          <w:lang w:eastAsia="bg-BG"/>
        </w:rPr>
        <w:t>June</w:t>
      </w:r>
      <w:r w:rsidRPr="005936B2">
        <w:rPr>
          <w:rFonts w:ascii="Book Antiqua" w:eastAsia="Calibri" w:hAnsi="Book Antiqua" w:cs="Book Antiqua"/>
          <w:sz w:val="24"/>
          <w:szCs w:val="24"/>
          <w:lang w:val="bg-BG" w:eastAsia="bg-BG"/>
        </w:rPr>
        <w:t xml:space="preserve"> </w:t>
      </w:r>
      <w:r w:rsidRPr="005936B2">
        <w:rPr>
          <w:rFonts w:ascii="Book Antiqua" w:eastAsia="宋体" w:hAnsi="Book Antiqua" w:cs="Book Antiqua"/>
          <w:sz w:val="24"/>
          <w:szCs w:val="24"/>
          <w:lang w:val="bg-BG"/>
        </w:rPr>
        <w:t>29</w:t>
      </w:r>
      <w:r w:rsidRPr="005936B2">
        <w:rPr>
          <w:rFonts w:ascii="Book Antiqua" w:eastAsia="Calibri" w:hAnsi="Book Antiqua" w:cs="Book Antiqua"/>
          <w:sz w:val="24"/>
          <w:szCs w:val="24"/>
          <w:lang w:val="bg-BG" w:eastAsia="bg-BG"/>
        </w:rPr>
        <w:t>, 2015</w:t>
      </w:r>
    </w:p>
    <w:p w:rsidR="007A30DF" w:rsidRPr="005936B2" w:rsidRDefault="007A30DF" w:rsidP="007A30DF">
      <w:pPr>
        <w:autoSpaceDE w:val="0"/>
        <w:autoSpaceDN w:val="0"/>
        <w:adjustRightInd w:val="0"/>
        <w:spacing w:line="360" w:lineRule="auto"/>
        <w:rPr>
          <w:rFonts w:ascii="Book Antiqua" w:eastAsia="Calibri" w:hAnsi="Book Antiqua" w:cs="Book Antiqua"/>
          <w:sz w:val="24"/>
          <w:szCs w:val="24"/>
          <w:lang w:val="bg-BG" w:eastAsia="bg-BG"/>
        </w:rPr>
      </w:pPr>
      <w:r w:rsidRPr="005936B2">
        <w:rPr>
          <w:rFonts w:ascii="Book Antiqua" w:eastAsia="Calibri" w:hAnsi="Book Antiqua" w:cs="Book Antiqua"/>
          <w:b/>
          <w:sz w:val="24"/>
          <w:szCs w:val="24"/>
          <w:lang w:val="bg-BG" w:eastAsia="bg-BG"/>
        </w:rPr>
        <w:t>First decision:</w:t>
      </w:r>
      <w:r w:rsidRPr="005936B2">
        <w:rPr>
          <w:rFonts w:ascii="Book Antiqua" w:eastAsia="Calibri" w:hAnsi="Book Antiqua" w:cs="Book Antiqua"/>
          <w:sz w:val="24"/>
          <w:szCs w:val="24"/>
          <w:lang w:val="bg-BG" w:eastAsia="bg-BG"/>
        </w:rPr>
        <w:t xml:space="preserve"> </w:t>
      </w:r>
      <w:r w:rsidRPr="005936B2">
        <w:rPr>
          <w:rFonts w:ascii="Book Antiqua" w:eastAsia="Calibri" w:hAnsi="Book Antiqua" w:cs="Book Antiqua"/>
          <w:sz w:val="24"/>
          <w:szCs w:val="24"/>
          <w:lang w:eastAsia="bg-BG"/>
        </w:rPr>
        <w:t>November</w:t>
      </w:r>
      <w:r w:rsidRPr="005936B2">
        <w:rPr>
          <w:rFonts w:ascii="Book Antiqua" w:eastAsia="Calibri" w:hAnsi="Book Antiqua" w:cs="Book Antiqua"/>
          <w:sz w:val="24"/>
          <w:szCs w:val="24"/>
          <w:lang w:val="bg-BG" w:eastAsia="bg-BG"/>
        </w:rPr>
        <w:t xml:space="preserve"> </w:t>
      </w:r>
      <w:r w:rsidRPr="005936B2">
        <w:rPr>
          <w:rFonts w:ascii="Book Antiqua" w:eastAsia="Calibri" w:hAnsi="Book Antiqua" w:cs="Book Antiqua"/>
          <w:sz w:val="24"/>
          <w:szCs w:val="24"/>
          <w:lang w:eastAsia="bg-BG"/>
        </w:rPr>
        <w:t>6</w:t>
      </w:r>
      <w:r w:rsidRPr="005936B2">
        <w:rPr>
          <w:rFonts w:ascii="Book Antiqua" w:eastAsia="Calibri" w:hAnsi="Book Antiqua" w:cs="Book Antiqua"/>
          <w:sz w:val="24"/>
          <w:szCs w:val="24"/>
          <w:lang w:val="bg-BG" w:eastAsia="bg-BG"/>
        </w:rPr>
        <w:t>, 2015</w:t>
      </w:r>
    </w:p>
    <w:p w:rsidR="007A30DF" w:rsidRPr="005936B2" w:rsidRDefault="007A30DF" w:rsidP="007A30DF">
      <w:pPr>
        <w:autoSpaceDE w:val="0"/>
        <w:autoSpaceDN w:val="0"/>
        <w:adjustRightInd w:val="0"/>
        <w:spacing w:line="360" w:lineRule="auto"/>
        <w:rPr>
          <w:rFonts w:ascii="Book Antiqua" w:eastAsia="Calibri" w:hAnsi="Book Antiqua" w:cs="Book Antiqua"/>
          <w:sz w:val="24"/>
          <w:szCs w:val="24"/>
          <w:lang w:val="bg-BG" w:eastAsia="bg-BG"/>
        </w:rPr>
      </w:pPr>
      <w:r w:rsidRPr="005936B2">
        <w:rPr>
          <w:rFonts w:ascii="Book Antiqua" w:eastAsia="Calibri" w:hAnsi="Book Antiqua" w:cs="Book Antiqua"/>
          <w:b/>
          <w:sz w:val="24"/>
          <w:szCs w:val="24"/>
          <w:lang w:val="bg-BG" w:eastAsia="bg-BG"/>
        </w:rPr>
        <w:t>Revised:</w:t>
      </w:r>
      <w:r w:rsidRPr="005936B2">
        <w:rPr>
          <w:rFonts w:ascii="Book Antiqua" w:eastAsia="Calibri" w:hAnsi="Book Antiqua" w:cs="Book Antiqua"/>
          <w:sz w:val="24"/>
          <w:szCs w:val="24"/>
          <w:lang w:val="bg-BG" w:eastAsia="bg-BG"/>
        </w:rPr>
        <w:t xml:space="preserve"> </w:t>
      </w:r>
      <w:r w:rsidRPr="005936B2">
        <w:rPr>
          <w:rFonts w:ascii="Book Antiqua" w:eastAsia="Calibri" w:hAnsi="Book Antiqua" w:cs="Book Antiqua"/>
          <w:sz w:val="24"/>
          <w:szCs w:val="24"/>
          <w:lang w:eastAsia="bg-BG"/>
        </w:rPr>
        <w:t>November</w:t>
      </w:r>
      <w:r w:rsidRPr="005936B2">
        <w:rPr>
          <w:rFonts w:ascii="Book Antiqua" w:eastAsia="Calibri" w:hAnsi="Book Antiqua" w:cs="Book Antiqua"/>
          <w:sz w:val="24"/>
          <w:szCs w:val="24"/>
          <w:lang w:val="bg-BG" w:eastAsia="bg-BG"/>
        </w:rPr>
        <w:t xml:space="preserve"> </w:t>
      </w:r>
      <w:r w:rsidRPr="005936B2">
        <w:rPr>
          <w:rFonts w:ascii="Book Antiqua" w:eastAsia="宋体" w:hAnsi="Book Antiqua" w:cs="Book Antiqua"/>
          <w:sz w:val="24"/>
          <w:szCs w:val="24"/>
        </w:rPr>
        <w:t>24</w:t>
      </w:r>
      <w:r w:rsidRPr="005936B2">
        <w:rPr>
          <w:rFonts w:ascii="Book Antiqua" w:eastAsia="Calibri" w:hAnsi="Book Antiqua" w:cs="Book Antiqua"/>
          <w:sz w:val="24"/>
          <w:szCs w:val="24"/>
          <w:lang w:val="bg-BG" w:eastAsia="bg-BG"/>
        </w:rPr>
        <w:t>, 2015</w:t>
      </w:r>
    </w:p>
    <w:p w:rsidR="007A30DF" w:rsidRPr="005936B2" w:rsidRDefault="007A30DF" w:rsidP="007A30DF">
      <w:pPr>
        <w:autoSpaceDE w:val="0"/>
        <w:autoSpaceDN w:val="0"/>
        <w:adjustRightInd w:val="0"/>
        <w:spacing w:line="360" w:lineRule="auto"/>
        <w:rPr>
          <w:rFonts w:ascii="Book Antiqua" w:eastAsia="Calibri" w:hAnsi="Book Antiqua" w:cs="Book Antiqua"/>
          <w:sz w:val="24"/>
          <w:szCs w:val="24"/>
          <w:lang w:val="bg-BG" w:eastAsia="bg-BG"/>
        </w:rPr>
      </w:pPr>
      <w:r w:rsidRPr="005936B2">
        <w:rPr>
          <w:rFonts w:ascii="Book Antiqua" w:eastAsia="Calibri" w:hAnsi="Book Antiqua" w:cs="Book Antiqua"/>
          <w:b/>
          <w:sz w:val="24"/>
          <w:szCs w:val="24"/>
          <w:lang w:val="bg-BG" w:eastAsia="bg-BG"/>
        </w:rPr>
        <w:t>Accepted:</w:t>
      </w:r>
      <w:r w:rsidR="00513351" w:rsidRPr="00513351">
        <w:t xml:space="preserve"> </w:t>
      </w:r>
      <w:r w:rsidR="00513351" w:rsidRPr="00513351">
        <w:rPr>
          <w:rFonts w:ascii="Book Antiqua" w:eastAsia="Calibri" w:hAnsi="Book Antiqua" w:cs="Book Antiqua"/>
          <w:sz w:val="24"/>
          <w:szCs w:val="24"/>
          <w:lang w:val="bg-BG" w:eastAsia="bg-BG"/>
        </w:rPr>
        <w:t>December 13, 2015</w:t>
      </w:r>
      <w:r w:rsidRPr="005936B2">
        <w:rPr>
          <w:rFonts w:ascii="Book Antiqua" w:eastAsia="Calibri" w:hAnsi="Book Antiqua" w:cs="Book Antiqua"/>
          <w:sz w:val="24"/>
          <w:szCs w:val="24"/>
          <w:lang w:val="bg-BG" w:eastAsia="bg-BG"/>
        </w:rPr>
        <w:t xml:space="preserve"> </w:t>
      </w:r>
    </w:p>
    <w:p w:rsidR="007A30DF" w:rsidRPr="005936B2" w:rsidRDefault="007A30DF" w:rsidP="007A30DF">
      <w:pPr>
        <w:autoSpaceDE w:val="0"/>
        <w:autoSpaceDN w:val="0"/>
        <w:adjustRightInd w:val="0"/>
        <w:spacing w:line="360" w:lineRule="auto"/>
        <w:rPr>
          <w:rFonts w:ascii="Book Antiqua" w:eastAsia="Calibri" w:hAnsi="Book Antiqua" w:cs="Book Antiqua"/>
          <w:b/>
          <w:sz w:val="24"/>
          <w:szCs w:val="24"/>
          <w:lang w:val="bg-BG" w:eastAsia="bg-BG"/>
        </w:rPr>
      </w:pPr>
      <w:r w:rsidRPr="005936B2">
        <w:rPr>
          <w:rFonts w:ascii="Book Antiqua" w:eastAsia="Calibri" w:hAnsi="Book Antiqua" w:cs="Book Antiqua"/>
          <w:b/>
          <w:sz w:val="24"/>
          <w:szCs w:val="24"/>
          <w:lang w:val="bg-BG" w:eastAsia="bg-BG"/>
        </w:rPr>
        <w:t>Article in press:</w:t>
      </w:r>
    </w:p>
    <w:p w:rsidR="007A30DF" w:rsidRPr="005936B2" w:rsidRDefault="007A30DF" w:rsidP="007A30DF">
      <w:pPr>
        <w:spacing w:line="360" w:lineRule="auto"/>
        <w:rPr>
          <w:rFonts w:ascii="Book Antiqua" w:eastAsia="Calibri" w:hAnsi="Book Antiqua" w:cs="Book Antiqua"/>
          <w:b/>
          <w:sz w:val="24"/>
          <w:szCs w:val="24"/>
          <w:lang w:eastAsia="bg-BG"/>
        </w:rPr>
      </w:pPr>
      <w:r w:rsidRPr="005936B2">
        <w:rPr>
          <w:rFonts w:ascii="Book Antiqua" w:eastAsia="Calibri" w:hAnsi="Book Antiqua" w:cs="Book Antiqua"/>
          <w:b/>
          <w:sz w:val="24"/>
          <w:szCs w:val="24"/>
          <w:lang w:val="bg-BG" w:eastAsia="bg-BG"/>
        </w:rPr>
        <w:t>Published online:</w:t>
      </w:r>
    </w:p>
    <w:p w:rsidR="007A30DF" w:rsidRPr="005936B2" w:rsidRDefault="007A30DF" w:rsidP="007A30DF">
      <w:pPr>
        <w:spacing w:line="360" w:lineRule="auto"/>
        <w:rPr>
          <w:rFonts w:ascii="Book Antiqua" w:hAnsi="Book Antiqua"/>
          <w:bCs/>
          <w:sz w:val="24"/>
          <w:szCs w:val="24"/>
        </w:rPr>
        <w:sectPr w:rsidR="007A30DF" w:rsidRPr="005936B2" w:rsidSect="00F01A62">
          <w:pgSz w:w="11906" w:h="16838"/>
          <w:pgMar w:top="1417" w:right="1417" w:bottom="1417" w:left="1417" w:header="708" w:footer="708" w:gutter="0"/>
          <w:cols w:space="708"/>
          <w:docGrid w:linePitch="360"/>
        </w:sectPr>
      </w:pPr>
    </w:p>
    <w:p w:rsidR="007A30DF" w:rsidRPr="005936B2" w:rsidRDefault="007A30DF" w:rsidP="007A30DF">
      <w:pPr>
        <w:spacing w:line="360" w:lineRule="auto"/>
        <w:rPr>
          <w:rFonts w:ascii="Book Antiqua" w:hAnsi="Book Antiqua"/>
          <w:b/>
          <w:bCs/>
          <w:sz w:val="24"/>
          <w:szCs w:val="24"/>
        </w:rPr>
      </w:pPr>
      <w:r w:rsidRPr="005936B2">
        <w:rPr>
          <w:rFonts w:ascii="Book Antiqua" w:hAnsi="Book Antiqua"/>
          <w:b/>
          <w:bCs/>
          <w:sz w:val="24"/>
          <w:szCs w:val="24"/>
        </w:rPr>
        <w:lastRenderedPageBreak/>
        <w:t>Abstract</w:t>
      </w:r>
    </w:p>
    <w:p w:rsidR="007A30DF" w:rsidRPr="005936B2" w:rsidRDefault="007A30DF" w:rsidP="007A30DF">
      <w:pPr>
        <w:spacing w:line="360" w:lineRule="auto"/>
        <w:rPr>
          <w:rFonts w:ascii="Book Antiqua" w:hAnsi="Book Antiqua"/>
          <w:bCs/>
          <w:sz w:val="24"/>
          <w:szCs w:val="24"/>
        </w:rPr>
      </w:pPr>
      <w:r w:rsidRPr="005936B2">
        <w:rPr>
          <w:rFonts w:ascii="Book Antiqua" w:hAnsi="Book Antiqua"/>
          <w:bCs/>
          <w:sz w:val="24"/>
          <w:szCs w:val="24"/>
        </w:rPr>
        <w:t>The recombinant DNA technology enabled the production of a variety of human therapeutic proteins. Accumulated clinical experience, however, indicates that the formation of antibodies against such proteins is a general phenomenon rather than an exception. The immunogenicity of therapeutic proteins results in inefficient therapy and in the development of undesired, sometimes life-threatening, side reactions. The human proteins, designed for clinical application, usually have the same amino acid sequence as their native prototypes and it is not yet fully clear what the reasons for their immunogenicity are. In previous studies we have demonstrated for the first time that interferon-</w:t>
      </w:r>
      <w:r w:rsidRPr="005936B2">
        <w:rPr>
          <w:rFonts w:ascii="Book Antiqua" w:hAnsi="Book Antiqua"/>
          <w:bCs/>
          <w:sz w:val="24"/>
          <w:szCs w:val="24"/>
        </w:rPr>
        <w:sym w:font="Symbol" w:char="F062"/>
      </w:r>
      <w:r w:rsidRPr="005936B2">
        <w:rPr>
          <w:rFonts w:ascii="Book Antiqua" w:hAnsi="Book Antiqua"/>
          <w:bCs/>
          <w:sz w:val="24"/>
          <w:szCs w:val="24"/>
        </w:rPr>
        <w:t xml:space="preserve"> (IFN-</w:t>
      </w:r>
      <w:r w:rsidRPr="005936B2">
        <w:rPr>
          <w:rFonts w:ascii="Book Antiqua" w:eastAsia="宋体" w:hAnsi="Book Antiqua"/>
          <w:bCs/>
          <w:sz w:val="24"/>
          <w:szCs w:val="24"/>
        </w:rPr>
        <w:sym w:font="Symbol" w:char="F062"/>
      </w:r>
      <w:r w:rsidRPr="005936B2">
        <w:rPr>
          <w:rFonts w:ascii="Book Antiqua" w:hAnsi="Book Antiqua"/>
          <w:bCs/>
          <w:sz w:val="24"/>
          <w:szCs w:val="24"/>
        </w:rPr>
        <w:t xml:space="preserve">) pharmaceuticals, used for treatment of patients with multiple sclerosis, do contain </w:t>
      </w:r>
      <w:bookmarkStart w:id="0" w:name="OLE_LINK9"/>
      <w:bookmarkStart w:id="1" w:name="OLE_LINK10"/>
      <w:r w:rsidRPr="005936B2">
        <w:rPr>
          <w:rFonts w:ascii="Book Antiqua" w:hAnsi="Book Antiqua"/>
          <w:bCs/>
          <w:sz w:val="24"/>
          <w:szCs w:val="24"/>
        </w:rPr>
        <w:t>advanced glycation end products</w:t>
      </w:r>
      <w:bookmarkEnd w:id="0"/>
      <w:bookmarkEnd w:id="1"/>
      <w:r w:rsidRPr="005936B2">
        <w:rPr>
          <w:rFonts w:ascii="Book Antiqua" w:hAnsi="Book Antiqua"/>
          <w:bCs/>
          <w:sz w:val="24"/>
          <w:szCs w:val="24"/>
        </w:rPr>
        <w:t xml:space="preserve"> (AGEs) that contribute to IFN-</w:t>
      </w:r>
      <w:r w:rsidRPr="005936B2">
        <w:rPr>
          <w:rFonts w:ascii="Book Antiqua" w:eastAsia="宋体" w:hAnsi="Book Antiqua"/>
          <w:bCs/>
          <w:sz w:val="24"/>
          <w:szCs w:val="24"/>
        </w:rPr>
        <w:sym w:font="Symbol" w:char="F062"/>
      </w:r>
      <w:r w:rsidRPr="005936B2">
        <w:rPr>
          <w:rFonts w:ascii="Book Antiqua" w:hAnsi="Book Antiqua"/>
          <w:bCs/>
          <w:sz w:val="24"/>
          <w:szCs w:val="24"/>
        </w:rPr>
        <w:t xml:space="preserve"> immunogenicity. AGEs are the final products of a chemical reaction known as the Maillard reaction or glycation, which implication in protein drugs’ immunogenicity has been overlooked so far. Therefore, the aim of the present article is to provide a comprehensive overview on the Maillard reaction with emphasis on experimental data and theoretical consideration telling us why the Maillard reaction warrants special attention in the context of the well-documented protein drugs’ immunogenicity. </w:t>
      </w:r>
    </w:p>
    <w:p w:rsidR="007A30DF" w:rsidRPr="005936B2" w:rsidRDefault="007A30DF" w:rsidP="007A30DF">
      <w:pPr>
        <w:tabs>
          <w:tab w:val="left" w:pos="4019"/>
        </w:tabs>
        <w:spacing w:line="360" w:lineRule="auto"/>
        <w:rPr>
          <w:rFonts w:ascii="Book Antiqua" w:hAnsi="Book Antiqua"/>
          <w:b/>
          <w:bCs/>
          <w:sz w:val="24"/>
          <w:szCs w:val="24"/>
        </w:rPr>
      </w:pPr>
      <w:r w:rsidRPr="005936B2">
        <w:rPr>
          <w:rFonts w:ascii="Book Antiqua" w:hAnsi="Book Antiqua"/>
          <w:b/>
          <w:bCs/>
          <w:sz w:val="24"/>
          <w:szCs w:val="24"/>
        </w:rPr>
        <w:tab/>
      </w:r>
    </w:p>
    <w:p w:rsidR="007A30DF" w:rsidRPr="005936B2" w:rsidRDefault="007A30DF" w:rsidP="007A30DF">
      <w:pPr>
        <w:spacing w:line="360" w:lineRule="auto"/>
        <w:rPr>
          <w:rFonts w:ascii="Book Antiqua" w:hAnsi="Book Antiqua"/>
          <w:b/>
          <w:bCs/>
          <w:sz w:val="24"/>
          <w:szCs w:val="24"/>
        </w:rPr>
      </w:pPr>
      <w:r w:rsidRPr="005936B2">
        <w:rPr>
          <w:rFonts w:ascii="Book Antiqua" w:hAnsi="Book Antiqua"/>
          <w:b/>
          <w:bCs/>
          <w:sz w:val="24"/>
          <w:szCs w:val="24"/>
        </w:rPr>
        <w:t xml:space="preserve">Key words: </w:t>
      </w:r>
      <w:r w:rsidRPr="005936B2">
        <w:rPr>
          <w:rFonts w:ascii="Book Antiqua" w:hAnsi="Book Antiqua"/>
          <w:bCs/>
          <w:sz w:val="24"/>
          <w:szCs w:val="24"/>
        </w:rPr>
        <w:t>Maillard reaction; Glycation; Advanced glycation end products; Protein therapeutics;</w:t>
      </w:r>
      <w:r w:rsidRPr="005936B2">
        <w:rPr>
          <w:rFonts w:ascii="Book Antiqua" w:hAnsi="Book Antiqua"/>
          <w:b/>
          <w:bCs/>
          <w:sz w:val="24"/>
          <w:szCs w:val="24"/>
        </w:rPr>
        <w:t xml:space="preserve"> </w:t>
      </w:r>
      <w:r w:rsidRPr="005936B2">
        <w:rPr>
          <w:rFonts w:ascii="Book Antiqua" w:hAnsi="Book Antiqua"/>
          <w:bCs/>
          <w:sz w:val="24"/>
          <w:szCs w:val="24"/>
        </w:rPr>
        <w:t>Interferon-</w:t>
      </w:r>
      <w:r w:rsidRPr="005936B2">
        <w:rPr>
          <w:rFonts w:ascii="Book Antiqua" w:hAnsi="Book Antiqua"/>
          <w:bCs/>
          <w:sz w:val="24"/>
          <w:szCs w:val="24"/>
        </w:rPr>
        <w:sym w:font="Symbol" w:char="F062"/>
      </w:r>
      <w:r w:rsidRPr="005936B2">
        <w:rPr>
          <w:rFonts w:ascii="Book Antiqua" w:hAnsi="Book Antiqua"/>
          <w:bCs/>
          <w:sz w:val="24"/>
          <w:szCs w:val="24"/>
        </w:rPr>
        <w:t>;</w:t>
      </w:r>
      <w:r w:rsidRPr="005936B2">
        <w:rPr>
          <w:rFonts w:ascii="Book Antiqua" w:hAnsi="Book Antiqua"/>
          <w:b/>
          <w:bCs/>
          <w:sz w:val="24"/>
          <w:szCs w:val="24"/>
        </w:rPr>
        <w:t xml:space="preserve"> </w:t>
      </w:r>
      <w:r w:rsidRPr="005936B2">
        <w:rPr>
          <w:rFonts w:ascii="Book Antiqua" w:hAnsi="Book Antiqua"/>
          <w:bCs/>
          <w:sz w:val="24"/>
          <w:szCs w:val="24"/>
        </w:rPr>
        <w:t>Immunogenicity</w:t>
      </w:r>
    </w:p>
    <w:p w:rsidR="007A30DF" w:rsidRPr="005936B2" w:rsidRDefault="007A30DF" w:rsidP="007A30DF">
      <w:pPr>
        <w:tabs>
          <w:tab w:val="left" w:pos="4019"/>
        </w:tabs>
        <w:spacing w:line="360" w:lineRule="auto"/>
        <w:rPr>
          <w:rFonts w:ascii="Book Antiqua" w:hAnsi="Book Antiqua"/>
          <w:b/>
          <w:bCs/>
          <w:sz w:val="24"/>
          <w:szCs w:val="24"/>
        </w:rPr>
      </w:pPr>
    </w:p>
    <w:p w:rsidR="007A30DF" w:rsidRPr="005936B2" w:rsidRDefault="007A30DF" w:rsidP="007A30DF">
      <w:pPr>
        <w:autoSpaceDE w:val="0"/>
        <w:autoSpaceDN w:val="0"/>
        <w:adjustRightInd w:val="0"/>
        <w:spacing w:line="360" w:lineRule="auto"/>
        <w:rPr>
          <w:rFonts w:ascii="Book Antiqua" w:hAnsi="Book Antiqua"/>
          <w:b/>
          <w:bCs/>
          <w:sz w:val="24"/>
          <w:szCs w:val="24"/>
        </w:rPr>
      </w:pPr>
      <w:r w:rsidRPr="005936B2">
        <w:rPr>
          <w:rFonts w:ascii="Book Antiqua" w:eastAsia="Calibri" w:hAnsi="Book Antiqua" w:cs="Book Antiqua"/>
          <w:sz w:val="24"/>
          <w:szCs w:val="24"/>
          <w:lang w:val="bg-BG" w:eastAsia="bg-BG"/>
        </w:rPr>
        <w:t xml:space="preserve">© </w:t>
      </w:r>
      <w:r w:rsidRPr="005936B2">
        <w:rPr>
          <w:rFonts w:ascii="Book Antiqua" w:eastAsia="Calibri" w:hAnsi="Book Antiqua" w:cs="Book Antiqua"/>
          <w:b/>
          <w:sz w:val="24"/>
          <w:szCs w:val="24"/>
          <w:lang w:val="bg-BG" w:eastAsia="bg-BG"/>
        </w:rPr>
        <w:t>The Author(s) 2015.</w:t>
      </w:r>
      <w:r w:rsidRPr="005936B2">
        <w:rPr>
          <w:rFonts w:ascii="Book Antiqua" w:eastAsia="Calibri" w:hAnsi="Book Antiqua" w:cs="Book Antiqua"/>
          <w:sz w:val="24"/>
          <w:szCs w:val="24"/>
          <w:lang w:val="bg-BG" w:eastAsia="bg-BG"/>
        </w:rPr>
        <w:t xml:space="preserve"> Published by Baishideng Publishing Group Inc. All rights</w:t>
      </w:r>
      <w:r w:rsidRPr="005936B2">
        <w:rPr>
          <w:rFonts w:ascii="Book Antiqua" w:eastAsia="Calibri" w:hAnsi="Book Antiqua" w:cs="Book Antiqua"/>
          <w:sz w:val="24"/>
          <w:szCs w:val="24"/>
          <w:lang w:eastAsia="bg-BG"/>
        </w:rPr>
        <w:t xml:space="preserve"> </w:t>
      </w:r>
      <w:r w:rsidRPr="005936B2">
        <w:rPr>
          <w:rFonts w:ascii="Book Antiqua" w:eastAsia="Calibri" w:hAnsi="Book Antiqua" w:cs="Book Antiqua"/>
          <w:sz w:val="24"/>
          <w:szCs w:val="24"/>
          <w:lang w:val="bg-BG" w:eastAsia="bg-BG"/>
        </w:rPr>
        <w:t>reserved.</w:t>
      </w:r>
    </w:p>
    <w:p w:rsidR="007A30DF" w:rsidRPr="005936B2" w:rsidRDefault="007A30DF" w:rsidP="007A30DF">
      <w:pPr>
        <w:tabs>
          <w:tab w:val="left" w:pos="4019"/>
        </w:tabs>
        <w:spacing w:line="360" w:lineRule="auto"/>
        <w:rPr>
          <w:rFonts w:ascii="Book Antiqua" w:hAnsi="Book Antiqua"/>
          <w:b/>
          <w:bCs/>
          <w:sz w:val="24"/>
          <w:szCs w:val="24"/>
        </w:rPr>
      </w:pPr>
    </w:p>
    <w:p w:rsidR="007A30DF" w:rsidRPr="005936B2" w:rsidRDefault="007A30DF" w:rsidP="007A30DF">
      <w:pPr>
        <w:spacing w:line="360" w:lineRule="auto"/>
        <w:rPr>
          <w:rFonts w:ascii="Book Antiqua" w:hAnsi="Book Antiqua"/>
          <w:bCs/>
          <w:sz w:val="24"/>
          <w:szCs w:val="24"/>
        </w:rPr>
      </w:pPr>
      <w:r w:rsidRPr="005936B2">
        <w:rPr>
          <w:rFonts w:ascii="Book Antiqua" w:hAnsi="Book Antiqua"/>
          <w:b/>
          <w:bCs/>
          <w:sz w:val="24"/>
          <w:szCs w:val="24"/>
        </w:rPr>
        <w:t xml:space="preserve">Core tip: </w:t>
      </w:r>
      <w:r w:rsidRPr="005936B2">
        <w:rPr>
          <w:rFonts w:ascii="Book Antiqua" w:hAnsi="Book Antiqua"/>
          <w:bCs/>
          <w:sz w:val="24"/>
          <w:szCs w:val="24"/>
        </w:rPr>
        <w:t xml:space="preserve">The Maillard reaction occurs spontaneously in host cells and causes covalent modifications, pyrolysis and crosslinking of therapeutic proteins. These are gross structural changes, which upon administration may provoke in patients classical type innate and adaptive immune responses. The consequences of the Maillard reaction, however, reach far beyond. Specific and non-specific cellular receptors for the advanced products of the Maillard reaction may further enhance the immune response and elicit inflammation. All together the Maillard reaction actions </w:t>
      </w:r>
      <w:r w:rsidRPr="005936B2">
        <w:rPr>
          <w:rFonts w:ascii="Book Antiqua" w:hAnsi="Book Antiqua"/>
          <w:bCs/>
          <w:sz w:val="24"/>
          <w:szCs w:val="24"/>
        </w:rPr>
        <w:lastRenderedPageBreak/>
        <w:t>are expected to result in drug neutralization and side effects in treated patients such as inflammatory and hypersensitivity reactions.</w:t>
      </w:r>
    </w:p>
    <w:p w:rsidR="007A30DF" w:rsidRPr="005936B2" w:rsidRDefault="007A30DF" w:rsidP="007A30DF">
      <w:pPr>
        <w:spacing w:line="360" w:lineRule="auto"/>
        <w:rPr>
          <w:rFonts w:ascii="Book Antiqua" w:hAnsi="Book Antiqua"/>
          <w:bCs/>
          <w:sz w:val="24"/>
          <w:szCs w:val="24"/>
        </w:rPr>
      </w:pPr>
    </w:p>
    <w:p w:rsidR="007A30DF" w:rsidRPr="005936B2" w:rsidRDefault="007A30DF" w:rsidP="007A30DF">
      <w:pPr>
        <w:spacing w:line="360" w:lineRule="auto"/>
        <w:rPr>
          <w:rFonts w:ascii="Book Antiqua" w:hAnsi="Book Antiqua"/>
          <w:bCs/>
          <w:sz w:val="24"/>
          <w:szCs w:val="24"/>
        </w:rPr>
      </w:pPr>
      <w:r w:rsidRPr="005936B2">
        <w:rPr>
          <w:rFonts w:ascii="Book Antiqua" w:hAnsi="Book Antiqua"/>
          <w:bCs/>
          <w:sz w:val="24"/>
          <w:szCs w:val="24"/>
        </w:rPr>
        <w:t xml:space="preserve">Tsekovska R, Sredovska-Bozhinov A, Niwa T, Ivanov I, Mironova R. Maillard reaction and immunogenicity of protein therapeutics. </w:t>
      </w:r>
      <w:r w:rsidRPr="005936B2">
        <w:rPr>
          <w:rFonts w:ascii="Book Antiqua" w:eastAsia="Calibri" w:hAnsi="Book Antiqua" w:cs="Book Antiqua"/>
          <w:i/>
          <w:iCs/>
          <w:sz w:val="24"/>
          <w:szCs w:val="24"/>
          <w:lang w:val="bg-BG" w:eastAsia="bg-BG"/>
        </w:rPr>
        <w:t xml:space="preserve">World J </w:t>
      </w:r>
      <w:r w:rsidRPr="005936B2">
        <w:rPr>
          <w:rFonts w:ascii="Book Antiqua" w:eastAsia="Calibri" w:hAnsi="Book Antiqua" w:cs="Book Antiqua"/>
          <w:i/>
          <w:iCs/>
          <w:sz w:val="24"/>
          <w:szCs w:val="24"/>
          <w:lang w:eastAsia="bg-BG"/>
        </w:rPr>
        <w:t>Immunol</w:t>
      </w:r>
      <w:r w:rsidRPr="005936B2">
        <w:rPr>
          <w:rFonts w:ascii="Book Antiqua" w:eastAsia="Calibri" w:hAnsi="Book Antiqua" w:cs="Book Antiqua"/>
          <w:i/>
          <w:iCs/>
          <w:sz w:val="24"/>
          <w:szCs w:val="24"/>
          <w:lang w:val="bg-BG" w:eastAsia="bg-BG"/>
        </w:rPr>
        <w:t xml:space="preserve"> </w:t>
      </w:r>
      <w:r w:rsidRPr="005936B2">
        <w:rPr>
          <w:rFonts w:ascii="Book Antiqua" w:eastAsia="Calibri" w:hAnsi="Book Antiqua" w:cs="Book Antiqua"/>
          <w:sz w:val="24"/>
          <w:szCs w:val="24"/>
          <w:lang w:val="bg-BG" w:eastAsia="bg-BG"/>
        </w:rPr>
        <w:t>2015; In press</w:t>
      </w:r>
    </w:p>
    <w:p w:rsidR="007A30DF" w:rsidRPr="005936B2" w:rsidRDefault="007A30DF" w:rsidP="007A30DF">
      <w:pPr>
        <w:spacing w:line="360" w:lineRule="auto"/>
        <w:rPr>
          <w:rFonts w:ascii="Book Antiqua" w:hAnsi="Book Antiqua"/>
          <w:bCs/>
          <w:sz w:val="24"/>
          <w:szCs w:val="24"/>
        </w:rPr>
      </w:pPr>
    </w:p>
    <w:p w:rsidR="007A30DF" w:rsidRPr="005936B2" w:rsidRDefault="007A30DF" w:rsidP="007A30DF">
      <w:pPr>
        <w:spacing w:line="360" w:lineRule="auto"/>
        <w:rPr>
          <w:rFonts w:ascii="Book Antiqua" w:hAnsi="Book Antiqua"/>
          <w:b/>
          <w:bCs/>
          <w:sz w:val="24"/>
          <w:szCs w:val="24"/>
        </w:rPr>
      </w:pPr>
    </w:p>
    <w:p w:rsidR="007A30DF" w:rsidRPr="005936B2" w:rsidRDefault="007A30DF" w:rsidP="007A30DF">
      <w:pPr>
        <w:spacing w:line="360" w:lineRule="auto"/>
        <w:rPr>
          <w:rFonts w:ascii="Book Antiqua" w:hAnsi="Book Antiqua"/>
          <w:b/>
          <w:bCs/>
          <w:sz w:val="24"/>
          <w:szCs w:val="24"/>
        </w:rPr>
        <w:sectPr w:rsidR="007A30DF" w:rsidRPr="005936B2" w:rsidSect="00F01A62">
          <w:pgSz w:w="11906" w:h="16838"/>
          <w:pgMar w:top="1417" w:right="1417" w:bottom="1417" w:left="1417" w:header="708" w:footer="708" w:gutter="0"/>
          <w:cols w:space="708"/>
          <w:docGrid w:linePitch="360"/>
        </w:sectPr>
      </w:pPr>
    </w:p>
    <w:p w:rsidR="007A30DF" w:rsidRPr="005936B2" w:rsidRDefault="007A30DF" w:rsidP="007A30DF">
      <w:pPr>
        <w:spacing w:line="360" w:lineRule="auto"/>
        <w:rPr>
          <w:rFonts w:ascii="Book Antiqua" w:hAnsi="Book Antiqua"/>
          <w:b/>
          <w:bCs/>
          <w:sz w:val="24"/>
          <w:szCs w:val="24"/>
        </w:rPr>
      </w:pPr>
      <w:r w:rsidRPr="005936B2">
        <w:rPr>
          <w:rFonts w:ascii="Book Antiqua" w:hAnsi="Book Antiqua"/>
          <w:b/>
          <w:bCs/>
          <w:sz w:val="24"/>
          <w:szCs w:val="24"/>
        </w:rPr>
        <w:lastRenderedPageBreak/>
        <w:t>INTRODUCTION</w:t>
      </w:r>
    </w:p>
    <w:p w:rsidR="007A30DF" w:rsidRPr="005936B2" w:rsidRDefault="007A30DF" w:rsidP="007A30DF">
      <w:pPr>
        <w:spacing w:line="360" w:lineRule="auto"/>
        <w:rPr>
          <w:rFonts w:ascii="Book Antiqua" w:hAnsi="Book Antiqua"/>
          <w:sz w:val="24"/>
          <w:szCs w:val="24"/>
        </w:rPr>
      </w:pPr>
      <w:r w:rsidRPr="005936B2">
        <w:rPr>
          <w:rStyle w:val="Heading1Char"/>
          <w:rFonts w:ascii="Book Antiqua" w:eastAsiaTheme="minorEastAsia" w:hAnsi="Book Antiqua"/>
          <w:b w:val="0"/>
          <w:sz w:val="24"/>
          <w:szCs w:val="24"/>
        </w:rPr>
        <w:t>P</w:t>
      </w:r>
      <w:r w:rsidRPr="005936B2">
        <w:rPr>
          <w:rFonts w:ascii="Book Antiqua" w:hAnsi="Book Antiqua"/>
          <w:sz w:val="24"/>
          <w:szCs w:val="24"/>
        </w:rPr>
        <w:t xml:space="preserve">rotein pharmaceuticals are the major group of biopharmaceuticals used today in medicine for treatment of a large number of diseases. Accumulated clinical experience indicates that protein drugs can elicit an immune response especially when applied in multiple doses over a prolonged period. The antibodies (Abs) in treated patients are produced either by a classical immune response against non-self-antigens or by distortion of the immune </w:t>
      </w:r>
      <w:proofErr w:type="gramStart"/>
      <w:r w:rsidRPr="005936B2">
        <w:rPr>
          <w:rFonts w:ascii="Book Antiqua" w:hAnsi="Book Antiqua"/>
          <w:sz w:val="24"/>
          <w:szCs w:val="24"/>
        </w:rPr>
        <w:t>tolerance</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w:t>
      </w:r>
      <w:r w:rsidRPr="005936B2">
        <w:rPr>
          <w:rFonts w:ascii="Book Antiqua" w:hAnsi="Book Antiqua"/>
          <w:sz w:val="24"/>
          <w:szCs w:val="24"/>
        </w:rPr>
        <w:t>. The development of anti-drug Abs is a slow process, in which the frequency of occurrence and the titer of the antibodies vary widely from low levels in most cases to very high, for example during treatment with some interferon-</w:t>
      </w:r>
      <w:r w:rsidRPr="005936B2">
        <w:rPr>
          <w:rFonts w:ascii="Book Antiqua" w:hAnsi="Book Antiqua"/>
          <w:sz w:val="24"/>
          <w:szCs w:val="24"/>
        </w:rPr>
        <w:sym w:font="Symbol" w:char="F062"/>
      </w:r>
      <w:r w:rsidRPr="005936B2">
        <w:rPr>
          <w:rFonts w:ascii="Book Antiqua" w:hAnsi="Book Antiqua"/>
          <w:sz w:val="24"/>
          <w:szCs w:val="24"/>
        </w:rPr>
        <w:t xml:space="preserve"> pharmaceuticals (IFN</w:t>
      </w:r>
      <w:r w:rsidRPr="005936B2">
        <w:rPr>
          <w:rFonts w:ascii="Book Antiqua" w:eastAsia="宋体" w:hAnsi="Book Antiqua"/>
          <w:sz w:val="24"/>
          <w:szCs w:val="24"/>
        </w:rPr>
        <w:t>-</w:t>
      </w:r>
      <w:r w:rsidRPr="005936B2">
        <w:rPr>
          <w:rFonts w:ascii="Book Antiqua" w:hAnsi="Book Antiqua"/>
          <w:sz w:val="24"/>
          <w:szCs w:val="24"/>
        </w:rPr>
        <w:sym w:font="Symbol" w:char="F062"/>
      </w:r>
      <w:r w:rsidRPr="005936B2">
        <w:rPr>
          <w:rFonts w:ascii="Book Antiqua" w:hAnsi="Book Antiqua"/>
          <w:sz w:val="24"/>
          <w:szCs w:val="24"/>
        </w:rPr>
        <w:t>)</w:t>
      </w:r>
      <w:r w:rsidRPr="005936B2">
        <w:rPr>
          <w:rFonts w:ascii="Book Antiqua" w:hAnsi="Book Antiqua"/>
          <w:sz w:val="24"/>
          <w:szCs w:val="24"/>
          <w:vertAlign w:val="superscript"/>
        </w:rPr>
        <w:t>[2]</w:t>
      </w:r>
      <w:r w:rsidRPr="005936B2">
        <w:rPr>
          <w:rFonts w:ascii="Book Antiqua" w:hAnsi="Book Antiqua"/>
          <w:sz w:val="24"/>
          <w:szCs w:val="24"/>
        </w:rPr>
        <w:t>.</w:t>
      </w:r>
      <w:r w:rsidRPr="005936B2">
        <w:rPr>
          <w:rStyle w:val="Heading1Char"/>
          <w:rFonts w:ascii="Book Antiqua" w:eastAsiaTheme="minorEastAsia" w:hAnsi="Book Antiqua"/>
          <w:sz w:val="24"/>
          <w:szCs w:val="24"/>
        </w:rPr>
        <w:t xml:space="preserve"> </w:t>
      </w:r>
      <w:r w:rsidRPr="005936B2">
        <w:rPr>
          <w:rStyle w:val="Heading1Char"/>
          <w:rFonts w:ascii="Book Antiqua" w:eastAsiaTheme="minorEastAsia" w:hAnsi="Book Antiqua"/>
          <w:b w:val="0"/>
          <w:sz w:val="24"/>
          <w:szCs w:val="24"/>
        </w:rPr>
        <w:t>T</w:t>
      </w:r>
      <w:r w:rsidRPr="005936B2">
        <w:rPr>
          <w:rFonts w:ascii="Book Antiqua" w:hAnsi="Book Antiqua"/>
          <w:sz w:val="24"/>
          <w:szCs w:val="24"/>
        </w:rPr>
        <w:t xml:space="preserve">he anti-drug Abs may have no clinical </w:t>
      </w:r>
      <w:proofErr w:type="gramStart"/>
      <w:r w:rsidRPr="005936B2">
        <w:rPr>
          <w:rFonts w:ascii="Book Antiqua" w:hAnsi="Book Antiqua"/>
          <w:sz w:val="24"/>
          <w:szCs w:val="24"/>
        </w:rPr>
        <w:t>consequences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3-5]</w:t>
      </w:r>
      <w:r w:rsidRPr="005936B2">
        <w:rPr>
          <w:rFonts w:ascii="Book Antiqua" w:hAnsi="Book Antiqua"/>
          <w:sz w:val="24"/>
          <w:szCs w:val="24"/>
        </w:rPr>
        <w:t xml:space="preserve">. However, some studies show that Abs may neutralize drug activity and that of the endogenous drug counterparts thus provoking severe complications in </w:t>
      </w:r>
      <w:proofErr w:type="gramStart"/>
      <w:r w:rsidRPr="005936B2">
        <w:rPr>
          <w:rFonts w:ascii="Book Antiqua" w:hAnsi="Book Antiqua"/>
          <w:sz w:val="24"/>
          <w:szCs w:val="24"/>
        </w:rPr>
        <w:t>patients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6-8]</w:t>
      </w:r>
      <w:r w:rsidRPr="005936B2">
        <w:rPr>
          <w:rFonts w:ascii="Book Antiqua" w:hAnsi="Book Antiqua"/>
          <w:sz w:val="24"/>
          <w:szCs w:val="24"/>
        </w:rPr>
        <w:t xml:space="preserve">. The most frequent side effects are flu-like symptoms and injection-site </w:t>
      </w:r>
      <w:proofErr w:type="gramStart"/>
      <w:r w:rsidRPr="005936B2">
        <w:rPr>
          <w:rFonts w:ascii="Book Antiqua" w:hAnsi="Book Antiqua"/>
          <w:sz w:val="24"/>
          <w:szCs w:val="24"/>
        </w:rPr>
        <w:t>reactions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9,10]</w:t>
      </w:r>
      <w:r w:rsidRPr="005936B2">
        <w:rPr>
          <w:rFonts w:ascii="Book Antiqua" w:hAnsi="Book Antiqua"/>
          <w:sz w:val="24"/>
          <w:szCs w:val="24"/>
        </w:rPr>
        <w:t>, although cases of allergy, anaphylaxis and serum sickness have also been reported</w:t>
      </w:r>
      <w:r w:rsidRPr="005936B2">
        <w:rPr>
          <w:rFonts w:ascii="Book Antiqua" w:hAnsi="Book Antiqua"/>
          <w:sz w:val="24"/>
          <w:szCs w:val="24"/>
          <w:vertAlign w:val="superscript"/>
        </w:rPr>
        <w:t>[11-16]</w:t>
      </w:r>
      <w:r w:rsidRPr="005936B2">
        <w:rPr>
          <w:rFonts w:ascii="Book Antiqua" w:hAnsi="Book Antiqua"/>
          <w:sz w:val="24"/>
          <w:szCs w:val="24"/>
        </w:rPr>
        <w:t xml:space="preserve">.  </w:t>
      </w:r>
    </w:p>
    <w:p w:rsidR="007A30DF" w:rsidRPr="005936B2" w:rsidRDefault="007A30DF" w:rsidP="004C70F6">
      <w:pPr>
        <w:spacing w:line="360" w:lineRule="auto"/>
        <w:ind w:firstLineChars="150" w:firstLine="360"/>
        <w:rPr>
          <w:rFonts w:ascii="Book Antiqua" w:hAnsi="Book Antiqua"/>
          <w:sz w:val="24"/>
          <w:szCs w:val="24"/>
        </w:rPr>
      </w:pPr>
      <w:r w:rsidRPr="005936B2">
        <w:rPr>
          <w:rFonts w:ascii="Book Antiqua" w:hAnsi="Book Antiqua"/>
          <w:sz w:val="24"/>
          <w:szCs w:val="24"/>
        </w:rPr>
        <w:t>The amino acid sequence of therapeutic proteins may differ from that of the native human prototypes and such proteins are therefore recognized by the immune system as non-self.</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 xml:space="preserve">This was the case with porcine insulin used nearly 60 years (from 1920 to 1980) for treatment of diabetes. Porcine insulin differs by only one amino acid from </w:t>
      </w:r>
      <w:proofErr w:type="gramStart"/>
      <w:r w:rsidRPr="005936B2">
        <w:rPr>
          <w:rFonts w:ascii="Book Antiqua" w:hAnsi="Book Antiqua"/>
          <w:sz w:val="24"/>
          <w:szCs w:val="24"/>
        </w:rPr>
        <w:t>human</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17]</w:t>
      </w:r>
      <w:r w:rsidRPr="005936B2">
        <w:rPr>
          <w:rFonts w:ascii="Book Antiqua" w:hAnsi="Book Antiqua"/>
          <w:sz w:val="24"/>
          <w:szCs w:val="24"/>
        </w:rPr>
        <w:t xml:space="preserve"> but all patients treated with porcine insulin developed anti-insulin Abs</w:t>
      </w:r>
      <w:r w:rsidRPr="005936B2">
        <w:rPr>
          <w:rFonts w:ascii="Book Antiqua" w:hAnsi="Book Antiqua"/>
          <w:sz w:val="24"/>
          <w:szCs w:val="24"/>
          <w:vertAlign w:val="superscript"/>
        </w:rPr>
        <w:t>[18]</w:t>
      </w:r>
      <w:r w:rsidRPr="005936B2">
        <w:rPr>
          <w:rFonts w:ascii="Book Antiqua" w:hAnsi="Book Antiqua"/>
          <w:sz w:val="24"/>
          <w:szCs w:val="24"/>
        </w:rPr>
        <w:t>.</w:t>
      </w:r>
      <w:r w:rsidRPr="005936B2">
        <w:rPr>
          <w:rStyle w:val="Heading1Char"/>
          <w:rFonts w:ascii="Book Antiqua" w:eastAsiaTheme="minorEastAsia" w:hAnsi="Book Antiqua"/>
          <w:sz w:val="24"/>
          <w:szCs w:val="24"/>
        </w:rPr>
        <w:t xml:space="preserve"> </w:t>
      </w:r>
      <w:r w:rsidRPr="005936B2">
        <w:rPr>
          <w:rStyle w:val="Heading1Char"/>
          <w:rFonts w:ascii="Book Antiqua" w:eastAsiaTheme="minorEastAsia" w:hAnsi="Book Antiqua"/>
          <w:b w:val="0"/>
          <w:sz w:val="24"/>
          <w:szCs w:val="24"/>
        </w:rPr>
        <w:t>To compensate for drug neutralization in such cases drug dosages are increased thus further boosting the immune response. The final result of such a vicious cycle is loss</w:t>
      </w:r>
      <w:r w:rsidRPr="005936B2">
        <w:rPr>
          <w:rStyle w:val="Heading1Char"/>
          <w:rFonts w:ascii="Book Antiqua" w:eastAsiaTheme="minorEastAsia" w:hAnsi="Book Antiqua"/>
          <w:sz w:val="24"/>
          <w:szCs w:val="24"/>
        </w:rPr>
        <w:t xml:space="preserve"> </w:t>
      </w:r>
      <w:r w:rsidRPr="005936B2">
        <w:rPr>
          <w:rStyle w:val="Heading1Char"/>
          <w:rFonts w:ascii="Book Antiqua" w:eastAsiaTheme="minorEastAsia" w:hAnsi="Book Antiqua"/>
          <w:b w:val="0"/>
          <w:sz w:val="24"/>
          <w:szCs w:val="24"/>
        </w:rPr>
        <w:t xml:space="preserve">of </w:t>
      </w:r>
      <w:r w:rsidRPr="005936B2">
        <w:rPr>
          <w:rFonts w:ascii="Book Antiqua" w:hAnsi="Book Antiqua"/>
          <w:sz w:val="24"/>
          <w:szCs w:val="24"/>
        </w:rPr>
        <w:t xml:space="preserve">therapeutic </w:t>
      </w:r>
      <w:proofErr w:type="gramStart"/>
      <w:r w:rsidRPr="005936B2">
        <w:rPr>
          <w:rFonts w:ascii="Book Antiqua" w:hAnsi="Book Antiqua"/>
          <w:sz w:val="24"/>
          <w:szCs w:val="24"/>
        </w:rPr>
        <w:t>efficacy</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19,20]</w:t>
      </w:r>
      <w:r w:rsidRPr="005936B2">
        <w:rPr>
          <w:rFonts w:ascii="Book Antiqua" w:hAnsi="Book Antiqua"/>
          <w:sz w:val="24"/>
          <w:szCs w:val="24"/>
        </w:rPr>
        <w:t>.</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The deviation from the native protein structure may explain why insulin and other therapeutic proteins of animal origin are immunogenic.</w:t>
      </w:r>
      <w:r w:rsidRPr="005936B2">
        <w:rPr>
          <w:rStyle w:val="Heading1Char"/>
          <w:rFonts w:ascii="Book Antiqua" w:eastAsiaTheme="minorEastAsia" w:hAnsi="Book Antiqua"/>
          <w:sz w:val="24"/>
          <w:szCs w:val="24"/>
        </w:rPr>
        <w:t xml:space="preserve"> </w:t>
      </w:r>
      <w:r w:rsidRPr="005936B2">
        <w:rPr>
          <w:rStyle w:val="Heading1Char"/>
          <w:rFonts w:ascii="Book Antiqua" w:eastAsiaTheme="minorEastAsia" w:hAnsi="Book Antiqua"/>
          <w:b w:val="0"/>
          <w:sz w:val="24"/>
          <w:szCs w:val="24"/>
        </w:rPr>
        <w:t>However, the production of human insulin by the recombinant DNA technology did not fully solve the problem with the immunogenicity.</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 xml:space="preserve">Interestingly, the deletion of Tyr-19 in human insulin resulted in reduced </w:t>
      </w:r>
      <w:proofErr w:type="gramStart"/>
      <w:r w:rsidRPr="005936B2">
        <w:rPr>
          <w:rFonts w:ascii="Book Antiqua" w:hAnsi="Book Antiqua"/>
          <w:sz w:val="24"/>
          <w:szCs w:val="24"/>
        </w:rPr>
        <w:t>immunogenicity</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21]</w:t>
      </w:r>
      <w:r w:rsidRPr="005936B2">
        <w:rPr>
          <w:rFonts w:ascii="Book Antiqua" w:hAnsi="Book Antiqua"/>
          <w:sz w:val="24"/>
          <w:szCs w:val="24"/>
        </w:rPr>
        <w:t xml:space="preserve">. We suppose that this Tyr-residue might be involved in covalent aggregation of insulin </w:t>
      </w:r>
      <w:r w:rsidRPr="005936B2">
        <w:rPr>
          <w:rFonts w:ascii="Book Antiqua" w:hAnsi="Book Antiqua"/>
          <w:i/>
          <w:sz w:val="24"/>
          <w:szCs w:val="24"/>
        </w:rPr>
        <w:t>via</w:t>
      </w:r>
      <w:r w:rsidRPr="005936B2">
        <w:rPr>
          <w:rFonts w:ascii="Book Antiqua" w:hAnsi="Book Antiqua"/>
          <w:sz w:val="24"/>
          <w:szCs w:val="24"/>
        </w:rPr>
        <w:t xml:space="preserve"> the formation of dityrosine crosslinks.  </w:t>
      </w:r>
    </w:p>
    <w:p w:rsidR="007A30DF" w:rsidRPr="005936B2" w:rsidRDefault="007A30DF" w:rsidP="004C70F6">
      <w:pPr>
        <w:spacing w:line="360" w:lineRule="auto"/>
        <w:ind w:firstLineChars="150" w:firstLine="360"/>
        <w:rPr>
          <w:rFonts w:ascii="Book Antiqua" w:hAnsi="Book Antiqua"/>
          <w:b/>
          <w:sz w:val="24"/>
          <w:szCs w:val="24"/>
        </w:rPr>
      </w:pPr>
      <w:r w:rsidRPr="005936B2">
        <w:rPr>
          <w:rFonts w:ascii="Book Antiqua" w:hAnsi="Book Antiqua"/>
          <w:sz w:val="24"/>
          <w:szCs w:val="24"/>
        </w:rPr>
        <w:t>To date, the reasons for the immunogenicity of human proteins are not fully understood.</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 xml:space="preserve">The dose and duration of treatment, the route of drug administration and patients’ inborn characteristics may modulate the immune </w:t>
      </w:r>
      <w:proofErr w:type="gramStart"/>
      <w:r w:rsidRPr="005936B2">
        <w:rPr>
          <w:rFonts w:ascii="Book Antiqua" w:hAnsi="Book Antiqua"/>
          <w:sz w:val="24"/>
          <w:szCs w:val="24"/>
        </w:rPr>
        <w:t>response</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22]</w:t>
      </w:r>
      <w:r w:rsidRPr="005936B2">
        <w:rPr>
          <w:rFonts w:ascii="Book Antiqua" w:hAnsi="Book Antiqua"/>
          <w:sz w:val="24"/>
          <w:szCs w:val="24"/>
        </w:rPr>
        <w:t xml:space="preserve">. </w:t>
      </w:r>
      <w:r w:rsidRPr="005936B2">
        <w:rPr>
          <w:rStyle w:val="Heading1Char"/>
          <w:rFonts w:ascii="Book Antiqua" w:eastAsiaTheme="minorEastAsia" w:hAnsi="Book Antiqua"/>
          <w:b w:val="0"/>
          <w:sz w:val="24"/>
          <w:szCs w:val="24"/>
        </w:rPr>
        <w:t xml:space="preserve">Excipient </w:t>
      </w:r>
      <w:r w:rsidRPr="005936B2">
        <w:rPr>
          <w:rStyle w:val="Heading1Char"/>
          <w:rFonts w:ascii="Book Antiqua" w:eastAsiaTheme="minorEastAsia" w:hAnsi="Book Antiqua"/>
          <w:b w:val="0"/>
          <w:sz w:val="24"/>
          <w:szCs w:val="24"/>
        </w:rPr>
        <w:lastRenderedPageBreak/>
        <w:t>substances, used in drugs to stabilize proteins</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 xml:space="preserve">may also be of particular </w:t>
      </w:r>
      <w:proofErr w:type="gramStart"/>
      <w:r w:rsidRPr="005936B2">
        <w:rPr>
          <w:rFonts w:ascii="Book Antiqua" w:hAnsi="Book Antiqua"/>
          <w:sz w:val="24"/>
          <w:szCs w:val="24"/>
        </w:rPr>
        <w:t>relevance</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23-25]</w:t>
      </w:r>
      <w:r w:rsidRPr="005936B2">
        <w:rPr>
          <w:rFonts w:ascii="Book Antiqua" w:hAnsi="Book Antiqua"/>
          <w:sz w:val="24"/>
          <w:szCs w:val="24"/>
        </w:rPr>
        <w:t>. However, the reasons for immunogenicity are mainly attributed to protein</w:t>
      </w:r>
      <w:r w:rsidRPr="005936B2">
        <w:rPr>
          <w:rStyle w:val="Heading1Char"/>
          <w:rFonts w:ascii="Book Antiqua" w:eastAsiaTheme="minorEastAsia" w:hAnsi="Book Antiqua"/>
          <w:sz w:val="24"/>
          <w:szCs w:val="24"/>
        </w:rPr>
        <w:t xml:space="preserve"> </w:t>
      </w:r>
      <w:r w:rsidRPr="005936B2">
        <w:rPr>
          <w:rStyle w:val="Heading1Char"/>
          <w:rFonts w:ascii="Book Antiqua" w:eastAsiaTheme="minorEastAsia" w:hAnsi="Book Antiqua"/>
          <w:b w:val="0"/>
          <w:sz w:val="24"/>
          <w:szCs w:val="24"/>
        </w:rPr>
        <w:t xml:space="preserve">structural changes occurring during </w:t>
      </w:r>
      <w:r w:rsidRPr="005936B2">
        <w:rPr>
          <w:rFonts w:ascii="Book Antiqua" w:hAnsi="Book Antiqua"/>
          <w:sz w:val="24"/>
          <w:szCs w:val="24"/>
        </w:rPr>
        <w:t>fermentation, purification, drug formulation and storage, including amino acid substitutions, non-native (or lack of) glycosylation, proteolysis, aggregation (both covalent and non-covalent), denaturation, deamination and oxidation.</w:t>
      </w:r>
      <w:r w:rsidRPr="005936B2">
        <w:rPr>
          <w:rStyle w:val="Heading1Char"/>
          <w:rFonts w:ascii="Book Antiqua" w:eastAsiaTheme="minorEastAsia" w:hAnsi="Book Antiqua"/>
          <w:sz w:val="24"/>
          <w:szCs w:val="24"/>
        </w:rPr>
        <w:t xml:space="preserve"> </w:t>
      </w:r>
      <w:r w:rsidRPr="005936B2">
        <w:rPr>
          <w:rStyle w:val="Heading1Char"/>
          <w:rFonts w:ascii="Book Antiqua" w:eastAsiaTheme="minorEastAsia" w:hAnsi="Book Antiqua"/>
          <w:b w:val="0"/>
          <w:sz w:val="24"/>
          <w:szCs w:val="24"/>
        </w:rPr>
        <w:t xml:space="preserve">Some of these structural alterations (covalent aggregation and proteolysis) may occur during the Maillard reaction, which relation to drugs’ immunogenicity is poorly studied and has inspired us to write the current review. </w:t>
      </w:r>
    </w:p>
    <w:p w:rsidR="007A30DF" w:rsidRPr="005936B2" w:rsidRDefault="007A30DF" w:rsidP="007A30DF">
      <w:pPr>
        <w:spacing w:line="360" w:lineRule="auto"/>
        <w:rPr>
          <w:rFonts w:ascii="Book Antiqua" w:hAnsi="Book Antiqua"/>
          <w:b/>
          <w:bCs/>
          <w:sz w:val="24"/>
          <w:szCs w:val="24"/>
        </w:rPr>
      </w:pPr>
    </w:p>
    <w:p w:rsidR="007A30DF" w:rsidRPr="005936B2" w:rsidRDefault="007A30DF" w:rsidP="007A30DF">
      <w:pPr>
        <w:spacing w:line="360" w:lineRule="auto"/>
        <w:rPr>
          <w:rFonts w:ascii="Book Antiqua" w:hAnsi="Book Antiqua"/>
          <w:b/>
          <w:bCs/>
          <w:sz w:val="24"/>
          <w:szCs w:val="24"/>
        </w:rPr>
      </w:pPr>
      <w:r w:rsidRPr="005936B2">
        <w:rPr>
          <w:rFonts w:ascii="Book Antiqua" w:hAnsi="Book Antiqua"/>
          <w:b/>
          <w:bCs/>
          <w:sz w:val="24"/>
          <w:szCs w:val="24"/>
        </w:rPr>
        <w:t>MAILLARD REACTION AND MAILLARD REACTION PRODUCTS</w:t>
      </w:r>
    </w:p>
    <w:p w:rsidR="007A30DF" w:rsidRPr="005936B2" w:rsidRDefault="007A30DF" w:rsidP="007A30DF">
      <w:pPr>
        <w:spacing w:line="360" w:lineRule="auto"/>
        <w:rPr>
          <w:rFonts w:ascii="Book Antiqua" w:hAnsi="Book Antiqua"/>
          <w:sz w:val="24"/>
          <w:szCs w:val="24"/>
        </w:rPr>
      </w:pPr>
      <w:r w:rsidRPr="005936B2">
        <w:rPr>
          <w:rFonts w:ascii="Book Antiqua" w:hAnsi="Book Antiqua"/>
          <w:sz w:val="24"/>
          <w:szCs w:val="24"/>
        </w:rPr>
        <w:t xml:space="preserve">At the beginning of the past century the French chemist Louis Camille Maillard conducted research on peptide </w:t>
      </w:r>
      <w:proofErr w:type="gramStart"/>
      <w:r w:rsidRPr="005936B2">
        <w:rPr>
          <w:rFonts w:ascii="Book Antiqua" w:hAnsi="Book Antiqua"/>
          <w:sz w:val="24"/>
          <w:szCs w:val="24"/>
        </w:rPr>
        <w:t>synthesis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26]</w:t>
      </w:r>
      <w:r w:rsidRPr="005936B2">
        <w:rPr>
          <w:rFonts w:ascii="Book Antiqua" w:hAnsi="Book Antiqua"/>
          <w:sz w:val="24"/>
          <w:szCs w:val="24"/>
        </w:rPr>
        <w:t xml:space="preserve">. At that time, when the mechanisms of protein biosynthesis were still a mystery, his far reaching goal was to understand the natural way of amino acid polymerization under mild physiological conditions. For this purpose Maillard used D-glucose, a widespread sugar in biological systems, as a soft condensing agent. Thus he realized that glucose, through its aldehyde group, is capable of reacting with amino </w:t>
      </w:r>
      <w:proofErr w:type="gramStart"/>
      <w:r w:rsidRPr="005936B2">
        <w:rPr>
          <w:rFonts w:ascii="Book Antiqua" w:hAnsi="Book Antiqua"/>
          <w:sz w:val="24"/>
          <w:szCs w:val="24"/>
        </w:rPr>
        <w:t>acids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26]</w:t>
      </w:r>
      <w:r w:rsidRPr="005936B2">
        <w:rPr>
          <w:rFonts w:ascii="Book Antiqua" w:hAnsi="Book Antiqua"/>
          <w:sz w:val="24"/>
          <w:szCs w:val="24"/>
        </w:rPr>
        <w:t>. In this way Maillard did not only make a contribution to basic organic chemistry but ingeniously predicted that “The consequences of these facts appear</w:t>
      </w:r>
      <w:r w:rsidRPr="005936B2">
        <w:rPr>
          <w:rFonts w:ascii="Book Antiqua" w:eastAsia="宋体" w:hAnsi="Book Antiqua"/>
          <w:sz w:val="24"/>
          <w:szCs w:val="24"/>
        </w:rPr>
        <w:t>…</w:t>
      </w:r>
      <w:r w:rsidRPr="005936B2">
        <w:rPr>
          <w:rFonts w:ascii="Book Antiqua" w:hAnsi="Book Antiqua"/>
          <w:sz w:val="24"/>
          <w:szCs w:val="24"/>
        </w:rPr>
        <w:t xml:space="preserve"> interesting in various fields of science: not only in human physiology and pathology’’</w:t>
      </w:r>
      <w:r w:rsidRPr="005936B2">
        <w:rPr>
          <w:rFonts w:ascii="Book Antiqua" w:hAnsi="Book Antiqua"/>
          <w:sz w:val="24"/>
          <w:szCs w:val="24"/>
          <w:vertAlign w:val="superscript"/>
        </w:rPr>
        <w:t>[26]</w:t>
      </w:r>
      <w:r w:rsidRPr="005936B2">
        <w:rPr>
          <w:rFonts w:ascii="Book Antiqua" w:hAnsi="Book Antiqua"/>
          <w:sz w:val="24"/>
          <w:szCs w:val="24"/>
        </w:rPr>
        <w:t>.</w:t>
      </w:r>
    </w:p>
    <w:p w:rsidR="007A30DF" w:rsidRPr="005936B2" w:rsidRDefault="007A30DF" w:rsidP="004C70F6">
      <w:pPr>
        <w:spacing w:line="360" w:lineRule="auto"/>
        <w:ind w:firstLineChars="150" w:firstLine="360"/>
        <w:rPr>
          <w:rFonts w:ascii="Book Antiqua" w:hAnsi="Book Antiqua"/>
          <w:sz w:val="24"/>
          <w:szCs w:val="24"/>
        </w:rPr>
      </w:pPr>
      <w:r w:rsidRPr="005936B2">
        <w:rPr>
          <w:rFonts w:ascii="Book Antiqua" w:hAnsi="Book Antiqua"/>
          <w:sz w:val="24"/>
          <w:szCs w:val="24"/>
        </w:rPr>
        <w:t xml:space="preserve">The significance of the Maillard reaction, known also as non-enzymatic browning reaction or carbonyl-amine reaction, for food chemistry was recognized soon. However, it took many years for biologists and physicians to grasp the physiological role of the Maillard reaction. Studies in the late 1960s revealed the existence of an abnormal fast-moving hemoglobin band in diabetic patients during routine electrophoretic screening for hemoglobin </w:t>
      </w:r>
      <w:proofErr w:type="gramStart"/>
      <w:r w:rsidRPr="005936B2">
        <w:rPr>
          <w:rFonts w:ascii="Book Antiqua" w:hAnsi="Book Antiqua"/>
          <w:sz w:val="24"/>
          <w:szCs w:val="24"/>
        </w:rPr>
        <w:t>variants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27,28]</w:t>
      </w:r>
      <w:r w:rsidRPr="005936B2">
        <w:rPr>
          <w:rFonts w:ascii="Book Antiqua" w:hAnsi="Book Antiqua"/>
          <w:sz w:val="24"/>
          <w:szCs w:val="24"/>
        </w:rPr>
        <w:t>. In the same year, it has been shown that the fast-moving hemoglobin subfraction HbA</w:t>
      </w:r>
      <w:r w:rsidRPr="005936B2">
        <w:rPr>
          <w:rFonts w:ascii="Book Antiqua" w:hAnsi="Book Antiqua"/>
          <w:sz w:val="24"/>
          <w:szCs w:val="24"/>
          <w:vertAlign w:val="subscript"/>
        </w:rPr>
        <w:t>1c</w:t>
      </w:r>
      <w:r w:rsidRPr="005936B2">
        <w:rPr>
          <w:rFonts w:ascii="Book Antiqua" w:hAnsi="Book Antiqua"/>
          <w:sz w:val="24"/>
          <w:szCs w:val="24"/>
        </w:rPr>
        <w:t xml:space="preserve"> can be prepared </w:t>
      </w:r>
      <w:r w:rsidRPr="005936B2">
        <w:rPr>
          <w:rFonts w:ascii="Book Antiqua" w:hAnsi="Book Antiqua"/>
          <w:i/>
          <w:iCs/>
          <w:sz w:val="24"/>
          <w:szCs w:val="24"/>
        </w:rPr>
        <w:t xml:space="preserve">in vitro </w:t>
      </w:r>
      <w:r w:rsidRPr="005936B2">
        <w:rPr>
          <w:rFonts w:ascii="Book Antiqua" w:hAnsi="Book Antiqua"/>
          <w:sz w:val="24"/>
          <w:szCs w:val="24"/>
        </w:rPr>
        <w:t xml:space="preserve">by incubation of hemoglobin with glucose in the absence of enzyme </w:t>
      </w:r>
      <w:proofErr w:type="gramStart"/>
      <w:r w:rsidRPr="005936B2">
        <w:rPr>
          <w:rFonts w:ascii="Book Antiqua" w:hAnsi="Book Antiqua"/>
          <w:sz w:val="24"/>
          <w:szCs w:val="24"/>
        </w:rPr>
        <w:t>catalysts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29]</w:t>
      </w:r>
      <w:r w:rsidRPr="005936B2">
        <w:rPr>
          <w:rFonts w:ascii="Book Antiqua" w:hAnsi="Book Antiqua"/>
          <w:sz w:val="24"/>
          <w:szCs w:val="24"/>
        </w:rPr>
        <w:t xml:space="preserve">. Later on, in the scientific lexicon were introduced the terms “non-enzymatic glycosylation” and “glycation” in order to distinguish the Maillard reaction, proceeding in biological systems, from the enzymatic glycosylation, which is a quite </w:t>
      </w:r>
      <w:r w:rsidRPr="005936B2">
        <w:rPr>
          <w:rFonts w:ascii="Book Antiqua" w:hAnsi="Book Antiqua"/>
          <w:sz w:val="24"/>
          <w:szCs w:val="24"/>
        </w:rPr>
        <w:lastRenderedPageBreak/>
        <w:t xml:space="preserve">different, genetically programmed process. In the early 1980s, it has been hypothesized that glycation plays an important role in the pathogenesis of diabetic complications and </w:t>
      </w:r>
      <w:proofErr w:type="gramStart"/>
      <w:r w:rsidRPr="005936B2">
        <w:rPr>
          <w:rFonts w:ascii="Book Antiqua" w:hAnsi="Book Antiqua"/>
          <w:sz w:val="24"/>
          <w:szCs w:val="24"/>
        </w:rPr>
        <w:t>aging</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30-31]</w:t>
      </w:r>
      <w:r w:rsidRPr="005936B2">
        <w:rPr>
          <w:rFonts w:ascii="Book Antiqua" w:hAnsi="Book Antiqua"/>
          <w:sz w:val="24"/>
          <w:szCs w:val="24"/>
        </w:rPr>
        <w:t xml:space="preserve">. Subsequently, this hypothesis found a plethora of experimental support, and many reviews have been dedicated to the link between glycation, diabetes and </w:t>
      </w:r>
      <w:proofErr w:type="gramStart"/>
      <w:r w:rsidRPr="005936B2">
        <w:rPr>
          <w:rFonts w:ascii="Book Antiqua" w:hAnsi="Book Antiqua"/>
          <w:sz w:val="24"/>
          <w:szCs w:val="24"/>
        </w:rPr>
        <w:t>aging</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32-38]</w:t>
      </w:r>
      <w:r w:rsidRPr="005936B2">
        <w:rPr>
          <w:rFonts w:ascii="Book Antiqua" w:hAnsi="Book Antiqua"/>
          <w:sz w:val="24"/>
          <w:szCs w:val="24"/>
        </w:rPr>
        <w:t>. Although the carbonyl-amine reaction was discovered a century ago, its chemistry remains a still growing avenue of research. Two well defined stages can be distinguished in the Maillard reaction – early and advanced. The early stage includes reversible formation of Schiff bases between carbonyl and amino groups of the reactants, followed by a rearrangement of the Schiff bases to significantly more stable aldoamines (Amadori products) or ketoamines (Heyns products) (Figure 1).</w:t>
      </w:r>
    </w:p>
    <w:p w:rsidR="007A30DF" w:rsidRPr="005936B2" w:rsidRDefault="007A30DF" w:rsidP="004C70F6">
      <w:pPr>
        <w:spacing w:line="360" w:lineRule="auto"/>
        <w:ind w:firstLineChars="150" w:firstLine="360"/>
        <w:rPr>
          <w:rFonts w:ascii="Book Antiqua" w:hAnsi="Book Antiqua"/>
          <w:sz w:val="24"/>
          <w:szCs w:val="24"/>
        </w:rPr>
      </w:pPr>
      <w:r w:rsidRPr="005936B2">
        <w:rPr>
          <w:rFonts w:ascii="Book Antiqua" w:hAnsi="Book Antiqua"/>
          <w:sz w:val="24"/>
          <w:szCs w:val="24"/>
        </w:rPr>
        <w:t xml:space="preserve">The early stage of the Maillard reaction is relatively well </w:t>
      </w:r>
      <w:proofErr w:type="gramStart"/>
      <w:r w:rsidRPr="005936B2">
        <w:rPr>
          <w:rFonts w:ascii="Book Antiqua" w:hAnsi="Book Antiqua"/>
          <w:sz w:val="24"/>
          <w:szCs w:val="24"/>
        </w:rPr>
        <w:t>understood</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39,40]</w:t>
      </w:r>
      <w:r w:rsidRPr="005936B2">
        <w:rPr>
          <w:rFonts w:ascii="Book Antiqua" w:hAnsi="Book Antiqua"/>
          <w:sz w:val="24"/>
          <w:szCs w:val="24"/>
        </w:rPr>
        <w:t>. However, the same does not hold true for the chemical transformations of the Amadori and Heyns products into the so called Advanced Glycation End Products (AGEs)</w:t>
      </w:r>
      <w:r w:rsidRPr="005936B2">
        <w:rPr>
          <w:rFonts w:ascii="Book Antiqua" w:hAnsi="Book Antiqua"/>
          <w:sz w:val="24"/>
          <w:szCs w:val="24"/>
          <w:vertAlign w:val="superscript"/>
        </w:rPr>
        <w:t>[41]</w:t>
      </w:r>
      <w:r w:rsidRPr="005936B2">
        <w:rPr>
          <w:rFonts w:ascii="Book Antiqua" w:hAnsi="Book Antiqua"/>
          <w:sz w:val="24"/>
          <w:szCs w:val="24"/>
        </w:rPr>
        <w:t>. Generally, these are dehydrogenation, dehydration, cyclization, condensation, isomerization, oxidation, and fragmentation reactions, taking place in th</w:t>
      </w:r>
      <w:r w:rsidRPr="005936B2">
        <w:rPr>
          <w:rFonts w:ascii="Book Antiqua" w:hAnsi="Book Antiqua"/>
          <w:sz w:val="24"/>
          <w:szCs w:val="24"/>
          <w:lang w:val="bg-BG"/>
        </w:rPr>
        <w:t xml:space="preserve">е </w:t>
      </w:r>
      <w:r w:rsidRPr="005936B2">
        <w:rPr>
          <w:rFonts w:ascii="Book Antiqua" w:hAnsi="Book Antiqua"/>
          <w:sz w:val="24"/>
          <w:szCs w:val="24"/>
        </w:rPr>
        <w:t>advanced stage of Maillard reaction. Under anaerobic conditions, AGEs are derived directly from the Amadori product. However, under aerobic conditions, oxidative degradation of the Amadori products takes place, leading to the generation of highly reactive dicarbonyl compounds such as glyoxal (G), methylglyoxal (MG) and 3-deoxyglucosone (3DG)</w:t>
      </w:r>
      <w:r w:rsidRPr="005936B2">
        <w:rPr>
          <w:rFonts w:ascii="Book Antiqua" w:hAnsi="Book Antiqua"/>
          <w:sz w:val="24"/>
          <w:szCs w:val="24"/>
          <w:vertAlign w:val="superscript"/>
        </w:rPr>
        <w:t>[42,43]</w:t>
      </w:r>
      <w:r w:rsidRPr="005936B2">
        <w:rPr>
          <w:rFonts w:ascii="Book Antiqua" w:hAnsi="Book Antiqua"/>
          <w:sz w:val="24"/>
          <w:szCs w:val="24"/>
        </w:rPr>
        <w:t xml:space="preserve">. This “interruption” between the early and the advanced stage is what we call the intermediate step of Maillard reaction. In turn, the intermediate products, which are small, diffusible and highly reactive species, again attack amino compounds, thus propagating the initial chemical burden. The formation of AGEs, either directly from the Amadori product or through its degradation intermediates, is known as the classical, or Hodge </w:t>
      </w:r>
      <w:proofErr w:type="gramStart"/>
      <w:r w:rsidRPr="005936B2">
        <w:rPr>
          <w:rFonts w:ascii="Book Antiqua" w:hAnsi="Book Antiqua"/>
          <w:sz w:val="24"/>
          <w:szCs w:val="24"/>
        </w:rPr>
        <w:t>pathway</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40]</w:t>
      </w:r>
      <w:r w:rsidRPr="005936B2">
        <w:rPr>
          <w:rFonts w:ascii="Book Antiqua" w:hAnsi="Book Antiqua"/>
          <w:sz w:val="24"/>
          <w:szCs w:val="24"/>
        </w:rPr>
        <w:t xml:space="preserve">. The Schiff base, formed early in the Maillard reaction, may also undergo non-enzymatic fragmentation to α-oxoaldehydes, which initiate another chain of chemical transformations known as the Namiki </w:t>
      </w:r>
      <w:proofErr w:type="gramStart"/>
      <w:r w:rsidRPr="005936B2">
        <w:rPr>
          <w:rFonts w:ascii="Book Antiqua" w:hAnsi="Book Antiqua"/>
          <w:sz w:val="24"/>
          <w:szCs w:val="24"/>
        </w:rPr>
        <w:t>pathway</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44]</w:t>
      </w:r>
      <w:r w:rsidRPr="005936B2">
        <w:rPr>
          <w:rFonts w:ascii="Book Antiqua" w:hAnsi="Book Antiqua"/>
          <w:sz w:val="24"/>
          <w:szCs w:val="24"/>
        </w:rPr>
        <w:t>. In addition, under physiological conditions free monosaccharides undergo a transition metal ions catalyzed autoxidation to H</w:t>
      </w:r>
      <w:r w:rsidRPr="005936B2">
        <w:rPr>
          <w:rFonts w:ascii="Book Antiqua" w:hAnsi="Book Antiqua"/>
          <w:sz w:val="24"/>
          <w:szCs w:val="24"/>
          <w:vertAlign w:val="subscript"/>
        </w:rPr>
        <w:t>2</w:t>
      </w:r>
      <w:r w:rsidRPr="005936B2">
        <w:rPr>
          <w:rFonts w:ascii="Book Antiqua" w:hAnsi="Book Antiqua"/>
          <w:sz w:val="24"/>
          <w:szCs w:val="24"/>
        </w:rPr>
        <w:t>О</w:t>
      </w:r>
      <w:r w:rsidRPr="005936B2">
        <w:rPr>
          <w:rFonts w:ascii="Book Antiqua" w:hAnsi="Book Antiqua"/>
          <w:sz w:val="24"/>
          <w:szCs w:val="24"/>
          <w:vertAlign w:val="subscript"/>
        </w:rPr>
        <w:t>2</w:t>
      </w:r>
      <w:r w:rsidRPr="005936B2">
        <w:rPr>
          <w:rFonts w:ascii="Book Antiqua" w:hAnsi="Book Antiqua"/>
          <w:sz w:val="24"/>
          <w:szCs w:val="24"/>
        </w:rPr>
        <w:t xml:space="preserve"> and the corresponding ketoaldehydes, which are precursors for AGEs formation in the Wolff pathway, also recognized as a separate reaction chain in </w:t>
      </w:r>
      <w:r w:rsidRPr="005936B2">
        <w:rPr>
          <w:rFonts w:ascii="Book Antiqua" w:hAnsi="Book Antiqua"/>
          <w:sz w:val="24"/>
          <w:szCs w:val="24"/>
        </w:rPr>
        <w:lastRenderedPageBreak/>
        <w:t xml:space="preserve">the Maillard </w:t>
      </w:r>
      <w:proofErr w:type="gramStart"/>
      <w:r w:rsidRPr="005936B2">
        <w:rPr>
          <w:rFonts w:ascii="Book Antiqua" w:hAnsi="Book Antiqua"/>
          <w:sz w:val="24"/>
          <w:szCs w:val="24"/>
        </w:rPr>
        <w:t>chemistry</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45-47]</w:t>
      </w:r>
      <w:r w:rsidRPr="005936B2">
        <w:rPr>
          <w:rFonts w:ascii="Book Antiqua" w:hAnsi="Book Antiqua"/>
          <w:sz w:val="24"/>
          <w:szCs w:val="24"/>
        </w:rPr>
        <w:t>. The picture becomes increasingly colorful, pasting therein the carbonyl products released during lipid peroxidation, which also react with amines to form AGEs-like structures called Advanced Lipoxidation End Products (ALEs)</w:t>
      </w:r>
      <w:r w:rsidRPr="005936B2">
        <w:rPr>
          <w:rFonts w:ascii="Book Antiqua" w:hAnsi="Book Antiqua"/>
          <w:sz w:val="24"/>
          <w:szCs w:val="24"/>
          <w:vertAlign w:val="superscript"/>
        </w:rPr>
        <w:t>[48,49]</w:t>
      </w:r>
      <w:r w:rsidRPr="005936B2">
        <w:rPr>
          <w:rFonts w:ascii="Book Antiqua" w:hAnsi="Book Antiqua"/>
          <w:sz w:val="24"/>
          <w:szCs w:val="24"/>
        </w:rPr>
        <w:t xml:space="preserve">. AGEs/ALEs are covalent adducts with diverse stability and physicochemical characteristics such as blue fluorescence, brown color and crosslinking properties. When accumulating in biological amines such as proteins, DNA and amino-lipids, AGEs may significantly impair their structure and physiological function. The chemical structure of a number of AGEs formed </w:t>
      </w:r>
      <w:r w:rsidRPr="005936B2">
        <w:rPr>
          <w:rFonts w:ascii="Book Antiqua" w:hAnsi="Book Antiqua"/>
          <w:i/>
          <w:iCs/>
          <w:sz w:val="24"/>
          <w:szCs w:val="24"/>
        </w:rPr>
        <w:t xml:space="preserve">in vitro </w:t>
      </w:r>
      <w:r w:rsidRPr="005936B2">
        <w:rPr>
          <w:rFonts w:ascii="Book Antiqua" w:hAnsi="Book Antiqua"/>
          <w:sz w:val="24"/>
          <w:szCs w:val="24"/>
        </w:rPr>
        <w:t xml:space="preserve">as well as in human plasma and tissues has been determined so </w:t>
      </w:r>
      <w:proofErr w:type="gramStart"/>
      <w:r w:rsidRPr="005936B2">
        <w:rPr>
          <w:rFonts w:ascii="Book Antiqua" w:hAnsi="Book Antiqua"/>
          <w:sz w:val="24"/>
          <w:szCs w:val="24"/>
        </w:rPr>
        <w:t>far</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50-57]</w:t>
      </w:r>
      <w:r w:rsidRPr="005936B2">
        <w:rPr>
          <w:rFonts w:ascii="Book Antiqua" w:hAnsi="Book Antiqua"/>
          <w:sz w:val="24"/>
          <w:szCs w:val="24"/>
        </w:rPr>
        <w:t xml:space="preserve">. </w:t>
      </w:r>
    </w:p>
    <w:p w:rsidR="007A30DF" w:rsidRPr="005936B2" w:rsidRDefault="007A30DF" w:rsidP="007A30DF">
      <w:pPr>
        <w:spacing w:line="360" w:lineRule="auto"/>
        <w:rPr>
          <w:rFonts w:ascii="Book Antiqua" w:hAnsi="Book Antiqua"/>
          <w:sz w:val="24"/>
          <w:szCs w:val="24"/>
        </w:rPr>
      </w:pPr>
    </w:p>
    <w:p w:rsidR="007A30DF" w:rsidRPr="005936B2" w:rsidRDefault="007A30DF" w:rsidP="007A30DF">
      <w:pPr>
        <w:pStyle w:val="Heading1"/>
        <w:spacing w:before="0" w:after="0" w:line="360" w:lineRule="auto"/>
        <w:ind w:firstLine="0"/>
        <w:rPr>
          <w:rFonts w:ascii="Book Antiqua" w:hAnsi="Book Antiqua" w:cs="Times New Roman"/>
          <w:i/>
          <w:sz w:val="24"/>
          <w:szCs w:val="24"/>
        </w:rPr>
      </w:pPr>
      <w:r w:rsidRPr="005936B2">
        <w:rPr>
          <w:rStyle w:val="Emphasis"/>
          <w:rFonts w:ascii="Book Antiqua" w:hAnsi="Book Antiqua" w:cs="Times New Roman"/>
          <w:i w:val="0"/>
          <w:sz w:val="24"/>
          <w:szCs w:val="24"/>
        </w:rPr>
        <w:t>N</w:t>
      </w:r>
      <w:r w:rsidRPr="005936B2">
        <w:rPr>
          <w:rFonts w:ascii="Book Antiqua" w:hAnsi="Book Antiqua" w:cs="Times New Roman"/>
          <w:i/>
          <w:sz w:val="24"/>
          <w:szCs w:val="24"/>
          <w:vertAlign w:val="superscript"/>
        </w:rPr>
        <w:t>ε</w:t>
      </w:r>
      <w:proofErr w:type="gramStart"/>
      <w:r w:rsidRPr="005936B2">
        <w:rPr>
          <w:rFonts w:ascii="Book Antiqua" w:hAnsi="Book Antiqua" w:cs="Times New Roman"/>
          <w:i/>
          <w:sz w:val="24"/>
          <w:szCs w:val="24"/>
        </w:rPr>
        <w:t>-(</w:t>
      </w:r>
      <w:proofErr w:type="gramEnd"/>
      <w:r w:rsidRPr="005936B2">
        <w:rPr>
          <w:rFonts w:ascii="Book Antiqua" w:hAnsi="Book Antiqua" w:cs="Times New Roman"/>
          <w:i/>
          <w:sz w:val="24"/>
          <w:szCs w:val="24"/>
        </w:rPr>
        <w:t xml:space="preserve">carboxymethyl)lysine </w:t>
      </w:r>
    </w:p>
    <w:p w:rsidR="007A30DF" w:rsidRPr="005936B2" w:rsidRDefault="007A30DF" w:rsidP="007A30DF">
      <w:pPr>
        <w:spacing w:line="360" w:lineRule="auto"/>
        <w:rPr>
          <w:rFonts w:ascii="Book Antiqua" w:hAnsi="Book Antiqua"/>
          <w:sz w:val="24"/>
          <w:szCs w:val="24"/>
        </w:rPr>
      </w:pPr>
      <w:r w:rsidRPr="005936B2">
        <w:rPr>
          <w:rFonts w:ascii="Book Antiqua" w:hAnsi="Book Antiqua"/>
          <w:sz w:val="24"/>
          <w:szCs w:val="24"/>
        </w:rPr>
        <w:t>N</w:t>
      </w:r>
      <w:r w:rsidRPr="005936B2">
        <w:rPr>
          <w:rFonts w:ascii="Book Antiqua" w:hAnsi="Book Antiqua"/>
          <w:sz w:val="24"/>
          <w:szCs w:val="24"/>
          <w:vertAlign w:val="superscript"/>
        </w:rPr>
        <w:t>ε</w:t>
      </w:r>
      <w:proofErr w:type="gramStart"/>
      <w:r w:rsidRPr="005936B2">
        <w:rPr>
          <w:rFonts w:ascii="Book Antiqua" w:hAnsi="Book Antiqua"/>
          <w:sz w:val="24"/>
          <w:szCs w:val="24"/>
        </w:rPr>
        <w:t>-(</w:t>
      </w:r>
      <w:proofErr w:type="gramEnd"/>
      <w:r w:rsidRPr="005936B2">
        <w:rPr>
          <w:rFonts w:ascii="Book Antiqua" w:hAnsi="Book Antiqua"/>
          <w:sz w:val="24"/>
          <w:szCs w:val="24"/>
        </w:rPr>
        <w:t xml:space="preserve">carboxymethyl)lysine (CML) </w:t>
      </w:r>
      <w:r w:rsidRPr="005936B2">
        <w:rPr>
          <w:rStyle w:val="hps"/>
          <w:rFonts w:ascii="Book Antiqua" w:hAnsi="Book Antiqua"/>
          <w:sz w:val="24"/>
          <w:szCs w:val="24"/>
        </w:rPr>
        <w:t>is one</w:t>
      </w:r>
      <w:r w:rsidRPr="005936B2">
        <w:rPr>
          <w:rFonts w:ascii="Book Antiqua" w:hAnsi="Book Antiqua"/>
          <w:sz w:val="24"/>
          <w:szCs w:val="24"/>
        </w:rPr>
        <w:t xml:space="preserve"> </w:t>
      </w:r>
      <w:r w:rsidRPr="005936B2">
        <w:rPr>
          <w:rStyle w:val="hps"/>
          <w:rFonts w:ascii="Book Antiqua" w:hAnsi="Book Antiqua"/>
          <w:sz w:val="24"/>
          <w:szCs w:val="24"/>
        </w:rPr>
        <w:t>of the best</w:t>
      </w:r>
      <w:r w:rsidRPr="005936B2">
        <w:rPr>
          <w:rFonts w:ascii="Book Antiqua" w:hAnsi="Book Antiqua"/>
          <w:sz w:val="24"/>
          <w:szCs w:val="24"/>
        </w:rPr>
        <w:t xml:space="preserve">-characterized </w:t>
      </w:r>
      <w:r w:rsidRPr="005936B2">
        <w:rPr>
          <w:rStyle w:val="hps"/>
          <w:rFonts w:ascii="Book Antiqua" w:hAnsi="Book Antiqua"/>
          <w:sz w:val="24"/>
          <w:szCs w:val="24"/>
        </w:rPr>
        <w:t>AGEs</w:t>
      </w:r>
      <w:r w:rsidRPr="005936B2">
        <w:rPr>
          <w:rStyle w:val="hps"/>
          <w:rFonts w:ascii="Book Antiqua" w:hAnsi="Book Antiqua"/>
          <w:sz w:val="24"/>
          <w:szCs w:val="24"/>
          <w:vertAlign w:val="superscript"/>
        </w:rPr>
        <w:t>[58]</w:t>
      </w:r>
      <w:r w:rsidRPr="005936B2">
        <w:rPr>
          <w:rFonts w:ascii="Book Antiqua" w:hAnsi="Book Antiqua"/>
          <w:sz w:val="24"/>
          <w:szCs w:val="24"/>
        </w:rPr>
        <w:t>.</w:t>
      </w:r>
      <w:r w:rsidRPr="005936B2">
        <w:rPr>
          <w:rStyle w:val="Heading2Char"/>
          <w:rFonts w:ascii="Book Antiqua" w:hAnsi="Book Antiqua"/>
          <w:sz w:val="24"/>
          <w:szCs w:val="24"/>
        </w:rPr>
        <w:t xml:space="preserve"> </w:t>
      </w:r>
      <w:r w:rsidRPr="005936B2">
        <w:rPr>
          <w:rStyle w:val="hps"/>
          <w:rFonts w:ascii="Book Antiqua" w:hAnsi="Book Antiqua"/>
          <w:sz w:val="24"/>
          <w:szCs w:val="24"/>
        </w:rPr>
        <w:t>It is formed</w:t>
      </w:r>
      <w:r w:rsidRPr="005936B2">
        <w:rPr>
          <w:rFonts w:ascii="Book Antiqua" w:hAnsi="Book Antiqua"/>
          <w:sz w:val="24"/>
          <w:szCs w:val="24"/>
        </w:rPr>
        <w:t xml:space="preserve"> </w:t>
      </w:r>
      <w:r w:rsidRPr="005936B2">
        <w:rPr>
          <w:rStyle w:val="hps"/>
          <w:rFonts w:ascii="Book Antiqua" w:hAnsi="Book Antiqua"/>
          <w:sz w:val="24"/>
          <w:szCs w:val="24"/>
        </w:rPr>
        <w:t>in the</w:t>
      </w:r>
      <w:r w:rsidRPr="005936B2">
        <w:rPr>
          <w:rFonts w:ascii="Book Antiqua" w:hAnsi="Book Antiqua"/>
          <w:sz w:val="24"/>
          <w:szCs w:val="24"/>
        </w:rPr>
        <w:t xml:space="preserve"> </w:t>
      </w:r>
      <w:r w:rsidRPr="005936B2">
        <w:rPr>
          <w:rStyle w:val="hps"/>
          <w:rFonts w:ascii="Book Antiqua" w:hAnsi="Book Antiqua"/>
          <w:sz w:val="24"/>
          <w:szCs w:val="24"/>
        </w:rPr>
        <w:t>advanced stage</w:t>
      </w:r>
      <w:r w:rsidRPr="005936B2">
        <w:rPr>
          <w:rFonts w:ascii="Book Antiqua" w:hAnsi="Book Antiqua"/>
          <w:sz w:val="24"/>
          <w:szCs w:val="24"/>
        </w:rPr>
        <w:t xml:space="preserve"> </w:t>
      </w:r>
      <w:r w:rsidRPr="005936B2">
        <w:rPr>
          <w:rStyle w:val="hps"/>
          <w:rFonts w:ascii="Book Antiqua" w:hAnsi="Book Antiqua"/>
          <w:sz w:val="24"/>
          <w:szCs w:val="24"/>
        </w:rPr>
        <w:t>of the Maillard</w:t>
      </w:r>
      <w:r w:rsidRPr="005936B2">
        <w:rPr>
          <w:rFonts w:ascii="Book Antiqua" w:hAnsi="Book Antiqua"/>
          <w:sz w:val="24"/>
          <w:szCs w:val="24"/>
        </w:rPr>
        <w:t xml:space="preserve"> </w:t>
      </w:r>
      <w:r w:rsidRPr="005936B2">
        <w:rPr>
          <w:rStyle w:val="hps"/>
          <w:rFonts w:ascii="Book Antiqua" w:hAnsi="Book Antiqua"/>
          <w:sz w:val="24"/>
          <w:szCs w:val="24"/>
        </w:rPr>
        <w:t>reaction</w:t>
      </w:r>
      <w:r w:rsidRPr="005936B2">
        <w:rPr>
          <w:rFonts w:ascii="Book Antiqua" w:hAnsi="Book Antiqua"/>
          <w:sz w:val="24"/>
          <w:szCs w:val="24"/>
        </w:rPr>
        <w:t xml:space="preserve"> </w:t>
      </w:r>
      <w:r w:rsidRPr="005936B2">
        <w:rPr>
          <w:rStyle w:val="hps"/>
          <w:rFonts w:ascii="Book Antiqua" w:hAnsi="Book Antiqua"/>
          <w:sz w:val="24"/>
          <w:szCs w:val="24"/>
        </w:rPr>
        <w:t>and</w:t>
      </w:r>
      <w:r w:rsidRPr="005936B2">
        <w:rPr>
          <w:rFonts w:ascii="Book Antiqua" w:hAnsi="Book Antiqua"/>
          <w:sz w:val="24"/>
          <w:szCs w:val="24"/>
        </w:rPr>
        <w:t xml:space="preserve"> </w:t>
      </w:r>
      <w:r w:rsidRPr="005936B2">
        <w:rPr>
          <w:rStyle w:val="hps"/>
          <w:rFonts w:ascii="Book Antiqua" w:hAnsi="Book Antiqua"/>
          <w:sz w:val="24"/>
          <w:szCs w:val="24"/>
        </w:rPr>
        <w:t>always</w:t>
      </w:r>
      <w:r w:rsidRPr="005936B2">
        <w:rPr>
          <w:rFonts w:ascii="Book Antiqua" w:hAnsi="Book Antiqua"/>
          <w:sz w:val="24"/>
          <w:szCs w:val="24"/>
        </w:rPr>
        <w:t xml:space="preserve"> </w:t>
      </w:r>
      <w:r w:rsidRPr="005936B2">
        <w:rPr>
          <w:rStyle w:val="hps"/>
          <w:rFonts w:ascii="Book Antiqua" w:hAnsi="Book Antiqua"/>
          <w:sz w:val="24"/>
          <w:szCs w:val="24"/>
        </w:rPr>
        <w:t>accompanies</w:t>
      </w:r>
      <w:r w:rsidRPr="005936B2">
        <w:rPr>
          <w:rFonts w:ascii="Book Antiqua" w:hAnsi="Book Antiqua"/>
          <w:sz w:val="24"/>
          <w:szCs w:val="24"/>
        </w:rPr>
        <w:t xml:space="preserve"> </w:t>
      </w:r>
      <w:r w:rsidRPr="005936B2">
        <w:rPr>
          <w:rStyle w:val="hps"/>
          <w:rFonts w:ascii="Book Antiqua" w:hAnsi="Book Antiqua"/>
          <w:sz w:val="24"/>
          <w:szCs w:val="24"/>
        </w:rPr>
        <w:t>the formation of</w:t>
      </w:r>
      <w:r w:rsidRPr="005936B2">
        <w:rPr>
          <w:rFonts w:ascii="Book Antiqua" w:hAnsi="Book Antiqua"/>
          <w:sz w:val="24"/>
          <w:szCs w:val="24"/>
        </w:rPr>
        <w:t xml:space="preserve"> </w:t>
      </w:r>
      <w:r w:rsidRPr="005936B2">
        <w:rPr>
          <w:rStyle w:val="hps"/>
          <w:rFonts w:ascii="Book Antiqua" w:hAnsi="Book Antiqua"/>
          <w:sz w:val="24"/>
          <w:szCs w:val="24"/>
        </w:rPr>
        <w:t>brown</w:t>
      </w:r>
      <w:r w:rsidRPr="005936B2">
        <w:rPr>
          <w:rFonts w:ascii="Book Antiqua" w:hAnsi="Book Antiqua"/>
          <w:sz w:val="24"/>
          <w:szCs w:val="24"/>
        </w:rPr>
        <w:t xml:space="preserve"> </w:t>
      </w:r>
      <w:r w:rsidRPr="005936B2">
        <w:rPr>
          <w:rStyle w:val="hps"/>
          <w:rFonts w:ascii="Book Antiqua" w:hAnsi="Book Antiqua"/>
          <w:sz w:val="24"/>
          <w:szCs w:val="24"/>
        </w:rPr>
        <w:t>and fluorescent</w:t>
      </w:r>
      <w:r w:rsidRPr="005936B2">
        <w:rPr>
          <w:rFonts w:ascii="Book Antiqua" w:hAnsi="Book Antiqua"/>
          <w:sz w:val="24"/>
          <w:szCs w:val="24"/>
        </w:rPr>
        <w:t xml:space="preserve"> </w:t>
      </w:r>
      <w:r w:rsidRPr="005936B2">
        <w:rPr>
          <w:rStyle w:val="hps"/>
          <w:rFonts w:ascii="Book Antiqua" w:hAnsi="Book Antiqua"/>
          <w:sz w:val="24"/>
          <w:szCs w:val="24"/>
        </w:rPr>
        <w:t>AGEs,</w:t>
      </w:r>
      <w:r w:rsidRPr="005936B2">
        <w:rPr>
          <w:rFonts w:ascii="Book Antiqua" w:hAnsi="Book Antiqua"/>
          <w:sz w:val="24"/>
          <w:szCs w:val="24"/>
        </w:rPr>
        <w:t xml:space="preserve"> </w:t>
      </w:r>
      <w:r w:rsidRPr="005936B2">
        <w:rPr>
          <w:rStyle w:val="hpsalt-edited"/>
          <w:rFonts w:ascii="Book Antiqua" w:hAnsi="Book Antiqua"/>
          <w:sz w:val="24"/>
          <w:szCs w:val="24"/>
        </w:rPr>
        <w:t>although</w:t>
      </w:r>
      <w:r w:rsidRPr="005936B2">
        <w:rPr>
          <w:rFonts w:ascii="Book Antiqua" w:hAnsi="Book Antiqua"/>
          <w:sz w:val="24"/>
          <w:szCs w:val="24"/>
        </w:rPr>
        <w:t xml:space="preserve"> </w:t>
      </w:r>
      <w:r w:rsidRPr="005936B2">
        <w:rPr>
          <w:rFonts w:ascii="Book Antiqua" w:hAnsi="Book Antiqua"/>
          <w:i/>
          <w:sz w:val="24"/>
          <w:szCs w:val="24"/>
        </w:rPr>
        <w:t>per se</w:t>
      </w:r>
      <w:r w:rsidRPr="005936B2">
        <w:rPr>
          <w:rFonts w:ascii="Book Antiqua" w:hAnsi="Book Antiqua"/>
          <w:sz w:val="24"/>
          <w:szCs w:val="24"/>
        </w:rPr>
        <w:t xml:space="preserve"> </w:t>
      </w:r>
      <w:r w:rsidRPr="005936B2">
        <w:rPr>
          <w:rStyle w:val="hps"/>
          <w:rFonts w:ascii="Book Antiqua" w:hAnsi="Book Antiqua"/>
          <w:sz w:val="24"/>
          <w:szCs w:val="24"/>
        </w:rPr>
        <w:t>it</w:t>
      </w:r>
      <w:r w:rsidRPr="005936B2">
        <w:rPr>
          <w:rFonts w:ascii="Book Antiqua" w:hAnsi="Book Antiqua"/>
          <w:sz w:val="24"/>
          <w:szCs w:val="24"/>
        </w:rPr>
        <w:t xml:space="preserve"> </w:t>
      </w:r>
      <w:r w:rsidRPr="005936B2">
        <w:rPr>
          <w:rStyle w:val="hps"/>
          <w:rFonts w:ascii="Book Antiqua" w:hAnsi="Book Antiqua"/>
          <w:sz w:val="24"/>
          <w:szCs w:val="24"/>
        </w:rPr>
        <w:t>is colorless and</w:t>
      </w:r>
      <w:r w:rsidRPr="005936B2">
        <w:rPr>
          <w:rFonts w:ascii="Book Antiqua" w:hAnsi="Book Antiqua"/>
          <w:sz w:val="24"/>
          <w:szCs w:val="24"/>
        </w:rPr>
        <w:t xml:space="preserve"> </w:t>
      </w:r>
      <w:r w:rsidRPr="005936B2">
        <w:rPr>
          <w:rStyle w:val="hps"/>
          <w:rFonts w:ascii="Book Antiqua" w:hAnsi="Book Antiqua"/>
          <w:sz w:val="24"/>
          <w:szCs w:val="24"/>
        </w:rPr>
        <w:t xml:space="preserve">non-fluorescent. If proteins are glycated with either ribose or 3DG, then CML is formed only when the reaction </w:t>
      </w:r>
      <w:r w:rsidRPr="005936B2">
        <w:rPr>
          <w:rFonts w:ascii="Book Antiqua" w:hAnsi="Book Antiqua"/>
          <w:sz w:val="24"/>
          <w:szCs w:val="24"/>
        </w:rPr>
        <w:t xml:space="preserve">is carried out under </w:t>
      </w:r>
      <w:r w:rsidRPr="005936B2">
        <w:rPr>
          <w:rStyle w:val="hps"/>
          <w:rFonts w:ascii="Book Antiqua" w:hAnsi="Book Antiqua"/>
          <w:sz w:val="24"/>
          <w:szCs w:val="24"/>
        </w:rPr>
        <w:t xml:space="preserve">aerobic </w:t>
      </w:r>
      <w:proofErr w:type="gramStart"/>
      <w:r w:rsidRPr="005936B2">
        <w:rPr>
          <w:rStyle w:val="hps"/>
          <w:rFonts w:ascii="Book Antiqua" w:hAnsi="Book Antiqua"/>
          <w:sz w:val="24"/>
          <w:szCs w:val="24"/>
        </w:rPr>
        <w:t>conditions</w:t>
      </w:r>
      <w:r w:rsidRPr="005936B2">
        <w:rPr>
          <w:rStyle w:val="hps"/>
          <w:rFonts w:ascii="Book Antiqua" w:hAnsi="Book Antiqua"/>
          <w:sz w:val="24"/>
          <w:szCs w:val="24"/>
          <w:vertAlign w:val="superscript"/>
        </w:rPr>
        <w:t>[</w:t>
      </w:r>
      <w:proofErr w:type="gramEnd"/>
      <w:r w:rsidRPr="005936B2">
        <w:rPr>
          <w:rStyle w:val="hps"/>
          <w:rFonts w:ascii="Book Antiqua" w:hAnsi="Book Antiqua"/>
          <w:sz w:val="24"/>
          <w:szCs w:val="24"/>
          <w:vertAlign w:val="superscript"/>
        </w:rPr>
        <w:t>52,59]</w:t>
      </w:r>
      <w:r w:rsidRPr="005936B2">
        <w:rPr>
          <w:rStyle w:val="hps"/>
          <w:rFonts w:ascii="Book Antiqua" w:hAnsi="Book Antiqua"/>
          <w:sz w:val="24"/>
          <w:szCs w:val="24"/>
        </w:rPr>
        <w:t xml:space="preserve">. </w:t>
      </w:r>
      <w:r w:rsidRPr="005936B2">
        <w:rPr>
          <w:rFonts w:ascii="Book Antiqua" w:hAnsi="Book Antiqua"/>
          <w:sz w:val="24"/>
          <w:szCs w:val="24"/>
        </w:rPr>
        <w:t>This is why the detection of CML is an indication that protein modifications have occurred in the presence of oxygen.</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CML is formed by different oxidation</w:t>
      </w:r>
      <w:r w:rsidRPr="005936B2">
        <w:rPr>
          <w:rFonts w:ascii="Book Antiqua" w:hAnsi="Book Antiqua"/>
          <w:i/>
          <w:iCs/>
          <w:sz w:val="24"/>
          <w:szCs w:val="24"/>
        </w:rPr>
        <w:t xml:space="preserve"> </w:t>
      </w:r>
      <w:r w:rsidRPr="005936B2">
        <w:rPr>
          <w:rFonts w:ascii="Book Antiqua" w:hAnsi="Book Antiqua"/>
          <w:sz w:val="24"/>
          <w:szCs w:val="24"/>
        </w:rPr>
        <w:t xml:space="preserve">mechanisms </w:t>
      </w:r>
      <w:r w:rsidRPr="005936B2">
        <w:rPr>
          <w:rFonts w:ascii="Book Antiqua" w:hAnsi="Book Antiqua"/>
          <w:i/>
          <w:iCs/>
          <w:sz w:val="24"/>
          <w:szCs w:val="24"/>
        </w:rPr>
        <w:t>in vitro</w:t>
      </w:r>
      <w:r w:rsidRPr="005936B2">
        <w:rPr>
          <w:rFonts w:ascii="Book Antiqua" w:hAnsi="Book Antiqua"/>
          <w:sz w:val="24"/>
          <w:szCs w:val="24"/>
        </w:rPr>
        <w:t xml:space="preserve">, involving not only reducing sugars. It may also be a product of lipid </w:t>
      </w:r>
      <w:proofErr w:type="gramStart"/>
      <w:r w:rsidRPr="005936B2">
        <w:rPr>
          <w:rFonts w:ascii="Book Antiqua" w:hAnsi="Book Antiqua"/>
          <w:sz w:val="24"/>
          <w:szCs w:val="24"/>
        </w:rPr>
        <w:t>peroxidation</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48]</w:t>
      </w:r>
      <w:r w:rsidRPr="005936B2">
        <w:rPr>
          <w:rFonts w:ascii="Book Antiqua" w:hAnsi="Book Antiqua"/>
          <w:sz w:val="24"/>
          <w:szCs w:val="24"/>
        </w:rPr>
        <w:t xml:space="preserve"> and serine oxidation</w:t>
      </w:r>
      <w:r w:rsidRPr="005936B2">
        <w:rPr>
          <w:rFonts w:ascii="Book Antiqua" w:hAnsi="Book Antiqua"/>
          <w:sz w:val="24"/>
          <w:szCs w:val="24"/>
          <w:vertAlign w:val="superscript"/>
        </w:rPr>
        <w:t xml:space="preserve">[60] </w:t>
      </w:r>
      <w:r w:rsidRPr="005936B2">
        <w:rPr>
          <w:rFonts w:ascii="Book Antiqua" w:hAnsi="Book Antiqua"/>
          <w:sz w:val="24"/>
          <w:szCs w:val="24"/>
        </w:rPr>
        <w:t xml:space="preserve">(Figure 2), and because of that CML should not be considered a typical glycation marker. In most cases of </w:t>
      </w:r>
      <w:r w:rsidRPr="005936B2">
        <w:rPr>
          <w:rFonts w:ascii="Book Antiqua" w:hAnsi="Book Antiqua"/>
          <w:i/>
          <w:iCs/>
          <w:sz w:val="24"/>
          <w:szCs w:val="24"/>
        </w:rPr>
        <w:t>in vitro</w:t>
      </w:r>
      <w:r w:rsidRPr="005936B2">
        <w:rPr>
          <w:rFonts w:ascii="Book Antiqua" w:hAnsi="Book Antiqua"/>
          <w:sz w:val="24"/>
          <w:szCs w:val="24"/>
        </w:rPr>
        <w:t xml:space="preserve"> glycation CML is the main product found in </w:t>
      </w:r>
      <w:proofErr w:type="gramStart"/>
      <w:r w:rsidRPr="005936B2">
        <w:rPr>
          <w:rFonts w:ascii="Book Antiqua" w:hAnsi="Book Antiqua"/>
          <w:sz w:val="24"/>
          <w:szCs w:val="24"/>
        </w:rPr>
        <w:t>proteins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61]</w:t>
      </w:r>
      <w:r w:rsidRPr="005936B2">
        <w:rPr>
          <w:rFonts w:ascii="Book Antiqua" w:hAnsi="Book Antiqua"/>
          <w:sz w:val="24"/>
          <w:szCs w:val="24"/>
        </w:rPr>
        <w:t>, and is also a dominant AGEs antigen in tissue proteins</w:t>
      </w:r>
      <w:r w:rsidRPr="005936B2">
        <w:rPr>
          <w:rFonts w:ascii="Book Antiqua" w:hAnsi="Book Antiqua"/>
          <w:sz w:val="24"/>
          <w:szCs w:val="24"/>
          <w:vertAlign w:val="superscript"/>
        </w:rPr>
        <w:t>[62]</w:t>
      </w:r>
      <w:r w:rsidRPr="005936B2">
        <w:rPr>
          <w:rFonts w:ascii="Book Antiqua" w:hAnsi="Book Antiqua"/>
          <w:sz w:val="24"/>
          <w:szCs w:val="24"/>
        </w:rPr>
        <w:t xml:space="preserve">. Direct formation of CML from the Amadori product through its autoxidation has been reported by Miki Hayashi </w:t>
      </w:r>
      <w:r w:rsidRPr="005936B2">
        <w:rPr>
          <w:rFonts w:ascii="Book Antiqua" w:hAnsi="Book Antiqua"/>
          <w:i/>
          <w:sz w:val="24"/>
          <w:szCs w:val="24"/>
        </w:rPr>
        <w:t xml:space="preserve">et </w:t>
      </w:r>
      <w:proofErr w:type="gramStart"/>
      <w:r w:rsidRPr="005936B2">
        <w:rPr>
          <w:rFonts w:ascii="Book Antiqua" w:hAnsi="Book Antiqua"/>
          <w:i/>
          <w:sz w:val="24"/>
          <w:szCs w:val="24"/>
        </w:rPr>
        <w:t>al</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63]</w:t>
      </w:r>
      <w:r w:rsidRPr="005936B2">
        <w:rPr>
          <w:rFonts w:ascii="Book Antiqua" w:hAnsi="Book Antiqua"/>
          <w:sz w:val="24"/>
          <w:szCs w:val="24"/>
        </w:rPr>
        <w:t>.</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The authors used as a model of Amadori compound glycated human serum albumin (HSA) and found that CML is formed by heat treatment of glycated HSA over 80</w:t>
      </w:r>
      <w:r w:rsidRPr="005936B2">
        <w:rPr>
          <w:rFonts w:ascii="Book Antiqua" w:eastAsia="宋体" w:hAnsi="Book Antiqua"/>
          <w:sz w:val="24"/>
          <w:szCs w:val="24"/>
        </w:rPr>
        <w:t xml:space="preserve"> </w:t>
      </w:r>
      <w:r w:rsidRPr="005936B2">
        <w:rPr>
          <w:rFonts w:ascii="Book Antiqua" w:hAnsi="Book Antiqua"/>
          <w:sz w:val="24"/>
          <w:szCs w:val="24"/>
        </w:rPr>
        <w:t>°C in a time-dependent manner. Further rise in the temperature to 100</w:t>
      </w:r>
      <w:r w:rsidRPr="005936B2">
        <w:rPr>
          <w:rFonts w:ascii="Book Antiqua" w:eastAsia="宋体" w:hAnsi="Book Antiqua"/>
          <w:sz w:val="24"/>
          <w:szCs w:val="24"/>
        </w:rPr>
        <w:t xml:space="preserve"> </w:t>
      </w:r>
      <w:r w:rsidRPr="005936B2">
        <w:rPr>
          <w:rFonts w:ascii="Book Antiqua" w:hAnsi="Book Antiqua"/>
          <w:sz w:val="24"/>
          <w:szCs w:val="24"/>
        </w:rPr>
        <w:t xml:space="preserve">°C resulted in the formation of the glycation intermediates G, MG and 3DG. The formation of CML in HSA was inhibited in the presence of a reducing agent (sodium borohydride), a chelator of transition metal ions (diethylenetriamine pentaacetic acid), or a trapping reagent for </w:t>
      </w:r>
      <w:r w:rsidRPr="005936B2">
        <w:rPr>
          <w:rFonts w:ascii="Book Antiqua" w:hAnsi="Book Antiqua"/>
          <w:sz w:val="24"/>
          <w:szCs w:val="24"/>
        </w:rPr>
        <w:t xml:space="preserve">-oxoaldehydes (aminoguanidine), which indicates that CML (AGEs) accumulation in proteins is manageable. </w:t>
      </w:r>
      <w:r w:rsidRPr="005936B2">
        <w:rPr>
          <w:rStyle w:val="Heading1Char"/>
          <w:rFonts w:ascii="Book Antiqua" w:eastAsiaTheme="minorEastAsia" w:hAnsi="Book Antiqua"/>
          <w:sz w:val="24"/>
          <w:szCs w:val="24"/>
        </w:rPr>
        <w:t xml:space="preserve">  </w:t>
      </w:r>
    </w:p>
    <w:p w:rsidR="007A30DF" w:rsidRPr="005936B2" w:rsidRDefault="007A30DF" w:rsidP="007A30DF">
      <w:pPr>
        <w:spacing w:line="360" w:lineRule="auto"/>
        <w:rPr>
          <w:rFonts w:ascii="Book Antiqua" w:hAnsi="Book Antiqua"/>
          <w:sz w:val="24"/>
          <w:szCs w:val="24"/>
        </w:rPr>
      </w:pPr>
    </w:p>
    <w:p w:rsidR="007A30DF" w:rsidRPr="005936B2" w:rsidRDefault="007A30DF" w:rsidP="007A30DF">
      <w:pPr>
        <w:spacing w:line="360" w:lineRule="auto"/>
        <w:rPr>
          <w:rFonts w:ascii="Book Antiqua" w:hAnsi="Book Antiqua"/>
          <w:b/>
          <w:bCs/>
          <w:i/>
          <w:sz w:val="24"/>
          <w:szCs w:val="24"/>
        </w:rPr>
      </w:pPr>
      <w:r w:rsidRPr="005936B2">
        <w:rPr>
          <w:rFonts w:ascii="Book Antiqua" w:hAnsi="Book Antiqua"/>
          <w:b/>
          <w:bCs/>
          <w:i/>
          <w:sz w:val="24"/>
          <w:szCs w:val="24"/>
        </w:rPr>
        <w:t>Hydroimidazolones</w:t>
      </w:r>
    </w:p>
    <w:p w:rsidR="007A30DF" w:rsidRPr="005936B2" w:rsidRDefault="007A30DF" w:rsidP="007A30DF">
      <w:pPr>
        <w:spacing w:line="360" w:lineRule="auto"/>
        <w:rPr>
          <w:rFonts w:ascii="Book Antiqua" w:hAnsi="Book Antiqua"/>
          <w:sz w:val="24"/>
          <w:szCs w:val="24"/>
        </w:rPr>
      </w:pPr>
      <w:r w:rsidRPr="005936B2">
        <w:rPr>
          <w:rFonts w:ascii="Book Antiqua" w:hAnsi="Book Antiqua"/>
          <w:sz w:val="24"/>
          <w:szCs w:val="24"/>
        </w:rPr>
        <w:t>Hydroimidazolones are formed in a reaction of the guanidino group of arginine with G, MG and 3DG</w:t>
      </w:r>
      <w:r w:rsidRPr="005936B2">
        <w:rPr>
          <w:rFonts w:ascii="Book Antiqua" w:hAnsi="Book Antiqua"/>
          <w:sz w:val="24"/>
          <w:szCs w:val="24"/>
          <w:vertAlign w:val="superscript"/>
        </w:rPr>
        <w:t>[64-66]</w:t>
      </w:r>
      <w:r w:rsidRPr="005936B2">
        <w:rPr>
          <w:rFonts w:ascii="Book Antiqua" w:hAnsi="Book Antiqua"/>
          <w:sz w:val="24"/>
          <w:szCs w:val="24"/>
        </w:rPr>
        <w:t xml:space="preserve">. The resulting products undergo structural and stereochemical isomerization, which were extensively studied by Ahmed </w:t>
      </w:r>
      <w:r w:rsidRPr="005936B2">
        <w:rPr>
          <w:rFonts w:ascii="Book Antiqua" w:hAnsi="Book Antiqua"/>
          <w:i/>
          <w:sz w:val="24"/>
          <w:szCs w:val="24"/>
        </w:rPr>
        <w:t xml:space="preserve">et </w:t>
      </w:r>
      <w:proofErr w:type="gramStart"/>
      <w:r w:rsidRPr="005936B2">
        <w:rPr>
          <w:rFonts w:ascii="Book Antiqua" w:hAnsi="Book Antiqua"/>
          <w:i/>
          <w:sz w:val="24"/>
          <w:szCs w:val="24"/>
        </w:rPr>
        <w:t>al</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54,65]</w:t>
      </w:r>
      <w:r w:rsidRPr="005936B2">
        <w:rPr>
          <w:rFonts w:ascii="Book Antiqua" w:hAnsi="Book Antiqua"/>
          <w:sz w:val="24"/>
          <w:szCs w:val="24"/>
        </w:rPr>
        <w:t>.</w:t>
      </w:r>
      <w:r w:rsidRPr="005936B2">
        <w:rPr>
          <w:rStyle w:val="Heading1Char"/>
          <w:rFonts w:ascii="Book Antiqua" w:eastAsiaTheme="minorEastAsia" w:hAnsi="Book Antiqua"/>
          <w:sz w:val="24"/>
          <w:szCs w:val="24"/>
        </w:rPr>
        <w:t xml:space="preserve"> </w:t>
      </w:r>
      <w:r w:rsidRPr="005936B2">
        <w:rPr>
          <w:rStyle w:val="Heading1Char"/>
          <w:rFonts w:ascii="Book Antiqua" w:eastAsiaTheme="minorEastAsia" w:hAnsi="Book Antiqua"/>
          <w:b w:val="0"/>
          <w:sz w:val="24"/>
          <w:szCs w:val="24"/>
        </w:rPr>
        <w:t xml:space="preserve">The authors found that </w:t>
      </w:r>
      <w:r w:rsidRPr="005936B2">
        <w:rPr>
          <w:rFonts w:ascii="Book Antiqua" w:hAnsi="Book Antiqua"/>
          <w:sz w:val="24"/>
          <w:szCs w:val="24"/>
        </w:rPr>
        <w:t>hydroimidazolones formed</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in the reaction of arginine with methylglyoxal (MG-H) are composed of three structural isomers designated as MG-H1, MG-H2 and MG-H3. The reaction of arginine with G and 3DG yielded similar structural isomers (Figure 3)</w:t>
      </w:r>
      <w:r w:rsidRPr="005936B2">
        <w:rPr>
          <w:rFonts w:ascii="Book Antiqua" w:hAnsi="Book Antiqua"/>
          <w:sz w:val="24"/>
          <w:szCs w:val="24"/>
          <w:vertAlign w:val="superscript"/>
        </w:rPr>
        <w:t>[67]</w:t>
      </w:r>
      <w:r w:rsidRPr="005936B2">
        <w:rPr>
          <w:rFonts w:ascii="Book Antiqua" w:hAnsi="Book Antiqua"/>
          <w:sz w:val="24"/>
          <w:szCs w:val="24"/>
        </w:rPr>
        <w:t>. Due to racemization in the hydroimidazolone ring, each structural isomer may exist in two epimiric forms, which cannot be resolved without prior derivatization. As a rule, the stability of hydroimidazolones decreases with increasing pH and each structural isomer has a distinctive stability and half-life.</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 xml:space="preserve">The half-life of the individual stereoisomers of MG-H increases in the following order: MG-H1&gt;MG-H2&gt;&gt;MG-H3. Under physiological conditions (pH 7.4, 37°C) the half-life of MG-H1 is approximately 12 days. Ahmed </w:t>
      </w:r>
      <w:r w:rsidRPr="005936B2">
        <w:rPr>
          <w:rFonts w:ascii="Book Antiqua" w:hAnsi="Book Antiqua"/>
          <w:i/>
          <w:sz w:val="24"/>
          <w:szCs w:val="24"/>
        </w:rPr>
        <w:t xml:space="preserve">et </w:t>
      </w:r>
      <w:proofErr w:type="gramStart"/>
      <w:r w:rsidRPr="005936B2">
        <w:rPr>
          <w:rFonts w:ascii="Book Antiqua" w:hAnsi="Book Antiqua"/>
          <w:i/>
          <w:sz w:val="24"/>
          <w:szCs w:val="24"/>
        </w:rPr>
        <w:t>al</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65]</w:t>
      </w:r>
      <w:r w:rsidRPr="005936B2">
        <w:rPr>
          <w:rFonts w:ascii="Book Antiqua" w:hAnsi="Book Antiqua"/>
          <w:sz w:val="24"/>
          <w:szCs w:val="24"/>
        </w:rPr>
        <w:t xml:space="preserve"> suggested that in contrast to CML, hydroimidazolones are not accumulating in long-lived proteins over time </w:t>
      </w:r>
      <w:r w:rsidRPr="005936B2">
        <w:rPr>
          <w:rFonts w:ascii="Book Antiqua" w:hAnsi="Book Antiqua"/>
          <w:i/>
          <w:iCs/>
          <w:sz w:val="24"/>
          <w:szCs w:val="24"/>
        </w:rPr>
        <w:t>in vivo</w:t>
      </w:r>
      <w:r w:rsidRPr="005936B2">
        <w:rPr>
          <w:rFonts w:ascii="Book Antiqua" w:hAnsi="Book Antiqua"/>
          <w:sz w:val="24"/>
          <w:szCs w:val="24"/>
        </w:rPr>
        <w:t xml:space="preserve"> but rather reflecting short episodes of enhanced protein glycation under conditions of abnormal rise in the concentration of α-oxoaldehydes. The authors also assumed that N</w:t>
      </w:r>
      <w:r w:rsidRPr="005936B2">
        <w:rPr>
          <w:rFonts w:ascii="Book Antiqua" w:hAnsi="Book Antiqua"/>
          <w:sz w:val="24"/>
          <w:szCs w:val="24"/>
          <w:vertAlign w:val="subscript"/>
        </w:rPr>
        <w:t>ω</w:t>
      </w:r>
      <w:proofErr w:type="gramStart"/>
      <w:r w:rsidRPr="005936B2">
        <w:rPr>
          <w:rFonts w:ascii="Book Antiqua" w:hAnsi="Book Antiqua"/>
          <w:sz w:val="24"/>
          <w:szCs w:val="24"/>
        </w:rPr>
        <w:t>-(</w:t>
      </w:r>
      <w:proofErr w:type="gramEnd"/>
      <w:r w:rsidRPr="005936B2">
        <w:rPr>
          <w:rFonts w:ascii="Book Antiqua" w:hAnsi="Book Antiqua"/>
          <w:sz w:val="24"/>
          <w:szCs w:val="24"/>
        </w:rPr>
        <w:t>1-carboxyethyl)arginine and N</w:t>
      </w:r>
      <w:r w:rsidRPr="005936B2">
        <w:rPr>
          <w:rFonts w:ascii="Book Antiqua" w:hAnsi="Book Antiqua"/>
          <w:sz w:val="24"/>
          <w:szCs w:val="24"/>
          <w:vertAlign w:val="subscript"/>
        </w:rPr>
        <w:t>ω</w:t>
      </w:r>
      <w:r w:rsidRPr="005936B2">
        <w:rPr>
          <w:rFonts w:ascii="Book Antiqua" w:hAnsi="Book Antiqua"/>
          <w:sz w:val="24"/>
          <w:szCs w:val="24"/>
        </w:rPr>
        <w:t xml:space="preserve">-(1-carboxymethyl)arginine, which are more stable and found in </w:t>
      </w:r>
      <w:r w:rsidRPr="005936B2">
        <w:rPr>
          <w:rFonts w:ascii="Book Antiqua" w:hAnsi="Book Antiqua"/>
          <w:i/>
          <w:sz w:val="24"/>
          <w:szCs w:val="24"/>
        </w:rPr>
        <w:t>in vivo</w:t>
      </w:r>
      <w:r w:rsidRPr="005936B2">
        <w:rPr>
          <w:rFonts w:ascii="Book Antiqua" w:hAnsi="Book Antiqua"/>
          <w:sz w:val="24"/>
          <w:szCs w:val="24"/>
        </w:rPr>
        <w:t xml:space="preserve"> glycated proteins, are probable degradation products of hydroimidazolones. </w:t>
      </w:r>
    </w:p>
    <w:p w:rsidR="007A30DF" w:rsidRPr="005936B2" w:rsidRDefault="007A30DF" w:rsidP="007A30DF">
      <w:pPr>
        <w:pStyle w:val="Heading3"/>
        <w:spacing w:before="0" w:after="0" w:line="360" w:lineRule="auto"/>
        <w:ind w:firstLine="0"/>
        <w:rPr>
          <w:rFonts w:ascii="Book Antiqua" w:hAnsi="Book Antiqua"/>
          <w:i/>
          <w:sz w:val="24"/>
          <w:szCs w:val="24"/>
        </w:rPr>
      </w:pPr>
    </w:p>
    <w:p w:rsidR="007A30DF" w:rsidRPr="005936B2" w:rsidRDefault="007A30DF" w:rsidP="007A30DF">
      <w:pPr>
        <w:pStyle w:val="Heading3"/>
        <w:spacing w:before="0" w:after="0" w:line="360" w:lineRule="auto"/>
        <w:ind w:firstLine="0"/>
        <w:rPr>
          <w:rFonts w:ascii="Book Antiqua" w:hAnsi="Book Antiqua" w:cs="Times New Roman"/>
          <w:i/>
          <w:sz w:val="24"/>
          <w:szCs w:val="24"/>
        </w:rPr>
      </w:pPr>
      <w:r w:rsidRPr="005936B2">
        <w:rPr>
          <w:rFonts w:ascii="Book Antiqua" w:hAnsi="Book Antiqua"/>
          <w:i/>
          <w:sz w:val="24"/>
          <w:szCs w:val="24"/>
        </w:rPr>
        <w:t>AGEs crosslinks</w:t>
      </w:r>
    </w:p>
    <w:p w:rsidR="007A30DF" w:rsidRPr="005936B2" w:rsidRDefault="007A30DF" w:rsidP="007A30DF">
      <w:pPr>
        <w:spacing w:line="360" w:lineRule="auto"/>
        <w:rPr>
          <w:rFonts w:ascii="Book Antiqua" w:hAnsi="Book Antiqua"/>
          <w:sz w:val="24"/>
          <w:szCs w:val="24"/>
        </w:rPr>
      </w:pPr>
      <w:r w:rsidRPr="005936B2">
        <w:rPr>
          <w:rFonts w:ascii="Book Antiqua" w:hAnsi="Book Antiqua"/>
          <w:sz w:val="24"/>
          <w:szCs w:val="24"/>
        </w:rPr>
        <w:t>The Maillard reaction not only yields sugar adducts on proteins but also results in gross structural changes such as proteolysis</w:t>
      </w:r>
      <w:r w:rsidRPr="005936B2">
        <w:rPr>
          <w:rFonts w:ascii="Book Antiqua" w:hAnsi="Book Antiqua"/>
          <w:sz w:val="24"/>
          <w:szCs w:val="24"/>
          <w:vertAlign w:val="superscript"/>
        </w:rPr>
        <w:t>[68-70]</w:t>
      </w:r>
      <w:r w:rsidRPr="005936B2">
        <w:rPr>
          <w:rFonts w:ascii="Book Antiqua" w:hAnsi="Book Antiqua"/>
          <w:sz w:val="24"/>
          <w:szCs w:val="24"/>
        </w:rPr>
        <w:t>, and intra- or intermolecular crosslinking</w:t>
      </w:r>
      <w:r w:rsidRPr="005936B2">
        <w:rPr>
          <w:rFonts w:ascii="Book Antiqua" w:hAnsi="Book Antiqua"/>
          <w:sz w:val="24"/>
          <w:szCs w:val="24"/>
          <w:vertAlign w:val="superscript"/>
        </w:rPr>
        <w:t>[71,72]</w:t>
      </w:r>
      <w:r w:rsidRPr="005936B2">
        <w:rPr>
          <w:rFonts w:ascii="Book Antiqua" w:hAnsi="Book Antiqua"/>
          <w:sz w:val="24"/>
          <w:szCs w:val="24"/>
        </w:rPr>
        <w:t xml:space="preserve">. Proteolysis of glycated proteins usually occurs at lysine and arginine </w:t>
      </w:r>
      <w:proofErr w:type="gramStart"/>
      <w:r w:rsidRPr="005936B2">
        <w:rPr>
          <w:rFonts w:ascii="Book Antiqua" w:hAnsi="Book Antiqua"/>
          <w:sz w:val="24"/>
          <w:szCs w:val="24"/>
        </w:rPr>
        <w:t>residues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73]</w:t>
      </w:r>
      <w:r w:rsidRPr="005936B2">
        <w:rPr>
          <w:rFonts w:ascii="Book Antiqua" w:hAnsi="Book Antiqua"/>
          <w:sz w:val="24"/>
          <w:szCs w:val="24"/>
        </w:rPr>
        <w:t xml:space="preserve"> but may also happen randomly as a result of transition metal ions catalyzed oxidation</w:t>
      </w:r>
      <w:r w:rsidRPr="005936B2">
        <w:rPr>
          <w:rFonts w:ascii="Book Antiqua" w:hAnsi="Book Antiqua"/>
          <w:sz w:val="24"/>
          <w:szCs w:val="24"/>
          <w:vertAlign w:val="superscript"/>
        </w:rPr>
        <w:t>[68,69]</w:t>
      </w:r>
      <w:r w:rsidRPr="005936B2">
        <w:rPr>
          <w:rFonts w:ascii="Book Antiqua" w:hAnsi="Book Antiqua"/>
          <w:sz w:val="24"/>
          <w:szCs w:val="24"/>
        </w:rPr>
        <w:t>. In contrast, covalent crosslinking of polypeptide chains involves exclusively lysine and arginine residues. Lysine residues on the same or on different polypeptide chains become involved in the formation of shared AGEs structures such as GOLD [G-derived lysine dimer]</w:t>
      </w:r>
      <w:r w:rsidRPr="005936B2">
        <w:rPr>
          <w:rFonts w:ascii="Book Antiqua" w:hAnsi="Book Antiqua"/>
          <w:sz w:val="24"/>
          <w:szCs w:val="24"/>
          <w:vertAlign w:val="superscript"/>
        </w:rPr>
        <w:t>[74]</w:t>
      </w:r>
      <w:r w:rsidRPr="005936B2">
        <w:rPr>
          <w:rFonts w:ascii="Book Antiqua" w:hAnsi="Book Antiqua"/>
          <w:sz w:val="24"/>
          <w:szCs w:val="24"/>
        </w:rPr>
        <w:t>, MOLD [MG-derived lysine dimer]</w:t>
      </w:r>
      <w:r w:rsidRPr="005936B2">
        <w:rPr>
          <w:rFonts w:ascii="Book Antiqua" w:hAnsi="Book Antiqua"/>
          <w:sz w:val="24"/>
          <w:szCs w:val="24"/>
          <w:vertAlign w:val="superscript"/>
        </w:rPr>
        <w:t>[75]</w:t>
      </w:r>
      <w:r w:rsidRPr="005936B2">
        <w:rPr>
          <w:rFonts w:ascii="Book Antiqua" w:hAnsi="Book Antiqua"/>
          <w:sz w:val="24"/>
          <w:szCs w:val="24"/>
        </w:rPr>
        <w:t>, DOLD [3DG-derived lysine dimer]</w:t>
      </w:r>
      <w:r w:rsidRPr="005936B2">
        <w:rPr>
          <w:rFonts w:ascii="Book Antiqua" w:hAnsi="Book Antiqua"/>
          <w:sz w:val="24"/>
          <w:szCs w:val="24"/>
          <w:vertAlign w:val="superscript"/>
        </w:rPr>
        <w:t>[76]</w:t>
      </w:r>
      <w:r w:rsidRPr="005936B2">
        <w:rPr>
          <w:rFonts w:ascii="Book Antiqua" w:hAnsi="Book Antiqua"/>
          <w:sz w:val="24"/>
          <w:szCs w:val="24"/>
        </w:rPr>
        <w:t xml:space="preserve">, G-derived lysine-lysine crosslinks </w:t>
      </w:r>
      <w:r w:rsidRPr="005936B2">
        <w:rPr>
          <w:rFonts w:ascii="Book Antiqua" w:hAnsi="Book Antiqua"/>
          <w:sz w:val="24"/>
          <w:szCs w:val="24"/>
        </w:rPr>
        <w:lastRenderedPageBreak/>
        <w:t>GOLA and GALA</w:t>
      </w:r>
      <w:r w:rsidRPr="005936B2">
        <w:rPr>
          <w:rFonts w:ascii="Book Antiqua" w:hAnsi="Book Antiqua"/>
          <w:sz w:val="24"/>
          <w:szCs w:val="24"/>
          <w:vertAlign w:val="superscript"/>
        </w:rPr>
        <w:t>[77,78]</w:t>
      </w:r>
      <w:r w:rsidRPr="005936B2">
        <w:rPr>
          <w:rFonts w:ascii="Book Antiqua" w:hAnsi="Book Antiqua"/>
          <w:sz w:val="24"/>
          <w:szCs w:val="24"/>
        </w:rPr>
        <w:t>, glucose lysine dimer GLUCOLD</w:t>
      </w:r>
      <w:r w:rsidRPr="005936B2">
        <w:rPr>
          <w:rFonts w:ascii="Book Antiqua" w:hAnsi="Book Antiqua"/>
          <w:sz w:val="24"/>
          <w:szCs w:val="24"/>
          <w:vertAlign w:val="superscript"/>
        </w:rPr>
        <w:t>[79]</w:t>
      </w:r>
      <w:r w:rsidRPr="005936B2">
        <w:rPr>
          <w:rFonts w:ascii="Book Antiqua" w:hAnsi="Book Antiqua"/>
          <w:sz w:val="24"/>
          <w:szCs w:val="24"/>
        </w:rPr>
        <w:t>, crossline</w:t>
      </w:r>
      <w:r w:rsidRPr="005936B2">
        <w:rPr>
          <w:rFonts w:ascii="Book Antiqua" w:hAnsi="Book Antiqua"/>
          <w:sz w:val="24"/>
          <w:szCs w:val="24"/>
          <w:vertAlign w:val="superscript"/>
        </w:rPr>
        <w:t>[80,81]</w:t>
      </w:r>
      <w:r w:rsidRPr="005936B2">
        <w:rPr>
          <w:rFonts w:ascii="Book Antiqua" w:hAnsi="Book Antiqua"/>
          <w:sz w:val="24"/>
          <w:szCs w:val="24"/>
        </w:rPr>
        <w:t xml:space="preserve"> and vesperlysines</w:t>
      </w:r>
      <w:r w:rsidRPr="005936B2">
        <w:rPr>
          <w:rFonts w:ascii="Book Antiqua" w:hAnsi="Book Antiqua"/>
          <w:sz w:val="24"/>
          <w:szCs w:val="24"/>
          <w:vertAlign w:val="superscript"/>
        </w:rPr>
        <w:t>[82]</w:t>
      </w:r>
      <w:r w:rsidRPr="005936B2">
        <w:rPr>
          <w:rFonts w:ascii="Book Antiqua" w:hAnsi="Book Antiqua"/>
          <w:sz w:val="24"/>
          <w:szCs w:val="24"/>
        </w:rPr>
        <w:t xml:space="preserve"> (Figure 4)</w:t>
      </w:r>
      <w:r w:rsidRPr="005936B2">
        <w:rPr>
          <w:rFonts w:ascii="Book Antiqua" w:hAnsi="Book Antiqua"/>
          <w:sz w:val="24"/>
          <w:szCs w:val="24"/>
          <w:vertAlign w:val="superscript"/>
        </w:rPr>
        <w:t>[67]</w:t>
      </w:r>
      <w:r w:rsidRPr="005936B2">
        <w:rPr>
          <w:rFonts w:ascii="Book Antiqua" w:hAnsi="Book Antiqua"/>
          <w:sz w:val="24"/>
          <w:szCs w:val="24"/>
        </w:rPr>
        <w:t>. AGEs crosslinks formed between lysine and arginine residues are GODIC (G-derived arginine-lysine dimer), MODIC (MG-derived arginine-lysine dimer)</w:t>
      </w:r>
      <w:r w:rsidRPr="005936B2">
        <w:rPr>
          <w:rFonts w:ascii="Book Antiqua" w:hAnsi="Book Antiqua"/>
          <w:sz w:val="24"/>
          <w:szCs w:val="24"/>
          <w:vertAlign w:val="superscript"/>
        </w:rPr>
        <w:t>[83]</w:t>
      </w:r>
      <w:r w:rsidRPr="005936B2">
        <w:rPr>
          <w:rFonts w:ascii="Book Antiqua" w:hAnsi="Book Antiqua"/>
          <w:sz w:val="24"/>
          <w:szCs w:val="24"/>
        </w:rPr>
        <w:t>, DOGDIC (3DG-derived arginine-lysine dimer)</w:t>
      </w:r>
      <w:r w:rsidRPr="005936B2">
        <w:rPr>
          <w:rFonts w:ascii="Book Antiqua" w:hAnsi="Book Antiqua"/>
          <w:sz w:val="24"/>
          <w:szCs w:val="24"/>
          <w:vertAlign w:val="superscript"/>
        </w:rPr>
        <w:t>[84]</w:t>
      </w:r>
      <w:r w:rsidRPr="005936B2">
        <w:rPr>
          <w:rFonts w:ascii="Book Antiqua" w:hAnsi="Book Antiqua"/>
          <w:sz w:val="24"/>
          <w:szCs w:val="24"/>
        </w:rPr>
        <w:t xml:space="preserve">, </w:t>
      </w:r>
      <w:proofErr w:type="gramStart"/>
      <w:r w:rsidRPr="005936B2">
        <w:rPr>
          <w:rFonts w:ascii="Book Antiqua" w:hAnsi="Book Antiqua"/>
          <w:sz w:val="24"/>
          <w:szCs w:val="24"/>
        </w:rPr>
        <w:t>pentosidine</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78]</w:t>
      </w:r>
      <w:r w:rsidRPr="005936B2">
        <w:rPr>
          <w:rFonts w:ascii="Book Antiqua" w:hAnsi="Book Antiqua"/>
          <w:sz w:val="24"/>
          <w:szCs w:val="24"/>
        </w:rPr>
        <w:t xml:space="preserve"> and glucosepane</w:t>
      </w:r>
      <w:r w:rsidRPr="005936B2">
        <w:rPr>
          <w:rFonts w:ascii="Book Antiqua" w:hAnsi="Book Antiqua"/>
          <w:sz w:val="24"/>
          <w:szCs w:val="24"/>
          <w:vertAlign w:val="superscript"/>
        </w:rPr>
        <w:t>[84]</w:t>
      </w:r>
      <w:r w:rsidRPr="005936B2">
        <w:rPr>
          <w:rFonts w:ascii="Book Antiqua" w:hAnsi="Book Antiqua"/>
          <w:sz w:val="24"/>
          <w:szCs w:val="24"/>
        </w:rPr>
        <w:t xml:space="preserve">. To the best of our knowledge, to date crosslinks formed between two arginine residues or between arginine/lysine residues and other amino acids have not been detected neither </w:t>
      </w:r>
      <w:r w:rsidRPr="005936B2">
        <w:rPr>
          <w:rFonts w:ascii="Book Antiqua" w:hAnsi="Book Antiqua"/>
          <w:i/>
          <w:sz w:val="24"/>
          <w:szCs w:val="24"/>
        </w:rPr>
        <w:t>in vivo</w:t>
      </w:r>
      <w:r w:rsidRPr="005936B2">
        <w:rPr>
          <w:rFonts w:ascii="Book Antiqua" w:hAnsi="Book Antiqua"/>
          <w:sz w:val="24"/>
          <w:szCs w:val="24"/>
        </w:rPr>
        <w:t xml:space="preserve"> nor in </w:t>
      </w:r>
      <w:r w:rsidRPr="005936B2">
        <w:rPr>
          <w:rFonts w:ascii="Book Antiqua" w:hAnsi="Book Antiqua"/>
          <w:i/>
          <w:sz w:val="24"/>
          <w:szCs w:val="24"/>
        </w:rPr>
        <w:t>in vitro</w:t>
      </w:r>
      <w:r w:rsidRPr="005936B2">
        <w:rPr>
          <w:rFonts w:ascii="Book Antiqua" w:hAnsi="Book Antiqua"/>
          <w:sz w:val="24"/>
          <w:szCs w:val="24"/>
        </w:rPr>
        <w:t xml:space="preserve"> glycation reaction, </w:t>
      </w:r>
      <w:r w:rsidRPr="005936B2">
        <w:rPr>
          <w:rStyle w:val="alt-edited"/>
          <w:rFonts w:ascii="Book Antiqua" w:hAnsi="Book Antiqua"/>
          <w:sz w:val="24"/>
          <w:szCs w:val="24"/>
        </w:rPr>
        <w:t>although</w:t>
      </w:r>
      <w:r w:rsidRPr="005936B2">
        <w:rPr>
          <w:rFonts w:ascii="Book Antiqua" w:hAnsi="Book Antiqua"/>
          <w:sz w:val="24"/>
          <w:szCs w:val="24"/>
        </w:rPr>
        <w:t xml:space="preserve"> the possible involvement of the cysteine thiol group in the formation of such crosslinks has been proposed</w:t>
      </w:r>
      <w:r w:rsidRPr="005936B2">
        <w:rPr>
          <w:rFonts w:ascii="Book Antiqua" w:hAnsi="Book Antiqua"/>
          <w:sz w:val="24"/>
          <w:szCs w:val="24"/>
          <w:vertAlign w:val="superscript"/>
        </w:rPr>
        <w:t>[85]</w:t>
      </w:r>
      <w:r w:rsidRPr="005936B2">
        <w:rPr>
          <w:rFonts w:ascii="Book Antiqua" w:hAnsi="Book Antiqua"/>
          <w:sz w:val="24"/>
          <w:szCs w:val="24"/>
        </w:rPr>
        <w:t xml:space="preserve">.  </w:t>
      </w:r>
    </w:p>
    <w:p w:rsidR="007A30DF" w:rsidRPr="005936B2" w:rsidRDefault="007A30DF" w:rsidP="007A30DF">
      <w:pPr>
        <w:spacing w:line="360" w:lineRule="auto"/>
        <w:rPr>
          <w:rFonts w:ascii="Book Antiqua" w:hAnsi="Book Antiqua"/>
          <w:b/>
          <w:bCs/>
          <w:sz w:val="24"/>
          <w:szCs w:val="24"/>
        </w:rPr>
      </w:pPr>
    </w:p>
    <w:p w:rsidR="007A30DF" w:rsidRPr="005936B2" w:rsidRDefault="007A30DF" w:rsidP="007A30DF">
      <w:pPr>
        <w:spacing w:line="360" w:lineRule="auto"/>
        <w:rPr>
          <w:rFonts w:ascii="Book Antiqua" w:hAnsi="Book Antiqua"/>
          <w:b/>
          <w:bCs/>
          <w:sz w:val="24"/>
          <w:szCs w:val="24"/>
        </w:rPr>
      </w:pPr>
      <w:r w:rsidRPr="005936B2">
        <w:rPr>
          <w:rFonts w:ascii="Book Antiqua" w:hAnsi="Book Antiqua"/>
          <w:b/>
          <w:bCs/>
          <w:sz w:val="24"/>
          <w:szCs w:val="24"/>
        </w:rPr>
        <w:t>MAILLARD REACTION PRODUCTS IN THE HUMAN BODY</w:t>
      </w:r>
    </w:p>
    <w:p w:rsidR="007A30DF" w:rsidRPr="005936B2" w:rsidRDefault="007A30DF" w:rsidP="007A30DF">
      <w:pPr>
        <w:spacing w:line="360" w:lineRule="auto"/>
        <w:rPr>
          <w:rFonts w:ascii="Book Antiqua" w:hAnsi="Book Antiqua"/>
          <w:b/>
          <w:bCs/>
          <w:i/>
          <w:sz w:val="24"/>
          <w:szCs w:val="24"/>
        </w:rPr>
      </w:pPr>
      <w:r w:rsidRPr="005936B2">
        <w:rPr>
          <w:rFonts w:ascii="Book Antiqua" w:hAnsi="Book Antiqua"/>
          <w:b/>
          <w:bCs/>
          <w:i/>
          <w:sz w:val="24"/>
          <w:szCs w:val="24"/>
        </w:rPr>
        <w:t xml:space="preserve">Endogenous formation of glycation products </w:t>
      </w:r>
    </w:p>
    <w:p w:rsidR="007A30DF" w:rsidRPr="005936B2" w:rsidRDefault="007A30DF" w:rsidP="007A30DF">
      <w:pPr>
        <w:tabs>
          <w:tab w:val="left" w:pos="6745"/>
        </w:tabs>
        <w:spacing w:line="360" w:lineRule="auto"/>
        <w:rPr>
          <w:rFonts w:ascii="Book Antiqua" w:hAnsi="Book Antiqua"/>
          <w:sz w:val="24"/>
          <w:szCs w:val="24"/>
        </w:rPr>
      </w:pPr>
      <w:r w:rsidRPr="005936B2">
        <w:rPr>
          <w:rFonts w:ascii="Book Antiqua" w:hAnsi="Book Antiqua"/>
          <w:sz w:val="24"/>
          <w:szCs w:val="24"/>
        </w:rPr>
        <w:t>Early and advanced</w:t>
      </w:r>
      <w:r w:rsidRPr="005936B2">
        <w:rPr>
          <w:rFonts w:ascii="Book Antiqua" w:hAnsi="Book Antiqua"/>
          <w:sz w:val="24"/>
          <w:szCs w:val="24"/>
          <w:lang w:val="bg-BG"/>
        </w:rPr>
        <w:t xml:space="preserve"> </w:t>
      </w:r>
      <w:r w:rsidRPr="005936B2">
        <w:rPr>
          <w:rFonts w:ascii="Book Antiqua" w:hAnsi="Book Antiqua"/>
          <w:sz w:val="24"/>
          <w:szCs w:val="24"/>
        </w:rPr>
        <w:t xml:space="preserve">glycation products are formed in the human body throughout its existence. Many glycation adducts, appearing on proteins in model reactions </w:t>
      </w:r>
      <w:r w:rsidRPr="005936B2">
        <w:rPr>
          <w:rFonts w:ascii="Book Antiqua" w:hAnsi="Book Antiqua"/>
          <w:i/>
          <w:sz w:val="24"/>
          <w:szCs w:val="24"/>
        </w:rPr>
        <w:t>in vitro</w:t>
      </w:r>
      <w:r w:rsidRPr="005936B2">
        <w:rPr>
          <w:rFonts w:ascii="Book Antiqua" w:hAnsi="Book Antiqua"/>
          <w:sz w:val="24"/>
          <w:szCs w:val="24"/>
        </w:rPr>
        <w:t xml:space="preserve">, have been detected also in physiological systems. Fructoselysine (FL), the Amadori product formed by glucose on the </w:t>
      </w:r>
      <w:r w:rsidRPr="005936B2">
        <w:rPr>
          <w:rFonts w:ascii="Book Antiqua" w:hAnsi="Book Antiqua"/>
          <w:sz w:val="24"/>
          <w:szCs w:val="24"/>
        </w:rPr>
        <w:t xml:space="preserve">-amino group of lysine, has a relatively short half-live (2 – 6 </w:t>
      </w:r>
      <w:r w:rsidRPr="005936B2">
        <w:rPr>
          <w:rFonts w:ascii="Book Antiqua" w:eastAsia="宋体" w:hAnsi="Book Antiqua"/>
          <w:sz w:val="24"/>
          <w:szCs w:val="24"/>
        </w:rPr>
        <w:t>wk</w:t>
      </w:r>
      <w:r w:rsidRPr="005936B2">
        <w:rPr>
          <w:rFonts w:ascii="Book Antiqua" w:hAnsi="Book Antiqua"/>
          <w:sz w:val="24"/>
          <w:szCs w:val="24"/>
        </w:rPr>
        <w:t>)</w:t>
      </w:r>
      <w:r w:rsidRPr="005936B2">
        <w:rPr>
          <w:rFonts w:ascii="Book Antiqua" w:hAnsi="Book Antiqua"/>
          <w:sz w:val="24"/>
          <w:szCs w:val="24"/>
          <w:vertAlign w:val="superscript"/>
        </w:rPr>
        <w:t>[86]</w:t>
      </w:r>
      <w:r w:rsidRPr="005936B2">
        <w:rPr>
          <w:rFonts w:ascii="Book Antiqua" w:hAnsi="Book Antiqua"/>
          <w:sz w:val="24"/>
          <w:szCs w:val="24"/>
        </w:rPr>
        <w:t>. As a rule, early glycation in healthy subjects is not age-dependent, although some rise in the physiological FL concentration has been observed during aging. For example, the concentration of the collagen-bound FL  increases from 5 mmol/mol Lys in 20 years old individuals to 7 mmol/mol Lys in 70 years old subjects</w:t>
      </w:r>
      <w:r w:rsidRPr="005936B2">
        <w:rPr>
          <w:rFonts w:ascii="Book Antiqua" w:hAnsi="Book Antiqua"/>
          <w:sz w:val="24"/>
          <w:szCs w:val="24"/>
          <w:vertAlign w:val="superscript"/>
        </w:rPr>
        <w:t>[87]</w:t>
      </w:r>
      <w:r w:rsidRPr="005936B2">
        <w:rPr>
          <w:rFonts w:ascii="Book Antiqua" w:hAnsi="Book Antiqua"/>
          <w:sz w:val="24"/>
          <w:szCs w:val="24"/>
          <w:lang w:val="bg-BG"/>
        </w:rPr>
        <w:t>.</w:t>
      </w:r>
      <w:r w:rsidRPr="005936B2">
        <w:rPr>
          <w:rFonts w:ascii="Book Antiqua" w:hAnsi="Book Antiqua"/>
          <w:sz w:val="24"/>
          <w:szCs w:val="24"/>
        </w:rPr>
        <w:t xml:space="preserve"> Short-lived proteins such as albumin (half-life </w:t>
      </w:r>
      <w:r w:rsidRPr="005936B2">
        <w:rPr>
          <w:rFonts w:ascii="Book Antiqua" w:hAnsi="Book Antiqua"/>
          <w:i/>
          <w:sz w:val="24"/>
          <w:szCs w:val="24"/>
        </w:rPr>
        <w:t>ca.</w:t>
      </w:r>
      <w:r w:rsidRPr="005936B2">
        <w:rPr>
          <w:rFonts w:ascii="Book Antiqua" w:hAnsi="Book Antiqua"/>
          <w:sz w:val="24"/>
          <w:szCs w:val="24"/>
        </w:rPr>
        <w:t xml:space="preserve"> 20 </w:t>
      </w:r>
      <w:r w:rsidRPr="005936B2">
        <w:rPr>
          <w:rFonts w:ascii="Book Antiqua" w:eastAsia="宋体" w:hAnsi="Book Antiqua"/>
          <w:sz w:val="24"/>
          <w:szCs w:val="24"/>
        </w:rPr>
        <w:t>d</w:t>
      </w:r>
      <w:r w:rsidRPr="005936B2">
        <w:rPr>
          <w:rFonts w:ascii="Book Antiqua" w:hAnsi="Book Antiqua"/>
          <w:sz w:val="24"/>
          <w:szCs w:val="24"/>
        </w:rPr>
        <w:t xml:space="preserve">) and even hemoglobin (half-life </w:t>
      </w:r>
      <w:r w:rsidRPr="005936B2">
        <w:rPr>
          <w:rFonts w:ascii="Book Antiqua" w:hAnsi="Book Antiqua"/>
          <w:i/>
          <w:sz w:val="24"/>
          <w:szCs w:val="24"/>
        </w:rPr>
        <w:t>ca.</w:t>
      </w:r>
      <w:r w:rsidRPr="005936B2">
        <w:rPr>
          <w:rFonts w:ascii="Book Antiqua" w:hAnsi="Book Antiqua"/>
          <w:sz w:val="24"/>
          <w:szCs w:val="24"/>
        </w:rPr>
        <w:t xml:space="preserve"> 120 </w:t>
      </w:r>
      <w:r w:rsidRPr="005936B2">
        <w:rPr>
          <w:rFonts w:ascii="Book Antiqua" w:eastAsia="宋体" w:hAnsi="Book Antiqua"/>
          <w:sz w:val="24"/>
          <w:szCs w:val="24"/>
        </w:rPr>
        <w:t>d</w:t>
      </w:r>
      <w:r w:rsidRPr="005936B2">
        <w:rPr>
          <w:rFonts w:ascii="Book Antiqua" w:hAnsi="Book Antiqua"/>
          <w:sz w:val="24"/>
          <w:szCs w:val="24"/>
        </w:rPr>
        <w:t xml:space="preserve">) accumulate </w:t>
      </w:r>
      <w:r w:rsidRPr="005936B2">
        <w:rPr>
          <w:rFonts w:ascii="Book Antiqua" w:hAnsi="Book Antiqua"/>
          <w:i/>
          <w:sz w:val="24"/>
          <w:szCs w:val="24"/>
        </w:rPr>
        <w:t>in vivo</w:t>
      </w:r>
      <w:r w:rsidRPr="005936B2">
        <w:rPr>
          <w:rFonts w:ascii="Book Antiqua" w:hAnsi="Book Antiqua"/>
          <w:sz w:val="24"/>
          <w:szCs w:val="24"/>
        </w:rPr>
        <w:t xml:space="preserve"> predominantly early glycation products</w:t>
      </w:r>
      <w:r w:rsidRPr="005936B2">
        <w:rPr>
          <w:rFonts w:ascii="Book Antiqua" w:hAnsi="Book Antiqua"/>
          <w:i/>
          <w:sz w:val="24"/>
          <w:szCs w:val="24"/>
        </w:rPr>
        <w:t xml:space="preserve">. </w:t>
      </w:r>
      <w:r w:rsidRPr="005936B2">
        <w:rPr>
          <w:rFonts w:ascii="Book Antiqua" w:hAnsi="Book Antiqua"/>
          <w:sz w:val="24"/>
          <w:szCs w:val="24"/>
        </w:rPr>
        <w:t>Approximately 10% of HSA of healthy subjects is modified by FL at Lys-</w:t>
      </w:r>
      <w:proofErr w:type="gramStart"/>
      <w:r w:rsidRPr="005936B2">
        <w:rPr>
          <w:rFonts w:ascii="Book Antiqua" w:hAnsi="Book Antiqua"/>
          <w:sz w:val="24"/>
          <w:szCs w:val="24"/>
        </w:rPr>
        <w:t>525</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88]</w:t>
      </w:r>
      <w:r w:rsidRPr="005936B2">
        <w:rPr>
          <w:rFonts w:ascii="Book Antiqua" w:hAnsi="Book Antiqua"/>
          <w:sz w:val="24"/>
          <w:szCs w:val="24"/>
        </w:rPr>
        <w:t xml:space="preserve">, and incubation of HSA with glucose under physiological conditions </w:t>
      </w:r>
      <w:r w:rsidRPr="005936B2">
        <w:rPr>
          <w:rFonts w:ascii="Book Antiqua" w:hAnsi="Book Antiqua"/>
          <w:i/>
          <w:sz w:val="24"/>
          <w:szCs w:val="24"/>
        </w:rPr>
        <w:t>in vitro</w:t>
      </w:r>
      <w:r w:rsidRPr="005936B2">
        <w:rPr>
          <w:rFonts w:ascii="Book Antiqua" w:hAnsi="Book Antiqua"/>
          <w:sz w:val="24"/>
          <w:szCs w:val="24"/>
        </w:rPr>
        <w:t xml:space="preserve"> leads to glycation of the same Lys residue</w:t>
      </w:r>
      <w:r w:rsidRPr="005936B2">
        <w:rPr>
          <w:rFonts w:ascii="Book Antiqua" w:hAnsi="Book Antiqua"/>
          <w:sz w:val="24"/>
          <w:szCs w:val="24"/>
          <w:vertAlign w:val="superscript"/>
        </w:rPr>
        <w:t>[89]</w:t>
      </w:r>
      <w:r w:rsidRPr="005936B2">
        <w:rPr>
          <w:rFonts w:ascii="Book Antiqua" w:hAnsi="Book Antiqua"/>
          <w:sz w:val="24"/>
          <w:szCs w:val="24"/>
        </w:rPr>
        <w:t xml:space="preserve">. Other Lys residues in HSA including Lys-439, Lys-199 and Lys-281 are also involved in FL formation </w:t>
      </w:r>
      <w:r w:rsidRPr="005936B2">
        <w:rPr>
          <w:rFonts w:ascii="Book Antiqua" w:hAnsi="Book Antiqua"/>
          <w:i/>
          <w:sz w:val="24"/>
          <w:szCs w:val="24"/>
        </w:rPr>
        <w:t>in vivo</w:t>
      </w:r>
      <w:r w:rsidRPr="005936B2">
        <w:rPr>
          <w:rFonts w:ascii="Book Antiqua" w:hAnsi="Book Antiqua"/>
          <w:sz w:val="24"/>
          <w:szCs w:val="24"/>
          <w:vertAlign w:val="superscript"/>
        </w:rPr>
        <w:t>[90]</w:t>
      </w:r>
      <w:r w:rsidRPr="005936B2">
        <w:rPr>
          <w:rFonts w:ascii="Book Antiqua" w:hAnsi="Book Antiqua"/>
          <w:sz w:val="24"/>
          <w:szCs w:val="24"/>
        </w:rPr>
        <w:t xml:space="preserve"> and it has been reported that glycation impairs HSA binding to physiologically important ligands such as bilirubin and </w:t>
      </w:r>
      <w:r w:rsidRPr="005936B2">
        <w:rPr>
          <w:rFonts w:ascii="Book Antiqua" w:hAnsi="Book Antiqua"/>
          <w:i/>
          <w:sz w:val="24"/>
          <w:szCs w:val="24"/>
        </w:rPr>
        <w:t>cis</w:t>
      </w:r>
      <w:r w:rsidRPr="005936B2">
        <w:rPr>
          <w:rFonts w:ascii="Book Antiqua" w:hAnsi="Book Antiqua"/>
          <w:sz w:val="24"/>
          <w:szCs w:val="24"/>
        </w:rPr>
        <w:t>-parinaric acid</w:t>
      </w:r>
      <w:r w:rsidRPr="005936B2">
        <w:rPr>
          <w:rFonts w:ascii="Book Antiqua" w:hAnsi="Book Antiqua"/>
          <w:sz w:val="24"/>
          <w:szCs w:val="24"/>
          <w:vertAlign w:val="superscript"/>
        </w:rPr>
        <w:t>[89]</w:t>
      </w:r>
      <w:r w:rsidRPr="005936B2">
        <w:rPr>
          <w:rFonts w:ascii="Book Antiqua" w:hAnsi="Book Antiqua"/>
          <w:sz w:val="24"/>
          <w:szCs w:val="24"/>
        </w:rPr>
        <w:t>. The historically crucial hemoglobin HbA</w:t>
      </w:r>
      <w:r w:rsidRPr="005936B2">
        <w:rPr>
          <w:rFonts w:ascii="Book Antiqua" w:hAnsi="Book Antiqua"/>
          <w:sz w:val="24"/>
          <w:szCs w:val="24"/>
          <w:vertAlign w:val="subscript"/>
        </w:rPr>
        <w:t>1c</w:t>
      </w:r>
      <w:r w:rsidRPr="005936B2">
        <w:rPr>
          <w:rFonts w:ascii="Book Antiqua" w:hAnsi="Book Antiqua"/>
          <w:sz w:val="24"/>
          <w:szCs w:val="24"/>
        </w:rPr>
        <w:t xml:space="preserve"> contains glucose-derived Amadori product at the amino group of the hemoglobin</w:t>
      </w:r>
      <w:r w:rsidRPr="005936B2">
        <w:rPr>
          <w:rFonts w:ascii="Book Antiqua" w:eastAsia="宋体" w:hAnsi="Book Antiqua"/>
          <w:sz w:val="24"/>
          <w:szCs w:val="24"/>
        </w:rPr>
        <w:t xml:space="preserve"> </w:t>
      </w:r>
      <w:r w:rsidRPr="005936B2">
        <w:rPr>
          <w:rFonts w:ascii="Book Antiqua" w:hAnsi="Book Antiqua"/>
          <w:sz w:val="24"/>
          <w:szCs w:val="24"/>
        </w:rPr>
        <w:sym w:font="Symbol" w:char="F062"/>
      </w:r>
      <w:r w:rsidRPr="005936B2">
        <w:rPr>
          <w:rFonts w:ascii="Book Antiqua" w:hAnsi="Book Antiqua"/>
          <w:sz w:val="24"/>
          <w:szCs w:val="24"/>
        </w:rPr>
        <w:t>-chain N-terminal valine (</w:t>
      </w:r>
      <w:r w:rsidRPr="005936B2">
        <w:rPr>
          <w:rFonts w:ascii="Book Antiqua" w:hAnsi="Book Antiqua"/>
          <w:sz w:val="24"/>
          <w:szCs w:val="24"/>
        </w:rPr>
        <w:sym w:font="Symbol" w:char="F062"/>
      </w:r>
      <w:r w:rsidRPr="005936B2">
        <w:rPr>
          <w:rFonts w:ascii="Book Antiqua" w:hAnsi="Book Antiqua"/>
          <w:sz w:val="24"/>
          <w:szCs w:val="24"/>
        </w:rPr>
        <w:t>Val-1) and amounts 4</w:t>
      </w:r>
      <w:r w:rsidRPr="005936B2">
        <w:rPr>
          <w:rFonts w:ascii="Book Antiqua" w:eastAsia="宋体" w:hAnsi="Book Antiqua"/>
          <w:sz w:val="24"/>
          <w:szCs w:val="24"/>
        </w:rPr>
        <w:t>%</w:t>
      </w:r>
      <w:r w:rsidRPr="005936B2">
        <w:rPr>
          <w:rFonts w:ascii="Book Antiqua" w:hAnsi="Book Antiqua"/>
          <w:sz w:val="24"/>
          <w:szCs w:val="24"/>
        </w:rPr>
        <w:t>-6% of the total hemoglobin in healthy individuals. Except the N-terminal valine, some internal Lys residues in HbA</w:t>
      </w:r>
      <w:r w:rsidRPr="005936B2">
        <w:rPr>
          <w:rFonts w:ascii="Book Antiqua" w:hAnsi="Book Antiqua"/>
          <w:sz w:val="24"/>
          <w:szCs w:val="24"/>
          <w:vertAlign w:val="subscript"/>
        </w:rPr>
        <w:t xml:space="preserve">1c </w:t>
      </w:r>
      <w:r w:rsidRPr="005936B2">
        <w:rPr>
          <w:rFonts w:ascii="Book Antiqua" w:hAnsi="Book Antiqua"/>
          <w:sz w:val="24"/>
          <w:szCs w:val="24"/>
        </w:rPr>
        <w:t xml:space="preserve">also become </w:t>
      </w:r>
      <w:proofErr w:type="gramStart"/>
      <w:r w:rsidRPr="005936B2">
        <w:rPr>
          <w:rFonts w:ascii="Book Antiqua" w:hAnsi="Book Antiqua"/>
          <w:sz w:val="24"/>
          <w:szCs w:val="24"/>
        </w:rPr>
        <w:t>glycated</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91]</w:t>
      </w:r>
      <w:r w:rsidRPr="005936B2">
        <w:rPr>
          <w:rFonts w:ascii="Book Antiqua" w:hAnsi="Book Antiqua"/>
          <w:sz w:val="24"/>
          <w:szCs w:val="24"/>
        </w:rPr>
        <w:t>. Under hyperglycemia HbA</w:t>
      </w:r>
      <w:r w:rsidRPr="005936B2">
        <w:rPr>
          <w:rFonts w:ascii="Book Antiqua" w:hAnsi="Book Antiqua"/>
          <w:sz w:val="24"/>
          <w:szCs w:val="24"/>
          <w:vertAlign w:val="subscript"/>
        </w:rPr>
        <w:t xml:space="preserve">1c </w:t>
      </w:r>
      <w:r w:rsidRPr="005936B2">
        <w:rPr>
          <w:rFonts w:ascii="Book Antiqua" w:hAnsi="Book Antiqua"/>
          <w:sz w:val="24"/>
          <w:szCs w:val="24"/>
        </w:rPr>
        <w:t xml:space="preserve">levels </w:t>
      </w:r>
      <w:r w:rsidRPr="005936B2">
        <w:rPr>
          <w:rFonts w:ascii="Book Antiqua" w:hAnsi="Book Antiqua"/>
          <w:sz w:val="24"/>
          <w:szCs w:val="24"/>
        </w:rPr>
        <w:lastRenderedPageBreak/>
        <w:t xml:space="preserve">increase several times and correlate positively with the chronic diabetic </w:t>
      </w:r>
      <w:proofErr w:type="gramStart"/>
      <w:r w:rsidRPr="005936B2">
        <w:rPr>
          <w:rFonts w:ascii="Book Antiqua" w:hAnsi="Book Antiqua"/>
          <w:sz w:val="24"/>
          <w:szCs w:val="24"/>
        </w:rPr>
        <w:t>pathology</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92]</w:t>
      </w:r>
      <w:r w:rsidRPr="005936B2">
        <w:rPr>
          <w:rFonts w:ascii="Book Antiqua" w:hAnsi="Book Antiqua"/>
          <w:sz w:val="24"/>
          <w:szCs w:val="24"/>
        </w:rPr>
        <w:t xml:space="preserve">.  </w:t>
      </w:r>
    </w:p>
    <w:p w:rsidR="007A30DF" w:rsidRPr="005936B2" w:rsidRDefault="007A30DF" w:rsidP="007A30DF">
      <w:pPr>
        <w:tabs>
          <w:tab w:val="left" w:pos="6745"/>
        </w:tabs>
        <w:spacing w:line="360" w:lineRule="auto"/>
        <w:ind w:firstLine="357"/>
        <w:rPr>
          <w:rFonts w:ascii="Book Antiqua" w:hAnsi="Book Antiqua"/>
          <w:sz w:val="24"/>
          <w:szCs w:val="24"/>
        </w:rPr>
      </w:pPr>
      <w:r w:rsidRPr="005936B2">
        <w:rPr>
          <w:rFonts w:ascii="Book Antiqua" w:hAnsi="Book Antiqua"/>
          <w:sz w:val="24"/>
          <w:szCs w:val="24"/>
        </w:rPr>
        <w:t>Most AGEs are either not formed at physiological glucose concentrations (5 m</w:t>
      </w:r>
      <w:r w:rsidRPr="005936B2">
        <w:rPr>
          <w:rFonts w:ascii="Book Antiqua" w:eastAsia="宋体" w:hAnsi="Book Antiqua"/>
          <w:sz w:val="24"/>
          <w:szCs w:val="24"/>
        </w:rPr>
        <w:t>mol/L</w:t>
      </w:r>
      <w:r w:rsidRPr="005936B2">
        <w:rPr>
          <w:rFonts w:ascii="Book Antiqua" w:hAnsi="Book Antiqua"/>
          <w:sz w:val="24"/>
          <w:szCs w:val="24"/>
        </w:rPr>
        <w:t xml:space="preserve">) or their levels are quite lower (ten to thundered times) compared with hyperglycemic conditions. This makes AGEs relevant biomarkers of the glycation status of individuals, which changes with age and in disease state such as diabetes and kidney failure. Because of their great diversity, AGEs cover a wide concentration range </w:t>
      </w:r>
      <w:r w:rsidRPr="005936B2">
        <w:rPr>
          <w:rFonts w:ascii="Book Antiqua" w:hAnsi="Book Antiqua"/>
          <w:i/>
          <w:sz w:val="24"/>
          <w:szCs w:val="24"/>
        </w:rPr>
        <w:t>in vivo</w:t>
      </w:r>
      <w:r w:rsidRPr="005936B2">
        <w:rPr>
          <w:rFonts w:ascii="Book Antiqua" w:hAnsi="Book Antiqua"/>
          <w:sz w:val="24"/>
          <w:szCs w:val="24"/>
        </w:rPr>
        <w:t xml:space="preserve"> (0.001 to 15 mmol/mol modified amino acid)</w:t>
      </w:r>
      <w:r w:rsidRPr="005936B2">
        <w:rPr>
          <w:rFonts w:ascii="Book Antiqua" w:hAnsi="Book Antiqua"/>
          <w:sz w:val="24"/>
          <w:szCs w:val="24"/>
          <w:vertAlign w:val="superscript"/>
        </w:rPr>
        <w:t>[86]</w:t>
      </w:r>
      <w:r w:rsidRPr="005936B2">
        <w:rPr>
          <w:rFonts w:ascii="Book Antiqua" w:hAnsi="Book Antiqua"/>
          <w:sz w:val="24"/>
          <w:szCs w:val="24"/>
        </w:rPr>
        <w:t xml:space="preserve">. Physiologically important AGEs are those having long half-life (CML, CEL and pentosidine) and/or high concentration (hydromidazolones). Stable AGEs accumulate on long-lived proteins such as skin and cartilage </w:t>
      </w:r>
      <w:proofErr w:type="gramStart"/>
      <w:r w:rsidRPr="005936B2">
        <w:rPr>
          <w:rFonts w:ascii="Book Antiqua" w:hAnsi="Book Antiqua"/>
          <w:sz w:val="24"/>
          <w:szCs w:val="24"/>
        </w:rPr>
        <w:t>collagen</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93-96]</w:t>
      </w:r>
      <w:r w:rsidRPr="005936B2">
        <w:rPr>
          <w:rFonts w:ascii="Book Antiqua" w:hAnsi="Book Antiqua"/>
          <w:sz w:val="24"/>
          <w:szCs w:val="24"/>
        </w:rPr>
        <w:t>, and lens proteins</w:t>
      </w:r>
      <w:r w:rsidRPr="005936B2">
        <w:rPr>
          <w:rFonts w:ascii="Book Antiqua" w:hAnsi="Book Antiqua"/>
          <w:sz w:val="24"/>
          <w:szCs w:val="24"/>
          <w:vertAlign w:val="superscript"/>
        </w:rPr>
        <w:t>[97]</w:t>
      </w:r>
      <w:r w:rsidRPr="005936B2">
        <w:rPr>
          <w:rFonts w:ascii="Book Antiqua" w:hAnsi="Book Antiqua"/>
          <w:sz w:val="24"/>
          <w:szCs w:val="24"/>
        </w:rPr>
        <w:t>, although CML has also been detected in the short-lived HSA of diabetic patients</w:t>
      </w:r>
      <w:r w:rsidRPr="005936B2">
        <w:rPr>
          <w:rFonts w:ascii="Book Antiqua" w:hAnsi="Book Antiqua"/>
          <w:sz w:val="24"/>
          <w:szCs w:val="24"/>
          <w:vertAlign w:val="superscript"/>
        </w:rPr>
        <w:t>[98]</w:t>
      </w:r>
      <w:r w:rsidRPr="005936B2">
        <w:rPr>
          <w:rFonts w:ascii="Book Antiqua" w:hAnsi="Book Antiqua"/>
          <w:sz w:val="24"/>
          <w:szCs w:val="24"/>
        </w:rPr>
        <w:t xml:space="preserve">. Hidroimidazolones, albeit relatively unstable, may also appear on long-lived proteins such as human lens </w:t>
      </w:r>
      <w:proofErr w:type="gramStart"/>
      <w:r w:rsidRPr="005936B2">
        <w:rPr>
          <w:rFonts w:ascii="Book Antiqua" w:hAnsi="Book Antiqua"/>
          <w:sz w:val="24"/>
          <w:szCs w:val="24"/>
        </w:rPr>
        <w:t>proteins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99]</w:t>
      </w:r>
      <w:r w:rsidRPr="005936B2">
        <w:rPr>
          <w:rFonts w:ascii="Book Antiqua" w:hAnsi="Book Antiqua"/>
          <w:sz w:val="24"/>
          <w:szCs w:val="24"/>
        </w:rPr>
        <w:t xml:space="preserve">. </w:t>
      </w:r>
    </w:p>
    <w:p w:rsidR="007A30DF" w:rsidRPr="005936B2" w:rsidRDefault="007A30DF" w:rsidP="007A30DF">
      <w:pPr>
        <w:spacing w:line="360" w:lineRule="auto"/>
        <w:ind w:firstLine="357"/>
        <w:rPr>
          <w:rFonts w:ascii="Book Antiqua" w:hAnsi="Book Antiqua"/>
          <w:sz w:val="24"/>
          <w:szCs w:val="24"/>
        </w:rPr>
      </w:pPr>
      <w:r w:rsidRPr="005936B2">
        <w:rPr>
          <w:rStyle w:val="hps"/>
          <w:rFonts w:ascii="Book Antiqua" w:hAnsi="Book Antiqua"/>
          <w:sz w:val="24"/>
          <w:szCs w:val="24"/>
        </w:rPr>
        <w:t>Maillard reaction products (MRPs)</w:t>
      </w:r>
      <w:r w:rsidRPr="005936B2">
        <w:rPr>
          <w:rStyle w:val="shorttext"/>
          <w:rFonts w:ascii="Book Antiqua" w:hAnsi="Book Antiqua"/>
          <w:sz w:val="24"/>
          <w:szCs w:val="24"/>
        </w:rPr>
        <w:t xml:space="preserve">, which are found </w:t>
      </w:r>
      <w:r w:rsidRPr="005936B2">
        <w:rPr>
          <w:rStyle w:val="hps"/>
          <w:rFonts w:ascii="Book Antiqua" w:hAnsi="Book Antiqua"/>
          <w:sz w:val="24"/>
          <w:szCs w:val="24"/>
        </w:rPr>
        <w:t>in the body,</w:t>
      </w:r>
      <w:r w:rsidRPr="005936B2">
        <w:rPr>
          <w:rFonts w:ascii="Book Antiqua" w:hAnsi="Book Antiqua"/>
          <w:sz w:val="24"/>
          <w:szCs w:val="24"/>
        </w:rPr>
        <w:t xml:space="preserve"> are classified into three groups - MRPs in proteins (&gt; 12 kDa), MRPs in peptides (&lt;</w:t>
      </w:r>
      <w:r w:rsidRPr="005936B2">
        <w:rPr>
          <w:rFonts w:ascii="Book Antiqua" w:eastAsia="宋体" w:hAnsi="Book Antiqua"/>
          <w:sz w:val="24"/>
          <w:szCs w:val="24"/>
        </w:rPr>
        <w:t xml:space="preserve"> </w:t>
      </w:r>
      <w:r w:rsidRPr="005936B2">
        <w:rPr>
          <w:rFonts w:ascii="Book Antiqua" w:hAnsi="Book Antiqua"/>
          <w:sz w:val="24"/>
          <w:szCs w:val="24"/>
        </w:rPr>
        <w:t>12 kD) and free MRPs in amino acids.</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The term MRPs is more general than AGEs and applies to both early glycation products and AGEs.</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 xml:space="preserve">Peptide MRPs are detected mainly in the portal venous plasma and in the urine, and are most likely degradation products of glycated proteins. </w:t>
      </w:r>
      <w:r w:rsidRPr="005936B2">
        <w:rPr>
          <w:rStyle w:val="Heading1Char"/>
          <w:rFonts w:ascii="Book Antiqua" w:eastAsiaTheme="minorEastAsia" w:hAnsi="Book Antiqua" w:cs="Times New Roman"/>
          <w:b w:val="0"/>
          <w:bCs w:val="0"/>
          <w:sz w:val="24"/>
          <w:szCs w:val="24"/>
        </w:rPr>
        <w:t>F</w:t>
      </w:r>
      <w:r w:rsidRPr="005936B2">
        <w:rPr>
          <w:rFonts w:ascii="Book Antiqua" w:hAnsi="Book Antiqua"/>
          <w:sz w:val="24"/>
          <w:szCs w:val="24"/>
        </w:rPr>
        <w:t xml:space="preserve">ree MRPs are formed during proteasome/lysosome degradation of glycated cellular proteins, then released into the bloodstream and excreted in the urine, which ensures efficient functioning of the cell </w:t>
      </w:r>
      <w:proofErr w:type="gramStart"/>
      <w:r w:rsidRPr="005936B2">
        <w:rPr>
          <w:rFonts w:ascii="Book Antiqua" w:hAnsi="Book Antiqua"/>
          <w:sz w:val="24"/>
          <w:szCs w:val="24"/>
        </w:rPr>
        <w:t>proteome</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100,101]</w:t>
      </w:r>
      <w:r w:rsidRPr="005936B2">
        <w:rPr>
          <w:rFonts w:ascii="Book Antiqua" w:hAnsi="Book Antiqua"/>
          <w:sz w:val="24"/>
          <w:szCs w:val="24"/>
        </w:rPr>
        <w:t xml:space="preserve">.  Free MRPs may appear </w:t>
      </w:r>
      <w:r w:rsidRPr="005936B2">
        <w:rPr>
          <w:rFonts w:ascii="Book Antiqua" w:hAnsi="Book Antiqua"/>
          <w:i/>
          <w:sz w:val="24"/>
          <w:szCs w:val="24"/>
        </w:rPr>
        <w:t>in vivo</w:t>
      </w:r>
      <w:r w:rsidRPr="005936B2">
        <w:rPr>
          <w:rFonts w:ascii="Book Antiqua" w:hAnsi="Book Antiqua"/>
          <w:sz w:val="24"/>
          <w:szCs w:val="24"/>
        </w:rPr>
        <w:t xml:space="preserve"> also as a result of amino acids glycation though this latter source of free MRPs is </w:t>
      </w:r>
      <w:proofErr w:type="gramStart"/>
      <w:r w:rsidRPr="005936B2">
        <w:rPr>
          <w:rFonts w:ascii="Book Antiqua" w:hAnsi="Book Antiqua"/>
          <w:sz w:val="24"/>
          <w:szCs w:val="24"/>
        </w:rPr>
        <w:t>disputable</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55]</w:t>
      </w:r>
      <w:r w:rsidRPr="005936B2">
        <w:rPr>
          <w:rFonts w:ascii="Book Antiqua" w:hAnsi="Book Antiqua"/>
          <w:sz w:val="24"/>
          <w:szCs w:val="24"/>
        </w:rPr>
        <w:t xml:space="preserve">.  </w:t>
      </w:r>
    </w:p>
    <w:p w:rsidR="007A30DF" w:rsidRPr="005936B2" w:rsidRDefault="007A30DF" w:rsidP="007A30DF">
      <w:pPr>
        <w:spacing w:line="360" w:lineRule="auto"/>
        <w:ind w:firstLine="357"/>
        <w:rPr>
          <w:rFonts w:ascii="Book Antiqua" w:hAnsi="Book Antiqua"/>
          <w:sz w:val="24"/>
          <w:szCs w:val="24"/>
        </w:rPr>
      </w:pPr>
      <w:r w:rsidRPr="005936B2">
        <w:rPr>
          <w:rFonts w:ascii="Book Antiqua" w:hAnsi="Book Antiqua"/>
          <w:sz w:val="24"/>
          <w:szCs w:val="24"/>
        </w:rPr>
        <w:t xml:space="preserve">The impact of glycation on human physiology depends on many factors including the target amino compound and its half-life, the adduct stability and its location. Especially harmful are the consequences of the formation of covalent cross-links in proteins that render them resistant to </w:t>
      </w:r>
      <w:proofErr w:type="gramStart"/>
      <w:r w:rsidRPr="005936B2">
        <w:rPr>
          <w:rFonts w:ascii="Book Antiqua" w:hAnsi="Book Antiqua"/>
          <w:sz w:val="24"/>
          <w:szCs w:val="24"/>
        </w:rPr>
        <w:t>proteolysis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102]</w:t>
      </w:r>
      <w:r w:rsidRPr="005936B2">
        <w:rPr>
          <w:rFonts w:ascii="Book Antiqua" w:hAnsi="Book Antiqua"/>
          <w:sz w:val="24"/>
          <w:szCs w:val="24"/>
        </w:rPr>
        <w:t xml:space="preserve">. Both early glycation products and AGEs can cause damage </w:t>
      </w:r>
      <w:r w:rsidRPr="005936B2">
        <w:rPr>
          <w:rFonts w:ascii="Book Antiqua" w:hAnsi="Book Antiqua"/>
          <w:i/>
          <w:sz w:val="24"/>
          <w:szCs w:val="24"/>
        </w:rPr>
        <w:t>via</w:t>
      </w:r>
      <w:r w:rsidRPr="005936B2">
        <w:rPr>
          <w:rFonts w:ascii="Book Antiqua" w:hAnsi="Book Antiqua"/>
          <w:sz w:val="24"/>
          <w:szCs w:val="24"/>
        </w:rPr>
        <w:t xml:space="preserve"> various mechanisms such as </w:t>
      </w:r>
      <w:r w:rsidRPr="005936B2">
        <w:rPr>
          <w:rFonts w:ascii="Book Antiqua" w:eastAsia="宋体" w:hAnsi="Book Antiqua"/>
          <w:sz w:val="24"/>
          <w:szCs w:val="24"/>
        </w:rPr>
        <w:t>(1</w:t>
      </w:r>
      <w:r w:rsidRPr="005936B2">
        <w:rPr>
          <w:rFonts w:ascii="Book Antiqua" w:hAnsi="Book Antiqua"/>
          <w:sz w:val="24"/>
          <w:szCs w:val="24"/>
        </w:rPr>
        <w:t>) release of oxygen radicals by early products</w:t>
      </w:r>
      <w:r w:rsidRPr="005936B2">
        <w:rPr>
          <w:rFonts w:ascii="Book Antiqua" w:hAnsi="Book Antiqua"/>
          <w:sz w:val="24"/>
          <w:szCs w:val="24"/>
          <w:vertAlign w:val="superscript"/>
        </w:rPr>
        <w:t>[103]</w:t>
      </w:r>
      <w:r w:rsidRPr="005936B2">
        <w:rPr>
          <w:rFonts w:ascii="Book Antiqua" w:eastAsia="宋体" w:hAnsi="Book Antiqua"/>
          <w:sz w:val="24"/>
          <w:szCs w:val="24"/>
        </w:rPr>
        <w:t>; (2</w:t>
      </w:r>
      <w:r w:rsidRPr="005936B2">
        <w:rPr>
          <w:rFonts w:ascii="Book Antiqua" w:hAnsi="Book Antiqua"/>
          <w:sz w:val="24"/>
          <w:szCs w:val="24"/>
        </w:rPr>
        <w:t>) altered (blocked) activity of enzymes</w:t>
      </w:r>
      <w:r w:rsidRPr="005936B2">
        <w:rPr>
          <w:rFonts w:ascii="Book Antiqua" w:hAnsi="Book Antiqua"/>
          <w:sz w:val="24"/>
          <w:szCs w:val="24"/>
          <w:vertAlign w:val="superscript"/>
        </w:rPr>
        <w:t>[104,105]</w:t>
      </w:r>
      <w:r w:rsidRPr="005936B2">
        <w:rPr>
          <w:rFonts w:ascii="Book Antiqua" w:hAnsi="Book Antiqua"/>
          <w:sz w:val="24"/>
          <w:szCs w:val="24"/>
        </w:rPr>
        <w:t>, receptors</w:t>
      </w:r>
      <w:r w:rsidRPr="005936B2">
        <w:rPr>
          <w:rFonts w:ascii="Book Antiqua" w:hAnsi="Book Antiqua"/>
          <w:sz w:val="24"/>
          <w:szCs w:val="24"/>
          <w:vertAlign w:val="superscript"/>
        </w:rPr>
        <w:t>[106]</w:t>
      </w:r>
      <w:r w:rsidRPr="005936B2">
        <w:rPr>
          <w:rFonts w:ascii="Book Antiqua" w:hAnsi="Book Antiqua"/>
          <w:sz w:val="24"/>
          <w:szCs w:val="24"/>
        </w:rPr>
        <w:t xml:space="preserve"> and regulatory proteins</w:t>
      </w:r>
      <w:r w:rsidRPr="005936B2">
        <w:rPr>
          <w:rFonts w:ascii="Book Antiqua" w:hAnsi="Book Antiqua"/>
          <w:sz w:val="24"/>
          <w:szCs w:val="24"/>
          <w:vertAlign w:val="superscript"/>
        </w:rPr>
        <w:t>[107,108]</w:t>
      </w:r>
      <w:r w:rsidRPr="005936B2">
        <w:rPr>
          <w:rFonts w:ascii="Book Antiqua" w:eastAsia="宋体" w:hAnsi="Book Antiqua"/>
          <w:sz w:val="24"/>
          <w:szCs w:val="24"/>
        </w:rPr>
        <w:t>;</w:t>
      </w:r>
      <w:r w:rsidRPr="005936B2">
        <w:rPr>
          <w:rFonts w:ascii="Book Antiqua" w:hAnsi="Book Antiqua"/>
          <w:sz w:val="24"/>
          <w:szCs w:val="24"/>
        </w:rPr>
        <w:t xml:space="preserve"> </w:t>
      </w:r>
      <w:r w:rsidRPr="005936B2">
        <w:rPr>
          <w:rFonts w:ascii="Book Antiqua" w:eastAsia="宋体" w:hAnsi="Book Antiqua"/>
          <w:sz w:val="24"/>
          <w:szCs w:val="24"/>
        </w:rPr>
        <w:t>(3</w:t>
      </w:r>
      <w:r w:rsidRPr="005936B2">
        <w:rPr>
          <w:rFonts w:ascii="Book Antiqua" w:hAnsi="Book Antiqua"/>
          <w:sz w:val="24"/>
          <w:szCs w:val="24"/>
        </w:rPr>
        <w:t>) crosslinking of structural proteins</w:t>
      </w:r>
      <w:r w:rsidRPr="005936B2">
        <w:rPr>
          <w:rFonts w:ascii="Book Antiqua" w:hAnsi="Book Antiqua"/>
          <w:sz w:val="24"/>
          <w:szCs w:val="24"/>
          <w:vertAlign w:val="superscript"/>
        </w:rPr>
        <w:t>[78,109]</w:t>
      </w:r>
      <w:r w:rsidRPr="005936B2">
        <w:rPr>
          <w:rFonts w:ascii="Book Antiqua" w:eastAsia="宋体" w:hAnsi="Book Antiqua"/>
          <w:sz w:val="24"/>
          <w:szCs w:val="24"/>
        </w:rPr>
        <w:t>;</w:t>
      </w:r>
      <w:r w:rsidRPr="005936B2">
        <w:rPr>
          <w:rFonts w:ascii="Book Antiqua" w:hAnsi="Book Antiqua"/>
          <w:sz w:val="24"/>
          <w:szCs w:val="24"/>
        </w:rPr>
        <w:t xml:space="preserve"> </w:t>
      </w:r>
      <w:r w:rsidRPr="005936B2">
        <w:rPr>
          <w:rFonts w:ascii="Book Antiqua" w:eastAsia="宋体" w:hAnsi="Book Antiqua"/>
          <w:sz w:val="24"/>
          <w:szCs w:val="24"/>
        </w:rPr>
        <w:t>(4</w:t>
      </w:r>
      <w:r w:rsidRPr="005936B2">
        <w:rPr>
          <w:rFonts w:ascii="Book Antiqua" w:hAnsi="Book Antiqua"/>
          <w:sz w:val="24"/>
          <w:szCs w:val="24"/>
        </w:rPr>
        <w:t>) damage of signaling pathways</w:t>
      </w:r>
      <w:r w:rsidRPr="005936B2">
        <w:rPr>
          <w:rFonts w:ascii="Book Antiqua" w:hAnsi="Book Antiqua"/>
          <w:sz w:val="24"/>
          <w:szCs w:val="24"/>
          <w:vertAlign w:val="superscript"/>
        </w:rPr>
        <w:t>[110,111]</w:t>
      </w:r>
      <w:r w:rsidRPr="005936B2">
        <w:rPr>
          <w:rFonts w:ascii="Book Antiqua" w:hAnsi="Book Antiqua"/>
          <w:sz w:val="24"/>
          <w:szCs w:val="24"/>
        </w:rPr>
        <w:t xml:space="preserve">, </w:t>
      </w:r>
      <w:r w:rsidRPr="005936B2">
        <w:rPr>
          <w:rFonts w:ascii="Book Antiqua" w:eastAsia="宋体" w:hAnsi="Book Antiqua"/>
          <w:sz w:val="24"/>
          <w:szCs w:val="24"/>
        </w:rPr>
        <w:t>(5</w:t>
      </w:r>
      <w:r w:rsidRPr="005936B2">
        <w:rPr>
          <w:rFonts w:ascii="Book Antiqua" w:hAnsi="Book Antiqua"/>
          <w:sz w:val="24"/>
          <w:szCs w:val="24"/>
        </w:rPr>
        <w:t>) damage of protein recycling</w:t>
      </w:r>
      <w:r w:rsidRPr="005936B2">
        <w:rPr>
          <w:rFonts w:ascii="Book Antiqua" w:hAnsi="Book Antiqua"/>
          <w:sz w:val="24"/>
          <w:szCs w:val="24"/>
          <w:vertAlign w:val="superscript"/>
        </w:rPr>
        <w:t>[112,113]</w:t>
      </w:r>
      <w:r w:rsidRPr="005936B2">
        <w:rPr>
          <w:rFonts w:ascii="Book Antiqua" w:eastAsia="宋体" w:hAnsi="Book Antiqua"/>
          <w:sz w:val="24"/>
          <w:szCs w:val="24"/>
        </w:rPr>
        <w:t>;</w:t>
      </w:r>
      <w:r w:rsidRPr="005936B2">
        <w:rPr>
          <w:rFonts w:ascii="Book Antiqua" w:hAnsi="Book Antiqua"/>
          <w:sz w:val="24"/>
          <w:szCs w:val="24"/>
        </w:rPr>
        <w:t xml:space="preserve"> and </w:t>
      </w:r>
      <w:r w:rsidRPr="005936B2">
        <w:rPr>
          <w:rFonts w:ascii="Book Antiqua" w:eastAsia="宋体" w:hAnsi="Book Antiqua"/>
          <w:sz w:val="24"/>
          <w:szCs w:val="24"/>
        </w:rPr>
        <w:t>(6</w:t>
      </w:r>
      <w:r w:rsidRPr="005936B2">
        <w:rPr>
          <w:rFonts w:ascii="Book Antiqua" w:hAnsi="Book Antiqua"/>
          <w:sz w:val="24"/>
          <w:szCs w:val="24"/>
        </w:rPr>
        <w:t>)  induction of an immune response</w:t>
      </w:r>
      <w:r w:rsidRPr="005936B2">
        <w:rPr>
          <w:rFonts w:ascii="Book Antiqua" w:hAnsi="Book Antiqua"/>
          <w:sz w:val="24"/>
          <w:szCs w:val="24"/>
          <w:vertAlign w:val="superscript"/>
        </w:rPr>
        <w:t>[114]</w:t>
      </w:r>
      <w:r w:rsidRPr="005936B2">
        <w:rPr>
          <w:rFonts w:ascii="Book Antiqua" w:hAnsi="Book Antiqua"/>
          <w:sz w:val="24"/>
          <w:szCs w:val="24"/>
        </w:rPr>
        <w:t xml:space="preserve">. </w:t>
      </w:r>
    </w:p>
    <w:p w:rsidR="007A30DF" w:rsidRPr="005936B2" w:rsidRDefault="007A30DF" w:rsidP="007A30DF">
      <w:pPr>
        <w:pStyle w:val="Heading2"/>
        <w:spacing w:line="360" w:lineRule="auto"/>
        <w:jc w:val="both"/>
        <w:rPr>
          <w:rFonts w:ascii="Book Antiqua" w:hAnsi="Book Antiqua"/>
          <w:i/>
          <w:smallCaps w:val="0"/>
          <w:sz w:val="24"/>
          <w:szCs w:val="24"/>
          <w:lang w:val="en-US"/>
        </w:rPr>
      </w:pPr>
    </w:p>
    <w:p w:rsidR="007A30DF" w:rsidRPr="005936B2" w:rsidRDefault="007A30DF" w:rsidP="007A30DF">
      <w:pPr>
        <w:pStyle w:val="Heading2"/>
        <w:spacing w:line="360" w:lineRule="auto"/>
        <w:jc w:val="both"/>
        <w:rPr>
          <w:rFonts w:ascii="Book Antiqua" w:hAnsi="Book Antiqua"/>
          <w:i/>
          <w:sz w:val="24"/>
          <w:szCs w:val="24"/>
          <w:lang w:val="en-US"/>
        </w:rPr>
      </w:pPr>
      <w:r w:rsidRPr="005936B2">
        <w:rPr>
          <w:rFonts w:ascii="Book Antiqua" w:hAnsi="Book Antiqua"/>
          <w:i/>
          <w:smallCaps w:val="0"/>
          <w:sz w:val="24"/>
          <w:szCs w:val="24"/>
          <w:lang w:val="en-US"/>
        </w:rPr>
        <w:t xml:space="preserve">Dietary intake of glycation products </w:t>
      </w:r>
    </w:p>
    <w:p w:rsidR="007A30DF" w:rsidRPr="005936B2" w:rsidRDefault="007A30DF" w:rsidP="007A30DF">
      <w:pPr>
        <w:pStyle w:val="Heading2"/>
        <w:spacing w:line="360" w:lineRule="auto"/>
        <w:jc w:val="both"/>
        <w:rPr>
          <w:rFonts w:ascii="Book Antiqua" w:hAnsi="Book Antiqua"/>
          <w:b w:val="0"/>
          <w:bCs w:val="0"/>
          <w:smallCaps w:val="0"/>
          <w:sz w:val="24"/>
          <w:szCs w:val="24"/>
          <w:lang w:val="en-US"/>
        </w:rPr>
      </w:pPr>
      <w:r w:rsidRPr="005936B2">
        <w:rPr>
          <w:rFonts w:ascii="Book Antiqua" w:hAnsi="Book Antiqua"/>
          <w:b w:val="0"/>
          <w:bCs w:val="0"/>
          <w:smallCaps w:val="0"/>
          <w:sz w:val="24"/>
          <w:szCs w:val="24"/>
          <w:lang w:val="en-US"/>
        </w:rPr>
        <w:t xml:space="preserve">Sugar-rich and processed foods are also a source of FL and AGEs in the human </w:t>
      </w:r>
      <w:proofErr w:type="gramStart"/>
      <w:r w:rsidRPr="005936B2">
        <w:rPr>
          <w:rFonts w:ascii="Book Antiqua" w:hAnsi="Book Antiqua"/>
          <w:b w:val="0"/>
          <w:bCs w:val="0"/>
          <w:smallCaps w:val="0"/>
          <w:sz w:val="24"/>
          <w:szCs w:val="24"/>
          <w:lang w:val="en-US"/>
        </w:rPr>
        <w:t>body</w:t>
      </w:r>
      <w:r w:rsidRPr="005936B2">
        <w:rPr>
          <w:rFonts w:ascii="Book Antiqua" w:hAnsi="Book Antiqua"/>
          <w:b w:val="0"/>
          <w:bCs w:val="0"/>
          <w:smallCaps w:val="0"/>
          <w:sz w:val="24"/>
          <w:szCs w:val="24"/>
          <w:vertAlign w:val="superscript"/>
          <w:lang w:val="en-US"/>
        </w:rPr>
        <w:t>[</w:t>
      </w:r>
      <w:proofErr w:type="gramEnd"/>
      <w:r w:rsidRPr="005936B2">
        <w:rPr>
          <w:rFonts w:ascii="Book Antiqua" w:hAnsi="Book Antiqua"/>
          <w:b w:val="0"/>
          <w:bCs w:val="0"/>
          <w:smallCaps w:val="0"/>
          <w:sz w:val="24"/>
          <w:szCs w:val="24"/>
          <w:vertAlign w:val="superscript"/>
          <w:lang w:val="en-US"/>
        </w:rPr>
        <w:t>115]</w:t>
      </w:r>
      <w:r w:rsidRPr="005936B2">
        <w:rPr>
          <w:rFonts w:ascii="Book Antiqua" w:hAnsi="Book Antiqua"/>
          <w:b w:val="0"/>
          <w:bCs w:val="0"/>
          <w:smallCaps w:val="0"/>
          <w:sz w:val="24"/>
          <w:szCs w:val="24"/>
          <w:lang w:val="en-US"/>
        </w:rPr>
        <w:t xml:space="preserve">. The biodistribution and metabolism of these products have not been systematically studied, except the dietary intake of FL in </w:t>
      </w:r>
      <w:proofErr w:type="gramStart"/>
      <w:r w:rsidRPr="005936B2">
        <w:rPr>
          <w:rFonts w:ascii="Book Antiqua" w:hAnsi="Book Antiqua"/>
          <w:b w:val="0"/>
          <w:bCs w:val="0"/>
          <w:smallCaps w:val="0"/>
          <w:sz w:val="24"/>
          <w:szCs w:val="24"/>
          <w:lang w:val="en-US"/>
        </w:rPr>
        <w:t>humans</w:t>
      </w:r>
      <w:r w:rsidRPr="005936B2">
        <w:rPr>
          <w:rFonts w:ascii="Book Antiqua" w:hAnsi="Book Antiqua"/>
          <w:b w:val="0"/>
          <w:bCs w:val="0"/>
          <w:smallCaps w:val="0"/>
          <w:sz w:val="24"/>
          <w:szCs w:val="24"/>
          <w:vertAlign w:val="superscript"/>
          <w:lang w:val="en-US"/>
        </w:rPr>
        <w:t>[</w:t>
      </w:r>
      <w:proofErr w:type="gramEnd"/>
      <w:r w:rsidRPr="005936B2">
        <w:rPr>
          <w:rFonts w:ascii="Book Antiqua" w:hAnsi="Book Antiqua"/>
          <w:b w:val="0"/>
          <w:bCs w:val="0"/>
          <w:smallCaps w:val="0"/>
          <w:sz w:val="24"/>
          <w:szCs w:val="24"/>
          <w:vertAlign w:val="superscript"/>
          <w:lang w:val="en-US"/>
        </w:rPr>
        <w:t>116]</w:t>
      </w:r>
      <w:r w:rsidRPr="005936B2">
        <w:rPr>
          <w:rFonts w:ascii="Book Antiqua" w:hAnsi="Book Antiqua"/>
          <w:b w:val="0"/>
          <w:bCs w:val="0"/>
          <w:smallCaps w:val="0"/>
          <w:sz w:val="24"/>
          <w:szCs w:val="24"/>
          <w:lang w:val="en-US"/>
        </w:rPr>
        <w:t>.</w:t>
      </w:r>
      <w:r w:rsidRPr="005936B2">
        <w:rPr>
          <w:rStyle w:val="Heading1Char"/>
          <w:rFonts w:ascii="Book Antiqua" w:eastAsia="Calibri" w:hAnsi="Book Antiqua"/>
          <w:sz w:val="24"/>
          <w:szCs w:val="24"/>
          <w:lang w:val="en-US"/>
        </w:rPr>
        <w:t xml:space="preserve"> </w:t>
      </w:r>
      <w:r w:rsidRPr="005936B2">
        <w:rPr>
          <w:rFonts w:ascii="Book Antiqua" w:hAnsi="Book Antiqua"/>
          <w:b w:val="0"/>
          <w:bCs w:val="0"/>
          <w:smallCaps w:val="0"/>
          <w:sz w:val="24"/>
          <w:szCs w:val="24"/>
          <w:lang w:val="en-US"/>
        </w:rPr>
        <w:t>Among foods rich in FL and AGEs are bread, biscuits, chocolate, breakfast cereals and hot milk.</w:t>
      </w:r>
      <w:r w:rsidRPr="005936B2">
        <w:rPr>
          <w:rStyle w:val="Heading1Char"/>
          <w:rFonts w:ascii="Book Antiqua" w:eastAsia="Calibri" w:hAnsi="Book Antiqua"/>
          <w:sz w:val="24"/>
          <w:szCs w:val="24"/>
          <w:lang w:val="en-US"/>
        </w:rPr>
        <w:t xml:space="preserve"> </w:t>
      </w:r>
      <w:r w:rsidRPr="005936B2">
        <w:rPr>
          <w:rFonts w:ascii="Book Antiqua" w:hAnsi="Book Antiqua"/>
          <w:b w:val="0"/>
          <w:bCs w:val="0"/>
          <w:smallCaps w:val="0"/>
          <w:sz w:val="24"/>
          <w:szCs w:val="24"/>
          <w:lang w:val="en-US"/>
        </w:rPr>
        <w:t xml:space="preserve">It has been reported that lactulose-lysine, an Amadori product formed during heat treatment of milk, is poorly digested in the gastrointestinal </w:t>
      </w:r>
      <w:proofErr w:type="gramStart"/>
      <w:r w:rsidRPr="005936B2">
        <w:rPr>
          <w:rFonts w:ascii="Book Antiqua" w:hAnsi="Book Antiqua"/>
          <w:b w:val="0"/>
          <w:bCs w:val="0"/>
          <w:smallCaps w:val="0"/>
          <w:sz w:val="24"/>
          <w:szCs w:val="24"/>
          <w:lang w:val="en-US"/>
        </w:rPr>
        <w:t>tract</w:t>
      </w:r>
      <w:r w:rsidRPr="005936B2">
        <w:rPr>
          <w:rFonts w:ascii="Book Antiqua" w:hAnsi="Book Antiqua"/>
          <w:b w:val="0"/>
          <w:bCs w:val="0"/>
          <w:smallCaps w:val="0"/>
          <w:sz w:val="24"/>
          <w:szCs w:val="24"/>
          <w:vertAlign w:val="superscript"/>
          <w:lang w:val="en-US"/>
        </w:rPr>
        <w:t>[</w:t>
      </w:r>
      <w:proofErr w:type="gramEnd"/>
      <w:r w:rsidRPr="005936B2">
        <w:rPr>
          <w:rFonts w:ascii="Book Antiqua" w:hAnsi="Book Antiqua"/>
          <w:b w:val="0"/>
          <w:bCs w:val="0"/>
          <w:smallCaps w:val="0"/>
          <w:sz w:val="24"/>
          <w:szCs w:val="24"/>
          <w:vertAlign w:val="superscript"/>
          <w:lang w:val="en-US"/>
        </w:rPr>
        <w:t>117]</w:t>
      </w:r>
      <w:r w:rsidRPr="005936B2">
        <w:rPr>
          <w:rFonts w:ascii="Book Antiqua" w:hAnsi="Book Antiqua"/>
          <w:b w:val="0"/>
          <w:bCs w:val="0"/>
          <w:smallCaps w:val="0"/>
          <w:sz w:val="24"/>
          <w:szCs w:val="24"/>
          <w:lang w:val="en-US"/>
        </w:rPr>
        <w:t>.</w:t>
      </w:r>
      <w:r w:rsidRPr="005936B2">
        <w:rPr>
          <w:rStyle w:val="Heading1Char"/>
          <w:rFonts w:ascii="Book Antiqua" w:eastAsia="Calibri" w:hAnsi="Book Antiqua"/>
          <w:sz w:val="24"/>
          <w:szCs w:val="24"/>
          <w:lang w:val="en-US"/>
        </w:rPr>
        <w:t xml:space="preserve"> </w:t>
      </w:r>
      <w:r w:rsidRPr="005936B2">
        <w:rPr>
          <w:rFonts w:ascii="Book Antiqua" w:hAnsi="Book Antiqua"/>
          <w:b w:val="0"/>
          <w:bCs w:val="0"/>
          <w:smallCaps w:val="0"/>
          <w:sz w:val="24"/>
          <w:szCs w:val="24"/>
          <w:lang w:val="en-US"/>
        </w:rPr>
        <w:t xml:space="preserve">Some microorganisms can hydrolyze FL in the intestine. For example, an enzyme has been discovered in </w:t>
      </w:r>
      <w:r w:rsidRPr="005936B2">
        <w:rPr>
          <w:rFonts w:ascii="Book Antiqua" w:hAnsi="Book Antiqua"/>
          <w:b w:val="0"/>
          <w:bCs w:val="0"/>
          <w:i/>
          <w:iCs/>
          <w:smallCaps w:val="0"/>
          <w:sz w:val="24"/>
          <w:szCs w:val="24"/>
          <w:lang w:val="en-US"/>
        </w:rPr>
        <w:t>E. coli</w:t>
      </w:r>
      <w:r w:rsidRPr="005936B2">
        <w:rPr>
          <w:rFonts w:ascii="Book Antiqua" w:hAnsi="Book Antiqua"/>
          <w:b w:val="0"/>
          <w:bCs w:val="0"/>
          <w:smallCaps w:val="0"/>
          <w:sz w:val="24"/>
          <w:szCs w:val="24"/>
          <w:lang w:val="en-US"/>
        </w:rPr>
        <w:t xml:space="preserve"> that degrades N</w:t>
      </w:r>
      <w:r w:rsidRPr="005936B2">
        <w:rPr>
          <w:rFonts w:ascii="Book Antiqua" w:hAnsi="Book Antiqua"/>
          <w:b w:val="0"/>
          <w:bCs w:val="0"/>
          <w:smallCaps w:val="0"/>
          <w:sz w:val="24"/>
          <w:szCs w:val="24"/>
          <w:vertAlign w:val="superscript"/>
          <w:lang w:val="en-US"/>
        </w:rPr>
        <w:sym w:font="Symbol" w:char="F065"/>
      </w:r>
      <w:r w:rsidRPr="005936B2">
        <w:rPr>
          <w:rFonts w:ascii="Book Antiqua" w:hAnsi="Book Antiqua"/>
          <w:b w:val="0"/>
          <w:bCs w:val="0"/>
          <w:smallCaps w:val="0"/>
          <w:sz w:val="24"/>
          <w:szCs w:val="24"/>
          <w:lang w:val="en-US"/>
        </w:rPr>
        <w:t>-fructoselysine-6-phosphate to lysine and glucose-6-</w:t>
      </w:r>
      <w:proofErr w:type="gramStart"/>
      <w:r w:rsidRPr="005936B2">
        <w:rPr>
          <w:rFonts w:ascii="Book Antiqua" w:hAnsi="Book Antiqua"/>
          <w:b w:val="0"/>
          <w:bCs w:val="0"/>
          <w:smallCaps w:val="0"/>
          <w:sz w:val="24"/>
          <w:szCs w:val="24"/>
          <w:lang w:val="en-US"/>
        </w:rPr>
        <w:t>phosphate</w:t>
      </w:r>
      <w:r w:rsidRPr="005936B2">
        <w:rPr>
          <w:rFonts w:ascii="Book Antiqua" w:hAnsi="Book Antiqua"/>
          <w:b w:val="0"/>
          <w:bCs w:val="0"/>
          <w:smallCaps w:val="0"/>
          <w:sz w:val="24"/>
          <w:szCs w:val="24"/>
          <w:vertAlign w:val="superscript"/>
          <w:lang w:val="en-US"/>
        </w:rPr>
        <w:t>[</w:t>
      </w:r>
      <w:proofErr w:type="gramEnd"/>
      <w:r w:rsidRPr="005936B2">
        <w:rPr>
          <w:rFonts w:ascii="Book Antiqua" w:hAnsi="Book Antiqua"/>
          <w:b w:val="0"/>
          <w:bCs w:val="0"/>
          <w:smallCaps w:val="0"/>
          <w:sz w:val="24"/>
          <w:szCs w:val="24"/>
          <w:vertAlign w:val="superscript"/>
          <w:lang w:val="en-US"/>
        </w:rPr>
        <w:t>118]</w:t>
      </w:r>
      <w:r w:rsidRPr="005936B2">
        <w:rPr>
          <w:rFonts w:ascii="Book Antiqua" w:hAnsi="Book Antiqua"/>
          <w:b w:val="0"/>
          <w:bCs w:val="0"/>
          <w:smallCaps w:val="0"/>
          <w:sz w:val="24"/>
          <w:szCs w:val="24"/>
          <w:lang w:val="en-US"/>
        </w:rPr>
        <w:t>. FL ingested with food and resorbed by the intestine, enters the circulatory system and then penetrates liver and muscle cells by passive diffusion. It is not clear yet whether lysine and glucose can be recycled from FL, because no human enzymes have been identified so far catalyzing the breakdown of FL to free lysine and glucose.</w:t>
      </w:r>
      <w:r w:rsidRPr="005936B2">
        <w:rPr>
          <w:rStyle w:val="Heading1Char"/>
          <w:rFonts w:ascii="Book Antiqua" w:eastAsia="Calibri" w:hAnsi="Book Antiqua"/>
          <w:sz w:val="24"/>
          <w:szCs w:val="24"/>
          <w:lang w:val="en-US"/>
        </w:rPr>
        <w:t xml:space="preserve"> </w:t>
      </w:r>
      <w:r w:rsidRPr="005936B2">
        <w:rPr>
          <w:rFonts w:ascii="Book Antiqua" w:hAnsi="Book Antiqua"/>
          <w:b w:val="0"/>
          <w:bCs w:val="0"/>
          <w:smallCaps w:val="0"/>
          <w:sz w:val="24"/>
          <w:szCs w:val="24"/>
          <w:lang w:val="en-US"/>
        </w:rPr>
        <w:t xml:space="preserve">In rats, about 60% of dietary FL is excreted in </w:t>
      </w:r>
      <w:proofErr w:type="gramStart"/>
      <w:r w:rsidRPr="005936B2">
        <w:rPr>
          <w:rFonts w:ascii="Book Antiqua" w:hAnsi="Book Antiqua"/>
          <w:b w:val="0"/>
          <w:bCs w:val="0"/>
          <w:smallCaps w:val="0"/>
          <w:sz w:val="24"/>
          <w:szCs w:val="24"/>
          <w:lang w:val="en-US"/>
        </w:rPr>
        <w:t>urine</w:t>
      </w:r>
      <w:r w:rsidRPr="005936B2">
        <w:rPr>
          <w:rFonts w:ascii="Book Antiqua" w:hAnsi="Book Antiqua"/>
          <w:b w:val="0"/>
          <w:bCs w:val="0"/>
          <w:smallCaps w:val="0"/>
          <w:sz w:val="24"/>
          <w:szCs w:val="24"/>
          <w:vertAlign w:val="superscript"/>
          <w:lang w:val="en-US"/>
        </w:rPr>
        <w:t>[</w:t>
      </w:r>
      <w:proofErr w:type="gramEnd"/>
      <w:r w:rsidRPr="005936B2">
        <w:rPr>
          <w:rFonts w:ascii="Book Antiqua" w:hAnsi="Book Antiqua"/>
          <w:b w:val="0"/>
          <w:bCs w:val="0"/>
          <w:smallCaps w:val="0"/>
          <w:sz w:val="24"/>
          <w:szCs w:val="24"/>
          <w:vertAlign w:val="superscript"/>
          <w:lang w:val="en-US"/>
        </w:rPr>
        <w:t>119]</w:t>
      </w:r>
      <w:r w:rsidRPr="005936B2">
        <w:rPr>
          <w:rFonts w:ascii="Book Antiqua" w:hAnsi="Book Antiqua"/>
          <w:b w:val="0"/>
          <w:bCs w:val="0"/>
          <w:smallCaps w:val="0"/>
          <w:sz w:val="24"/>
          <w:szCs w:val="24"/>
          <w:lang w:val="en-US"/>
        </w:rPr>
        <w:t>, whereas in humans this percentage is only 3%.</w:t>
      </w:r>
      <w:r w:rsidRPr="005936B2">
        <w:rPr>
          <w:rStyle w:val="Heading1Char"/>
          <w:rFonts w:ascii="Book Antiqua" w:eastAsia="Calibri" w:hAnsi="Book Antiqua"/>
          <w:sz w:val="24"/>
          <w:szCs w:val="24"/>
          <w:lang w:val="en-US"/>
        </w:rPr>
        <w:t xml:space="preserve"> </w:t>
      </w:r>
      <w:r w:rsidRPr="005936B2">
        <w:rPr>
          <w:rFonts w:ascii="Book Antiqua" w:hAnsi="Book Antiqua"/>
          <w:b w:val="0"/>
          <w:bCs w:val="0"/>
          <w:smallCaps w:val="0"/>
          <w:sz w:val="24"/>
          <w:szCs w:val="24"/>
          <w:lang w:val="en-US"/>
        </w:rPr>
        <w:t xml:space="preserve">In newborns, however, 16% of FL is found in the urine, and 55% is recovered in the </w:t>
      </w:r>
      <w:proofErr w:type="gramStart"/>
      <w:r w:rsidRPr="005936B2">
        <w:rPr>
          <w:rFonts w:ascii="Book Antiqua" w:hAnsi="Book Antiqua"/>
          <w:b w:val="0"/>
          <w:bCs w:val="0"/>
          <w:smallCaps w:val="0"/>
          <w:sz w:val="24"/>
          <w:szCs w:val="24"/>
          <w:lang w:val="en-US"/>
        </w:rPr>
        <w:t>feces</w:t>
      </w:r>
      <w:r w:rsidRPr="005936B2">
        <w:rPr>
          <w:rFonts w:ascii="Book Antiqua" w:hAnsi="Book Antiqua"/>
          <w:b w:val="0"/>
          <w:bCs w:val="0"/>
          <w:smallCaps w:val="0"/>
          <w:sz w:val="24"/>
          <w:szCs w:val="24"/>
          <w:vertAlign w:val="superscript"/>
          <w:lang w:val="en-US"/>
        </w:rPr>
        <w:t>[</w:t>
      </w:r>
      <w:proofErr w:type="gramEnd"/>
      <w:r w:rsidRPr="005936B2">
        <w:rPr>
          <w:rFonts w:ascii="Book Antiqua" w:hAnsi="Book Antiqua"/>
          <w:b w:val="0"/>
          <w:bCs w:val="0"/>
          <w:smallCaps w:val="0"/>
          <w:sz w:val="24"/>
          <w:szCs w:val="24"/>
          <w:vertAlign w:val="superscript"/>
          <w:lang w:val="en-US"/>
        </w:rPr>
        <w:t>116</w:t>
      </w:r>
      <w:r w:rsidRPr="005936B2">
        <w:rPr>
          <w:rFonts w:ascii="Book Antiqua" w:hAnsi="Book Antiqua"/>
          <w:b w:val="0"/>
          <w:bCs w:val="0"/>
          <w:smallCaps w:val="0"/>
          <w:sz w:val="24"/>
          <w:szCs w:val="24"/>
          <w:lang w:val="en-US"/>
        </w:rPr>
        <w:t xml:space="preserve">] (Figure 5).  </w:t>
      </w:r>
    </w:p>
    <w:p w:rsidR="007A30DF" w:rsidRPr="005936B2" w:rsidRDefault="007A30DF" w:rsidP="004C70F6">
      <w:pPr>
        <w:spacing w:line="360" w:lineRule="auto"/>
        <w:ind w:firstLineChars="150" w:firstLine="360"/>
        <w:rPr>
          <w:rFonts w:ascii="Book Antiqua" w:hAnsi="Book Antiqua"/>
          <w:sz w:val="24"/>
          <w:szCs w:val="24"/>
        </w:rPr>
      </w:pPr>
      <w:r w:rsidRPr="005936B2">
        <w:rPr>
          <w:rFonts w:ascii="Book Antiqua" w:hAnsi="Book Antiqua"/>
          <w:sz w:val="24"/>
          <w:szCs w:val="24"/>
        </w:rPr>
        <w:t xml:space="preserve">Foods with high FL and AGEs content are poorly digestible, because glycated proteins are resistant to proteolysis. In addition, some AGEs inhibit intestinal </w:t>
      </w:r>
      <w:proofErr w:type="gramStart"/>
      <w:r w:rsidRPr="005936B2">
        <w:rPr>
          <w:rFonts w:ascii="Book Antiqua" w:hAnsi="Book Antiqua"/>
          <w:sz w:val="24"/>
          <w:szCs w:val="24"/>
        </w:rPr>
        <w:t>proteases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120]</w:t>
      </w:r>
      <w:r w:rsidRPr="005936B2">
        <w:rPr>
          <w:rFonts w:ascii="Book Antiqua" w:hAnsi="Book Antiqua"/>
          <w:sz w:val="24"/>
          <w:szCs w:val="24"/>
        </w:rPr>
        <w:t>.</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It is thought that dietary AGEs are absorbed mainly in the form of free and peptide MRPs.</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 xml:space="preserve">The highest concentration of absorbed food AGEs is expected in the plasma of the portal vein, where MG-H1 is detectable mainly in </w:t>
      </w:r>
      <w:proofErr w:type="gramStart"/>
      <w:r w:rsidRPr="005936B2">
        <w:rPr>
          <w:rFonts w:ascii="Book Antiqua" w:hAnsi="Book Antiqua"/>
          <w:sz w:val="24"/>
          <w:szCs w:val="24"/>
        </w:rPr>
        <w:t>peptides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121]</w:t>
      </w:r>
      <w:r w:rsidRPr="005936B2">
        <w:rPr>
          <w:rFonts w:ascii="Book Antiqua" w:hAnsi="Book Antiqua"/>
          <w:sz w:val="24"/>
          <w:szCs w:val="24"/>
        </w:rPr>
        <w:t>.</w:t>
      </w:r>
      <w:r w:rsidRPr="005936B2">
        <w:rPr>
          <w:rStyle w:val="Heading1Char"/>
          <w:rFonts w:ascii="Book Antiqua" w:eastAsiaTheme="minorEastAsia" w:hAnsi="Book Antiqua"/>
          <w:sz w:val="24"/>
          <w:szCs w:val="24"/>
        </w:rPr>
        <w:t xml:space="preserve"> </w:t>
      </w:r>
      <w:r w:rsidRPr="005936B2">
        <w:rPr>
          <w:rStyle w:val="Heading1Char"/>
          <w:rFonts w:ascii="Book Antiqua" w:eastAsiaTheme="minorEastAsia" w:hAnsi="Book Antiqua"/>
          <w:b w:val="0"/>
          <w:sz w:val="24"/>
          <w:szCs w:val="24"/>
        </w:rPr>
        <w:t xml:space="preserve">Although CML is formed </w:t>
      </w:r>
      <w:r w:rsidRPr="005936B2">
        <w:rPr>
          <w:rStyle w:val="Heading1Char"/>
          <w:rFonts w:ascii="Book Antiqua" w:eastAsiaTheme="minorEastAsia" w:hAnsi="Book Antiqua"/>
          <w:b w:val="0"/>
          <w:i/>
          <w:sz w:val="24"/>
          <w:szCs w:val="24"/>
        </w:rPr>
        <w:t>in vivo</w:t>
      </w:r>
      <w:r w:rsidRPr="005936B2">
        <w:rPr>
          <w:rStyle w:val="Heading1Char"/>
          <w:rFonts w:ascii="Book Antiqua" w:eastAsiaTheme="minorEastAsia" w:hAnsi="Book Antiqua"/>
          <w:b w:val="0"/>
          <w:sz w:val="24"/>
          <w:szCs w:val="24"/>
        </w:rPr>
        <w:t xml:space="preserve">, it is hypothesized that urinary CML is mostly of exogenous </w:t>
      </w:r>
      <w:proofErr w:type="gramStart"/>
      <w:r w:rsidRPr="005936B2">
        <w:rPr>
          <w:rStyle w:val="Heading1Char"/>
          <w:rFonts w:ascii="Book Antiqua" w:eastAsiaTheme="minorEastAsia" w:hAnsi="Book Antiqua"/>
          <w:b w:val="0"/>
          <w:sz w:val="24"/>
          <w:szCs w:val="24"/>
        </w:rPr>
        <w:t>nature</w:t>
      </w:r>
      <w:r w:rsidRPr="005936B2">
        <w:rPr>
          <w:rStyle w:val="Heading1Char"/>
          <w:rFonts w:ascii="Book Antiqua" w:eastAsiaTheme="minorEastAsia" w:hAnsi="Book Antiqua"/>
          <w:b w:val="0"/>
          <w:sz w:val="24"/>
          <w:szCs w:val="24"/>
          <w:vertAlign w:val="superscript"/>
        </w:rPr>
        <w:t>[</w:t>
      </w:r>
      <w:proofErr w:type="gramEnd"/>
      <w:r w:rsidRPr="005936B2">
        <w:rPr>
          <w:rStyle w:val="Heading1Char"/>
          <w:rFonts w:ascii="Book Antiqua" w:eastAsiaTheme="minorEastAsia" w:hAnsi="Book Antiqua"/>
          <w:b w:val="0"/>
          <w:sz w:val="24"/>
          <w:szCs w:val="24"/>
          <w:vertAlign w:val="superscript"/>
        </w:rPr>
        <w:t>122]</w:t>
      </w:r>
      <w:r w:rsidRPr="005936B2">
        <w:rPr>
          <w:rFonts w:ascii="Book Antiqua" w:hAnsi="Book Antiqua"/>
          <w:sz w:val="24"/>
          <w:szCs w:val="24"/>
        </w:rPr>
        <w:t>.</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 xml:space="preserve">Studies with rats have shown that another product of the advanced glycation, 5-Hydroxymethyl-2-furaldehyde (HMF), administered </w:t>
      </w:r>
      <w:r w:rsidRPr="005936B2">
        <w:rPr>
          <w:rFonts w:ascii="Book Antiqua" w:hAnsi="Book Antiqua"/>
          <w:i/>
          <w:sz w:val="24"/>
          <w:szCs w:val="24"/>
        </w:rPr>
        <w:t>per os</w:t>
      </w:r>
      <w:r w:rsidRPr="005936B2">
        <w:rPr>
          <w:rFonts w:ascii="Book Antiqua" w:hAnsi="Book Antiqua"/>
          <w:sz w:val="24"/>
          <w:szCs w:val="24"/>
        </w:rPr>
        <w:t xml:space="preserve"> or intravenously is present in the liver but is mostly in the kidney and the bladder. Also, HMF or its metabolites are rapidly eliminated in the urine with a recovery of 95-100% after 24 </w:t>
      </w:r>
      <w:proofErr w:type="gramStart"/>
      <w:r w:rsidRPr="005936B2">
        <w:rPr>
          <w:rFonts w:ascii="Book Antiqua" w:hAnsi="Book Antiqua"/>
          <w:sz w:val="24"/>
          <w:szCs w:val="24"/>
        </w:rPr>
        <w:t>h</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123]</w:t>
      </w:r>
      <w:r w:rsidRPr="005936B2">
        <w:rPr>
          <w:rFonts w:ascii="Book Antiqua" w:hAnsi="Book Antiqua"/>
          <w:sz w:val="24"/>
          <w:szCs w:val="24"/>
        </w:rPr>
        <w:t xml:space="preserve">. Only 10% of dietary AGEs are absorbed, of which only 30% are excreted in the urine of healthy individuals with unimpaired renal </w:t>
      </w:r>
      <w:proofErr w:type="gramStart"/>
      <w:r w:rsidRPr="005936B2">
        <w:rPr>
          <w:rFonts w:ascii="Book Antiqua" w:hAnsi="Book Antiqua"/>
          <w:sz w:val="24"/>
          <w:szCs w:val="24"/>
        </w:rPr>
        <w:t>function</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124]</w:t>
      </w:r>
      <w:r w:rsidRPr="005936B2">
        <w:rPr>
          <w:rFonts w:ascii="Book Antiqua" w:hAnsi="Book Antiqua"/>
          <w:sz w:val="24"/>
          <w:szCs w:val="24"/>
        </w:rPr>
        <w:t>. Some dietary AGEs, after entering blood circulation, interact with low density lipoprotein (LDL) and tissue proteins (</w:t>
      </w:r>
      <w:r w:rsidRPr="005936B2">
        <w:rPr>
          <w:rFonts w:ascii="Book Antiqua" w:hAnsi="Book Antiqua"/>
          <w:i/>
          <w:sz w:val="24"/>
          <w:szCs w:val="24"/>
        </w:rPr>
        <w:t>e.g.</w:t>
      </w:r>
      <w:r w:rsidRPr="005936B2">
        <w:rPr>
          <w:rFonts w:ascii="Book Antiqua" w:eastAsia="宋体" w:hAnsi="Book Antiqua"/>
          <w:i/>
          <w:sz w:val="24"/>
          <w:szCs w:val="24"/>
        </w:rPr>
        <w:t>,</w:t>
      </w:r>
      <w:r w:rsidRPr="005936B2">
        <w:rPr>
          <w:rFonts w:ascii="Book Antiqua" w:hAnsi="Book Antiqua"/>
          <w:sz w:val="24"/>
          <w:szCs w:val="24"/>
        </w:rPr>
        <w:t xml:space="preserve"> collagen) or bind to cellular receptors for AGEs to trigger intracellular oxidative stress, endocytosis and degradation of AGEs.</w:t>
      </w:r>
    </w:p>
    <w:p w:rsidR="007A30DF" w:rsidRPr="005936B2" w:rsidRDefault="007A30DF" w:rsidP="007A30DF">
      <w:pPr>
        <w:pStyle w:val="Heading2"/>
        <w:spacing w:line="360" w:lineRule="auto"/>
        <w:jc w:val="both"/>
        <w:rPr>
          <w:rFonts w:ascii="Book Antiqua" w:hAnsi="Book Antiqua"/>
          <w:sz w:val="24"/>
          <w:szCs w:val="24"/>
          <w:lang w:val="en-US"/>
        </w:rPr>
      </w:pPr>
    </w:p>
    <w:p w:rsidR="007A30DF" w:rsidRPr="005936B2" w:rsidRDefault="007A30DF" w:rsidP="007A30DF">
      <w:pPr>
        <w:spacing w:line="360" w:lineRule="auto"/>
        <w:rPr>
          <w:rFonts w:ascii="Book Antiqua" w:hAnsi="Book Antiqua"/>
          <w:b/>
          <w:bCs/>
          <w:sz w:val="24"/>
          <w:szCs w:val="24"/>
        </w:rPr>
      </w:pPr>
      <w:r w:rsidRPr="005936B2">
        <w:rPr>
          <w:rFonts w:ascii="Book Antiqua" w:hAnsi="Book Antiqua"/>
          <w:b/>
          <w:bCs/>
          <w:sz w:val="24"/>
          <w:szCs w:val="24"/>
        </w:rPr>
        <w:t>ROLE OF THE IMMUNE SYSTEM IN THE ANTI-GLYCATION DEFENSE</w:t>
      </w:r>
    </w:p>
    <w:p w:rsidR="007A30DF" w:rsidRPr="005936B2" w:rsidRDefault="007A30DF" w:rsidP="007A30DF">
      <w:pPr>
        <w:spacing w:line="360" w:lineRule="auto"/>
        <w:rPr>
          <w:rFonts w:ascii="Book Antiqua" w:hAnsi="Book Antiqua"/>
          <w:b/>
          <w:bCs/>
          <w:i/>
          <w:sz w:val="24"/>
          <w:szCs w:val="24"/>
        </w:rPr>
      </w:pPr>
      <w:r w:rsidRPr="005936B2">
        <w:rPr>
          <w:rFonts w:ascii="Book Antiqua" w:hAnsi="Book Antiqua"/>
          <w:b/>
          <w:bCs/>
          <w:i/>
          <w:sz w:val="24"/>
          <w:szCs w:val="24"/>
        </w:rPr>
        <w:t xml:space="preserve">Cellular receptors for AGEs </w:t>
      </w:r>
    </w:p>
    <w:p w:rsidR="007A30DF" w:rsidRPr="005936B2" w:rsidRDefault="007A30DF" w:rsidP="007A30DF">
      <w:pPr>
        <w:spacing w:line="360" w:lineRule="auto"/>
        <w:rPr>
          <w:rStyle w:val="Heading1Char"/>
          <w:rFonts w:ascii="Book Antiqua" w:eastAsiaTheme="minorEastAsia" w:hAnsi="Book Antiqua"/>
          <w:b w:val="0"/>
          <w:sz w:val="24"/>
          <w:szCs w:val="24"/>
        </w:rPr>
      </w:pPr>
      <w:r w:rsidRPr="005936B2">
        <w:rPr>
          <w:rFonts w:ascii="Book Antiqua" w:hAnsi="Book Antiqua"/>
          <w:sz w:val="24"/>
          <w:szCs w:val="24"/>
        </w:rPr>
        <w:t>Many cellular receptors are capable of binding AGEs.</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The AGE-receptor complex consists of AGE-R1 (oligosaccharyl transferase-48), AGE-R2 (80K-H phosphoprotein</w:t>
      </w:r>
      <w:r w:rsidRPr="005936B2">
        <w:rPr>
          <w:rFonts w:ascii="Book Antiqua" w:hAnsi="Book Antiqua"/>
          <w:sz w:val="24"/>
          <w:szCs w:val="24"/>
          <w:vertAlign w:val="superscript"/>
        </w:rPr>
        <w:t>)[125,126]</w:t>
      </w:r>
      <w:r w:rsidRPr="005936B2">
        <w:rPr>
          <w:rFonts w:ascii="Book Antiqua" w:hAnsi="Book Antiqua"/>
          <w:sz w:val="24"/>
          <w:szCs w:val="24"/>
        </w:rPr>
        <w:t xml:space="preserve"> and AGE-R3 (galectin-3)</w:t>
      </w:r>
      <w:r w:rsidRPr="005936B2">
        <w:rPr>
          <w:rFonts w:ascii="Book Antiqua" w:hAnsi="Book Antiqua"/>
          <w:sz w:val="24"/>
          <w:szCs w:val="24"/>
          <w:vertAlign w:val="superscript"/>
        </w:rPr>
        <w:t>[127]</w:t>
      </w:r>
      <w:r w:rsidRPr="005936B2">
        <w:rPr>
          <w:rFonts w:ascii="Book Antiqua" w:hAnsi="Book Antiqua"/>
          <w:sz w:val="24"/>
          <w:szCs w:val="24"/>
        </w:rPr>
        <w:t>.</w:t>
      </w:r>
      <w:r w:rsidRPr="005936B2">
        <w:rPr>
          <w:rFonts w:ascii="Book Antiqua" w:hAnsi="Book Antiqua"/>
          <w:sz w:val="24"/>
          <w:szCs w:val="24"/>
          <w:vertAlign w:val="superscript"/>
        </w:rPr>
        <w:t xml:space="preserve"> </w:t>
      </w:r>
      <w:r w:rsidRPr="005936B2">
        <w:rPr>
          <w:rFonts w:ascii="Book Antiqua" w:hAnsi="Book Antiqua"/>
          <w:sz w:val="24"/>
          <w:szCs w:val="24"/>
        </w:rPr>
        <w:t xml:space="preserve">Some receptors belonging to different classes of the scavenger receptor (SR) </w:t>
      </w:r>
      <w:proofErr w:type="gramStart"/>
      <w:r w:rsidRPr="005936B2">
        <w:rPr>
          <w:rFonts w:ascii="Book Antiqua" w:hAnsi="Book Antiqua"/>
          <w:sz w:val="24"/>
          <w:szCs w:val="24"/>
        </w:rPr>
        <w:t>supergroup</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128,129]</w:t>
      </w:r>
      <w:r w:rsidRPr="005936B2">
        <w:rPr>
          <w:rFonts w:ascii="Book Antiqua" w:hAnsi="Book Antiqua"/>
          <w:sz w:val="24"/>
          <w:szCs w:val="24"/>
        </w:rPr>
        <w:t xml:space="preserve"> also bind AGEs. These are SR-A1 (SCARA1)</w:t>
      </w:r>
      <w:r w:rsidRPr="005936B2">
        <w:rPr>
          <w:rFonts w:ascii="Book Antiqua" w:hAnsi="Book Antiqua"/>
          <w:sz w:val="24"/>
          <w:szCs w:val="24"/>
          <w:vertAlign w:val="superscript"/>
        </w:rPr>
        <w:t xml:space="preserve">[130] </w:t>
      </w:r>
      <w:r w:rsidRPr="005936B2">
        <w:rPr>
          <w:rFonts w:ascii="Book Antiqua" w:hAnsi="Book Antiqua"/>
          <w:sz w:val="24"/>
          <w:szCs w:val="24"/>
        </w:rPr>
        <w:t>and SR-A1.1 (SR-AII)</w:t>
      </w:r>
      <w:r w:rsidRPr="005936B2">
        <w:rPr>
          <w:rFonts w:ascii="Book Antiqua" w:hAnsi="Book Antiqua"/>
          <w:sz w:val="24"/>
          <w:szCs w:val="24"/>
          <w:vertAlign w:val="superscript"/>
        </w:rPr>
        <w:t>[131]</w:t>
      </w:r>
      <w:r w:rsidRPr="005936B2">
        <w:rPr>
          <w:rFonts w:ascii="Book Antiqua" w:hAnsi="Book Antiqua"/>
          <w:sz w:val="24"/>
          <w:szCs w:val="24"/>
        </w:rPr>
        <w:t>, SR-B1 (SR-BI)</w:t>
      </w:r>
      <w:r w:rsidRPr="005936B2">
        <w:rPr>
          <w:rFonts w:ascii="Book Antiqua" w:hAnsi="Book Antiqua"/>
          <w:sz w:val="24"/>
          <w:szCs w:val="24"/>
          <w:vertAlign w:val="superscript"/>
        </w:rPr>
        <w:t>[132]</w:t>
      </w:r>
      <w:r w:rsidRPr="005936B2">
        <w:rPr>
          <w:rFonts w:ascii="Book Antiqua" w:hAnsi="Book Antiqua"/>
          <w:sz w:val="24"/>
          <w:szCs w:val="24"/>
        </w:rPr>
        <w:t xml:space="preserve"> and SR-B2 (CD36)</w:t>
      </w:r>
      <w:r w:rsidRPr="005936B2">
        <w:rPr>
          <w:rFonts w:ascii="Book Antiqua" w:hAnsi="Book Antiqua"/>
          <w:sz w:val="24"/>
          <w:szCs w:val="24"/>
          <w:vertAlign w:val="superscript"/>
        </w:rPr>
        <w:t>[133]</w:t>
      </w:r>
      <w:r w:rsidRPr="005936B2">
        <w:rPr>
          <w:rFonts w:ascii="Book Antiqua" w:hAnsi="Book Antiqua"/>
          <w:sz w:val="24"/>
          <w:szCs w:val="24"/>
        </w:rPr>
        <w:t>, SR-E1 (LOX-1)</w:t>
      </w:r>
      <w:r w:rsidRPr="005936B2">
        <w:rPr>
          <w:rFonts w:ascii="Book Antiqua" w:hAnsi="Book Antiqua"/>
          <w:sz w:val="24"/>
          <w:szCs w:val="24"/>
          <w:vertAlign w:val="superscript"/>
        </w:rPr>
        <w:t>[134]</w:t>
      </w:r>
      <w:r w:rsidRPr="005936B2">
        <w:rPr>
          <w:rFonts w:ascii="Book Antiqua" w:hAnsi="Book Antiqua"/>
          <w:sz w:val="24"/>
          <w:szCs w:val="24"/>
        </w:rPr>
        <w:t>, SR-H1 (FEEL-1) and SR-H2 (FEEL-2)</w:t>
      </w:r>
      <w:r w:rsidRPr="005936B2">
        <w:rPr>
          <w:rFonts w:ascii="Book Antiqua" w:hAnsi="Book Antiqua"/>
          <w:sz w:val="24"/>
          <w:szCs w:val="24"/>
          <w:vertAlign w:val="superscript"/>
        </w:rPr>
        <w:t>[135]</w:t>
      </w:r>
      <w:r w:rsidRPr="005936B2">
        <w:rPr>
          <w:rFonts w:ascii="Book Antiqua" w:hAnsi="Book Antiqua"/>
          <w:sz w:val="24"/>
          <w:szCs w:val="24"/>
        </w:rPr>
        <w:t>. These receptors are involved in detoxification of AGEs by intracellular degradation (endocytosis).</w:t>
      </w:r>
      <w:r w:rsidRPr="005936B2">
        <w:rPr>
          <w:rStyle w:val="Heading1Char"/>
          <w:rFonts w:ascii="Book Antiqua" w:eastAsiaTheme="minorEastAsia" w:hAnsi="Book Antiqua"/>
          <w:sz w:val="24"/>
          <w:szCs w:val="24"/>
        </w:rPr>
        <w:t xml:space="preserve"> </w:t>
      </w:r>
      <w:r w:rsidRPr="005936B2">
        <w:rPr>
          <w:rStyle w:val="Heading1Char"/>
          <w:rFonts w:ascii="Book Antiqua" w:eastAsiaTheme="minorEastAsia" w:hAnsi="Book Antiqua"/>
          <w:b w:val="0"/>
          <w:sz w:val="24"/>
          <w:szCs w:val="24"/>
        </w:rPr>
        <w:t>B</w:t>
      </w:r>
      <w:r w:rsidRPr="005936B2">
        <w:rPr>
          <w:rFonts w:ascii="Book Antiqua" w:hAnsi="Book Antiqua"/>
          <w:sz w:val="24"/>
          <w:szCs w:val="24"/>
        </w:rPr>
        <w:t xml:space="preserve">est characterized is the specific receptor for AGEs called </w:t>
      </w:r>
      <w:r w:rsidRPr="005936B2">
        <w:rPr>
          <w:rFonts w:ascii="Book Antiqua" w:hAnsi="Book Antiqua"/>
          <w:bCs/>
          <w:sz w:val="24"/>
          <w:szCs w:val="24"/>
        </w:rPr>
        <w:t>R</w:t>
      </w:r>
      <w:r w:rsidRPr="005936B2">
        <w:rPr>
          <w:rFonts w:ascii="Book Antiqua" w:hAnsi="Book Antiqua"/>
          <w:sz w:val="24"/>
          <w:szCs w:val="24"/>
        </w:rPr>
        <w:t xml:space="preserve">eceptor for </w:t>
      </w:r>
      <w:r w:rsidRPr="005936B2">
        <w:rPr>
          <w:rFonts w:ascii="Book Antiqua" w:hAnsi="Book Antiqua"/>
          <w:bCs/>
          <w:sz w:val="24"/>
          <w:szCs w:val="24"/>
        </w:rPr>
        <w:t>A</w:t>
      </w:r>
      <w:r w:rsidRPr="005936B2">
        <w:rPr>
          <w:rFonts w:ascii="Book Antiqua" w:hAnsi="Book Antiqua"/>
          <w:sz w:val="24"/>
          <w:szCs w:val="24"/>
        </w:rPr>
        <w:t xml:space="preserve">dvanced </w:t>
      </w:r>
      <w:r w:rsidRPr="005936B2">
        <w:rPr>
          <w:rFonts w:ascii="Book Antiqua" w:hAnsi="Book Antiqua"/>
          <w:bCs/>
          <w:sz w:val="24"/>
          <w:szCs w:val="24"/>
        </w:rPr>
        <w:t>G</w:t>
      </w:r>
      <w:r w:rsidRPr="005936B2">
        <w:rPr>
          <w:rFonts w:ascii="Book Antiqua" w:hAnsi="Book Antiqua"/>
          <w:sz w:val="24"/>
          <w:szCs w:val="24"/>
        </w:rPr>
        <w:t xml:space="preserve">lycation </w:t>
      </w:r>
      <w:r w:rsidRPr="005936B2">
        <w:rPr>
          <w:rFonts w:ascii="Book Antiqua" w:hAnsi="Book Antiqua"/>
          <w:bCs/>
          <w:sz w:val="24"/>
          <w:szCs w:val="24"/>
        </w:rPr>
        <w:t>E</w:t>
      </w:r>
      <w:r w:rsidRPr="005936B2">
        <w:rPr>
          <w:rFonts w:ascii="Book Antiqua" w:hAnsi="Book Antiqua"/>
          <w:sz w:val="24"/>
          <w:szCs w:val="24"/>
        </w:rPr>
        <w:t xml:space="preserve">nd </w:t>
      </w:r>
      <w:r w:rsidRPr="005936B2">
        <w:rPr>
          <w:rFonts w:ascii="Book Antiqua" w:hAnsi="Book Antiqua"/>
          <w:bCs/>
          <w:sz w:val="24"/>
          <w:szCs w:val="24"/>
        </w:rPr>
        <w:t>P</w:t>
      </w:r>
      <w:r w:rsidRPr="005936B2">
        <w:rPr>
          <w:rFonts w:ascii="Book Antiqua" w:hAnsi="Book Antiqua"/>
          <w:sz w:val="24"/>
          <w:szCs w:val="24"/>
        </w:rPr>
        <w:t>roducts (RAGE)</w:t>
      </w:r>
      <w:r w:rsidRPr="005936B2">
        <w:rPr>
          <w:rFonts w:ascii="Book Antiqua" w:hAnsi="Book Antiqua"/>
          <w:sz w:val="24"/>
          <w:szCs w:val="24"/>
          <w:vertAlign w:val="superscript"/>
        </w:rPr>
        <w:t>[136]</w:t>
      </w:r>
      <w:r w:rsidRPr="005936B2">
        <w:rPr>
          <w:rFonts w:ascii="Book Antiqua" w:hAnsi="Book Antiqua"/>
          <w:sz w:val="24"/>
          <w:szCs w:val="24"/>
        </w:rPr>
        <w:t>.</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RAGE is a multi-ligand receptor of the immunoglobulin superfamily, which plays a key role in inflammatory responses.</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 xml:space="preserve">Its extracellular domain is composed of three immunoglobulin-like domains - one V (variable) type Ig domain followed by two C (constant) type Ig </w:t>
      </w:r>
      <w:proofErr w:type="gramStart"/>
      <w:r w:rsidRPr="005936B2">
        <w:rPr>
          <w:rFonts w:ascii="Book Antiqua" w:hAnsi="Book Antiqua"/>
          <w:sz w:val="24"/>
          <w:szCs w:val="24"/>
        </w:rPr>
        <w:t>domains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137]</w:t>
      </w:r>
      <w:r w:rsidRPr="005936B2">
        <w:rPr>
          <w:rFonts w:ascii="Book Antiqua" w:hAnsi="Book Antiqua"/>
          <w:sz w:val="24"/>
          <w:szCs w:val="24"/>
        </w:rPr>
        <w:t>.</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RAGE also possesses a transmembrane domain and a cytoplasmic tail of 43 amino acids.</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 xml:space="preserve">Crucial for ligand binding is the V-domain, while the cytoplasmic tail is implicated in further transduction of captured </w:t>
      </w:r>
      <w:proofErr w:type="gramStart"/>
      <w:r w:rsidRPr="005936B2">
        <w:rPr>
          <w:rFonts w:ascii="Book Antiqua" w:hAnsi="Book Antiqua"/>
          <w:sz w:val="24"/>
          <w:szCs w:val="24"/>
        </w:rPr>
        <w:t>signals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138]</w:t>
      </w:r>
      <w:r w:rsidRPr="005936B2">
        <w:rPr>
          <w:rFonts w:ascii="Book Antiqua" w:hAnsi="Book Antiqua"/>
          <w:sz w:val="24"/>
          <w:szCs w:val="24"/>
        </w:rPr>
        <w:t>.</w:t>
      </w:r>
      <w:r w:rsidRPr="005936B2">
        <w:rPr>
          <w:rStyle w:val="Heading1Char"/>
          <w:rFonts w:ascii="Book Antiqua" w:eastAsiaTheme="minorEastAsia" w:hAnsi="Book Antiqua"/>
          <w:sz w:val="24"/>
          <w:szCs w:val="24"/>
        </w:rPr>
        <w:t xml:space="preserve"> </w:t>
      </w:r>
      <w:r w:rsidRPr="005936B2">
        <w:rPr>
          <w:rStyle w:val="Heading1Char"/>
          <w:rFonts w:ascii="Book Antiqua" w:eastAsiaTheme="minorEastAsia" w:hAnsi="Book Antiqua"/>
          <w:b w:val="0"/>
          <w:sz w:val="24"/>
          <w:szCs w:val="24"/>
        </w:rPr>
        <w:t>RAGE is expressed weakly on a number of cell types and tissues under physiological conditions, however, an increased expression is observed in sites of ligands’ deposition.</w:t>
      </w:r>
      <w:r w:rsidRPr="005936B2">
        <w:rPr>
          <w:rStyle w:val="Heading1Char"/>
          <w:rFonts w:ascii="Book Antiqua" w:eastAsiaTheme="minorEastAsia" w:hAnsi="Book Antiqua"/>
          <w:sz w:val="24"/>
          <w:szCs w:val="24"/>
        </w:rPr>
        <w:t xml:space="preserve"> </w:t>
      </w:r>
      <w:r w:rsidRPr="005936B2">
        <w:rPr>
          <w:rStyle w:val="Heading1Char"/>
          <w:rFonts w:ascii="Book Antiqua" w:eastAsiaTheme="minorEastAsia" w:hAnsi="Book Antiqua"/>
          <w:b w:val="0"/>
          <w:sz w:val="24"/>
          <w:szCs w:val="24"/>
        </w:rPr>
        <w:t>RAGE exists also in a soluble form (sRAGE)</w:t>
      </w:r>
      <w:r w:rsidRPr="005936B2">
        <w:rPr>
          <w:rStyle w:val="Heading1Char"/>
          <w:rFonts w:ascii="Book Antiqua" w:eastAsiaTheme="minorEastAsia" w:hAnsi="Book Antiqua"/>
          <w:b w:val="0"/>
          <w:sz w:val="24"/>
          <w:szCs w:val="24"/>
          <w:vertAlign w:val="superscript"/>
        </w:rPr>
        <w:t>[139]</w:t>
      </w:r>
      <w:r w:rsidRPr="005936B2">
        <w:rPr>
          <w:rStyle w:val="Heading1Char"/>
          <w:rFonts w:ascii="Book Antiqua" w:eastAsiaTheme="minorEastAsia" w:hAnsi="Book Antiqua"/>
          <w:b w:val="0"/>
          <w:sz w:val="24"/>
          <w:szCs w:val="24"/>
        </w:rPr>
        <w:t xml:space="preserve">, which is hypothesized to participate in detoxification of circulating ligands. </w:t>
      </w:r>
    </w:p>
    <w:p w:rsidR="007A30DF" w:rsidRPr="005936B2" w:rsidRDefault="007A30DF" w:rsidP="004C70F6">
      <w:pPr>
        <w:tabs>
          <w:tab w:val="left" w:pos="709"/>
        </w:tabs>
        <w:spacing w:line="360" w:lineRule="auto"/>
        <w:ind w:firstLineChars="150" w:firstLine="360"/>
        <w:rPr>
          <w:rFonts w:ascii="Book Antiqua" w:hAnsi="Book Antiqua"/>
          <w:sz w:val="24"/>
          <w:szCs w:val="24"/>
        </w:rPr>
      </w:pPr>
      <w:r w:rsidRPr="005936B2">
        <w:rPr>
          <w:rFonts w:ascii="Book Antiqua" w:hAnsi="Book Antiqua"/>
          <w:sz w:val="24"/>
          <w:szCs w:val="24"/>
        </w:rPr>
        <w:t xml:space="preserve">Apart from AGEs, ligands for RAGE are pro-inflammatory cytokine-like mediators from the S100/calgranulin </w:t>
      </w:r>
      <w:proofErr w:type="gramStart"/>
      <w:r w:rsidRPr="005936B2">
        <w:rPr>
          <w:rFonts w:ascii="Book Antiqua" w:hAnsi="Book Antiqua"/>
          <w:sz w:val="24"/>
          <w:szCs w:val="24"/>
        </w:rPr>
        <w:t>family</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140]</w:t>
      </w:r>
      <w:r w:rsidRPr="005936B2">
        <w:rPr>
          <w:rFonts w:ascii="Book Antiqua" w:hAnsi="Book Antiqua"/>
          <w:sz w:val="24"/>
          <w:szCs w:val="24"/>
        </w:rPr>
        <w:t xml:space="preserve">, the </w:t>
      </w:r>
      <w:r w:rsidRPr="005936B2">
        <w:rPr>
          <w:rFonts w:ascii="Cambria Math" w:hAnsi="Cambria Math" w:cs="Cambria Math"/>
          <w:sz w:val="24"/>
          <w:szCs w:val="24"/>
        </w:rPr>
        <w:t>𝛽</w:t>
      </w:r>
      <w:r w:rsidRPr="005936B2">
        <w:rPr>
          <w:rFonts w:ascii="Book Antiqua" w:hAnsi="Book Antiqua"/>
          <w:sz w:val="24"/>
          <w:szCs w:val="24"/>
        </w:rPr>
        <w:t>-amyloid peptide</w:t>
      </w:r>
      <w:r w:rsidRPr="005936B2">
        <w:rPr>
          <w:rFonts w:ascii="Book Antiqua" w:hAnsi="Book Antiqua"/>
          <w:sz w:val="24"/>
          <w:szCs w:val="24"/>
          <w:vertAlign w:val="superscript"/>
        </w:rPr>
        <w:t>[141]</w:t>
      </w:r>
      <w:r w:rsidRPr="005936B2">
        <w:rPr>
          <w:rFonts w:ascii="Book Antiqua" w:hAnsi="Book Antiqua"/>
          <w:sz w:val="24"/>
          <w:szCs w:val="24"/>
        </w:rPr>
        <w:t xml:space="preserve"> and amfoterin also known as </w:t>
      </w:r>
      <w:r w:rsidRPr="005936B2">
        <w:rPr>
          <w:rFonts w:ascii="Book Antiqua" w:hAnsi="Book Antiqua"/>
          <w:bCs/>
          <w:sz w:val="24"/>
          <w:szCs w:val="24"/>
        </w:rPr>
        <w:t>High Mobility Group Box</w:t>
      </w:r>
      <w:r w:rsidRPr="005936B2">
        <w:rPr>
          <w:rFonts w:ascii="Book Antiqua" w:hAnsi="Book Antiqua"/>
          <w:b/>
          <w:bCs/>
          <w:sz w:val="24"/>
          <w:szCs w:val="24"/>
        </w:rPr>
        <w:t xml:space="preserve"> </w:t>
      </w:r>
      <w:r w:rsidRPr="005936B2">
        <w:rPr>
          <w:rFonts w:ascii="Book Antiqua" w:hAnsi="Book Antiqua"/>
          <w:bCs/>
          <w:sz w:val="24"/>
          <w:szCs w:val="24"/>
        </w:rPr>
        <w:t>1</w:t>
      </w:r>
      <w:r w:rsidRPr="005936B2">
        <w:rPr>
          <w:rFonts w:ascii="Book Antiqua" w:hAnsi="Book Antiqua"/>
          <w:b/>
          <w:bCs/>
          <w:sz w:val="24"/>
          <w:szCs w:val="24"/>
        </w:rPr>
        <w:t xml:space="preserve"> </w:t>
      </w:r>
      <w:r w:rsidRPr="005936B2">
        <w:rPr>
          <w:rFonts w:ascii="Book Antiqua" w:hAnsi="Book Antiqua"/>
          <w:sz w:val="24"/>
          <w:szCs w:val="24"/>
        </w:rPr>
        <w:t>(HMGB1) - a nuclear protein released during cell necrosis</w:t>
      </w:r>
      <w:r w:rsidRPr="005936B2">
        <w:rPr>
          <w:rFonts w:ascii="Book Antiqua" w:hAnsi="Book Antiqua"/>
          <w:sz w:val="24"/>
          <w:szCs w:val="24"/>
          <w:vertAlign w:val="superscript"/>
        </w:rPr>
        <w:t>[142-144]</w:t>
      </w:r>
      <w:r w:rsidRPr="005936B2">
        <w:rPr>
          <w:rFonts w:ascii="Book Antiqua" w:hAnsi="Book Antiqua"/>
          <w:sz w:val="24"/>
          <w:szCs w:val="24"/>
        </w:rPr>
        <w:t>.</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AGEs and non-AGEs ligands bind to RAGE on endothelial cells, neurons, smooth muscle and immune cells to activate a variety of signaling pathways including expression of NF-</w:t>
      </w:r>
      <w:r w:rsidRPr="005936B2">
        <w:rPr>
          <w:rFonts w:ascii="Book Antiqua" w:hAnsi="Book Antiqua"/>
          <w:sz w:val="24"/>
          <w:szCs w:val="24"/>
        </w:rPr>
        <w:sym w:font="Symbol" w:char="F06B"/>
      </w:r>
      <w:r w:rsidRPr="005936B2">
        <w:rPr>
          <w:rFonts w:ascii="Book Antiqua" w:hAnsi="Book Antiqua"/>
          <w:sz w:val="24"/>
          <w:szCs w:val="24"/>
        </w:rPr>
        <w:t xml:space="preserve">B - a transcription factor, which plays a key role in regulation of the immune </w:t>
      </w:r>
      <w:proofErr w:type="gramStart"/>
      <w:r w:rsidRPr="005936B2">
        <w:rPr>
          <w:rFonts w:ascii="Book Antiqua" w:hAnsi="Book Antiqua"/>
          <w:sz w:val="24"/>
          <w:szCs w:val="24"/>
        </w:rPr>
        <w:t>response</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145]</w:t>
      </w:r>
      <w:r w:rsidRPr="005936B2">
        <w:rPr>
          <w:rFonts w:ascii="Book Antiqua" w:hAnsi="Book Antiqua"/>
          <w:sz w:val="24"/>
          <w:szCs w:val="24"/>
        </w:rPr>
        <w:t xml:space="preserve">. While expressed inducibly on T-cells of healthy subjects upon TCR activation, RAGE is constitutively synthesized in diabetics’ T-cells, and a role for RAGE in the adaptive immunity has been </w:t>
      </w:r>
      <w:proofErr w:type="gramStart"/>
      <w:r w:rsidRPr="005936B2">
        <w:rPr>
          <w:rFonts w:ascii="Book Antiqua" w:hAnsi="Book Antiqua"/>
          <w:sz w:val="24"/>
          <w:szCs w:val="24"/>
        </w:rPr>
        <w:t>proposed</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146,147]</w:t>
      </w:r>
      <w:r w:rsidRPr="005936B2">
        <w:rPr>
          <w:rFonts w:ascii="Book Antiqua" w:hAnsi="Book Antiqua"/>
          <w:sz w:val="24"/>
          <w:szCs w:val="24"/>
        </w:rPr>
        <w:t xml:space="preserve">. In has been demonstrated that ovalbumin (OVA) modified </w:t>
      </w:r>
      <w:r w:rsidRPr="005936B2">
        <w:rPr>
          <w:rFonts w:ascii="Book Antiqua" w:hAnsi="Book Antiqua"/>
          <w:sz w:val="24"/>
          <w:szCs w:val="24"/>
        </w:rPr>
        <w:lastRenderedPageBreak/>
        <w:t>with AGEs (pyrraline), but not native OVA, induces SR-A mediated uptake of the antigen by dendritic cells and enhances CD4</w:t>
      </w:r>
      <w:r w:rsidRPr="005936B2">
        <w:rPr>
          <w:rFonts w:ascii="Book Antiqua" w:hAnsi="Book Antiqua"/>
          <w:sz w:val="24"/>
          <w:szCs w:val="24"/>
          <w:vertAlign w:val="superscript"/>
        </w:rPr>
        <w:t>+</w:t>
      </w:r>
      <w:r w:rsidRPr="005936B2">
        <w:rPr>
          <w:rFonts w:ascii="Book Antiqua" w:hAnsi="Book Antiqua"/>
          <w:sz w:val="24"/>
          <w:szCs w:val="24"/>
        </w:rPr>
        <w:t xml:space="preserve"> T-cell immunogenicity and potential antigenicity of </w:t>
      </w:r>
      <w:proofErr w:type="gramStart"/>
      <w:r w:rsidRPr="005936B2">
        <w:rPr>
          <w:rFonts w:ascii="Book Antiqua" w:hAnsi="Book Antiqua"/>
          <w:sz w:val="24"/>
          <w:szCs w:val="24"/>
        </w:rPr>
        <w:t>OVA</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148,149]</w:t>
      </w:r>
      <w:r w:rsidRPr="005936B2">
        <w:rPr>
          <w:rFonts w:ascii="Book Antiqua" w:hAnsi="Book Antiqua"/>
          <w:sz w:val="24"/>
          <w:szCs w:val="24"/>
        </w:rPr>
        <w:t xml:space="preserve">. Characteristic for RAGE is that it recognizes tertiary structures rather than amino acid sequences. This feature endows RAGE with properties of the </w:t>
      </w:r>
      <w:r w:rsidRPr="005936B2">
        <w:rPr>
          <w:rFonts w:ascii="Book Antiqua" w:hAnsi="Book Antiqua"/>
          <w:bCs/>
          <w:sz w:val="24"/>
          <w:szCs w:val="24"/>
        </w:rPr>
        <w:t>P</w:t>
      </w:r>
      <w:r w:rsidRPr="005936B2">
        <w:rPr>
          <w:rFonts w:ascii="Book Antiqua" w:hAnsi="Book Antiqua"/>
          <w:sz w:val="24"/>
          <w:szCs w:val="24"/>
        </w:rPr>
        <w:t xml:space="preserve">attern </w:t>
      </w:r>
      <w:r w:rsidRPr="005936B2">
        <w:rPr>
          <w:rFonts w:ascii="Book Antiqua" w:hAnsi="Book Antiqua"/>
          <w:bCs/>
          <w:sz w:val="24"/>
          <w:szCs w:val="24"/>
        </w:rPr>
        <w:t>R</w:t>
      </w:r>
      <w:r w:rsidRPr="005936B2">
        <w:rPr>
          <w:rFonts w:ascii="Book Antiqua" w:hAnsi="Book Antiqua"/>
          <w:sz w:val="24"/>
          <w:szCs w:val="24"/>
        </w:rPr>
        <w:t xml:space="preserve">ecognition </w:t>
      </w:r>
      <w:r w:rsidRPr="005936B2">
        <w:rPr>
          <w:rFonts w:ascii="Book Antiqua" w:hAnsi="Book Antiqua"/>
          <w:bCs/>
          <w:sz w:val="24"/>
          <w:szCs w:val="24"/>
        </w:rPr>
        <w:t>R</w:t>
      </w:r>
      <w:r w:rsidRPr="005936B2">
        <w:rPr>
          <w:rFonts w:ascii="Book Antiqua" w:hAnsi="Book Antiqua"/>
          <w:sz w:val="24"/>
          <w:szCs w:val="24"/>
        </w:rPr>
        <w:t xml:space="preserve">eceptor (PRR), which recognizes repeated antigenic motifs of the type of </w:t>
      </w:r>
      <w:r w:rsidRPr="005936B2">
        <w:rPr>
          <w:rFonts w:ascii="Book Antiqua" w:hAnsi="Book Antiqua"/>
          <w:bCs/>
          <w:sz w:val="24"/>
          <w:szCs w:val="24"/>
        </w:rPr>
        <w:t>P</w:t>
      </w:r>
      <w:r w:rsidRPr="005936B2">
        <w:rPr>
          <w:rFonts w:ascii="Book Antiqua" w:hAnsi="Book Antiqua"/>
          <w:sz w:val="24"/>
          <w:szCs w:val="24"/>
        </w:rPr>
        <w:t>athogen-</w:t>
      </w:r>
      <w:r w:rsidRPr="005936B2">
        <w:rPr>
          <w:rFonts w:ascii="Book Antiqua" w:hAnsi="Book Antiqua"/>
          <w:bCs/>
          <w:sz w:val="24"/>
          <w:szCs w:val="24"/>
        </w:rPr>
        <w:t>A</w:t>
      </w:r>
      <w:r w:rsidRPr="005936B2">
        <w:rPr>
          <w:rFonts w:ascii="Book Antiqua" w:hAnsi="Book Antiqua"/>
          <w:sz w:val="24"/>
          <w:szCs w:val="24"/>
        </w:rPr>
        <w:t xml:space="preserve">ssociated </w:t>
      </w:r>
      <w:r w:rsidRPr="005936B2">
        <w:rPr>
          <w:rFonts w:ascii="Book Antiqua" w:hAnsi="Book Antiqua"/>
          <w:bCs/>
          <w:sz w:val="24"/>
          <w:szCs w:val="24"/>
        </w:rPr>
        <w:t>M</w:t>
      </w:r>
      <w:r w:rsidRPr="005936B2">
        <w:rPr>
          <w:rFonts w:ascii="Book Antiqua" w:hAnsi="Book Antiqua"/>
          <w:sz w:val="24"/>
          <w:szCs w:val="24"/>
        </w:rPr>
        <w:t xml:space="preserve">olecular </w:t>
      </w:r>
      <w:r w:rsidRPr="005936B2">
        <w:rPr>
          <w:rFonts w:ascii="Book Antiqua" w:hAnsi="Book Antiqua"/>
          <w:bCs/>
          <w:sz w:val="24"/>
          <w:szCs w:val="24"/>
        </w:rPr>
        <w:t>P</w:t>
      </w:r>
      <w:r w:rsidRPr="005936B2">
        <w:rPr>
          <w:rFonts w:ascii="Book Antiqua" w:hAnsi="Book Antiqua"/>
          <w:sz w:val="24"/>
          <w:szCs w:val="24"/>
        </w:rPr>
        <w:t>atterns (PAMPs)</w:t>
      </w:r>
      <w:r w:rsidRPr="005936B2">
        <w:rPr>
          <w:rFonts w:ascii="Book Antiqua" w:hAnsi="Book Antiqua"/>
          <w:sz w:val="24"/>
          <w:szCs w:val="24"/>
          <w:vertAlign w:val="superscript"/>
        </w:rPr>
        <w:t>[150]</w:t>
      </w:r>
      <w:r w:rsidRPr="005936B2">
        <w:rPr>
          <w:rFonts w:ascii="Book Antiqua" w:hAnsi="Book Antiqua"/>
          <w:sz w:val="24"/>
          <w:szCs w:val="24"/>
        </w:rPr>
        <w:t>.</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RAGE can also recruit immune cells in the sites of inflammation.</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 xml:space="preserve">For example, RAGE on endothelial cells can function as an adhesive receptor interacting with the leukocyte </w:t>
      </w:r>
      <w:r w:rsidRPr="005936B2">
        <w:rPr>
          <w:rFonts w:ascii="Book Antiqua" w:hAnsi="Book Antiqua"/>
          <w:sz w:val="24"/>
          <w:szCs w:val="24"/>
        </w:rPr>
        <w:sym w:font="Symbol" w:char="F062"/>
      </w:r>
      <w:r w:rsidRPr="005936B2">
        <w:rPr>
          <w:rFonts w:ascii="Book Antiqua" w:hAnsi="Book Antiqua"/>
          <w:sz w:val="24"/>
          <w:szCs w:val="24"/>
        </w:rPr>
        <w:t>2-</w:t>
      </w:r>
      <w:proofErr w:type="gramStart"/>
      <w:r w:rsidRPr="005936B2">
        <w:rPr>
          <w:rFonts w:ascii="Book Antiqua" w:hAnsi="Book Antiqua"/>
          <w:sz w:val="24"/>
          <w:szCs w:val="24"/>
        </w:rPr>
        <w:t>integrins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151]</w:t>
      </w:r>
      <w:r w:rsidRPr="005936B2">
        <w:rPr>
          <w:rFonts w:ascii="Book Antiqua" w:hAnsi="Book Antiqua"/>
          <w:sz w:val="24"/>
          <w:szCs w:val="24"/>
        </w:rPr>
        <w:t xml:space="preserve">. Intriguing findings in recent years suggest that RAGE’s actions contribute to perpetuation of AGEs production by sustaining oxidative stress and inflammation, and by suppressing the detoxification of MG as one of the major AGEs </w:t>
      </w:r>
      <w:proofErr w:type="gramStart"/>
      <w:r w:rsidRPr="005936B2">
        <w:rPr>
          <w:rFonts w:ascii="Book Antiqua" w:hAnsi="Book Antiqua"/>
          <w:sz w:val="24"/>
          <w:szCs w:val="24"/>
        </w:rPr>
        <w:t>precursors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152,153]</w:t>
      </w:r>
      <w:r w:rsidRPr="005936B2">
        <w:rPr>
          <w:rFonts w:ascii="Book Antiqua" w:hAnsi="Book Antiqua"/>
          <w:sz w:val="24"/>
          <w:szCs w:val="24"/>
        </w:rPr>
        <w:t xml:space="preserve">. </w:t>
      </w:r>
    </w:p>
    <w:p w:rsidR="007A30DF" w:rsidRPr="005936B2" w:rsidRDefault="007A30DF" w:rsidP="007A30DF">
      <w:pPr>
        <w:spacing w:line="360" w:lineRule="auto"/>
        <w:rPr>
          <w:rFonts w:ascii="Book Antiqua" w:hAnsi="Book Antiqua"/>
          <w:b/>
          <w:bCs/>
          <w:i/>
          <w:sz w:val="24"/>
          <w:szCs w:val="24"/>
        </w:rPr>
      </w:pPr>
    </w:p>
    <w:p w:rsidR="007A30DF" w:rsidRPr="005936B2" w:rsidRDefault="007A30DF" w:rsidP="007A30DF">
      <w:pPr>
        <w:spacing w:line="360" w:lineRule="auto"/>
        <w:rPr>
          <w:rFonts w:ascii="Book Antiqua" w:hAnsi="Book Antiqua"/>
          <w:b/>
          <w:bCs/>
          <w:i/>
          <w:sz w:val="24"/>
          <w:szCs w:val="24"/>
        </w:rPr>
      </w:pPr>
      <w:r w:rsidRPr="005936B2">
        <w:rPr>
          <w:rFonts w:ascii="Book Antiqua" w:hAnsi="Book Antiqua"/>
          <w:b/>
          <w:bCs/>
          <w:i/>
          <w:sz w:val="24"/>
          <w:szCs w:val="24"/>
        </w:rPr>
        <w:t>Anti-AGEs antibodies</w:t>
      </w:r>
    </w:p>
    <w:p w:rsidR="007A30DF" w:rsidRPr="005936B2" w:rsidRDefault="007A30DF" w:rsidP="007A30DF">
      <w:pPr>
        <w:spacing w:line="360" w:lineRule="auto"/>
        <w:rPr>
          <w:rFonts w:ascii="Book Antiqua" w:hAnsi="Book Antiqua"/>
          <w:sz w:val="24"/>
          <w:szCs w:val="24"/>
        </w:rPr>
      </w:pPr>
      <w:r w:rsidRPr="005936B2">
        <w:rPr>
          <w:rFonts w:ascii="Book Antiqua" w:hAnsi="Book Antiqua"/>
          <w:sz w:val="24"/>
          <w:szCs w:val="24"/>
        </w:rPr>
        <w:t>Apart from cellular immune responses, AGEs may elicit a humoral immunity.</w:t>
      </w:r>
      <w:r w:rsidRPr="005936B2">
        <w:rPr>
          <w:rStyle w:val="Heading1Char"/>
          <w:rFonts w:ascii="Book Antiqua" w:eastAsiaTheme="minorEastAsia" w:hAnsi="Book Antiqua"/>
          <w:sz w:val="24"/>
          <w:szCs w:val="24"/>
        </w:rPr>
        <w:t xml:space="preserve"> </w:t>
      </w:r>
      <w:r w:rsidRPr="005936B2">
        <w:rPr>
          <w:rStyle w:val="Heading1Char"/>
          <w:rFonts w:ascii="Book Antiqua" w:eastAsiaTheme="minorEastAsia" w:hAnsi="Book Antiqua"/>
          <w:b w:val="0"/>
          <w:sz w:val="24"/>
          <w:szCs w:val="24"/>
        </w:rPr>
        <w:t xml:space="preserve">Excessive accumulation of AGEs with age and in pathology appears to correlate with elevated levels of anti-AGEs </w:t>
      </w:r>
      <w:proofErr w:type="gramStart"/>
      <w:r w:rsidRPr="005936B2">
        <w:rPr>
          <w:rStyle w:val="Heading1Char"/>
          <w:rFonts w:ascii="Book Antiqua" w:eastAsiaTheme="minorEastAsia" w:hAnsi="Book Antiqua"/>
          <w:b w:val="0"/>
          <w:sz w:val="24"/>
          <w:szCs w:val="24"/>
        </w:rPr>
        <w:t>antibodies</w:t>
      </w:r>
      <w:r w:rsidRPr="005936B2">
        <w:rPr>
          <w:rStyle w:val="Heading1Char"/>
          <w:rFonts w:ascii="Book Antiqua" w:eastAsiaTheme="minorEastAsia" w:hAnsi="Book Antiqua"/>
          <w:b w:val="0"/>
          <w:sz w:val="24"/>
          <w:szCs w:val="24"/>
          <w:vertAlign w:val="superscript"/>
        </w:rPr>
        <w:t>[</w:t>
      </w:r>
      <w:proofErr w:type="gramEnd"/>
      <w:r w:rsidRPr="005936B2">
        <w:rPr>
          <w:rStyle w:val="Heading1Char"/>
          <w:rFonts w:ascii="Book Antiqua" w:eastAsiaTheme="minorEastAsia" w:hAnsi="Book Antiqua"/>
          <w:b w:val="0"/>
          <w:sz w:val="24"/>
          <w:szCs w:val="24"/>
          <w:vertAlign w:val="superscript"/>
        </w:rPr>
        <w:t>154]</w:t>
      </w:r>
      <w:r w:rsidRPr="005936B2">
        <w:rPr>
          <w:rStyle w:val="Heading1Char"/>
          <w:rFonts w:ascii="Book Antiqua" w:eastAsiaTheme="minorEastAsia" w:hAnsi="Book Antiqua"/>
          <w:b w:val="0"/>
          <w:sz w:val="24"/>
          <w:szCs w:val="24"/>
        </w:rPr>
        <w:t>. Glycated proteins (histone H2A</w:t>
      </w:r>
      <w:r w:rsidRPr="005936B2">
        <w:rPr>
          <w:rStyle w:val="Heading1Char"/>
          <w:rFonts w:ascii="Book Antiqua" w:eastAsiaTheme="minorEastAsia" w:hAnsi="Book Antiqua"/>
          <w:b w:val="0"/>
          <w:sz w:val="24"/>
          <w:szCs w:val="24"/>
          <w:vertAlign w:val="superscript"/>
        </w:rPr>
        <w:t>[155]</w:t>
      </w:r>
      <w:r w:rsidRPr="005936B2">
        <w:rPr>
          <w:rStyle w:val="Heading1Char"/>
          <w:rFonts w:ascii="Book Antiqua" w:eastAsiaTheme="minorEastAsia" w:hAnsi="Book Antiqua"/>
          <w:b w:val="0"/>
          <w:sz w:val="24"/>
          <w:szCs w:val="24"/>
        </w:rPr>
        <w:t>, HSA</w:t>
      </w:r>
      <w:r w:rsidRPr="005936B2">
        <w:rPr>
          <w:rStyle w:val="Heading1Char"/>
          <w:rFonts w:ascii="Book Antiqua" w:eastAsiaTheme="minorEastAsia" w:hAnsi="Book Antiqua"/>
          <w:b w:val="0"/>
          <w:sz w:val="24"/>
          <w:szCs w:val="24"/>
          <w:vertAlign w:val="superscript"/>
        </w:rPr>
        <w:t>[156]</w:t>
      </w:r>
      <w:r w:rsidRPr="005936B2">
        <w:rPr>
          <w:rStyle w:val="Heading1Char"/>
          <w:rFonts w:ascii="Book Antiqua" w:eastAsiaTheme="minorEastAsia" w:hAnsi="Book Antiqua"/>
          <w:b w:val="0"/>
          <w:sz w:val="24"/>
          <w:szCs w:val="24"/>
        </w:rPr>
        <w:t>, poly-</w:t>
      </w:r>
      <w:r w:rsidRPr="005936B2">
        <w:rPr>
          <w:rStyle w:val="Heading1Char"/>
          <w:rFonts w:ascii="Book Antiqua" w:eastAsiaTheme="minorEastAsia" w:hAnsi="Book Antiqua"/>
          <w:b w:val="0"/>
          <w:i/>
          <w:sz w:val="24"/>
          <w:szCs w:val="24"/>
        </w:rPr>
        <w:t>L</w:t>
      </w:r>
      <w:r w:rsidRPr="005936B2">
        <w:rPr>
          <w:rStyle w:val="Heading1Char"/>
          <w:rFonts w:ascii="Book Antiqua" w:eastAsiaTheme="minorEastAsia" w:hAnsi="Book Antiqua"/>
          <w:b w:val="0"/>
          <w:sz w:val="24"/>
          <w:szCs w:val="24"/>
        </w:rPr>
        <w:t>-lysine (PLL)</w:t>
      </w:r>
      <w:r w:rsidRPr="005936B2">
        <w:rPr>
          <w:rStyle w:val="Heading1Char"/>
          <w:rFonts w:ascii="Book Antiqua" w:eastAsiaTheme="minorEastAsia" w:hAnsi="Book Antiqua"/>
          <w:b w:val="0"/>
          <w:sz w:val="24"/>
          <w:szCs w:val="24"/>
          <w:vertAlign w:val="superscript"/>
        </w:rPr>
        <w:t>[157]</w:t>
      </w:r>
      <w:r w:rsidRPr="005936B2">
        <w:rPr>
          <w:rStyle w:val="Heading1Char"/>
          <w:rFonts w:ascii="Book Antiqua" w:eastAsiaTheme="minorEastAsia" w:hAnsi="Book Antiqua"/>
          <w:b w:val="0"/>
          <w:sz w:val="24"/>
          <w:szCs w:val="24"/>
        </w:rPr>
        <w:t>, IgG</w:t>
      </w:r>
      <w:r w:rsidRPr="005936B2">
        <w:rPr>
          <w:rStyle w:val="Heading1Char"/>
          <w:rFonts w:ascii="Book Antiqua" w:eastAsiaTheme="minorEastAsia" w:hAnsi="Book Antiqua"/>
          <w:b w:val="0"/>
          <w:sz w:val="24"/>
          <w:szCs w:val="24"/>
          <w:vertAlign w:val="superscript"/>
        </w:rPr>
        <w:t>[158]</w:t>
      </w:r>
      <w:r w:rsidRPr="005936B2">
        <w:rPr>
          <w:rStyle w:val="Heading1Char"/>
          <w:rFonts w:ascii="Book Antiqua" w:eastAsiaTheme="minorEastAsia" w:hAnsi="Book Antiqua"/>
          <w:b w:val="0"/>
          <w:sz w:val="24"/>
          <w:szCs w:val="24"/>
        </w:rPr>
        <w:t>), DNA</w:t>
      </w:r>
      <w:r w:rsidRPr="005936B2">
        <w:rPr>
          <w:rStyle w:val="Heading1Char"/>
          <w:rFonts w:ascii="Book Antiqua" w:eastAsiaTheme="minorEastAsia" w:hAnsi="Book Antiqua"/>
          <w:b w:val="0"/>
          <w:sz w:val="24"/>
          <w:szCs w:val="24"/>
          <w:vertAlign w:val="superscript"/>
        </w:rPr>
        <w:t>[159,160]</w:t>
      </w:r>
      <w:r w:rsidRPr="005936B2">
        <w:rPr>
          <w:rStyle w:val="Heading1Char"/>
          <w:rFonts w:ascii="Book Antiqua" w:eastAsiaTheme="minorEastAsia" w:hAnsi="Book Antiqua"/>
          <w:b w:val="0"/>
          <w:sz w:val="24"/>
          <w:szCs w:val="24"/>
        </w:rPr>
        <w:t xml:space="preserve"> and LDL</w:t>
      </w:r>
      <w:r w:rsidRPr="005936B2">
        <w:rPr>
          <w:rStyle w:val="Heading1Char"/>
          <w:rFonts w:ascii="Book Antiqua" w:eastAsiaTheme="minorEastAsia" w:hAnsi="Book Antiqua"/>
          <w:b w:val="0"/>
          <w:sz w:val="24"/>
          <w:szCs w:val="24"/>
          <w:vertAlign w:val="superscript"/>
        </w:rPr>
        <w:t>[161,162]</w:t>
      </w:r>
      <w:r w:rsidRPr="005936B2">
        <w:rPr>
          <w:rStyle w:val="Heading1Char"/>
          <w:rFonts w:ascii="Book Antiqua" w:eastAsiaTheme="minorEastAsia" w:hAnsi="Book Antiqua"/>
          <w:b w:val="0"/>
          <w:sz w:val="24"/>
          <w:szCs w:val="24"/>
        </w:rPr>
        <w:t xml:space="preserve"> have demonstrated higher immunogenicity in experimental animals than the non-glycated counterparts, and sera of diabetic patients were found to exhibit higher binding activity to glycated HSA</w:t>
      </w:r>
      <w:r w:rsidRPr="005936B2">
        <w:rPr>
          <w:rStyle w:val="Heading1Char"/>
          <w:rFonts w:ascii="Book Antiqua" w:eastAsiaTheme="minorEastAsia" w:hAnsi="Book Antiqua"/>
          <w:b w:val="0"/>
          <w:sz w:val="24"/>
          <w:szCs w:val="24"/>
          <w:vertAlign w:val="superscript"/>
        </w:rPr>
        <w:t>[163]</w:t>
      </w:r>
      <w:r w:rsidRPr="005936B2">
        <w:rPr>
          <w:rStyle w:val="Heading1Char"/>
          <w:rFonts w:ascii="Book Antiqua" w:eastAsiaTheme="minorEastAsia" w:hAnsi="Book Antiqua"/>
          <w:b w:val="0"/>
          <w:sz w:val="24"/>
          <w:szCs w:val="24"/>
        </w:rPr>
        <w:t>, PLL</w:t>
      </w:r>
      <w:r w:rsidRPr="005936B2">
        <w:rPr>
          <w:rStyle w:val="Heading1Char"/>
          <w:rFonts w:ascii="Book Antiqua" w:eastAsiaTheme="minorEastAsia" w:hAnsi="Book Antiqua"/>
          <w:b w:val="0"/>
          <w:sz w:val="24"/>
          <w:szCs w:val="24"/>
          <w:vertAlign w:val="superscript"/>
        </w:rPr>
        <w:t>[157]</w:t>
      </w:r>
      <w:r w:rsidRPr="005936B2">
        <w:rPr>
          <w:rStyle w:val="Heading1Char"/>
          <w:rFonts w:ascii="Book Antiqua" w:eastAsiaTheme="minorEastAsia" w:hAnsi="Book Antiqua"/>
          <w:b w:val="0"/>
          <w:sz w:val="24"/>
          <w:szCs w:val="24"/>
        </w:rPr>
        <w:t>, IgG</w:t>
      </w:r>
      <w:r w:rsidRPr="005936B2">
        <w:rPr>
          <w:rStyle w:val="Heading1Char"/>
          <w:rFonts w:ascii="Book Antiqua" w:eastAsiaTheme="minorEastAsia" w:hAnsi="Book Antiqua"/>
          <w:b w:val="0"/>
          <w:sz w:val="24"/>
          <w:szCs w:val="24"/>
          <w:vertAlign w:val="superscript"/>
        </w:rPr>
        <w:t>[158]</w:t>
      </w:r>
      <w:r w:rsidRPr="005936B2">
        <w:rPr>
          <w:rStyle w:val="Heading1Char"/>
          <w:rFonts w:ascii="Book Antiqua" w:eastAsiaTheme="minorEastAsia" w:hAnsi="Book Antiqua"/>
          <w:b w:val="0"/>
          <w:sz w:val="24"/>
          <w:szCs w:val="24"/>
        </w:rPr>
        <w:t xml:space="preserve"> and DNA</w:t>
      </w:r>
      <w:r w:rsidRPr="005936B2">
        <w:rPr>
          <w:rStyle w:val="Heading1Char"/>
          <w:rFonts w:ascii="Book Antiqua" w:eastAsiaTheme="minorEastAsia" w:hAnsi="Book Antiqua"/>
          <w:b w:val="0"/>
          <w:sz w:val="24"/>
          <w:szCs w:val="24"/>
          <w:vertAlign w:val="superscript"/>
        </w:rPr>
        <w:t>[159]</w:t>
      </w:r>
      <w:r w:rsidRPr="005936B2">
        <w:rPr>
          <w:rStyle w:val="Heading1Char"/>
          <w:rFonts w:ascii="Book Antiqua" w:eastAsiaTheme="minorEastAsia" w:hAnsi="Book Antiqua"/>
          <w:b w:val="0"/>
          <w:sz w:val="24"/>
          <w:szCs w:val="24"/>
        </w:rPr>
        <w:t xml:space="preserve"> than to the unmodified molecules. In addition, patients with renal failure of diabetic or non-diabetic etiology had higher autoantibody activity against CML (an AGE structure) than normal subjects or diabetics without renal </w:t>
      </w:r>
      <w:proofErr w:type="gramStart"/>
      <w:r w:rsidRPr="005936B2">
        <w:rPr>
          <w:rStyle w:val="Heading1Char"/>
          <w:rFonts w:ascii="Book Antiqua" w:eastAsiaTheme="minorEastAsia" w:hAnsi="Book Antiqua"/>
          <w:b w:val="0"/>
          <w:sz w:val="24"/>
          <w:szCs w:val="24"/>
        </w:rPr>
        <w:t>failure</w:t>
      </w:r>
      <w:r w:rsidRPr="005936B2">
        <w:rPr>
          <w:rStyle w:val="Heading1Char"/>
          <w:rFonts w:ascii="Book Antiqua" w:eastAsiaTheme="minorEastAsia" w:hAnsi="Book Antiqua"/>
          <w:b w:val="0"/>
          <w:sz w:val="24"/>
          <w:szCs w:val="24"/>
          <w:vertAlign w:val="superscript"/>
        </w:rPr>
        <w:t>[</w:t>
      </w:r>
      <w:proofErr w:type="gramEnd"/>
      <w:r w:rsidRPr="005936B2">
        <w:rPr>
          <w:rStyle w:val="Heading1Char"/>
          <w:rFonts w:ascii="Book Antiqua" w:eastAsiaTheme="minorEastAsia" w:hAnsi="Book Antiqua"/>
          <w:b w:val="0"/>
          <w:sz w:val="24"/>
          <w:szCs w:val="24"/>
          <w:vertAlign w:val="superscript"/>
        </w:rPr>
        <w:t>164]</w:t>
      </w:r>
      <w:r w:rsidRPr="005936B2">
        <w:rPr>
          <w:rStyle w:val="Heading1Char"/>
          <w:rFonts w:ascii="Book Antiqua" w:eastAsiaTheme="minorEastAsia" w:hAnsi="Book Antiqua"/>
          <w:b w:val="0"/>
          <w:sz w:val="24"/>
          <w:szCs w:val="24"/>
        </w:rPr>
        <w:t xml:space="preserve">. </w:t>
      </w:r>
      <w:r w:rsidRPr="005936B2">
        <w:rPr>
          <w:rStyle w:val="Heading1Char"/>
          <w:rFonts w:ascii="Book Antiqua" w:eastAsiaTheme="minorEastAsia" w:hAnsi="Book Antiqua" w:cs="Times New Roman"/>
          <w:b w:val="0"/>
          <w:bCs w:val="0"/>
          <w:sz w:val="24"/>
          <w:szCs w:val="24"/>
        </w:rPr>
        <w:t>The</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 xml:space="preserve">injection of rats with </w:t>
      </w:r>
      <w:r w:rsidRPr="005936B2">
        <w:rPr>
          <w:rFonts w:ascii="Book Antiqua" w:hAnsi="Book Antiqua"/>
          <w:i/>
          <w:iCs/>
          <w:sz w:val="24"/>
          <w:szCs w:val="24"/>
        </w:rPr>
        <w:t>in vitro</w:t>
      </w:r>
      <w:r w:rsidRPr="005936B2">
        <w:rPr>
          <w:rFonts w:ascii="Book Antiqua" w:hAnsi="Book Antiqua"/>
          <w:sz w:val="24"/>
          <w:szCs w:val="24"/>
        </w:rPr>
        <w:t xml:space="preserve"> glycated rat skin collagen leads to the formation of anti-collagen Abs, which do not cross-react with non-glycated collagen.</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 xml:space="preserve">The binding of the serum Abs to the glycated collagen is inhibited by 92% when the reaction is conducted in presence of glycated Lys as a competitor. This result indicates that glycated Lys residues on collagen are the most probable epitopes captured by the anti-collagen </w:t>
      </w:r>
      <w:proofErr w:type="gramStart"/>
      <w:r w:rsidRPr="005936B2">
        <w:rPr>
          <w:rFonts w:ascii="Book Antiqua" w:hAnsi="Book Antiqua"/>
          <w:sz w:val="24"/>
          <w:szCs w:val="24"/>
        </w:rPr>
        <w:t>Abs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165]</w:t>
      </w:r>
      <w:r w:rsidRPr="005936B2">
        <w:rPr>
          <w:rFonts w:ascii="Book Antiqua" w:hAnsi="Book Antiqua"/>
          <w:sz w:val="24"/>
          <w:szCs w:val="24"/>
        </w:rPr>
        <w:t>.</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Of note, sera from streptozotocin-induced diabetic rats contained Abs that clearly bound glycated collagen.</w:t>
      </w:r>
    </w:p>
    <w:p w:rsidR="007A30DF" w:rsidRPr="005936B2" w:rsidRDefault="007A30DF" w:rsidP="004C70F6">
      <w:pPr>
        <w:spacing w:line="360" w:lineRule="auto"/>
        <w:ind w:firstLineChars="150" w:firstLine="360"/>
        <w:rPr>
          <w:rFonts w:ascii="Book Antiqua" w:hAnsi="Book Antiqua"/>
          <w:sz w:val="24"/>
          <w:szCs w:val="24"/>
        </w:rPr>
      </w:pPr>
      <w:r w:rsidRPr="005936B2">
        <w:rPr>
          <w:rFonts w:ascii="Book Antiqua" w:hAnsi="Book Antiqua"/>
          <w:sz w:val="24"/>
          <w:szCs w:val="24"/>
        </w:rPr>
        <w:t xml:space="preserve">Vay </w:t>
      </w:r>
      <w:r w:rsidRPr="005936B2">
        <w:rPr>
          <w:rFonts w:ascii="Book Antiqua" w:hAnsi="Book Antiqua"/>
          <w:i/>
          <w:sz w:val="24"/>
          <w:szCs w:val="24"/>
        </w:rPr>
        <w:t xml:space="preserve">et </w:t>
      </w:r>
      <w:proofErr w:type="gramStart"/>
      <w:r w:rsidRPr="005936B2">
        <w:rPr>
          <w:rFonts w:ascii="Book Antiqua" w:hAnsi="Book Antiqua"/>
          <w:i/>
          <w:sz w:val="24"/>
          <w:szCs w:val="24"/>
        </w:rPr>
        <w:t>al</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166]</w:t>
      </w:r>
      <w:r w:rsidRPr="005936B2">
        <w:rPr>
          <w:rFonts w:ascii="Book Antiqua" w:hAnsi="Book Antiqua"/>
          <w:sz w:val="24"/>
          <w:szCs w:val="24"/>
        </w:rPr>
        <w:t xml:space="preserve"> have observed 289 diabetic patients and 120 healthy individuals for </w:t>
      </w:r>
      <w:r w:rsidRPr="005936B2">
        <w:rPr>
          <w:rFonts w:ascii="Book Antiqua" w:hAnsi="Book Antiqua"/>
          <w:sz w:val="24"/>
          <w:szCs w:val="24"/>
        </w:rPr>
        <w:lastRenderedPageBreak/>
        <w:t>serum Abs against CML (anti-CML Abs).</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Although they have found an increased titer of anti-CML Abs (IgG-isotype) in sera of diabetic patients compared to controls (</w:t>
      </w:r>
      <w:r w:rsidRPr="005936B2">
        <w:rPr>
          <w:rFonts w:ascii="Book Antiqua" w:hAnsi="Book Antiqua"/>
          <w:i/>
          <w:sz w:val="24"/>
          <w:szCs w:val="24"/>
        </w:rPr>
        <w:t>P</w:t>
      </w:r>
      <w:r w:rsidRPr="005936B2">
        <w:rPr>
          <w:rFonts w:ascii="Book Antiqua" w:eastAsia="宋体" w:hAnsi="Book Antiqua"/>
          <w:sz w:val="24"/>
          <w:szCs w:val="24"/>
        </w:rPr>
        <w:t xml:space="preserve"> </w:t>
      </w:r>
      <w:r w:rsidRPr="005936B2">
        <w:rPr>
          <w:rFonts w:ascii="Book Antiqua" w:hAnsi="Book Antiqua"/>
          <w:sz w:val="24"/>
          <w:szCs w:val="24"/>
        </w:rPr>
        <w:t>&lt;</w:t>
      </w:r>
      <w:r w:rsidRPr="005936B2">
        <w:rPr>
          <w:rFonts w:ascii="Book Antiqua" w:eastAsia="宋体" w:hAnsi="Book Antiqua"/>
          <w:sz w:val="24"/>
          <w:szCs w:val="24"/>
        </w:rPr>
        <w:t xml:space="preserve"> </w:t>
      </w:r>
      <w:r w:rsidRPr="005936B2">
        <w:rPr>
          <w:rFonts w:ascii="Book Antiqua" w:hAnsi="Book Antiqua"/>
          <w:sz w:val="24"/>
          <w:szCs w:val="24"/>
        </w:rPr>
        <w:t>0.0001), there was no correlation between the titer of the anti-CML Abs and patients’ glycemic status.</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 xml:space="preserve">In a similar study including 58 children with type I diabetes, 19 children have been found to be anti-AGEs Abs </w:t>
      </w:r>
      <w:proofErr w:type="gramStart"/>
      <w:r w:rsidRPr="005936B2">
        <w:rPr>
          <w:rFonts w:ascii="Book Antiqua" w:hAnsi="Book Antiqua"/>
          <w:sz w:val="24"/>
          <w:szCs w:val="24"/>
        </w:rPr>
        <w:t>positive</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167]</w:t>
      </w:r>
      <w:r w:rsidRPr="005936B2">
        <w:rPr>
          <w:rFonts w:ascii="Book Antiqua" w:hAnsi="Book Antiqua"/>
          <w:b/>
          <w:sz w:val="24"/>
          <w:szCs w:val="24"/>
        </w:rPr>
        <w:t>.</w:t>
      </w:r>
      <w:r w:rsidRPr="005936B2">
        <w:rPr>
          <w:rStyle w:val="Heading1Char"/>
          <w:rFonts w:ascii="Book Antiqua" w:eastAsiaTheme="minorEastAsia" w:hAnsi="Book Antiqua"/>
          <w:b w:val="0"/>
          <w:sz w:val="24"/>
          <w:szCs w:val="24"/>
        </w:rPr>
        <w:t xml:space="preserve"> In contrast to the previous study, the authors have found that the titer of the anti-AGEs Abs correlates positively with some diabetic markers such as</w:t>
      </w:r>
      <w:r w:rsidRPr="005936B2">
        <w:rPr>
          <w:rFonts w:ascii="Book Antiqua" w:hAnsi="Book Antiqua"/>
          <w:sz w:val="24"/>
          <w:szCs w:val="24"/>
        </w:rPr>
        <w:t xml:space="preserve"> HbA</w:t>
      </w:r>
      <w:r w:rsidRPr="005936B2">
        <w:rPr>
          <w:rFonts w:ascii="Book Antiqua" w:hAnsi="Book Antiqua"/>
          <w:sz w:val="24"/>
          <w:szCs w:val="24"/>
          <w:vertAlign w:val="subscript"/>
        </w:rPr>
        <w:t>1c</w:t>
      </w:r>
      <w:r w:rsidRPr="005936B2">
        <w:rPr>
          <w:rFonts w:ascii="Book Antiqua" w:hAnsi="Book Antiqua"/>
          <w:sz w:val="24"/>
          <w:szCs w:val="24"/>
        </w:rPr>
        <w:t>, microalbuminuria and retinopathy. While some studies show higher titer of circulating anti-AGEs Abs in diabetic patients than in healthy individuals</w:t>
      </w:r>
      <w:r w:rsidRPr="005936B2">
        <w:rPr>
          <w:rFonts w:ascii="Book Antiqua" w:hAnsi="Book Antiqua"/>
          <w:sz w:val="24"/>
          <w:szCs w:val="24"/>
          <w:vertAlign w:val="superscript"/>
        </w:rPr>
        <w:t>[164,166]</w:t>
      </w:r>
      <w:r w:rsidRPr="005936B2">
        <w:rPr>
          <w:rFonts w:ascii="Book Antiqua" w:hAnsi="Book Antiqua"/>
          <w:sz w:val="24"/>
          <w:szCs w:val="24"/>
        </w:rPr>
        <w:t xml:space="preserve">, others report on the reverse condition, </w:t>
      </w:r>
      <w:r w:rsidRPr="005936B2">
        <w:rPr>
          <w:rFonts w:ascii="Book Antiqua" w:hAnsi="Book Antiqua"/>
          <w:i/>
          <w:sz w:val="24"/>
          <w:szCs w:val="24"/>
        </w:rPr>
        <w:t>i. e.</w:t>
      </w:r>
      <w:r w:rsidRPr="005936B2">
        <w:rPr>
          <w:rFonts w:ascii="Book Antiqua" w:hAnsi="Book Antiqua"/>
          <w:sz w:val="24"/>
          <w:szCs w:val="24"/>
        </w:rPr>
        <w:t xml:space="preserve"> lower anti-AGEs Abs titers in diabetics than in normal controls</w:t>
      </w:r>
      <w:r w:rsidRPr="005936B2">
        <w:rPr>
          <w:rFonts w:ascii="Book Antiqua" w:hAnsi="Book Antiqua"/>
          <w:sz w:val="24"/>
          <w:szCs w:val="24"/>
          <w:vertAlign w:val="superscript"/>
        </w:rPr>
        <w:t>[168,169]</w:t>
      </w:r>
      <w:r w:rsidRPr="005936B2">
        <w:rPr>
          <w:rFonts w:ascii="Book Antiqua" w:hAnsi="Book Antiqua"/>
          <w:sz w:val="24"/>
          <w:szCs w:val="24"/>
        </w:rPr>
        <w:t xml:space="preserve">. To explain this paradox the authors suggested that circulatory anti-AGEs Abs are either captured by tissue-bound </w:t>
      </w:r>
      <w:proofErr w:type="gramStart"/>
      <w:r w:rsidRPr="005936B2">
        <w:rPr>
          <w:rFonts w:ascii="Book Antiqua" w:hAnsi="Book Antiqua"/>
          <w:sz w:val="24"/>
          <w:szCs w:val="24"/>
        </w:rPr>
        <w:t>AGEs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168]</w:t>
      </w:r>
      <w:r w:rsidRPr="005936B2">
        <w:rPr>
          <w:rFonts w:ascii="Book Antiqua" w:hAnsi="Book Antiqua"/>
          <w:sz w:val="24"/>
          <w:szCs w:val="24"/>
        </w:rPr>
        <w:t xml:space="preserve"> or entrapped in immune complexes</w:t>
      </w:r>
      <w:r w:rsidRPr="005936B2">
        <w:rPr>
          <w:rFonts w:ascii="Book Antiqua" w:hAnsi="Book Antiqua"/>
          <w:sz w:val="24"/>
          <w:szCs w:val="24"/>
          <w:vertAlign w:val="superscript"/>
        </w:rPr>
        <w:t>[169]</w:t>
      </w:r>
      <w:r w:rsidRPr="005936B2">
        <w:rPr>
          <w:rFonts w:ascii="Book Antiqua" w:hAnsi="Book Antiqua"/>
          <w:sz w:val="24"/>
          <w:szCs w:val="24"/>
        </w:rPr>
        <w:t xml:space="preserve"> hampering their determination. If real, such events could explain the lack of a correlation between the titer of the serum anti-CML Abs and the patients’ glycemic status in the above cited </w:t>
      </w:r>
      <w:proofErr w:type="gramStart"/>
      <w:r w:rsidRPr="005936B2">
        <w:rPr>
          <w:rFonts w:ascii="Book Antiqua" w:hAnsi="Book Antiqua"/>
          <w:sz w:val="24"/>
          <w:szCs w:val="24"/>
        </w:rPr>
        <w:t>study</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166]</w:t>
      </w:r>
      <w:r w:rsidRPr="005936B2">
        <w:rPr>
          <w:rFonts w:ascii="Book Antiqua" w:hAnsi="Book Antiqua"/>
          <w:sz w:val="24"/>
          <w:szCs w:val="24"/>
        </w:rPr>
        <w:t>.</w:t>
      </w:r>
    </w:p>
    <w:p w:rsidR="007A30DF" w:rsidRPr="005936B2" w:rsidRDefault="007A30DF" w:rsidP="004C70F6">
      <w:pPr>
        <w:spacing w:line="360" w:lineRule="auto"/>
        <w:ind w:firstLineChars="150" w:firstLine="360"/>
        <w:rPr>
          <w:rFonts w:ascii="Book Antiqua" w:hAnsi="Book Antiqua"/>
          <w:sz w:val="24"/>
          <w:szCs w:val="24"/>
        </w:rPr>
      </w:pPr>
      <w:r w:rsidRPr="005936B2">
        <w:rPr>
          <w:rFonts w:ascii="Book Antiqua" w:hAnsi="Book Antiqua"/>
          <w:sz w:val="24"/>
          <w:szCs w:val="24"/>
        </w:rPr>
        <w:t>It is well known that some patients with rheumatoid arthritis (RA) develop auto-Abs against the IgG constant (Fc) region, which is designated as rheumatoid factor (RF</w:t>
      </w:r>
      <w:r w:rsidRPr="005936B2">
        <w:rPr>
          <w:rFonts w:ascii="Book Antiqua" w:hAnsi="Book Antiqua"/>
          <w:b/>
          <w:sz w:val="24"/>
          <w:szCs w:val="24"/>
        </w:rPr>
        <w:t>).</w:t>
      </w:r>
      <w:r w:rsidRPr="005936B2">
        <w:rPr>
          <w:rStyle w:val="Heading1Char"/>
          <w:rFonts w:ascii="Book Antiqua" w:eastAsiaTheme="minorEastAsia" w:hAnsi="Book Antiqua"/>
          <w:b w:val="0"/>
          <w:sz w:val="24"/>
          <w:szCs w:val="24"/>
        </w:rPr>
        <w:t xml:space="preserve"> A pilot study with RA patients has shown that only RF-positive patients have serum</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 xml:space="preserve">IgM Abs binding to </w:t>
      </w:r>
      <w:r w:rsidRPr="005936B2">
        <w:rPr>
          <w:rFonts w:ascii="Book Antiqua" w:hAnsi="Book Antiqua"/>
          <w:i/>
          <w:iCs/>
          <w:sz w:val="24"/>
          <w:szCs w:val="24"/>
        </w:rPr>
        <w:t>in vitro</w:t>
      </w:r>
      <w:r w:rsidRPr="005936B2">
        <w:rPr>
          <w:rFonts w:ascii="Book Antiqua" w:hAnsi="Book Antiqua"/>
          <w:sz w:val="24"/>
          <w:szCs w:val="24"/>
        </w:rPr>
        <w:t xml:space="preserve"> glycated IgG (IgG-AGEs), suggesting that the IgM anti-IgG-AGEs together with IgG-AGEs may contribute to the pathogenesis of </w:t>
      </w:r>
      <w:proofErr w:type="gramStart"/>
      <w:r w:rsidRPr="005936B2">
        <w:rPr>
          <w:rFonts w:ascii="Book Antiqua" w:hAnsi="Book Antiqua"/>
          <w:sz w:val="24"/>
          <w:szCs w:val="24"/>
        </w:rPr>
        <w:t>RA</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170]</w:t>
      </w:r>
      <w:r w:rsidRPr="005936B2">
        <w:rPr>
          <w:rFonts w:ascii="Book Antiqua" w:hAnsi="Book Antiqua"/>
          <w:sz w:val="24"/>
          <w:szCs w:val="24"/>
        </w:rPr>
        <w:t>.</w:t>
      </w:r>
      <w:r w:rsidRPr="005936B2">
        <w:rPr>
          <w:rStyle w:val="Heading1Char"/>
          <w:rFonts w:ascii="Book Antiqua" w:eastAsiaTheme="minorEastAsia" w:hAnsi="Book Antiqua"/>
          <w:b w:val="0"/>
          <w:sz w:val="24"/>
          <w:szCs w:val="24"/>
        </w:rPr>
        <w:t xml:space="preserve"> Further studies have shown that </w:t>
      </w:r>
      <w:r w:rsidRPr="005936B2">
        <w:rPr>
          <w:rFonts w:ascii="Book Antiqua" w:hAnsi="Book Antiqua"/>
          <w:sz w:val="24"/>
          <w:szCs w:val="24"/>
        </w:rPr>
        <w:t xml:space="preserve">immune complexes isolated from patients’ sera indeed contain AGEs (CML and imidazolone) modified IgG. It is very likely that the anti-IgG-AGEs prevent the normal clearance of IgG-AGEs by AGEs </w:t>
      </w:r>
      <w:proofErr w:type="gramStart"/>
      <w:r w:rsidRPr="005936B2">
        <w:rPr>
          <w:rFonts w:ascii="Book Antiqua" w:hAnsi="Book Antiqua"/>
          <w:sz w:val="24"/>
          <w:szCs w:val="24"/>
        </w:rPr>
        <w:t>receptors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171]</w:t>
      </w:r>
      <w:r w:rsidRPr="005936B2">
        <w:rPr>
          <w:rFonts w:ascii="Book Antiqua" w:hAnsi="Book Antiqua"/>
          <w:sz w:val="24"/>
          <w:szCs w:val="24"/>
        </w:rPr>
        <w:t xml:space="preserve">. Noteworthy, as with most biologics, some RA patients treated with antagonists of the human tumor necrosis factor (TNF) (infliximab, etanercept and adalimumab) develop anti-drug </w:t>
      </w:r>
      <w:proofErr w:type="gramStart"/>
      <w:r w:rsidRPr="005936B2">
        <w:rPr>
          <w:rFonts w:ascii="Book Antiqua" w:hAnsi="Book Antiqua"/>
          <w:sz w:val="24"/>
          <w:szCs w:val="24"/>
        </w:rPr>
        <w:t>antibodies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172]</w:t>
      </w:r>
      <w:r w:rsidRPr="005936B2">
        <w:rPr>
          <w:rFonts w:ascii="Book Antiqua" w:hAnsi="Book Antiqua"/>
          <w:sz w:val="24"/>
          <w:szCs w:val="24"/>
        </w:rPr>
        <w:t>. The TNF-antagonists are in fact anti-TNF Abs of IgG isotype</w:t>
      </w:r>
      <w:r w:rsidRPr="005936B2">
        <w:rPr>
          <w:rFonts w:ascii="Book Antiqua" w:hAnsi="Book Antiqua"/>
          <w:sz w:val="24"/>
          <w:szCs w:val="24"/>
          <w:vertAlign w:val="superscript"/>
        </w:rPr>
        <w:t>[172]</w:t>
      </w:r>
      <w:r w:rsidRPr="005936B2">
        <w:rPr>
          <w:rFonts w:ascii="Book Antiqua" w:hAnsi="Book Antiqua"/>
          <w:sz w:val="24"/>
          <w:szCs w:val="24"/>
        </w:rPr>
        <w:t xml:space="preserve"> and in light of the current review two events could be proposed: i) if the Fc regions of the therapeutic anti-TNF Abs are also glycated (anti-TNF-AGEs Abs), they could compete with patients’ IgG-AGEs for binding RF in human plasma; and ii) if the patients’ antibodies against the glycated biologic are specifically directed against the glycated moiety (AGEs) of the anti-TNF-AGEs Abs, apart from binding the drug, they would be also capable of interacting with patients’ IgG-AGEs. The net </w:t>
      </w:r>
      <w:r w:rsidRPr="005936B2">
        <w:rPr>
          <w:rFonts w:ascii="Book Antiqua" w:hAnsi="Book Antiqua"/>
          <w:sz w:val="24"/>
          <w:szCs w:val="24"/>
        </w:rPr>
        <w:lastRenderedPageBreak/>
        <w:t xml:space="preserve">result of this hypothetical and intertwined scenario is difficult to predict, but it should be taken into consideration by pharmacists, pharmacologists and clinicians. Intriguingly, subcutaneous immunization with AGEs modified LDL (AGEs-LDL) significantly inhibited atherosclerosis progression in hyperlipidemic diabetic mice possibly through activation of specific humoral and cell mediated immune </w:t>
      </w:r>
      <w:proofErr w:type="gramStart"/>
      <w:r w:rsidRPr="005936B2">
        <w:rPr>
          <w:rFonts w:ascii="Book Antiqua" w:hAnsi="Book Antiqua"/>
          <w:sz w:val="24"/>
          <w:szCs w:val="24"/>
        </w:rPr>
        <w:t>responses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173]</w:t>
      </w:r>
      <w:r w:rsidRPr="005936B2">
        <w:rPr>
          <w:rFonts w:ascii="Book Antiqua" w:hAnsi="Book Antiqua"/>
          <w:sz w:val="24"/>
          <w:szCs w:val="24"/>
        </w:rPr>
        <w:t xml:space="preserve">. The anti-atherogenic effect of the anti-AGEs-LDL Abs, however, is disputable </w:t>
      </w:r>
      <w:proofErr w:type="gramStart"/>
      <w:r w:rsidRPr="005936B2">
        <w:rPr>
          <w:rFonts w:ascii="Book Antiqua" w:hAnsi="Book Antiqua"/>
          <w:sz w:val="24"/>
          <w:szCs w:val="24"/>
        </w:rPr>
        <w:t>yet</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174]</w:t>
      </w:r>
      <w:r w:rsidRPr="005936B2">
        <w:rPr>
          <w:rFonts w:ascii="Book Antiqua" w:hAnsi="Book Antiqua"/>
          <w:sz w:val="24"/>
          <w:szCs w:val="24"/>
        </w:rPr>
        <w:t xml:space="preserve"> in so far as immune complexes containing such Abs are detected in human sera</w:t>
      </w:r>
      <w:r w:rsidRPr="005936B2">
        <w:rPr>
          <w:rFonts w:ascii="Book Antiqua" w:hAnsi="Book Antiqua"/>
          <w:sz w:val="24"/>
          <w:szCs w:val="24"/>
          <w:vertAlign w:val="superscript"/>
        </w:rPr>
        <w:t>[175]</w:t>
      </w:r>
      <w:r w:rsidRPr="005936B2">
        <w:rPr>
          <w:rFonts w:ascii="Book Antiqua" w:hAnsi="Book Antiqua"/>
          <w:sz w:val="24"/>
          <w:szCs w:val="24"/>
        </w:rPr>
        <w:t xml:space="preserve"> and shown to be important predictors of carotid intima-medial thickening in patients with type 1 diabetes</w:t>
      </w:r>
      <w:r w:rsidRPr="005936B2">
        <w:rPr>
          <w:rFonts w:ascii="Book Antiqua" w:hAnsi="Book Antiqua"/>
          <w:sz w:val="24"/>
          <w:szCs w:val="24"/>
          <w:vertAlign w:val="superscript"/>
        </w:rPr>
        <w:t>[176]</w:t>
      </w:r>
      <w:r w:rsidRPr="005936B2">
        <w:rPr>
          <w:rFonts w:ascii="Book Antiqua" w:hAnsi="Book Antiqua"/>
          <w:sz w:val="24"/>
          <w:szCs w:val="24"/>
        </w:rPr>
        <w:t>.</w:t>
      </w:r>
    </w:p>
    <w:p w:rsidR="007A30DF" w:rsidRPr="005936B2" w:rsidRDefault="007A30DF" w:rsidP="007A30DF">
      <w:pPr>
        <w:spacing w:line="360" w:lineRule="auto"/>
        <w:rPr>
          <w:rFonts w:ascii="Book Antiqua" w:hAnsi="Book Antiqua"/>
          <w:b/>
          <w:bCs/>
          <w:sz w:val="24"/>
          <w:szCs w:val="24"/>
        </w:rPr>
      </w:pPr>
    </w:p>
    <w:p w:rsidR="007A30DF" w:rsidRPr="005936B2" w:rsidRDefault="007A30DF" w:rsidP="007A30DF">
      <w:pPr>
        <w:spacing w:line="360" w:lineRule="auto"/>
        <w:rPr>
          <w:rFonts w:ascii="Book Antiqua" w:hAnsi="Book Antiqua"/>
          <w:b/>
          <w:bCs/>
          <w:sz w:val="24"/>
          <w:szCs w:val="24"/>
        </w:rPr>
      </w:pPr>
      <w:r w:rsidRPr="005936B2">
        <w:rPr>
          <w:rFonts w:ascii="Book Antiqua" w:hAnsi="Book Antiqua"/>
          <w:b/>
          <w:bCs/>
          <w:sz w:val="24"/>
          <w:szCs w:val="24"/>
        </w:rPr>
        <w:t>REASONS FOR THE IMMUNOGENICITY OF PROTEIN THERAPEUTICS</w:t>
      </w:r>
    </w:p>
    <w:p w:rsidR="007A30DF" w:rsidRPr="005936B2" w:rsidRDefault="007A30DF" w:rsidP="007A30DF">
      <w:pPr>
        <w:spacing w:line="360" w:lineRule="auto"/>
        <w:rPr>
          <w:rFonts w:ascii="Book Antiqua" w:hAnsi="Book Antiqua"/>
          <w:b/>
          <w:bCs/>
          <w:i/>
          <w:sz w:val="24"/>
          <w:szCs w:val="24"/>
        </w:rPr>
      </w:pPr>
      <w:r w:rsidRPr="005936B2">
        <w:rPr>
          <w:rFonts w:ascii="Book Antiqua" w:hAnsi="Book Antiqua"/>
          <w:b/>
          <w:bCs/>
          <w:i/>
          <w:sz w:val="24"/>
          <w:szCs w:val="24"/>
        </w:rPr>
        <w:t>Aggregation of proteins</w:t>
      </w:r>
    </w:p>
    <w:p w:rsidR="007A30DF" w:rsidRPr="005936B2" w:rsidRDefault="007A30DF" w:rsidP="007A30DF">
      <w:pPr>
        <w:spacing w:line="360" w:lineRule="auto"/>
        <w:rPr>
          <w:rFonts w:ascii="Book Antiqua" w:hAnsi="Book Antiqua"/>
          <w:sz w:val="24"/>
          <w:szCs w:val="24"/>
        </w:rPr>
      </w:pPr>
      <w:r w:rsidRPr="005936B2">
        <w:rPr>
          <w:rFonts w:ascii="Book Antiqua" w:hAnsi="Book Antiqua"/>
          <w:sz w:val="24"/>
          <w:szCs w:val="24"/>
        </w:rPr>
        <w:t>The most important structural change contributing to protein drugs’ immunogenicity is aggregation, which may be both covalent and non-covalent.</w:t>
      </w:r>
      <w:r w:rsidRPr="005936B2">
        <w:rPr>
          <w:rStyle w:val="Heading1Char"/>
          <w:rFonts w:ascii="Book Antiqua" w:eastAsiaTheme="minorEastAsia" w:hAnsi="Book Antiqua"/>
          <w:sz w:val="24"/>
          <w:szCs w:val="24"/>
        </w:rPr>
        <w:t xml:space="preserve"> </w:t>
      </w:r>
      <w:r w:rsidRPr="005936B2">
        <w:rPr>
          <w:rStyle w:val="Heading1Char"/>
          <w:rFonts w:ascii="Book Antiqua" w:eastAsiaTheme="minorEastAsia" w:hAnsi="Book Antiqua"/>
          <w:b w:val="0"/>
          <w:sz w:val="24"/>
          <w:szCs w:val="24"/>
        </w:rPr>
        <w:t>The n</w:t>
      </w:r>
      <w:r w:rsidRPr="005936B2">
        <w:rPr>
          <w:rFonts w:ascii="Book Antiqua" w:hAnsi="Book Antiqua"/>
          <w:sz w:val="24"/>
          <w:szCs w:val="24"/>
        </w:rPr>
        <w:t>on-covalent aggregation results from interaction between non-native transient protein conformers with partially preserved secondary structure called aggregation competent particles.</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Such particles accumulate progressively in the time course of protein storage due to structural fluctuations and beget intermolecular interactions resulting in protein aggregation.</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 xml:space="preserve">The aggregation process is often accompanied by protein precipitation and loss of biological </w:t>
      </w:r>
      <w:proofErr w:type="gramStart"/>
      <w:r w:rsidRPr="005936B2">
        <w:rPr>
          <w:rFonts w:ascii="Book Antiqua" w:hAnsi="Book Antiqua"/>
          <w:sz w:val="24"/>
          <w:szCs w:val="24"/>
        </w:rPr>
        <w:t>activity</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177]</w:t>
      </w:r>
      <w:r w:rsidRPr="005936B2">
        <w:rPr>
          <w:rFonts w:ascii="Book Antiqua" w:hAnsi="Book Antiqua"/>
          <w:sz w:val="24"/>
          <w:szCs w:val="24"/>
        </w:rPr>
        <w:t>.</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 xml:space="preserve">It is believed that the formation of aggregates proceeds by a cooperative mechanism, </w:t>
      </w:r>
      <w:r w:rsidRPr="005936B2">
        <w:rPr>
          <w:rFonts w:ascii="Book Antiqua" w:hAnsi="Book Antiqua"/>
          <w:i/>
          <w:sz w:val="24"/>
          <w:szCs w:val="24"/>
        </w:rPr>
        <w:t>i.e.</w:t>
      </w:r>
      <w:r w:rsidRPr="005936B2">
        <w:rPr>
          <w:rFonts w:ascii="Book Antiqua" w:eastAsia="宋体" w:hAnsi="Book Antiqua"/>
          <w:i/>
          <w:sz w:val="24"/>
          <w:szCs w:val="24"/>
        </w:rPr>
        <w:t>,</w:t>
      </w:r>
      <w:r w:rsidRPr="005936B2">
        <w:rPr>
          <w:rFonts w:ascii="Book Antiqua" w:hAnsi="Book Antiqua"/>
          <w:sz w:val="24"/>
          <w:szCs w:val="24"/>
        </w:rPr>
        <w:t xml:space="preserve"> the non-native conformers react with other native molecules to render them aggregation competent.</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 xml:space="preserve">The formation of dimers and higher order multimers in turn accelerates the aggregation </w:t>
      </w:r>
      <w:proofErr w:type="gramStart"/>
      <w:r w:rsidRPr="005936B2">
        <w:rPr>
          <w:rFonts w:ascii="Book Antiqua" w:hAnsi="Book Antiqua"/>
          <w:sz w:val="24"/>
          <w:szCs w:val="24"/>
        </w:rPr>
        <w:t>process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178,179]</w:t>
      </w:r>
      <w:r w:rsidRPr="005936B2">
        <w:rPr>
          <w:rFonts w:ascii="Book Antiqua" w:hAnsi="Book Antiqua"/>
          <w:sz w:val="24"/>
          <w:szCs w:val="24"/>
        </w:rPr>
        <w:t>.</w:t>
      </w:r>
    </w:p>
    <w:p w:rsidR="007A30DF" w:rsidRPr="005936B2" w:rsidRDefault="007A30DF" w:rsidP="004C70F6">
      <w:pPr>
        <w:spacing w:line="360" w:lineRule="auto"/>
        <w:ind w:firstLineChars="150" w:firstLine="360"/>
        <w:rPr>
          <w:rFonts w:ascii="Book Antiqua" w:hAnsi="Book Antiqua"/>
          <w:sz w:val="24"/>
          <w:szCs w:val="24"/>
        </w:rPr>
      </w:pPr>
      <w:r w:rsidRPr="005936B2">
        <w:rPr>
          <w:rFonts w:ascii="Book Antiqua" w:hAnsi="Book Antiqua"/>
          <w:sz w:val="24"/>
          <w:szCs w:val="24"/>
        </w:rPr>
        <w:t xml:space="preserve">Aggregates in protein drugs substantially contribute to immune response in treated </w:t>
      </w:r>
      <w:proofErr w:type="gramStart"/>
      <w:r w:rsidRPr="005936B2">
        <w:rPr>
          <w:rFonts w:ascii="Book Antiqua" w:hAnsi="Book Antiqua"/>
          <w:sz w:val="24"/>
          <w:szCs w:val="24"/>
        </w:rPr>
        <w:t>patients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23,180-185]</w:t>
      </w:r>
      <w:r w:rsidRPr="005936B2">
        <w:rPr>
          <w:rFonts w:ascii="Book Antiqua" w:hAnsi="Book Antiqua"/>
          <w:sz w:val="24"/>
          <w:szCs w:val="24"/>
        </w:rPr>
        <w:t>.</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Studies with interferon-</w:t>
      </w:r>
      <w:r w:rsidRPr="005936B2">
        <w:rPr>
          <w:rFonts w:ascii="Book Antiqua" w:hAnsi="Book Antiqua"/>
          <w:sz w:val="24"/>
          <w:szCs w:val="24"/>
        </w:rPr>
        <w:sym w:font="Symbol" w:char="F061"/>
      </w:r>
      <w:r w:rsidRPr="005936B2">
        <w:rPr>
          <w:rFonts w:ascii="Book Antiqua" w:hAnsi="Book Antiqua"/>
          <w:sz w:val="24"/>
          <w:szCs w:val="24"/>
        </w:rPr>
        <w:t xml:space="preserve"> have shown that the magnitude of the immune response does not depend on the size of the aggregates but rather on the structure of the protein molecules involved in aggregation.</w:t>
      </w:r>
      <w:r w:rsidRPr="005936B2">
        <w:rPr>
          <w:rStyle w:val="Heading1Char"/>
          <w:rFonts w:ascii="Book Antiqua" w:eastAsiaTheme="minorEastAsia" w:hAnsi="Book Antiqua"/>
          <w:sz w:val="24"/>
          <w:szCs w:val="24"/>
        </w:rPr>
        <w:t xml:space="preserve"> </w:t>
      </w:r>
      <w:r w:rsidRPr="005936B2">
        <w:rPr>
          <w:rStyle w:val="Heading1Char"/>
          <w:rFonts w:ascii="Book Antiqua" w:eastAsiaTheme="minorEastAsia" w:hAnsi="Book Antiqua"/>
          <w:b w:val="0"/>
          <w:sz w:val="24"/>
          <w:szCs w:val="24"/>
        </w:rPr>
        <w:t>A</w:t>
      </w:r>
      <w:r w:rsidRPr="005936B2">
        <w:rPr>
          <w:rFonts w:ascii="Book Antiqua" w:hAnsi="Book Antiqua"/>
          <w:sz w:val="24"/>
          <w:szCs w:val="24"/>
        </w:rPr>
        <w:t xml:space="preserve">ggregates, formed by molecules with largely preserved secondary structure (native-like) are more immunogenic compared to aggregates composed of fully denatured </w:t>
      </w:r>
      <w:proofErr w:type="gramStart"/>
      <w:r w:rsidRPr="005936B2">
        <w:rPr>
          <w:rFonts w:ascii="Book Antiqua" w:hAnsi="Book Antiqua"/>
          <w:sz w:val="24"/>
          <w:szCs w:val="24"/>
        </w:rPr>
        <w:t>molecules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22, 186]</w:t>
      </w:r>
      <w:r w:rsidRPr="005936B2">
        <w:rPr>
          <w:rFonts w:ascii="Book Antiqua" w:hAnsi="Book Antiqua"/>
          <w:sz w:val="24"/>
          <w:szCs w:val="24"/>
        </w:rPr>
        <w:t>.</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 xml:space="preserve">This could explain why Purohit </w:t>
      </w:r>
      <w:r w:rsidRPr="005936B2">
        <w:rPr>
          <w:rFonts w:ascii="Book Antiqua" w:hAnsi="Book Antiqua"/>
          <w:i/>
          <w:sz w:val="24"/>
          <w:szCs w:val="24"/>
        </w:rPr>
        <w:t xml:space="preserve">et </w:t>
      </w:r>
      <w:proofErr w:type="gramStart"/>
      <w:r w:rsidRPr="005936B2">
        <w:rPr>
          <w:rFonts w:ascii="Book Antiqua" w:hAnsi="Book Antiqua"/>
          <w:i/>
          <w:sz w:val="24"/>
          <w:szCs w:val="24"/>
        </w:rPr>
        <w:t>al</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187]</w:t>
      </w:r>
      <w:r w:rsidRPr="005936B2">
        <w:rPr>
          <w:rFonts w:ascii="Book Antiqua" w:hAnsi="Book Antiqua"/>
          <w:sz w:val="24"/>
          <w:szCs w:val="24"/>
        </w:rPr>
        <w:t xml:space="preserve"> have not observed an immune response against recombinant human factor VIII in model animals. Before injection into animals the authors heated the protein to stimulate aggregation, which perhaps </w:t>
      </w:r>
      <w:r w:rsidRPr="005936B2">
        <w:rPr>
          <w:rFonts w:ascii="Book Antiqua" w:hAnsi="Book Antiqua"/>
          <w:sz w:val="24"/>
          <w:szCs w:val="24"/>
        </w:rPr>
        <w:lastRenderedPageBreak/>
        <w:t xml:space="preserve">caused its denaturing. The prevalent hypothesis, which explains the immunogenicity of the protein aggregates, is the “array” </w:t>
      </w:r>
      <w:proofErr w:type="gramStart"/>
      <w:r w:rsidRPr="005936B2">
        <w:rPr>
          <w:rFonts w:ascii="Book Antiqua" w:hAnsi="Book Antiqua"/>
          <w:sz w:val="24"/>
          <w:szCs w:val="24"/>
        </w:rPr>
        <w:t>hypothesis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188-194]</w:t>
      </w:r>
      <w:r w:rsidRPr="005936B2">
        <w:rPr>
          <w:rFonts w:ascii="Book Antiqua" w:hAnsi="Book Antiqua"/>
          <w:sz w:val="24"/>
          <w:szCs w:val="24"/>
        </w:rPr>
        <w:t>.</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The human immune system is specialized to recognize proteins that are presented in an array format, as is the case with viral capsids and bacterial cell walls.</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In fact,</w:t>
      </w:r>
      <w:r w:rsidRPr="005936B2">
        <w:rPr>
          <w:rStyle w:val="Heading1Char"/>
          <w:rFonts w:ascii="Book Antiqua" w:eastAsiaTheme="minorEastAsia" w:hAnsi="Book Antiqua"/>
          <w:sz w:val="24"/>
          <w:szCs w:val="24"/>
        </w:rPr>
        <w:t xml:space="preserve"> </w:t>
      </w:r>
      <w:r w:rsidRPr="005936B2">
        <w:rPr>
          <w:rStyle w:val="Heading1Char"/>
          <w:rFonts w:ascii="Book Antiqua" w:eastAsiaTheme="minorEastAsia" w:hAnsi="Book Antiqua"/>
          <w:b w:val="0"/>
          <w:sz w:val="24"/>
          <w:szCs w:val="24"/>
        </w:rPr>
        <w:t xml:space="preserve">aggregated proteins are arranged in similar “pathogen-like” structures and thus may be sensed by the immune system as foreign antigens. </w:t>
      </w:r>
    </w:p>
    <w:p w:rsidR="007A30DF" w:rsidRPr="005936B2" w:rsidRDefault="007A30DF" w:rsidP="007A30DF">
      <w:pPr>
        <w:spacing w:line="360" w:lineRule="auto"/>
        <w:rPr>
          <w:rFonts w:ascii="Book Antiqua" w:hAnsi="Book Antiqua"/>
          <w:b/>
          <w:bCs/>
          <w:sz w:val="24"/>
          <w:szCs w:val="24"/>
        </w:rPr>
      </w:pPr>
    </w:p>
    <w:p w:rsidR="007A30DF" w:rsidRPr="005936B2" w:rsidRDefault="007A30DF" w:rsidP="007A30DF">
      <w:pPr>
        <w:spacing w:line="360" w:lineRule="auto"/>
        <w:rPr>
          <w:rFonts w:ascii="Book Antiqua" w:hAnsi="Book Antiqua"/>
          <w:b/>
          <w:bCs/>
          <w:i/>
          <w:sz w:val="24"/>
          <w:szCs w:val="24"/>
        </w:rPr>
      </w:pPr>
      <w:r w:rsidRPr="005936B2">
        <w:rPr>
          <w:rFonts w:ascii="Book Antiqua" w:hAnsi="Book Antiqua"/>
          <w:b/>
          <w:bCs/>
          <w:i/>
          <w:sz w:val="24"/>
          <w:szCs w:val="24"/>
        </w:rPr>
        <w:t>Post-translational modifications of proteins</w:t>
      </w:r>
    </w:p>
    <w:p w:rsidR="007A30DF" w:rsidRPr="005936B2" w:rsidRDefault="007A30DF" w:rsidP="007A30DF">
      <w:pPr>
        <w:spacing w:line="360" w:lineRule="auto"/>
        <w:rPr>
          <w:rFonts w:ascii="Book Antiqua" w:hAnsi="Book Antiqua"/>
          <w:sz w:val="24"/>
          <w:szCs w:val="24"/>
        </w:rPr>
      </w:pPr>
      <w:r w:rsidRPr="005936B2">
        <w:rPr>
          <w:rFonts w:ascii="Book Antiqua" w:hAnsi="Book Antiqua"/>
          <w:sz w:val="24"/>
          <w:szCs w:val="24"/>
        </w:rPr>
        <w:t>The enzymatic glycosylation is an inborn post-translational modification of many eukaryotic proteins and</w:t>
      </w:r>
      <w:r w:rsidRPr="005936B2">
        <w:rPr>
          <w:rStyle w:val="Heading1Char"/>
          <w:rFonts w:ascii="Book Antiqua" w:eastAsiaTheme="minorEastAsia" w:hAnsi="Book Antiqua"/>
          <w:b w:val="0"/>
          <w:sz w:val="24"/>
          <w:szCs w:val="24"/>
        </w:rPr>
        <w:t xml:space="preserve"> in most cases is indispensable for their biological activity and stability.</w:t>
      </w:r>
      <w:r w:rsidRPr="005936B2">
        <w:rPr>
          <w:rStyle w:val="Heading1Char"/>
          <w:rFonts w:ascii="Book Antiqua" w:eastAsiaTheme="minorEastAsia" w:hAnsi="Book Antiqua"/>
          <w:sz w:val="24"/>
          <w:szCs w:val="24"/>
        </w:rPr>
        <w:t xml:space="preserve"> </w:t>
      </w:r>
      <w:r w:rsidRPr="005936B2">
        <w:rPr>
          <w:rStyle w:val="Heading1Char"/>
          <w:rFonts w:ascii="Book Antiqua" w:eastAsiaTheme="minorEastAsia" w:hAnsi="Book Antiqua"/>
          <w:b w:val="0"/>
          <w:sz w:val="24"/>
          <w:szCs w:val="24"/>
        </w:rPr>
        <w:t>Also,</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the lack of native polysaccharide residues may unmask potentially immunogenic epitopes</w:t>
      </w:r>
      <w:r w:rsidRPr="005936B2">
        <w:rPr>
          <w:rStyle w:val="Heading1Char"/>
          <w:rFonts w:ascii="Book Antiqua" w:eastAsiaTheme="minorEastAsia" w:hAnsi="Book Antiqua"/>
          <w:b w:val="0"/>
          <w:sz w:val="24"/>
          <w:szCs w:val="24"/>
        </w:rPr>
        <w:t xml:space="preserve"> in proteins. Increasing evidence in the last decade shows that g</w:t>
      </w:r>
      <w:r w:rsidRPr="005936B2">
        <w:rPr>
          <w:rFonts w:ascii="Book Antiqua" w:hAnsi="Book Antiqua"/>
          <w:sz w:val="24"/>
          <w:szCs w:val="24"/>
        </w:rPr>
        <w:t xml:space="preserve">lycoproteins are not a eukaryotic privilege. Competent to enzymatically glycosylate proteins are many prokaryotes including </w:t>
      </w:r>
      <w:r w:rsidRPr="005936B2">
        <w:rPr>
          <w:rFonts w:ascii="Book Antiqua" w:hAnsi="Book Antiqua"/>
          <w:i/>
          <w:sz w:val="24"/>
          <w:szCs w:val="24"/>
        </w:rPr>
        <w:t>Escherichia coli</w:t>
      </w:r>
      <w:r w:rsidRPr="005936B2">
        <w:rPr>
          <w:rFonts w:ascii="Book Antiqua" w:hAnsi="Book Antiqua"/>
          <w:sz w:val="24"/>
          <w:szCs w:val="24"/>
        </w:rPr>
        <w:t xml:space="preserve"> – the “workhorse” of the current </w:t>
      </w:r>
      <w:proofErr w:type="gramStart"/>
      <w:r w:rsidRPr="005936B2">
        <w:rPr>
          <w:rFonts w:ascii="Book Antiqua" w:hAnsi="Book Antiqua"/>
          <w:sz w:val="24"/>
          <w:szCs w:val="24"/>
        </w:rPr>
        <w:t>biotechnology</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195-198]</w:t>
      </w:r>
      <w:r w:rsidRPr="005936B2">
        <w:rPr>
          <w:rFonts w:ascii="Book Antiqua" w:hAnsi="Book Antiqua"/>
          <w:sz w:val="24"/>
          <w:szCs w:val="24"/>
        </w:rPr>
        <w:t>. Prokaryotic glycosylation, however, differs significantly from that in eukaryotes.</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Therefore, it is preferable that naturally glycosylated human proteins are produced in eukaryotic cell lines.</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 xml:space="preserve">On the other hand, glycosylation in eukaryotes is species and cell </w:t>
      </w:r>
      <w:proofErr w:type="gramStart"/>
      <w:r w:rsidRPr="005936B2">
        <w:rPr>
          <w:rFonts w:ascii="Book Antiqua" w:hAnsi="Book Antiqua"/>
          <w:sz w:val="24"/>
          <w:szCs w:val="24"/>
        </w:rPr>
        <w:t>specific</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199]</w:t>
      </w:r>
      <w:r w:rsidRPr="005936B2">
        <w:rPr>
          <w:rFonts w:ascii="Book Antiqua" w:hAnsi="Book Antiqua"/>
          <w:sz w:val="24"/>
          <w:szCs w:val="24"/>
        </w:rPr>
        <w:t>. Polysaccharides may vary in composition, chain length, binding sites on proteins and points of chain branching.</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 xml:space="preserve">This means that for the production of human proteins with preserved glycosylation pattern appropriate host cells have to be selected performing identical or similar glycosylation to that of the natural </w:t>
      </w:r>
      <w:proofErr w:type="gramStart"/>
      <w:r w:rsidRPr="005936B2">
        <w:rPr>
          <w:rFonts w:ascii="Book Antiqua" w:hAnsi="Book Antiqua"/>
          <w:sz w:val="24"/>
          <w:szCs w:val="24"/>
        </w:rPr>
        <w:t>proteins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200]</w:t>
      </w:r>
      <w:r w:rsidRPr="005936B2">
        <w:rPr>
          <w:rFonts w:ascii="Book Antiqua" w:hAnsi="Book Antiqua"/>
          <w:sz w:val="24"/>
          <w:szCs w:val="24"/>
        </w:rPr>
        <w:t xml:space="preserve"> .  </w:t>
      </w:r>
    </w:p>
    <w:p w:rsidR="007A30DF" w:rsidRPr="005936B2" w:rsidRDefault="007A30DF" w:rsidP="004C70F6">
      <w:pPr>
        <w:spacing w:line="360" w:lineRule="auto"/>
        <w:ind w:firstLineChars="150" w:firstLine="360"/>
        <w:rPr>
          <w:rFonts w:ascii="Book Antiqua" w:hAnsi="Book Antiqua"/>
          <w:b/>
          <w:bCs/>
          <w:sz w:val="24"/>
          <w:szCs w:val="24"/>
        </w:rPr>
      </w:pPr>
      <w:r w:rsidRPr="005936B2">
        <w:rPr>
          <w:rFonts w:ascii="Book Antiqua" w:hAnsi="Book Antiqua"/>
          <w:sz w:val="24"/>
          <w:szCs w:val="24"/>
        </w:rPr>
        <w:t xml:space="preserve">While native glycosylation of human therapeutic proteins is desirable, other non-enzymatic post-translational modifications should be </w:t>
      </w:r>
      <w:proofErr w:type="gramStart"/>
      <w:r w:rsidRPr="005936B2">
        <w:rPr>
          <w:rFonts w:ascii="Book Antiqua" w:hAnsi="Book Antiqua"/>
          <w:sz w:val="24"/>
          <w:szCs w:val="24"/>
        </w:rPr>
        <w:t>avoided</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201]</w:t>
      </w:r>
      <w:r w:rsidRPr="005936B2">
        <w:rPr>
          <w:rFonts w:ascii="Book Antiqua" w:hAnsi="Book Antiqua"/>
          <w:sz w:val="24"/>
          <w:szCs w:val="24"/>
        </w:rPr>
        <w:t>. Spontaneous oxidation and deamination, sometimes followed by isomerization, are major causes of proteolysis during protein isolation, purification and storage.</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 xml:space="preserve">Deamination affects mainly asparagine residues and leads to their conversion into aspartate or iso-aspartate </w:t>
      </w:r>
      <w:proofErr w:type="gramStart"/>
      <w:r w:rsidRPr="005936B2">
        <w:rPr>
          <w:rFonts w:ascii="Book Antiqua" w:hAnsi="Book Antiqua"/>
          <w:sz w:val="24"/>
          <w:szCs w:val="24"/>
        </w:rPr>
        <w:t>residues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202,203]</w:t>
      </w:r>
      <w:r w:rsidRPr="005936B2">
        <w:rPr>
          <w:rFonts w:ascii="Book Antiqua" w:hAnsi="Book Antiqua"/>
          <w:sz w:val="24"/>
          <w:szCs w:val="24"/>
        </w:rPr>
        <w:t>.</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t>Glutamine in proteins may undergo similar spontaneous deamination to glutamate. Studies with oxidized and non-oxidized forms of IFN</w:t>
      </w:r>
      <w:r w:rsidRPr="005936B2">
        <w:rPr>
          <w:rFonts w:ascii="Book Antiqua" w:hAnsi="Book Antiqua"/>
          <w:sz w:val="24"/>
          <w:szCs w:val="24"/>
        </w:rPr>
        <w:sym w:font="Symbol" w:char="F062"/>
      </w:r>
      <w:r w:rsidRPr="005936B2">
        <w:rPr>
          <w:rFonts w:ascii="Book Antiqua" w:hAnsi="Book Antiqua"/>
          <w:sz w:val="24"/>
          <w:szCs w:val="24"/>
        </w:rPr>
        <w:t xml:space="preserve"> have shown that oxidized protein species are significantly more </w:t>
      </w:r>
      <w:proofErr w:type="gramStart"/>
      <w:r w:rsidRPr="005936B2">
        <w:rPr>
          <w:rFonts w:ascii="Book Antiqua" w:hAnsi="Book Antiqua"/>
          <w:sz w:val="24"/>
          <w:szCs w:val="24"/>
        </w:rPr>
        <w:t>immunogenic</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204]</w:t>
      </w:r>
      <w:r w:rsidRPr="005936B2">
        <w:rPr>
          <w:rFonts w:ascii="Book Antiqua" w:hAnsi="Book Antiqua"/>
          <w:sz w:val="24"/>
          <w:szCs w:val="24"/>
        </w:rPr>
        <w:t>. The oxidation may lead to covalent aggregation of therapeutic proteins through the formation of cysteine and/or tyrosine covalent cross-</w:t>
      </w:r>
      <w:proofErr w:type="gramStart"/>
      <w:r w:rsidRPr="005936B2">
        <w:rPr>
          <w:rFonts w:ascii="Book Antiqua" w:hAnsi="Book Antiqua"/>
          <w:sz w:val="24"/>
          <w:szCs w:val="24"/>
        </w:rPr>
        <w:t>links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54,205]</w:t>
      </w:r>
      <w:r w:rsidRPr="005936B2">
        <w:rPr>
          <w:rFonts w:ascii="Book Antiqua" w:hAnsi="Book Antiqua"/>
          <w:sz w:val="24"/>
          <w:szCs w:val="24"/>
        </w:rPr>
        <w:t>.</w:t>
      </w:r>
      <w:r w:rsidRPr="005936B2">
        <w:rPr>
          <w:rStyle w:val="Heading1Char"/>
          <w:rFonts w:ascii="Book Antiqua" w:eastAsiaTheme="minorEastAsia" w:hAnsi="Book Antiqua"/>
          <w:sz w:val="24"/>
          <w:szCs w:val="24"/>
        </w:rPr>
        <w:t xml:space="preserve"> </w:t>
      </w:r>
      <w:r w:rsidRPr="005936B2">
        <w:rPr>
          <w:rFonts w:ascii="Book Antiqua" w:hAnsi="Book Antiqua"/>
          <w:sz w:val="24"/>
          <w:szCs w:val="24"/>
        </w:rPr>
        <w:lastRenderedPageBreak/>
        <w:t>This is the reason why functionally unimportant Cys residues in therapeutic proteins are often replaced by alternative amino acids.</w:t>
      </w:r>
      <w:r w:rsidRPr="005936B2">
        <w:rPr>
          <w:rStyle w:val="Heading1Char"/>
          <w:rFonts w:ascii="Book Antiqua" w:eastAsiaTheme="minorEastAsia" w:hAnsi="Book Antiqua"/>
          <w:sz w:val="24"/>
          <w:szCs w:val="24"/>
        </w:rPr>
        <w:t xml:space="preserve"> </w:t>
      </w:r>
      <w:r w:rsidRPr="005936B2">
        <w:rPr>
          <w:rStyle w:val="Heading1Char"/>
          <w:rFonts w:ascii="Book Antiqua" w:eastAsiaTheme="minorEastAsia" w:hAnsi="Book Antiqua"/>
          <w:b w:val="0"/>
          <w:sz w:val="24"/>
          <w:szCs w:val="24"/>
        </w:rPr>
        <w:t>To our knowledge, no one has tried so far to reduce covalent cross-linking of therapeutic proteins through replacement of Tyr residues.</w:t>
      </w:r>
      <w:r w:rsidRPr="005936B2">
        <w:rPr>
          <w:rStyle w:val="Heading1Char"/>
          <w:rFonts w:ascii="Book Antiqua" w:eastAsiaTheme="minorEastAsia" w:hAnsi="Book Antiqua"/>
          <w:sz w:val="24"/>
          <w:szCs w:val="24"/>
        </w:rPr>
        <w:t xml:space="preserve"> </w:t>
      </w:r>
      <w:r w:rsidRPr="005936B2">
        <w:rPr>
          <w:rStyle w:val="Heading1Char"/>
          <w:rFonts w:ascii="Book Antiqua" w:eastAsiaTheme="minorEastAsia" w:hAnsi="Book Antiqua"/>
          <w:b w:val="0"/>
          <w:sz w:val="24"/>
          <w:szCs w:val="24"/>
        </w:rPr>
        <w:t>Last but not least, the leitmotif of the current review, the Maillard reaction, is another non-enzymatic post-translational modification of proteins, which contribution to the immunogenicity of protein drugs will be discussed in detail below</w:t>
      </w:r>
      <w:r w:rsidRPr="005936B2">
        <w:rPr>
          <w:rStyle w:val="Heading1Char"/>
          <w:rFonts w:ascii="Book Antiqua" w:eastAsiaTheme="minorEastAsia" w:hAnsi="Book Antiqua"/>
          <w:sz w:val="24"/>
          <w:szCs w:val="24"/>
        </w:rPr>
        <w:t xml:space="preserve">. </w:t>
      </w:r>
    </w:p>
    <w:p w:rsidR="007A30DF" w:rsidRPr="005936B2" w:rsidRDefault="007A30DF" w:rsidP="007A30DF">
      <w:pPr>
        <w:spacing w:line="360" w:lineRule="auto"/>
        <w:rPr>
          <w:rFonts w:ascii="Book Antiqua" w:hAnsi="Book Antiqua"/>
          <w:b/>
          <w:bCs/>
          <w:sz w:val="24"/>
          <w:szCs w:val="24"/>
        </w:rPr>
      </w:pPr>
    </w:p>
    <w:p w:rsidR="007A30DF" w:rsidRPr="005936B2" w:rsidRDefault="007A30DF" w:rsidP="007A30DF">
      <w:pPr>
        <w:spacing w:line="360" w:lineRule="auto"/>
        <w:rPr>
          <w:rFonts w:ascii="Book Antiqua" w:hAnsi="Book Antiqua"/>
          <w:b/>
          <w:bCs/>
          <w:sz w:val="24"/>
          <w:szCs w:val="24"/>
        </w:rPr>
      </w:pPr>
      <w:r w:rsidRPr="005936B2">
        <w:rPr>
          <w:rFonts w:ascii="Book Antiqua" w:hAnsi="Book Antiqua"/>
          <w:b/>
          <w:bCs/>
          <w:sz w:val="24"/>
          <w:szCs w:val="24"/>
        </w:rPr>
        <w:t>OUR FOCUS ON THE LINK BETWEEN THE MAILLARD REACTION AND THE IMMUNOGENICITY OF PROTEIN THERAPEUTICS</w:t>
      </w:r>
    </w:p>
    <w:p w:rsidR="007A30DF" w:rsidRPr="005936B2" w:rsidRDefault="007A30DF" w:rsidP="007A30DF">
      <w:pPr>
        <w:spacing w:line="360" w:lineRule="auto"/>
        <w:rPr>
          <w:rFonts w:ascii="Book Antiqua" w:hAnsi="Book Antiqua"/>
          <w:sz w:val="24"/>
          <w:szCs w:val="24"/>
        </w:rPr>
      </w:pPr>
      <w:r w:rsidRPr="005936B2">
        <w:rPr>
          <w:rFonts w:ascii="Book Antiqua" w:hAnsi="Book Antiqua"/>
          <w:sz w:val="24"/>
          <w:szCs w:val="24"/>
        </w:rPr>
        <w:t>We entered the Maillard reaction field nearly 15 years ago when searching a reasonable explanation of the unexpected behavior of a cysteine-less variant of human interferon-gamma (hIFN</w:t>
      </w:r>
      <w:r w:rsidRPr="005936B2">
        <w:rPr>
          <w:rFonts w:ascii="Book Antiqua" w:hAnsi="Book Antiqua"/>
          <w:sz w:val="24"/>
          <w:szCs w:val="24"/>
        </w:rPr>
        <w:sym w:font="Symbol" w:char="F067"/>
      </w:r>
      <w:r w:rsidRPr="005936B2">
        <w:rPr>
          <w:rFonts w:ascii="Book Antiqua" w:hAnsi="Book Antiqua"/>
          <w:sz w:val="24"/>
          <w:szCs w:val="24"/>
        </w:rPr>
        <w:t xml:space="preserve">) expressed in </w:t>
      </w:r>
      <w:r w:rsidRPr="005936B2">
        <w:rPr>
          <w:rFonts w:ascii="Book Antiqua" w:hAnsi="Book Antiqua"/>
          <w:i/>
          <w:sz w:val="24"/>
          <w:szCs w:val="24"/>
        </w:rPr>
        <w:t>E. coli</w:t>
      </w:r>
      <w:r w:rsidRPr="005936B2">
        <w:rPr>
          <w:rFonts w:ascii="Book Antiqua" w:hAnsi="Book Antiqua"/>
          <w:sz w:val="24"/>
          <w:szCs w:val="24"/>
        </w:rPr>
        <w:t>. Despite the lack of Cys residues, the protein underwent progressive covalent dimerization during storage under anaerobic conditions, which excluded oxidation (</w:t>
      </w:r>
      <w:r w:rsidRPr="005936B2">
        <w:rPr>
          <w:rFonts w:ascii="Book Antiqua" w:hAnsi="Book Antiqua"/>
          <w:i/>
          <w:sz w:val="24"/>
          <w:szCs w:val="24"/>
        </w:rPr>
        <w:t>i.e.</w:t>
      </w:r>
      <w:r w:rsidRPr="005936B2">
        <w:rPr>
          <w:rFonts w:ascii="Book Antiqua" w:eastAsia="宋体" w:hAnsi="Book Antiqua"/>
          <w:i/>
          <w:sz w:val="24"/>
          <w:szCs w:val="24"/>
        </w:rPr>
        <w:t>,</w:t>
      </w:r>
      <w:r w:rsidRPr="005936B2">
        <w:rPr>
          <w:rFonts w:ascii="Book Antiqua" w:hAnsi="Book Antiqua"/>
          <w:sz w:val="24"/>
          <w:szCs w:val="24"/>
        </w:rPr>
        <w:t xml:space="preserve"> formation of disulfide bridges and tyrosine dimers) as a cause of the observed phenomenon (Figure 6). Brief literature survey led us to suppose that the Maillard reaction may provide a rational explanation of hIFN</w:t>
      </w:r>
      <w:r w:rsidRPr="005936B2">
        <w:rPr>
          <w:rFonts w:ascii="Book Antiqua" w:hAnsi="Book Antiqua"/>
          <w:sz w:val="24"/>
          <w:szCs w:val="24"/>
        </w:rPr>
        <w:sym w:font="Symbol" w:char="F067"/>
      </w:r>
      <w:r w:rsidRPr="005936B2">
        <w:rPr>
          <w:rFonts w:ascii="Book Antiqua" w:eastAsia="宋体" w:hAnsi="Book Antiqua"/>
          <w:sz w:val="24"/>
          <w:szCs w:val="24"/>
        </w:rPr>
        <w:t xml:space="preserve"> </w:t>
      </w:r>
      <w:r w:rsidRPr="005936B2">
        <w:rPr>
          <w:rFonts w:ascii="Book Antiqua" w:hAnsi="Book Antiqua"/>
          <w:sz w:val="24"/>
          <w:szCs w:val="24"/>
        </w:rPr>
        <w:t xml:space="preserve">covalent dimerization and proteolysis. At that time, however, it was not yet clear whether the Maillard reaction may occur in prokaryotes because of their short life span and intense protein turnover. We undertook relevant investigations in this direction and found that both endogenous and recombinant </w:t>
      </w:r>
      <w:proofErr w:type="gramStart"/>
      <w:r w:rsidRPr="005936B2">
        <w:rPr>
          <w:rFonts w:ascii="Book Antiqua" w:hAnsi="Book Antiqua"/>
          <w:sz w:val="24"/>
          <w:szCs w:val="24"/>
        </w:rPr>
        <w:t>proteins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73,206]</w:t>
      </w:r>
      <w:r w:rsidRPr="005936B2">
        <w:rPr>
          <w:rFonts w:ascii="Book Antiqua" w:hAnsi="Book Antiqua"/>
          <w:sz w:val="24"/>
          <w:szCs w:val="24"/>
        </w:rPr>
        <w:t xml:space="preserve"> as well as chromosomal DNA</w:t>
      </w:r>
      <w:r w:rsidRPr="005936B2">
        <w:rPr>
          <w:rFonts w:ascii="Book Antiqua" w:hAnsi="Book Antiqua"/>
          <w:sz w:val="24"/>
          <w:szCs w:val="24"/>
          <w:vertAlign w:val="superscript"/>
        </w:rPr>
        <w:t>[207]</w:t>
      </w:r>
      <w:r w:rsidRPr="005936B2">
        <w:rPr>
          <w:rFonts w:ascii="Book Antiqua" w:hAnsi="Book Antiqua"/>
          <w:sz w:val="24"/>
          <w:szCs w:val="24"/>
        </w:rPr>
        <w:t xml:space="preserve"> of </w:t>
      </w:r>
      <w:r w:rsidRPr="005936B2">
        <w:rPr>
          <w:rFonts w:ascii="Book Antiqua" w:hAnsi="Book Antiqua"/>
          <w:i/>
          <w:sz w:val="24"/>
          <w:szCs w:val="24"/>
        </w:rPr>
        <w:t>E. coli</w:t>
      </w:r>
      <w:r w:rsidRPr="005936B2">
        <w:rPr>
          <w:rFonts w:ascii="Book Antiqua" w:hAnsi="Book Antiqua"/>
          <w:sz w:val="24"/>
          <w:szCs w:val="24"/>
        </w:rPr>
        <w:t xml:space="preserve"> are involved in glycation under normal physiological conditions. The short life span of </w:t>
      </w:r>
      <w:r w:rsidRPr="005936B2">
        <w:rPr>
          <w:rFonts w:ascii="Book Antiqua" w:hAnsi="Book Antiqua"/>
          <w:i/>
          <w:sz w:val="24"/>
          <w:szCs w:val="24"/>
        </w:rPr>
        <w:t>E. coli</w:t>
      </w:r>
      <w:r w:rsidRPr="005936B2">
        <w:rPr>
          <w:rFonts w:ascii="Book Antiqua" w:hAnsi="Book Antiqua"/>
          <w:sz w:val="24"/>
          <w:szCs w:val="24"/>
        </w:rPr>
        <w:t xml:space="preserve"> does not disagree with these observations. During batch fermentation of </w:t>
      </w:r>
      <w:r w:rsidRPr="005936B2">
        <w:rPr>
          <w:rFonts w:ascii="Book Antiqua" w:hAnsi="Book Antiqua"/>
          <w:i/>
          <w:sz w:val="24"/>
          <w:szCs w:val="24"/>
        </w:rPr>
        <w:t>E coli</w:t>
      </w:r>
      <w:r w:rsidRPr="005936B2">
        <w:rPr>
          <w:rFonts w:ascii="Book Antiqua" w:hAnsi="Book Antiqua"/>
          <w:sz w:val="24"/>
          <w:szCs w:val="24"/>
        </w:rPr>
        <w:t xml:space="preserve"> a generation time of </w:t>
      </w:r>
      <w:r w:rsidRPr="005936B2">
        <w:rPr>
          <w:rFonts w:ascii="Book Antiqua" w:hAnsi="Book Antiqua"/>
          <w:i/>
          <w:sz w:val="24"/>
          <w:szCs w:val="24"/>
        </w:rPr>
        <w:t>ca.</w:t>
      </w:r>
      <w:r w:rsidRPr="005936B2">
        <w:rPr>
          <w:rFonts w:ascii="Book Antiqua" w:hAnsi="Book Antiqua"/>
          <w:sz w:val="24"/>
          <w:szCs w:val="24"/>
        </w:rPr>
        <w:t xml:space="preserve"> 20 min and a few divisions are sufficient for the Maillard reaction to take off through the formation of Schiff bases in proteins. Then, the whole Maillard cascade of chemical transformations resulting in AGEs formation may happen </w:t>
      </w:r>
      <w:r w:rsidRPr="005936B2">
        <w:rPr>
          <w:rFonts w:ascii="Book Antiqua" w:hAnsi="Book Antiqua"/>
          <w:i/>
          <w:sz w:val="24"/>
          <w:szCs w:val="24"/>
        </w:rPr>
        <w:t>in vitro</w:t>
      </w:r>
      <w:r w:rsidRPr="005936B2">
        <w:rPr>
          <w:rFonts w:ascii="Book Antiqua" w:hAnsi="Book Antiqua"/>
          <w:sz w:val="24"/>
          <w:szCs w:val="24"/>
        </w:rPr>
        <w:t xml:space="preserve"> during protein isolation, purification, formulation and storage. We indeed found that freshly isolated hIFN</w:t>
      </w:r>
      <w:r w:rsidRPr="005936B2">
        <w:rPr>
          <w:rFonts w:ascii="Book Antiqua" w:hAnsi="Book Antiqua"/>
          <w:sz w:val="24"/>
          <w:szCs w:val="24"/>
        </w:rPr>
        <w:sym w:font="Symbol" w:char="F067"/>
      </w:r>
      <w:r w:rsidRPr="005936B2">
        <w:rPr>
          <w:rFonts w:ascii="Book Antiqua" w:eastAsia="宋体" w:hAnsi="Book Antiqua"/>
          <w:sz w:val="24"/>
          <w:szCs w:val="24"/>
        </w:rPr>
        <w:t xml:space="preserve"> </w:t>
      </w:r>
      <w:r w:rsidRPr="005936B2">
        <w:rPr>
          <w:rFonts w:ascii="Book Antiqua" w:hAnsi="Book Antiqua"/>
          <w:sz w:val="24"/>
          <w:szCs w:val="24"/>
        </w:rPr>
        <w:t xml:space="preserve">contains Amadri products but not AGEs, which accumulated in the protein over time accompanied by covalent aggregation, proteolysis and loss of biological </w:t>
      </w:r>
      <w:proofErr w:type="gramStart"/>
      <w:r w:rsidRPr="005936B2">
        <w:rPr>
          <w:rFonts w:ascii="Book Antiqua" w:hAnsi="Book Antiqua"/>
          <w:sz w:val="24"/>
          <w:szCs w:val="24"/>
        </w:rPr>
        <w:t>activity</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73,208]</w:t>
      </w:r>
      <w:r w:rsidRPr="005936B2">
        <w:rPr>
          <w:rFonts w:ascii="Book Antiqua" w:hAnsi="Book Antiqua"/>
          <w:sz w:val="24"/>
          <w:szCs w:val="24"/>
        </w:rPr>
        <w:t xml:space="preserve">. Interferons are basic proteins rich in lysine and arginine residues and because of that susceptible to glycation. On the other hand, human </w:t>
      </w:r>
      <w:r w:rsidRPr="005936B2">
        <w:rPr>
          <w:rFonts w:ascii="Book Antiqua" w:hAnsi="Book Antiqua"/>
          <w:sz w:val="24"/>
          <w:szCs w:val="24"/>
        </w:rPr>
        <w:lastRenderedPageBreak/>
        <w:t>interferons Type I (</w:t>
      </w:r>
      <w:r w:rsidRPr="005936B2">
        <w:rPr>
          <w:rFonts w:ascii="Book Antiqua" w:hAnsi="Book Antiqua"/>
          <w:sz w:val="24"/>
          <w:szCs w:val="24"/>
        </w:rPr>
        <w:sym w:font="Symbol" w:char="F061"/>
      </w:r>
      <w:r w:rsidRPr="005936B2">
        <w:rPr>
          <w:rFonts w:ascii="Book Antiqua" w:hAnsi="Book Antiqua"/>
          <w:sz w:val="24"/>
          <w:szCs w:val="24"/>
        </w:rPr>
        <w:t xml:space="preserve"> and </w:t>
      </w:r>
      <w:r w:rsidRPr="005936B2">
        <w:rPr>
          <w:rFonts w:ascii="Book Antiqua" w:hAnsi="Book Antiqua"/>
          <w:sz w:val="24"/>
          <w:szCs w:val="24"/>
        </w:rPr>
        <w:t xml:space="preserve">) are the active ingredients of a number of pharmaceuticals used today for treatment of various cancers, autoimmune and viral diseases. For this reason we decided to analyze interferon-based pharmaceuticals for the presence of AGEs.  </w:t>
      </w:r>
    </w:p>
    <w:p w:rsidR="007A30DF" w:rsidRPr="005936B2" w:rsidRDefault="007A30DF" w:rsidP="007A30DF">
      <w:pPr>
        <w:spacing w:line="360" w:lineRule="auto"/>
        <w:rPr>
          <w:rFonts w:ascii="Book Antiqua" w:hAnsi="Book Antiqua"/>
          <w:sz w:val="24"/>
          <w:szCs w:val="24"/>
        </w:rPr>
      </w:pPr>
    </w:p>
    <w:p w:rsidR="007A30DF" w:rsidRPr="005936B2" w:rsidRDefault="007A30DF" w:rsidP="007A30DF">
      <w:pPr>
        <w:spacing w:line="360" w:lineRule="auto"/>
        <w:rPr>
          <w:rFonts w:ascii="Book Antiqua" w:hAnsi="Book Antiqua"/>
          <w:b/>
          <w:i/>
          <w:sz w:val="24"/>
          <w:szCs w:val="24"/>
        </w:rPr>
      </w:pPr>
      <w:r w:rsidRPr="005936B2">
        <w:rPr>
          <w:rFonts w:ascii="Book Antiqua" w:hAnsi="Book Antiqua"/>
          <w:b/>
          <w:i/>
          <w:sz w:val="24"/>
          <w:szCs w:val="24"/>
        </w:rPr>
        <w:t>AGEs in interferon pharmaceuticals</w:t>
      </w:r>
    </w:p>
    <w:p w:rsidR="007A30DF" w:rsidRPr="005936B2" w:rsidRDefault="007A30DF" w:rsidP="007A30DF">
      <w:pPr>
        <w:spacing w:line="360" w:lineRule="auto"/>
        <w:rPr>
          <w:rFonts w:ascii="Book Antiqua" w:hAnsi="Book Antiqua"/>
          <w:sz w:val="24"/>
          <w:szCs w:val="24"/>
        </w:rPr>
      </w:pPr>
      <w:r w:rsidRPr="005936B2">
        <w:rPr>
          <w:rFonts w:ascii="Book Antiqua" w:hAnsi="Book Antiqua"/>
          <w:sz w:val="24"/>
          <w:szCs w:val="24"/>
        </w:rPr>
        <w:t xml:space="preserve">Type I interferon pharmaceuticals manufactured by different companies worldwide were tested: </w:t>
      </w:r>
      <w:r w:rsidRPr="005936B2">
        <w:rPr>
          <w:rFonts w:ascii="Book Antiqua" w:hAnsi="Book Antiqua"/>
          <w:i/>
          <w:sz w:val="24"/>
          <w:szCs w:val="24"/>
        </w:rPr>
        <w:t>E. coli</w:t>
      </w:r>
      <w:r w:rsidRPr="005936B2">
        <w:rPr>
          <w:rFonts w:ascii="Book Antiqua" w:hAnsi="Book Antiqua"/>
          <w:sz w:val="24"/>
          <w:szCs w:val="24"/>
        </w:rPr>
        <w:t>-derived hIFN</w:t>
      </w:r>
      <w:r w:rsidRPr="005936B2">
        <w:rPr>
          <w:rFonts w:ascii="Book Antiqua" w:hAnsi="Book Antiqua"/>
          <w:sz w:val="24"/>
          <w:szCs w:val="24"/>
        </w:rPr>
        <w:t>-2b (Intron-A, Schering-Plough Corp., Kenilworth, NJ, USA), natural (lymphoblast) nhIFN</w:t>
      </w:r>
      <w:r w:rsidRPr="005936B2">
        <w:rPr>
          <w:rFonts w:ascii="Book Antiqua" w:hAnsi="Book Antiqua"/>
          <w:sz w:val="24"/>
          <w:szCs w:val="24"/>
        </w:rPr>
        <w:t> (IFN</w:t>
      </w:r>
      <w:r w:rsidRPr="005936B2">
        <w:rPr>
          <w:rFonts w:ascii="Book Antiqua" w:hAnsi="Book Antiqua"/>
          <w:sz w:val="24"/>
          <w:szCs w:val="24"/>
        </w:rPr>
        <w:t xml:space="preserve"> MOCHIDA1000, Mochida Pharmaceutical Co., Ltd, Tokyo, Japan), </w:t>
      </w:r>
      <w:r w:rsidRPr="005936B2">
        <w:rPr>
          <w:rFonts w:ascii="Book Antiqua" w:hAnsi="Book Antiqua"/>
          <w:i/>
          <w:sz w:val="24"/>
          <w:szCs w:val="24"/>
        </w:rPr>
        <w:t>E. coli</w:t>
      </w:r>
      <w:r w:rsidRPr="005936B2">
        <w:rPr>
          <w:rFonts w:ascii="Book Antiqua" w:hAnsi="Book Antiqua"/>
          <w:sz w:val="24"/>
          <w:szCs w:val="24"/>
        </w:rPr>
        <w:t>-derived hIFN</w:t>
      </w:r>
      <w:r w:rsidRPr="005936B2">
        <w:rPr>
          <w:rFonts w:ascii="Book Antiqua" w:hAnsi="Book Antiqua"/>
          <w:sz w:val="24"/>
          <w:szCs w:val="24"/>
        </w:rPr>
        <w:t>-con1 (Advaferon-1800, Yamanouchi Pharmaceutical Co., Ltd., Tokyo, Japan), natural (fibroblast) nhIFN</w:t>
      </w:r>
      <w:r w:rsidRPr="005936B2">
        <w:rPr>
          <w:rFonts w:ascii="Book Antiqua" w:hAnsi="Book Antiqua"/>
          <w:sz w:val="24"/>
          <w:szCs w:val="24"/>
        </w:rPr>
        <w:t> (IFN</w:t>
      </w:r>
      <w:r w:rsidRPr="005936B2">
        <w:rPr>
          <w:rFonts w:ascii="Book Antiqua" w:hAnsi="Book Antiqua"/>
          <w:sz w:val="24"/>
          <w:szCs w:val="24"/>
        </w:rPr>
        <w:t xml:space="preserve"> MOCHIDA600, Mochida Pharamceutical Co., Ltd, Tokyo, Japan), </w:t>
      </w:r>
      <w:r w:rsidRPr="005936B2">
        <w:rPr>
          <w:rFonts w:ascii="Book Antiqua" w:hAnsi="Book Antiqua"/>
          <w:i/>
          <w:sz w:val="24"/>
          <w:szCs w:val="24"/>
        </w:rPr>
        <w:t>E. coli</w:t>
      </w:r>
      <w:r w:rsidRPr="005936B2">
        <w:rPr>
          <w:rFonts w:ascii="Book Antiqua" w:hAnsi="Book Antiqua"/>
          <w:sz w:val="24"/>
          <w:szCs w:val="24"/>
        </w:rPr>
        <w:t>-derived  hIFN</w:t>
      </w:r>
      <w:r w:rsidRPr="005936B2">
        <w:rPr>
          <w:rFonts w:ascii="Book Antiqua" w:hAnsi="Book Antiqua"/>
          <w:sz w:val="24"/>
          <w:szCs w:val="24"/>
        </w:rPr>
        <w:t>-1b (Betaferon, Schering AG, Berlin, Germany), CHO-derived IFN</w:t>
      </w:r>
      <w:r w:rsidRPr="005936B2">
        <w:rPr>
          <w:rFonts w:ascii="Book Antiqua" w:hAnsi="Book Antiqua"/>
          <w:sz w:val="24"/>
          <w:szCs w:val="24"/>
        </w:rPr>
        <w:t xml:space="preserve">-1a (Rebif 44 </w:t>
      </w:r>
      <w:r w:rsidRPr="005936B2">
        <w:rPr>
          <w:rFonts w:ascii="Book Antiqua" w:hAnsi="Book Antiqua"/>
          <w:sz w:val="24"/>
          <w:szCs w:val="24"/>
        </w:rPr>
        <w:t>g, New Formulation, Merck Serono, Bari, Italy), and CHO-derived IFN</w:t>
      </w:r>
      <w:r w:rsidRPr="005936B2">
        <w:rPr>
          <w:rFonts w:ascii="Book Antiqua" w:hAnsi="Book Antiqua"/>
          <w:sz w:val="24"/>
          <w:szCs w:val="24"/>
        </w:rPr>
        <w:t xml:space="preserve">-1a (Avonex 30 </w:t>
      </w:r>
      <w:r w:rsidRPr="005936B2">
        <w:rPr>
          <w:rFonts w:ascii="Book Antiqua" w:hAnsi="Book Antiqua"/>
          <w:sz w:val="24"/>
          <w:szCs w:val="24"/>
        </w:rPr>
        <w:t>g, Biogen Idec Inc., Weston, MA,</w:t>
      </w:r>
      <w:r w:rsidRPr="005936B2">
        <w:rPr>
          <w:rFonts w:ascii="Book Antiqua" w:eastAsia="宋体" w:hAnsi="Book Antiqua"/>
          <w:sz w:val="24"/>
          <w:szCs w:val="24"/>
        </w:rPr>
        <w:t xml:space="preserve"> </w:t>
      </w:r>
      <w:r w:rsidRPr="005936B2">
        <w:rPr>
          <w:rFonts w:ascii="Book Antiqua" w:hAnsi="Book Antiqua"/>
          <w:sz w:val="24"/>
          <w:szCs w:val="24"/>
        </w:rPr>
        <w:t>United States). All pharmaceuticals except Adaferon</w:t>
      </w:r>
      <w:r w:rsidRPr="005936B2">
        <w:rPr>
          <w:rFonts w:ascii="Book Antiqua" w:hAnsi="Book Antiqua"/>
          <w:sz w:val="24"/>
          <w:szCs w:val="24"/>
          <w:vertAlign w:val="superscript"/>
        </w:rPr>
        <w:t xml:space="preserve"> </w:t>
      </w:r>
      <w:r w:rsidRPr="005936B2">
        <w:rPr>
          <w:rFonts w:ascii="Book Antiqua" w:hAnsi="Book Antiqua"/>
          <w:sz w:val="24"/>
          <w:szCs w:val="24"/>
        </w:rPr>
        <w:t>and Rebif were powders containing HSA as a stabilizer while Advaferon and Rebif were liquid formulations without protein excipients. We tested all drugs for AGEs by ELISA using two monoclonal antibodies specific for CML and 3DG-derived imidazolone (Figure 7). Lymphoblast IFN</w:t>
      </w:r>
      <w:r w:rsidRPr="005936B2">
        <w:rPr>
          <w:rFonts w:ascii="Book Antiqua" w:hAnsi="Book Antiqua"/>
          <w:sz w:val="24"/>
          <w:szCs w:val="24"/>
        </w:rPr>
        <w:sym w:font="Symbol" w:char="F061"/>
      </w:r>
      <w:r w:rsidRPr="005936B2">
        <w:rPr>
          <w:rFonts w:ascii="Book Antiqua" w:hAnsi="Book Antiqua"/>
          <w:sz w:val="24"/>
          <w:szCs w:val="24"/>
        </w:rPr>
        <w:sym w:font="Symbol" w:char="F020"/>
      </w:r>
      <w:r w:rsidRPr="005936B2">
        <w:rPr>
          <w:rFonts w:ascii="Book Antiqua" w:hAnsi="Book Antiqua"/>
          <w:sz w:val="24"/>
          <w:szCs w:val="24"/>
        </w:rPr>
        <w:t>MOCHIDA was negative for both CML and 3DG-imidazolone, whereas the content of both AGEs in fibroblast IFN</w:t>
      </w:r>
      <w:r w:rsidRPr="005936B2">
        <w:rPr>
          <w:rFonts w:ascii="Book Antiqua" w:hAnsi="Book Antiqua"/>
          <w:sz w:val="24"/>
          <w:szCs w:val="24"/>
        </w:rPr>
        <w:t xml:space="preserve"> MOCHIDA was higher than that in the </w:t>
      </w:r>
      <w:r w:rsidRPr="005936B2">
        <w:rPr>
          <w:rFonts w:ascii="Book Antiqua" w:hAnsi="Book Antiqua"/>
          <w:i/>
          <w:sz w:val="24"/>
          <w:szCs w:val="24"/>
        </w:rPr>
        <w:t>E-coli</w:t>
      </w:r>
      <w:r w:rsidRPr="005936B2">
        <w:rPr>
          <w:rFonts w:ascii="Book Antiqua" w:hAnsi="Book Antiqua"/>
          <w:sz w:val="24"/>
          <w:szCs w:val="24"/>
        </w:rPr>
        <w:t xml:space="preserve">-derived Intron-A and Advaferon. Also, Rebif produced in Chinese hamster ovary (CHO) cells proved to contain higher levels of AGEs compared to the </w:t>
      </w:r>
      <w:r w:rsidRPr="005936B2">
        <w:rPr>
          <w:rFonts w:ascii="Book Antiqua" w:hAnsi="Book Antiqua"/>
          <w:i/>
          <w:sz w:val="24"/>
          <w:szCs w:val="24"/>
        </w:rPr>
        <w:t>E. coli</w:t>
      </w:r>
      <w:r w:rsidRPr="005936B2">
        <w:rPr>
          <w:rFonts w:ascii="Book Antiqua" w:hAnsi="Book Antiqua"/>
          <w:sz w:val="24"/>
          <w:szCs w:val="24"/>
        </w:rPr>
        <w:t xml:space="preserve">-derived Betaferon. Based on these observations we concluded that therapeutic proteins are affected by glycation independently of whether they are produced by native or recombinant (either pro- or eukaryotic) cells. This result is not surprising bearing in mind both pro- and eukaryotic cells are glycation-proficient. Whether there are any differences in the glycation power between pro- and eukaryotic cells </w:t>
      </w:r>
      <w:proofErr w:type="gramStart"/>
      <w:r w:rsidRPr="005936B2">
        <w:rPr>
          <w:rFonts w:ascii="Book Antiqua" w:hAnsi="Book Antiqua"/>
          <w:sz w:val="24"/>
          <w:szCs w:val="24"/>
        </w:rPr>
        <w:t>is</w:t>
      </w:r>
      <w:proofErr w:type="gramEnd"/>
      <w:r w:rsidRPr="005936B2">
        <w:rPr>
          <w:rFonts w:ascii="Book Antiqua" w:hAnsi="Book Antiqua"/>
          <w:sz w:val="24"/>
          <w:szCs w:val="24"/>
        </w:rPr>
        <w:t xml:space="preserve"> a largely unexplored issue and a </w:t>
      </w:r>
      <w:r w:rsidRPr="005936B2">
        <w:rPr>
          <w:rFonts w:ascii="Book Antiqua" w:hAnsi="Book Antiqua"/>
          <w:i/>
          <w:sz w:val="24"/>
          <w:szCs w:val="24"/>
        </w:rPr>
        <w:t>direction for future investigations</w:t>
      </w:r>
      <w:r w:rsidRPr="005936B2">
        <w:rPr>
          <w:rFonts w:ascii="Book Antiqua" w:hAnsi="Book Antiqua"/>
          <w:sz w:val="24"/>
          <w:szCs w:val="24"/>
        </w:rPr>
        <w:t xml:space="preserve">. We suggest that the variable AGEs content in the drugs reflects different manufacturing technologies rather than specific characteristics of the cell-producers. </w:t>
      </w:r>
    </w:p>
    <w:p w:rsidR="007A30DF" w:rsidRPr="005936B2" w:rsidRDefault="007A30DF" w:rsidP="007A30DF">
      <w:pPr>
        <w:spacing w:line="360" w:lineRule="auto"/>
        <w:ind w:firstLine="720"/>
        <w:rPr>
          <w:rFonts w:ascii="Book Antiqua" w:hAnsi="Book Antiqua"/>
          <w:sz w:val="24"/>
          <w:szCs w:val="24"/>
        </w:rPr>
      </w:pPr>
      <w:r w:rsidRPr="005936B2">
        <w:rPr>
          <w:rFonts w:ascii="Book Antiqua" w:hAnsi="Book Antiqua"/>
          <w:sz w:val="24"/>
          <w:szCs w:val="24"/>
        </w:rPr>
        <w:t xml:space="preserve">Five of the pharmaceuticals are formulated with HSA at concentrations ten to </w:t>
      </w:r>
      <w:r w:rsidRPr="005936B2">
        <w:rPr>
          <w:rFonts w:ascii="Book Antiqua" w:hAnsi="Book Antiqua"/>
          <w:sz w:val="24"/>
          <w:szCs w:val="24"/>
        </w:rPr>
        <w:lastRenderedPageBreak/>
        <w:t xml:space="preserve">hundred times higher than that of interferons. Thus the reasonable question emerged whether AGEs, we are measuring, are located in HSA or in interferons. The answer of this question is „in interferons” because of the following reasons: </w:t>
      </w:r>
      <w:r w:rsidRPr="005936B2">
        <w:rPr>
          <w:rFonts w:ascii="Book Antiqua" w:eastAsia="宋体" w:hAnsi="Book Antiqua"/>
          <w:sz w:val="24"/>
          <w:szCs w:val="24"/>
        </w:rPr>
        <w:t>(</w:t>
      </w:r>
      <w:r w:rsidRPr="005936B2">
        <w:rPr>
          <w:rFonts w:ascii="Book Antiqua" w:hAnsi="Book Antiqua"/>
          <w:sz w:val="24"/>
          <w:szCs w:val="24"/>
        </w:rPr>
        <w:t xml:space="preserve">1) a highly purified pharmaceutical grade HSA is used for drugs’ formulation. Own mass-spectral analyses of all five HSA containing drugs confirmed the low glycation status of </w:t>
      </w:r>
      <w:proofErr w:type="gramStart"/>
      <w:r w:rsidRPr="005936B2">
        <w:rPr>
          <w:rFonts w:ascii="Book Antiqua" w:hAnsi="Book Antiqua"/>
          <w:sz w:val="24"/>
          <w:szCs w:val="24"/>
        </w:rPr>
        <w:t>HSA</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209]</w:t>
      </w:r>
      <w:r w:rsidRPr="005936B2">
        <w:rPr>
          <w:rFonts w:ascii="Book Antiqua" w:hAnsi="Book Antiqua"/>
          <w:sz w:val="24"/>
          <w:szCs w:val="24"/>
        </w:rPr>
        <w:t>, although 50% of HSA proved to be cysteinylated as shown also by other authors</w:t>
      </w:r>
      <w:r w:rsidRPr="005936B2">
        <w:rPr>
          <w:rFonts w:ascii="Book Antiqua" w:hAnsi="Book Antiqua"/>
          <w:sz w:val="24"/>
          <w:szCs w:val="24"/>
          <w:vertAlign w:val="superscript"/>
        </w:rPr>
        <w:t>[210]</w:t>
      </w:r>
      <w:r w:rsidRPr="005936B2">
        <w:rPr>
          <w:rFonts w:ascii="Book Antiqua" w:hAnsi="Book Antiqua"/>
          <w:sz w:val="24"/>
          <w:szCs w:val="24"/>
        </w:rPr>
        <w:t xml:space="preserve">. How HSA-Cys impacts drug stability is not yet clear and should be outlined as another </w:t>
      </w:r>
      <w:r w:rsidRPr="005936B2">
        <w:rPr>
          <w:rFonts w:ascii="Book Antiqua" w:hAnsi="Book Antiqua"/>
          <w:i/>
          <w:sz w:val="24"/>
          <w:szCs w:val="24"/>
        </w:rPr>
        <w:t>direction for future investigations</w:t>
      </w:r>
      <w:r w:rsidRPr="005936B2">
        <w:rPr>
          <w:rFonts w:ascii="Book Antiqua" w:eastAsia="宋体" w:hAnsi="Book Antiqua"/>
          <w:sz w:val="24"/>
          <w:szCs w:val="24"/>
        </w:rPr>
        <w:t>;</w:t>
      </w:r>
      <w:r w:rsidRPr="005936B2">
        <w:rPr>
          <w:rFonts w:ascii="Book Antiqua" w:hAnsi="Book Antiqua"/>
          <w:sz w:val="24"/>
          <w:szCs w:val="24"/>
        </w:rPr>
        <w:t xml:space="preserve"> </w:t>
      </w:r>
      <w:r w:rsidRPr="005936B2">
        <w:rPr>
          <w:rFonts w:ascii="Book Antiqua" w:eastAsia="宋体" w:hAnsi="Book Antiqua"/>
          <w:sz w:val="24"/>
          <w:szCs w:val="24"/>
        </w:rPr>
        <w:t>(</w:t>
      </w:r>
      <w:r w:rsidRPr="005936B2">
        <w:rPr>
          <w:rFonts w:ascii="Book Antiqua" w:hAnsi="Book Antiqua"/>
          <w:sz w:val="24"/>
          <w:szCs w:val="24"/>
        </w:rPr>
        <w:t>2) we have isolated an IFN</w:t>
      </w:r>
      <w:r w:rsidRPr="005936B2">
        <w:rPr>
          <w:rFonts w:ascii="Book Antiqua" w:hAnsi="Book Antiqua"/>
          <w:sz w:val="24"/>
          <w:szCs w:val="24"/>
        </w:rPr>
        <w:t> enriched fraction from Betaferon by size-exclusion HPLC, which demonstrated 15 times higher concentration of CML as compared to Betaferon’s HSA</w:t>
      </w:r>
      <w:r w:rsidRPr="005936B2">
        <w:rPr>
          <w:rFonts w:ascii="Book Antiqua" w:hAnsi="Book Antiqua"/>
          <w:sz w:val="24"/>
          <w:szCs w:val="24"/>
          <w:vertAlign w:val="superscript"/>
        </w:rPr>
        <w:t>[211]</w:t>
      </w:r>
      <w:r w:rsidRPr="005936B2">
        <w:rPr>
          <w:rFonts w:ascii="Book Antiqua" w:eastAsia="宋体" w:hAnsi="Book Antiqua"/>
          <w:sz w:val="24"/>
          <w:szCs w:val="24"/>
        </w:rPr>
        <w:t>;</w:t>
      </w:r>
      <w:r w:rsidRPr="005936B2">
        <w:rPr>
          <w:rFonts w:ascii="Book Antiqua" w:hAnsi="Book Antiqua"/>
          <w:sz w:val="24"/>
          <w:szCs w:val="24"/>
        </w:rPr>
        <w:t xml:space="preserve"> </w:t>
      </w:r>
      <w:r w:rsidRPr="005936B2">
        <w:rPr>
          <w:rFonts w:ascii="Book Antiqua" w:eastAsia="宋体" w:hAnsi="Book Antiqua"/>
          <w:sz w:val="24"/>
          <w:szCs w:val="24"/>
        </w:rPr>
        <w:t>and (</w:t>
      </w:r>
      <w:r w:rsidRPr="005936B2">
        <w:rPr>
          <w:rFonts w:ascii="Book Antiqua" w:hAnsi="Book Antiqua"/>
          <w:sz w:val="24"/>
          <w:szCs w:val="24"/>
        </w:rPr>
        <w:t>3) as seen in Figure 7, the HSA-free drug Rebif demonstrated the highest concentration of CML and 3DG-imidazolone among all seven drugs while the HSA containing IFN</w:t>
      </w:r>
      <w:r w:rsidRPr="005936B2">
        <w:rPr>
          <w:rFonts w:ascii="Book Antiqua" w:hAnsi="Book Antiqua"/>
          <w:sz w:val="24"/>
          <w:szCs w:val="24"/>
        </w:rPr>
        <w:t xml:space="preserve"> MOCHIDA was deprived of these two AGEs. </w:t>
      </w:r>
    </w:p>
    <w:p w:rsidR="007A30DF" w:rsidRPr="005936B2" w:rsidRDefault="007A30DF" w:rsidP="007A30DF">
      <w:pPr>
        <w:spacing w:line="360" w:lineRule="auto"/>
        <w:rPr>
          <w:rFonts w:ascii="Book Antiqua" w:hAnsi="Book Antiqua"/>
          <w:sz w:val="24"/>
          <w:szCs w:val="24"/>
        </w:rPr>
      </w:pPr>
    </w:p>
    <w:p w:rsidR="007A30DF" w:rsidRPr="005936B2" w:rsidRDefault="007A30DF" w:rsidP="007A30DF">
      <w:pPr>
        <w:spacing w:line="360" w:lineRule="auto"/>
        <w:rPr>
          <w:rFonts w:ascii="Book Antiqua" w:hAnsi="Book Antiqua"/>
          <w:b/>
          <w:i/>
          <w:sz w:val="24"/>
          <w:szCs w:val="24"/>
        </w:rPr>
      </w:pPr>
      <w:r w:rsidRPr="005936B2">
        <w:rPr>
          <w:rFonts w:ascii="Book Antiqua" w:hAnsi="Book Antiqua"/>
          <w:b/>
          <w:i/>
          <w:sz w:val="24"/>
          <w:szCs w:val="24"/>
        </w:rPr>
        <w:t>AGEs and immunogenicity of IFN</w:t>
      </w:r>
      <w:r w:rsidRPr="005936B2">
        <w:rPr>
          <w:rFonts w:ascii="Book Antiqua" w:hAnsi="Book Antiqua"/>
          <w:b/>
          <w:i/>
          <w:sz w:val="24"/>
          <w:szCs w:val="24"/>
        </w:rPr>
        <w:sym w:font="Symbol" w:char="F062"/>
      </w:r>
      <w:r w:rsidRPr="005936B2">
        <w:rPr>
          <w:rFonts w:ascii="Book Antiqua" w:eastAsia="宋体" w:hAnsi="Book Antiqua"/>
          <w:b/>
          <w:i/>
          <w:sz w:val="24"/>
          <w:szCs w:val="24"/>
        </w:rPr>
        <w:t></w:t>
      </w:r>
      <w:r w:rsidRPr="005936B2">
        <w:rPr>
          <w:rFonts w:ascii="Book Antiqua" w:hAnsi="Book Antiqua"/>
          <w:b/>
          <w:i/>
          <w:sz w:val="24"/>
          <w:szCs w:val="24"/>
        </w:rPr>
        <w:t xml:space="preserve">pharmaceuticals </w:t>
      </w:r>
    </w:p>
    <w:p w:rsidR="007A30DF" w:rsidRPr="005936B2" w:rsidRDefault="007A30DF" w:rsidP="007A30DF">
      <w:pPr>
        <w:autoSpaceDE w:val="0"/>
        <w:autoSpaceDN w:val="0"/>
        <w:adjustRightInd w:val="0"/>
        <w:spacing w:line="360" w:lineRule="auto"/>
        <w:ind w:firstLine="709"/>
        <w:rPr>
          <w:rFonts w:ascii="Book Antiqua" w:eastAsia="Calibri" w:hAnsi="Book Antiqua"/>
          <w:sz w:val="24"/>
          <w:szCs w:val="24"/>
        </w:rPr>
      </w:pPr>
      <w:r w:rsidRPr="005936B2">
        <w:rPr>
          <w:rFonts w:ascii="Book Antiqua" w:eastAsia="Calibri" w:hAnsi="Book Antiqua"/>
          <w:sz w:val="24"/>
          <w:szCs w:val="24"/>
        </w:rPr>
        <w:t>In most cases AGEs are bulky chemical moieties that may behave like haptens rendering self-proteins immunogenic. As seen in Figure 7, the four IFN</w:t>
      </w:r>
      <w:r w:rsidRPr="005936B2">
        <w:rPr>
          <w:rFonts w:ascii="Book Antiqua" w:eastAsia="Calibri" w:hAnsi="Book Antiqua"/>
          <w:sz w:val="24"/>
          <w:szCs w:val="24"/>
        </w:rPr>
        <w:t> pharmaceuticals tested proved to contain more CML and 3DG-imidazolone than the three IFN</w:t>
      </w:r>
      <w:r w:rsidRPr="005936B2">
        <w:rPr>
          <w:rFonts w:ascii="Book Antiqua" w:eastAsia="Calibri" w:hAnsi="Book Antiqua"/>
          <w:sz w:val="24"/>
          <w:szCs w:val="24"/>
        </w:rPr>
        <w:t xml:space="preserve"> drugs. Also, a number of studies report on immunogenicity of </w:t>
      </w:r>
      <w:proofErr w:type="gramStart"/>
      <w:r w:rsidRPr="005936B2">
        <w:rPr>
          <w:rFonts w:ascii="Book Antiqua" w:eastAsia="Calibri" w:hAnsi="Book Antiqua"/>
          <w:sz w:val="24"/>
          <w:szCs w:val="24"/>
        </w:rPr>
        <w:t>IFN</w:t>
      </w:r>
      <w:r w:rsidRPr="005936B2">
        <w:rPr>
          <w:rFonts w:ascii="Book Antiqua" w:eastAsia="Calibri" w:hAnsi="Book Antiqua"/>
          <w:sz w:val="24"/>
          <w:szCs w:val="24"/>
        </w:rPr>
        <w:t></w:t>
      </w:r>
      <w:r w:rsidRPr="005936B2">
        <w:rPr>
          <w:rFonts w:ascii="Book Antiqua" w:eastAsia="Calibri" w:hAnsi="Book Antiqua"/>
          <w:sz w:val="24"/>
          <w:szCs w:val="24"/>
          <w:vertAlign w:val="superscript"/>
        </w:rPr>
        <w:t>[</w:t>
      </w:r>
      <w:proofErr w:type="gramEnd"/>
      <w:r w:rsidRPr="005936B2">
        <w:rPr>
          <w:rFonts w:ascii="Book Antiqua" w:eastAsia="Calibri" w:hAnsi="Book Antiqua"/>
          <w:sz w:val="24"/>
          <w:szCs w:val="24"/>
          <w:vertAlign w:val="superscript"/>
        </w:rPr>
        <w:t>2,212-227]</w:t>
      </w:r>
      <w:r w:rsidRPr="005936B2">
        <w:rPr>
          <w:rFonts w:ascii="Book Antiqua" w:eastAsia="Calibri" w:hAnsi="Book Antiqua"/>
          <w:sz w:val="24"/>
          <w:szCs w:val="24"/>
        </w:rPr>
        <w:t>. Therefore, to either verify or reject the hypothesis that AGEs contribute to IFN</w:t>
      </w:r>
      <w:r w:rsidRPr="005936B2">
        <w:rPr>
          <w:rFonts w:ascii="Book Antiqua" w:eastAsia="Calibri" w:hAnsi="Book Antiqua"/>
          <w:sz w:val="24"/>
          <w:szCs w:val="24"/>
        </w:rPr>
        <w:t> immunogenicity, we studied sera from patients suffering from relapsing-remitting multiple sclerosis (MS) treated with Avonex (12 patients), Betaferon (15 patients) or Rebif (15 patients)</w:t>
      </w:r>
      <w:r w:rsidRPr="005936B2">
        <w:rPr>
          <w:rFonts w:ascii="Book Antiqua" w:eastAsia="Calibri" w:hAnsi="Book Antiqua"/>
          <w:sz w:val="24"/>
          <w:szCs w:val="24"/>
          <w:vertAlign w:val="superscript"/>
        </w:rPr>
        <w:t>[211]</w:t>
      </w:r>
      <w:r w:rsidRPr="005936B2">
        <w:rPr>
          <w:rFonts w:ascii="Book Antiqua" w:eastAsia="Calibri" w:hAnsi="Book Antiqua"/>
          <w:sz w:val="24"/>
          <w:szCs w:val="24"/>
        </w:rPr>
        <w:t>. Seventy four percent (31/42) of the patients enrolled in our study had flu-like symptoms, injection-site reactions, or both. Sera were tested for binding anti-IFN</w:t>
      </w:r>
      <w:r w:rsidRPr="005936B2">
        <w:rPr>
          <w:rFonts w:ascii="Book Antiqua" w:eastAsia="Calibri" w:hAnsi="Book Antiqua"/>
          <w:sz w:val="24"/>
          <w:szCs w:val="24"/>
        </w:rPr>
        <w:t> and anti-AGEs Abs of IgG isotype by direct ELISA. The percentage of anti-IFN</w:t>
      </w:r>
      <w:r w:rsidRPr="005936B2">
        <w:rPr>
          <w:rFonts w:ascii="Book Antiqua" w:eastAsia="Calibri" w:hAnsi="Book Antiqua"/>
          <w:sz w:val="24"/>
          <w:szCs w:val="24"/>
        </w:rPr>
        <w:t> Abs positive (Abs</w:t>
      </w:r>
      <w:r w:rsidRPr="005936B2">
        <w:rPr>
          <w:rFonts w:ascii="Book Antiqua" w:eastAsia="Calibri" w:hAnsi="Book Antiqua"/>
          <w:sz w:val="24"/>
          <w:szCs w:val="24"/>
          <w:vertAlign w:val="superscript"/>
        </w:rPr>
        <w:t>+</w:t>
      </w:r>
      <w:r w:rsidRPr="005936B2">
        <w:rPr>
          <w:rFonts w:ascii="Book Antiqua" w:eastAsia="Calibri" w:hAnsi="Book Antiqua"/>
          <w:sz w:val="24"/>
          <w:szCs w:val="24"/>
        </w:rPr>
        <w:t>) patients was highest in the Betaferon group (60%) followed by the Rebif (40%) and Avonex (17%) groups (Figure 8), which is consistent with data about the relative incidence of persistent neutralizing Abs (NAb) in patients treated with the same drugs</w:t>
      </w:r>
      <w:r w:rsidRPr="005936B2">
        <w:rPr>
          <w:rFonts w:ascii="Book Antiqua" w:eastAsia="Calibri" w:hAnsi="Book Antiqua"/>
          <w:sz w:val="24"/>
          <w:szCs w:val="24"/>
          <w:vertAlign w:val="superscript"/>
        </w:rPr>
        <w:t>[228]</w:t>
      </w:r>
      <w:r w:rsidRPr="005936B2">
        <w:rPr>
          <w:rFonts w:ascii="Book Antiqua" w:eastAsia="Calibri" w:hAnsi="Book Antiqua"/>
          <w:sz w:val="24"/>
          <w:szCs w:val="24"/>
        </w:rPr>
        <w:t>. Although CML and 3DG-imidazolone levels were higher in Rebif (Figure 7), Betaferon demonstrated higher immunogenicity than Rebif. Note that besides AGEs-modifications, and in contrast to the CHO-derived IFN</w:t>
      </w:r>
      <w:r w:rsidRPr="005936B2">
        <w:rPr>
          <w:rFonts w:ascii="Book Antiqua" w:eastAsia="Calibri" w:hAnsi="Book Antiqua"/>
          <w:sz w:val="24"/>
          <w:szCs w:val="24"/>
        </w:rPr>
        <w:t xml:space="preserve">1a (Rebif), the </w:t>
      </w:r>
      <w:r w:rsidRPr="005936B2">
        <w:rPr>
          <w:rFonts w:ascii="Book Antiqua" w:eastAsia="Calibri" w:hAnsi="Book Antiqua"/>
          <w:i/>
          <w:sz w:val="24"/>
          <w:szCs w:val="24"/>
        </w:rPr>
        <w:t>E. coli</w:t>
      </w:r>
      <w:r w:rsidRPr="005936B2">
        <w:rPr>
          <w:rFonts w:ascii="Book Antiqua" w:eastAsia="Calibri" w:hAnsi="Book Antiqua"/>
          <w:sz w:val="24"/>
          <w:szCs w:val="24"/>
        </w:rPr>
        <w:t>-derived IFN</w:t>
      </w:r>
      <w:r w:rsidRPr="005936B2">
        <w:rPr>
          <w:rFonts w:ascii="Book Antiqua" w:eastAsia="Calibri" w:hAnsi="Book Antiqua"/>
          <w:sz w:val="24"/>
          <w:szCs w:val="24"/>
        </w:rPr>
        <w:t xml:space="preserve">1b (Betaferon) </w:t>
      </w:r>
      <w:r w:rsidRPr="005936B2">
        <w:rPr>
          <w:rFonts w:ascii="Book Antiqua" w:eastAsia="Calibri" w:hAnsi="Book Antiqua"/>
          <w:sz w:val="24"/>
          <w:szCs w:val="24"/>
        </w:rPr>
        <w:lastRenderedPageBreak/>
        <w:t>lacks glycosylation at Asn-80, has an amino acid substitution (Ser</w:t>
      </w:r>
      <w:r w:rsidRPr="005936B2">
        <w:rPr>
          <w:rFonts w:ascii="Book Antiqua" w:eastAsia="Calibri" w:hAnsi="Book Antiqua"/>
          <w:sz w:val="24"/>
          <w:szCs w:val="24"/>
          <w:vertAlign w:val="superscript"/>
        </w:rPr>
        <w:t>17</w:t>
      </w:r>
      <w:r w:rsidRPr="005936B2">
        <w:rPr>
          <w:rFonts w:ascii="Book Antiqua" w:eastAsia="Calibri" w:hAnsi="Book Antiqua"/>
          <w:sz w:val="24"/>
          <w:szCs w:val="24"/>
        </w:rPr>
        <w:t xml:space="preserve"> for Cys</w:t>
      </w:r>
      <w:r w:rsidRPr="005936B2">
        <w:rPr>
          <w:rFonts w:ascii="Book Antiqua" w:eastAsia="Calibri" w:hAnsi="Book Antiqua"/>
          <w:sz w:val="24"/>
          <w:szCs w:val="24"/>
          <w:vertAlign w:val="superscript"/>
        </w:rPr>
        <w:t>17</w:t>
      </w:r>
      <w:r w:rsidRPr="005936B2">
        <w:rPr>
          <w:rFonts w:ascii="Book Antiqua" w:eastAsia="Calibri" w:hAnsi="Book Antiqua"/>
          <w:sz w:val="24"/>
          <w:szCs w:val="24"/>
        </w:rPr>
        <w:t>) and is prone to non-covalent aggregation</w:t>
      </w:r>
      <w:r w:rsidRPr="005936B2">
        <w:rPr>
          <w:rFonts w:ascii="Book Antiqua" w:eastAsia="Calibri" w:hAnsi="Book Antiqua"/>
          <w:sz w:val="24"/>
          <w:szCs w:val="24"/>
          <w:vertAlign w:val="superscript"/>
        </w:rPr>
        <w:t>[229]</w:t>
      </w:r>
      <w:r w:rsidRPr="005936B2">
        <w:rPr>
          <w:rFonts w:ascii="Book Antiqua" w:eastAsia="Calibri" w:hAnsi="Book Antiqua"/>
          <w:sz w:val="24"/>
          <w:szCs w:val="24"/>
        </w:rPr>
        <w:t>, which could explain its higher immunogenicity. Seventeen percent (2/12) of the patients in the Avonex group were anti-AGEs Abs</w:t>
      </w:r>
      <w:r w:rsidRPr="005936B2">
        <w:rPr>
          <w:rFonts w:ascii="Book Antiqua" w:eastAsia="Calibri" w:hAnsi="Book Antiqua"/>
          <w:sz w:val="24"/>
          <w:szCs w:val="24"/>
          <w:vertAlign w:val="superscript"/>
        </w:rPr>
        <w:t>+</w:t>
      </w:r>
      <w:r w:rsidRPr="005936B2">
        <w:rPr>
          <w:rFonts w:ascii="Book Antiqua" w:eastAsia="Calibri" w:hAnsi="Book Antiqua"/>
          <w:sz w:val="24"/>
          <w:szCs w:val="24"/>
        </w:rPr>
        <w:t>, whereas for the other two groups (Betafeon and Rebif) the percentage of anti-AGEs Abs</w:t>
      </w:r>
      <w:r w:rsidRPr="005936B2">
        <w:rPr>
          <w:rFonts w:ascii="Book Antiqua" w:eastAsia="Calibri" w:hAnsi="Book Antiqua"/>
          <w:sz w:val="24"/>
          <w:szCs w:val="24"/>
          <w:vertAlign w:val="superscript"/>
        </w:rPr>
        <w:t>+</w:t>
      </w:r>
      <w:r w:rsidRPr="005936B2">
        <w:rPr>
          <w:rFonts w:ascii="Book Antiqua" w:eastAsia="Calibri" w:hAnsi="Book Antiqua"/>
          <w:sz w:val="24"/>
          <w:szCs w:val="24"/>
        </w:rPr>
        <w:t xml:space="preserve"> patients was 20% (3/15). All anti-AGEs Abs</w:t>
      </w:r>
      <w:r w:rsidRPr="005936B2">
        <w:rPr>
          <w:rFonts w:ascii="Book Antiqua" w:eastAsia="Calibri" w:hAnsi="Book Antiqua"/>
          <w:sz w:val="24"/>
          <w:szCs w:val="24"/>
          <w:vertAlign w:val="superscript"/>
        </w:rPr>
        <w:t>+</w:t>
      </w:r>
      <w:r w:rsidRPr="005936B2">
        <w:rPr>
          <w:rFonts w:ascii="Book Antiqua" w:eastAsia="Calibri" w:hAnsi="Book Antiqua"/>
          <w:sz w:val="24"/>
          <w:szCs w:val="24"/>
        </w:rPr>
        <w:t xml:space="preserve"> patients were anti-IFN</w:t>
      </w:r>
      <w:r w:rsidRPr="005936B2">
        <w:rPr>
          <w:rFonts w:ascii="Book Antiqua" w:eastAsia="Calibri" w:hAnsi="Book Antiqua"/>
          <w:sz w:val="24"/>
          <w:szCs w:val="24"/>
        </w:rPr>
        <w:t> Abs</w:t>
      </w:r>
      <w:r w:rsidRPr="005936B2">
        <w:rPr>
          <w:rFonts w:ascii="Book Antiqua" w:eastAsia="Calibri" w:hAnsi="Book Antiqua"/>
          <w:sz w:val="24"/>
          <w:szCs w:val="24"/>
          <w:vertAlign w:val="superscript"/>
        </w:rPr>
        <w:t>+</w:t>
      </w:r>
      <w:r w:rsidRPr="005936B2">
        <w:rPr>
          <w:rFonts w:ascii="Book Antiqua" w:eastAsia="Calibri" w:hAnsi="Book Antiqua"/>
          <w:sz w:val="24"/>
          <w:szCs w:val="24"/>
        </w:rPr>
        <w:t>. This, however, does not necessarily mean that the formation of anti-AGEs Abs in these patients was provoked by the IFN</w:t>
      </w:r>
      <w:r w:rsidRPr="005936B2">
        <w:rPr>
          <w:rFonts w:ascii="Book Antiqua" w:eastAsia="Calibri" w:hAnsi="Book Antiqua"/>
          <w:sz w:val="24"/>
          <w:szCs w:val="24"/>
        </w:rPr>
        <w:t> therapy. Convincing evidence for the link between the formation of anti-IFN</w:t>
      </w:r>
      <w:r w:rsidRPr="005936B2">
        <w:rPr>
          <w:rFonts w:ascii="Book Antiqua" w:eastAsia="Calibri" w:hAnsi="Book Antiqua"/>
          <w:sz w:val="24"/>
          <w:szCs w:val="24"/>
        </w:rPr>
        <w:t> and anti-AGEs Abs was obtained by competitive ELISA. The addition of an external AGEs-competitor (AGEs-BSA) to sera inhibited binding to IFN</w:t>
      </w:r>
      <w:r w:rsidRPr="005936B2">
        <w:rPr>
          <w:rFonts w:ascii="Book Antiqua" w:eastAsia="Calibri" w:hAnsi="Book Antiqua"/>
          <w:sz w:val="24"/>
          <w:szCs w:val="24"/>
        </w:rPr>
        <w:t> of two (Avonex), three (Rebif) and five (Betaferon) sera with inhibition ranging from 9% to 70%. The different degree of inhibition most likely reflects the relative contribution of AGEs to the overall IFN</w:t>
      </w:r>
      <w:r w:rsidRPr="005936B2">
        <w:rPr>
          <w:rFonts w:ascii="Book Antiqua" w:eastAsia="Calibri" w:hAnsi="Book Antiqua"/>
          <w:sz w:val="24"/>
          <w:szCs w:val="24"/>
        </w:rPr>
        <w:t> immunogenicity in each particular patient. All ten sera responding to inhibition by AGEs-BSA were tested also for response to inhibition by mAbs raised against CML and 3DG-imidazolone. Significant inhibition (</w:t>
      </w:r>
      <w:r w:rsidRPr="005936B2">
        <w:rPr>
          <w:rFonts w:ascii="Book Antiqua" w:eastAsia="Calibri" w:hAnsi="Book Antiqua"/>
          <w:i/>
          <w:sz w:val="24"/>
          <w:szCs w:val="24"/>
        </w:rPr>
        <w:t>P</w:t>
      </w:r>
      <w:r w:rsidRPr="005936B2">
        <w:rPr>
          <w:rFonts w:ascii="Book Antiqua" w:eastAsia="宋体" w:hAnsi="Book Antiqua"/>
          <w:i/>
          <w:sz w:val="24"/>
          <w:szCs w:val="24"/>
        </w:rPr>
        <w:t xml:space="preserve"> </w:t>
      </w:r>
      <w:r w:rsidRPr="005936B2">
        <w:rPr>
          <w:rFonts w:ascii="Book Antiqua" w:eastAsia="Calibri" w:hAnsi="Book Antiqua"/>
          <w:sz w:val="24"/>
          <w:szCs w:val="24"/>
        </w:rPr>
        <w:t>&lt;</w:t>
      </w:r>
      <w:r w:rsidRPr="005936B2">
        <w:rPr>
          <w:rFonts w:ascii="Book Antiqua" w:eastAsia="宋体" w:hAnsi="Book Antiqua"/>
          <w:sz w:val="24"/>
          <w:szCs w:val="24"/>
        </w:rPr>
        <w:t xml:space="preserve"> </w:t>
      </w:r>
      <w:r w:rsidRPr="005936B2">
        <w:rPr>
          <w:rFonts w:ascii="Book Antiqua" w:eastAsia="Calibri" w:hAnsi="Book Antiqua"/>
          <w:sz w:val="24"/>
          <w:szCs w:val="24"/>
        </w:rPr>
        <w:t>0.05) of sera reactivity to IFN</w:t>
      </w:r>
      <w:r w:rsidRPr="005936B2">
        <w:rPr>
          <w:rFonts w:ascii="Book Antiqua" w:eastAsia="Calibri" w:hAnsi="Book Antiqua"/>
          <w:sz w:val="24"/>
          <w:szCs w:val="24"/>
        </w:rPr>
        <w:t> was obtained with one serum from the Avonex group and with two sera from the Rebif group. One can suggest that in the remaining seven anti-AGEs Abs</w:t>
      </w:r>
      <w:r w:rsidRPr="005936B2">
        <w:rPr>
          <w:rFonts w:ascii="Book Antiqua" w:eastAsia="Calibri" w:hAnsi="Book Antiqua"/>
          <w:sz w:val="24"/>
          <w:szCs w:val="24"/>
          <w:vertAlign w:val="superscript"/>
        </w:rPr>
        <w:t>+</w:t>
      </w:r>
      <w:r w:rsidRPr="005936B2">
        <w:rPr>
          <w:rFonts w:ascii="Book Antiqua" w:eastAsia="Calibri" w:hAnsi="Book Antiqua"/>
          <w:sz w:val="24"/>
          <w:szCs w:val="24"/>
        </w:rPr>
        <w:t xml:space="preserve"> sera, which did not respond to inhibition by the two mAbs, the anti-AGEs Abs were raised against other AGEs (not CML and 3-DG-imidazolone) in IFN</w:t>
      </w:r>
      <w:r w:rsidRPr="005936B2">
        <w:rPr>
          <w:rFonts w:ascii="Book Antiqua" w:eastAsia="Calibri" w:hAnsi="Book Antiqua"/>
          <w:sz w:val="24"/>
          <w:szCs w:val="24"/>
        </w:rPr>
        <w:t>.</w:t>
      </w:r>
    </w:p>
    <w:p w:rsidR="007A30DF" w:rsidRPr="005936B2" w:rsidRDefault="007A30DF" w:rsidP="007A30DF">
      <w:pPr>
        <w:autoSpaceDE w:val="0"/>
        <w:autoSpaceDN w:val="0"/>
        <w:adjustRightInd w:val="0"/>
        <w:spacing w:line="360" w:lineRule="auto"/>
        <w:ind w:firstLine="709"/>
        <w:rPr>
          <w:rFonts w:ascii="Book Antiqua" w:eastAsia="Calibri" w:hAnsi="Book Antiqua"/>
          <w:sz w:val="24"/>
          <w:szCs w:val="24"/>
        </w:rPr>
      </w:pPr>
      <w:r w:rsidRPr="005936B2">
        <w:rPr>
          <w:rFonts w:ascii="Book Antiqua" w:eastAsia="Calibri" w:hAnsi="Book Antiqua"/>
          <w:sz w:val="24"/>
          <w:szCs w:val="24"/>
        </w:rPr>
        <w:t>Whether the anti-AGEs Abs that cross-react with IFN</w:t>
      </w:r>
      <w:r w:rsidRPr="005936B2">
        <w:rPr>
          <w:rFonts w:ascii="Book Antiqua" w:eastAsia="Calibri" w:hAnsi="Book Antiqua"/>
          <w:sz w:val="24"/>
          <w:szCs w:val="24"/>
        </w:rPr>
        <w:t xml:space="preserve"> neutralize drug activity and/or contribute to the observed inflammatory side reactions in treated patients are </w:t>
      </w:r>
      <w:r w:rsidRPr="005936B2">
        <w:rPr>
          <w:rFonts w:ascii="Book Antiqua" w:eastAsia="Calibri" w:hAnsi="Book Antiqua"/>
          <w:i/>
          <w:sz w:val="24"/>
          <w:szCs w:val="24"/>
        </w:rPr>
        <w:t>questions to be addressed in the future</w:t>
      </w:r>
      <w:r w:rsidRPr="005936B2">
        <w:rPr>
          <w:rFonts w:ascii="Book Antiqua" w:eastAsia="Calibri" w:hAnsi="Book Antiqua"/>
          <w:sz w:val="24"/>
          <w:szCs w:val="24"/>
        </w:rPr>
        <w:t xml:space="preserve">. Also, besides injection-site reactions and flu-like symptoms, cases of </w:t>
      </w:r>
      <w:proofErr w:type="gramStart"/>
      <w:r w:rsidRPr="005936B2">
        <w:rPr>
          <w:rFonts w:ascii="Book Antiqua" w:eastAsia="Calibri" w:hAnsi="Book Antiqua"/>
          <w:sz w:val="24"/>
          <w:szCs w:val="24"/>
        </w:rPr>
        <w:t>allergy</w:t>
      </w:r>
      <w:r w:rsidRPr="005936B2">
        <w:rPr>
          <w:rFonts w:ascii="Book Antiqua" w:eastAsia="Calibri" w:hAnsi="Book Antiqua"/>
          <w:sz w:val="24"/>
          <w:szCs w:val="24"/>
          <w:vertAlign w:val="superscript"/>
        </w:rPr>
        <w:t>[</w:t>
      </w:r>
      <w:proofErr w:type="gramEnd"/>
      <w:r w:rsidRPr="005936B2">
        <w:rPr>
          <w:rFonts w:ascii="Book Antiqua" w:eastAsia="Calibri" w:hAnsi="Book Antiqua"/>
          <w:sz w:val="24"/>
          <w:szCs w:val="24"/>
          <w:vertAlign w:val="superscript"/>
        </w:rPr>
        <w:t>13-15]</w:t>
      </w:r>
      <w:r w:rsidRPr="005936B2">
        <w:rPr>
          <w:rFonts w:ascii="Book Antiqua" w:eastAsia="Calibri" w:hAnsi="Book Antiqua"/>
          <w:sz w:val="24"/>
          <w:szCs w:val="24"/>
        </w:rPr>
        <w:t xml:space="preserve"> and anaphylaxis</w:t>
      </w:r>
      <w:r w:rsidRPr="005936B2">
        <w:rPr>
          <w:rFonts w:ascii="Book Antiqua" w:eastAsia="Calibri" w:hAnsi="Book Antiqua"/>
          <w:sz w:val="24"/>
          <w:szCs w:val="24"/>
          <w:vertAlign w:val="superscript"/>
        </w:rPr>
        <w:t>[11,16]</w:t>
      </w:r>
      <w:r w:rsidRPr="005936B2">
        <w:rPr>
          <w:rFonts w:ascii="Book Antiqua" w:eastAsia="Calibri" w:hAnsi="Book Antiqua"/>
          <w:sz w:val="24"/>
          <w:szCs w:val="24"/>
        </w:rPr>
        <w:t xml:space="preserve"> have been reported for MS patients on IFN</w:t>
      </w:r>
      <w:r w:rsidRPr="005936B2">
        <w:rPr>
          <w:rFonts w:ascii="Book Antiqua" w:eastAsia="Calibri" w:hAnsi="Book Antiqua"/>
          <w:sz w:val="24"/>
          <w:szCs w:val="24"/>
        </w:rPr>
        <w:t> therapy. Therefore, it is worth to conduct case studies with such patients in order to answer the question of whether AGEs in IFN</w:t>
      </w:r>
      <w:r w:rsidRPr="005936B2">
        <w:rPr>
          <w:rFonts w:ascii="Book Antiqua" w:eastAsia="Calibri" w:hAnsi="Book Antiqua"/>
          <w:sz w:val="24"/>
          <w:szCs w:val="24"/>
        </w:rPr>
        <w:t xml:space="preserve"> have contributed to the observed hypersensitivity reactions. </w:t>
      </w:r>
    </w:p>
    <w:p w:rsidR="007A30DF" w:rsidRPr="005936B2" w:rsidRDefault="007A30DF" w:rsidP="007A30DF">
      <w:pPr>
        <w:spacing w:line="360" w:lineRule="auto"/>
        <w:rPr>
          <w:rFonts w:ascii="Book Antiqua" w:hAnsi="Book Antiqua"/>
          <w:b/>
          <w:bCs/>
          <w:sz w:val="24"/>
          <w:szCs w:val="24"/>
        </w:rPr>
      </w:pPr>
    </w:p>
    <w:p w:rsidR="007A30DF" w:rsidRPr="005936B2" w:rsidRDefault="007A30DF" w:rsidP="007A30DF">
      <w:pPr>
        <w:spacing w:line="360" w:lineRule="auto"/>
        <w:rPr>
          <w:rFonts w:ascii="Book Antiqua" w:hAnsi="Book Antiqua"/>
          <w:b/>
          <w:bCs/>
          <w:sz w:val="24"/>
          <w:szCs w:val="24"/>
        </w:rPr>
      </w:pPr>
      <w:r w:rsidRPr="005936B2">
        <w:rPr>
          <w:rFonts w:ascii="Book Antiqua" w:hAnsi="Book Antiqua"/>
          <w:b/>
          <w:bCs/>
          <w:sz w:val="24"/>
          <w:szCs w:val="24"/>
        </w:rPr>
        <w:t>POSSIBLE SCENARIOS UPON TREATMENT WITH IFN</w:t>
      </w:r>
      <w:r w:rsidRPr="005936B2">
        <w:rPr>
          <w:rFonts w:ascii="Book Antiqua" w:hAnsi="Book Antiqua"/>
          <w:b/>
          <w:bCs/>
          <w:sz w:val="24"/>
          <w:szCs w:val="24"/>
        </w:rPr>
        <w:t>-AGEs</w:t>
      </w:r>
    </w:p>
    <w:p w:rsidR="007A30DF" w:rsidRPr="005936B2" w:rsidRDefault="007A30DF" w:rsidP="007A30DF">
      <w:pPr>
        <w:spacing w:line="360" w:lineRule="auto"/>
        <w:rPr>
          <w:rFonts w:ascii="Book Antiqua" w:hAnsi="Book Antiqua"/>
          <w:sz w:val="24"/>
          <w:szCs w:val="24"/>
        </w:rPr>
      </w:pPr>
      <w:r w:rsidRPr="005936B2">
        <w:rPr>
          <w:rFonts w:ascii="Book Antiqua" w:hAnsi="Book Antiqua"/>
          <w:sz w:val="24"/>
          <w:szCs w:val="24"/>
        </w:rPr>
        <w:t>AGEs are formed in the human body under normal and pathological conditions, and are consumed with food as well. Because of the negative impact of AGEs on human physiology, elaborate mechanisms do exist for anti-AGEs defense ranging from enzymatic detoxification of AGEs’ precursors (</w:t>
      </w:r>
      <w:r w:rsidRPr="005936B2">
        <w:rPr>
          <w:rFonts w:ascii="Book Antiqua" w:hAnsi="Book Antiqua"/>
          <w:i/>
          <w:sz w:val="24"/>
          <w:szCs w:val="24"/>
        </w:rPr>
        <w:t>i.e.</w:t>
      </w:r>
      <w:r w:rsidRPr="005936B2">
        <w:rPr>
          <w:rFonts w:ascii="Book Antiqua" w:eastAsia="宋体" w:hAnsi="Book Antiqua"/>
          <w:i/>
          <w:sz w:val="24"/>
          <w:szCs w:val="24"/>
        </w:rPr>
        <w:t>,</w:t>
      </w:r>
      <w:r w:rsidRPr="005936B2">
        <w:rPr>
          <w:rFonts w:ascii="Book Antiqua" w:hAnsi="Book Antiqua"/>
          <w:sz w:val="24"/>
          <w:szCs w:val="24"/>
        </w:rPr>
        <w:t xml:space="preserve"> carbonyl compounds</w:t>
      </w:r>
      <w:r w:rsidRPr="005936B2">
        <w:rPr>
          <w:rFonts w:ascii="Book Antiqua" w:hAnsi="Book Antiqua"/>
          <w:sz w:val="24"/>
          <w:szCs w:val="24"/>
          <w:vertAlign w:val="superscript"/>
        </w:rPr>
        <w:t>[230-234]</w:t>
      </w:r>
      <w:r w:rsidRPr="005936B2">
        <w:rPr>
          <w:rFonts w:ascii="Book Antiqua" w:hAnsi="Book Antiqua"/>
          <w:sz w:val="24"/>
          <w:szCs w:val="24"/>
        </w:rPr>
        <w:t xml:space="preserve">, Schiff </w:t>
      </w:r>
      <w:r w:rsidRPr="005936B2">
        <w:rPr>
          <w:rFonts w:ascii="Book Antiqua" w:hAnsi="Book Antiqua"/>
          <w:sz w:val="24"/>
          <w:szCs w:val="24"/>
        </w:rPr>
        <w:lastRenderedPageBreak/>
        <w:t>bases</w:t>
      </w:r>
      <w:r w:rsidRPr="005936B2">
        <w:rPr>
          <w:rFonts w:ascii="Book Antiqua" w:hAnsi="Book Antiqua"/>
          <w:sz w:val="24"/>
          <w:szCs w:val="24"/>
          <w:vertAlign w:val="superscript"/>
        </w:rPr>
        <w:t>[235]</w:t>
      </w:r>
      <w:r w:rsidRPr="005936B2">
        <w:rPr>
          <w:rFonts w:ascii="Book Antiqua" w:hAnsi="Book Antiqua"/>
          <w:sz w:val="24"/>
          <w:szCs w:val="24"/>
        </w:rPr>
        <w:t xml:space="preserve"> and Amadori products</w:t>
      </w:r>
      <w:r w:rsidRPr="005936B2">
        <w:rPr>
          <w:rFonts w:ascii="Book Antiqua" w:hAnsi="Book Antiqua"/>
          <w:sz w:val="24"/>
          <w:szCs w:val="24"/>
          <w:vertAlign w:val="superscript"/>
        </w:rPr>
        <w:t>[236]</w:t>
      </w:r>
      <w:r w:rsidRPr="005936B2">
        <w:rPr>
          <w:rFonts w:ascii="Book Antiqua" w:hAnsi="Book Antiqua"/>
          <w:sz w:val="24"/>
          <w:szCs w:val="24"/>
        </w:rPr>
        <w:t xml:space="preserve">) going through intracellular proteasome/endosome degradation of protein AGEs, and ending up with renal clearance of free and peptide AGEs. Anti-AGEs antibodies have been detected in sera of healthy individuals as part of a homeostatic mechanism, which clears altered structures </w:t>
      </w:r>
      <w:r w:rsidRPr="005936B2">
        <w:rPr>
          <w:rFonts w:ascii="Book Antiqua" w:hAnsi="Book Antiqua"/>
          <w:i/>
          <w:sz w:val="24"/>
          <w:szCs w:val="24"/>
        </w:rPr>
        <w:t>via</w:t>
      </w:r>
      <w:r w:rsidRPr="005936B2">
        <w:rPr>
          <w:rFonts w:ascii="Book Antiqua" w:hAnsi="Book Antiqua"/>
          <w:sz w:val="24"/>
          <w:szCs w:val="24"/>
        </w:rPr>
        <w:t xml:space="preserve"> </w:t>
      </w:r>
      <w:r w:rsidRPr="005936B2">
        <w:rPr>
          <w:rFonts w:ascii="Book Antiqua" w:hAnsi="Book Antiqua"/>
          <w:i/>
          <w:sz w:val="24"/>
          <w:szCs w:val="24"/>
        </w:rPr>
        <w:t>in situ</w:t>
      </w:r>
      <w:r w:rsidRPr="005936B2">
        <w:rPr>
          <w:rFonts w:ascii="Book Antiqua" w:hAnsi="Book Antiqua"/>
          <w:sz w:val="24"/>
          <w:szCs w:val="24"/>
        </w:rPr>
        <w:t xml:space="preserve"> destruction or </w:t>
      </w:r>
      <w:r w:rsidRPr="005936B2">
        <w:rPr>
          <w:rFonts w:ascii="Book Antiqua" w:hAnsi="Book Antiqua"/>
          <w:i/>
          <w:sz w:val="24"/>
          <w:szCs w:val="24"/>
        </w:rPr>
        <w:t>via</w:t>
      </w:r>
      <w:r w:rsidRPr="005936B2">
        <w:rPr>
          <w:rFonts w:ascii="Book Antiqua" w:hAnsi="Book Antiqua"/>
          <w:sz w:val="24"/>
          <w:szCs w:val="24"/>
        </w:rPr>
        <w:t xml:space="preserve"> </w:t>
      </w:r>
      <w:proofErr w:type="gramStart"/>
      <w:r w:rsidRPr="005936B2">
        <w:rPr>
          <w:rFonts w:ascii="Book Antiqua" w:hAnsi="Book Antiqua"/>
          <w:sz w:val="24"/>
          <w:szCs w:val="24"/>
        </w:rPr>
        <w:t>opson</w:t>
      </w:r>
      <w:bookmarkStart w:id="2" w:name="_GoBack"/>
      <w:bookmarkEnd w:id="2"/>
      <w:r w:rsidRPr="005936B2">
        <w:rPr>
          <w:rFonts w:ascii="Book Antiqua" w:hAnsi="Book Antiqua"/>
          <w:sz w:val="24"/>
          <w:szCs w:val="24"/>
        </w:rPr>
        <w:t>ization</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237]</w:t>
      </w:r>
      <w:r w:rsidRPr="005936B2">
        <w:rPr>
          <w:rFonts w:ascii="Book Antiqua" w:hAnsi="Book Antiqua"/>
          <w:sz w:val="24"/>
          <w:szCs w:val="24"/>
        </w:rPr>
        <w:t>. The formation of AGEs starts during embryonic development and one can assume that against some stable AGEs in long-lived proteins an immune tolerance might be developed. IFN</w:t>
      </w:r>
      <w:r w:rsidRPr="005936B2">
        <w:rPr>
          <w:rFonts w:ascii="Book Antiqua" w:hAnsi="Book Antiqua"/>
          <w:sz w:val="24"/>
          <w:szCs w:val="24"/>
        </w:rPr>
        <w:t>, however, is a short-lived protein (half-life of hours) and it is expected that upon administration in patients IFN</w:t>
      </w:r>
      <w:r w:rsidRPr="005936B2">
        <w:rPr>
          <w:rFonts w:ascii="Book Antiqua" w:hAnsi="Book Antiqua"/>
          <w:sz w:val="24"/>
          <w:szCs w:val="24"/>
        </w:rPr>
        <w:t xml:space="preserve">-AGEs would be recognized as non-self-antigen thus provoking a classical type immune response.  </w:t>
      </w:r>
    </w:p>
    <w:p w:rsidR="007A30DF" w:rsidRPr="005936B2" w:rsidRDefault="007A30DF" w:rsidP="007A30DF">
      <w:pPr>
        <w:spacing w:line="360" w:lineRule="auto"/>
        <w:ind w:firstLine="709"/>
        <w:rPr>
          <w:rFonts w:ascii="Book Antiqua" w:hAnsi="Book Antiqua"/>
          <w:sz w:val="24"/>
          <w:szCs w:val="24"/>
        </w:rPr>
      </w:pPr>
      <w:r w:rsidRPr="005936B2">
        <w:rPr>
          <w:rFonts w:ascii="Book Antiqua" w:hAnsi="Book Antiqua"/>
          <w:sz w:val="24"/>
          <w:szCs w:val="24"/>
        </w:rPr>
        <w:t>The adaptive immunity against IFN</w:t>
      </w:r>
      <w:r w:rsidRPr="005936B2">
        <w:rPr>
          <w:rFonts w:ascii="Book Antiqua" w:hAnsi="Book Antiqua"/>
          <w:sz w:val="24"/>
          <w:szCs w:val="24"/>
        </w:rPr>
        <w:sym w:font="Symbol" w:char="F062"/>
      </w:r>
      <w:r w:rsidRPr="005936B2">
        <w:rPr>
          <w:rFonts w:ascii="Book Antiqua" w:hAnsi="Book Antiqua"/>
          <w:sz w:val="24"/>
          <w:szCs w:val="24"/>
        </w:rPr>
        <w:t xml:space="preserve"> may be preceded by activation of the innate immunity. The binding of IFN</w:t>
      </w:r>
      <w:r w:rsidRPr="005936B2">
        <w:rPr>
          <w:rFonts w:ascii="Book Antiqua" w:hAnsi="Book Antiqua"/>
          <w:sz w:val="24"/>
          <w:szCs w:val="24"/>
        </w:rPr>
        <w:sym w:font="Symbol" w:char="F062"/>
      </w:r>
      <w:r w:rsidRPr="005936B2">
        <w:rPr>
          <w:rFonts w:ascii="Book Antiqua" w:hAnsi="Book Antiqua"/>
          <w:sz w:val="24"/>
          <w:szCs w:val="24"/>
        </w:rPr>
        <w:t>-AGEs to non-specific (for AGEs) cellular receptors, such as the scavenger receptors and AGE-R3 on macrophages can result in IFN</w:t>
      </w:r>
      <w:r w:rsidRPr="005936B2">
        <w:rPr>
          <w:rFonts w:ascii="Book Antiqua" w:hAnsi="Book Antiqua"/>
          <w:sz w:val="24"/>
          <w:szCs w:val="24"/>
        </w:rPr>
        <w:t>-AGEs degradation by phagocytosis (Figure 9). On the other hand, it has been shown that the specific receptor for AGEs, RAGE, belongs to the immunoglobulin superfamily and has the properties of a pattern recognition receptor (PRR)</w:t>
      </w:r>
      <w:r w:rsidRPr="005936B2">
        <w:rPr>
          <w:rFonts w:ascii="Book Antiqua" w:hAnsi="Book Antiqua"/>
          <w:sz w:val="24"/>
          <w:szCs w:val="24"/>
          <w:vertAlign w:val="superscript"/>
        </w:rPr>
        <w:t>[137,238,239]</w:t>
      </w:r>
      <w:r w:rsidRPr="005936B2">
        <w:rPr>
          <w:rFonts w:ascii="Book Antiqua" w:hAnsi="Book Antiqua"/>
          <w:sz w:val="24"/>
          <w:szCs w:val="24"/>
        </w:rPr>
        <w:t>, which can sense recurring structures of the type of pathogen-associated molecular patterns (PAMPs)</w:t>
      </w:r>
      <w:r w:rsidRPr="005936B2">
        <w:rPr>
          <w:rFonts w:ascii="Book Antiqua" w:hAnsi="Book Antiqua"/>
          <w:sz w:val="24"/>
          <w:szCs w:val="24"/>
          <w:vertAlign w:val="superscript"/>
        </w:rPr>
        <w:t>[150]</w:t>
      </w:r>
      <w:r w:rsidRPr="005936B2">
        <w:rPr>
          <w:rFonts w:ascii="Book Antiqua" w:hAnsi="Book Antiqua"/>
          <w:sz w:val="24"/>
          <w:szCs w:val="24"/>
        </w:rPr>
        <w:t xml:space="preserve">. It is well-known that the interaction of PRR with PAMPs triggers an intracellular signaling cascade, which initiates an innate, inflammatory by nature, immune </w:t>
      </w:r>
      <w:proofErr w:type="gramStart"/>
      <w:r w:rsidRPr="005936B2">
        <w:rPr>
          <w:rFonts w:ascii="Book Antiqua" w:hAnsi="Book Antiqua"/>
          <w:sz w:val="24"/>
          <w:szCs w:val="24"/>
        </w:rPr>
        <w:t>response</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240]</w:t>
      </w:r>
      <w:r w:rsidRPr="005936B2">
        <w:rPr>
          <w:rFonts w:ascii="Book Antiqua" w:hAnsi="Book Antiqua"/>
          <w:sz w:val="24"/>
          <w:szCs w:val="24"/>
        </w:rPr>
        <w:t xml:space="preserve"> resulting in degradation of the pathogen and in enhancement of the adaptive immune response. We have shown that Advaferon, Betaferon and Rebif contain covalent IFN</w:t>
      </w:r>
      <w:r w:rsidRPr="005936B2">
        <w:rPr>
          <w:rFonts w:ascii="Book Antiqua" w:hAnsi="Book Antiqua"/>
          <w:sz w:val="24"/>
          <w:szCs w:val="24"/>
        </w:rPr>
        <w:t> aggregates</w:t>
      </w:r>
      <w:r w:rsidRPr="005936B2">
        <w:rPr>
          <w:rFonts w:ascii="Book Antiqua" w:hAnsi="Book Antiqua"/>
          <w:sz w:val="24"/>
          <w:szCs w:val="24"/>
          <w:vertAlign w:val="superscript"/>
        </w:rPr>
        <w:t>[211,241]</w:t>
      </w:r>
      <w:r w:rsidRPr="005936B2">
        <w:rPr>
          <w:rFonts w:ascii="Book Antiqua" w:hAnsi="Book Antiqua"/>
          <w:sz w:val="24"/>
          <w:szCs w:val="24"/>
        </w:rPr>
        <w:t xml:space="preserve">, which are formed perhaps </w:t>
      </w:r>
      <w:r w:rsidRPr="005936B2">
        <w:rPr>
          <w:rFonts w:ascii="Book Antiqua" w:hAnsi="Book Antiqua"/>
          <w:sz w:val="24"/>
          <w:szCs w:val="24"/>
          <w:lang w:val="bg-BG"/>
        </w:rPr>
        <w:t xml:space="preserve">by </w:t>
      </w:r>
      <w:r w:rsidRPr="005936B2">
        <w:rPr>
          <w:rFonts w:ascii="Book Antiqua" w:hAnsi="Book Antiqua"/>
          <w:sz w:val="24"/>
          <w:szCs w:val="24"/>
        </w:rPr>
        <w:t xml:space="preserve">glycoxidation </w:t>
      </w:r>
      <w:r w:rsidRPr="005936B2">
        <w:rPr>
          <w:rFonts w:ascii="Book Antiqua" w:hAnsi="Book Antiqua"/>
          <w:i/>
          <w:sz w:val="24"/>
          <w:szCs w:val="24"/>
        </w:rPr>
        <w:t>via</w:t>
      </w:r>
      <w:r w:rsidRPr="005936B2">
        <w:rPr>
          <w:rFonts w:ascii="Book Antiqua" w:hAnsi="Book Antiqua"/>
          <w:sz w:val="24"/>
          <w:szCs w:val="24"/>
        </w:rPr>
        <w:t xml:space="preserve"> the mediator role of crosslinking AGEs like GOLD, MOLD, pentosidine </w:t>
      </w:r>
      <w:r w:rsidRPr="005936B2">
        <w:rPr>
          <w:rFonts w:ascii="Book Antiqua" w:hAnsi="Book Antiqua"/>
          <w:i/>
          <w:sz w:val="24"/>
          <w:szCs w:val="24"/>
        </w:rPr>
        <w:t>etc</w:t>
      </w:r>
      <w:r w:rsidRPr="005936B2">
        <w:rPr>
          <w:rFonts w:ascii="Book Antiqua" w:hAnsi="Book Antiqua"/>
          <w:sz w:val="24"/>
          <w:szCs w:val="24"/>
        </w:rPr>
        <w:t>. Such covalent aggregates may resemble PAMPs thus interacting with RAGE on macrophages, NK (natural killer) cells and other immune cells to elicit an innate immune response.</w:t>
      </w:r>
    </w:p>
    <w:p w:rsidR="007A30DF" w:rsidRPr="005936B2" w:rsidRDefault="007A30DF" w:rsidP="007A30DF">
      <w:pPr>
        <w:spacing w:line="360" w:lineRule="auto"/>
        <w:ind w:firstLine="709"/>
        <w:rPr>
          <w:rFonts w:ascii="Book Antiqua" w:hAnsi="Book Antiqua"/>
          <w:sz w:val="24"/>
          <w:szCs w:val="24"/>
        </w:rPr>
      </w:pPr>
      <w:r w:rsidRPr="005936B2">
        <w:rPr>
          <w:rFonts w:ascii="Book Antiqua" w:hAnsi="Book Antiqua"/>
          <w:sz w:val="24"/>
          <w:szCs w:val="24"/>
        </w:rPr>
        <w:t xml:space="preserve">RAGE may play further role in inflammatory </w:t>
      </w:r>
      <w:proofErr w:type="gramStart"/>
      <w:r w:rsidRPr="005936B2">
        <w:rPr>
          <w:rFonts w:ascii="Book Antiqua" w:hAnsi="Book Antiqua"/>
          <w:sz w:val="24"/>
          <w:szCs w:val="24"/>
        </w:rPr>
        <w:t>reactions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151, 242]</w:t>
      </w:r>
      <w:r w:rsidRPr="005936B2">
        <w:rPr>
          <w:rFonts w:ascii="Book Antiqua" w:hAnsi="Book Antiqua"/>
          <w:sz w:val="24"/>
          <w:szCs w:val="24"/>
        </w:rPr>
        <w:t xml:space="preserve"> during IFN</w:t>
      </w:r>
      <w:r w:rsidRPr="005936B2">
        <w:rPr>
          <w:rFonts w:ascii="Book Antiqua" w:hAnsi="Book Antiqua"/>
          <w:sz w:val="24"/>
          <w:szCs w:val="24"/>
        </w:rPr>
        <w:t xml:space="preserve">-AGEs therapy. It has been reported that </w:t>
      </w:r>
      <w:proofErr w:type="gramStart"/>
      <w:r w:rsidRPr="005936B2">
        <w:rPr>
          <w:rFonts w:ascii="Book Antiqua" w:hAnsi="Book Antiqua"/>
          <w:sz w:val="24"/>
          <w:szCs w:val="24"/>
        </w:rPr>
        <w:t>CML</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243,244]</w:t>
      </w:r>
      <w:r w:rsidRPr="005936B2">
        <w:rPr>
          <w:rFonts w:ascii="Book Antiqua" w:hAnsi="Book Antiqua"/>
          <w:sz w:val="24"/>
          <w:szCs w:val="24"/>
        </w:rPr>
        <w:t xml:space="preserve"> and MG-derived hydroimidazolone</w:t>
      </w:r>
      <w:r w:rsidRPr="005936B2">
        <w:rPr>
          <w:rFonts w:ascii="Book Antiqua" w:hAnsi="Book Antiqua"/>
          <w:sz w:val="24"/>
          <w:szCs w:val="24"/>
          <w:vertAlign w:val="superscript"/>
        </w:rPr>
        <w:t>[245]</w:t>
      </w:r>
      <w:r w:rsidRPr="005936B2">
        <w:rPr>
          <w:rFonts w:ascii="Book Antiqua" w:hAnsi="Book Antiqua"/>
          <w:sz w:val="24"/>
          <w:szCs w:val="24"/>
        </w:rPr>
        <w:t xml:space="preserve"> are ligands for RAGE. Binding of RAGE with these and other AGEs and non-AGEs ligands such amfoterin does not result in ligands’ degradation but rather triggers different signaling pathways, including proinflammatory responses </w:t>
      </w:r>
      <w:r w:rsidRPr="005936B2">
        <w:rPr>
          <w:rFonts w:ascii="Book Antiqua" w:hAnsi="Book Antiqua"/>
          <w:i/>
          <w:sz w:val="24"/>
          <w:szCs w:val="24"/>
        </w:rPr>
        <w:t>via</w:t>
      </w:r>
      <w:r w:rsidRPr="005936B2">
        <w:rPr>
          <w:rFonts w:ascii="Book Antiqua" w:hAnsi="Book Antiqua"/>
          <w:sz w:val="24"/>
          <w:szCs w:val="24"/>
        </w:rPr>
        <w:t xml:space="preserve"> the activation of transcription factor NF-</w:t>
      </w:r>
      <w:r w:rsidRPr="005936B2">
        <w:rPr>
          <w:rFonts w:ascii="Book Antiqua" w:hAnsi="Book Antiqua"/>
          <w:sz w:val="24"/>
          <w:szCs w:val="24"/>
        </w:rPr>
        <w:sym w:font="Symbol" w:char="F06B"/>
      </w:r>
      <w:r w:rsidRPr="005936B2">
        <w:rPr>
          <w:rFonts w:ascii="Book Antiqua" w:hAnsi="Book Antiqua"/>
          <w:sz w:val="24"/>
          <w:szCs w:val="24"/>
        </w:rPr>
        <w:t>B</w:t>
      </w:r>
      <w:r w:rsidRPr="005936B2">
        <w:rPr>
          <w:rFonts w:ascii="Book Antiqua" w:hAnsi="Book Antiqua"/>
          <w:sz w:val="24"/>
          <w:szCs w:val="24"/>
          <w:vertAlign w:val="superscript"/>
        </w:rPr>
        <w:t>[138,246,247]</w:t>
      </w:r>
      <w:r w:rsidRPr="005936B2">
        <w:rPr>
          <w:rFonts w:ascii="Book Antiqua" w:hAnsi="Book Antiqua"/>
          <w:sz w:val="24"/>
          <w:szCs w:val="24"/>
        </w:rPr>
        <w:t xml:space="preserve">. Also, RAGE on </w:t>
      </w:r>
      <w:r w:rsidRPr="005936B2">
        <w:rPr>
          <w:rFonts w:ascii="Book Antiqua" w:hAnsi="Book Antiqua"/>
          <w:sz w:val="24"/>
          <w:szCs w:val="24"/>
        </w:rPr>
        <w:lastRenderedPageBreak/>
        <w:t xml:space="preserve">endothelial cells may act as an adhesive receptor interacting with leukocyte b2 </w:t>
      </w:r>
      <w:proofErr w:type="gramStart"/>
      <w:r w:rsidRPr="005936B2">
        <w:rPr>
          <w:rFonts w:ascii="Book Antiqua" w:hAnsi="Book Antiqua"/>
          <w:sz w:val="24"/>
          <w:szCs w:val="24"/>
        </w:rPr>
        <w:t>integrins</w:t>
      </w:r>
      <w:r w:rsidRPr="005936B2">
        <w:rPr>
          <w:rFonts w:ascii="Book Antiqua" w:hAnsi="Book Antiqua"/>
          <w:sz w:val="24"/>
          <w:szCs w:val="24"/>
          <w:vertAlign w:val="superscript"/>
        </w:rPr>
        <w:t>[</w:t>
      </w:r>
      <w:proofErr w:type="gramEnd"/>
      <w:r w:rsidRPr="005936B2">
        <w:rPr>
          <w:rFonts w:ascii="Book Antiqua" w:hAnsi="Book Antiqua"/>
          <w:sz w:val="24"/>
          <w:szCs w:val="24"/>
          <w:vertAlign w:val="superscript"/>
        </w:rPr>
        <w:t>151]</w:t>
      </w:r>
      <w:r w:rsidRPr="005936B2">
        <w:rPr>
          <w:rFonts w:ascii="Book Antiqua" w:hAnsi="Book Antiqua"/>
          <w:sz w:val="24"/>
          <w:szCs w:val="24"/>
        </w:rPr>
        <w:t xml:space="preserve"> to recruit immune cells into sites of inflammation. Taken together the different pathways, in which the immune system may react against IFN</w:t>
      </w:r>
      <w:r w:rsidRPr="005936B2">
        <w:rPr>
          <w:rFonts w:ascii="Book Antiqua" w:hAnsi="Book Antiqua"/>
          <w:sz w:val="24"/>
          <w:szCs w:val="24"/>
        </w:rPr>
        <w:sym w:font="Symbol" w:char="F062"/>
      </w:r>
      <w:r w:rsidRPr="005936B2">
        <w:rPr>
          <w:rFonts w:ascii="Book Antiqua" w:hAnsi="Book Antiqua"/>
          <w:sz w:val="24"/>
          <w:szCs w:val="24"/>
        </w:rPr>
        <w:t>-AGEs, are expected to result in neutralization of IFN</w:t>
      </w:r>
      <w:r w:rsidRPr="005936B2">
        <w:rPr>
          <w:rFonts w:ascii="Book Antiqua" w:hAnsi="Book Antiqua"/>
          <w:sz w:val="24"/>
          <w:szCs w:val="24"/>
        </w:rPr>
        <w:t xml:space="preserve"> activity (inefficient therapy), and in immune-mediated side effects (risky therapy). </w:t>
      </w:r>
    </w:p>
    <w:p w:rsidR="007A30DF" w:rsidRPr="005936B2" w:rsidRDefault="007A30DF" w:rsidP="007A30DF">
      <w:pPr>
        <w:spacing w:line="360" w:lineRule="auto"/>
        <w:rPr>
          <w:rFonts w:ascii="Book Antiqua" w:hAnsi="Book Antiqua"/>
          <w:b/>
          <w:bCs/>
          <w:sz w:val="24"/>
          <w:szCs w:val="24"/>
        </w:rPr>
      </w:pPr>
    </w:p>
    <w:p w:rsidR="007A30DF" w:rsidRPr="005936B2" w:rsidRDefault="007A30DF" w:rsidP="007A30DF">
      <w:pPr>
        <w:spacing w:line="360" w:lineRule="auto"/>
        <w:rPr>
          <w:rFonts w:ascii="Book Antiqua" w:hAnsi="Book Antiqua"/>
          <w:b/>
          <w:bCs/>
          <w:sz w:val="24"/>
          <w:szCs w:val="24"/>
        </w:rPr>
      </w:pPr>
      <w:r w:rsidRPr="005936B2">
        <w:rPr>
          <w:rFonts w:ascii="Book Antiqua" w:hAnsi="Book Antiqua"/>
          <w:b/>
          <w:bCs/>
          <w:sz w:val="24"/>
          <w:szCs w:val="24"/>
        </w:rPr>
        <w:t>CONCLUSION</w:t>
      </w:r>
    </w:p>
    <w:p w:rsidR="007A30DF" w:rsidRPr="005936B2" w:rsidRDefault="007A30DF" w:rsidP="007A30DF">
      <w:pPr>
        <w:spacing w:line="360" w:lineRule="auto"/>
        <w:rPr>
          <w:rFonts w:ascii="Book Antiqua" w:hAnsi="Book Antiqua"/>
          <w:bCs/>
          <w:sz w:val="24"/>
          <w:szCs w:val="24"/>
        </w:rPr>
      </w:pPr>
      <w:r w:rsidRPr="005936B2">
        <w:rPr>
          <w:rFonts w:ascii="Book Antiqua" w:hAnsi="Book Antiqua"/>
          <w:bCs/>
          <w:sz w:val="24"/>
          <w:szCs w:val="24"/>
        </w:rPr>
        <w:t xml:space="preserve">Many proteins used today in medicine (erythropoietin, insulin, human growth hormone, clotting factors VIII and IX) have been shown to elicit varying incidence of antibody generation in treated </w:t>
      </w:r>
      <w:proofErr w:type="gramStart"/>
      <w:r w:rsidRPr="005936B2">
        <w:rPr>
          <w:rFonts w:ascii="Book Antiqua" w:hAnsi="Book Antiqua"/>
          <w:bCs/>
          <w:sz w:val="24"/>
          <w:szCs w:val="24"/>
        </w:rPr>
        <w:t>patients</w:t>
      </w:r>
      <w:r w:rsidRPr="005936B2">
        <w:rPr>
          <w:rFonts w:ascii="Book Antiqua" w:hAnsi="Book Antiqua"/>
          <w:bCs/>
          <w:sz w:val="24"/>
          <w:szCs w:val="24"/>
          <w:vertAlign w:val="superscript"/>
        </w:rPr>
        <w:t>[</w:t>
      </w:r>
      <w:proofErr w:type="gramEnd"/>
      <w:r w:rsidRPr="005936B2">
        <w:rPr>
          <w:rFonts w:ascii="Book Antiqua" w:hAnsi="Book Antiqua"/>
          <w:bCs/>
          <w:sz w:val="24"/>
          <w:szCs w:val="24"/>
          <w:vertAlign w:val="superscript"/>
        </w:rPr>
        <w:t>5]</w:t>
      </w:r>
      <w:r w:rsidRPr="005936B2">
        <w:rPr>
          <w:rFonts w:ascii="Book Antiqua" w:hAnsi="Book Antiqua"/>
          <w:bCs/>
          <w:sz w:val="24"/>
          <w:szCs w:val="24"/>
        </w:rPr>
        <w:t xml:space="preserve">. Proteins are susceptible to glycation and it is the protein structure that determines to what extent given protein will accumulate AGEs. Scaling up the studies by including other therapeutic proteins will reveal the magnitude of AGEs as a causal factor of drugs’ immunogenicity. On the other side, not only the protein structure but the whole manufacturing process may impact the glycation status of proteins. Therefore, specific anti-glycation strategies have to be applied to prevent protein glycoixidation. The choice and engineering of appropriate host cells are of particular importance. The glycation potential of host cells should be controlled at all stages of the Maillard reaction including its initiation, propagation and progression. Engineering host cells to overexpress enzymes that detoxify carbonyl compounds will block glycation initiation and its propagation. In a similar way, the overexpression of </w:t>
      </w:r>
      <w:proofErr w:type="gramStart"/>
      <w:r w:rsidRPr="005936B2">
        <w:rPr>
          <w:rFonts w:ascii="Book Antiqua" w:hAnsi="Book Antiqua"/>
          <w:bCs/>
          <w:sz w:val="24"/>
          <w:szCs w:val="24"/>
        </w:rPr>
        <w:t>deglycases</w:t>
      </w:r>
      <w:r w:rsidRPr="005936B2">
        <w:rPr>
          <w:rFonts w:ascii="Book Antiqua" w:hAnsi="Book Antiqua"/>
          <w:bCs/>
          <w:sz w:val="24"/>
          <w:szCs w:val="24"/>
          <w:vertAlign w:val="superscript"/>
        </w:rPr>
        <w:t>[</w:t>
      </w:r>
      <w:proofErr w:type="gramEnd"/>
      <w:r w:rsidRPr="005936B2">
        <w:rPr>
          <w:rFonts w:ascii="Book Antiqua" w:hAnsi="Book Antiqua"/>
          <w:bCs/>
          <w:sz w:val="24"/>
          <w:szCs w:val="24"/>
          <w:vertAlign w:val="superscript"/>
        </w:rPr>
        <w:t>235,236]</w:t>
      </w:r>
      <w:r w:rsidRPr="005936B2">
        <w:rPr>
          <w:rFonts w:ascii="Book Antiqua" w:hAnsi="Book Antiqua"/>
          <w:bCs/>
          <w:sz w:val="24"/>
          <w:szCs w:val="24"/>
        </w:rPr>
        <w:t xml:space="preserve"> in host cells may interfere with early glycation stages. Also, a number of studies report on synthetic and natural compounds with anti-glycation </w:t>
      </w:r>
      <w:proofErr w:type="gramStart"/>
      <w:r w:rsidRPr="005936B2">
        <w:rPr>
          <w:rFonts w:ascii="Book Antiqua" w:hAnsi="Book Antiqua"/>
          <w:bCs/>
          <w:sz w:val="24"/>
          <w:szCs w:val="24"/>
        </w:rPr>
        <w:t>activity</w:t>
      </w:r>
      <w:r w:rsidRPr="005936B2">
        <w:rPr>
          <w:rFonts w:ascii="Book Antiqua" w:hAnsi="Book Antiqua"/>
          <w:bCs/>
          <w:sz w:val="24"/>
          <w:szCs w:val="24"/>
          <w:vertAlign w:val="superscript"/>
        </w:rPr>
        <w:t>[</w:t>
      </w:r>
      <w:proofErr w:type="gramEnd"/>
      <w:r w:rsidRPr="005936B2">
        <w:rPr>
          <w:rFonts w:ascii="Book Antiqua" w:hAnsi="Book Antiqua"/>
          <w:bCs/>
          <w:sz w:val="24"/>
          <w:szCs w:val="24"/>
          <w:vertAlign w:val="superscript"/>
        </w:rPr>
        <w:t>248]</w:t>
      </w:r>
      <w:r w:rsidRPr="005936B2">
        <w:rPr>
          <w:rFonts w:ascii="Book Antiqua" w:hAnsi="Book Antiqua"/>
          <w:bCs/>
          <w:sz w:val="24"/>
          <w:szCs w:val="24"/>
        </w:rPr>
        <w:t xml:space="preserve">. Such substances can be added to the fermentation media of host cells to inhibit protein glycation. Fermentation parameters such as glucose </w:t>
      </w:r>
      <w:proofErr w:type="gramStart"/>
      <w:r w:rsidRPr="005936B2">
        <w:rPr>
          <w:rFonts w:ascii="Book Antiqua" w:hAnsi="Book Antiqua"/>
          <w:bCs/>
          <w:sz w:val="24"/>
          <w:szCs w:val="24"/>
        </w:rPr>
        <w:t>concentration</w:t>
      </w:r>
      <w:r w:rsidRPr="005936B2">
        <w:rPr>
          <w:rFonts w:ascii="Book Antiqua" w:hAnsi="Book Antiqua"/>
          <w:bCs/>
          <w:sz w:val="24"/>
          <w:szCs w:val="24"/>
          <w:vertAlign w:val="superscript"/>
        </w:rPr>
        <w:t>[</w:t>
      </w:r>
      <w:proofErr w:type="gramEnd"/>
      <w:r w:rsidRPr="005936B2">
        <w:rPr>
          <w:rFonts w:ascii="Book Antiqua" w:hAnsi="Book Antiqua"/>
          <w:bCs/>
          <w:sz w:val="24"/>
          <w:szCs w:val="24"/>
          <w:vertAlign w:val="superscript"/>
        </w:rPr>
        <w:t>249]</w:t>
      </w:r>
      <w:r w:rsidRPr="005936B2">
        <w:rPr>
          <w:rFonts w:ascii="Book Antiqua" w:hAnsi="Book Antiqua"/>
          <w:bCs/>
          <w:sz w:val="24"/>
          <w:szCs w:val="24"/>
        </w:rPr>
        <w:t xml:space="preserve">, oxygen supply (when applicable), temperature, and pH-control are also of particular relevance. If despite all these measures there are glycation adducts still left on proteins, additional techniques could be applied such as: </w:t>
      </w:r>
      <w:r w:rsidRPr="005936B2">
        <w:rPr>
          <w:rFonts w:ascii="Book Antiqua" w:eastAsia="宋体" w:hAnsi="Book Antiqua"/>
          <w:bCs/>
          <w:sz w:val="24"/>
          <w:szCs w:val="24"/>
        </w:rPr>
        <w:t>(1</w:t>
      </w:r>
      <w:r w:rsidRPr="005936B2">
        <w:rPr>
          <w:rFonts w:ascii="Book Antiqua" w:hAnsi="Book Antiqua"/>
          <w:bCs/>
          <w:sz w:val="24"/>
          <w:szCs w:val="24"/>
        </w:rPr>
        <w:t xml:space="preserve">) boronate affinity chromatography for extraction of protein species modified by early glycation </w:t>
      </w:r>
      <w:proofErr w:type="gramStart"/>
      <w:r w:rsidRPr="005936B2">
        <w:rPr>
          <w:rFonts w:ascii="Book Antiqua" w:hAnsi="Book Antiqua"/>
          <w:bCs/>
          <w:sz w:val="24"/>
          <w:szCs w:val="24"/>
        </w:rPr>
        <w:t>products</w:t>
      </w:r>
      <w:r w:rsidRPr="005936B2">
        <w:rPr>
          <w:rFonts w:ascii="Book Antiqua" w:hAnsi="Book Antiqua"/>
          <w:bCs/>
          <w:sz w:val="24"/>
          <w:szCs w:val="24"/>
          <w:vertAlign w:val="superscript"/>
        </w:rPr>
        <w:t>[</w:t>
      </w:r>
      <w:proofErr w:type="gramEnd"/>
      <w:r w:rsidRPr="005936B2">
        <w:rPr>
          <w:rFonts w:ascii="Book Antiqua" w:hAnsi="Book Antiqua"/>
          <w:bCs/>
          <w:sz w:val="24"/>
          <w:szCs w:val="24"/>
          <w:vertAlign w:val="superscript"/>
        </w:rPr>
        <w:t>250]</w:t>
      </w:r>
      <w:r w:rsidRPr="005936B2">
        <w:rPr>
          <w:rFonts w:ascii="Book Antiqua" w:eastAsia="宋体" w:hAnsi="Book Antiqua"/>
          <w:bCs/>
          <w:sz w:val="24"/>
          <w:szCs w:val="24"/>
        </w:rPr>
        <w:t>;</w:t>
      </w:r>
      <w:r w:rsidRPr="005936B2">
        <w:rPr>
          <w:rFonts w:ascii="Book Antiqua" w:hAnsi="Book Antiqua"/>
          <w:bCs/>
          <w:sz w:val="24"/>
          <w:szCs w:val="24"/>
        </w:rPr>
        <w:t xml:space="preserve"> and </w:t>
      </w:r>
      <w:r w:rsidRPr="005936B2">
        <w:rPr>
          <w:rFonts w:ascii="Book Antiqua" w:eastAsia="宋体" w:hAnsi="Book Antiqua"/>
          <w:bCs/>
          <w:sz w:val="24"/>
          <w:szCs w:val="24"/>
        </w:rPr>
        <w:t>(2</w:t>
      </w:r>
      <w:r w:rsidRPr="005936B2">
        <w:rPr>
          <w:rFonts w:ascii="Book Antiqua" w:hAnsi="Book Antiqua"/>
          <w:bCs/>
          <w:sz w:val="24"/>
          <w:szCs w:val="24"/>
        </w:rPr>
        <w:t>) use of AGEs-</w:t>
      </w:r>
      <w:r w:rsidRPr="005936B2">
        <w:rPr>
          <w:rFonts w:ascii="Book Antiqua" w:hAnsi="Book Antiqua" w:cs="Book Antiqua"/>
          <w:sz w:val="24"/>
          <w:szCs w:val="24"/>
        </w:rPr>
        <w:t>breakers</w:t>
      </w:r>
      <w:r w:rsidRPr="005936B2">
        <w:rPr>
          <w:rFonts w:ascii="Book Antiqua" w:hAnsi="Book Antiqua" w:cs="Book Antiqua"/>
          <w:sz w:val="24"/>
          <w:szCs w:val="24"/>
          <w:vertAlign w:val="superscript"/>
        </w:rPr>
        <w:t>[251,252]</w:t>
      </w:r>
      <w:r w:rsidRPr="005936B2">
        <w:rPr>
          <w:rFonts w:ascii="Book Antiqua" w:hAnsi="Book Antiqua" w:cs="Book Antiqua"/>
          <w:sz w:val="24"/>
          <w:szCs w:val="24"/>
        </w:rPr>
        <w:t xml:space="preserve"> for removal of AGEs.</w:t>
      </w:r>
      <w:r w:rsidRPr="005936B2">
        <w:rPr>
          <w:rFonts w:ascii="Book Antiqua" w:hAnsi="Book Antiqua"/>
          <w:bCs/>
          <w:sz w:val="24"/>
          <w:szCs w:val="24"/>
        </w:rPr>
        <w:t xml:space="preserve"> Although costly, isolation, purification, formulation and storage of proteins are best to be conducted under anaerobic conditions, thereby avoiding the use of carbonyl compounds and transition metal </w:t>
      </w:r>
      <w:r w:rsidRPr="005936B2">
        <w:rPr>
          <w:rFonts w:ascii="Book Antiqua" w:hAnsi="Book Antiqua"/>
          <w:bCs/>
          <w:sz w:val="24"/>
          <w:szCs w:val="24"/>
        </w:rPr>
        <w:lastRenderedPageBreak/>
        <w:t xml:space="preserve">ions at each step. Finally, health care authorities including the American Food and Drug Administration and the European Medical Agency are recommended to undertake relevant initiatives for AGEs assessment of protein drugs. </w:t>
      </w:r>
    </w:p>
    <w:p w:rsidR="007A30DF" w:rsidRPr="005936B2" w:rsidRDefault="007A30DF" w:rsidP="007A0C7D">
      <w:pPr>
        <w:widowControl/>
        <w:spacing w:line="360" w:lineRule="auto"/>
        <w:rPr>
          <w:rFonts w:ascii="Book Antiqua" w:eastAsia="宋体" w:hAnsi="Book Antiqua" w:cs="宋体"/>
          <w:kern w:val="0"/>
          <w:sz w:val="24"/>
          <w:szCs w:val="24"/>
        </w:rPr>
      </w:pPr>
    </w:p>
    <w:p w:rsidR="007A30DF" w:rsidRPr="005936B2" w:rsidRDefault="007A30DF" w:rsidP="007A0C7D">
      <w:pPr>
        <w:widowControl/>
        <w:spacing w:line="360" w:lineRule="auto"/>
        <w:rPr>
          <w:rFonts w:ascii="Book Antiqua" w:eastAsia="宋体" w:hAnsi="Book Antiqua" w:cs="宋体"/>
          <w:kern w:val="0"/>
          <w:sz w:val="24"/>
          <w:szCs w:val="24"/>
        </w:rPr>
      </w:pPr>
    </w:p>
    <w:p w:rsidR="004C70F6" w:rsidRPr="005936B2" w:rsidRDefault="004C70F6">
      <w:pPr>
        <w:widowControl/>
        <w:jc w:val="left"/>
        <w:rPr>
          <w:rFonts w:ascii="Book Antiqua" w:hAnsi="Book Antiqua" w:cs="Arial"/>
          <w:b/>
          <w:sz w:val="24"/>
        </w:rPr>
      </w:pPr>
      <w:r w:rsidRPr="005936B2">
        <w:rPr>
          <w:rFonts w:ascii="Book Antiqua" w:hAnsi="Book Antiqua" w:cs="Arial"/>
          <w:b/>
          <w:sz w:val="24"/>
        </w:rPr>
        <w:br w:type="page"/>
      </w:r>
    </w:p>
    <w:p w:rsidR="007A30DF" w:rsidRPr="005936B2" w:rsidRDefault="007A30DF" w:rsidP="007A30DF">
      <w:pPr>
        <w:autoSpaceDE w:val="0"/>
        <w:autoSpaceDN w:val="0"/>
        <w:adjustRightInd w:val="0"/>
        <w:snapToGrid w:val="0"/>
        <w:spacing w:line="360" w:lineRule="auto"/>
        <w:rPr>
          <w:rFonts w:ascii="Book Antiqua" w:hAnsi="Book Antiqua" w:cs="Arial"/>
          <w:b/>
          <w:sz w:val="24"/>
        </w:rPr>
      </w:pPr>
      <w:r w:rsidRPr="005936B2">
        <w:rPr>
          <w:rFonts w:ascii="Book Antiqua" w:hAnsi="Book Antiqua" w:cs="Arial"/>
          <w:b/>
          <w:sz w:val="24"/>
        </w:rPr>
        <w:lastRenderedPageBreak/>
        <w:t>REFERENCES</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1</w:t>
      </w:r>
      <w:r w:rsidRPr="005936B2">
        <w:rPr>
          <w:rFonts w:ascii="Book Antiqua" w:eastAsia="宋体" w:hAnsi="Book Antiqua" w:cs="宋体"/>
          <w:b/>
          <w:kern w:val="0"/>
          <w:sz w:val="24"/>
          <w:szCs w:val="24"/>
        </w:rPr>
        <w:t xml:space="preserve"> Foged C, </w:t>
      </w:r>
      <w:r w:rsidRPr="005936B2">
        <w:rPr>
          <w:rFonts w:ascii="Book Antiqua" w:eastAsia="宋体" w:hAnsi="Book Antiqua" w:cs="宋体"/>
          <w:kern w:val="0"/>
          <w:sz w:val="24"/>
          <w:szCs w:val="24"/>
        </w:rPr>
        <w:t>Sundblad A. Immune reactions towards biopharmaceuticals – a general mechanistic overview.</w:t>
      </w:r>
      <w:proofErr w:type="gramEnd"/>
      <w:r w:rsidRPr="005936B2">
        <w:rPr>
          <w:rFonts w:ascii="Book Antiqua" w:eastAsia="宋体" w:hAnsi="Book Antiqua" w:cs="宋体"/>
          <w:kern w:val="0"/>
          <w:sz w:val="24"/>
          <w:szCs w:val="24"/>
        </w:rPr>
        <w:t xml:space="preserve"> In: van de Weert M, Møller EH. </w:t>
      </w:r>
      <w:proofErr w:type="gramStart"/>
      <w:r w:rsidRPr="005936B2">
        <w:rPr>
          <w:rFonts w:ascii="Book Antiqua" w:eastAsia="宋体" w:hAnsi="Book Antiqua" w:cs="宋体"/>
          <w:kern w:val="0"/>
          <w:sz w:val="24"/>
          <w:szCs w:val="24"/>
        </w:rPr>
        <w:t>Immunogenicity of Biopharmaceuticals.</w:t>
      </w:r>
      <w:proofErr w:type="gramEnd"/>
      <w:r w:rsidRPr="005936B2">
        <w:rPr>
          <w:rFonts w:ascii="Book Antiqua" w:eastAsia="宋体" w:hAnsi="Book Antiqua" w:cs="宋体"/>
          <w:kern w:val="0"/>
          <w:sz w:val="24"/>
          <w:szCs w:val="24"/>
        </w:rPr>
        <w:t xml:space="preserve"> New York: Springer, 2008</w:t>
      </w:r>
      <w:r w:rsidR="004C70F6" w:rsidRPr="005936B2">
        <w:rPr>
          <w:rFonts w:ascii="Book Antiqua" w:eastAsia="宋体" w:hAnsi="Book Antiqua" w:cs="宋体"/>
          <w:kern w:val="0"/>
          <w:sz w:val="24"/>
          <w:szCs w:val="24"/>
        </w:rPr>
        <w:t>:</w:t>
      </w:r>
      <w:r w:rsidRPr="005936B2">
        <w:rPr>
          <w:rFonts w:ascii="Book Antiqua" w:eastAsia="宋体" w:hAnsi="Book Antiqua" w:cs="宋体"/>
          <w:kern w:val="0"/>
          <w:sz w:val="24"/>
          <w:szCs w:val="24"/>
        </w:rPr>
        <w:t xml:space="preserve"> 1-25 [DOI: 10.1007/978-0-387-75841-1_1]</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2 </w:t>
      </w:r>
      <w:r w:rsidRPr="005936B2">
        <w:rPr>
          <w:rFonts w:ascii="Book Antiqua" w:eastAsia="宋体" w:hAnsi="Book Antiqua" w:cs="宋体"/>
          <w:b/>
          <w:bCs/>
          <w:kern w:val="0"/>
          <w:sz w:val="24"/>
          <w:szCs w:val="24"/>
        </w:rPr>
        <w:t>Bertolotto A</w:t>
      </w:r>
      <w:r w:rsidRPr="005936B2">
        <w:rPr>
          <w:rFonts w:ascii="Book Antiqua" w:eastAsia="宋体" w:hAnsi="Book Antiqua" w:cs="宋体"/>
          <w:kern w:val="0"/>
          <w:sz w:val="24"/>
          <w:szCs w:val="24"/>
        </w:rPr>
        <w:t>, Deisenhammer F, Gallo P, Sölberg Sørensen P. Immunogenicity of interferon beta: differences among products. </w:t>
      </w:r>
      <w:r w:rsidRPr="005936B2">
        <w:rPr>
          <w:rFonts w:ascii="Book Antiqua" w:eastAsia="宋体" w:hAnsi="Book Antiqua" w:cs="宋体"/>
          <w:i/>
          <w:iCs/>
          <w:kern w:val="0"/>
          <w:sz w:val="24"/>
          <w:szCs w:val="24"/>
        </w:rPr>
        <w:t>J Neurol</w:t>
      </w:r>
      <w:r w:rsidRPr="005936B2">
        <w:rPr>
          <w:rFonts w:ascii="Book Antiqua" w:eastAsia="宋体" w:hAnsi="Book Antiqua" w:cs="宋体"/>
          <w:kern w:val="0"/>
          <w:sz w:val="24"/>
          <w:szCs w:val="24"/>
        </w:rPr>
        <w:t> 2004; </w:t>
      </w:r>
      <w:r w:rsidRPr="005936B2">
        <w:rPr>
          <w:rFonts w:ascii="Book Antiqua" w:eastAsia="宋体" w:hAnsi="Book Antiqua" w:cs="宋体"/>
          <w:b/>
          <w:bCs/>
          <w:kern w:val="0"/>
          <w:sz w:val="24"/>
          <w:szCs w:val="24"/>
        </w:rPr>
        <w:t xml:space="preserve">251 </w:t>
      </w:r>
      <w:r w:rsidRPr="005936B2">
        <w:rPr>
          <w:rFonts w:ascii="Book Antiqua" w:eastAsia="宋体" w:hAnsi="Book Antiqua" w:cs="宋体"/>
          <w:bCs/>
          <w:kern w:val="0"/>
          <w:sz w:val="24"/>
          <w:szCs w:val="24"/>
        </w:rPr>
        <w:t>Suppl 2</w:t>
      </w:r>
      <w:r w:rsidRPr="005936B2">
        <w:rPr>
          <w:rFonts w:ascii="Book Antiqua" w:eastAsia="宋体" w:hAnsi="Book Antiqua" w:cs="宋体"/>
          <w:kern w:val="0"/>
          <w:sz w:val="24"/>
          <w:szCs w:val="24"/>
        </w:rPr>
        <w:t>: II15-II24 [PMID: 15264108 DOI: 10.1007/s00415-004-1204-7]</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3 </w:t>
      </w:r>
      <w:r w:rsidRPr="005936B2">
        <w:rPr>
          <w:rFonts w:ascii="Book Antiqua" w:eastAsia="宋体" w:hAnsi="Book Antiqua" w:cs="宋体"/>
          <w:b/>
          <w:bCs/>
          <w:kern w:val="0"/>
          <w:sz w:val="24"/>
          <w:szCs w:val="24"/>
        </w:rPr>
        <w:t>Albertsson-Wikland K</w:t>
      </w:r>
      <w:r w:rsidRPr="005936B2">
        <w:rPr>
          <w:rFonts w:ascii="Book Antiqua" w:eastAsia="宋体" w:hAnsi="Book Antiqua" w:cs="宋体"/>
          <w:kern w:val="0"/>
          <w:sz w:val="24"/>
          <w:szCs w:val="24"/>
        </w:rPr>
        <w:t>. Clinical trial</w:t>
      </w:r>
      <w:proofErr w:type="gramEnd"/>
      <w:r w:rsidRPr="005936B2">
        <w:rPr>
          <w:rFonts w:ascii="Book Antiqua" w:eastAsia="宋体" w:hAnsi="Book Antiqua" w:cs="宋体"/>
          <w:kern w:val="0"/>
          <w:sz w:val="24"/>
          <w:szCs w:val="24"/>
        </w:rPr>
        <w:t xml:space="preserve"> with authentic recombinant somatropin in Sweden and Finland. </w:t>
      </w:r>
      <w:r w:rsidRPr="005936B2">
        <w:rPr>
          <w:rFonts w:ascii="Book Antiqua" w:eastAsia="宋体" w:hAnsi="Book Antiqua" w:cs="宋体"/>
          <w:i/>
          <w:iCs/>
          <w:kern w:val="0"/>
          <w:sz w:val="24"/>
          <w:szCs w:val="24"/>
        </w:rPr>
        <w:t>Acta Paediatr Scand Suppl</w:t>
      </w:r>
      <w:r w:rsidRPr="005936B2">
        <w:rPr>
          <w:rFonts w:ascii="Book Antiqua" w:eastAsia="宋体" w:hAnsi="Book Antiqua" w:cs="宋体"/>
          <w:kern w:val="0"/>
          <w:sz w:val="24"/>
          <w:szCs w:val="24"/>
        </w:rPr>
        <w:t> 1987; </w:t>
      </w:r>
      <w:r w:rsidRPr="005936B2">
        <w:rPr>
          <w:rFonts w:ascii="Book Antiqua" w:eastAsia="宋体" w:hAnsi="Book Antiqua" w:cs="宋体"/>
          <w:b/>
          <w:bCs/>
          <w:kern w:val="0"/>
          <w:sz w:val="24"/>
          <w:szCs w:val="24"/>
        </w:rPr>
        <w:t>331</w:t>
      </w:r>
      <w:r w:rsidRPr="005936B2">
        <w:rPr>
          <w:rFonts w:ascii="Book Antiqua" w:eastAsia="宋体" w:hAnsi="Book Antiqua" w:cs="宋体"/>
          <w:kern w:val="0"/>
          <w:sz w:val="24"/>
          <w:szCs w:val="24"/>
        </w:rPr>
        <w:t>: 28-34 [PMID: 3300153 DOI: 10.1111/j.1651-2227.1987.tb17094.x]</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4 </w:t>
      </w:r>
      <w:r w:rsidRPr="005936B2">
        <w:rPr>
          <w:rFonts w:ascii="Book Antiqua" w:eastAsia="宋体" w:hAnsi="Book Antiqua" w:cs="宋体"/>
          <w:b/>
          <w:bCs/>
          <w:kern w:val="0"/>
          <w:sz w:val="24"/>
          <w:szCs w:val="24"/>
        </w:rPr>
        <w:t>Takano K</w:t>
      </w:r>
      <w:r w:rsidRPr="005936B2">
        <w:rPr>
          <w:rFonts w:ascii="Book Antiqua" w:eastAsia="宋体" w:hAnsi="Book Antiqua" w:cs="宋体"/>
          <w:kern w:val="0"/>
          <w:sz w:val="24"/>
          <w:szCs w:val="24"/>
        </w:rPr>
        <w:t xml:space="preserve">, Shizume K, Hibi I. Turner's syndrome: treatment of 203 patients with recombinant human growth hormone for one year. </w:t>
      </w:r>
      <w:proofErr w:type="gramStart"/>
      <w:r w:rsidRPr="005936B2">
        <w:rPr>
          <w:rFonts w:ascii="Book Antiqua" w:eastAsia="宋体" w:hAnsi="Book Antiqua" w:cs="宋体"/>
          <w:kern w:val="0"/>
          <w:sz w:val="24"/>
          <w:szCs w:val="24"/>
        </w:rPr>
        <w:t>A multicentre study.</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 xml:space="preserve">Acta Endocrinol </w:t>
      </w:r>
      <w:r w:rsidRPr="005936B2">
        <w:rPr>
          <w:rFonts w:ascii="Book Antiqua" w:eastAsia="宋体" w:hAnsi="Book Antiqua" w:cs="宋体"/>
          <w:iCs/>
          <w:kern w:val="0"/>
          <w:sz w:val="24"/>
          <w:szCs w:val="24"/>
        </w:rPr>
        <w:t>(Copenh)</w:t>
      </w:r>
      <w:r w:rsidRPr="005936B2">
        <w:rPr>
          <w:rFonts w:ascii="Book Antiqua" w:eastAsia="宋体" w:hAnsi="Book Antiqua" w:cs="宋体"/>
          <w:kern w:val="0"/>
          <w:sz w:val="24"/>
          <w:szCs w:val="24"/>
        </w:rPr>
        <w:t> 1989; </w:t>
      </w:r>
      <w:r w:rsidRPr="005936B2">
        <w:rPr>
          <w:rFonts w:ascii="Book Antiqua" w:eastAsia="宋体" w:hAnsi="Book Antiqua" w:cs="宋体"/>
          <w:b/>
          <w:bCs/>
          <w:kern w:val="0"/>
          <w:sz w:val="24"/>
          <w:szCs w:val="24"/>
        </w:rPr>
        <w:t>120</w:t>
      </w:r>
      <w:r w:rsidRPr="005936B2">
        <w:rPr>
          <w:rFonts w:ascii="Book Antiqua" w:eastAsia="宋体" w:hAnsi="Book Antiqua" w:cs="宋体"/>
          <w:kern w:val="0"/>
          <w:sz w:val="24"/>
          <w:szCs w:val="24"/>
        </w:rPr>
        <w:t>: 559-568 [PMID: 2658450 DOI: 10.1530/acta.0.1200559]</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5 </w:t>
      </w:r>
      <w:r w:rsidRPr="005936B2">
        <w:rPr>
          <w:rFonts w:ascii="Book Antiqua" w:eastAsia="宋体" w:hAnsi="Book Antiqua" w:cs="宋体"/>
          <w:b/>
          <w:bCs/>
          <w:kern w:val="0"/>
          <w:sz w:val="24"/>
          <w:szCs w:val="24"/>
        </w:rPr>
        <w:t>Schellekens H</w:t>
      </w:r>
      <w:r w:rsidRPr="005936B2">
        <w:rPr>
          <w:rFonts w:ascii="Book Antiqua" w:eastAsia="宋体" w:hAnsi="Book Antiqua" w:cs="宋体"/>
          <w:kern w:val="0"/>
          <w:sz w:val="24"/>
          <w:szCs w:val="24"/>
        </w:rPr>
        <w:t>, Casadevall N. Immunogenicity of recombinant human proteins: causes and consequences. </w:t>
      </w:r>
      <w:r w:rsidRPr="005936B2">
        <w:rPr>
          <w:rFonts w:ascii="Book Antiqua" w:eastAsia="宋体" w:hAnsi="Book Antiqua" w:cs="宋体"/>
          <w:i/>
          <w:iCs/>
          <w:kern w:val="0"/>
          <w:sz w:val="24"/>
          <w:szCs w:val="24"/>
        </w:rPr>
        <w:t>J Neurol</w:t>
      </w:r>
      <w:r w:rsidRPr="005936B2">
        <w:rPr>
          <w:rFonts w:ascii="Book Antiqua" w:eastAsia="宋体" w:hAnsi="Book Antiqua" w:cs="宋体"/>
          <w:kern w:val="0"/>
          <w:sz w:val="24"/>
          <w:szCs w:val="24"/>
        </w:rPr>
        <w:t> 2004; </w:t>
      </w:r>
      <w:r w:rsidRPr="005936B2">
        <w:rPr>
          <w:rFonts w:ascii="Book Antiqua" w:eastAsia="宋体" w:hAnsi="Book Antiqua" w:cs="宋体"/>
          <w:b/>
          <w:bCs/>
          <w:kern w:val="0"/>
          <w:sz w:val="24"/>
          <w:szCs w:val="24"/>
        </w:rPr>
        <w:t>251</w:t>
      </w:r>
      <w:r w:rsidRPr="005936B2">
        <w:rPr>
          <w:rFonts w:ascii="Book Antiqua" w:eastAsia="宋体" w:hAnsi="Book Antiqua" w:cs="宋体"/>
          <w:bCs/>
          <w:kern w:val="0"/>
          <w:sz w:val="24"/>
          <w:szCs w:val="24"/>
        </w:rPr>
        <w:t xml:space="preserve"> Suppl 2</w:t>
      </w:r>
      <w:r w:rsidRPr="005936B2">
        <w:rPr>
          <w:rFonts w:ascii="Book Antiqua" w:eastAsia="宋体" w:hAnsi="Book Antiqua" w:cs="宋体"/>
          <w:kern w:val="0"/>
          <w:sz w:val="24"/>
          <w:szCs w:val="24"/>
        </w:rPr>
        <w:t>: II4-II9 [PMID: 15264106 DOI: 10.1007/s00415-004-1202-9]</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6 </w:t>
      </w:r>
      <w:r w:rsidRPr="005936B2">
        <w:rPr>
          <w:rFonts w:ascii="Book Antiqua" w:eastAsia="宋体" w:hAnsi="Book Antiqua" w:cs="宋体"/>
          <w:b/>
          <w:bCs/>
          <w:kern w:val="0"/>
          <w:sz w:val="24"/>
          <w:szCs w:val="24"/>
        </w:rPr>
        <w:t>Casadevall N</w:t>
      </w:r>
      <w:r w:rsidRPr="005936B2">
        <w:rPr>
          <w:rFonts w:ascii="Book Antiqua" w:eastAsia="宋体" w:hAnsi="Book Antiqua" w:cs="宋体"/>
          <w:kern w:val="0"/>
          <w:sz w:val="24"/>
          <w:szCs w:val="24"/>
        </w:rPr>
        <w:t>, Nataf J, Viron B, Kolta A, Kiladjian JJ, Martin-Dupont P, Michaud P, Papo T, Ugo V, Teyssandier I, Varet B, Mayeux P. Pure red-cell aplasia and antierythropoietin antibodies in patients treated with recombinant erythropoietin. </w:t>
      </w:r>
      <w:r w:rsidRPr="005936B2">
        <w:rPr>
          <w:rFonts w:ascii="Book Antiqua" w:eastAsia="宋体" w:hAnsi="Book Antiqua" w:cs="宋体"/>
          <w:i/>
          <w:iCs/>
          <w:kern w:val="0"/>
          <w:sz w:val="24"/>
          <w:szCs w:val="24"/>
        </w:rPr>
        <w:t>N Engl J Med</w:t>
      </w:r>
      <w:r w:rsidRPr="005936B2">
        <w:rPr>
          <w:rFonts w:ascii="Book Antiqua" w:eastAsia="宋体" w:hAnsi="Book Antiqua" w:cs="宋体"/>
          <w:kern w:val="0"/>
          <w:sz w:val="24"/>
          <w:szCs w:val="24"/>
        </w:rPr>
        <w:t> 2002; </w:t>
      </w:r>
      <w:r w:rsidRPr="005936B2">
        <w:rPr>
          <w:rFonts w:ascii="Book Antiqua" w:eastAsia="宋体" w:hAnsi="Book Antiqua" w:cs="宋体"/>
          <w:b/>
          <w:bCs/>
          <w:kern w:val="0"/>
          <w:sz w:val="24"/>
          <w:szCs w:val="24"/>
        </w:rPr>
        <w:t>346</w:t>
      </w:r>
      <w:r w:rsidRPr="005936B2">
        <w:rPr>
          <w:rFonts w:ascii="Book Antiqua" w:eastAsia="宋体" w:hAnsi="Book Antiqua" w:cs="宋体"/>
          <w:kern w:val="0"/>
          <w:sz w:val="24"/>
          <w:szCs w:val="24"/>
        </w:rPr>
        <w:t>: 469-475 [PMID: 11844847 DOI: 10.1056/NEJMoa011931]</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7 </w:t>
      </w:r>
      <w:r w:rsidRPr="005936B2">
        <w:rPr>
          <w:rFonts w:ascii="Book Antiqua" w:eastAsia="宋体" w:hAnsi="Book Antiqua" w:cs="宋体"/>
          <w:b/>
          <w:bCs/>
          <w:kern w:val="0"/>
          <w:sz w:val="24"/>
          <w:szCs w:val="24"/>
        </w:rPr>
        <w:t>Locatelli F</w:t>
      </w:r>
      <w:r w:rsidRPr="005936B2">
        <w:rPr>
          <w:rFonts w:ascii="Book Antiqua" w:eastAsia="宋体" w:hAnsi="Book Antiqua" w:cs="宋体"/>
          <w:kern w:val="0"/>
          <w:sz w:val="24"/>
          <w:szCs w:val="24"/>
        </w:rPr>
        <w:t>, Aljama P, Barany P, Canaud B, Carrera F, Eckardt KU, Macdougall IC, Macleod A, Hörl WH, Wiecek A, Cameron S. Erythropoiesis-stimulating agents and antibody-mediated pure red-cell aplasia: here are we now and where do we go from here? </w:t>
      </w:r>
      <w:r w:rsidRPr="005936B2">
        <w:rPr>
          <w:rFonts w:ascii="Book Antiqua" w:eastAsia="宋体" w:hAnsi="Book Antiqua" w:cs="宋体"/>
          <w:i/>
          <w:iCs/>
          <w:kern w:val="0"/>
          <w:sz w:val="24"/>
          <w:szCs w:val="24"/>
        </w:rPr>
        <w:t>Nephrol Dial Transplant</w:t>
      </w:r>
      <w:r w:rsidRPr="005936B2">
        <w:rPr>
          <w:rFonts w:ascii="Book Antiqua" w:eastAsia="宋体" w:hAnsi="Book Antiqua" w:cs="宋体"/>
          <w:kern w:val="0"/>
          <w:sz w:val="24"/>
          <w:szCs w:val="24"/>
        </w:rPr>
        <w:t> 2004; </w:t>
      </w:r>
      <w:r w:rsidRPr="005936B2">
        <w:rPr>
          <w:rFonts w:ascii="Book Antiqua" w:eastAsia="宋体" w:hAnsi="Book Antiqua" w:cs="宋体"/>
          <w:b/>
          <w:bCs/>
          <w:kern w:val="0"/>
          <w:sz w:val="24"/>
          <w:szCs w:val="24"/>
        </w:rPr>
        <w:t>19</w:t>
      </w:r>
      <w:r w:rsidRPr="005936B2">
        <w:rPr>
          <w:rFonts w:ascii="Book Antiqua" w:eastAsia="宋体" w:hAnsi="Book Antiqua" w:cs="宋体"/>
          <w:kern w:val="0"/>
          <w:sz w:val="24"/>
          <w:szCs w:val="24"/>
        </w:rPr>
        <w:t>: 288-293 [PMID: 14736947 DOI: 10.1093/ndt/gfg489]</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8 </w:t>
      </w:r>
      <w:r w:rsidRPr="005936B2">
        <w:rPr>
          <w:rFonts w:ascii="Book Antiqua" w:eastAsia="宋体" w:hAnsi="Book Antiqua" w:cs="宋体"/>
          <w:b/>
          <w:bCs/>
          <w:kern w:val="0"/>
          <w:sz w:val="24"/>
          <w:szCs w:val="24"/>
        </w:rPr>
        <w:t>Kuter DJ</w:t>
      </w:r>
      <w:r w:rsidRPr="005936B2">
        <w:rPr>
          <w:rFonts w:ascii="Book Antiqua" w:eastAsia="宋体" w:hAnsi="Book Antiqua" w:cs="宋体"/>
          <w:kern w:val="0"/>
          <w:sz w:val="24"/>
          <w:szCs w:val="24"/>
        </w:rPr>
        <w:t>.</w:t>
      </w:r>
      <w:proofErr w:type="gramEnd"/>
      <w:r w:rsidRPr="005936B2">
        <w:rPr>
          <w:rFonts w:ascii="Book Antiqua" w:eastAsia="宋体" w:hAnsi="Book Antiqua" w:cs="宋体"/>
          <w:kern w:val="0"/>
          <w:sz w:val="24"/>
          <w:szCs w:val="24"/>
        </w:rPr>
        <w:t xml:space="preserve"> </w:t>
      </w:r>
      <w:proofErr w:type="gramStart"/>
      <w:r w:rsidRPr="005936B2">
        <w:rPr>
          <w:rFonts w:ascii="Book Antiqua" w:eastAsia="宋体" w:hAnsi="Book Antiqua" w:cs="宋体"/>
          <w:kern w:val="0"/>
          <w:sz w:val="24"/>
          <w:szCs w:val="24"/>
        </w:rPr>
        <w:t>Future directions with platelet growth factors.</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Semin Hematol</w:t>
      </w:r>
      <w:r w:rsidRPr="005936B2">
        <w:rPr>
          <w:rFonts w:ascii="Book Antiqua" w:eastAsia="宋体" w:hAnsi="Book Antiqua" w:cs="宋体"/>
          <w:kern w:val="0"/>
          <w:sz w:val="24"/>
          <w:szCs w:val="24"/>
        </w:rPr>
        <w:t> 2000; </w:t>
      </w:r>
      <w:r w:rsidRPr="005936B2">
        <w:rPr>
          <w:rFonts w:ascii="Book Antiqua" w:eastAsia="宋体" w:hAnsi="Book Antiqua" w:cs="宋体"/>
          <w:b/>
          <w:bCs/>
          <w:kern w:val="0"/>
          <w:sz w:val="24"/>
          <w:szCs w:val="24"/>
        </w:rPr>
        <w:t>37</w:t>
      </w:r>
      <w:r w:rsidRPr="005936B2">
        <w:rPr>
          <w:rFonts w:ascii="Book Antiqua" w:eastAsia="宋体" w:hAnsi="Book Antiqua" w:cs="宋体"/>
          <w:kern w:val="0"/>
          <w:sz w:val="24"/>
          <w:szCs w:val="24"/>
        </w:rPr>
        <w:t>: 41-49 [PMID: 10831288 DOI: 10.1016/S0037-1963(00)90052-0]</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9 </w:t>
      </w:r>
      <w:r w:rsidRPr="005936B2">
        <w:rPr>
          <w:rFonts w:ascii="Book Antiqua" w:eastAsia="宋体" w:hAnsi="Book Antiqua" w:cs="宋体"/>
          <w:b/>
          <w:bCs/>
          <w:kern w:val="0"/>
          <w:sz w:val="24"/>
          <w:szCs w:val="24"/>
        </w:rPr>
        <w:t>Weber RW</w:t>
      </w:r>
      <w:r w:rsidRPr="005936B2">
        <w:rPr>
          <w:rFonts w:ascii="Book Antiqua" w:eastAsia="宋体" w:hAnsi="Book Antiqua" w:cs="宋体"/>
          <w:kern w:val="0"/>
          <w:sz w:val="24"/>
          <w:szCs w:val="24"/>
        </w:rPr>
        <w:t>.</w:t>
      </w:r>
      <w:proofErr w:type="gramEnd"/>
      <w:r w:rsidRPr="005936B2">
        <w:rPr>
          <w:rFonts w:ascii="Book Antiqua" w:eastAsia="宋体" w:hAnsi="Book Antiqua" w:cs="宋体"/>
          <w:kern w:val="0"/>
          <w:sz w:val="24"/>
          <w:szCs w:val="24"/>
        </w:rPr>
        <w:t xml:space="preserve"> </w:t>
      </w:r>
      <w:proofErr w:type="gramStart"/>
      <w:r w:rsidRPr="005936B2">
        <w:rPr>
          <w:rFonts w:ascii="Book Antiqua" w:eastAsia="宋体" w:hAnsi="Book Antiqua" w:cs="宋体"/>
          <w:kern w:val="0"/>
          <w:sz w:val="24"/>
          <w:szCs w:val="24"/>
        </w:rPr>
        <w:t>Adverse reactions to biological modifiers.</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Curr Opin Allergy Clin Immunol</w:t>
      </w:r>
      <w:r w:rsidRPr="005936B2">
        <w:rPr>
          <w:rFonts w:ascii="Book Antiqua" w:eastAsia="宋体" w:hAnsi="Book Antiqua" w:cs="宋体"/>
          <w:kern w:val="0"/>
          <w:sz w:val="24"/>
          <w:szCs w:val="24"/>
        </w:rPr>
        <w:t> 2004; </w:t>
      </w:r>
      <w:r w:rsidRPr="005936B2">
        <w:rPr>
          <w:rFonts w:ascii="Book Antiqua" w:eastAsia="宋体" w:hAnsi="Book Antiqua" w:cs="宋体"/>
          <w:b/>
          <w:bCs/>
          <w:kern w:val="0"/>
          <w:sz w:val="24"/>
          <w:szCs w:val="24"/>
        </w:rPr>
        <w:t>4</w:t>
      </w:r>
      <w:r w:rsidRPr="005936B2">
        <w:rPr>
          <w:rFonts w:ascii="Book Antiqua" w:eastAsia="宋体" w:hAnsi="Book Antiqua" w:cs="宋体"/>
          <w:kern w:val="0"/>
          <w:sz w:val="24"/>
          <w:szCs w:val="24"/>
        </w:rPr>
        <w:t>: 277-283 [PMID: 15238793 DOI: 10.1097/01.all.0000136757.58818.10]</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lastRenderedPageBreak/>
        <w:t>10 </w:t>
      </w:r>
      <w:r w:rsidRPr="005936B2">
        <w:rPr>
          <w:rFonts w:ascii="Book Antiqua" w:eastAsia="宋体" w:hAnsi="Book Antiqua" w:cs="宋体"/>
          <w:b/>
          <w:bCs/>
          <w:kern w:val="0"/>
          <w:sz w:val="24"/>
          <w:szCs w:val="24"/>
        </w:rPr>
        <w:t>Frost H</w:t>
      </w:r>
      <w:r w:rsidRPr="005936B2">
        <w:rPr>
          <w:rFonts w:ascii="Book Antiqua" w:eastAsia="宋体" w:hAnsi="Book Antiqua" w:cs="宋体"/>
          <w:kern w:val="0"/>
          <w:sz w:val="24"/>
          <w:szCs w:val="24"/>
        </w:rPr>
        <w:t>. Antibody-mediated side effects of recombinant proteins.</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Toxicology</w:t>
      </w:r>
      <w:r w:rsidRPr="005936B2">
        <w:rPr>
          <w:rFonts w:ascii="Book Antiqua" w:eastAsia="宋体" w:hAnsi="Book Antiqua" w:cs="宋体"/>
          <w:kern w:val="0"/>
          <w:sz w:val="24"/>
          <w:szCs w:val="24"/>
        </w:rPr>
        <w:t> 2005; </w:t>
      </w:r>
      <w:r w:rsidRPr="005936B2">
        <w:rPr>
          <w:rFonts w:ascii="Book Antiqua" w:eastAsia="宋体" w:hAnsi="Book Antiqua" w:cs="宋体"/>
          <w:b/>
          <w:bCs/>
          <w:kern w:val="0"/>
          <w:sz w:val="24"/>
          <w:szCs w:val="24"/>
        </w:rPr>
        <w:t>209</w:t>
      </w:r>
      <w:r w:rsidRPr="005936B2">
        <w:rPr>
          <w:rFonts w:ascii="Book Antiqua" w:eastAsia="宋体" w:hAnsi="Book Antiqua" w:cs="宋体"/>
          <w:kern w:val="0"/>
          <w:sz w:val="24"/>
          <w:szCs w:val="24"/>
        </w:rPr>
        <w:t>: 155-160 [PMID: 15767028 DOI: 10.1016/j.tox.2004.12.028]</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11 </w:t>
      </w:r>
      <w:r w:rsidRPr="005936B2">
        <w:rPr>
          <w:rFonts w:ascii="Book Antiqua" w:eastAsia="宋体" w:hAnsi="Book Antiqua" w:cs="宋体"/>
          <w:b/>
          <w:bCs/>
          <w:kern w:val="0"/>
          <w:sz w:val="24"/>
          <w:szCs w:val="24"/>
        </w:rPr>
        <w:t>Corona T</w:t>
      </w:r>
      <w:r w:rsidRPr="005936B2">
        <w:rPr>
          <w:rFonts w:ascii="Book Antiqua" w:eastAsia="宋体" w:hAnsi="Book Antiqua" w:cs="宋体"/>
          <w:kern w:val="0"/>
          <w:sz w:val="24"/>
          <w:szCs w:val="24"/>
        </w:rPr>
        <w:t>, Leon C, Ostrosky-Zeichner L. Severe anaphylaxis with recombinant interferon beta.</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Neurology</w:t>
      </w:r>
      <w:r w:rsidRPr="005936B2">
        <w:rPr>
          <w:rFonts w:ascii="Book Antiqua" w:eastAsia="宋体" w:hAnsi="Book Antiqua" w:cs="宋体"/>
          <w:kern w:val="0"/>
          <w:sz w:val="24"/>
          <w:szCs w:val="24"/>
        </w:rPr>
        <w:t> 1999; </w:t>
      </w:r>
      <w:r w:rsidRPr="005936B2">
        <w:rPr>
          <w:rFonts w:ascii="Book Antiqua" w:eastAsia="宋体" w:hAnsi="Book Antiqua" w:cs="宋体"/>
          <w:b/>
          <w:bCs/>
          <w:kern w:val="0"/>
          <w:sz w:val="24"/>
          <w:szCs w:val="24"/>
        </w:rPr>
        <w:t>52</w:t>
      </w:r>
      <w:r w:rsidRPr="005936B2">
        <w:rPr>
          <w:rFonts w:ascii="Book Antiqua" w:eastAsia="宋体" w:hAnsi="Book Antiqua" w:cs="宋体"/>
          <w:kern w:val="0"/>
          <w:sz w:val="24"/>
          <w:szCs w:val="24"/>
        </w:rPr>
        <w:t>: 425 [PMID: 9932977 DOI: 10.1212/WNL.52.2.425-a]</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12 </w:t>
      </w:r>
      <w:r w:rsidRPr="005936B2">
        <w:rPr>
          <w:rFonts w:ascii="Book Antiqua" w:eastAsia="宋体" w:hAnsi="Book Antiqua" w:cs="宋体"/>
          <w:b/>
          <w:bCs/>
          <w:kern w:val="0"/>
          <w:sz w:val="24"/>
          <w:szCs w:val="24"/>
        </w:rPr>
        <w:t>Lusher JM</w:t>
      </w:r>
      <w:r w:rsidRPr="005936B2">
        <w:rPr>
          <w:rFonts w:ascii="Book Antiqua" w:eastAsia="宋体" w:hAnsi="Book Antiqua" w:cs="宋体"/>
          <w:kern w:val="0"/>
          <w:sz w:val="24"/>
          <w:szCs w:val="24"/>
        </w:rPr>
        <w:t>.</w:t>
      </w:r>
      <w:proofErr w:type="gramEnd"/>
      <w:r w:rsidRPr="005936B2">
        <w:rPr>
          <w:rFonts w:ascii="Book Antiqua" w:eastAsia="宋体" w:hAnsi="Book Antiqua" w:cs="宋体"/>
          <w:kern w:val="0"/>
          <w:sz w:val="24"/>
          <w:szCs w:val="24"/>
        </w:rPr>
        <w:t xml:space="preserve"> Inhibitor antibodies to factor VIII and factor IX: management. </w:t>
      </w:r>
      <w:r w:rsidRPr="005936B2">
        <w:rPr>
          <w:rFonts w:ascii="Book Antiqua" w:eastAsia="宋体" w:hAnsi="Book Antiqua" w:cs="宋体"/>
          <w:i/>
          <w:iCs/>
          <w:kern w:val="0"/>
          <w:sz w:val="24"/>
          <w:szCs w:val="24"/>
        </w:rPr>
        <w:t>Semin Thromb Hemost</w:t>
      </w:r>
      <w:r w:rsidRPr="005936B2">
        <w:rPr>
          <w:rFonts w:ascii="Book Antiqua" w:eastAsia="宋体" w:hAnsi="Book Antiqua" w:cs="宋体"/>
          <w:kern w:val="0"/>
          <w:sz w:val="24"/>
          <w:szCs w:val="24"/>
        </w:rPr>
        <w:t> 2000; </w:t>
      </w:r>
      <w:r w:rsidRPr="005936B2">
        <w:rPr>
          <w:rFonts w:ascii="Book Antiqua" w:eastAsia="宋体" w:hAnsi="Book Antiqua" w:cs="宋体"/>
          <w:b/>
          <w:bCs/>
          <w:kern w:val="0"/>
          <w:sz w:val="24"/>
          <w:szCs w:val="24"/>
        </w:rPr>
        <w:t>26</w:t>
      </w:r>
      <w:r w:rsidRPr="005936B2">
        <w:rPr>
          <w:rFonts w:ascii="Book Antiqua" w:eastAsia="宋体" w:hAnsi="Book Antiqua" w:cs="宋体"/>
          <w:kern w:val="0"/>
          <w:sz w:val="24"/>
          <w:szCs w:val="24"/>
        </w:rPr>
        <w:t>: 179-188 [PMID: 10919411 DOI: 10.1055/s-2000-9821]</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13 </w:t>
      </w:r>
      <w:r w:rsidRPr="005936B2">
        <w:rPr>
          <w:rFonts w:ascii="Book Antiqua" w:eastAsia="宋体" w:hAnsi="Book Antiqua" w:cs="宋体"/>
          <w:b/>
          <w:bCs/>
          <w:kern w:val="0"/>
          <w:sz w:val="24"/>
          <w:szCs w:val="24"/>
        </w:rPr>
        <w:t>Fusun Kalpaklioglu A</w:t>
      </w:r>
      <w:r w:rsidRPr="005936B2">
        <w:rPr>
          <w:rFonts w:ascii="Book Antiqua" w:eastAsia="宋体" w:hAnsi="Book Antiqua" w:cs="宋体"/>
          <w:kern w:val="0"/>
          <w:sz w:val="24"/>
          <w:szCs w:val="24"/>
        </w:rPr>
        <w:t>, Baccioglu Kavut A, Erdemoglu AK.</w:t>
      </w:r>
      <w:proofErr w:type="gramEnd"/>
      <w:r w:rsidRPr="005936B2">
        <w:rPr>
          <w:rFonts w:ascii="Book Antiqua" w:eastAsia="宋体" w:hAnsi="Book Antiqua" w:cs="宋体"/>
          <w:kern w:val="0"/>
          <w:sz w:val="24"/>
          <w:szCs w:val="24"/>
        </w:rPr>
        <w:t xml:space="preserve"> Desensitization in interferon-beta1a allergy: a case report. </w:t>
      </w:r>
      <w:r w:rsidRPr="005936B2">
        <w:rPr>
          <w:rFonts w:ascii="Book Antiqua" w:eastAsia="宋体" w:hAnsi="Book Antiqua" w:cs="宋体"/>
          <w:i/>
          <w:iCs/>
          <w:kern w:val="0"/>
          <w:sz w:val="24"/>
          <w:szCs w:val="24"/>
        </w:rPr>
        <w:t>Int Arch Allergy Immunol</w:t>
      </w:r>
      <w:r w:rsidRPr="005936B2">
        <w:rPr>
          <w:rFonts w:ascii="Book Antiqua" w:eastAsia="宋体" w:hAnsi="Book Antiqua" w:cs="宋体"/>
          <w:kern w:val="0"/>
          <w:sz w:val="24"/>
          <w:szCs w:val="24"/>
        </w:rPr>
        <w:t> 2009; </w:t>
      </w:r>
      <w:r w:rsidRPr="005936B2">
        <w:rPr>
          <w:rFonts w:ascii="Book Antiqua" w:eastAsia="宋体" w:hAnsi="Book Antiqua" w:cs="宋体"/>
          <w:b/>
          <w:bCs/>
          <w:kern w:val="0"/>
          <w:sz w:val="24"/>
          <w:szCs w:val="24"/>
        </w:rPr>
        <w:t>149</w:t>
      </w:r>
      <w:r w:rsidRPr="005936B2">
        <w:rPr>
          <w:rFonts w:ascii="Book Antiqua" w:eastAsia="宋体" w:hAnsi="Book Antiqua" w:cs="宋体"/>
          <w:kern w:val="0"/>
          <w:sz w:val="24"/>
          <w:szCs w:val="24"/>
        </w:rPr>
        <w:t>: 178-180 [PMID: 19127077 DOI: 10.1159/000189203]</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14 </w:t>
      </w:r>
      <w:r w:rsidRPr="005936B2">
        <w:rPr>
          <w:rFonts w:ascii="Book Antiqua" w:eastAsia="宋体" w:hAnsi="Book Antiqua" w:cs="宋体"/>
          <w:b/>
          <w:bCs/>
          <w:kern w:val="0"/>
          <w:sz w:val="24"/>
          <w:szCs w:val="24"/>
        </w:rPr>
        <w:t>Rosa DJ</w:t>
      </w:r>
      <w:r w:rsidRPr="005936B2">
        <w:rPr>
          <w:rFonts w:ascii="Book Antiqua" w:eastAsia="宋体" w:hAnsi="Book Antiqua" w:cs="宋体"/>
          <w:kern w:val="0"/>
          <w:sz w:val="24"/>
          <w:szCs w:val="24"/>
        </w:rPr>
        <w:t>, Matias Fde A, Cedrim SD, Machado RF, Sá AA, Silva VC. Acute acneiform eruption induced by interferon beta-1b during treatment for multiple sclerosis. </w:t>
      </w:r>
      <w:proofErr w:type="gramStart"/>
      <w:r w:rsidRPr="005936B2">
        <w:rPr>
          <w:rFonts w:ascii="Book Antiqua" w:eastAsia="宋体" w:hAnsi="Book Antiqua" w:cs="宋体"/>
          <w:i/>
          <w:iCs/>
          <w:kern w:val="0"/>
          <w:sz w:val="24"/>
          <w:szCs w:val="24"/>
        </w:rPr>
        <w:t>An</w:t>
      </w:r>
      <w:proofErr w:type="gramEnd"/>
      <w:r w:rsidRPr="005936B2">
        <w:rPr>
          <w:rFonts w:ascii="Book Antiqua" w:eastAsia="宋体" w:hAnsi="Book Antiqua" w:cs="宋体"/>
          <w:i/>
          <w:iCs/>
          <w:kern w:val="0"/>
          <w:sz w:val="24"/>
          <w:szCs w:val="24"/>
        </w:rPr>
        <w:t xml:space="preserve"> Bras Dermatol</w:t>
      </w:r>
      <w:r w:rsidRPr="005936B2">
        <w:rPr>
          <w:rFonts w:ascii="Book Antiqua" w:eastAsia="宋体" w:hAnsi="Book Antiqua" w:cs="宋体"/>
          <w:kern w:val="0"/>
          <w:sz w:val="24"/>
          <w:szCs w:val="24"/>
        </w:rPr>
        <w:t> 2011; </w:t>
      </w:r>
      <w:r w:rsidRPr="005936B2">
        <w:rPr>
          <w:rFonts w:ascii="Book Antiqua" w:eastAsia="宋体" w:hAnsi="Book Antiqua" w:cs="宋体"/>
          <w:b/>
          <w:bCs/>
          <w:kern w:val="0"/>
          <w:sz w:val="24"/>
          <w:szCs w:val="24"/>
        </w:rPr>
        <w:t>86</w:t>
      </w:r>
      <w:r w:rsidRPr="005936B2">
        <w:rPr>
          <w:rFonts w:ascii="Book Antiqua" w:eastAsia="宋体" w:hAnsi="Book Antiqua" w:cs="宋体"/>
          <w:kern w:val="0"/>
          <w:sz w:val="24"/>
          <w:szCs w:val="24"/>
        </w:rPr>
        <w:t xml:space="preserve">: 336-338 [PMID: </w:t>
      </w:r>
      <w:bookmarkStart w:id="3" w:name="OLE_LINK3"/>
      <w:bookmarkStart w:id="4" w:name="OLE_LINK4"/>
      <w:r w:rsidRPr="005936B2">
        <w:rPr>
          <w:rFonts w:ascii="Book Antiqua" w:eastAsia="宋体" w:hAnsi="Book Antiqua" w:cs="宋体"/>
          <w:kern w:val="0"/>
          <w:sz w:val="24"/>
          <w:szCs w:val="24"/>
        </w:rPr>
        <w:t xml:space="preserve">21603818 </w:t>
      </w:r>
      <w:bookmarkEnd w:id="3"/>
      <w:bookmarkEnd w:id="4"/>
      <w:r w:rsidRPr="005936B2">
        <w:rPr>
          <w:rFonts w:ascii="Book Antiqua" w:eastAsia="宋体" w:hAnsi="Book Antiqua" w:cs="宋体"/>
          <w:kern w:val="0"/>
          <w:sz w:val="24"/>
          <w:szCs w:val="24"/>
        </w:rPr>
        <w:t>DOI: 10.1590/S0365-05962011000200018]</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15 </w:t>
      </w:r>
      <w:r w:rsidRPr="005936B2">
        <w:rPr>
          <w:rFonts w:ascii="Book Antiqua" w:eastAsia="宋体" w:hAnsi="Book Antiqua" w:cs="宋体"/>
          <w:b/>
          <w:bCs/>
          <w:kern w:val="0"/>
          <w:sz w:val="24"/>
          <w:szCs w:val="24"/>
        </w:rPr>
        <w:t>Guijarro C</w:t>
      </w:r>
      <w:r w:rsidRPr="005936B2">
        <w:rPr>
          <w:rFonts w:ascii="Book Antiqua" w:eastAsia="宋体" w:hAnsi="Book Antiqua" w:cs="宋体"/>
          <w:kern w:val="0"/>
          <w:sz w:val="24"/>
          <w:szCs w:val="24"/>
        </w:rPr>
        <w:t>, Benito-León J, Bermejo-Pareja F. Widespread urticaria due to intramuscular interferon beta-1a therapy for multiple sclerosis.</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Neurol Sci</w:t>
      </w:r>
      <w:r w:rsidRPr="005936B2">
        <w:rPr>
          <w:rFonts w:ascii="Book Antiqua" w:eastAsia="宋体" w:hAnsi="Book Antiqua" w:cs="宋体"/>
          <w:kern w:val="0"/>
          <w:sz w:val="24"/>
          <w:szCs w:val="24"/>
        </w:rPr>
        <w:t> 2011; </w:t>
      </w:r>
      <w:r w:rsidRPr="005936B2">
        <w:rPr>
          <w:rFonts w:ascii="Book Antiqua" w:eastAsia="宋体" w:hAnsi="Book Antiqua" w:cs="宋体"/>
          <w:b/>
          <w:bCs/>
          <w:kern w:val="0"/>
          <w:sz w:val="24"/>
          <w:szCs w:val="24"/>
        </w:rPr>
        <w:t>32</w:t>
      </w:r>
      <w:r w:rsidRPr="005936B2">
        <w:rPr>
          <w:rFonts w:ascii="Book Antiqua" w:eastAsia="宋体" w:hAnsi="Book Antiqua" w:cs="宋体"/>
          <w:kern w:val="0"/>
          <w:sz w:val="24"/>
          <w:szCs w:val="24"/>
        </w:rPr>
        <w:t>: 309-311 [PMID: 20890624 DOI: 10.1007/s10072-010-0432-0]</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16 </w:t>
      </w:r>
      <w:r w:rsidRPr="005936B2">
        <w:rPr>
          <w:rFonts w:ascii="Book Antiqua" w:eastAsia="宋体" w:hAnsi="Book Antiqua" w:cs="宋体"/>
          <w:b/>
          <w:bCs/>
          <w:kern w:val="0"/>
          <w:sz w:val="24"/>
          <w:szCs w:val="24"/>
        </w:rPr>
        <w:t>Cortellini G</w:t>
      </w:r>
      <w:r w:rsidRPr="005936B2">
        <w:rPr>
          <w:rFonts w:ascii="Book Antiqua" w:eastAsia="宋体" w:hAnsi="Book Antiqua" w:cs="宋体"/>
          <w:kern w:val="0"/>
          <w:sz w:val="24"/>
          <w:szCs w:val="24"/>
        </w:rPr>
        <w:t xml:space="preserve">, Amadori A, Comandini T, Corvetta A. Interferon beta 1a anaphylaxis, a case report. </w:t>
      </w:r>
      <w:proofErr w:type="gramStart"/>
      <w:r w:rsidRPr="005936B2">
        <w:rPr>
          <w:rFonts w:ascii="Book Antiqua" w:eastAsia="宋体" w:hAnsi="Book Antiqua" w:cs="宋体"/>
          <w:kern w:val="0"/>
          <w:sz w:val="24"/>
          <w:szCs w:val="24"/>
        </w:rPr>
        <w:t>Standardization of non-irritating concentration for allergy skin tests.</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Eur Ann Allergy Clin Immunol</w:t>
      </w:r>
      <w:r w:rsidRPr="005936B2">
        <w:rPr>
          <w:rFonts w:ascii="Book Antiqua" w:eastAsia="宋体" w:hAnsi="Book Antiqua" w:cs="宋体"/>
          <w:kern w:val="0"/>
          <w:sz w:val="24"/>
          <w:szCs w:val="24"/>
        </w:rPr>
        <w:t> 2013; </w:t>
      </w:r>
      <w:r w:rsidRPr="005936B2">
        <w:rPr>
          <w:rFonts w:ascii="Book Antiqua" w:eastAsia="宋体" w:hAnsi="Book Antiqua" w:cs="宋体"/>
          <w:b/>
          <w:bCs/>
          <w:kern w:val="0"/>
          <w:sz w:val="24"/>
          <w:szCs w:val="24"/>
        </w:rPr>
        <w:t>45</w:t>
      </w:r>
      <w:r w:rsidRPr="005936B2">
        <w:rPr>
          <w:rFonts w:ascii="Book Antiqua" w:eastAsia="宋体" w:hAnsi="Book Antiqua" w:cs="宋体"/>
          <w:kern w:val="0"/>
          <w:sz w:val="24"/>
          <w:szCs w:val="24"/>
        </w:rPr>
        <w:t>: 181-182 [PMID: 24129047]</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17 </w:t>
      </w:r>
      <w:r w:rsidRPr="005936B2">
        <w:rPr>
          <w:rFonts w:ascii="Book Antiqua" w:eastAsia="宋体" w:hAnsi="Book Antiqua" w:cs="宋体"/>
          <w:b/>
          <w:bCs/>
          <w:kern w:val="0"/>
          <w:sz w:val="24"/>
          <w:szCs w:val="24"/>
        </w:rPr>
        <w:t>Smith LF</w:t>
      </w:r>
      <w:r w:rsidRPr="005936B2">
        <w:rPr>
          <w:rFonts w:ascii="Book Antiqua" w:eastAsia="宋体" w:hAnsi="Book Antiqua" w:cs="宋体"/>
          <w:kern w:val="0"/>
          <w:sz w:val="24"/>
          <w:szCs w:val="24"/>
        </w:rPr>
        <w:t>.</w:t>
      </w:r>
      <w:proofErr w:type="gramEnd"/>
      <w:r w:rsidRPr="005936B2">
        <w:rPr>
          <w:rFonts w:ascii="Book Antiqua" w:eastAsia="宋体" w:hAnsi="Book Antiqua" w:cs="宋体"/>
          <w:kern w:val="0"/>
          <w:sz w:val="24"/>
          <w:szCs w:val="24"/>
        </w:rPr>
        <w:t xml:space="preserve"> </w:t>
      </w:r>
      <w:proofErr w:type="gramStart"/>
      <w:r w:rsidRPr="005936B2">
        <w:rPr>
          <w:rFonts w:ascii="Book Antiqua" w:eastAsia="宋体" w:hAnsi="Book Antiqua" w:cs="宋体"/>
          <w:kern w:val="0"/>
          <w:sz w:val="24"/>
          <w:szCs w:val="24"/>
        </w:rPr>
        <w:t>Species variation in the amino acid sequence of insulin.</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Am J Med</w:t>
      </w:r>
      <w:r w:rsidRPr="005936B2">
        <w:rPr>
          <w:rFonts w:ascii="Book Antiqua" w:eastAsia="宋体" w:hAnsi="Book Antiqua" w:cs="宋体"/>
          <w:kern w:val="0"/>
          <w:sz w:val="24"/>
          <w:szCs w:val="24"/>
        </w:rPr>
        <w:t> 1966; </w:t>
      </w:r>
      <w:r w:rsidRPr="005936B2">
        <w:rPr>
          <w:rFonts w:ascii="Book Antiqua" w:eastAsia="宋体" w:hAnsi="Book Antiqua" w:cs="宋体"/>
          <w:b/>
          <w:bCs/>
          <w:kern w:val="0"/>
          <w:sz w:val="24"/>
          <w:szCs w:val="24"/>
        </w:rPr>
        <w:t>40</w:t>
      </w:r>
      <w:r w:rsidRPr="005936B2">
        <w:rPr>
          <w:rFonts w:ascii="Book Antiqua" w:eastAsia="宋体" w:hAnsi="Book Antiqua" w:cs="宋体"/>
          <w:kern w:val="0"/>
          <w:sz w:val="24"/>
          <w:szCs w:val="24"/>
        </w:rPr>
        <w:t>: 662-666 [PMID: 5949593 DOI: 10.1016/0002-9343(66)90145-8]</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18 </w:t>
      </w:r>
      <w:r w:rsidRPr="005936B2">
        <w:rPr>
          <w:rFonts w:ascii="Book Antiqua" w:eastAsia="宋体" w:hAnsi="Book Antiqua" w:cs="宋体"/>
          <w:b/>
          <w:bCs/>
          <w:kern w:val="0"/>
          <w:sz w:val="24"/>
          <w:szCs w:val="24"/>
        </w:rPr>
        <w:t>Berson SA</w:t>
      </w:r>
      <w:r w:rsidRPr="005936B2">
        <w:rPr>
          <w:rFonts w:ascii="Book Antiqua" w:eastAsia="宋体" w:hAnsi="Book Antiqua" w:cs="宋体"/>
          <w:kern w:val="0"/>
          <w:sz w:val="24"/>
          <w:szCs w:val="24"/>
        </w:rPr>
        <w:t>, Yalow RS, Bauman A, Rothschild MA, Newerly K. Insulin-I131 metabolism in human subjects: demonstration of insulin binding globulin in the circulation of insulin treated subjects. </w:t>
      </w:r>
      <w:r w:rsidRPr="005936B2">
        <w:rPr>
          <w:rFonts w:ascii="Book Antiqua" w:eastAsia="宋体" w:hAnsi="Book Antiqua" w:cs="宋体"/>
          <w:i/>
          <w:iCs/>
          <w:kern w:val="0"/>
          <w:sz w:val="24"/>
          <w:szCs w:val="24"/>
        </w:rPr>
        <w:t>J Clin Invest</w:t>
      </w:r>
      <w:r w:rsidRPr="005936B2">
        <w:rPr>
          <w:rFonts w:ascii="Book Antiqua" w:eastAsia="宋体" w:hAnsi="Book Antiqua" w:cs="宋体"/>
          <w:kern w:val="0"/>
          <w:sz w:val="24"/>
          <w:szCs w:val="24"/>
        </w:rPr>
        <w:t> 1956; </w:t>
      </w:r>
      <w:r w:rsidRPr="005936B2">
        <w:rPr>
          <w:rFonts w:ascii="Book Antiqua" w:eastAsia="宋体" w:hAnsi="Book Antiqua" w:cs="宋体"/>
          <w:b/>
          <w:bCs/>
          <w:kern w:val="0"/>
          <w:sz w:val="24"/>
          <w:szCs w:val="24"/>
        </w:rPr>
        <w:t>35</w:t>
      </w:r>
      <w:r w:rsidRPr="005936B2">
        <w:rPr>
          <w:rFonts w:ascii="Book Antiqua" w:eastAsia="宋体" w:hAnsi="Book Antiqua" w:cs="宋体"/>
          <w:kern w:val="0"/>
          <w:sz w:val="24"/>
          <w:szCs w:val="24"/>
        </w:rPr>
        <w:t>: 170-190 [PMID: 13286336]</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19 </w:t>
      </w:r>
      <w:r w:rsidRPr="005936B2">
        <w:rPr>
          <w:rFonts w:ascii="Book Antiqua" w:eastAsia="宋体" w:hAnsi="Book Antiqua" w:cs="宋体"/>
          <w:b/>
          <w:bCs/>
          <w:kern w:val="0"/>
          <w:sz w:val="24"/>
          <w:szCs w:val="24"/>
        </w:rPr>
        <w:t>Cheifetz A</w:t>
      </w:r>
      <w:r w:rsidRPr="005936B2">
        <w:rPr>
          <w:rFonts w:ascii="Book Antiqua" w:eastAsia="宋体" w:hAnsi="Book Antiqua" w:cs="宋体"/>
          <w:kern w:val="0"/>
          <w:sz w:val="24"/>
          <w:szCs w:val="24"/>
        </w:rPr>
        <w:t>, Mayer L. Monoclonal antibodies, immunogenicity, and associated infusion reactions. </w:t>
      </w:r>
      <w:r w:rsidRPr="005936B2">
        <w:rPr>
          <w:rFonts w:ascii="Book Antiqua" w:eastAsia="宋体" w:hAnsi="Book Antiqua" w:cs="宋体"/>
          <w:i/>
          <w:iCs/>
          <w:kern w:val="0"/>
          <w:sz w:val="24"/>
          <w:szCs w:val="24"/>
        </w:rPr>
        <w:t>Mt Sinai J Med</w:t>
      </w:r>
      <w:r w:rsidRPr="005936B2">
        <w:rPr>
          <w:rFonts w:ascii="Book Antiqua" w:eastAsia="宋体" w:hAnsi="Book Antiqua" w:cs="宋体"/>
          <w:kern w:val="0"/>
          <w:sz w:val="24"/>
          <w:szCs w:val="24"/>
        </w:rPr>
        <w:t> 2005; </w:t>
      </w:r>
      <w:r w:rsidRPr="005936B2">
        <w:rPr>
          <w:rFonts w:ascii="Book Antiqua" w:eastAsia="宋体" w:hAnsi="Book Antiqua" w:cs="宋体"/>
          <w:b/>
          <w:bCs/>
          <w:kern w:val="0"/>
          <w:sz w:val="24"/>
          <w:szCs w:val="24"/>
        </w:rPr>
        <w:t>72</w:t>
      </w:r>
      <w:r w:rsidRPr="005936B2">
        <w:rPr>
          <w:rFonts w:ascii="Book Antiqua" w:eastAsia="宋体" w:hAnsi="Book Antiqua" w:cs="宋体"/>
          <w:kern w:val="0"/>
          <w:sz w:val="24"/>
          <w:szCs w:val="24"/>
        </w:rPr>
        <w:t>: 250-256 [PMID: 16021319]</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20 </w:t>
      </w:r>
      <w:r w:rsidRPr="005936B2">
        <w:rPr>
          <w:rFonts w:ascii="Book Antiqua" w:eastAsia="宋体" w:hAnsi="Book Antiqua" w:cs="宋体"/>
          <w:b/>
          <w:bCs/>
          <w:kern w:val="0"/>
          <w:sz w:val="24"/>
          <w:szCs w:val="24"/>
        </w:rPr>
        <w:t>Hwang WY</w:t>
      </w:r>
      <w:r w:rsidRPr="005936B2">
        <w:rPr>
          <w:rFonts w:ascii="Book Antiqua" w:eastAsia="宋体" w:hAnsi="Book Antiqua" w:cs="宋体"/>
          <w:kern w:val="0"/>
          <w:sz w:val="24"/>
          <w:szCs w:val="24"/>
        </w:rPr>
        <w:t>, Foote J. Immunogenicity of engineered antibodies. </w:t>
      </w:r>
      <w:r w:rsidRPr="005936B2">
        <w:rPr>
          <w:rFonts w:ascii="Book Antiqua" w:eastAsia="宋体" w:hAnsi="Book Antiqua" w:cs="宋体"/>
          <w:i/>
          <w:iCs/>
          <w:kern w:val="0"/>
          <w:sz w:val="24"/>
          <w:szCs w:val="24"/>
        </w:rPr>
        <w:t>Methods</w:t>
      </w:r>
      <w:r w:rsidRPr="005936B2">
        <w:rPr>
          <w:rFonts w:ascii="Book Antiqua" w:eastAsia="宋体" w:hAnsi="Book Antiqua" w:cs="宋体"/>
          <w:kern w:val="0"/>
          <w:sz w:val="24"/>
          <w:szCs w:val="24"/>
        </w:rPr>
        <w:t> 2005; </w:t>
      </w:r>
      <w:r w:rsidRPr="005936B2">
        <w:rPr>
          <w:rFonts w:ascii="Book Antiqua" w:eastAsia="宋体" w:hAnsi="Book Antiqua" w:cs="宋体"/>
          <w:b/>
          <w:bCs/>
          <w:kern w:val="0"/>
          <w:sz w:val="24"/>
          <w:szCs w:val="24"/>
        </w:rPr>
        <w:t>36</w:t>
      </w:r>
      <w:r w:rsidRPr="005936B2">
        <w:rPr>
          <w:rFonts w:ascii="Book Antiqua" w:eastAsia="宋体" w:hAnsi="Book Antiqua" w:cs="宋体"/>
          <w:kern w:val="0"/>
          <w:sz w:val="24"/>
          <w:szCs w:val="24"/>
        </w:rPr>
        <w:t>: 3-10 [PMID: 15848070 DOI: 10.1016/j.ymeth.2005.01.001]</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lastRenderedPageBreak/>
        <w:t>21 </w:t>
      </w:r>
      <w:r w:rsidRPr="005936B2">
        <w:rPr>
          <w:rFonts w:ascii="Book Antiqua" w:eastAsia="宋体" w:hAnsi="Book Antiqua" w:cs="宋体"/>
          <w:b/>
          <w:bCs/>
          <w:kern w:val="0"/>
          <w:sz w:val="24"/>
          <w:szCs w:val="24"/>
        </w:rPr>
        <w:t>Du X</w:t>
      </w:r>
      <w:r w:rsidRPr="005936B2">
        <w:rPr>
          <w:rFonts w:ascii="Book Antiqua" w:eastAsia="宋体" w:hAnsi="Book Antiqua" w:cs="宋体"/>
          <w:kern w:val="0"/>
          <w:sz w:val="24"/>
          <w:szCs w:val="24"/>
        </w:rPr>
        <w:t>, Tang JG.</w:t>
      </w:r>
      <w:proofErr w:type="gramEnd"/>
      <w:r w:rsidRPr="005936B2">
        <w:rPr>
          <w:rFonts w:ascii="Book Antiqua" w:eastAsia="宋体" w:hAnsi="Book Antiqua" w:cs="宋体"/>
          <w:kern w:val="0"/>
          <w:sz w:val="24"/>
          <w:szCs w:val="24"/>
        </w:rPr>
        <w:t xml:space="preserve"> Hydroxyl group of insulin A19Tyr is essential for receptor binding: studies on (</w:t>
      </w:r>
      <w:proofErr w:type="gramStart"/>
      <w:r w:rsidRPr="005936B2">
        <w:rPr>
          <w:rFonts w:ascii="Book Antiqua" w:eastAsia="宋体" w:hAnsi="Book Antiqua" w:cs="宋体"/>
          <w:kern w:val="0"/>
          <w:sz w:val="24"/>
          <w:szCs w:val="24"/>
        </w:rPr>
        <w:t>A19Phe)insulin</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Biochem Mol Biol Int</w:t>
      </w:r>
      <w:r w:rsidRPr="005936B2">
        <w:rPr>
          <w:rFonts w:ascii="Book Antiqua" w:eastAsia="宋体" w:hAnsi="Book Antiqua" w:cs="宋体"/>
          <w:kern w:val="0"/>
          <w:sz w:val="24"/>
          <w:szCs w:val="24"/>
        </w:rPr>
        <w:t> 1998; </w:t>
      </w:r>
      <w:r w:rsidRPr="005936B2">
        <w:rPr>
          <w:rFonts w:ascii="Book Antiqua" w:eastAsia="宋体" w:hAnsi="Book Antiqua" w:cs="宋体"/>
          <w:b/>
          <w:bCs/>
          <w:kern w:val="0"/>
          <w:sz w:val="24"/>
          <w:szCs w:val="24"/>
        </w:rPr>
        <w:t>45</w:t>
      </w:r>
      <w:r w:rsidRPr="005936B2">
        <w:rPr>
          <w:rFonts w:ascii="Book Antiqua" w:eastAsia="宋体" w:hAnsi="Book Antiqua" w:cs="宋体"/>
          <w:kern w:val="0"/>
          <w:sz w:val="24"/>
          <w:szCs w:val="24"/>
        </w:rPr>
        <w:t>: 255-260 [PMID: 9678246 DOI: 10.1080/15216549800202622]</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22 </w:t>
      </w:r>
      <w:r w:rsidRPr="005936B2">
        <w:rPr>
          <w:rFonts w:ascii="Book Antiqua" w:eastAsia="宋体" w:hAnsi="Book Antiqua" w:cs="宋体"/>
          <w:b/>
          <w:bCs/>
          <w:kern w:val="0"/>
          <w:sz w:val="24"/>
          <w:szCs w:val="24"/>
        </w:rPr>
        <w:t>Hermeling S</w:t>
      </w:r>
      <w:r w:rsidRPr="005936B2">
        <w:rPr>
          <w:rFonts w:ascii="Book Antiqua" w:eastAsia="宋体" w:hAnsi="Book Antiqua" w:cs="宋体"/>
          <w:kern w:val="0"/>
          <w:sz w:val="24"/>
          <w:szCs w:val="24"/>
        </w:rPr>
        <w:t>, Crommelin DJ, Schellekens H, Jiskoot W. Structure-immunogenicity relationships of therapeutic proteins. </w:t>
      </w:r>
      <w:r w:rsidRPr="005936B2">
        <w:rPr>
          <w:rFonts w:ascii="Book Antiqua" w:eastAsia="宋体" w:hAnsi="Book Antiqua" w:cs="宋体"/>
          <w:i/>
          <w:iCs/>
          <w:kern w:val="0"/>
          <w:sz w:val="24"/>
          <w:szCs w:val="24"/>
        </w:rPr>
        <w:t>Pharm Res</w:t>
      </w:r>
      <w:r w:rsidRPr="005936B2">
        <w:rPr>
          <w:rFonts w:ascii="Book Antiqua" w:eastAsia="宋体" w:hAnsi="Book Antiqua" w:cs="宋体"/>
          <w:kern w:val="0"/>
          <w:sz w:val="24"/>
          <w:szCs w:val="24"/>
        </w:rPr>
        <w:t> 2004; </w:t>
      </w:r>
      <w:r w:rsidRPr="005936B2">
        <w:rPr>
          <w:rFonts w:ascii="Book Antiqua" w:eastAsia="宋体" w:hAnsi="Book Antiqua" w:cs="宋体"/>
          <w:b/>
          <w:bCs/>
          <w:kern w:val="0"/>
          <w:sz w:val="24"/>
          <w:szCs w:val="24"/>
        </w:rPr>
        <w:t>21</w:t>
      </w:r>
      <w:r w:rsidRPr="005936B2">
        <w:rPr>
          <w:rFonts w:ascii="Book Antiqua" w:eastAsia="宋体" w:hAnsi="Book Antiqua" w:cs="宋体"/>
          <w:kern w:val="0"/>
          <w:sz w:val="24"/>
          <w:szCs w:val="24"/>
        </w:rPr>
        <w:t>: 897-903 [PMID: 15212151 DOI: 10.1023/B: PHAM.0000029275.41323.a6]</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23 </w:t>
      </w:r>
      <w:r w:rsidRPr="005936B2">
        <w:rPr>
          <w:rFonts w:ascii="Book Antiqua" w:eastAsia="宋体" w:hAnsi="Book Antiqua" w:cs="宋体"/>
          <w:b/>
          <w:bCs/>
          <w:kern w:val="0"/>
          <w:sz w:val="24"/>
          <w:szCs w:val="24"/>
        </w:rPr>
        <w:t>Braun A</w:t>
      </w:r>
      <w:r w:rsidRPr="005936B2">
        <w:rPr>
          <w:rFonts w:ascii="Book Antiqua" w:eastAsia="宋体" w:hAnsi="Book Antiqua" w:cs="宋体"/>
          <w:kern w:val="0"/>
          <w:sz w:val="24"/>
          <w:szCs w:val="24"/>
        </w:rPr>
        <w:t>, Kwee L, Labow MA, Alsenz J. Protein aggregates seem to play a key role among the parameters influencing the antigenicity of interferon alpha (IFN-alpha) in normal and transgenic mice. </w:t>
      </w:r>
      <w:r w:rsidRPr="005936B2">
        <w:rPr>
          <w:rFonts w:ascii="Book Antiqua" w:eastAsia="宋体" w:hAnsi="Book Antiqua" w:cs="宋体"/>
          <w:i/>
          <w:iCs/>
          <w:kern w:val="0"/>
          <w:sz w:val="24"/>
          <w:szCs w:val="24"/>
        </w:rPr>
        <w:t>Pharm Res</w:t>
      </w:r>
      <w:r w:rsidRPr="005936B2">
        <w:rPr>
          <w:rFonts w:ascii="Book Antiqua" w:eastAsia="宋体" w:hAnsi="Book Antiqua" w:cs="宋体"/>
          <w:kern w:val="0"/>
          <w:sz w:val="24"/>
          <w:szCs w:val="24"/>
        </w:rPr>
        <w:t> 1997; </w:t>
      </w:r>
      <w:r w:rsidRPr="005936B2">
        <w:rPr>
          <w:rFonts w:ascii="Book Antiqua" w:eastAsia="宋体" w:hAnsi="Book Antiqua" w:cs="宋体"/>
          <w:b/>
          <w:bCs/>
          <w:kern w:val="0"/>
          <w:sz w:val="24"/>
          <w:szCs w:val="24"/>
        </w:rPr>
        <w:t>14</w:t>
      </w:r>
      <w:r w:rsidRPr="005936B2">
        <w:rPr>
          <w:rFonts w:ascii="Book Antiqua" w:eastAsia="宋体" w:hAnsi="Book Antiqua" w:cs="宋体"/>
          <w:kern w:val="0"/>
          <w:sz w:val="24"/>
          <w:szCs w:val="24"/>
        </w:rPr>
        <w:t>: 1472-1478 [PMID: 9358564 DOI: 10.1023/A: 1012193326789]</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24 </w:t>
      </w:r>
      <w:r w:rsidRPr="005936B2">
        <w:rPr>
          <w:rFonts w:ascii="Book Antiqua" w:eastAsia="宋体" w:hAnsi="Book Antiqua" w:cs="宋体"/>
          <w:b/>
          <w:bCs/>
          <w:kern w:val="0"/>
          <w:sz w:val="24"/>
          <w:szCs w:val="24"/>
        </w:rPr>
        <w:t>Villalobos AP</w:t>
      </w:r>
      <w:r w:rsidRPr="005936B2">
        <w:rPr>
          <w:rFonts w:ascii="Book Antiqua" w:eastAsia="宋体" w:hAnsi="Book Antiqua" w:cs="宋体"/>
          <w:kern w:val="0"/>
          <w:sz w:val="24"/>
          <w:szCs w:val="24"/>
        </w:rPr>
        <w:t>, Gunturi SR, Heavner GA. Interaction of polysorbate 80 with erythropoietin: a case study in protein-surfactant interactions. </w:t>
      </w:r>
      <w:r w:rsidRPr="005936B2">
        <w:rPr>
          <w:rFonts w:ascii="Book Antiqua" w:eastAsia="宋体" w:hAnsi="Book Antiqua" w:cs="宋体"/>
          <w:i/>
          <w:iCs/>
          <w:kern w:val="0"/>
          <w:sz w:val="24"/>
          <w:szCs w:val="24"/>
        </w:rPr>
        <w:t>Pharm Res</w:t>
      </w:r>
      <w:r w:rsidRPr="005936B2">
        <w:rPr>
          <w:rFonts w:ascii="Book Antiqua" w:eastAsia="宋体" w:hAnsi="Book Antiqua" w:cs="宋体"/>
          <w:kern w:val="0"/>
          <w:sz w:val="24"/>
          <w:szCs w:val="24"/>
        </w:rPr>
        <w:t> 2005; </w:t>
      </w:r>
      <w:r w:rsidRPr="005936B2">
        <w:rPr>
          <w:rFonts w:ascii="Book Antiqua" w:eastAsia="宋体" w:hAnsi="Book Antiqua" w:cs="宋体"/>
          <w:b/>
          <w:bCs/>
          <w:kern w:val="0"/>
          <w:sz w:val="24"/>
          <w:szCs w:val="24"/>
        </w:rPr>
        <w:t>22</w:t>
      </w:r>
      <w:r w:rsidRPr="005936B2">
        <w:rPr>
          <w:rFonts w:ascii="Book Antiqua" w:eastAsia="宋体" w:hAnsi="Book Antiqua" w:cs="宋体"/>
          <w:kern w:val="0"/>
          <w:sz w:val="24"/>
          <w:szCs w:val="24"/>
        </w:rPr>
        <w:t>: 1186-1194 [PMID: 16028020 DOI: 10.1007/s11095-005-5356-7]</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25 </w:t>
      </w:r>
      <w:r w:rsidRPr="005936B2">
        <w:rPr>
          <w:rFonts w:ascii="Book Antiqua" w:eastAsia="宋体" w:hAnsi="Book Antiqua" w:cs="宋体"/>
          <w:b/>
          <w:bCs/>
          <w:kern w:val="0"/>
          <w:sz w:val="24"/>
          <w:szCs w:val="24"/>
        </w:rPr>
        <w:t>Haselbeck A</w:t>
      </w:r>
      <w:r w:rsidRPr="005936B2">
        <w:rPr>
          <w:rFonts w:ascii="Book Antiqua" w:eastAsia="宋体" w:hAnsi="Book Antiqua" w:cs="宋体"/>
          <w:kern w:val="0"/>
          <w:sz w:val="24"/>
          <w:szCs w:val="24"/>
        </w:rPr>
        <w:t>. Epoetins: differences and their relevance to immunogenicity. </w:t>
      </w:r>
      <w:r w:rsidRPr="005936B2">
        <w:rPr>
          <w:rFonts w:ascii="Book Antiqua" w:eastAsia="宋体" w:hAnsi="Book Antiqua" w:cs="宋体"/>
          <w:i/>
          <w:iCs/>
          <w:kern w:val="0"/>
          <w:sz w:val="24"/>
          <w:szCs w:val="24"/>
        </w:rPr>
        <w:t>Curr Med Res Opin</w:t>
      </w:r>
      <w:r w:rsidRPr="005936B2">
        <w:rPr>
          <w:rFonts w:ascii="Book Antiqua" w:eastAsia="宋体" w:hAnsi="Book Antiqua" w:cs="宋体"/>
          <w:kern w:val="0"/>
          <w:sz w:val="24"/>
          <w:szCs w:val="24"/>
        </w:rPr>
        <w:t> 2003; </w:t>
      </w:r>
      <w:r w:rsidRPr="005936B2">
        <w:rPr>
          <w:rFonts w:ascii="Book Antiqua" w:eastAsia="宋体" w:hAnsi="Book Antiqua" w:cs="宋体"/>
          <w:b/>
          <w:bCs/>
          <w:kern w:val="0"/>
          <w:sz w:val="24"/>
          <w:szCs w:val="24"/>
        </w:rPr>
        <w:t>19</w:t>
      </w:r>
      <w:r w:rsidRPr="005936B2">
        <w:rPr>
          <w:rFonts w:ascii="Book Antiqua" w:eastAsia="宋体" w:hAnsi="Book Antiqua" w:cs="宋体"/>
          <w:kern w:val="0"/>
          <w:sz w:val="24"/>
          <w:szCs w:val="24"/>
        </w:rPr>
        <w:t>: 430-432 [PMID: 13678480]</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 xml:space="preserve">26 </w:t>
      </w:r>
      <w:r w:rsidRPr="005936B2">
        <w:rPr>
          <w:rFonts w:ascii="Book Antiqua" w:eastAsia="宋体" w:hAnsi="Book Antiqua" w:cs="宋体"/>
          <w:b/>
          <w:kern w:val="0"/>
          <w:sz w:val="24"/>
          <w:szCs w:val="24"/>
        </w:rPr>
        <w:t>Maillard LC.</w:t>
      </w:r>
      <w:proofErr w:type="gramEnd"/>
      <w:r w:rsidRPr="005936B2">
        <w:rPr>
          <w:rFonts w:ascii="Book Antiqua" w:eastAsia="宋体" w:hAnsi="Book Antiqua" w:cs="宋体"/>
          <w:kern w:val="0"/>
          <w:sz w:val="24"/>
          <w:szCs w:val="24"/>
        </w:rPr>
        <w:t xml:space="preserve"> Action des acides amines sur les sucres: formation des melanoidines par voie methodique.</w:t>
      </w:r>
      <w:r w:rsidRPr="005936B2">
        <w:rPr>
          <w:rFonts w:ascii="Book Antiqua" w:eastAsia="宋体" w:hAnsi="Book Antiqua" w:cs="宋体"/>
          <w:i/>
          <w:kern w:val="0"/>
          <w:sz w:val="24"/>
          <w:szCs w:val="24"/>
        </w:rPr>
        <w:t xml:space="preserve"> C R Acad Sci</w:t>
      </w:r>
      <w:r w:rsidRPr="005936B2">
        <w:rPr>
          <w:rFonts w:ascii="Book Antiqua" w:eastAsia="宋体" w:hAnsi="Book Antiqua" w:cs="宋体"/>
          <w:kern w:val="0"/>
          <w:sz w:val="24"/>
          <w:szCs w:val="24"/>
        </w:rPr>
        <w:t xml:space="preserve"> 1912; </w:t>
      </w:r>
      <w:r w:rsidRPr="005936B2">
        <w:rPr>
          <w:rFonts w:ascii="Book Antiqua" w:eastAsia="宋体" w:hAnsi="Book Antiqua" w:cs="宋体"/>
          <w:b/>
          <w:kern w:val="0"/>
          <w:sz w:val="24"/>
          <w:szCs w:val="24"/>
        </w:rPr>
        <w:t>154</w:t>
      </w:r>
      <w:r w:rsidRPr="005936B2">
        <w:rPr>
          <w:rFonts w:ascii="Book Antiqua" w:eastAsia="宋体" w:hAnsi="Book Antiqua" w:cs="宋体"/>
          <w:kern w:val="0"/>
          <w:sz w:val="24"/>
          <w:szCs w:val="24"/>
        </w:rPr>
        <w:t xml:space="preserve">: 66-68 </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27 </w:t>
      </w:r>
      <w:r w:rsidRPr="005936B2">
        <w:rPr>
          <w:rFonts w:ascii="Book Antiqua" w:eastAsia="宋体" w:hAnsi="Book Antiqua" w:cs="宋体"/>
          <w:b/>
          <w:bCs/>
          <w:kern w:val="0"/>
          <w:sz w:val="24"/>
          <w:szCs w:val="24"/>
        </w:rPr>
        <w:t>Rahbar S</w:t>
      </w:r>
      <w:r w:rsidRPr="005936B2">
        <w:rPr>
          <w:rFonts w:ascii="Book Antiqua" w:eastAsia="宋体" w:hAnsi="Book Antiqua" w:cs="宋体"/>
          <w:kern w:val="0"/>
          <w:sz w:val="24"/>
          <w:szCs w:val="24"/>
        </w:rPr>
        <w:t>.</w:t>
      </w:r>
      <w:proofErr w:type="gramEnd"/>
      <w:r w:rsidRPr="005936B2">
        <w:rPr>
          <w:rFonts w:ascii="Book Antiqua" w:eastAsia="宋体" w:hAnsi="Book Antiqua" w:cs="宋体"/>
          <w:kern w:val="0"/>
          <w:sz w:val="24"/>
          <w:szCs w:val="24"/>
        </w:rPr>
        <w:t xml:space="preserve"> </w:t>
      </w:r>
      <w:proofErr w:type="gramStart"/>
      <w:r w:rsidRPr="005936B2">
        <w:rPr>
          <w:rFonts w:ascii="Book Antiqua" w:eastAsia="宋体" w:hAnsi="Book Antiqua" w:cs="宋体"/>
          <w:kern w:val="0"/>
          <w:sz w:val="24"/>
          <w:szCs w:val="24"/>
        </w:rPr>
        <w:t>An abnormal</w:t>
      </w:r>
      <w:proofErr w:type="gramEnd"/>
      <w:r w:rsidRPr="005936B2">
        <w:rPr>
          <w:rFonts w:ascii="Book Antiqua" w:eastAsia="宋体" w:hAnsi="Book Antiqua" w:cs="宋体"/>
          <w:kern w:val="0"/>
          <w:sz w:val="24"/>
          <w:szCs w:val="24"/>
        </w:rPr>
        <w:t xml:space="preserve"> hemoglobin in red cells of diabetics. </w:t>
      </w:r>
      <w:r w:rsidRPr="005936B2">
        <w:rPr>
          <w:rFonts w:ascii="Book Antiqua" w:eastAsia="宋体" w:hAnsi="Book Antiqua" w:cs="宋体"/>
          <w:i/>
          <w:iCs/>
          <w:kern w:val="0"/>
          <w:sz w:val="24"/>
          <w:szCs w:val="24"/>
        </w:rPr>
        <w:t>Clin Chim Acta</w:t>
      </w:r>
      <w:r w:rsidRPr="005936B2">
        <w:rPr>
          <w:rFonts w:ascii="Book Antiqua" w:eastAsia="宋体" w:hAnsi="Book Antiqua" w:cs="宋体"/>
          <w:kern w:val="0"/>
          <w:sz w:val="24"/>
          <w:szCs w:val="24"/>
        </w:rPr>
        <w:t> 1968; </w:t>
      </w:r>
      <w:r w:rsidRPr="005936B2">
        <w:rPr>
          <w:rFonts w:ascii="Book Antiqua" w:eastAsia="宋体" w:hAnsi="Book Antiqua" w:cs="宋体"/>
          <w:b/>
          <w:bCs/>
          <w:kern w:val="0"/>
          <w:sz w:val="24"/>
          <w:szCs w:val="24"/>
        </w:rPr>
        <w:t>22</w:t>
      </w:r>
      <w:r w:rsidRPr="005936B2">
        <w:rPr>
          <w:rFonts w:ascii="Book Antiqua" w:eastAsia="宋体" w:hAnsi="Book Antiqua" w:cs="宋体"/>
          <w:kern w:val="0"/>
          <w:sz w:val="24"/>
          <w:szCs w:val="24"/>
        </w:rPr>
        <w:t>: 296-298 [PMID: 5687098 DOI: 10.1016/0009-8981(68)90372-0]</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28 </w:t>
      </w:r>
      <w:r w:rsidRPr="005936B2">
        <w:rPr>
          <w:rFonts w:ascii="Book Antiqua" w:eastAsia="宋体" w:hAnsi="Book Antiqua" w:cs="宋体"/>
          <w:b/>
          <w:bCs/>
          <w:kern w:val="0"/>
          <w:sz w:val="24"/>
          <w:szCs w:val="24"/>
        </w:rPr>
        <w:t>Rahbar S</w:t>
      </w:r>
      <w:r w:rsidRPr="005936B2">
        <w:rPr>
          <w:rFonts w:ascii="Book Antiqua" w:eastAsia="宋体" w:hAnsi="Book Antiqua" w:cs="宋体"/>
          <w:kern w:val="0"/>
          <w:sz w:val="24"/>
          <w:szCs w:val="24"/>
        </w:rPr>
        <w:t>.</w:t>
      </w:r>
      <w:proofErr w:type="gramEnd"/>
      <w:r w:rsidRPr="005936B2">
        <w:rPr>
          <w:rFonts w:ascii="Book Antiqua" w:eastAsia="宋体" w:hAnsi="Book Antiqua" w:cs="宋体"/>
          <w:kern w:val="0"/>
          <w:sz w:val="24"/>
          <w:szCs w:val="24"/>
        </w:rPr>
        <w:t xml:space="preserve"> The discovery of glycated hemoglobin: a major event in the study of nonenzymatic chemistry in biological systems. </w:t>
      </w:r>
      <w:r w:rsidRPr="005936B2">
        <w:rPr>
          <w:rFonts w:ascii="Book Antiqua" w:eastAsia="宋体" w:hAnsi="Book Antiqua" w:cs="宋体"/>
          <w:i/>
          <w:iCs/>
          <w:kern w:val="0"/>
          <w:sz w:val="24"/>
          <w:szCs w:val="24"/>
        </w:rPr>
        <w:t>Ann N Y Acad Sci</w:t>
      </w:r>
      <w:r w:rsidRPr="005936B2">
        <w:rPr>
          <w:rFonts w:ascii="Book Antiqua" w:eastAsia="宋体" w:hAnsi="Book Antiqua" w:cs="宋体"/>
          <w:kern w:val="0"/>
          <w:sz w:val="24"/>
          <w:szCs w:val="24"/>
        </w:rPr>
        <w:t> 2005; </w:t>
      </w:r>
      <w:r w:rsidRPr="005936B2">
        <w:rPr>
          <w:rFonts w:ascii="Book Antiqua" w:eastAsia="宋体" w:hAnsi="Book Antiqua" w:cs="宋体"/>
          <w:b/>
          <w:bCs/>
          <w:kern w:val="0"/>
          <w:sz w:val="24"/>
          <w:szCs w:val="24"/>
        </w:rPr>
        <w:t>1043</w:t>
      </w:r>
      <w:r w:rsidRPr="005936B2">
        <w:rPr>
          <w:rFonts w:ascii="Book Antiqua" w:eastAsia="宋体" w:hAnsi="Book Antiqua" w:cs="宋体"/>
          <w:kern w:val="0"/>
          <w:sz w:val="24"/>
          <w:szCs w:val="24"/>
        </w:rPr>
        <w:t>: 9-19 [PMID: 16037217 DOI: 10.1196/annals.1333.002]</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29 </w:t>
      </w:r>
      <w:r w:rsidRPr="005936B2">
        <w:rPr>
          <w:rFonts w:ascii="Book Antiqua" w:eastAsia="宋体" w:hAnsi="Book Antiqua" w:cs="宋体"/>
          <w:b/>
          <w:bCs/>
          <w:kern w:val="0"/>
          <w:sz w:val="24"/>
          <w:szCs w:val="24"/>
        </w:rPr>
        <w:t>Bookchin RM</w:t>
      </w:r>
      <w:r w:rsidRPr="005936B2">
        <w:rPr>
          <w:rFonts w:ascii="Book Antiqua" w:eastAsia="宋体" w:hAnsi="Book Antiqua" w:cs="宋体"/>
          <w:kern w:val="0"/>
          <w:sz w:val="24"/>
          <w:szCs w:val="24"/>
        </w:rPr>
        <w:t>, Gallop PM. Structure of hemoglobin AIc: nature of the N-terminal beta chain blocking group. </w:t>
      </w:r>
      <w:r w:rsidRPr="005936B2">
        <w:rPr>
          <w:rFonts w:ascii="Book Antiqua" w:eastAsia="宋体" w:hAnsi="Book Antiqua" w:cs="宋体"/>
          <w:i/>
          <w:iCs/>
          <w:kern w:val="0"/>
          <w:sz w:val="24"/>
          <w:szCs w:val="24"/>
        </w:rPr>
        <w:t>Biochem Biophys Res Commun</w:t>
      </w:r>
      <w:r w:rsidRPr="005936B2">
        <w:rPr>
          <w:rFonts w:ascii="Book Antiqua" w:eastAsia="宋体" w:hAnsi="Book Antiqua" w:cs="宋体"/>
          <w:kern w:val="0"/>
          <w:sz w:val="24"/>
          <w:szCs w:val="24"/>
        </w:rPr>
        <w:t> 1968; </w:t>
      </w:r>
      <w:r w:rsidRPr="005936B2">
        <w:rPr>
          <w:rFonts w:ascii="Book Antiqua" w:eastAsia="宋体" w:hAnsi="Book Antiqua" w:cs="宋体"/>
          <w:b/>
          <w:bCs/>
          <w:kern w:val="0"/>
          <w:sz w:val="24"/>
          <w:szCs w:val="24"/>
        </w:rPr>
        <w:t>32</w:t>
      </w:r>
      <w:r w:rsidRPr="005936B2">
        <w:rPr>
          <w:rFonts w:ascii="Book Antiqua" w:eastAsia="宋体" w:hAnsi="Book Antiqua" w:cs="宋体"/>
          <w:kern w:val="0"/>
          <w:sz w:val="24"/>
          <w:szCs w:val="24"/>
        </w:rPr>
        <w:t>: 86-93 [PMID: 4874776 DOI: 10.1016/0006-291X(</w:t>
      </w:r>
      <w:proofErr w:type="gramStart"/>
      <w:r w:rsidRPr="005936B2">
        <w:rPr>
          <w:rFonts w:ascii="Book Antiqua" w:eastAsia="宋体" w:hAnsi="Book Antiqua" w:cs="宋体"/>
          <w:kern w:val="0"/>
          <w:sz w:val="24"/>
          <w:szCs w:val="24"/>
        </w:rPr>
        <w:t>68)90430</w:t>
      </w:r>
      <w:proofErr w:type="gramEnd"/>
      <w:r w:rsidRPr="005936B2">
        <w:rPr>
          <w:rFonts w:ascii="Book Antiqua" w:eastAsia="宋体" w:hAnsi="Book Antiqua" w:cs="宋体"/>
          <w:kern w:val="0"/>
          <w:sz w:val="24"/>
          <w:szCs w:val="24"/>
        </w:rPr>
        <w:t>-0]</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30 </w:t>
      </w:r>
      <w:r w:rsidRPr="005936B2">
        <w:rPr>
          <w:rFonts w:ascii="Book Antiqua" w:eastAsia="宋体" w:hAnsi="Book Antiqua" w:cs="宋体"/>
          <w:b/>
          <w:bCs/>
          <w:kern w:val="0"/>
          <w:sz w:val="24"/>
          <w:szCs w:val="24"/>
        </w:rPr>
        <w:t>Monnier VM</w:t>
      </w:r>
      <w:r w:rsidRPr="005936B2">
        <w:rPr>
          <w:rFonts w:ascii="Book Antiqua" w:eastAsia="宋体" w:hAnsi="Book Antiqua" w:cs="宋体"/>
          <w:kern w:val="0"/>
          <w:sz w:val="24"/>
          <w:szCs w:val="24"/>
        </w:rPr>
        <w:t>, Stevens VJ, Cerami A. Maillard reactions involving proteins and carbohydrates in vivo: relevance to diabetes mellitus and aging. </w:t>
      </w:r>
      <w:r w:rsidRPr="005936B2">
        <w:rPr>
          <w:rFonts w:ascii="Book Antiqua" w:eastAsia="宋体" w:hAnsi="Book Antiqua" w:cs="宋体"/>
          <w:i/>
          <w:iCs/>
          <w:kern w:val="0"/>
          <w:sz w:val="24"/>
          <w:szCs w:val="24"/>
        </w:rPr>
        <w:t>Prog Food Nutr Sci</w:t>
      </w:r>
      <w:r w:rsidRPr="005936B2">
        <w:rPr>
          <w:rFonts w:ascii="Book Antiqua" w:eastAsia="宋体" w:hAnsi="Book Antiqua" w:cs="宋体"/>
          <w:kern w:val="0"/>
          <w:sz w:val="24"/>
          <w:szCs w:val="24"/>
        </w:rPr>
        <w:t> 1981; </w:t>
      </w:r>
      <w:r w:rsidRPr="005936B2">
        <w:rPr>
          <w:rFonts w:ascii="Book Antiqua" w:eastAsia="宋体" w:hAnsi="Book Antiqua" w:cs="宋体"/>
          <w:b/>
          <w:bCs/>
          <w:kern w:val="0"/>
          <w:sz w:val="24"/>
          <w:szCs w:val="24"/>
        </w:rPr>
        <w:t>5</w:t>
      </w:r>
      <w:r w:rsidRPr="005936B2">
        <w:rPr>
          <w:rFonts w:ascii="Book Antiqua" w:eastAsia="宋体" w:hAnsi="Book Antiqua" w:cs="宋体"/>
          <w:kern w:val="0"/>
          <w:sz w:val="24"/>
          <w:szCs w:val="24"/>
        </w:rPr>
        <w:t>: 315-327 [PMID: 6798634]</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31 </w:t>
      </w:r>
      <w:r w:rsidRPr="005936B2">
        <w:rPr>
          <w:rFonts w:ascii="Book Antiqua" w:eastAsia="宋体" w:hAnsi="Book Antiqua" w:cs="宋体"/>
          <w:b/>
          <w:bCs/>
          <w:kern w:val="0"/>
          <w:sz w:val="24"/>
          <w:szCs w:val="24"/>
        </w:rPr>
        <w:t>Monnier VM</w:t>
      </w:r>
      <w:r w:rsidRPr="005936B2">
        <w:rPr>
          <w:rFonts w:ascii="Book Antiqua" w:eastAsia="宋体" w:hAnsi="Book Antiqua" w:cs="宋体"/>
          <w:kern w:val="0"/>
          <w:sz w:val="24"/>
          <w:szCs w:val="24"/>
        </w:rPr>
        <w:t>, Cerami A. Nonenzymatic browning in vivo: possible process for aging of long-lived proteins. </w:t>
      </w:r>
      <w:r w:rsidRPr="005936B2">
        <w:rPr>
          <w:rFonts w:ascii="Book Antiqua" w:eastAsia="宋体" w:hAnsi="Book Antiqua" w:cs="宋体"/>
          <w:i/>
          <w:iCs/>
          <w:kern w:val="0"/>
          <w:sz w:val="24"/>
          <w:szCs w:val="24"/>
        </w:rPr>
        <w:t>Science</w:t>
      </w:r>
      <w:r w:rsidRPr="005936B2">
        <w:rPr>
          <w:rFonts w:ascii="Book Antiqua" w:eastAsia="宋体" w:hAnsi="Book Antiqua" w:cs="宋体"/>
          <w:kern w:val="0"/>
          <w:sz w:val="24"/>
          <w:szCs w:val="24"/>
        </w:rPr>
        <w:t> 1981; </w:t>
      </w:r>
      <w:r w:rsidRPr="005936B2">
        <w:rPr>
          <w:rFonts w:ascii="Book Antiqua" w:eastAsia="宋体" w:hAnsi="Book Antiqua" w:cs="宋体"/>
          <w:b/>
          <w:bCs/>
          <w:kern w:val="0"/>
          <w:sz w:val="24"/>
          <w:szCs w:val="24"/>
        </w:rPr>
        <w:t>211</w:t>
      </w:r>
      <w:r w:rsidRPr="005936B2">
        <w:rPr>
          <w:rFonts w:ascii="Book Antiqua" w:eastAsia="宋体" w:hAnsi="Book Antiqua" w:cs="宋体"/>
          <w:kern w:val="0"/>
          <w:sz w:val="24"/>
          <w:szCs w:val="24"/>
        </w:rPr>
        <w:t>: 491-493 [PMID: 6779377 DOI: 10.1126/science.6779377]</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lastRenderedPageBreak/>
        <w:t>32 </w:t>
      </w:r>
      <w:r w:rsidRPr="005936B2">
        <w:rPr>
          <w:rFonts w:ascii="Book Antiqua" w:eastAsia="宋体" w:hAnsi="Book Antiqua" w:cs="宋体"/>
          <w:b/>
          <w:bCs/>
          <w:kern w:val="0"/>
          <w:sz w:val="24"/>
          <w:szCs w:val="24"/>
        </w:rPr>
        <w:t>Brownlee M</w:t>
      </w:r>
      <w:r w:rsidRPr="005936B2">
        <w:rPr>
          <w:rFonts w:ascii="Book Antiqua" w:eastAsia="宋体" w:hAnsi="Book Antiqua" w:cs="宋体"/>
          <w:kern w:val="0"/>
          <w:sz w:val="24"/>
          <w:szCs w:val="24"/>
        </w:rPr>
        <w:t>. Advanced protein glycosylation in diabetes and aging.</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Annu Rev Med</w:t>
      </w:r>
      <w:r w:rsidRPr="005936B2">
        <w:rPr>
          <w:rFonts w:ascii="Book Antiqua" w:eastAsia="宋体" w:hAnsi="Book Antiqua" w:cs="宋体"/>
          <w:kern w:val="0"/>
          <w:sz w:val="24"/>
          <w:szCs w:val="24"/>
        </w:rPr>
        <w:t> 1995; </w:t>
      </w:r>
      <w:r w:rsidRPr="005936B2">
        <w:rPr>
          <w:rFonts w:ascii="Book Antiqua" w:eastAsia="宋体" w:hAnsi="Book Antiqua" w:cs="宋体"/>
          <w:b/>
          <w:bCs/>
          <w:kern w:val="0"/>
          <w:sz w:val="24"/>
          <w:szCs w:val="24"/>
        </w:rPr>
        <w:t>46</w:t>
      </w:r>
      <w:r w:rsidRPr="005936B2">
        <w:rPr>
          <w:rFonts w:ascii="Book Antiqua" w:eastAsia="宋体" w:hAnsi="Book Antiqua" w:cs="宋体"/>
          <w:kern w:val="0"/>
          <w:sz w:val="24"/>
          <w:szCs w:val="24"/>
        </w:rPr>
        <w:t>: 223-234 [PMID: 7598459 DOI: 10.1146/annurev.med.46.1.223]</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33 </w:t>
      </w:r>
      <w:r w:rsidRPr="005936B2">
        <w:rPr>
          <w:rFonts w:ascii="Book Antiqua" w:eastAsia="宋体" w:hAnsi="Book Antiqua" w:cs="宋体"/>
          <w:b/>
          <w:bCs/>
          <w:kern w:val="0"/>
          <w:sz w:val="24"/>
          <w:szCs w:val="24"/>
        </w:rPr>
        <w:t>Thorpe SR</w:t>
      </w:r>
      <w:r w:rsidRPr="005936B2">
        <w:rPr>
          <w:rFonts w:ascii="Book Antiqua" w:eastAsia="宋体" w:hAnsi="Book Antiqua" w:cs="宋体"/>
          <w:kern w:val="0"/>
          <w:sz w:val="24"/>
          <w:szCs w:val="24"/>
        </w:rPr>
        <w:t>, Baynes JW.</w:t>
      </w:r>
      <w:proofErr w:type="gramEnd"/>
      <w:r w:rsidRPr="005936B2">
        <w:rPr>
          <w:rFonts w:ascii="Book Antiqua" w:eastAsia="宋体" w:hAnsi="Book Antiqua" w:cs="宋体"/>
          <w:kern w:val="0"/>
          <w:sz w:val="24"/>
          <w:szCs w:val="24"/>
        </w:rPr>
        <w:t xml:space="preserve"> </w:t>
      </w:r>
      <w:proofErr w:type="gramStart"/>
      <w:r w:rsidRPr="005936B2">
        <w:rPr>
          <w:rFonts w:ascii="Book Antiqua" w:eastAsia="宋体" w:hAnsi="Book Antiqua" w:cs="宋体"/>
          <w:kern w:val="0"/>
          <w:sz w:val="24"/>
          <w:szCs w:val="24"/>
        </w:rPr>
        <w:t>Role of the Maillard reaction in diabetes mellitus and diseases of aging.</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Drugs Aging</w:t>
      </w:r>
      <w:r w:rsidRPr="005936B2">
        <w:rPr>
          <w:rFonts w:ascii="Book Antiqua" w:eastAsia="宋体" w:hAnsi="Book Antiqua" w:cs="宋体"/>
          <w:kern w:val="0"/>
          <w:sz w:val="24"/>
          <w:szCs w:val="24"/>
        </w:rPr>
        <w:t> 1996; </w:t>
      </w:r>
      <w:r w:rsidRPr="005936B2">
        <w:rPr>
          <w:rFonts w:ascii="Book Antiqua" w:eastAsia="宋体" w:hAnsi="Book Antiqua" w:cs="宋体"/>
          <w:b/>
          <w:bCs/>
          <w:kern w:val="0"/>
          <w:sz w:val="24"/>
          <w:szCs w:val="24"/>
        </w:rPr>
        <w:t>9</w:t>
      </w:r>
      <w:r w:rsidRPr="005936B2">
        <w:rPr>
          <w:rFonts w:ascii="Book Antiqua" w:eastAsia="宋体" w:hAnsi="Book Antiqua" w:cs="宋体"/>
          <w:kern w:val="0"/>
          <w:sz w:val="24"/>
          <w:szCs w:val="24"/>
        </w:rPr>
        <w:t>: 69-77 [PMID: 8820792 DOI: 10.2165/00002512-199609020-00001]</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34 </w:t>
      </w:r>
      <w:r w:rsidRPr="005936B2">
        <w:rPr>
          <w:rFonts w:ascii="Book Antiqua" w:eastAsia="宋体" w:hAnsi="Book Antiqua" w:cs="宋体"/>
          <w:b/>
          <w:bCs/>
          <w:kern w:val="0"/>
          <w:sz w:val="24"/>
          <w:szCs w:val="24"/>
        </w:rPr>
        <w:t>Baynes JW</w:t>
      </w:r>
      <w:r w:rsidRPr="005936B2">
        <w:rPr>
          <w:rFonts w:ascii="Book Antiqua" w:eastAsia="宋体" w:hAnsi="Book Antiqua" w:cs="宋体"/>
          <w:kern w:val="0"/>
          <w:sz w:val="24"/>
          <w:szCs w:val="24"/>
        </w:rPr>
        <w:t>.</w:t>
      </w:r>
      <w:proofErr w:type="gramEnd"/>
      <w:r w:rsidRPr="005936B2">
        <w:rPr>
          <w:rFonts w:ascii="Book Antiqua" w:eastAsia="宋体" w:hAnsi="Book Antiqua" w:cs="宋体"/>
          <w:kern w:val="0"/>
          <w:sz w:val="24"/>
          <w:szCs w:val="24"/>
        </w:rPr>
        <w:t xml:space="preserve"> From life to death--the struggle between chemistry and biology during aging: the Maillard reaction as an amplifier of genomic damage. </w:t>
      </w:r>
      <w:r w:rsidRPr="005936B2">
        <w:rPr>
          <w:rFonts w:ascii="Book Antiqua" w:eastAsia="宋体" w:hAnsi="Book Antiqua" w:cs="宋体"/>
          <w:i/>
          <w:iCs/>
          <w:kern w:val="0"/>
          <w:sz w:val="24"/>
          <w:szCs w:val="24"/>
        </w:rPr>
        <w:t>Biogerontology</w:t>
      </w:r>
      <w:r w:rsidRPr="005936B2">
        <w:rPr>
          <w:rFonts w:ascii="Book Antiqua" w:eastAsia="宋体" w:hAnsi="Book Antiqua" w:cs="宋体"/>
          <w:kern w:val="0"/>
          <w:sz w:val="24"/>
          <w:szCs w:val="24"/>
        </w:rPr>
        <w:t> 2000; </w:t>
      </w:r>
      <w:r w:rsidRPr="005936B2">
        <w:rPr>
          <w:rFonts w:ascii="Book Antiqua" w:eastAsia="宋体" w:hAnsi="Book Antiqua" w:cs="宋体"/>
          <w:b/>
          <w:bCs/>
          <w:kern w:val="0"/>
          <w:sz w:val="24"/>
          <w:szCs w:val="24"/>
        </w:rPr>
        <w:t>1</w:t>
      </w:r>
      <w:r w:rsidRPr="005936B2">
        <w:rPr>
          <w:rFonts w:ascii="Book Antiqua" w:eastAsia="宋体" w:hAnsi="Book Antiqua" w:cs="宋体"/>
          <w:kern w:val="0"/>
          <w:sz w:val="24"/>
          <w:szCs w:val="24"/>
        </w:rPr>
        <w:t>: 235-246 [PMID: 11707900 DOI: 10.1023/A: 1010034213093]</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35 </w:t>
      </w:r>
      <w:r w:rsidRPr="005936B2">
        <w:rPr>
          <w:rFonts w:ascii="Book Antiqua" w:eastAsia="宋体" w:hAnsi="Book Antiqua" w:cs="宋体"/>
          <w:b/>
          <w:bCs/>
          <w:kern w:val="0"/>
          <w:sz w:val="24"/>
          <w:szCs w:val="24"/>
        </w:rPr>
        <w:t>Baynes JW</w:t>
      </w:r>
      <w:r w:rsidRPr="005936B2">
        <w:rPr>
          <w:rFonts w:ascii="Book Antiqua" w:eastAsia="宋体" w:hAnsi="Book Antiqua" w:cs="宋体"/>
          <w:kern w:val="0"/>
          <w:sz w:val="24"/>
          <w:szCs w:val="24"/>
        </w:rPr>
        <w:t>.</w:t>
      </w:r>
      <w:proofErr w:type="gramEnd"/>
      <w:r w:rsidRPr="005936B2">
        <w:rPr>
          <w:rFonts w:ascii="Book Antiqua" w:eastAsia="宋体" w:hAnsi="Book Antiqua" w:cs="宋体"/>
          <w:kern w:val="0"/>
          <w:sz w:val="24"/>
          <w:szCs w:val="24"/>
        </w:rPr>
        <w:t xml:space="preserve"> The Maillard hypothesis on aging: time to focus on DNA. </w:t>
      </w:r>
      <w:r w:rsidRPr="005936B2">
        <w:rPr>
          <w:rFonts w:ascii="Book Antiqua" w:eastAsia="宋体" w:hAnsi="Book Antiqua" w:cs="宋体"/>
          <w:i/>
          <w:iCs/>
          <w:kern w:val="0"/>
          <w:sz w:val="24"/>
          <w:szCs w:val="24"/>
        </w:rPr>
        <w:t>Ann N Y Acad Sci</w:t>
      </w:r>
      <w:r w:rsidRPr="005936B2">
        <w:rPr>
          <w:rFonts w:ascii="Book Antiqua" w:eastAsia="宋体" w:hAnsi="Book Antiqua" w:cs="宋体"/>
          <w:kern w:val="0"/>
          <w:sz w:val="24"/>
          <w:szCs w:val="24"/>
        </w:rPr>
        <w:t> 2002; </w:t>
      </w:r>
      <w:r w:rsidRPr="005936B2">
        <w:rPr>
          <w:rFonts w:ascii="Book Antiqua" w:eastAsia="宋体" w:hAnsi="Book Antiqua" w:cs="宋体"/>
          <w:b/>
          <w:bCs/>
          <w:kern w:val="0"/>
          <w:sz w:val="24"/>
          <w:szCs w:val="24"/>
        </w:rPr>
        <w:t>959</w:t>
      </w:r>
      <w:r w:rsidRPr="005936B2">
        <w:rPr>
          <w:rFonts w:ascii="Book Antiqua" w:eastAsia="宋体" w:hAnsi="Book Antiqua" w:cs="宋体"/>
          <w:kern w:val="0"/>
          <w:sz w:val="24"/>
          <w:szCs w:val="24"/>
        </w:rPr>
        <w:t>: 360-367 [PMID: 11976210 DOI: 10.1111/j.1749-6632.2002.tb02107.x]</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36 </w:t>
      </w:r>
      <w:r w:rsidRPr="005936B2">
        <w:rPr>
          <w:rFonts w:ascii="Book Antiqua" w:eastAsia="宋体" w:hAnsi="Book Antiqua" w:cs="宋体"/>
          <w:b/>
          <w:bCs/>
          <w:kern w:val="0"/>
          <w:sz w:val="24"/>
          <w:szCs w:val="24"/>
        </w:rPr>
        <w:t>Monnier VM</w:t>
      </w:r>
      <w:r w:rsidRPr="005936B2">
        <w:rPr>
          <w:rFonts w:ascii="Book Antiqua" w:eastAsia="宋体" w:hAnsi="Book Antiqua" w:cs="宋体"/>
          <w:kern w:val="0"/>
          <w:sz w:val="24"/>
          <w:szCs w:val="24"/>
        </w:rPr>
        <w:t>, Sell DR. Prevention and repair of protein damage by the Maillard reaction in vivo. </w:t>
      </w:r>
      <w:r w:rsidRPr="005936B2">
        <w:rPr>
          <w:rFonts w:ascii="Book Antiqua" w:eastAsia="宋体" w:hAnsi="Book Antiqua" w:cs="宋体"/>
          <w:i/>
          <w:iCs/>
          <w:kern w:val="0"/>
          <w:sz w:val="24"/>
          <w:szCs w:val="24"/>
        </w:rPr>
        <w:t>Rejuvenation Res</w:t>
      </w:r>
      <w:r w:rsidRPr="005936B2">
        <w:rPr>
          <w:rFonts w:ascii="Book Antiqua" w:eastAsia="宋体" w:hAnsi="Book Antiqua" w:cs="宋体"/>
          <w:kern w:val="0"/>
          <w:sz w:val="24"/>
          <w:szCs w:val="24"/>
        </w:rPr>
        <w:t> 2006; </w:t>
      </w:r>
      <w:r w:rsidRPr="005936B2">
        <w:rPr>
          <w:rFonts w:ascii="Book Antiqua" w:eastAsia="宋体" w:hAnsi="Book Antiqua" w:cs="宋体"/>
          <w:b/>
          <w:bCs/>
          <w:kern w:val="0"/>
          <w:sz w:val="24"/>
          <w:szCs w:val="24"/>
        </w:rPr>
        <w:t>9</w:t>
      </w:r>
      <w:r w:rsidRPr="005936B2">
        <w:rPr>
          <w:rFonts w:ascii="Book Antiqua" w:eastAsia="宋体" w:hAnsi="Book Antiqua" w:cs="宋体"/>
          <w:kern w:val="0"/>
          <w:sz w:val="24"/>
          <w:szCs w:val="24"/>
        </w:rPr>
        <w:t>: 264-273 [PMID: 16706654 DOI: 10.1089/rej.2006.9.264]</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37 </w:t>
      </w:r>
      <w:r w:rsidRPr="005936B2">
        <w:rPr>
          <w:rFonts w:ascii="Book Antiqua" w:eastAsia="宋体" w:hAnsi="Book Antiqua" w:cs="宋体"/>
          <w:b/>
          <w:bCs/>
          <w:kern w:val="0"/>
          <w:sz w:val="24"/>
          <w:szCs w:val="24"/>
        </w:rPr>
        <w:t>Nass N</w:t>
      </w:r>
      <w:r w:rsidRPr="005936B2">
        <w:rPr>
          <w:rFonts w:ascii="Book Antiqua" w:eastAsia="宋体" w:hAnsi="Book Antiqua" w:cs="宋体"/>
          <w:kern w:val="0"/>
          <w:sz w:val="24"/>
          <w:szCs w:val="24"/>
        </w:rPr>
        <w:t>, Bartling B, Navarrete Santos A, Scheubel RJ, Börgermann J, Silber RE, Simm A. Advanced glycation end products, diabetes and ageing. </w:t>
      </w:r>
      <w:r w:rsidRPr="005936B2">
        <w:rPr>
          <w:rFonts w:ascii="Book Antiqua" w:eastAsia="宋体" w:hAnsi="Book Antiqua" w:cs="宋体"/>
          <w:i/>
          <w:iCs/>
          <w:kern w:val="0"/>
          <w:sz w:val="24"/>
          <w:szCs w:val="24"/>
        </w:rPr>
        <w:t>Z Gerontol Geriatr</w:t>
      </w:r>
      <w:r w:rsidRPr="005936B2">
        <w:rPr>
          <w:rFonts w:ascii="Book Antiqua" w:eastAsia="宋体" w:hAnsi="Book Antiqua" w:cs="宋体"/>
          <w:kern w:val="0"/>
          <w:sz w:val="24"/>
          <w:szCs w:val="24"/>
        </w:rPr>
        <w:t> 2007; </w:t>
      </w:r>
      <w:r w:rsidRPr="005936B2">
        <w:rPr>
          <w:rFonts w:ascii="Book Antiqua" w:eastAsia="宋体" w:hAnsi="Book Antiqua" w:cs="宋体"/>
          <w:b/>
          <w:bCs/>
          <w:kern w:val="0"/>
          <w:sz w:val="24"/>
          <w:szCs w:val="24"/>
        </w:rPr>
        <w:t>40</w:t>
      </w:r>
      <w:r w:rsidRPr="005936B2">
        <w:rPr>
          <w:rFonts w:ascii="Book Antiqua" w:eastAsia="宋体" w:hAnsi="Book Antiqua" w:cs="宋体"/>
          <w:kern w:val="0"/>
          <w:sz w:val="24"/>
          <w:szCs w:val="24"/>
        </w:rPr>
        <w:t>: 349-356 [PMID: 17943238 DOI: 10.1007/s00391-007-0484-9]</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38 </w:t>
      </w:r>
      <w:r w:rsidRPr="005936B2">
        <w:rPr>
          <w:rFonts w:ascii="Book Antiqua" w:eastAsia="宋体" w:hAnsi="Book Antiqua" w:cs="宋体"/>
          <w:b/>
          <w:bCs/>
          <w:kern w:val="0"/>
          <w:sz w:val="24"/>
          <w:szCs w:val="24"/>
        </w:rPr>
        <w:t>Ahmed N</w:t>
      </w:r>
      <w:r w:rsidRPr="005936B2">
        <w:rPr>
          <w:rFonts w:ascii="Book Antiqua" w:eastAsia="宋体" w:hAnsi="Book Antiqua" w:cs="宋体"/>
          <w:kern w:val="0"/>
          <w:sz w:val="24"/>
          <w:szCs w:val="24"/>
        </w:rPr>
        <w:t>, Thornalley PJ. Advanced glycation endproducts: what is their relevance to diabetic complications? </w:t>
      </w:r>
      <w:r w:rsidRPr="005936B2">
        <w:rPr>
          <w:rFonts w:ascii="Book Antiqua" w:eastAsia="宋体" w:hAnsi="Book Antiqua" w:cs="宋体"/>
          <w:i/>
          <w:iCs/>
          <w:kern w:val="0"/>
          <w:sz w:val="24"/>
          <w:szCs w:val="24"/>
        </w:rPr>
        <w:t>Diabetes Obes Metab</w:t>
      </w:r>
      <w:r w:rsidRPr="005936B2">
        <w:rPr>
          <w:rFonts w:ascii="Book Antiqua" w:eastAsia="宋体" w:hAnsi="Book Antiqua" w:cs="宋体"/>
          <w:kern w:val="0"/>
          <w:sz w:val="24"/>
          <w:szCs w:val="24"/>
        </w:rPr>
        <w:t> 2007; </w:t>
      </w:r>
      <w:r w:rsidRPr="005936B2">
        <w:rPr>
          <w:rFonts w:ascii="Book Antiqua" w:eastAsia="宋体" w:hAnsi="Book Antiqua" w:cs="宋体"/>
          <w:b/>
          <w:bCs/>
          <w:kern w:val="0"/>
          <w:sz w:val="24"/>
          <w:szCs w:val="24"/>
        </w:rPr>
        <w:t>9</w:t>
      </w:r>
      <w:r w:rsidRPr="005936B2">
        <w:rPr>
          <w:rFonts w:ascii="Book Antiqua" w:eastAsia="宋体" w:hAnsi="Book Antiqua" w:cs="宋体"/>
          <w:kern w:val="0"/>
          <w:sz w:val="24"/>
          <w:szCs w:val="24"/>
        </w:rPr>
        <w:t>: 233-245 [PMID: 17391149 DOI: 10.1111/j.1463-1326.2006.00595.x]</w:t>
      </w:r>
    </w:p>
    <w:p w:rsidR="007A0C7D" w:rsidRPr="005936B2" w:rsidRDefault="007A0C7D" w:rsidP="007A0C7D">
      <w:pPr>
        <w:widowControl/>
        <w:spacing w:line="360" w:lineRule="auto"/>
        <w:rPr>
          <w:rFonts w:ascii="Book Antiqua" w:eastAsia="宋体" w:hAnsi="Book Antiqua" w:cs="宋体"/>
          <w:kern w:val="0"/>
          <w:sz w:val="24"/>
          <w:szCs w:val="24"/>
          <w:lang w:val="de-AT"/>
        </w:rPr>
      </w:pPr>
      <w:r w:rsidRPr="005936B2">
        <w:rPr>
          <w:rFonts w:ascii="Book Antiqua" w:eastAsia="宋体" w:hAnsi="Book Antiqua" w:cs="宋体"/>
          <w:kern w:val="0"/>
          <w:sz w:val="24"/>
          <w:szCs w:val="24"/>
        </w:rPr>
        <w:t xml:space="preserve">39 </w:t>
      </w:r>
      <w:r w:rsidRPr="005936B2">
        <w:rPr>
          <w:rFonts w:ascii="Book Antiqua" w:eastAsia="宋体" w:hAnsi="Book Antiqua" w:cs="宋体"/>
          <w:b/>
          <w:kern w:val="0"/>
          <w:sz w:val="24"/>
          <w:szCs w:val="24"/>
        </w:rPr>
        <w:t xml:space="preserve">Kuhn R, </w:t>
      </w:r>
      <w:r w:rsidRPr="005936B2">
        <w:rPr>
          <w:rFonts w:ascii="Book Antiqua" w:eastAsia="宋体" w:hAnsi="Book Antiqua" w:cs="宋体"/>
          <w:kern w:val="0"/>
          <w:sz w:val="24"/>
          <w:szCs w:val="24"/>
        </w:rPr>
        <w:t xml:space="preserve">Weygand F. </w:t>
      </w:r>
      <w:proofErr w:type="gramStart"/>
      <w:r w:rsidRPr="005936B2">
        <w:rPr>
          <w:rFonts w:ascii="Book Antiqua" w:eastAsia="宋体" w:hAnsi="Book Antiqua" w:cs="宋体"/>
          <w:kern w:val="0"/>
          <w:sz w:val="24"/>
          <w:szCs w:val="24"/>
        </w:rPr>
        <w:t>The Amadori rearrangement.</w:t>
      </w:r>
      <w:proofErr w:type="gramEnd"/>
      <w:r w:rsidRPr="005936B2">
        <w:rPr>
          <w:rFonts w:ascii="Book Antiqua" w:eastAsia="宋体" w:hAnsi="Book Antiqua" w:cs="宋体"/>
          <w:kern w:val="0"/>
          <w:sz w:val="24"/>
          <w:szCs w:val="24"/>
        </w:rPr>
        <w:t xml:space="preserve"> </w:t>
      </w:r>
      <w:r w:rsidRPr="005936B2">
        <w:rPr>
          <w:rFonts w:ascii="Book Antiqua" w:eastAsia="宋体" w:hAnsi="Book Antiqua" w:cs="宋体"/>
          <w:i/>
          <w:kern w:val="0"/>
          <w:sz w:val="24"/>
          <w:szCs w:val="24"/>
          <w:lang w:val="de-AT"/>
        </w:rPr>
        <w:t>Ber</w:t>
      </w:r>
      <w:r w:rsidRPr="005936B2">
        <w:rPr>
          <w:rFonts w:ascii="Book Antiqua" w:eastAsia="宋体" w:hAnsi="Book Antiqua" w:cs="宋体"/>
          <w:kern w:val="0"/>
          <w:sz w:val="24"/>
          <w:szCs w:val="24"/>
          <w:lang w:val="de-AT"/>
        </w:rPr>
        <w:t xml:space="preserve"> 1937; </w:t>
      </w:r>
      <w:r w:rsidRPr="005936B2">
        <w:rPr>
          <w:rFonts w:ascii="Book Antiqua" w:eastAsia="宋体" w:hAnsi="Book Antiqua" w:cs="宋体"/>
          <w:b/>
          <w:kern w:val="0"/>
          <w:sz w:val="24"/>
          <w:szCs w:val="24"/>
          <w:lang w:val="de-AT"/>
        </w:rPr>
        <w:t>70B</w:t>
      </w:r>
      <w:r w:rsidRPr="005936B2">
        <w:rPr>
          <w:rFonts w:ascii="Book Antiqua" w:eastAsia="宋体" w:hAnsi="Book Antiqua" w:cs="宋体"/>
          <w:kern w:val="0"/>
          <w:sz w:val="24"/>
          <w:szCs w:val="24"/>
          <w:lang w:val="de-AT"/>
        </w:rPr>
        <w:t>: 769-772 [DOI: 10.1002/cber.19370700433]</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lang w:val="de-AT"/>
        </w:rPr>
        <w:t>40</w:t>
      </w:r>
      <w:r w:rsidRPr="005936B2">
        <w:rPr>
          <w:rFonts w:ascii="Book Antiqua" w:eastAsia="宋体" w:hAnsi="Book Antiqua" w:cs="宋体"/>
          <w:b/>
          <w:kern w:val="0"/>
          <w:sz w:val="24"/>
          <w:szCs w:val="24"/>
          <w:lang w:val="de-AT"/>
        </w:rPr>
        <w:t xml:space="preserve"> Hodge JE</w:t>
      </w:r>
      <w:r w:rsidRPr="005936B2">
        <w:rPr>
          <w:rFonts w:ascii="Book Antiqua" w:eastAsia="宋体" w:hAnsi="Book Antiqua" w:cs="宋体"/>
          <w:kern w:val="0"/>
          <w:sz w:val="24"/>
          <w:szCs w:val="24"/>
          <w:lang w:val="de-AT"/>
        </w:rPr>
        <w:t xml:space="preserve">. </w:t>
      </w:r>
      <w:r w:rsidRPr="005936B2">
        <w:rPr>
          <w:rFonts w:ascii="Book Antiqua" w:eastAsia="宋体" w:hAnsi="Book Antiqua" w:cs="宋体"/>
          <w:kern w:val="0"/>
          <w:sz w:val="24"/>
          <w:szCs w:val="24"/>
        </w:rPr>
        <w:t xml:space="preserve">Deydrated Foods: Chemistry of Browning reactions in model systems. </w:t>
      </w:r>
      <w:r w:rsidRPr="005936B2">
        <w:rPr>
          <w:rFonts w:ascii="Book Antiqua" w:eastAsia="宋体" w:hAnsi="Book Antiqua" w:cs="宋体"/>
          <w:i/>
          <w:kern w:val="0"/>
          <w:sz w:val="24"/>
          <w:szCs w:val="24"/>
        </w:rPr>
        <w:t>J Agric Food Chem</w:t>
      </w:r>
      <w:r w:rsidRPr="005936B2">
        <w:rPr>
          <w:rFonts w:ascii="Book Antiqua" w:eastAsia="宋体" w:hAnsi="Book Antiqua" w:cs="宋体"/>
          <w:kern w:val="0"/>
          <w:sz w:val="24"/>
          <w:szCs w:val="24"/>
        </w:rPr>
        <w:t xml:space="preserve"> 1953; </w:t>
      </w:r>
      <w:r w:rsidRPr="005936B2">
        <w:rPr>
          <w:rFonts w:ascii="Book Antiqua" w:eastAsia="宋体" w:hAnsi="Book Antiqua" w:cs="宋体"/>
          <w:b/>
          <w:kern w:val="0"/>
          <w:sz w:val="24"/>
          <w:szCs w:val="24"/>
        </w:rPr>
        <w:t>1</w:t>
      </w:r>
      <w:r w:rsidRPr="005936B2">
        <w:rPr>
          <w:rFonts w:ascii="Book Antiqua" w:eastAsia="宋体" w:hAnsi="Book Antiqua" w:cs="宋体"/>
          <w:kern w:val="0"/>
          <w:sz w:val="24"/>
          <w:szCs w:val="24"/>
        </w:rPr>
        <w:t>: 928-943 [DOI: 10.1021/jf60015a004]</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4</w:t>
      </w:r>
      <w:r w:rsidRPr="005936B2">
        <w:rPr>
          <w:rFonts w:ascii="Book Antiqua" w:eastAsia="宋体" w:hAnsi="Book Antiqua" w:cs="宋体"/>
          <w:b/>
          <w:kern w:val="0"/>
          <w:sz w:val="24"/>
          <w:szCs w:val="24"/>
        </w:rPr>
        <w:t>1 Cerami A.</w:t>
      </w:r>
      <w:r w:rsidRPr="005936B2">
        <w:rPr>
          <w:rFonts w:ascii="Book Antiqua" w:eastAsia="宋体" w:hAnsi="Book Antiqua" w:cs="宋体"/>
          <w:kern w:val="0"/>
          <w:sz w:val="24"/>
          <w:szCs w:val="24"/>
        </w:rPr>
        <w:t xml:space="preserve"> Aging of proteins and nucleic acids: what is the role of glucose? </w:t>
      </w:r>
      <w:r w:rsidRPr="005936B2">
        <w:rPr>
          <w:rFonts w:ascii="Book Antiqua" w:eastAsia="宋体" w:hAnsi="Book Antiqua" w:cs="宋体"/>
          <w:i/>
          <w:kern w:val="0"/>
          <w:sz w:val="24"/>
          <w:szCs w:val="24"/>
        </w:rPr>
        <w:t>TIBS</w:t>
      </w:r>
      <w:r w:rsidRPr="005936B2">
        <w:rPr>
          <w:rFonts w:ascii="Book Antiqua" w:eastAsia="宋体" w:hAnsi="Book Antiqua" w:cs="宋体"/>
          <w:kern w:val="0"/>
          <w:sz w:val="24"/>
          <w:szCs w:val="24"/>
        </w:rPr>
        <w:t xml:space="preserve"> 1986; </w:t>
      </w:r>
      <w:r w:rsidRPr="005936B2">
        <w:rPr>
          <w:rFonts w:ascii="Book Antiqua" w:eastAsia="宋体" w:hAnsi="Book Antiqua" w:cs="宋体"/>
          <w:b/>
          <w:kern w:val="0"/>
          <w:sz w:val="24"/>
          <w:szCs w:val="24"/>
        </w:rPr>
        <w:t>11</w:t>
      </w:r>
      <w:r w:rsidRPr="005936B2">
        <w:rPr>
          <w:rFonts w:ascii="Book Antiqua" w:eastAsia="宋体" w:hAnsi="Book Antiqua" w:cs="宋体"/>
          <w:kern w:val="0"/>
          <w:sz w:val="24"/>
          <w:szCs w:val="24"/>
        </w:rPr>
        <w:t>: 311-314 [DOI: 10.1016/0968-0004(86)90281-1]</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42 A</w:t>
      </w:r>
      <w:r w:rsidRPr="005936B2">
        <w:rPr>
          <w:rFonts w:ascii="Book Antiqua" w:eastAsia="宋体" w:hAnsi="Book Antiqua" w:cs="宋体"/>
          <w:b/>
          <w:kern w:val="0"/>
          <w:sz w:val="24"/>
          <w:szCs w:val="24"/>
        </w:rPr>
        <w:t>net EFLJ.</w:t>
      </w:r>
      <w:proofErr w:type="gramEnd"/>
      <w:r w:rsidRPr="005936B2">
        <w:rPr>
          <w:rFonts w:ascii="Book Antiqua" w:eastAsia="宋体" w:hAnsi="Book Antiqua" w:cs="宋体"/>
          <w:b/>
          <w:kern w:val="0"/>
          <w:sz w:val="24"/>
          <w:szCs w:val="24"/>
        </w:rPr>
        <w:t xml:space="preserve"> </w:t>
      </w:r>
      <w:proofErr w:type="gramStart"/>
      <w:r w:rsidRPr="005936B2">
        <w:rPr>
          <w:rFonts w:ascii="Book Antiqua" w:eastAsia="宋体" w:hAnsi="Book Antiqua" w:cs="宋体"/>
          <w:kern w:val="0"/>
          <w:sz w:val="24"/>
          <w:szCs w:val="24"/>
        </w:rPr>
        <w:t>Degradation of carbohydrates.</w:t>
      </w:r>
      <w:proofErr w:type="gramEnd"/>
      <w:r w:rsidRPr="005936B2">
        <w:rPr>
          <w:rFonts w:ascii="Book Antiqua" w:eastAsia="宋体" w:hAnsi="Book Antiqua" w:cs="宋体"/>
          <w:kern w:val="0"/>
          <w:sz w:val="24"/>
          <w:szCs w:val="24"/>
        </w:rPr>
        <w:t xml:space="preserve"> I. Isolation of 3-deoxyhexosones. </w:t>
      </w:r>
      <w:r w:rsidRPr="005936B2">
        <w:rPr>
          <w:rFonts w:ascii="Book Antiqua" w:eastAsia="宋体" w:hAnsi="Book Antiqua" w:cs="宋体"/>
          <w:i/>
          <w:kern w:val="0"/>
          <w:sz w:val="24"/>
          <w:szCs w:val="24"/>
        </w:rPr>
        <w:t xml:space="preserve">Australian J Chem </w:t>
      </w:r>
      <w:r w:rsidRPr="005936B2">
        <w:rPr>
          <w:rFonts w:ascii="Book Antiqua" w:eastAsia="宋体" w:hAnsi="Book Antiqua" w:cs="宋体"/>
          <w:kern w:val="0"/>
          <w:sz w:val="24"/>
          <w:szCs w:val="24"/>
        </w:rPr>
        <w:t xml:space="preserve">1960; </w:t>
      </w:r>
      <w:r w:rsidRPr="005936B2">
        <w:rPr>
          <w:rFonts w:ascii="Book Antiqua" w:eastAsia="宋体" w:hAnsi="Book Antiqua" w:cs="宋体"/>
          <w:b/>
          <w:kern w:val="0"/>
          <w:sz w:val="24"/>
          <w:szCs w:val="24"/>
        </w:rPr>
        <w:t>13</w:t>
      </w:r>
      <w:r w:rsidRPr="005936B2">
        <w:rPr>
          <w:rFonts w:ascii="Book Antiqua" w:eastAsia="宋体" w:hAnsi="Book Antiqua" w:cs="宋体"/>
          <w:kern w:val="0"/>
          <w:sz w:val="24"/>
          <w:szCs w:val="24"/>
        </w:rPr>
        <w:t>: 396-403 [DOI: 10.1071/CH9600396]</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 xml:space="preserve">43 </w:t>
      </w:r>
      <w:r w:rsidRPr="005936B2">
        <w:rPr>
          <w:rFonts w:ascii="Book Antiqua" w:eastAsia="宋体" w:hAnsi="Book Antiqua" w:cs="宋体"/>
          <w:b/>
          <w:kern w:val="0"/>
          <w:sz w:val="24"/>
          <w:szCs w:val="24"/>
        </w:rPr>
        <w:t>Kato H</w:t>
      </w:r>
      <w:r w:rsidRPr="005936B2">
        <w:rPr>
          <w:rFonts w:ascii="Book Antiqua" w:eastAsia="宋体" w:hAnsi="Book Antiqua" w:cs="宋体"/>
          <w:kern w:val="0"/>
          <w:sz w:val="24"/>
          <w:szCs w:val="24"/>
        </w:rPr>
        <w:t xml:space="preserve">. Studies on browning reactions between sugars and amino compounds. V. Isolation and characterization of new carbonyl compounds, 3-deoxyglucosones formed from N-glycosides and their significance for browning reaction. </w:t>
      </w:r>
      <w:r w:rsidRPr="005936B2">
        <w:rPr>
          <w:rFonts w:ascii="Book Antiqua" w:eastAsia="宋体" w:hAnsi="Book Antiqua" w:cs="宋体"/>
          <w:i/>
          <w:kern w:val="0"/>
          <w:sz w:val="24"/>
          <w:szCs w:val="24"/>
        </w:rPr>
        <w:t xml:space="preserve">Bull Agric Chem Soc Japan </w:t>
      </w:r>
      <w:r w:rsidRPr="005936B2">
        <w:rPr>
          <w:rFonts w:ascii="Book Antiqua" w:eastAsia="宋体" w:hAnsi="Book Antiqua" w:cs="宋体"/>
          <w:kern w:val="0"/>
          <w:sz w:val="24"/>
          <w:szCs w:val="24"/>
        </w:rPr>
        <w:t xml:space="preserve">1960; </w:t>
      </w:r>
      <w:r w:rsidRPr="005936B2">
        <w:rPr>
          <w:rFonts w:ascii="Book Antiqua" w:eastAsia="宋体" w:hAnsi="Book Antiqua" w:cs="宋体"/>
          <w:b/>
          <w:kern w:val="0"/>
          <w:sz w:val="24"/>
          <w:szCs w:val="24"/>
        </w:rPr>
        <w:t>24</w:t>
      </w:r>
      <w:r w:rsidRPr="005936B2">
        <w:rPr>
          <w:rFonts w:ascii="Book Antiqua" w:eastAsia="宋体" w:hAnsi="Book Antiqua" w:cs="宋体"/>
          <w:kern w:val="0"/>
          <w:sz w:val="24"/>
          <w:szCs w:val="24"/>
        </w:rPr>
        <w:t>: 1-12 [DOI: 10.1271/bbb1924.24.1]</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lastRenderedPageBreak/>
        <w:t xml:space="preserve">44 </w:t>
      </w:r>
      <w:r w:rsidRPr="005936B2">
        <w:rPr>
          <w:rFonts w:ascii="Book Antiqua" w:eastAsia="宋体" w:hAnsi="Book Antiqua" w:cs="宋体"/>
          <w:b/>
          <w:kern w:val="0"/>
          <w:sz w:val="24"/>
          <w:szCs w:val="24"/>
        </w:rPr>
        <w:t>Hayashi T</w:t>
      </w:r>
      <w:r w:rsidRPr="005936B2">
        <w:rPr>
          <w:rFonts w:ascii="Book Antiqua" w:eastAsia="宋体" w:hAnsi="Book Antiqua" w:cs="宋体"/>
          <w:kern w:val="0"/>
          <w:sz w:val="24"/>
          <w:szCs w:val="24"/>
        </w:rPr>
        <w:t>, Namiki M. Formation of two-carbon sugar fragments at an early stage of the browning reaction of sugar and amine.</w:t>
      </w:r>
      <w:r w:rsidRPr="005936B2">
        <w:rPr>
          <w:rFonts w:ascii="Book Antiqua" w:eastAsia="宋体" w:hAnsi="Book Antiqua" w:cs="宋体"/>
          <w:i/>
          <w:kern w:val="0"/>
          <w:sz w:val="24"/>
          <w:szCs w:val="24"/>
        </w:rPr>
        <w:t xml:space="preserve"> Agric Biol Chem </w:t>
      </w:r>
      <w:r w:rsidRPr="005936B2">
        <w:rPr>
          <w:rFonts w:ascii="Book Antiqua" w:eastAsia="宋体" w:hAnsi="Book Antiqua" w:cs="宋体"/>
          <w:kern w:val="0"/>
          <w:sz w:val="24"/>
          <w:szCs w:val="24"/>
        </w:rPr>
        <w:t xml:space="preserve">1980; </w:t>
      </w:r>
      <w:r w:rsidRPr="005936B2">
        <w:rPr>
          <w:rFonts w:ascii="Book Antiqua" w:eastAsia="宋体" w:hAnsi="Book Antiqua" w:cs="宋体"/>
          <w:b/>
          <w:kern w:val="0"/>
          <w:sz w:val="24"/>
          <w:szCs w:val="24"/>
        </w:rPr>
        <w:t>44</w:t>
      </w:r>
      <w:r w:rsidRPr="005936B2">
        <w:rPr>
          <w:rFonts w:ascii="Book Antiqua" w:eastAsia="宋体" w:hAnsi="Book Antiqua" w:cs="宋体"/>
          <w:kern w:val="0"/>
          <w:sz w:val="24"/>
          <w:szCs w:val="24"/>
        </w:rPr>
        <w:t>: 2575-2580 [DOI: 10.1271/bbb1961.44.2575]</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45 </w:t>
      </w:r>
      <w:r w:rsidRPr="005936B2">
        <w:rPr>
          <w:rFonts w:ascii="Book Antiqua" w:eastAsia="宋体" w:hAnsi="Book Antiqua" w:cs="宋体"/>
          <w:b/>
          <w:bCs/>
          <w:kern w:val="0"/>
          <w:sz w:val="24"/>
          <w:szCs w:val="24"/>
        </w:rPr>
        <w:t>Thornalley P</w:t>
      </w:r>
      <w:r w:rsidRPr="005936B2">
        <w:rPr>
          <w:rFonts w:ascii="Book Antiqua" w:eastAsia="宋体" w:hAnsi="Book Antiqua" w:cs="宋体"/>
          <w:kern w:val="0"/>
          <w:sz w:val="24"/>
          <w:szCs w:val="24"/>
        </w:rPr>
        <w:t xml:space="preserve">, Wolff S, Crabbe J, Stern A. </w:t>
      </w:r>
      <w:proofErr w:type="gramStart"/>
      <w:r w:rsidRPr="005936B2">
        <w:rPr>
          <w:rFonts w:ascii="Book Antiqua" w:eastAsia="宋体" w:hAnsi="Book Antiqua" w:cs="宋体"/>
          <w:kern w:val="0"/>
          <w:sz w:val="24"/>
          <w:szCs w:val="24"/>
        </w:rPr>
        <w:t>The autoxidation of glyceraldehyde and other simple monosaccharides under physiological conditions catalysed by buffer ions.</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Biochim Biophys Acta</w:t>
      </w:r>
      <w:r w:rsidRPr="005936B2">
        <w:rPr>
          <w:rFonts w:ascii="Book Antiqua" w:eastAsia="宋体" w:hAnsi="Book Antiqua" w:cs="宋体"/>
          <w:kern w:val="0"/>
          <w:sz w:val="24"/>
          <w:szCs w:val="24"/>
        </w:rPr>
        <w:t> 1984; </w:t>
      </w:r>
      <w:r w:rsidRPr="005936B2">
        <w:rPr>
          <w:rFonts w:ascii="Book Antiqua" w:eastAsia="宋体" w:hAnsi="Book Antiqua" w:cs="宋体"/>
          <w:b/>
          <w:bCs/>
          <w:kern w:val="0"/>
          <w:sz w:val="24"/>
          <w:szCs w:val="24"/>
        </w:rPr>
        <w:t>797</w:t>
      </w:r>
      <w:r w:rsidRPr="005936B2">
        <w:rPr>
          <w:rFonts w:ascii="Book Antiqua" w:eastAsia="宋体" w:hAnsi="Book Antiqua" w:cs="宋体"/>
          <w:kern w:val="0"/>
          <w:sz w:val="24"/>
          <w:szCs w:val="24"/>
        </w:rPr>
        <w:t>: 276-287 [PMID: 6365176 DOI: 10.1016/0304-4165(84)90131-4]</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46 </w:t>
      </w:r>
      <w:r w:rsidRPr="005936B2">
        <w:rPr>
          <w:rFonts w:ascii="Book Antiqua" w:eastAsia="宋体" w:hAnsi="Book Antiqua" w:cs="宋体"/>
          <w:b/>
          <w:bCs/>
          <w:kern w:val="0"/>
          <w:sz w:val="24"/>
          <w:szCs w:val="24"/>
        </w:rPr>
        <w:t>Wolff SP</w:t>
      </w:r>
      <w:r w:rsidRPr="005936B2">
        <w:rPr>
          <w:rFonts w:ascii="Book Antiqua" w:eastAsia="宋体" w:hAnsi="Book Antiqua" w:cs="宋体"/>
          <w:kern w:val="0"/>
          <w:sz w:val="24"/>
          <w:szCs w:val="24"/>
        </w:rPr>
        <w:t>, Dean RT. Glucose autoxidation and protein modification.</w:t>
      </w:r>
      <w:proofErr w:type="gramEnd"/>
      <w:r w:rsidRPr="005936B2">
        <w:rPr>
          <w:rFonts w:ascii="Book Antiqua" w:eastAsia="宋体" w:hAnsi="Book Antiqua" w:cs="宋体"/>
          <w:kern w:val="0"/>
          <w:sz w:val="24"/>
          <w:szCs w:val="24"/>
        </w:rPr>
        <w:t xml:space="preserve"> </w:t>
      </w:r>
      <w:proofErr w:type="gramStart"/>
      <w:r w:rsidRPr="005936B2">
        <w:rPr>
          <w:rFonts w:ascii="Book Antiqua" w:eastAsia="宋体" w:hAnsi="Book Antiqua" w:cs="宋体"/>
          <w:kern w:val="0"/>
          <w:sz w:val="24"/>
          <w:szCs w:val="24"/>
        </w:rPr>
        <w:t>The potential role of 'autoxidative glycosylation' in diabetes.</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Biochem J</w:t>
      </w:r>
      <w:r w:rsidRPr="005936B2">
        <w:rPr>
          <w:rFonts w:ascii="Book Antiqua" w:eastAsia="宋体" w:hAnsi="Book Antiqua" w:cs="宋体"/>
          <w:kern w:val="0"/>
          <w:sz w:val="24"/>
          <w:szCs w:val="24"/>
        </w:rPr>
        <w:t> 1987; </w:t>
      </w:r>
      <w:r w:rsidRPr="005936B2">
        <w:rPr>
          <w:rFonts w:ascii="Book Antiqua" w:eastAsia="宋体" w:hAnsi="Book Antiqua" w:cs="宋体"/>
          <w:b/>
          <w:bCs/>
          <w:kern w:val="0"/>
          <w:sz w:val="24"/>
          <w:szCs w:val="24"/>
        </w:rPr>
        <w:t>245</w:t>
      </w:r>
      <w:r w:rsidRPr="005936B2">
        <w:rPr>
          <w:rFonts w:ascii="Book Antiqua" w:eastAsia="宋体" w:hAnsi="Book Antiqua" w:cs="宋体"/>
          <w:kern w:val="0"/>
          <w:sz w:val="24"/>
          <w:szCs w:val="24"/>
        </w:rPr>
        <w:t>: 243-250 [PMID: 3117042 DOI: 10.1042/bj2450243]</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47 </w:t>
      </w:r>
      <w:r w:rsidRPr="005936B2">
        <w:rPr>
          <w:rFonts w:ascii="Book Antiqua" w:eastAsia="宋体" w:hAnsi="Book Antiqua" w:cs="宋体"/>
          <w:b/>
          <w:bCs/>
          <w:kern w:val="0"/>
          <w:sz w:val="24"/>
          <w:szCs w:val="24"/>
        </w:rPr>
        <w:t>Thornalley PJ</w:t>
      </w:r>
      <w:r w:rsidRPr="005936B2">
        <w:rPr>
          <w:rFonts w:ascii="Book Antiqua" w:eastAsia="宋体" w:hAnsi="Book Antiqua" w:cs="宋体"/>
          <w:kern w:val="0"/>
          <w:sz w:val="24"/>
          <w:szCs w:val="24"/>
        </w:rPr>
        <w:t>, Langborg A, Minhas HS.</w:t>
      </w:r>
      <w:proofErr w:type="gramEnd"/>
      <w:r w:rsidRPr="005936B2">
        <w:rPr>
          <w:rFonts w:ascii="Book Antiqua" w:eastAsia="宋体" w:hAnsi="Book Antiqua" w:cs="宋体"/>
          <w:kern w:val="0"/>
          <w:sz w:val="24"/>
          <w:szCs w:val="24"/>
        </w:rPr>
        <w:t xml:space="preserve"> </w:t>
      </w:r>
      <w:proofErr w:type="gramStart"/>
      <w:r w:rsidRPr="005936B2">
        <w:rPr>
          <w:rFonts w:ascii="Book Antiqua" w:eastAsia="宋体" w:hAnsi="Book Antiqua" w:cs="宋体"/>
          <w:kern w:val="0"/>
          <w:sz w:val="24"/>
          <w:szCs w:val="24"/>
        </w:rPr>
        <w:t>Formation of glyoxal, methylglyoxal and 3-deoxyglucosone in the glycation of proteins by glucose.</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Biochem J</w:t>
      </w:r>
      <w:r w:rsidRPr="005936B2">
        <w:rPr>
          <w:rFonts w:ascii="Book Antiqua" w:eastAsia="宋体" w:hAnsi="Book Antiqua" w:cs="宋体"/>
          <w:kern w:val="0"/>
          <w:sz w:val="24"/>
          <w:szCs w:val="24"/>
        </w:rPr>
        <w:t> 1999; </w:t>
      </w:r>
      <w:r w:rsidRPr="005936B2">
        <w:rPr>
          <w:rFonts w:ascii="Book Antiqua" w:eastAsia="宋体" w:hAnsi="Book Antiqua" w:cs="宋体"/>
          <w:b/>
          <w:bCs/>
          <w:kern w:val="0"/>
          <w:sz w:val="24"/>
          <w:szCs w:val="24"/>
        </w:rPr>
        <w:t xml:space="preserve">344 </w:t>
      </w:r>
      <w:r w:rsidRPr="005936B2">
        <w:rPr>
          <w:rFonts w:ascii="Book Antiqua" w:eastAsia="宋体" w:hAnsi="Book Antiqua" w:cs="宋体"/>
          <w:bCs/>
          <w:kern w:val="0"/>
          <w:sz w:val="24"/>
          <w:szCs w:val="24"/>
        </w:rPr>
        <w:t>Pt 1</w:t>
      </w:r>
      <w:r w:rsidRPr="005936B2">
        <w:rPr>
          <w:rFonts w:ascii="Book Antiqua" w:eastAsia="宋体" w:hAnsi="Book Antiqua" w:cs="宋体"/>
          <w:kern w:val="0"/>
          <w:sz w:val="24"/>
          <w:szCs w:val="24"/>
        </w:rPr>
        <w:t>: 109-116 [PMID: 10548540 DOI: 10.1042/0264-6021: 3440109]</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48 </w:t>
      </w:r>
      <w:r w:rsidRPr="005936B2">
        <w:rPr>
          <w:rFonts w:ascii="Book Antiqua" w:eastAsia="宋体" w:hAnsi="Book Antiqua" w:cs="宋体"/>
          <w:b/>
          <w:bCs/>
          <w:kern w:val="0"/>
          <w:sz w:val="24"/>
          <w:szCs w:val="24"/>
        </w:rPr>
        <w:t>Fu MX</w:t>
      </w:r>
      <w:r w:rsidRPr="005936B2">
        <w:rPr>
          <w:rFonts w:ascii="Book Antiqua" w:eastAsia="宋体" w:hAnsi="Book Antiqua" w:cs="宋体"/>
          <w:kern w:val="0"/>
          <w:sz w:val="24"/>
          <w:szCs w:val="24"/>
        </w:rPr>
        <w:t>, Requena JR, Jenkins AJ, Lyons TJ, Baynes JW, Thorpe SR.</w:t>
      </w:r>
      <w:proofErr w:type="gramEnd"/>
      <w:r w:rsidRPr="005936B2">
        <w:rPr>
          <w:rFonts w:ascii="Book Antiqua" w:eastAsia="宋体" w:hAnsi="Book Antiqua" w:cs="宋体"/>
          <w:kern w:val="0"/>
          <w:sz w:val="24"/>
          <w:szCs w:val="24"/>
        </w:rPr>
        <w:t xml:space="preserve"> The advanced glycation end product, Nepsilon</w:t>
      </w:r>
      <w:proofErr w:type="gramStart"/>
      <w:r w:rsidRPr="005936B2">
        <w:rPr>
          <w:rFonts w:ascii="Book Antiqua" w:eastAsia="宋体" w:hAnsi="Book Antiqua" w:cs="宋体"/>
          <w:kern w:val="0"/>
          <w:sz w:val="24"/>
          <w:szCs w:val="24"/>
        </w:rPr>
        <w:t>-(</w:t>
      </w:r>
      <w:proofErr w:type="gramEnd"/>
      <w:r w:rsidRPr="005936B2">
        <w:rPr>
          <w:rFonts w:ascii="Book Antiqua" w:eastAsia="宋体" w:hAnsi="Book Antiqua" w:cs="宋体"/>
          <w:kern w:val="0"/>
          <w:sz w:val="24"/>
          <w:szCs w:val="24"/>
        </w:rPr>
        <w:t>carboxymethyl)lysine, is a product of both lipid peroxidation and glycoxidation reactions.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1996; </w:t>
      </w:r>
      <w:r w:rsidRPr="005936B2">
        <w:rPr>
          <w:rFonts w:ascii="Book Antiqua" w:eastAsia="宋体" w:hAnsi="Book Antiqua" w:cs="宋体"/>
          <w:b/>
          <w:bCs/>
          <w:kern w:val="0"/>
          <w:sz w:val="24"/>
          <w:szCs w:val="24"/>
        </w:rPr>
        <w:t>271</w:t>
      </w:r>
      <w:r w:rsidRPr="005936B2">
        <w:rPr>
          <w:rFonts w:ascii="Book Antiqua" w:eastAsia="宋体" w:hAnsi="Book Antiqua" w:cs="宋体"/>
          <w:kern w:val="0"/>
          <w:sz w:val="24"/>
          <w:szCs w:val="24"/>
        </w:rPr>
        <w:t>: 9982-9986 [PMID: 8626637 DOI: 10.1074/jbc.271.17.9982]</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49 </w:t>
      </w:r>
      <w:r w:rsidRPr="005936B2">
        <w:rPr>
          <w:rFonts w:ascii="Book Antiqua" w:eastAsia="宋体" w:hAnsi="Book Antiqua" w:cs="宋体"/>
          <w:b/>
          <w:bCs/>
          <w:kern w:val="0"/>
          <w:sz w:val="24"/>
          <w:szCs w:val="24"/>
        </w:rPr>
        <w:t>Baynes JW</w:t>
      </w:r>
      <w:r w:rsidRPr="005936B2">
        <w:rPr>
          <w:rFonts w:ascii="Book Antiqua" w:eastAsia="宋体" w:hAnsi="Book Antiqua" w:cs="宋体"/>
          <w:kern w:val="0"/>
          <w:sz w:val="24"/>
          <w:szCs w:val="24"/>
        </w:rPr>
        <w:t>, Thorpe SR. Glycoxidation and lipoxidation in atherogenesis.</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Free Radic Biol Med</w:t>
      </w:r>
      <w:r w:rsidRPr="005936B2">
        <w:rPr>
          <w:rFonts w:ascii="Book Antiqua" w:eastAsia="宋体" w:hAnsi="Book Antiqua" w:cs="宋体"/>
          <w:kern w:val="0"/>
          <w:sz w:val="24"/>
          <w:szCs w:val="24"/>
        </w:rPr>
        <w:t> 2000; </w:t>
      </w:r>
      <w:r w:rsidRPr="005936B2">
        <w:rPr>
          <w:rFonts w:ascii="Book Antiqua" w:eastAsia="宋体" w:hAnsi="Book Antiqua" w:cs="宋体"/>
          <w:b/>
          <w:bCs/>
          <w:kern w:val="0"/>
          <w:sz w:val="24"/>
          <w:szCs w:val="24"/>
        </w:rPr>
        <w:t>28</w:t>
      </w:r>
      <w:r w:rsidRPr="005936B2">
        <w:rPr>
          <w:rFonts w:ascii="Book Antiqua" w:eastAsia="宋体" w:hAnsi="Book Antiqua" w:cs="宋体"/>
          <w:kern w:val="0"/>
          <w:sz w:val="24"/>
          <w:szCs w:val="24"/>
        </w:rPr>
        <w:t>: 1708-1716 [PMID: 10946212 DOI: 10.1016/S0891-5849(00)00228-8]</w:t>
      </w:r>
    </w:p>
    <w:p w:rsidR="007A0C7D" w:rsidRPr="005936B2" w:rsidRDefault="007A0C7D" w:rsidP="007A0C7D">
      <w:pPr>
        <w:widowControl/>
        <w:spacing w:line="360" w:lineRule="auto"/>
        <w:rPr>
          <w:rFonts w:ascii="Book Antiqua" w:eastAsia="宋体" w:hAnsi="Book Antiqua" w:cs="宋体"/>
          <w:b/>
          <w:kern w:val="0"/>
          <w:sz w:val="24"/>
          <w:szCs w:val="24"/>
        </w:rPr>
      </w:pPr>
      <w:r w:rsidRPr="005936B2">
        <w:rPr>
          <w:rFonts w:ascii="Book Antiqua" w:eastAsia="宋体" w:hAnsi="Book Antiqua" w:cs="宋体"/>
          <w:kern w:val="0"/>
          <w:sz w:val="24"/>
          <w:szCs w:val="24"/>
        </w:rPr>
        <w:t xml:space="preserve">50 </w:t>
      </w:r>
      <w:r w:rsidRPr="005936B2">
        <w:rPr>
          <w:rFonts w:ascii="Book Antiqua" w:eastAsia="宋体" w:hAnsi="Book Antiqua" w:cs="宋体"/>
          <w:b/>
          <w:kern w:val="0"/>
          <w:sz w:val="24"/>
          <w:szCs w:val="24"/>
        </w:rPr>
        <w:t xml:space="preserve">Nakayama T, </w:t>
      </w:r>
      <w:r w:rsidRPr="005936B2">
        <w:rPr>
          <w:rFonts w:ascii="Book Antiqua" w:eastAsia="宋体" w:hAnsi="Book Antiqua" w:cs="宋体"/>
          <w:kern w:val="0"/>
          <w:sz w:val="24"/>
          <w:szCs w:val="24"/>
        </w:rPr>
        <w:t xml:space="preserve">Hayase F, Kato H. Formation of Nε-(2-formyl-5-hydroxy-methyl-pyrrol-1-yl)-L-norleucine in the Maillard reaction between D-glucose and L-lysine. </w:t>
      </w:r>
      <w:r w:rsidRPr="005936B2">
        <w:rPr>
          <w:rFonts w:ascii="Book Antiqua" w:eastAsia="宋体" w:hAnsi="Book Antiqua" w:cs="宋体"/>
          <w:i/>
          <w:kern w:val="0"/>
          <w:sz w:val="24"/>
          <w:szCs w:val="24"/>
        </w:rPr>
        <w:t>Agric Biol Chem</w:t>
      </w:r>
      <w:r w:rsidRPr="005936B2">
        <w:rPr>
          <w:rFonts w:ascii="Book Antiqua" w:eastAsia="宋体" w:hAnsi="Book Antiqua" w:cs="宋体"/>
          <w:kern w:val="0"/>
          <w:sz w:val="24"/>
          <w:szCs w:val="24"/>
        </w:rPr>
        <w:t xml:space="preserve"> 1980; </w:t>
      </w:r>
      <w:r w:rsidRPr="005936B2">
        <w:rPr>
          <w:rFonts w:ascii="Book Antiqua" w:eastAsia="宋体" w:hAnsi="Book Antiqua" w:cs="宋体"/>
          <w:b/>
          <w:kern w:val="0"/>
          <w:sz w:val="24"/>
          <w:szCs w:val="24"/>
        </w:rPr>
        <w:t>44:</w:t>
      </w:r>
      <w:r w:rsidRPr="005936B2">
        <w:rPr>
          <w:rFonts w:ascii="Book Antiqua" w:eastAsia="宋体" w:hAnsi="Book Antiqua" w:cs="宋体"/>
          <w:kern w:val="0"/>
          <w:sz w:val="24"/>
          <w:szCs w:val="24"/>
        </w:rPr>
        <w:t xml:space="preserve"> 1201-1202 [DOI: 10.1271/bbb1961.44.1201]</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51 </w:t>
      </w:r>
      <w:r w:rsidRPr="005936B2">
        <w:rPr>
          <w:rFonts w:ascii="Book Antiqua" w:eastAsia="宋体" w:hAnsi="Book Antiqua" w:cs="宋体"/>
          <w:b/>
          <w:bCs/>
          <w:kern w:val="0"/>
          <w:sz w:val="24"/>
          <w:szCs w:val="24"/>
        </w:rPr>
        <w:t>Pongor S</w:t>
      </w:r>
      <w:r w:rsidRPr="005936B2">
        <w:rPr>
          <w:rFonts w:ascii="Book Antiqua" w:eastAsia="宋体" w:hAnsi="Book Antiqua" w:cs="宋体"/>
          <w:kern w:val="0"/>
          <w:sz w:val="24"/>
          <w:szCs w:val="24"/>
        </w:rPr>
        <w:t>, Ulrich PC, Bencsath FA, Cerami A. Aging of proteins: isolation and identification of a fluorescent chromophore from the reaction of polypeptides with glucose. </w:t>
      </w:r>
      <w:r w:rsidRPr="005936B2">
        <w:rPr>
          <w:rFonts w:ascii="Book Antiqua" w:eastAsia="宋体" w:hAnsi="Book Antiqua" w:cs="宋体"/>
          <w:i/>
          <w:iCs/>
          <w:kern w:val="0"/>
          <w:sz w:val="24"/>
          <w:szCs w:val="24"/>
        </w:rPr>
        <w:t>Proc Natl Acad Sci U S A</w:t>
      </w:r>
      <w:r w:rsidRPr="005936B2">
        <w:rPr>
          <w:rFonts w:ascii="Book Antiqua" w:eastAsia="宋体" w:hAnsi="Book Antiqua" w:cs="宋体"/>
          <w:kern w:val="0"/>
          <w:sz w:val="24"/>
          <w:szCs w:val="24"/>
        </w:rPr>
        <w:t> 1984; </w:t>
      </w:r>
      <w:r w:rsidRPr="005936B2">
        <w:rPr>
          <w:rFonts w:ascii="Book Antiqua" w:eastAsia="宋体" w:hAnsi="Book Antiqua" w:cs="宋体"/>
          <w:b/>
          <w:bCs/>
          <w:kern w:val="0"/>
          <w:sz w:val="24"/>
          <w:szCs w:val="24"/>
        </w:rPr>
        <w:t>81</w:t>
      </w:r>
      <w:r w:rsidRPr="005936B2">
        <w:rPr>
          <w:rFonts w:ascii="Book Antiqua" w:eastAsia="宋体" w:hAnsi="Book Antiqua" w:cs="宋体"/>
          <w:kern w:val="0"/>
          <w:sz w:val="24"/>
          <w:szCs w:val="24"/>
        </w:rPr>
        <w:t>: 2684-2688 [PMID: 6585821 DOI: 10.1073/pnas.81.9.2684]</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lang w:val="de-AT"/>
        </w:rPr>
        <w:t>52 </w:t>
      </w:r>
      <w:r w:rsidRPr="005936B2">
        <w:rPr>
          <w:rFonts w:ascii="Book Antiqua" w:eastAsia="宋体" w:hAnsi="Book Antiqua" w:cs="宋体"/>
          <w:b/>
          <w:bCs/>
          <w:kern w:val="0"/>
          <w:sz w:val="24"/>
          <w:szCs w:val="24"/>
          <w:lang w:val="de-AT"/>
        </w:rPr>
        <w:t>Ahmed MU</w:t>
      </w:r>
      <w:r w:rsidRPr="005936B2">
        <w:rPr>
          <w:rFonts w:ascii="Book Antiqua" w:eastAsia="宋体" w:hAnsi="Book Antiqua" w:cs="宋体"/>
          <w:kern w:val="0"/>
          <w:sz w:val="24"/>
          <w:szCs w:val="24"/>
          <w:lang w:val="de-AT"/>
        </w:rPr>
        <w:t xml:space="preserve">, Thorpe SR, Baynes JW. </w:t>
      </w:r>
      <w:proofErr w:type="gramStart"/>
      <w:r w:rsidRPr="005936B2">
        <w:rPr>
          <w:rFonts w:ascii="Book Antiqua" w:eastAsia="宋体" w:hAnsi="Book Antiqua" w:cs="宋体"/>
          <w:kern w:val="0"/>
          <w:sz w:val="24"/>
          <w:szCs w:val="24"/>
        </w:rPr>
        <w:t>Identification of N epsilon-carboxymethyllysine as a degradation product of fructoselysine in glycated protein.</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1986; </w:t>
      </w:r>
      <w:r w:rsidRPr="005936B2">
        <w:rPr>
          <w:rFonts w:ascii="Book Antiqua" w:eastAsia="宋体" w:hAnsi="Book Antiqua" w:cs="宋体"/>
          <w:b/>
          <w:bCs/>
          <w:kern w:val="0"/>
          <w:sz w:val="24"/>
          <w:szCs w:val="24"/>
        </w:rPr>
        <w:t>261</w:t>
      </w:r>
      <w:r w:rsidRPr="005936B2">
        <w:rPr>
          <w:rFonts w:ascii="Book Antiqua" w:eastAsia="宋体" w:hAnsi="Book Antiqua" w:cs="宋体"/>
          <w:kern w:val="0"/>
          <w:sz w:val="24"/>
          <w:szCs w:val="24"/>
        </w:rPr>
        <w:t>: 4889-4894 [PMID: 3082871]</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lastRenderedPageBreak/>
        <w:t>53 </w:t>
      </w:r>
      <w:r w:rsidRPr="005936B2">
        <w:rPr>
          <w:rFonts w:ascii="Book Antiqua" w:eastAsia="宋体" w:hAnsi="Book Antiqua" w:cs="宋体"/>
          <w:b/>
          <w:bCs/>
          <w:kern w:val="0"/>
          <w:sz w:val="24"/>
          <w:szCs w:val="24"/>
        </w:rPr>
        <w:t>Sell DR</w:t>
      </w:r>
      <w:r w:rsidRPr="005936B2">
        <w:rPr>
          <w:rFonts w:ascii="Book Antiqua" w:eastAsia="宋体" w:hAnsi="Book Antiqua" w:cs="宋体"/>
          <w:kern w:val="0"/>
          <w:sz w:val="24"/>
          <w:szCs w:val="24"/>
        </w:rPr>
        <w:t xml:space="preserve">, Monnier VM. </w:t>
      </w:r>
      <w:proofErr w:type="gramStart"/>
      <w:r w:rsidRPr="005936B2">
        <w:rPr>
          <w:rFonts w:ascii="Book Antiqua" w:eastAsia="宋体" w:hAnsi="Book Antiqua" w:cs="宋体"/>
          <w:kern w:val="0"/>
          <w:sz w:val="24"/>
          <w:szCs w:val="24"/>
        </w:rPr>
        <w:t>Structure elucidation of a senescence cross-link from human extracellular matrix.</w:t>
      </w:r>
      <w:proofErr w:type="gramEnd"/>
      <w:r w:rsidRPr="005936B2">
        <w:rPr>
          <w:rFonts w:ascii="Book Antiqua" w:eastAsia="宋体" w:hAnsi="Book Antiqua" w:cs="宋体"/>
          <w:kern w:val="0"/>
          <w:sz w:val="24"/>
          <w:szCs w:val="24"/>
        </w:rPr>
        <w:t xml:space="preserve"> </w:t>
      </w:r>
      <w:proofErr w:type="gramStart"/>
      <w:r w:rsidRPr="005936B2">
        <w:rPr>
          <w:rFonts w:ascii="Book Antiqua" w:eastAsia="宋体" w:hAnsi="Book Antiqua" w:cs="宋体"/>
          <w:kern w:val="0"/>
          <w:sz w:val="24"/>
          <w:szCs w:val="24"/>
        </w:rPr>
        <w:t>Implication of pentoses in the aging process.</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1989; </w:t>
      </w:r>
      <w:r w:rsidRPr="005936B2">
        <w:rPr>
          <w:rFonts w:ascii="Book Antiqua" w:eastAsia="宋体" w:hAnsi="Book Antiqua" w:cs="宋体"/>
          <w:b/>
          <w:bCs/>
          <w:kern w:val="0"/>
          <w:sz w:val="24"/>
          <w:szCs w:val="24"/>
        </w:rPr>
        <w:t>264</w:t>
      </w:r>
      <w:r w:rsidRPr="005936B2">
        <w:rPr>
          <w:rFonts w:ascii="Book Antiqua" w:eastAsia="宋体" w:hAnsi="Book Antiqua" w:cs="宋体"/>
          <w:kern w:val="0"/>
          <w:sz w:val="24"/>
          <w:szCs w:val="24"/>
        </w:rPr>
        <w:t>: 21597-21602 [PMID: 2513322]</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54 </w:t>
      </w:r>
      <w:r w:rsidRPr="005936B2">
        <w:rPr>
          <w:rFonts w:ascii="Book Antiqua" w:eastAsia="宋体" w:hAnsi="Book Antiqua" w:cs="宋体"/>
          <w:b/>
          <w:bCs/>
          <w:kern w:val="0"/>
          <w:sz w:val="24"/>
          <w:szCs w:val="24"/>
        </w:rPr>
        <w:t>Ahmed N</w:t>
      </w:r>
      <w:r w:rsidRPr="005936B2">
        <w:rPr>
          <w:rFonts w:ascii="Book Antiqua" w:eastAsia="宋体" w:hAnsi="Book Antiqua" w:cs="宋体"/>
          <w:kern w:val="0"/>
          <w:sz w:val="24"/>
          <w:szCs w:val="24"/>
        </w:rPr>
        <w:t xml:space="preserve">, Thornalley PJ. </w:t>
      </w:r>
      <w:proofErr w:type="gramStart"/>
      <w:r w:rsidRPr="005936B2">
        <w:rPr>
          <w:rFonts w:ascii="Book Antiqua" w:eastAsia="宋体" w:hAnsi="Book Antiqua" w:cs="宋体"/>
          <w:kern w:val="0"/>
          <w:sz w:val="24"/>
          <w:szCs w:val="24"/>
        </w:rPr>
        <w:t>Quantitative screening of protein biomarkers of early glycation, advanced glycation, oxidation and nitrosation in cellular and extracellular proteins by tandem mass spectrometry multiple reaction monitoring.</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Biochem Soc Trans</w:t>
      </w:r>
      <w:r w:rsidRPr="005936B2">
        <w:rPr>
          <w:rFonts w:ascii="Book Antiqua" w:eastAsia="宋体" w:hAnsi="Book Antiqua" w:cs="宋体"/>
          <w:kern w:val="0"/>
          <w:sz w:val="24"/>
          <w:szCs w:val="24"/>
        </w:rPr>
        <w:t> 2003; </w:t>
      </w:r>
      <w:r w:rsidRPr="005936B2">
        <w:rPr>
          <w:rFonts w:ascii="Book Antiqua" w:eastAsia="宋体" w:hAnsi="Book Antiqua" w:cs="宋体"/>
          <w:b/>
          <w:bCs/>
          <w:kern w:val="0"/>
          <w:sz w:val="24"/>
          <w:szCs w:val="24"/>
        </w:rPr>
        <w:t>31</w:t>
      </w:r>
      <w:r w:rsidRPr="005936B2">
        <w:rPr>
          <w:rFonts w:ascii="Book Antiqua" w:eastAsia="宋体" w:hAnsi="Book Antiqua" w:cs="宋体"/>
          <w:kern w:val="0"/>
          <w:sz w:val="24"/>
          <w:szCs w:val="24"/>
        </w:rPr>
        <w:t>: 1417-1422 [PMID: 14641078 DOI: 10.1042/bst0311417]</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55 </w:t>
      </w:r>
      <w:r w:rsidRPr="005936B2">
        <w:rPr>
          <w:rFonts w:ascii="Book Antiqua" w:eastAsia="宋体" w:hAnsi="Book Antiqua" w:cs="宋体"/>
          <w:b/>
          <w:bCs/>
          <w:kern w:val="0"/>
          <w:sz w:val="24"/>
          <w:szCs w:val="24"/>
        </w:rPr>
        <w:t>Thornalley PJ</w:t>
      </w:r>
      <w:r w:rsidRPr="005936B2">
        <w:rPr>
          <w:rFonts w:ascii="Book Antiqua" w:eastAsia="宋体" w:hAnsi="Book Antiqua" w:cs="宋体"/>
          <w:kern w:val="0"/>
          <w:sz w:val="24"/>
          <w:szCs w:val="24"/>
        </w:rPr>
        <w:t>, Battah S, Ahmed N, Karachalias N, Agalou S, Babaei-Jadidi R, Dawnay A. Quantitative screening of advanced glycation endproducts in cellular and extracellular proteins by tandem mass spectrometry. </w:t>
      </w:r>
      <w:r w:rsidRPr="005936B2">
        <w:rPr>
          <w:rFonts w:ascii="Book Antiqua" w:eastAsia="宋体" w:hAnsi="Book Antiqua" w:cs="宋体"/>
          <w:i/>
          <w:iCs/>
          <w:kern w:val="0"/>
          <w:sz w:val="24"/>
          <w:szCs w:val="24"/>
        </w:rPr>
        <w:t>Biochem J</w:t>
      </w:r>
      <w:r w:rsidRPr="005936B2">
        <w:rPr>
          <w:rFonts w:ascii="Book Antiqua" w:eastAsia="宋体" w:hAnsi="Book Antiqua" w:cs="宋体"/>
          <w:kern w:val="0"/>
          <w:sz w:val="24"/>
          <w:szCs w:val="24"/>
        </w:rPr>
        <w:t> 2003; </w:t>
      </w:r>
      <w:r w:rsidRPr="005936B2">
        <w:rPr>
          <w:rFonts w:ascii="Book Antiqua" w:eastAsia="宋体" w:hAnsi="Book Antiqua" w:cs="宋体"/>
          <w:b/>
          <w:bCs/>
          <w:kern w:val="0"/>
          <w:sz w:val="24"/>
          <w:szCs w:val="24"/>
        </w:rPr>
        <w:t>375</w:t>
      </w:r>
      <w:r w:rsidRPr="005936B2">
        <w:rPr>
          <w:rFonts w:ascii="Book Antiqua" w:eastAsia="宋体" w:hAnsi="Book Antiqua" w:cs="宋体"/>
          <w:kern w:val="0"/>
          <w:sz w:val="24"/>
          <w:szCs w:val="24"/>
        </w:rPr>
        <w:t>: 581-592 [PMID: 12885296 DOI: 10.1042/bj20030763]</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56 </w:t>
      </w:r>
      <w:r w:rsidRPr="005936B2">
        <w:rPr>
          <w:rFonts w:ascii="Book Antiqua" w:eastAsia="宋体" w:hAnsi="Book Antiqua" w:cs="宋体"/>
          <w:b/>
          <w:bCs/>
          <w:kern w:val="0"/>
          <w:sz w:val="24"/>
          <w:szCs w:val="24"/>
        </w:rPr>
        <w:t>Thorpe SR</w:t>
      </w:r>
      <w:r w:rsidRPr="005936B2">
        <w:rPr>
          <w:rFonts w:ascii="Book Antiqua" w:eastAsia="宋体" w:hAnsi="Book Antiqua" w:cs="宋体"/>
          <w:kern w:val="0"/>
          <w:sz w:val="24"/>
          <w:szCs w:val="24"/>
        </w:rPr>
        <w:t>, Baynes JW.</w:t>
      </w:r>
      <w:proofErr w:type="gramEnd"/>
      <w:r w:rsidRPr="005936B2">
        <w:rPr>
          <w:rFonts w:ascii="Book Antiqua" w:eastAsia="宋体" w:hAnsi="Book Antiqua" w:cs="宋体"/>
          <w:kern w:val="0"/>
          <w:sz w:val="24"/>
          <w:szCs w:val="24"/>
        </w:rPr>
        <w:t xml:space="preserve"> Maillard reaction products in tissue proteins: new products and new perspectives. </w:t>
      </w:r>
      <w:r w:rsidRPr="005936B2">
        <w:rPr>
          <w:rFonts w:ascii="Book Antiqua" w:eastAsia="宋体" w:hAnsi="Book Antiqua" w:cs="宋体"/>
          <w:i/>
          <w:iCs/>
          <w:kern w:val="0"/>
          <w:sz w:val="24"/>
          <w:szCs w:val="24"/>
        </w:rPr>
        <w:t>Amino Acids</w:t>
      </w:r>
      <w:r w:rsidRPr="005936B2">
        <w:rPr>
          <w:rFonts w:ascii="Book Antiqua" w:eastAsia="宋体" w:hAnsi="Book Antiqua" w:cs="宋体"/>
          <w:kern w:val="0"/>
          <w:sz w:val="24"/>
          <w:szCs w:val="24"/>
        </w:rPr>
        <w:t> 2003; </w:t>
      </w:r>
      <w:r w:rsidRPr="005936B2">
        <w:rPr>
          <w:rFonts w:ascii="Book Antiqua" w:eastAsia="宋体" w:hAnsi="Book Antiqua" w:cs="宋体"/>
          <w:b/>
          <w:bCs/>
          <w:kern w:val="0"/>
          <w:sz w:val="24"/>
          <w:szCs w:val="24"/>
        </w:rPr>
        <w:t>25</w:t>
      </w:r>
      <w:r w:rsidRPr="005936B2">
        <w:rPr>
          <w:rFonts w:ascii="Book Antiqua" w:eastAsia="宋体" w:hAnsi="Book Antiqua" w:cs="宋体"/>
          <w:kern w:val="0"/>
          <w:sz w:val="24"/>
          <w:szCs w:val="24"/>
        </w:rPr>
        <w:t>: 275-281 [PMID: 14661090 DOI: 10.1007/s00726-003-0017-9]</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 xml:space="preserve">57 </w:t>
      </w:r>
      <w:r w:rsidRPr="005936B2">
        <w:rPr>
          <w:rFonts w:ascii="Book Antiqua" w:eastAsia="宋体" w:hAnsi="Book Antiqua" w:cs="宋体"/>
          <w:b/>
          <w:kern w:val="0"/>
          <w:sz w:val="24"/>
          <w:szCs w:val="24"/>
        </w:rPr>
        <w:t xml:space="preserve">Lapolla A, </w:t>
      </w:r>
      <w:r w:rsidRPr="005936B2">
        <w:rPr>
          <w:rFonts w:ascii="Book Antiqua" w:eastAsia="宋体" w:hAnsi="Book Antiqua" w:cs="宋体"/>
          <w:kern w:val="0"/>
          <w:sz w:val="24"/>
          <w:szCs w:val="24"/>
        </w:rPr>
        <w:t xml:space="preserve">Molin L, Traldi P. Protein Glycation in diabetes as determined by mass spectrometry. </w:t>
      </w:r>
      <w:r w:rsidRPr="005936B2">
        <w:rPr>
          <w:rFonts w:ascii="Book Antiqua" w:eastAsia="宋体" w:hAnsi="Book Antiqua" w:cs="宋体"/>
          <w:i/>
          <w:kern w:val="0"/>
          <w:sz w:val="24"/>
          <w:szCs w:val="24"/>
        </w:rPr>
        <w:t>Int J Endocrinol</w:t>
      </w:r>
      <w:r w:rsidRPr="005936B2">
        <w:rPr>
          <w:rFonts w:ascii="Book Antiqua" w:eastAsia="宋体" w:hAnsi="Book Antiqua" w:cs="宋体"/>
          <w:kern w:val="0"/>
          <w:sz w:val="24"/>
          <w:szCs w:val="24"/>
        </w:rPr>
        <w:t xml:space="preserve"> 2013;</w:t>
      </w:r>
      <w:r w:rsidRPr="005936B2">
        <w:rPr>
          <w:rFonts w:ascii="Book Antiqua" w:eastAsia="宋体" w:hAnsi="Book Antiqua" w:cs="宋体"/>
          <w:b/>
          <w:kern w:val="0"/>
          <w:sz w:val="24"/>
          <w:szCs w:val="24"/>
        </w:rPr>
        <w:t xml:space="preserve"> (2013): </w:t>
      </w:r>
      <w:r w:rsidRPr="005936B2">
        <w:rPr>
          <w:rFonts w:ascii="Book Antiqua" w:eastAsia="宋体" w:hAnsi="Book Antiqua" w:cs="宋体"/>
          <w:kern w:val="0"/>
          <w:sz w:val="24"/>
          <w:szCs w:val="24"/>
        </w:rPr>
        <w:t>412103 [DOI: 10.1155/2013/412103]</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58 </w:t>
      </w:r>
      <w:r w:rsidRPr="005936B2">
        <w:rPr>
          <w:rFonts w:ascii="Book Antiqua" w:eastAsia="宋体" w:hAnsi="Book Antiqua" w:cs="宋体"/>
          <w:b/>
          <w:bCs/>
          <w:kern w:val="0"/>
          <w:sz w:val="24"/>
          <w:szCs w:val="24"/>
        </w:rPr>
        <w:t>Han L</w:t>
      </w:r>
      <w:r w:rsidRPr="005936B2">
        <w:rPr>
          <w:rFonts w:ascii="Book Antiqua" w:eastAsia="宋体" w:hAnsi="Book Antiqua" w:cs="宋体"/>
          <w:kern w:val="0"/>
          <w:sz w:val="24"/>
          <w:szCs w:val="24"/>
        </w:rPr>
        <w:t>, Li L, Li B, Zhao D, Li Y, Xu Z, Liu G. Review of the characteristics of food-derived and endogenous ne-carboxymethyllysine. </w:t>
      </w:r>
      <w:r w:rsidRPr="005936B2">
        <w:rPr>
          <w:rFonts w:ascii="Book Antiqua" w:eastAsia="宋体" w:hAnsi="Book Antiqua" w:cs="宋体"/>
          <w:i/>
          <w:iCs/>
          <w:kern w:val="0"/>
          <w:sz w:val="24"/>
          <w:szCs w:val="24"/>
        </w:rPr>
        <w:t>J Food Prot</w:t>
      </w:r>
      <w:r w:rsidRPr="005936B2">
        <w:rPr>
          <w:rFonts w:ascii="Book Antiqua" w:eastAsia="宋体" w:hAnsi="Book Antiqua" w:cs="宋体"/>
          <w:kern w:val="0"/>
          <w:sz w:val="24"/>
          <w:szCs w:val="24"/>
        </w:rPr>
        <w:t> 2013; </w:t>
      </w:r>
      <w:r w:rsidRPr="005936B2">
        <w:rPr>
          <w:rFonts w:ascii="Book Antiqua" w:eastAsia="宋体" w:hAnsi="Book Antiqua" w:cs="宋体"/>
          <w:b/>
          <w:bCs/>
          <w:kern w:val="0"/>
          <w:sz w:val="24"/>
          <w:szCs w:val="24"/>
        </w:rPr>
        <w:t>76</w:t>
      </w:r>
      <w:r w:rsidRPr="005936B2">
        <w:rPr>
          <w:rFonts w:ascii="Book Antiqua" w:eastAsia="宋体" w:hAnsi="Book Antiqua" w:cs="宋体"/>
          <w:kern w:val="0"/>
          <w:sz w:val="24"/>
          <w:szCs w:val="24"/>
        </w:rPr>
        <w:t>: 912-918 [PMID: 23643138 DOI: 10.4315/0362-028X.JFP-12-472]</w:t>
      </w:r>
    </w:p>
    <w:p w:rsidR="007A0C7D" w:rsidRPr="005936B2" w:rsidRDefault="007A0C7D" w:rsidP="007A0C7D">
      <w:pPr>
        <w:widowControl/>
        <w:spacing w:line="360" w:lineRule="auto"/>
        <w:rPr>
          <w:rFonts w:ascii="Book Antiqua" w:eastAsia="宋体" w:hAnsi="Book Antiqua" w:cs="宋体"/>
          <w:kern w:val="0"/>
          <w:sz w:val="24"/>
          <w:szCs w:val="24"/>
          <w:lang w:val="de-AT"/>
        </w:rPr>
      </w:pPr>
      <w:r w:rsidRPr="005936B2">
        <w:rPr>
          <w:rFonts w:ascii="Book Antiqua" w:eastAsia="宋体" w:hAnsi="Book Antiqua" w:cs="宋体"/>
          <w:kern w:val="0"/>
          <w:sz w:val="24"/>
          <w:szCs w:val="24"/>
        </w:rPr>
        <w:t>59</w:t>
      </w:r>
      <w:r w:rsidRPr="005936B2">
        <w:rPr>
          <w:rFonts w:ascii="Book Antiqua" w:eastAsia="宋体" w:hAnsi="Book Antiqua" w:cs="宋体"/>
          <w:b/>
          <w:kern w:val="0"/>
          <w:sz w:val="24"/>
          <w:szCs w:val="24"/>
        </w:rPr>
        <w:t xml:space="preserve"> Ledl F, </w:t>
      </w:r>
      <w:r w:rsidRPr="005936B2">
        <w:rPr>
          <w:rFonts w:ascii="Book Antiqua" w:eastAsia="宋体" w:hAnsi="Book Antiqua" w:cs="宋体"/>
          <w:kern w:val="0"/>
          <w:sz w:val="24"/>
          <w:szCs w:val="24"/>
        </w:rPr>
        <w:t xml:space="preserve">Schleicher E. </w:t>
      </w:r>
      <w:proofErr w:type="gramStart"/>
      <w:r w:rsidRPr="005936B2">
        <w:rPr>
          <w:rFonts w:ascii="Book Antiqua" w:eastAsia="宋体" w:hAnsi="Book Antiqua" w:cs="宋体"/>
          <w:kern w:val="0"/>
          <w:sz w:val="24"/>
          <w:szCs w:val="24"/>
        </w:rPr>
        <w:t>The Maillard reaction in food and human body.</w:t>
      </w:r>
      <w:proofErr w:type="gramEnd"/>
      <w:r w:rsidRPr="005936B2">
        <w:rPr>
          <w:rFonts w:ascii="Book Antiqua" w:eastAsia="宋体" w:hAnsi="Book Antiqua" w:cs="宋体"/>
          <w:kern w:val="0"/>
          <w:sz w:val="24"/>
          <w:szCs w:val="24"/>
        </w:rPr>
        <w:t xml:space="preserve"> </w:t>
      </w:r>
      <w:r w:rsidRPr="005936B2">
        <w:rPr>
          <w:rFonts w:ascii="Book Antiqua" w:eastAsia="宋体" w:hAnsi="Book Antiqua" w:cs="宋体"/>
          <w:i/>
          <w:kern w:val="0"/>
          <w:sz w:val="24"/>
          <w:szCs w:val="24"/>
          <w:lang w:val="de-AT"/>
        </w:rPr>
        <w:t xml:space="preserve">Angewandte Chemie </w:t>
      </w:r>
      <w:r w:rsidRPr="005936B2">
        <w:rPr>
          <w:rFonts w:ascii="Book Antiqua" w:eastAsia="宋体" w:hAnsi="Book Antiqua" w:cs="宋体"/>
          <w:kern w:val="0"/>
          <w:sz w:val="24"/>
          <w:szCs w:val="24"/>
          <w:lang w:val="de-AT"/>
        </w:rPr>
        <w:t xml:space="preserve">1990; </w:t>
      </w:r>
      <w:r w:rsidRPr="005936B2">
        <w:rPr>
          <w:rFonts w:ascii="Book Antiqua" w:eastAsia="宋体" w:hAnsi="Book Antiqua" w:cs="宋体"/>
          <w:b/>
          <w:kern w:val="0"/>
          <w:sz w:val="24"/>
          <w:szCs w:val="24"/>
          <w:lang w:val="de-AT"/>
        </w:rPr>
        <w:t>102</w:t>
      </w:r>
      <w:r w:rsidRPr="005936B2">
        <w:rPr>
          <w:rFonts w:ascii="Book Antiqua" w:eastAsia="宋体" w:hAnsi="Book Antiqua" w:cs="宋体"/>
          <w:kern w:val="0"/>
          <w:sz w:val="24"/>
          <w:szCs w:val="24"/>
          <w:lang w:val="de-AT"/>
        </w:rPr>
        <w:t>: 597-626 [DOI: 10.1002/ange.19901020604]</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lang w:val="de-AT"/>
        </w:rPr>
        <w:t>60 </w:t>
      </w:r>
      <w:r w:rsidRPr="005936B2">
        <w:rPr>
          <w:rFonts w:ascii="Book Antiqua" w:eastAsia="宋体" w:hAnsi="Book Antiqua" w:cs="宋体"/>
          <w:b/>
          <w:bCs/>
          <w:kern w:val="0"/>
          <w:sz w:val="24"/>
          <w:szCs w:val="24"/>
          <w:lang w:val="de-AT"/>
        </w:rPr>
        <w:t>Anderson MM</w:t>
      </w:r>
      <w:r w:rsidRPr="005936B2">
        <w:rPr>
          <w:rFonts w:ascii="Book Antiqua" w:eastAsia="宋体" w:hAnsi="Book Antiqua" w:cs="宋体"/>
          <w:kern w:val="0"/>
          <w:sz w:val="24"/>
          <w:szCs w:val="24"/>
          <w:lang w:val="de-AT"/>
        </w:rPr>
        <w:t xml:space="preserve">, Hazen SL, Hsu FF, Heinecke JW. </w:t>
      </w:r>
      <w:r w:rsidRPr="005936B2">
        <w:rPr>
          <w:rFonts w:ascii="Book Antiqua" w:eastAsia="宋体" w:hAnsi="Book Antiqua" w:cs="宋体"/>
          <w:kern w:val="0"/>
          <w:sz w:val="24"/>
          <w:szCs w:val="24"/>
        </w:rPr>
        <w:t>Human neutrophils employ the myeloperoxidase-hydrogen peroxide-chloride system to convert hydroxy-amino acids into glycolaldehyde, 2-hydroxypropanal, and acrolein. A mechanism for the generation of highly reactive alpha-hydroxy and alpha</w:t>
      </w:r>
      <w:proofErr w:type="gramStart"/>
      <w:r w:rsidRPr="005936B2">
        <w:rPr>
          <w:rFonts w:ascii="Book Antiqua" w:eastAsia="宋体" w:hAnsi="Book Antiqua" w:cs="宋体"/>
          <w:kern w:val="0"/>
          <w:sz w:val="24"/>
          <w:szCs w:val="24"/>
        </w:rPr>
        <w:t>,beta</w:t>
      </w:r>
      <w:proofErr w:type="gramEnd"/>
      <w:r w:rsidRPr="005936B2">
        <w:rPr>
          <w:rFonts w:ascii="Book Antiqua" w:eastAsia="宋体" w:hAnsi="Book Antiqua" w:cs="宋体"/>
          <w:kern w:val="0"/>
          <w:sz w:val="24"/>
          <w:szCs w:val="24"/>
        </w:rPr>
        <w:t>-unsaturated aldehydes by phagocytes at sites of inflammation. </w:t>
      </w:r>
      <w:r w:rsidRPr="005936B2">
        <w:rPr>
          <w:rFonts w:ascii="Book Antiqua" w:eastAsia="宋体" w:hAnsi="Book Antiqua" w:cs="宋体"/>
          <w:i/>
          <w:iCs/>
          <w:kern w:val="0"/>
          <w:sz w:val="24"/>
          <w:szCs w:val="24"/>
        </w:rPr>
        <w:t>J Clin Invest</w:t>
      </w:r>
      <w:r w:rsidRPr="005936B2">
        <w:rPr>
          <w:rFonts w:ascii="Book Antiqua" w:eastAsia="宋体" w:hAnsi="Book Antiqua" w:cs="宋体"/>
          <w:kern w:val="0"/>
          <w:sz w:val="24"/>
          <w:szCs w:val="24"/>
        </w:rPr>
        <w:t> 1997; </w:t>
      </w:r>
      <w:r w:rsidRPr="005936B2">
        <w:rPr>
          <w:rFonts w:ascii="Book Antiqua" w:eastAsia="宋体" w:hAnsi="Book Antiqua" w:cs="宋体"/>
          <w:b/>
          <w:bCs/>
          <w:kern w:val="0"/>
          <w:sz w:val="24"/>
          <w:szCs w:val="24"/>
        </w:rPr>
        <w:t>99</w:t>
      </w:r>
      <w:r w:rsidRPr="005936B2">
        <w:rPr>
          <w:rFonts w:ascii="Book Antiqua" w:eastAsia="宋体" w:hAnsi="Book Antiqua" w:cs="宋体"/>
          <w:kern w:val="0"/>
          <w:sz w:val="24"/>
          <w:szCs w:val="24"/>
        </w:rPr>
        <w:t>: 424-432 [PMID: 9022075 DOI: 10.1172/JCI119176]</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61 </w:t>
      </w:r>
      <w:r w:rsidRPr="005936B2">
        <w:rPr>
          <w:rFonts w:ascii="Book Antiqua" w:eastAsia="宋体" w:hAnsi="Book Antiqua" w:cs="宋体"/>
          <w:b/>
          <w:bCs/>
          <w:kern w:val="0"/>
          <w:sz w:val="24"/>
          <w:szCs w:val="24"/>
        </w:rPr>
        <w:t>Hasenkopf K</w:t>
      </w:r>
      <w:r w:rsidRPr="005936B2">
        <w:rPr>
          <w:rFonts w:ascii="Book Antiqua" w:eastAsia="宋体" w:hAnsi="Book Antiqua" w:cs="宋体"/>
          <w:kern w:val="0"/>
          <w:sz w:val="24"/>
          <w:szCs w:val="24"/>
        </w:rPr>
        <w:t>, Rönner B, Hiller H, Pischetsrieder M. Analysis of glycated and ascorbylated proteins by gas chromatography-mass spectrometry. </w:t>
      </w:r>
      <w:r w:rsidRPr="005936B2">
        <w:rPr>
          <w:rFonts w:ascii="Book Antiqua" w:eastAsia="宋体" w:hAnsi="Book Antiqua" w:cs="宋体"/>
          <w:i/>
          <w:iCs/>
          <w:kern w:val="0"/>
          <w:sz w:val="24"/>
          <w:szCs w:val="24"/>
        </w:rPr>
        <w:t>J Agric Food Chem</w:t>
      </w:r>
      <w:r w:rsidRPr="005936B2">
        <w:rPr>
          <w:rFonts w:ascii="Book Antiqua" w:eastAsia="宋体" w:hAnsi="Book Antiqua" w:cs="宋体"/>
          <w:kern w:val="0"/>
          <w:sz w:val="24"/>
          <w:szCs w:val="24"/>
        </w:rPr>
        <w:t> 2002; </w:t>
      </w:r>
      <w:r w:rsidRPr="005936B2">
        <w:rPr>
          <w:rFonts w:ascii="Book Antiqua" w:eastAsia="宋体" w:hAnsi="Book Antiqua" w:cs="宋体"/>
          <w:b/>
          <w:bCs/>
          <w:kern w:val="0"/>
          <w:sz w:val="24"/>
          <w:szCs w:val="24"/>
        </w:rPr>
        <w:t>50</w:t>
      </w:r>
      <w:r w:rsidRPr="005936B2">
        <w:rPr>
          <w:rFonts w:ascii="Book Antiqua" w:eastAsia="宋体" w:hAnsi="Book Antiqua" w:cs="宋体"/>
          <w:kern w:val="0"/>
          <w:sz w:val="24"/>
          <w:szCs w:val="24"/>
        </w:rPr>
        <w:t>: 5697-5703 [PMID: 12236701 DOI: 10.1021/jf020411u]</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62 </w:t>
      </w:r>
      <w:r w:rsidRPr="005936B2">
        <w:rPr>
          <w:rFonts w:ascii="Book Antiqua" w:eastAsia="宋体" w:hAnsi="Book Antiqua" w:cs="宋体"/>
          <w:b/>
          <w:bCs/>
          <w:kern w:val="0"/>
          <w:sz w:val="24"/>
          <w:szCs w:val="24"/>
        </w:rPr>
        <w:t>Reddy S</w:t>
      </w:r>
      <w:r w:rsidRPr="005936B2">
        <w:rPr>
          <w:rFonts w:ascii="Book Antiqua" w:eastAsia="宋体" w:hAnsi="Book Antiqua" w:cs="宋体"/>
          <w:kern w:val="0"/>
          <w:sz w:val="24"/>
          <w:szCs w:val="24"/>
        </w:rPr>
        <w:t>, Bichler J, Wells-Knecht KJ, Thorpe SR, Baynes JW. N epsilon</w:t>
      </w:r>
      <w:proofErr w:type="gramStart"/>
      <w:r w:rsidRPr="005936B2">
        <w:rPr>
          <w:rFonts w:ascii="Book Antiqua" w:eastAsia="宋体" w:hAnsi="Book Antiqua" w:cs="宋体"/>
          <w:kern w:val="0"/>
          <w:sz w:val="24"/>
          <w:szCs w:val="24"/>
        </w:rPr>
        <w:t>-(</w:t>
      </w:r>
      <w:proofErr w:type="gramEnd"/>
      <w:r w:rsidRPr="005936B2">
        <w:rPr>
          <w:rFonts w:ascii="Book Antiqua" w:eastAsia="宋体" w:hAnsi="Book Antiqua" w:cs="宋体"/>
          <w:kern w:val="0"/>
          <w:sz w:val="24"/>
          <w:szCs w:val="24"/>
        </w:rPr>
        <w:t xml:space="preserve">carboxymethyl)lysine is a dominant advanced glycation end product (AGE) </w:t>
      </w:r>
      <w:r w:rsidRPr="005936B2">
        <w:rPr>
          <w:rFonts w:ascii="Book Antiqua" w:eastAsia="宋体" w:hAnsi="Book Antiqua" w:cs="宋体"/>
          <w:kern w:val="0"/>
          <w:sz w:val="24"/>
          <w:szCs w:val="24"/>
        </w:rPr>
        <w:lastRenderedPageBreak/>
        <w:t>antigen in tissue proteins. </w:t>
      </w:r>
      <w:r w:rsidRPr="005936B2">
        <w:rPr>
          <w:rFonts w:ascii="Book Antiqua" w:eastAsia="宋体" w:hAnsi="Book Antiqua" w:cs="宋体"/>
          <w:i/>
          <w:iCs/>
          <w:kern w:val="0"/>
          <w:sz w:val="24"/>
          <w:szCs w:val="24"/>
        </w:rPr>
        <w:t>Biochemistry</w:t>
      </w:r>
      <w:r w:rsidRPr="005936B2">
        <w:rPr>
          <w:rFonts w:ascii="Book Antiqua" w:eastAsia="宋体" w:hAnsi="Book Antiqua" w:cs="宋体"/>
          <w:kern w:val="0"/>
          <w:sz w:val="24"/>
          <w:szCs w:val="24"/>
        </w:rPr>
        <w:t> 1995; </w:t>
      </w:r>
      <w:r w:rsidRPr="005936B2">
        <w:rPr>
          <w:rFonts w:ascii="Book Antiqua" w:eastAsia="宋体" w:hAnsi="Book Antiqua" w:cs="宋体"/>
          <w:b/>
          <w:bCs/>
          <w:kern w:val="0"/>
          <w:sz w:val="24"/>
          <w:szCs w:val="24"/>
        </w:rPr>
        <w:t>34</w:t>
      </w:r>
      <w:r w:rsidRPr="005936B2">
        <w:rPr>
          <w:rFonts w:ascii="Book Antiqua" w:eastAsia="宋体" w:hAnsi="Book Antiqua" w:cs="宋体"/>
          <w:kern w:val="0"/>
          <w:sz w:val="24"/>
          <w:szCs w:val="24"/>
        </w:rPr>
        <w:t>: 10872-10878 [PMID: 7662668 DOI: 10.1021/bi00034a021]</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63 </w:t>
      </w:r>
      <w:r w:rsidRPr="005936B2">
        <w:rPr>
          <w:rFonts w:ascii="Book Antiqua" w:eastAsia="宋体" w:hAnsi="Book Antiqua" w:cs="宋体"/>
          <w:b/>
          <w:bCs/>
          <w:kern w:val="0"/>
          <w:sz w:val="24"/>
          <w:szCs w:val="24"/>
        </w:rPr>
        <w:t>Miki Hayashi C</w:t>
      </w:r>
      <w:r w:rsidRPr="005936B2">
        <w:rPr>
          <w:rFonts w:ascii="Book Antiqua" w:eastAsia="宋体" w:hAnsi="Book Antiqua" w:cs="宋体"/>
          <w:kern w:val="0"/>
          <w:sz w:val="24"/>
          <w:szCs w:val="24"/>
        </w:rPr>
        <w:t>, Nagai R, Miyazaki K, Hayase F, Araki T, Ono T, Horiuchi S. Conversion of Amadori products of the Maillard reaction to N(epsilon)-(carboxymethyl)lysine by short-term heating: possible detection of artifacts by immunohistochemistry. </w:t>
      </w:r>
      <w:r w:rsidRPr="005936B2">
        <w:rPr>
          <w:rFonts w:ascii="Book Antiqua" w:eastAsia="宋体" w:hAnsi="Book Antiqua" w:cs="宋体"/>
          <w:i/>
          <w:iCs/>
          <w:kern w:val="0"/>
          <w:sz w:val="24"/>
          <w:szCs w:val="24"/>
        </w:rPr>
        <w:t>Lab Invest</w:t>
      </w:r>
      <w:r w:rsidRPr="005936B2">
        <w:rPr>
          <w:rFonts w:ascii="Book Antiqua" w:eastAsia="宋体" w:hAnsi="Book Antiqua" w:cs="宋体"/>
          <w:kern w:val="0"/>
          <w:sz w:val="24"/>
          <w:szCs w:val="24"/>
        </w:rPr>
        <w:t> 2002; </w:t>
      </w:r>
      <w:r w:rsidRPr="005936B2">
        <w:rPr>
          <w:rFonts w:ascii="Book Antiqua" w:eastAsia="宋体" w:hAnsi="Book Antiqua" w:cs="宋体"/>
          <w:b/>
          <w:bCs/>
          <w:kern w:val="0"/>
          <w:sz w:val="24"/>
          <w:szCs w:val="24"/>
        </w:rPr>
        <w:t>82</w:t>
      </w:r>
      <w:r w:rsidRPr="005936B2">
        <w:rPr>
          <w:rFonts w:ascii="Book Antiqua" w:eastAsia="宋体" w:hAnsi="Book Antiqua" w:cs="宋体"/>
          <w:kern w:val="0"/>
          <w:sz w:val="24"/>
          <w:szCs w:val="24"/>
        </w:rPr>
        <w:t>: 795-808 [PMID: 12065691 DOI: 10.1097/01.LAB.0000018826.59648.07]</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 xml:space="preserve">64 </w:t>
      </w:r>
      <w:r w:rsidRPr="005936B2">
        <w:rPr>
          <w:rFonts w:ascii="Book Antiqua" w:eastAsia="宋体" w:hAnsi="Book Antiqua" w:cs="宋体"/>
          <w:b/>
          <w:kern w:val="0"/>
          <w:sz w:val="24"/>
          <w:szCs w:val="24"/>
        </w:rPr>
        <w:t>Konishi F</w:t>
      </w:r>
      <w:r w:rsidRPr="005936B2">
        <w:rPr>
          <w:rFonts w:ascii="Book Antiqua" w:eastAsia="宋体" w:hAnsi="Book Antiqua" w:cs="宋体"/>
          <w:kern w:val="0"/>
          <w:sz w:val="24"/>
          <w:szCs w:val="24"/>
        </w:rPr>
        <w:t xml:space="preserve">, Hayase F, Kato H. Novel imidazolone compound formed by the advanced Maillard reaction of 3-deoxyglucosone and arginine residues in proteins. </w:t>
      </w:r>
      <w:r w:rsidRPr="005936B2">
        <w:rPr>
          <w:rFonts w:ascii="Book Antiqua" w:eastAsia="宋体" w:hAnsi="Book Antiqua" w:cs="宋体"/>
          <w:i/>
          <w:kern w:val="0"/>
          <w:sz w:val="24"/>
          <w:szCs w:val="24"/>
        </w:rPr>
        <w:t xml:space="preserve">Biosci Biotech Biochem </w:t>
      </w:r>
      <w:r w:rsidRPr="005936B2">
        <w:rPr>
          <w:rFonts w:ascii="Book Antiqua" w:eastAsia="宋体" w:hAnsi="Book Antiqua" w:cs="宋体"/>
          <w:kern w:val="0"/>
          <w:sz w:val="24"/>
          <w:szCs w:val="24"/>
        </w:rPr>
        <w:t xml:space="preserve">1994; </w:t>
      </w:r>
      <w:r w:rsidRPr="005936B2">
        <w:rPr>
          <w:rFonts w:ascii="Book Antiqua" w:eastAsia="宋体" w:hAnsi="Book Antiqua" w:cs="宋体"/>
          <w:b/>
          <w:kern w:val="0"/>
          <w:sz w:val="24"/>
          <w:szCs w:val="24"/>
        </w:rPr>
        <w:t>58</w:t>
      </w:r>
      <w:r w:rsidRPr="005936B2">
        <w:rPr>
          <w:rFonts w:ascii="Book Antiqua" w:eastAsia="宋体" w:hAnsi="Book Antiqua" w:cs="宋体"/>
          <w:kern w:val="0"/>
          <w:sz w:val="24"/>
          <w:szCs w:val="24"/>
        </w:rPr>
        <w:t>: 1953-1955 [DOI: 10.1271/bbb.58.1953]</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65 </w:t>
      </w:r>
      <w:r w:rsidRPr="005936B2">
        <w:rPr>
          <w:rFonts w:ascii="Book Antiqua" w:eastAsia="宋体" w:hAnsi="Book Antiqua" w:cs="宋体"/>
          <w:b/>
          <w:bCs/>
          <w:kern w:val="0"/>
          <w:sz w:val="24"/>
          <w:szCs w:val="24"/>
        </w:rPr>
        <w:t>Ahmed N</w:t>
      </w:r>
      <w:r w:rsidRPr="005936B2">
        <w:rPr>
          <w:rFonts w:ascii="Book Antiqua" w:eastAsia="宋体" w:hAnsi="Book Antiqua" w:cs="宋体"/>
          <w:kern w:val="0"/>
          <w:sz w:val="24"/>
          <w:szCs w:val="24"/>
        </w:rPr>
        <w:t>, Argirov OK, Minhas HS, Cordeiro CA, Thornalley PJ.</w:t>
      </w:r>
      <w:proofErr w:type="gramEnd"/>
      <w:r w:rsidRPr="005936B2">
        <w:rPr>
          <w:rFonts w:ascii="Book Antiqua" w:eastAsia="宋体" w:hAnsi="Book Antiqua" w:cs="宋体"/>
          <w:kern w:val="0"/>
          <w:sz w:val="24"/>
          <w:szCs w:val="24"/>
        </w:rPr>
        <w:t xml:space="preserve"> Assay of advanced glycation endproducts (AGEs): surveying AGEs by chromatographic assay with derivatization by 6-aminoquinolyl-N-hydroxysuccinimidyl-carbamate and application to Nepsilon-carboxymethyl-lysine- and Nepsilon</w:t>
      </w:r>
      <w:proofErr w:type="gramStart"/>
      <w:r w:rsidRPr="005936B2">
        <w:rPr>
          <w:rFonts w:ascii="Book Antiqua" w:eastAsia="宋体" w:hAnsi="Book Antiqua" w:cs="宋体"/>
          <w:kern w:val="0"/>
          <w:sz w:val="24"/>
          <w:szCs w:val="24"/>
        </w:rPr>
        <w:t>-(</w:t>
      </w:r>
      <w:proofErr w:type="gramEnd"/>
      <w:r w:rsidRPr="005936B2">
        <w:rPr>
          <w:rFonts w:ascii="Book Antiqua" w:eastAsia="宋体" w:hAnsi="Book Antiqua" w:cs="宋体"/>
          <w:kern w:val="0"/>
          <w:sz w:val="24"/>
          <w:szCs w:val="24"/>
        </w:rPr>
        <w:t>1-carboxyethyl)lysine-modified albumin. </w:t>
      </w:r>
      <w:r w:rsidRPr="005936B2">
        <w:rPr>
          <w:rFonts w:ascii="Book Antiqua" w:eastAsia="宋体" w:hAnsi="Book Antiqua" w:cs="宋体"/>
          <w:i/>
          <w:iCs/>
          <w:kern w:val="0"/>
          <w:sz w:val="24"/>
          <w:szCs w:val="24"/>
        </w:rPr>
        <w:t>Biochem J</w:t>
      </w:r>
      <w:r w:rsidRPr="005936B2">
        <w:rPr>
          <w:rFonts w:ascii="Book Antiqua" w:eastAsia="宋体" w:hAnsi="Book Antiqua" w:cs="宋体"/>
          <w:kern w:val="0"/>
          <w:sz w:val="24"/>
          <w:szCs w:val="24"/>
        </w:rPr>
        <w:t> 2002; </w:t>
      </w:r>
      <w:r w:rsidRPr="005936B2">
        <w:rPr>
          <w:rFonts w:ascii="Book Antiqua" w:eastAsia="宋体" w:hAnsi="Book Antiqua" w:cs="宋体"/>
          <w:b/>
          <w:bCs/>
          <w:kern w:val="0"/>
          <w:sz w:val="24"/>
          <w:szCs w:val="24"/>
        </w:rPr>
        <w:t>364</w:t>
      </w:r>
      <w:r w:rsidRPr="005936B2">
        <w:rPr>
          <w:rFonts w:ascii="Book Antiqua" w:eastAsia="宋体" w:hAnsi="Book Antiqua" w:cs="宋体"/>
          <w:kern w:val="0"/>
          <w:sz w:val="24"/>
          <w:szCs w:val="24"/>
        </w:rPr>
        <w:t>: 1-14 [PMID: 11988070 DOI: 10.1042/bj3640001]</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66 </w:t>
      </w:r>
      <w:r w:rsidRPr="005936B2">
        <w:rPr>
          <w:rFonts w:ascii="Book Antiqua" w:eastAsia="宋体" w:hAnsi="Book Antiqua" w:cs="宋体"/>
          <w:b/>
          <w:bCs/>
          <w:kern w:val="0"/>
          <w:sz w:val="24"/>
          <w:szCs w:val="24"/>
        </w:rPr>
        <w:t>Ahmed N</w:t>
      </w:r>
      <w:r w:rsidRPr="005936B2">
        <w:rPr>
          <w:rFonts w:ascii="Book Antiqua" w:eastAsia="宋体" w:hAnsi="Book Antiqua" w:cs="宋体"/>
          <w:kern w:val="0"/>
          <w:sz w:val="24"/>
          <w:szCs w:val="24"/>
        </w:rPr>
        <w:t>, Thornalley PJ. Chromatographic assay of glycation adducts in human serum albumin glycated in vitro by derivatization with 6-aminoquinolyl-N-hydroxysuccinimidyl-carbamate and intrinsic fluorescence. </w:t>
      </w:r>
      <w:r w:rsidRPr="005936B2">
        <w:rPr>
          <w:rFonts w:ascii="Book Antiqua" w:eastAsia="宋体" w:hAnsi="Book Antiqua" w:cs="宋体"/>
          <w:i/>
          <w:iCs/>
          <w:kern w:val="0"/>
          <w:sz w:val="24"/>
          <w:szCs w:val="24"/>
        </w:rPr>
        <w:t>Biochem J</w:t>
      </w:r>
      <w:r w:rsidRPr="005936B2">
        <w:rPr>
          <w:rFonts w:ascii="Book Antiqua" w:eastAsia="宋体" w:hAnsi="Book Antiqua" w:cs="宋体"/>
          <w:kern w:val="0"/>
          <w:sz w:val="24"/>
          <w:szCs w:val="24"/>
        </w:rPr>
        <w:t> 2002; </w:t>
      </w:r>
      <w:r w:rsidRPr="005936B2">
        <w:rPr>
          <w:rFonts w:ascii="Book Antiqua" w:eastAsia="宋体" w:hAnsi="Book Antiqua" w:cs="宋体"/>
          <w:b/>
          <w:bCs/>
          <w:kern w:val="0"/>
          <w:sz w:val="24"/>
          <w:szCs w:val="24"/>
        </w:rPr>
        <w:t>364</w:t>
      </w:r>
      <w:r w:rsidRPr="005936B2">
        <w:rPr>
          <w:rFonts w:ascii="Book Antiqua" w:eastAsia="宋体" w:hAnsi="Book Antiqua" w:cs="宋体"/>
          <w:kern w:val="0"/>
          <w:sz w:val="24"/>
          <w:szCs w:val="24"/>
        </w:rPr>
        <w:t>: 15-24 [PMID: 11988071]</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 xml:space="preserve">67 </w:t>
      </w:r>
      <w:r w:rsidRPr="005936B2">
        <w:rPr>
          <w:rFonts w:ascii="Book Antiqua" w:eastAsia="宋体" w:hAnsi="Book Antiqua" w:cs="宋体"/>
          <w:b/>
          <w:kern w:val="0"/>
          <w:sz w:val="24"/>
          <w:szCs w:val="24"/>
        </w:rPr>
        <w:t>Argirova M.</w:t>
      </w:r>
      <w:r w:rsidRPr="005936B2">
        <w:rPr>
          <w:rFonts w:ascii="Book Antiqua" w:eastAsia="宋体" w:hAnsi="Book Antiqua" w:cs="宋体"/>
          <w:kern w:val="0"/>
          <w:sz w:val="24"/>
          <w:szCs w:val="24"/>
        </w:rPr>
        <w:t xml:space="preserve"> Biological effects of the Maillard reaction.</w:t>
      </w:r>
      <w:proofErr w:type="gramEnd"/>
      <w:r w:rsidRPr="005936B2">
        <w:rPr>
          <w:rFonts w:ascii="Book Antiqua" w:eastAsia="宋体" w:hAnsi="Book Antiqua" w:cs="宋体"/>
          <w:kern w:val="0"/>
          <w:sz w:val="24"/>
          <w:szCs w:val="24"/>
        </w:rPr>
        <w:t xml:space="preserve"> </w:t>
      </w:r>
      <w:r w:rsidRPr="005936B2">
        <w:rPr>
          <w:rFonts w:ascii="Book Antiqua" w:eastAsia="宋体" w:hAnsi="Book Antiqua" w:cs="宋体"/>
          <w:i/>
          <w:kern w:val="0"/>
          <w:sz w:val="24"/>
          <w:szCs w:val="24"/>
        </w:rPr>
        <w:t xml:space="preserve">DSc Thesis </w:t>
      </w:r>
      <w:r w:rsidRPr="005936B2">
        <w:rPr>
          <w:rFonts w:ascii="Book Antiqua" w:eastAsia="宋体" w:hAnsi="Book Antiqua" w:cs="宋体"/>
          <w:kern w:val="0"/>
          <w:sz w:val="24"/>
          <w:szCs w:val="24"/>
        </w:rPr>
        <w:t xml:space="preserve">2015; </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68 </w:t>
      </w:r>
      <w:r w:rsidRPr="005936B2">
        <w:rPr>
          <w:rFonts w:ascii="Book Antiqua" w:eastAsia="宋体" w:hAnsi="Book Antiqua" w:cs="宋体"/>
          <w:b/>
          <w:bCs/>
          <w:kern w:val="0"/>
          <w:sz w:val="24"/>
          <w:szCs w:val="24"/>
        </w:rPr>
        <w:t>Ookawara T</w:t>
      </w:r>
      <w:r w:rsidRPr="005936B2">
        <w:rPr>
          <w:rFonts w:ascii="Book Antiqua" w:eastAsia="宋体" w:hAnsi="Book Antiqua" w:cs="宋体"/>
          <w:kern w:val="0"/>
          <w:sz w:val="24"/>
          <w:szCs w:val="24"/>
        </w:rPr>
        <w:t xml:space="preserve">, Kawamura N, Kitagawa Y, Taniguchi N. Site-specific and random fragmentation of Cu,Zn-superoxide dismutase by glycation reaction. </w:t>
      </w:r>
      <w:proofErr w:type="gramStart"/>
      <w:r w:rsidRPr="005936B2">
        <w:rPr>
          <w:rFonts w:ascii="Book Antiqua" w:eastAsia="宋体" w:hAnsi="Book Antiqua" w:cs="宋体"/>
          <w:kern w:val="0"/>
          <w:sz w:val="24"/>
          <w:szCs w:val="24"/>
        </w:rPr>
        <w:t>Implication of reactive oxygen species.</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1992; </w:t>
      </w:r>
      <w:r w:rsidRPr="005936B2">
        <w:rPr>
          <w:rFonts w:ascii="Book Antiqua" w:eastAsia="宋体" w:hAnsi="Book Antiqua" w:cs="宋体"/>
          <w:b/>
          <w:bCs/>
          <w:kern w:val="0"/>
          <w:sz w:val="24"/>
          <w:szCs w:val="24"/>
        </w:rPr>
        <w:t>267</w:t>
      </w:r>
      <w:r w:rsidRPr="005936B2">
        <w:rPr>
          <w:rFonts w:ascii="Book Antiqua" w:eastAsia="宋体" w:hAnsi="Book Antiqua" w:cs="宋体"/>
          <w:kern w:val="0"/>
          <w:sz w:val="24"/>
          <w:szCs w:val="24"/>
        </w:rPr>
        <w:t>: 18505-18510 [PMID: 1326527]</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69 </w:t>
      </w:r>
      <w:r w:rsidRPr="005936B2">
        <w:rPr>
          <w:rFonts w:ascii="Book Antiqua" w:eastAsia="宋体" w:hAnsi="Book Antiqua" w:cs="宋体"/>
          <w:b/>
          <w:bCs/>
          <w:kern w:val="0"/>
          <w:sz w:val="24"/>
          <w:szCs w:val="24"/>
        </w:rPr>
        <w:t>Islam KN</w:t>
      </w:r>
      <w:r w:rsidRPr="005936B2">
        <w:rPr>
          <w:rFonts w:ascii="Book Antiqua" w:eastAsia="宋体" w:hAnsi="Book Antiqua" w:cs="宋体"/>
          <w:kern w:val="0"/>
          <w:sz w:val="24"/>
          <w:szCs w:val="24"/>
        </w:rPr>
        <w:t>, Takahashi M, Higashiyama S, Myint T, Uozumi N. Fragmentation of ceruloplasmin following non-enzymatic glycation reaction. </w:t>
      </w:r>
      <w:r w:rsidRPr="005936B2">
        <w:rPr>
          <w:rFonts w:ascii="Book Antiqua" w:eastAsia="宋体" w:hAnsi="Book Antiqua" w:cs="宋体"/>
          <w:i/>
          <w:iCs/>
          <w:kern w:val="0"/>
          <w:sz w:val="24"/>
          <w:szCs w:val="24"/>
        </w:rPr>
        <w:t>J Biochem</w:t>
      </w:r>
      <w:r w:rsidRPr="005936B2">
        <w:rPr>
          <w:rFonts w:ascii="Book Antiqua" w:eastAsia="宋体" w:hAnsi="Book Antiqua" w:cs="宋体"/>
          <w:kern w:val="0"/>
          <w:sz w:val="24"/>
          <w:szCs w:val="24"/>
        </w:rPr>
        <w:t> 1995; </w:t>
      </w:r>
      <w:r w:rsidRPr="005936B2">
        <w:rPr>
          <w:rFonts w:ascii="Book Antiqua" w:eastAsia="宋体" w:hAnsi="Book Antiqua" w:cs="宋体"/>
          <w:b/>
          <w:bCs/>
          <w:kern w:val="0"/>
          <w:sz w:val="24"/>
          <w:szCs w:val="24"/>
        </w:rPr>
        <w:t>118</w:t>
      </w:r>
      <w:r w:rsidRPr="005936B2">
        <w:rPr>
          <w:rFonts w:ascii="Book Antiqua" w:eastAsia="宋体" w:hAnsi="Book Antiqua" w:cs="宋体"/>
          <w:kern w:val="0"/>
          <w:sz w:val="24"/>
          <w:szCs w:val="24"/>
        </w:rPr>
        <w:t>: 1054-1060 [PMID: 8749326 DOI: 10.1093/jb/118.5.1054]</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70 </w:t>
      </w:r>
      <w:r w:rsidRPr="005936B2">
        <w:rPr>
          <w:rFonts w:ascii="Book Antiqua" w:eastAsia="宋体" w:hAnsi="Book Antiqua" w:cs="宋体"/>
          <w:b/>
          <w:bCs/>
          <w:kern w:val="0"/>
          <w:sz w:val="24"/>
          <w:szCs w:val="24"/>
        </w:rPr>
        <w:t>Li S</w:t>
      </w:r>
      <w:r w:rsidRPr="005936B2">
        <w:rPr>
          <w:rFonts w:ascii="Book Antiqua" w:eastAsia="宋体" w:hAnsi="Book Antiqua" w:cs="宋体"/>
          <w:kern w:val="0"/>
          <w:sz w:val="24"/>
          <w:szCs w:val="24"/>
        </w:rPr>
        <w:t>, Patapoff TW, Overcashier D, Hsu C, Nguyen TH, Borchardt RT. Effects of reducing sugars on the chemical stability of human relaxin in the lyophilized state. </w:t>
      </w:r>
      <w:r w:rsidRPr="005936B2">
        <w:rPr>
          <w:rFonts w:ascii="Book Antiqua" w:eastAsia="宋体" w:hAnsi="Book Antiqua" w:cs="宋体"/>
          <w:i/>
          <w:iCs/>
          <w:kern w:val="0"/>
          <w:sz w:val="24"/>
          <w:szCs w:val="24"/>
        </w:rPr>
        <w:t>J Pharm Sci</w:t>
      </w:r>
      <w:r w:rsidRPr="005936B2">
        <w:rPr>
          <w:rFonts w:ascii="Book Antiqua" w:eastAsia="宋体" w:hAnsi="Book Antiqua" w:cs="宋体"/>
          <w:kern w:val="0"/>
          <w:sz w:val="24"/>
          <w:szCs w:val="24"/>
        </w:rPr>
        <w:t> 1996; </w:t>
      </w:r>
      <w:r w:rsidRPr="005936B2">
        <w:rPr>
          <w:rFonts w:ascii="Book Antiqua" w:eastAsia="宋体" w:hAnsi="Book Antiqua" w:cs="宋体"/>
          <w:b/>
          <w:bCs/>
          <w:kern w:val="0"/>
          <w:sz w:val="24"/>
          <w:szCs w:val="24"/>
        </w:rPr>
        <w:t>85</w:t>
      </w:r>
      <w:r w:rsidRPr="005936B2">
        <w:rPr>
          <w:rFonts w:ascii="Book Antiqua" w:eastAsia="宋体" w:hAnsi="Book Antiqua" w:cs="宋体"/>
          <w:kern w:val="0"/>
          <w:sz w:val="24"/>
          <w:szCs w:val="24"/>
        </w:rPr>
        <w:t>: 873-877 [PMID: 8863280 DOI: 10.1021/js950456s]</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71 </w:t>
      </w:r>
      <w:r w:rsidRPr="005936B2">
        <w:rPr>
          <w:rFonts w:ascii="Book Antiqua" w:eastAsia="宋体" w:hAnsi="Book Antiqua" w:cs="宋体"/>
          <w:b/>
          <w:bCs/>
          <w:kern w:val="0"/>
          <w:sz w:val="24"/>
          <w:szCs w:val="24"/>
        </w:rPr>
        <w:t>Njoroge FG</w:t>
      </w:r>
      <w:r w:rsidRPr="005936B2">
        <w:rPr>
          <w:rFonts w:ascii="Book Antiqua" w:eastAsia="宋体" w:hAnsi="Book Antiqua" w:cs="宋体"/>
          <w:kern w:val="0"/>
          <w:sz w:val="24"/>
          <w:szCs w:val="24"/>
        </w:rPr>
        <w:t xml:space="preserve">, Fernandes AA, Monnier VM. Mechanism of formation of the putative advanced glycosylation end product and protein cross-link </w:t>
      </w:r>
      <w:r w:rsidRPr="005936B2">
        <w:rPr>
          <w:rFonts w:ascii="Book Antiqua" w:eastAsia="宋体" w:hAnsi="Book Antiqua" w:cs="宋体"/>
          <w:kern w:val="0"/>
          <w:sz w:val="24"/>
          <w:szCs w:val="24"/>
        </w:rPr>
        <w:lastRenderedPageBreak/>
        <w:t>2-(2-furoyl)-4(5)-(2-furanyl)-1H-imidazole.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1988; </w:t>
      </w:r>
      <w:r w:rsidRPr="005936B2">
        <w:rPr>
          <w:rFonts w:ascii="Book Antiqua" w:eastAsia="宋体" w:hAnsi="Book Antiqua" w:cs="宋体"/>
          <w:b/>
          <w:bCs/>
          <w:kern w:val="0"/>
          <w:sz w:val="24"/>
          <w:szCs w:val="24"/>
        </w:rPr>
        <w:t>263</w:t>
      </w:r>
      <w:r w:rsidRPr="005936B2">
        <w:rPr>
          <w:rFonts w:ascii="Book Antiqua" w:eastAsia="宋体" w:hAnsi="Book Antiqua" w:cs="宋体"/>
          <w:kern w:val="0"/>
          <w:sz w:val="24"/>
          <w:szCs w:val="24"/>
        </w:rPr>
        <w:t>: 10646-10652 [PMID: 3392032]</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72 </w:t>
      </w:r>
      <w:r w:rsidRPr="005936B2">
        <w:rPr>
          <w:rFonts w:ascii="Book Antiqua" w:eastAsia="宋体" w:hAnsi="Book Antiqua" w:cs="宋体"/>
          <w:b/>
          <w:bCs/>
          <w:kern w:val="0"/>
          <w:sz w:val="24"/>
          <w:szCs w:val="24"/>
        </w:rPr>
        <w:t>Miyata T</w:t>
      </w:r>
      <w:r w:rsidRPr="005936B2">
        <w:rPr>
          <w:rFonts w:ascii="Book Antiqua" w:eastAsia="宋体" w:hAnsi="Book Antiqua" w:cs="宋体"/>
          <w:kern w:val="0"/>
          <w:sz w:val="24"/>
          <w:szCs w:val="24"/>
        </w:rPr>
        <w:t>, Taneda S, Kawai R, Ueda Y, Horiuchi S, Hara M, Maeda K, Monnier VM. Identification of pentosidine as a native structure for advanced glycation end products in beta-2-microglobulin-containing amyloid fibrils in patients with dialysis-related amyloidosis. </w:t>
      </w:r>
      <w:r w:rsidRPr="005936B2">
        <w:rPr>
          <w:rFonts w:ascii="Book Antiqua" w:eastAsia="宋体" w:hAnsi="Book Antiqua" w:cs="宋体"/>
          <w:i/>
          <w:iCs/>
          <w:kern w:val="0"/>
          <w:sz w:val="24"/>
          <w:szCs w:val="24"/>
        </w:rPr>
        <w:t>Proc Natl Acad Sci U S A</w:t>
      </w:r>
      <w:r w:rsidRPr="005936B2">
        <w:rPr>
          <w:rFonts w:ascii="Book Antiqua" w:eastAsia="宋体" w:hAnsi="Book Antiqua" w:cs="宋体"/>
          <w:kern w:val="0"/>
          <w:sz w:val="24"/>
          <w:szCs w:val="24"/>
        </w:rPr>
        <w:t> 1996; </w:t>
      </w:r>
      <w:r w:rsidRPr="005936B2">
        <w:rPr>
          <w:rFonts w:ascii="Book Antiqua" w:eastAsia="宋体" w:hAnsi="Book Antiqua" w:cs="宋体"/>
          <w:b/>
          <w:bCs/>
          <w:kern w:val="0"/>
          <w:sz w:val="24"/>
          <w:szCs w:val="24"/>
        </w:rPr>
        <w:t>93</w:t>
      </w:r>
      <w:r w:rsidRPr="005936B2">
        <w:rPr>
          <w:rFonts w:ascii="Book Antiqua" w:eastAsia="宋体" w:hAnsi="Book Antiqua" w:cs="宋体"/>
          <w:kern w:val="0"/>
          <w:sz w:val="24"/>
          <w:szCs w:val="24"/>
        </w:rPr>
        <w:t>: 2353-2358 [PMID: 8637877 DOI: 10.1073/pnas.93.6.2353]</w:t>
      </w:r>
    </w:p>
    <w:p w:rsidR="007A0C7D" w:rsidRPr="005936B2" w:rsidRDefault="007A0C7D" w:rsidP="007A0C7D">
      <w:pPr>
        <w:widowControl/>
        <w:spacing w:line="360" w:lineRule="auto"/>
        <w:rPr>
          <w:rFonts w:ascii="Book Antiqua" w:eastAsia="宋体" w:hAnsi="Book Antiqua" w:cs="宋体"/>
          <w:kern w:val="0"/>
          <w:sz w:val="24"/>
          <w:szCs w:val="24"/>
          <w:lang w:val="de-AT"/>
        </w:rPr>
      </w:pPr>
      <w:r w:rsidRPr="005936B2">
        <w:rPr>
          <w:rFonts w:ascii="Book Antiqua" w:eastAsia="宋体" w:hAnsi="Book Antiqua" w:cs="宋体"/>
          <w:kern w:val="0"/>
          <w:sz w:val="24"/>
          <w:szCs w:val="24"/>
        </w:rPr>
        <w:t>73 </w:t>
      </w:r>
      <w:r w:rsidRPr="005936B2">
        <w:rPr>
          <w:rFonts w:ascii="Book Antiqua" w:eastAsia="宋体" w:hAnsi="Book Antiqua" w:cs="宋体"/>
          <w:b/>
          <w:bCs/>
          <w:kern w:val="0"/>
          <w:sz w:val="24"/>
          <w:szCs w:val="24"/>
        </w:rPr>
        <w:t>Mironova R</w:t>
      </w:r>
      <w:r w:rsidRPr="005936B2">
        <w:rPr>
          <w:rFonts w:ascii="Book Antiqua" w:eastAsia="宋体" w:hAnsi="Book Antiqua" w:cs="宋体"/>
          <w:kern w:val="0"/>
          <w:sz w:val="24"/>
          <w:szCs w:val="24"/>
        </w:rPr>
        <w:t>, Niwa T, Dimitrova R, Boyanova M, Ivanov I. Glycation and post-translational processing of human interferon-gamma expressed in Escherichia coli. </w:t>
      </w:r>
      <w:r w:rsidRPr="005936B2">
        <w:rPr>
          <w:rFonts w:ascii="Book Antiqua" w:eastAsia="宋体" w:hAnsi="Book Antiqua" w:cs="宋体"/>
          <w:i/>
          <w:iCs/>
          <w:kern w:val="0"/>
          <w:sz w:val="24"/>
          <w:szCs w:val="24"/>
          <w:lang w:val="de-AT"/>
        </w:rPr>
        <w:t>J Biol Chem</w:t>
      </w:r>
      <w:r w:rsidRPr="005936B2">
        <w:rPr>
          <w:rFonts w:ascii="Book Antiqua" w:eastAsia="宋体" w:hAnsi="Book Antiqua" w:cs="宋体"/>
          <w:kern w:val="0"/>
          <w:sz w:val="24"/>
          <w:szCs w:val="24"/>
          <w:lang w:val="de-AT"/>
        </w:rPr>
        <w:t> 2003; </w:t>
      </w:r>
      <w:r w:rsidRPr="005936B2">
        <w:rPr>
          <w:rFonts w:ascii="Book Antiqua" w:eastAsia="宋体" w:hAnsi="Book Antiqua" w:cs="宋体"/>
          <w:b/>
          <w:bCs/>
          <w:kern w:val="0"/>
          <w:sz w:val="24"/>
          <w:szCs w:val="24"/>
          <w:lang w:val="de-AT"/>
        </w:rPr>
        <w:t>278</w:t>
      </w:r>
      <w:r w:rsidRPr="005936B2">
        <w:rPr>
          <w:rFonts w:ascii="Book Antiqua" w:eastAsia="宋体" w:hAnsi="Book Antiqua" w:cs="宋体"/>
          <w:kern w:val="0"/>
          <w:sz w:val="24"/>
          <w:szCs w:val="24"/>
          <w:lang w:val="de-AT"/>
        </w:rPr>
        <w:t>: 51068-51074 [PMID: 14525998 DOI: 10.1074/jbc.M307470200]</w:t>
      </w:r>
    </w:p>
    <w:p w:rsidR="007A0C7D" w:rsidRPr="005936B2" w:rsidRDefault="007A0C7D" w:rsidP="007A0C7D">
      <w:pPr>
        <w:widowControl/>
        <w:spacing w:line="360" w:lineRule="auto"/>
        <w:rPr>
          <w:rFonts w:ascii="Book Antiqua" w:eastAsia="宋体" w:hAnsi="Book Antiqua" w:cs="宋体"/>
          <w:kern w:val="0"/>
          <w:sz w:val="24"/>
          <w:szCs w:val="24"/>
          <w:lang w:val="de-AT"/>
        </w:rPr>
      </w:pPr>
      <w:r w:rsidRPr="005936B2">
        <w:rPr>
          <w:rFonts w:ascii="Book Antiqua" w:eastAsia="宋体" w:hAnsi="Book Antiqua" w:cs="宋体"/>
          <w:kern w:val="0"/>
          <w:sz w:val="24"/>
          <w:szCs w:val="24"/>
          <w:lang w:val="de-AT"/>
        </w:rPr>
        <w:t xml:space="preserve">74 </w:t>
      </w:r>
      <w:r w:rsidRPr="005936B2">
        <w:rPr>
          <w:rFonts w:ascii="Book Antiqua" w:eastAsia="宋体" w:hAnsi="Book Antiqua" w:cs="宋体"/>
          <w:b/>
          <w:kern w:val="0"/>
          <w:sz w:val="24"/>
          <w:szCs w:val="24"/>
          <w:lang w:val="de-AT"/>
        </w:rPr>
        <w:t>Wells-Knecht KJ,</w:t>
      </w:r>
      <w:r w:rsidRPr="005936B2">
        <w:rPr>
          <w:rFonts w:ascii="Book Antiqua" w:eastAsia="宋体" w:hAnsi="Book Antiqua" w:cs="宋体"/>
          <w:kern w:val="0"/>
          <w:sz w:val="24"/>
          <w:szCs w:val="24"/>
          <w:lang w:val="de-AT"/>
        </w:rPr>
        <w:t xml:space="preserve"> Brinkmann E, Baynes JW. </w:t>
      </w:r>
      <w:r w:rsidRPr="005936B2">
        <w:rPr>
          <w:rFonts w:ascii="Book Antiqua" w:eastAsia="宋体" w:hAnsi="Book Antiqua" w:cs="宋体"/>
          <w:kern w:val="0"/>
          <w:sz w:val="24"/>
          <w:szCs w:val="24"/>
        </w:rPr>
        <w:t>Characterization of an imidazolium salt formed from glyoxal and N</w:t>
      </w:r>
      <w:r w:rsidRPr="005936B2">
        <w:rPr>
          <w:rFonts w:ascii="Book Antiqua" w:eastAsia="宋体" w:hAnsi="Book Antiqua" w:cs="宋体"/>
          <w:kern w:val="0"/>
          <w:sz w:val="24"/>
          <w:szCs w:val="24"/>
        </w:rPr>
        <w:sym w:font="Symbol" w:char="F061"/>
      </w:r>
      <w:r w:rsidRPr="005936B2">
        <w:rPr>
          <w:rFonts w:ascii="Book Antiqua" w:eastAsia="宋体" w:hAnsi="Book Antiqua" w:cs="宋体"/>
          <w:kern w:val="0"/>
          <w:sz w:val="24"/>
          <w:szCs w:val="24"/>
        </w:rPr>
        <w:t>-Hypuryllysine: a model for Maillard reaction crosslinks in proteins.</w:t>
      </w:r>
      <w:r w:rsidRPr="005936B2">
        <w:rPr>
          <w:rFonts w:ascii="Book Antiqua" w:eastAsia="宋体" w:hAnsi="Book Antiqua" w:cs="宋体"/>
          <w:i/>
          <w:kern w:val="0"/>
          <w:sz w:val="24"/>
          <w:szCs w:val="24"/>
        </w:rPr>
        <w:t xml:space="preserve"> </w:t>
      </w:r>
      <w:r w:rsidRPr="005936B2">
        <w:rPr>
          <w:rFonts w:ascii="Book Antiqua" w:eastAsia="宋体" w:hAnsi="Book Antiqua" w:cs="宋体"/>
          <w:i/>
          <w:kern w:val="0"/>
          <w:sz w:val="24"/>
          <w:szCs w:val="24"/>
          <w:lang w:val="de-AT"/>
        </w:rPr>
        <w:t>J Org Chem</w:t>
      </w:r>
      <w:r w:rsidRPr="005936B2">
        <w:rPr>
          <w:rFonts w:ascii="Book Antiqua" w:eastAsia="宋体" w:hAnsi="Book Antiqua" w:cs="宋体"/>
          <w:kern w:val="0"/>
          <w:sz w:val="24"/>
          <w:szCs w:val="24"/>
          <w:lang w:val="de-AT"/>
        </w:rPr>
        <w:t xml:space="preserve"> 1995; </w:t>
      </w:r>
      <w:r w:rsidRPr="005936B2">
        <w:rPr>
          <w:rFonts w:ascii="Book Antiqua" w:eastAsia="宋体" w:hAnsi="Book Antiqua" w:cs="宋体"/>
          <w:b/>
          <w:kern w:val="0"/>
          <w:sz w:val="24"/>
          <w:szCs w:val="24"/>
          <w:lang w:val="de-AT"/>
        </w:rPr>
        <w:t>60</w:t>
      </w:r>
      <w:r w:rsidRPr="005936B2">
        <w:rPr>
          <w:rFonts w:ascii="Book Antiqua" w:eastAsia="宋体" w:hAnsi="Book Antiqua" w:cs="宋体"/>
          <w:kern w:val="0"/>
          <w:sz w:val="24"/>
          <w:szCs w:val="24"/>
          <w:lang w:val="de-AT"/>
        </w:rPr>
        <w:t>: 6246–6247 [DOI: 10.1021/jo00125a001]</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lang w:val="de-AT"/>
        </w:rPr>
        <w:t xml:space="preserve">75 </w:t>
      </w:r>
      <w:r w:rsidRPr="005936B2">
        <w:rPr>
          <w:rFonts w:ascii="Book Antiqua" w:eastAsia="宋体" w:hAnsi="Book Antiqua" w:cs="宋体"/>
          <w:b/>
          <w:kern w:val="0"/>
          <w:sz w:val="24"/>
          <w:szCs w:val="24"/>
          <w:lang w:val="de-AT"/>
        </w:rPr>
        <w:t>Brinkmann E,</w:t>
      </w:r>
      <w:r w:rsidRPr="005936B2">
        <w:rPr>
          <w:rFonts w:ascii="Book Antiqua" w:eastAsia="宋体" w:hAnsi="Book Antiqua" w:cs="宋体"/>
          <w:kern w:val="0"/>
          <w:sz w:val="24"/>
          <w:szCs w:val="24"/>
          <w:lang w:val="de-AT"/>
        </w:rPr>
        <w:t xml:space="preserve"> Wells-Knecht KJ, Thorpe SR, Baynes JW. </w:t>
      </w:r>
      <w:r w:rsidRPr="005936B2">
        <w:rPr>
          <w:rFonts w:ascii="Book Antiqua" w:eastAsia="宋体" w:hAnsi="Book Antiqua" w:cs="宋体"/>
          <w:kern w:val="0"/>
          <w:sz w:val="24"/>
          <w:szCs w:val="24"/>
        </w:rPr>
        <w:t>Characterization of an imidazolium compound formed by reaction of methylglyoxal and N</w:t>
      </w:r>
      <w:r w:rsidRPr="005936B2">
        <w:rPr>
          <w:rFonts w:ascii="Book Antiqua" w:eastAsia="宋体" w:hAnsi="Book Antiqua" w:cs="宋体"/>
          <w:kern w:val="0"/>
          <w:sz w:val="24"/>
          <w:szCs w:val="24"/>
        </w:rPr>
        <w:sym w:font="Symbol" w:char="F061"/>
      </w:r>
      <w:r w:rsidRPr="005936B2">
        <w:rPr>
          <w:rFonts w:ascii="Book Antiqua" w:eastAsia="宋体" w:hAnsi="Book Antiqua" w:cs="宋体"/>
          <w:kern w:val="0"/>
          <w:sz w:val="24"/>
          <w:szCs w:val="24"/>
        </w:rPr>
        <w:t xml:space="preserve">-hyppuryllysine. </w:t>
      </w:r>
      <w:r w:rsidRPr="005936B2">
        <w:rPr>
          <w:rFonts w:ascii="Book Antiqua" w:eastAsia="宋体" w:hAnsi="Book Antiqua" w:cs="宋体"/>
          <w:i/>
          <w:kern w:val="0"/>
          <w:sz w:val="24"/>
          <w:szCs w:val="24"/>
        </w:rPr>
        <w:t xml:space="preserve">J Chem Soc Perkin Trans </w:t>
      </w:r>
      <w:r w:rsidRPr="005936B2">
        <w:rPr>
          <w:rFonts w:ascii="Book Antiqua" w:eastAsia="宋体" w:hAnsi="Book Antiqua" w:cs="宋体"/>
          <w:kern w:val="0"/>
          <w:sz w:val="24"/>
          <w:szCs w:val="24"/>
        </w:rPr>
        <w:t xml:space="preserve">1995; </w:t>
      </w:r>
      <w:r w:rsidRPr="005936B2">
        <w:rPr>
          <w:rFonts w:ascii="Book Antiqua" w:eastAsia="宋体" w:hAnsi="Book Antiqua" w:cs="宋体"/>
          <w:b/>
          <w:kern w:val="0"/>
          <w:sz w:val="24"/>
          <w:szCs w:val="24"/>
        </w:rPr>
        <w:t>1</w:t>
      </w:r>
      <w:r w:rsidRPr="005936B2">
        <w:rPr>
          <w:rFonts w:ascii="Book Antiqua" w:eastAsia="宋体" w:hAnsi="Book Antiqua" w:cs="宋体"/>
          <w:kern w:val="0"/>
          <w:sz w:val="24"/>
          <w:szCs w:val="24"/>
        </w:rPr>
        <w:t>: 2817–2818 [DOI: 10.1039/P19950002817]</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76 </w:t>
      </w:r>
      <w:r w:rsidRPr="005936B2">
        <w:rPr>
          <w:rFonts w:ascii="Book Antiqua" w:eastAsia="宋体" w:hAnsi="Book Antiqua" w:cs="宋体"/>
          <w:b/>
          <w:bCs/>
          <w:kern w:val="0"/>
          <w:sz w:val="24"/>
          <w:szCs w:val="24"/>
        </w:rPr>
        <w:t>Skovsted IC</w:t>
      </w:r>
      <w:r w:rsidRPr="005936B2">
        <w:rPr>
          <w:rFonts w:ascii="Book Antiqua" w:eastAsia="宋体" w:hAnsi="Book Antiqua" w:cs="宋体"/>
          <w:kern w:val="0"/>
          <w:sz w:val="24"/>
          <w:szCs w:val="24"/>
        </w:rPr>
        <w:t>, Christensen M, Breinholt J, Mortensen SB. Characterisation of a novel AGE-compound derived from lysine and 3-deoxyglucosone. </w:t>
      </w:r>
      <w:r w:rsidRPr="005936B2">
        <w:rPr>
          <w:rFonts w:ascii="Book Antiqua" w:eastAsia="宋体" w:hAnsi="Book Antiqua" w:cs="宋体"/>
          <w:i/>
          <w:iCs/>
          <w:kern w:val="0"/>
          <w:sz w:val="24"/>
          <w:szCs w:val="24"/>
        </w:rPr>
        <w:t xml:space="preserve">Cell Mol Biol </w:t>
      </w:r>
      <w:r w:rsidRPr="005936B2">
        <w:rPr>
          <w:rFonts w:ascii="Book Antiqua" w:eastAsia="宋体" w:hAnsi="Book Antiqua" w:cs="宋体"/>
          <w:iCs/>
          <w:kern w:val="0"/>
          <w:sz w:val="24"/>
          <w:szCs w:val="24"/>
        </w:rPr>
        <w:t>(Noisy-le-grand)</w:t>
      </w:r>
      <w:r w:rsidRPr="005936B2">
        <w:rPr>
          <w:rFonts w:ascii="Book Antiqua" w:eastAsia="宋体" w:hAnsi="Book Antiqua" w:cs="宋体"/>
          <w:kern w:val="0"/>
          <w:sz w:val="24"/>
          <w:szCs w:val="24"/>
        </w:rPr>
        <w:t> 1998; </w:t>
      </w:r>
      <w:r w:rsidRPr="005936B2">
        <w:rPr>
          <w:rFonts w:ascii="Book Antiqua" w:eastAsia="宋体" w:hAnsi="Book Antiqua" w:cs="宋体"/>
          <w:b/>
          <w:bCs/>
          <w:kern w:val="0"/>
          <w:sz w:val="24"/>
          <w:szCs w:val="24"/>
        </w:rPr>
        <w:t>44</w:t>
      </w:r>
      <w:r w:rsidRPr="005936B2">
        <w:rPr>
          <w:rFonts w:ascii="Book Antiqua" w:eastAsia="宋体" w:hAnsi="Book Antiqua" w:cs="宋体"/>
          <w:kern w:val="0"/>
          <w:sz w:val="24"/>
          <w:szCs w:val="24"/>
        </w:rPr>
        <w:t>: 1159-1163 [PMID: 9846898]</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77 </w:t>
      </w:r>
      <w:r w:rsidRPr="005936B2">
        <w:rPr>
          <w:rFonts w:ascii="Book Antiqua" w:eastAsia="宋体" w:hAnsi="Book Antiqua" w:cs="宋体"/>
          <w:b/>
          <w:bCs/>
          <w:kern w:val="0"/>
          <w:sz w:val="24"/>
          <w:szCs w:val="24"/>
        </w:rPr>
        <w:t>Glomb MA</w:t>
      </w:r>
      <w:r w:rsidRPr="005936B2">
        <w:rPr>
          <w:rFonts w:ascii="Book Antiqua" w:eastAsia="宋体" w:hAnsi="Book Antiqua" w:cs="宋体"/>
          <w:kern w:val="0"/>
          <w:sz w:val="24"/>
          <w:szCs w:val="24"/>
        </w:rPr>
        <w:t>, Pfahler C. Amides are novel protein modifications formed by physiological sugars.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2001; </w:t>
      </w:r>
      <w:r w:rsidRPr="005936B2">
        <w:rPr>
          <w:rFonts w:ascii="Book Antiqua" w:eastAsia="宋体" w:hAnsi="Book Antiqua" w:cs="宋体"/>
          <w:b/>
          <w:bCs/>
          <w:kern w:val="0"/>
          <w:sz w:val="24"/>
          <w:szCs w:val="24"/>
        </w:rPr>
        <w:t>276</w:t>
      </w:r>
      <w:r w:rsidRPr="005936B2">
        <w:rPr>
          <w:rFonts w:ascii="Book Antiqua" w:eastAsia="宋体" w:hAnsi="Book Antiqua" w:cs="宋体"/>
          <w:kern w:val="0"/>
          <w:sz w:val="24"/>
          <w:szCs w:val="24"/>
        </w:rPr>
        <w:t>: 41638-41647 [PMID: 11493602 DOI: 10.1074/jbc.M103557200]</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78 </w:t>
      </w:r>
      <w:r w:rsidRPr="005936B2">
        <w:rPr>
          <w:rFonts w:ascii="Book Antiqua" w:eastAsia="宋体" w:hAnsi="Book Antiqua" w:cs="宋体"/>
          <w:b/>
          <w:bCs/>
          <w:kern w:val="0"/>
          <w:sz w:val="24"/>
          <w:szCs w:val="24"/>
        </w:rPr>
        <w:t>Sell DR</w:t>
      </w:r>
      <w:r w:rsidRPr="005936B2">
        <w:rPr>
          <w:rFonts w:ascii="Book Antiqua" w:eastAsia="宋体" w:hAnsi="Book Antiqua" w:cs="宋体"/>
          <w:kern w:val="0"/>
          <w:sz w:val="24"/>
          <w:szCs w:val="24"/>
        </w:rPr>
        <w:t xml:space="preserve">, Monnier VM. </w:t>
      </w:r>
      <w:proofErr w:type="gramStart"/>
      <w:r w:rsidRPr="005936B2">
        <w:rPr>
          <w:rFonts w:ascii="Book Antiqua" w:eastAsia="宋体" w:hAnsi="Book Antiqua" w:cs="宋体"/>
          <w:kern w:val="0"/>
          <w:sz w:val="24"/>
          <w:szCs w:val="24"/>
        </w:rPr>
        <w:t>Isolation, purification and partial characterization of novel fluorophores from aging human insoluble collagen-rich tissue.</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Connect Tissue Res</w:t>
      </w:r>
      <w:r w:rsidRPr="005936B2">
        <w:rPr>
          <w:rFonts w:ascii="Book Antiqua" w:eastAsia="宋体" w:hAnsi="Book Antiqua" w:cs="宋体"/>
          <w:kern w:val="0"/>
          <w:sz w:val="24"/>
          <w:szCs w:val="24"/>
        </w:rPr>
        <w:t> 1989; </w:t>
      </w:r>
      <w:r w:rsidRPr="005936B2">
        <w:rPr>
          <w:rFonts w:ascii="Book Antiqua" w:eastAsia="宋体" w:hAnsi="Book Antiqua" w:cs="宋体"/>
          <w:b/>
          <w:bCs/>
          <w:kern w:val="0"/>
          <w:sz w:val="24"/>
          <w:szCs w:val="24"/>
        </w:rPr>
        <w:t>19</w:t>
      </w:r>
      <w:r w:rsidRPr="005936B2">
        <w:rPr>
          <w:rFonts w:ascii="Book Antiqua" w:eastAsia="宋体" w:hAnsi="Book Antiqua" w:cs="宋体"/>
          <w:kern w:val="0"/>
          <w:sz w:val="24"/>
          <w:szCs w:val="24"/>
        </w:rPr>
        <w:t>: 77-92 [PMID: 2791558 DOI: 10.3109/03008208909016816]</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79 </w:t>
      </w:r>
      <w:r w:rsidRPr="005936B2">
        <w:rPr>
          <w:rFonts w:ascii="Book Antiqua" w:eastAsia="宋体" w:hAnsi="Book Antiqua" w:cs="宋体"/>
          <w:b/>
          <w:bCs/>
          <w:kern w:val="0"/>
          <w:sz w:val="24"/>
          <w:szCs w:val="24"/>
        </w:rPr>
        <w:t>Nemet I</w:t>
      </w:r>
      <w:r w:rsidRPr="005936B2">
        <w:rPr>
          <w:rFonts w:ascii="Book Antiqua" w:eastAsia="宋体" w:hAnsi="Book Antiqua" w:cs="宋体"/>
          <w:kern w:val="0"/>
          <w:sz w:val="24"/>
          <w:szCs w:val="24"/>
        </w:rPr>
        <w:t>, Strauch CM, Monnier VM. Favored and disfavored pathways of protein crosslinking by glucose: glucose lysine dimer (GLUCOLD) and crossline versus glucosepane. </w:t>
      </w:r>
      <w:r w:rsidRPr="005936B2">
        <w:rPr>
          <w:rFonts w:ascii="Book Antiqua" w:eastAsia="宋体" w:hAnsi="Book Antiqua" w:cs="宋体"/>
          <w:i/>
          <w:iCs/>
          <w:kern w:val="0"/>
          <w:sz w:val="24"/>
          <w:szCs w:val="24"/>
        </w:rPr>
        <w:t>Amino Acids</w:t>
      </w:r>
      <w:r w:rsidRPr="005936B2">
        <w:rPr>
          <w:rFonts w:ascii="Book Antiqua" w:eastAsia="宋体" w:hAnsi="Book Antiqua" w:cs="宋体"/>
          <w:kern w:val="0"/>
          <w:sz w:val="24"/>
          <w:szCs w:val="24"/>
        </w:rPr>
        <w:t> 2011; </w:t>
      </w:r>
      <w:r w:rsidRPr="005936B2">
        <w:rPr>
          <w:rFonts w:ascii="Book Antiqua" w:eastAsia="宋体" w:hAnsi="Book Antiqua" w:cs="宋体"/>
          <w:b/>
          <w:bCs/>
          <w:kern w:val="0"/>
          <w:sz w:val="24"/>
          <w:szCs w:val="24"/>
        </w:rPr>
        <w:t>40</w:t>
      </w:r>
      <w:r w:rsidRPr="005936B2">
        <w:rPr>
          <w:rFonts w:ascii="Book Antiqua" w:eastAsia="宋体" w:hAnsi="Book Antiqua" w:cs="宋体"/>
          <w:kern w:val="0"/>
          <w:sz w:val="24"/>
          <w:szCs w:val="24"/>
        </w:rPr>
        <w:t>: 167-181 [PMID: 20607325 DOI: 10.1007/s00726-010-0631-2]</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lastRenderedPageBreak/>
        <w:t>80 </w:t>
      </w:r>
      <w:r w:rsidRPr="005936B2">
        <w:rPr>
          <w:rFonts w:ascii="Book Antiqua" w:eastAsia="宋体" w:hAnsi="Book Antiqua" w:cs="宋体"/>
          <w:b/>
          <w:bCs/>
          <w:kern w:val="0"/>
          <w:sz w:val="24"/>
          <w:szCs w:val="24"/>
        </w:rPr>
        <w:t>Obayashi H</w:t>
      </w:r>
      <w:r w:rsidRPr="005936B2">
        <w:rPr>
          <w:rFonts w:ascii="Book Antiqua" w:eastAsia="宋体" w:hAnsi="Book Antiqua" w:cs="宋体"/>
          <w:kern w:val="0"/>
          <w:sz w:val="24"/>
          <w:szCs w:val="24"/>
        </w:rPr>
        <w:t>, Nakano K, Shigeta H, Yamaguchi M, Yoshimori K, Fukui M, Fujii M, Kitagawa Y, Nakamura N, Nakamura K, Nakazawa Y, Ienaga K, Ohta M, Nishimura M, Fukui I, Kondo M. Formation of crossline as a fluorescent advanced glycation end product in vitro and in vivo. </w:t>
      </w:r>
      <w:r w:rsidRPr="005936B2">
        <w:rPr>
          <w:rFonts w:ascii="Book Antiqua" w:eastAsia="宋体" w:hAnsi="Book Antiqua" w:cs="宋体"/>
          <w:i/>
          <w:iCs/>
          <w:kern w:val="0"/>
          <w:sz w:val="24"/>
          <w:szCs w:val="24"/>
        </w:rPr>
        <w:t>Biochem Biophys Res Commun</w:t>
      </w:r>
      <w:r w:rsidRPr="005936B2">
        <w:rPr>
          <w:rFonts w:ascii="Book Antiqua" w:eastAsia="宋体" w:hAnsi="Book Antiqua" w:cs="宋体"/>
          <w:kern w:val="0"/>
          <w:sz w:val="24"/>
          <w:szCs w:val="24"/>
        </w:rPr>
        <w:t> 1996; </w:t>
      </w:r>
      <w:r w:rsidRPr="005936B2">
        <w:rPr>
          <w:rFonts w:ascii="Book Antiqua" w:eastAsia="宋体" w:hAnsi="Book Antiqua" w:cs="宋体"/>
          <w:b/>
          <w:bCs/>
          <w:kern w:val="0"/>
          <w:sz w:val="24"/>
          <w:szCs w:val="24"/>
        </w:rPr>
        <w:t>226</w:t>
      </w:r>
      <w:r w:rsidRPr="005936B2">
        <w:rPr>
          <w:rFonts w:ascii="Book Antiqua" w:eastAsia="宋体" w:hAnsi="Book Antiqua" w:cs="宋体"/>
          <w:kern w:val="0"/>
          <w:sz w:val="24"/>
          <w:szCs w:val="24"/>
        </w:rPr>
        <w:t>: 37-41 [PMID: 8806589 DOI: 10.1006/bbrc.1996.1308]</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81 </w:t>
      </w:r>
      <w:r w:rsidRPr="005936B2">
        <w:rPr>
          <w:rFonts w:ascii="Book Antiqua" w:eastAsia="宋体" w:hAnsi="Book Antiqua" w:cs="宋体"/>
          <w:b/>
          <w:bCs/>
          <w:kern w:val="0"/>
          <w:sz w:val="24"/>
          <w:szCs w:val="24"/>
        </w:rPr>
        <w:t>Yamaguchi M</w:t>
      </w:r>
      <w:r w:rsidRPr="005936B2">
        <w:rPr>
          <w:rFonts w:ascii="Book Antiqua" w:eastAsia="宋体" w:hAnsi="Book Antiqua" w:cs="宋体"/>
          <w:kern w:val="0"/>
          <w:sz w:val="24"/>
          <w:szCs w:val="24"/>
        </w:rPr>
        <w:t>, Nakamura N, Nakano K, Kitagawa Y, Shigeta H, Hasegawa G, Ienaga K, Nakamura K, Nakazawa Y, Fukui I, Obayashi H, Kondo M. Immunochemical quantification of crossline as a fluorescent advanced glycation endproduct in erythrocyte membrane proteins from diabetic patients with or without retinopathy. </w:t>
      </w:r>
      <w:r w:rsidRPr="005936B2">
        <w:rPr>
          <w:rFonts w:ascii="Book Antiqua" w:eastAsia="宋体" w:hAnsi="Book Antiqua" w:cs="宋体"/>
          <w:i/>
          <w:iCs/>
          <w:kern w:val="0"/>
          <w:sz w:val="24"/>
          <w:szCs w:val="24"/>
        </w:rPr>
        <w:t>Diabet Med</w:t>
      </w:r>
      <w:r w:rsidRPr="005936B2">
        <w:rPr>
          <w:rFonts w:ascii="Book Antiqua" w:eastAsia="宋体" w:hAnsi="Book Antiqua" w:cs="宋体"/>
          <w:kern w:val="0"/>
          <w:sz w:val="24"/>
          <w:szCs w:val="24"/>
        </w:rPr>
        <w:t> 1998; </w:t>
      </w:r>
      <w:r w:rsidRPr="005936B2">
        <w:rPr>
          <w:rFonts w:ascii="Book Antiqua" w:eastAsia="宋体" w:hAnsi="Book Antiqua" w:cs="宋体"/>
          <w:b/>
          <w:bCs/>
          <w:kern w:val="0"/>
          <w:sz w:val="24"/>
          <w:szCs w:val="24"/>
        </w:rPr>
        <w:t>15</w:t>
      </w:r>
      <w:r w:rsidRPr="005936B2">
        <w:rPr>
          <w:rFonts w:ascii="Book Antiqua" w:eastAsia="宋体" w:hAnsi="Book Antiqua" w:cs="宋体"/>
          <w:kern w:val="0"/>
          <w:sz w:val="24"/>
          <w:szCs w:val="24"/>
        </w:rPr>
        <w:t>: 458-462 [PMID: 9632118 DOI: 10.1002/(</w:t>
      </w:r>
      <w:proofErr w:type="gramStart"/>
      <w:r w:rsidRPr="005936B2">
        <w:rPr>
          <w:rFonts w:ascii="Book Antiqua" w:eastAsia="宋体" w:hAnsi="Book Antiqua" w:cs="宋体"/>
          <w:kern w:val="0"/>
          <w:sz w:val="24"/>
          <w:szCs w:val="24"/>
        </w:rPr>
        <w:t>SICI)1096</w:t>
      </w:r>
      <w:proofErr w:type="gramEnd"/>
      <w:r w:rsidRPr="005936B2">
        <w:rPr>
          <w:rFonts w:ascii="Book Antiqua" w:eastAsia="宋体" w:hAnsi="Book Antiqua" w:cs="宋体"/>
          <w:kern w:val="0"/>
          <w:sz w:val="24"/>
          <w:szCs w:val="24"/>
        </w:rPr>
        <w:t>-9136(199806)15]</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82 </w:t>
      </w:r>
      <w:r w:rsidRPr="005936B2">
        <w:rPr>
          <w:rFonts w:ascii="Book Antiqua" w:eastAsia="宋体" w:hAnsi="Book Antiqua" w:cs="宋体"/>
          <w:b/>
          <w:bCs/>
          <w:kern w:val="0"/>
          <w:sz w:val="24"/>
          <w:szCs w:val="24"/>
        </w:rPr>
        <w:t>Nakamura K</w:t>
      </w:r>
      <w:r w:rsidRPr="005936B2">
        <w:rPr>
          <w:rFonts w:ascii="Book Antiqua" w:eastAsia="宋体" w:hAnsi="Book Antiqua" w:cs="宋体"/>
          <w:kern w:val="0"/>
          <w:sz w:val="24"/>
          <w:szCs w:val="24"/>
        </w:rPr>
        <w:t>, Nakazawa Y, Ienaga K. Acid-stable fluorescent advanced glycation end products: vesperlysines A, B, and C are formed as crosslinked products in the Maillard reaction between lysine or proteins with glucose. </w:t>
      </w:r>
      <w:r w:rsidRPr="005936B2">
        <w:rPr>
          <w:rFonts w:ascii="Book Antiqua" w:eastAsia="宋体" w:hAnsi="Book Antiqua" w:cs="宋体"/>
          <w:i/>
          <w:iCs/>
          <w:kern w:val="0"/>
          <w:sz w:val="24"/>
          <w:szCs w:val="24"/>
        </w:rPr>
        <w:t>Biochem Biophys Res Commun</w:t>
      </w:r>
      <w:r w:rsidRPr="005936B2">
        <w:rPr>
          <w:rFonts w:ascii="Book Antiqua" w:eastAsia="宋体" w:hAnsi="Book Antiqua" w:cs="宋体"/>
          <w:kern w:val="0"/>
          <w:sz w:val="24"/>
          <w:szCs w:val="24"/>
        </w:rPr>
        <w:t> 1997; </w:t>
      </w:r>
      <w:r w:rsidRPr="005936B2">
        <w:rPr>
          <w:rFonts w:ascii="Book Antiqua" w:eastAsia="宋体" w:hAnsi="Book Antiqua" w:cs="宋体"/>
          <w:b/>
          <w:bCs/>
          <w:kern w:val="0"/>
          <w:sz w:val="24"/>
          <w:szCs w:val="24"/>
        </w:rPr>
        <w:t>232</w:t>
      </w:r>
      <w:r w:rsidRPr="005936B2">
        <w:rPr>
          <w:rFonts w:ascii="Book Antiqua" w:eastAsia="宋体" w:hAnsi="Book Antiqua" w:cs="宋体"/>
          <w:kern w:val="0"/>
          <w:sz w:val="24"/>
          <w:szCs w:val="24"/>
        </w:rPr>
        <w:t>: 227-230 [PMID: 9125137 DOI: 10.1006/bbrc.1997.6262]</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83 </w:t>
      </w:r>
      <w:r w:rsidRPr="005936B2">
        <w:rPr>
          <w:rFonts w:ascii="Book Antiqua" w:eastAsia="宋体" w:hAnsi="Book Antiqua" w:cs="宋体"/>
          <w:b/>
          <w:bCs/>
          <w:kern w:val="0"/>
          <w:sz w:val="24"/>
          <w:szCs w:val="24"/>
        </w:rPr>
        <w:t>Lederer MO</w:t>
      </w:r>
      <w:r w:rsidRPr="005936B2">
        <w:rPr>
          <w:rFonts w:ascii="Book Antiqua" w:eastAsia="宋体" w:hAnsi="Book Antiqua" w:cs="宋体"/>
          <w:kern w:val="0"/>
          <w:sz w:val="24"/>
          <w:szCs w:val="24"/>
        </w:rPr>
        <w:t>, Klaiber RG. Cross-linking of proteins by Maillard processes: characterization and detection of lysine-arginine cross-links derived from glyoxal and methylglyoxal. </w:t>
      </w:r>
      <w:r w:rsidRPr="005936B2">
        <w:rPr>
          <w:rFonts w:ascii="Book Antiqua" w:eastAsia="宋体" w:hAnsi="Book Antiqua" w:cs="宋体"/>
          <w:i/>
          <w:iCs/>
          <w:kern w:val="0"/>
          <w:sz w:val="24"/>
          <w:szCs w:val="24"/>
        </w:rPr>
        <w:t>Bioorg Med Chem</w:t>
      </w:r>
      <w:r w:rsidRPr="005936B2">
        <w:rPr>
          <w:rFonts w:ascii="Book Antiqua" w:eastAsia="宋体" w:hAnsi="Book Antiqua" w:cs="宋体"/>
          <w:kern w:val="0"/>
          <w:sz w:val="24"/>
          <w:szCs w:val="24"/>
        </w:rPr>
        <w:t> 1999; </w:t>
      </w:r>
      <w:r w:rsidRPr="005936B2">
        <w:rPr>
          <w:rFonts w:ascii="Book Antiqua" w:eastAsia="宋体" w:hAnsi="Book Antiqua" w:cs="宋体"/>
          <w:b/>
          <w:bCs/>
          <w:kern w:val="0"/>
          <w:sz w:val="24"/>
          <w:szCs w:val="24"/>
        </w:rPr>
        <w:t>7</w:t>
      </w:r>
      <w:r w:rsidRPr="005936B2">
        <w:rPr>
          <w:rFonts w:ascii="Book Antiqua" w:eastAsia="宋体" w:hAnsi="Book Antiqua" w:cs="宋体"/>
          <w:kern w:val="0"/>
          <w:sz w:val="24"/>
          <w:szCs w:val="24"/>
        </w:rPr>
        <w:t>: 2499-2507 [PMID: 10632059 DOI: 10.1016/S0968-0896(99)00212-6]</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84 </w:t>
      </w:r>
      <w:r w:rsidRPr="005936B2">
        <w:rPr>
          <w:rFonts w:ascii="Book Antiqua" w:eastAsia="宋体" w:hAnsi="Book Antiqua" w:cs="宋体"/>
          <w:b/>
          <w:bCs/>
          <w:kern w:val="0"/>
          <w:sz w:val="24"/>
          <w:szCs w:val="24"/>
        </w:rPr>
        <w:t>Biemel KM</w:t>
      </w:r>
      <w:r w:rsidRPr="005936B2">
        <w:rPr>
          <w:rFonts w:ascii="Book Antiqua" w:eastAsia="宋体" w:hAnsi="Book Antiqua" w:cs="宋体"/>
          <w:kern w:val="0"/>
          <w:sz w:val="24"/>
          <w:szCs w:val="24"/>
        </w:rPr>
        <w:t>, Reihl O, Conrad J, Lederer MO. Formation pathways for lysine-arginine cross-links derived from hexoses and pentoses by Maillard processes: unraveling the structure of a pentosidine precursor.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2001; </w:t>
      </w:r>
      <w:r w:rsidRPr="005936B2">
        <w:rPr>
          <w:rFonts w:ascii="Book Antiqua" w:eastAsia="宋体" w:hAnsi="Book Antiqua" w:cs="宋体"/>
          <w:b/>
          <w:bCs/>
          <w:kern w:val="0"/>
          <w:sz w:val="24"/>
          <w:szCs w:val="24"/>
        </w:rPr>
        <w:t>276</w:t>
      </w:r>
      <w:r w:rsidRPr="005936B2">
        <w:rPr>
          <w:rFonts w:ascii="Book Antiqua" w:eastAsia="宋体" w:hAnsi="Book Antiqua" w:cs="宋体"/>
          <w:kern w:val="0"/>
          <w:sz w:val="24"/>
          <w:szCs w:val="24"/>
        </w:rPr>
        <w:t>: 23405-23412 [PMID: 11279247]</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 xml:space="preserve">85 </w:t>
      </w:r>
      <w:r w:rsidRPr="005936B2">
        <w:rPr>
          <w:rFonts w:ascii="Book Antiqua" w:eastAsia="宋体" w:hAnsi="Book Antiqua" w:cs="宋体"/>
          <w:b/>
          <w:kern w:val="0"/>
          <w:sz w:val="24"/>
          <w:szCs w:val="24"/>
        </w:rPr>
        <w:t>Tressel R,</w:t>
      </w:r>
      <w:r w:rsidRPr="005936B2">
        <w:rPr>
          <w:rFonts w:ascii="Book Antiqua" w:eastAsia="宋体" w:hAnsi="Book Antiqua" w:cs="宋体"/>
          <w:kern w:val="0"/>
          <w:sz w:val="24"/>
          <w:szCs w:val="24"/>
        </w:rPr>
        <w:t xml:space="preserve"> Wondrak G, Kersten E, Rewicki D. Structure and potential crosslinking reactivity of a new pentose-specific Maillard product.</w:t>
      </w:r>
      <w:r w:rsidRPr="005936B2">
        <w:rPr>
          <w:rFonts w:ascii="Book Antiqua" w:eastAsia="宋体" w:hAnsi="Book Antiqua" w:cs="宋体"/>
          <w:i/>
          <w:kern w:val="0"/>
          <w:sz w:val="24"/>
          <w:szCs w:val="24"/>
        </w:rPr>
        <w:t xml:space="preserve"> J Agric Food Chem </w:t>
      </w:r>
      <w:r w:rsidRPr="005936B2">
        <w:rPr>
          <w:rFonts w:ascii="Book Antiqua" w:eastAsia="宋体" w:hAnsi="Book Antiqua" w:cs="宋体"/>
          <w:kern w:val="0"/>
          <w:sz w:val="24"/>
          <w:szCs w:val="24"/>
        </w:rPr>
        <w:t xml:space="preserve">1994; </w:t>
      </w:r>
      <w:r w:rsidRPr="005936B2">
        <w:rPr>
          <w:rFonts w:ascii="Book Antiqua" w:eastAsia="宋体" w:hAnsi="Book Antiqua" w:cs="宋体"/>
          <w:b/>
          <w:kern w:val="0"/>
          <w:sz w:val="24"/>
          <w:szCs w:val="24"/>
        </w:rPr>
        <w:t>42</w:t>
      </w:r>
      <w:r w:rsidRPr="005936B2">
        <w:rPr>
          <w:rFonts w:ascii="Book Antiqua" w:eastAsia="宋体" w:hAnsi="Book Antiqua" w:cs="宋体"/>
          <w:kern w:val="0"/>
          <w:sz w:val="24"/>
          <w:szCs w:val="24"/>
        </w:rPr>
        <w:t>: 2692-2697 [DOI: 10.1021/jf00048a009]</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 xml:space="preserve">86 </w:t>
      </w:r>
      <w:r w:rsidRPr="005936B2">
        <w:rPr>
          <w:rFonts w:ascii="Book Antiqua" w:eastAsia="宋体" w:hAnsi="Book Antiqua" w:cs="宋体"/>
          <w:b/>
          <w:kern w:val="0"/>
          <w:sz w:val="24"/>
          <w:szCs w:val="24"/>
        </w:rPr>
        <w:t xml:space="preserve">Thornalley PJ. </w:t>
      </w:r>
      <w:r w:rsidRPr="005936B2">
        <w:rPr>
          <w:rFonts w:ascii="Book Antiqua" w:eastAsia="宋体" w:hAnsi="Book Antiqua" w:cs="宋体"/>
          <w:kern w:val="0"/>
          <w:sz w:val="24"/>
          <w:szCs w:val="24"/>
        </w:rPr>
        <w:t>Physiological formation and processing of glycation adducts. Available from: URL: http: //www2.warwick.ac.uk/fac/med/research/tsm/mvhealth/proteindamage/physiology/formation/</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87 </w:t>
      </w:r>
      <w:r w:rsidRPr="005936B2">
        <w:rPr>
          <w:rFonts w:ascii="Book Antiqua" w:eastAsia="宋体" w:hAnsi="Book Antiqua" w:cs="宋体"/>
          <w:b/>
          <w:bCs/>
          <w:kern w:val="0"/>
          <w:sz w:val="24"/>
          <w:szCs w:val="24"/>
        </w:rPr>
        <w:t>Yu Y</w:t>
      </w:r>
      <w:r w:rsidRPr="005936B2">
        <w:rPr>
          <w:rFonts w:ascii="Book Antiqua" w:eastAsia="宋体" w:hAnsi="Book Antiqua" w:cs="宋体"/>
          <w:kern w:val="0"/>
          <w:sz w:val="24"/>
          <w:szCs w:val="24"/>
        </w:rPr>
        <w:t xml:space="preserve">, Thorpe SR, Jenkins AJ, Shaw JN, Sochaski MA, McGee D, Aston CE, Orchard TJ, Silvers N, Peng YG, McKnight JA, Baynes JW, Lyons TJ. Advanced </w:t>
      </w:r>
      <w:r w:rsidRPr="005936B2">
        <w:rPr>
          <w:rFonts w:ascii="Book Antiqua" w:eastAsia="宋体" w:hAnsi="Book Antiqua" w:cs="宋体"/>
          <w:kern w:val="0"/>
          <w:sz w:val="24"/>
          <w:szCs w:val="24"/>
        </w:rPr>
        <w:lastRenderedPageBreak/>
        <w:t xml:space="preserve">glycation </w:t>
      </w:r>
      <w:proofErr w:type="gramStart"/>
      <w:r w:rsidRPr="005936B2">
        <w:rPr>
          <w:rFonts w:ascii="Book Antiqua" w:eastAsia="宋体" w:hAnsi="Book Antiqua" w:cs="宋体"/>
          <w:kern w:val="0"/>
          <w:sz w:val="24"/>
          <w:szCs w:val="24"/>
        </w:rPr>
        <w:t>end-products</w:t>
      </w:r>
      <w:proofErr w:type="gramEnd"/>
      <w:r w:rsidRPr="005936B2">
        <w:rPr>
          <w:rFonts w:ascii="Book Antiqua" w:eastAsia="宋体" w:hAnsi="Book Antiqua" w:cs="宋体"/>
          <w:kern w:val="0"/>
          <w:sz w:val="24"/>
          <w:szCs w:val="24"/>
        </w:rPr>
        <w:t xml:space="preserve"> and methionine sulphoxide in skin collagen of patients with type 1 diabetes. </w:t>
      </w:r>
      <w:r w:rsidRPr="005936B2">
        <w:rPr>
          <w:rFonts w:ascii="Book Antiqua" w:eastAsia="宋体" w:hAnsi="Book Antiqua" w:cs="宋体"/>
          <w:i/>
          <w:iCs/>
          <w:kern w:val="0"/>
          <w:sz w:val="24"/>
          <w:szCs w:val="24"/>
        </w:rPr>
        <w:t>Diabetologia</w:t>
      </w:r>
      <w:r w:rsidRPr="005936B2">
        <w:rPr>
          <w:rFonts w:ascii="Book Antiqua" w:eastAsia="宋体" w:hAnsi="Book Antiqua" w:cs="宋体"/>
          <w:kern w:val="0"/>
          <w:sz w:val="24"/>
          <w:szCs w:val="24"/>
        </w:rPr>
        <w:t> 2006; </w:t>
      </w:r>
      <w:r w:rsidRPr="005936B2">
        <w:rPr>
          <w:rFonts w:ascii="Book Antiqua" w:eastAsia="宋体" w:hAnsi="Book Antiqua" w:cs="宋体"/>
          <w:b/>
          <w:bCs/>
          <w:kern w:val="0"/>
          <w:sz w:val="24"/>
          <w:szCs w:val="24"/>
        </w:rPr>
        <w:t>49</w:t>
      </w:r>
      <w:r w:rsidRPr="005936B2">
        <w:rPr>
          <w:rFonts w:ascii="Book Antiqua" w:eastAsia="宋体" w:hAnsi="Book Antiqua" w:cs="宋体"/>
          <w:kern w:val="0"/>
          <w:sz w:val="24"/>
          <w:szCs w:val="24"/>
        </w:rPr>
        <w:t>: 2488-2498 [PMID: 16955213 DOI: 10.1007/s00125-006-0355-8]</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88 </w:t>
      </w:r>
      <w:r w:rsidRPr="005936B2">
        <w:rPr>
          <w:rFonts w:ascii="Book Antiqua" w:eastAsia="宋体" w:hAnsi="Book Antiqua" w:cs="宋体"/>
          <w:b/>
          <w:bCs/>
          <w:kern w:val="0"/>
          <w:sz w:val="24"/>
          <w:szCs w:val="24"/>
        </w:rPr>
        <w:t>Anguizola J</w:t>
      </w:r>
      <w:r w:rsidRPr="005936B2">
        <w:rPr>
          <w:rFonts w:ascii="Book Antiqua" w:eastAsia="宋体" w:hAnsi="Book Antiqua" w:cs="宋体"/>
          <w:kern w:val="0"/>
          <w:sz w:val="24"/>
          <w:szCs w:val="24"/>
        </w:rPr>
        <w:t>, Matsuda R, Barnaby OS, Hoy KS, Wa C, DeBolt E, Koke M, Hage DS.</w:t>
      </w:r>
      <w:proofErr w:type="gramEnd"/>
      <w:r w:rsidRPr="005936B2">
        <w:rPr>
          <w:rFonts w:ascii="Book Antiqua" w:eastAsia="宋体" w:hAnsi="Book Antiqua" w:cs="宋体"/>
          <w:kern w:val="0"/>
          <w:sz w:val="24"/>
          <w:szCs w:val="24"/>
        </w:rPr>
        <w:t xml:space="preserve"> Review: Glycation of human serum albumin. </w:t>
      </w:r>
      <w:r w:rsidRPr="005936B2">
        <w:rPr>
          <w:rFonts w:ascii="Book Antiqua" w:eastAsia="宋体" w:hAnsi="Book Antiqua" w:cs="宋体"/>
          <w:i/>
          <w:iCs/>
          <w:kern w:val="0"/>
          <w:sz w:val="24"/>
          <w:szCs w:val="24"/>
        </w:rPr>
        <w:t>Clin Chim Acta</w:t>
      </w:r>
      <w:r w:rsidRPr="005936B2">
        <w:rPr>
          <w:rFonts w:ascii="Book Antiqua" w:eastAsia="宋体" w:hAnsi="Book Antiqua" w:cs="宋体"/>
          <w:kern w:val="0"/>
          <w:sz w:val="24"/>
          <w:szCs w:val="24"/>
        </w:rPr>
        <w:t> 2013; </w:t>
      </w:r>
      <w:r w:rsidRPr="005936B2">
        <w:rPr>
          <w:rFonts w:ascii="Book Antiqua" w:eastAsia="宋体" w:hAnsi="Book Antiqua" w:cs="宋体"/>
          <w:b/>
          <w:bCs/>
          <w:kern w:val="0"/>
          <w:sz w:val="24"/>
          <w:szCs w:val="24"/>
        </w:rPr>
        <w:t>425</w:t>
      </w:r>
      <w:r w:rsidRPr="005936B2">
        <w:rPr>
          <w:rFonts w:ascii="Book Antiqua" w:eastAsia="宋体" w:hAnsi="Book Antiqua" w:cs="宋体"/>
          <w:kern w:val="0"/>
          <w:sz w:val="24"/>
          <w:szCs w:val="24"/>
        </w:rPr>
        <w:t>: 64-76 [PMID: 23891854 DOI: 10.1016/j.cca.2013.07.013]</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lang w:val="de-AT"/>
        </w:rPr>
        <w:t>89 </w:t>
      </w:r>
      <w:r w:rsidRPr="005936B2">
        <w:rPr>
          <w:rFonts w:ascii="Book Antiqua" w:eastAsia="宋体" w:hAnsi="Book Antiqua" w:cs="宋体"/>
          <w:b/>
          <w:bCs/>
          <w:kern w:val="0"/>
          <w:sz w:val="24"/>
          <w:szCs w:val="24"/>
          <w:lang w:val="de-AT"/>
        </w:rPr>
        <w:t>Shaklai N</w:t>
      </w:r>
      <w:r w:rsidRPr="005936B2">
        <w:rPr>
          <w:rFonts w:ascii="Book Antiqua" w:eastAsia="宋体" w:hAnsi="Book Antiqua" w:cs="宋体"/>
          <w:kern w:val="0"/>
          <w:sz w:val="24"/>
          <w:szCs w:val="24"/>
          <w:lang w:val="de-AT"/>
        </w:rPr>
        <w:t xml:space="preserve">, Garlick RL, Bunn HF. </w:t>
      </w:r>
      <w:r w:rsidRPr="005936B2">
        <w:rPr>
          <w:rFonts w:ascii="Book Antiqua" w:eastAsia="宋体" w:hAnsi="Book Antiqua" w:cs="宋体"/>
          <w:kern w:val="0"/>
          <w:sz w:val="24"/>
          <w:szCs w:val="24"/>
        </w:rPr>
        <w:t>Nonenzymatic glycosylation of human serum albumin alters its conformation and function.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1984; </w:t>
      </w:r>
      <w:r w:rsidRPr="005936B2">
        <w:rPr>
          <w:rFonts w:ascii="Book Antiqua" w:eastAsia="宋体" w:hAnsi="Book Antiqua" w:cs="宋体"/>
          <w:b/>
          <w:bCs/>
          <w:kern w:val="0"/>
          <w:sz w:val="24"/>
          <w:szCs w:val="24"/>
        </w:rPr>
        <w:t>259</w:t>
      </w:r>
      <w:r w:rsidRPr="005936B2">
        <w:rPr>
          <w:rFonts w:ascii="Book Antiqua" w:eastAsia="宋体" w:hAnsi="Book Antiqua" w:cs="宋体"/>
          <w:kern w:val="0"/>
          <w:sz w:val="24"/>
          <w:szCs w:val="24"/>
        </w:rPr>
        <w:t>: 3812-3817 [PMID: 6706980]</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90 </w:t>
      </w:r>
      <w:r w:rsidRPr="005936B2">
        <w:rPr>
          <w:rFonts w:ascii="Book Antiqua" w:eastAsia="宋体" w:hAnsi="Book Antiqua" w:cs="宋体"/>
          <w:b/>
          <w:bCs/>
          <w:kern w:val="0"/>
          <w:sz w:val="24"/>
          <w:szCs w:val="24"/>
        </w:rPr>
        <w:t>Iberg N</w:t>
      </w:r>
      <w:r w:rsidRPr="005936B2">
        <w:rPr>
          <w:rFonts w:ascii="Book Antiqua" w:eastAsia="宋体" w:hAnsi="Book Antiqua" w:cs="宋体"/>
          <w:kern w:val="0"/>
          <w:sz w:val="24"/>
          <w:szCs w:val="24"/>
        </w:rPr>
        <w:t>, Flückiger R. Nonenzymatic glycosylation of albumin in vivo.</w:t>
      </w:r>
      <w:proofErr w:type="gramEnd"/>
      <w:r w:rsidRPr="005936B2">
        <w:rPr>
          <w:rFonts w:ascii="Book Antiqua" w:eastAsia="宋体" w:hAnsi="Book Antiqua" w:cs="宋体"/>
          <w:kern w:val="0"/>
          <w:sz w:val="24"/>
          <w:szCs w:val="24"/>
        </w:rPr>
        <w:t xml:space="preserve"> </w:t>
      </w:r>
      <w:proofErr w:type="gramStart"/>
      <w:r w:rsidRPr="005936B2">
        <w:rPr>
          <w:rFonts w:ascii="Book Antiqua" w:eastAsia="宋体" w:hAnsi="Book Antiqua" w:cs="宋体"/>
          <w:kern w:val="0"/>
          <w:sz w:val="24"/>
          <w:szCs w:val="24"/>
        </w:rPr>
        <w:t>Identification of multiple glycosylated sites.</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1986; </w:t>
      </w:r>
      <w:r w:rsidRPr="005936B2">
        <w:rPr>
          <w:rFonts w:ascii="Book Antiqua" w:eastAsia="宋体" w:hAnsi="Book Antiqua" w:cs="宋体"/>
          <w:b/>
          <w:bCs/>
          <w:kern w:val="0"/>
          <w:sz w:val="24"/>
          <w:szCs w:val="24"/>
        </w:rPr>
        <w:t>261</w:t>
      </w:r>
      <w:r w:rsidRPr="005936B2">
        <w:rPr>
          <w:rFonts w:ascii="Book Antiqua" w:eastAsia="宋体" w:hAnsi="Book Antiqua" w:cs="宋体"/>
          <w:kern w:val="0"/>
          <w:sz w:val="24"/>
          <w:szCs w:val="24"/>
        </w:rPr>
        <w:t>: 13542-13545 [PMID: 3759977]</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91 </w:t>
      </w:r>
      <w:r w:rsidRPr="005936B2">
        <w:rPr>
          <w:rFonts w:ascii="Book Antiqua" w:eastAsia="宋体" w:hAnsi="Book Antiqua" w:cs="宋体"/>
          <w:b/>
          <w:bCs/>
          <w:kern w:val="0"/>
          <w:sz w:val="24"/>
          <w:szCs w:val="24"/>
        </w:rPr>
        <w:t>Shapiro R</w:t>
      </w:r>
      <w:r w:rsidRPr="005936B2">
        <w:rPr>
          <w:rFonts w:ascii="Book Antiqua" w:eastAsia="宋体" w:hAnsi="Book Antiqua" w:cs="宋体"/>
          <w:kern w:val="0"/>
          <w:sz w:val="24"/>
          <w:szCs w:val="24"/>
        </w:rPr>
        <w:t>, McManus MJ, Zalut C, Bunn HF. Sites of nonenzymatic glycosylation of human hemoglobin A.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1980; </w:t>
      </w:r>
      <w:r w:rsidRPr="005936B2">
        <w:rPr>
          <w:rFonts w:ascii="Book Antiqua" w:eastAsia="宋体" w:hAnsi="Book Antiqua" w:cs="宋体"/>
          <w:b/>
          <w:bCs/>
          <w:kern w:val="0"/>
          <w:sz w:val="24"/>
          <w:szCs w:val="24"/>
        </w:rPr>
        <w:t>255</w:t>
      </w:r>
      <w:r w:rsidRPr="005936B2">
        <w:rPr>
          <w:rFonts w:ascii="Book Antiqua" w:eastAsia="宋体" w:hAnsi="Book Antiqua" w:cs="宋体"/>
          <w:kern w:val="0"/>
          <w:sz w:val="24"/>
          <w:szCs w:val="24"/>
        </w:rPr>
        <w:t>: 3120-3127 [PMID: 7358733]</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lang w:val="de-AT"/>
        </w:rPr>
        <w:t>92 </w:t>
      </w:r>
      <w:r w:rsidRPr="005936B2">
        <w:rPr>
          <w:rFonts w:ascii="Book Antiqua" w:eastAsia="宋体" w:hAnsi="Book Antiqua" w:cs="宋体"/>
          <w:b/>
          <w:bCs/>
          <w:kern w:val="0"/>
          <w:sz w:val="24"/>
          <w:szCs w:val="24"/>
          <w:lang w:val="de-AT"/>
        </w:rPr>
        <w:t>Huang ES</w:t>
      </w:r>
      <w:r w:rsidRPr="005936B2">
        <w:rPr>
          <w:rFonts w:ascii="Book Antiqua" w:eastAsia="宋体" w:hAnsi="Book Antiqua" w:cs="宋体"/>
          <w:kern w:val="0"/>
          <w:sz w:val="24"/>
          <w:szCs w:val="24"/>
          <w:lang w:val="de-AT"/>
        </w:rPr>
        <w:t xml:space="preserve">, Liu JY, Moffet HH, John PM, Karter AJ. </w:t>
      </w:r>
      <w:r w:rsidRPr="005936B2">
        <w:rPr>
          <w:rFonts w:ascii="Book Antiqua" w:eastAsia="宋体" w:hAnsi="Book Antiqua" w:cs="宋体"/>
          <w:kern w:val="0"/>
          <w:sz w:val="24"/>
          <w:szCs w:val="24"/>
        </w:rPr>
        <w:t>Glycemic control, complications, and death in older diabetic patients: the diabetes and aging study. </w:t>
      </w:r>
      <w:r w:rsidRPr="005936B2">
        <w:rPr>
          <w:rFonts w:ascii="Book Antiqua" w:eastAsia="宋体" w:hAnsi="Book Antiqua" w:cs="宋体"/>
          <w:i/>
          <w:iCs/>
          <w:kern w:val="0"/>
          <w:sz w:val="24"/>
          <w:szCs w:val="24"/>
        </w:rPr>
        <w:t>Diabetes Care</w:t>
      </w:r>
      <w:r w:rsidRPr="005936B2">
        <w:rPr>
          <w:rFonts w:ascii="Book Antiqua" w:eastAsia="宋体" w:hAnsi="Book Antiqua" w:cs="宋体"/>
          <w:kern w:val="0"/>
          <w:sz w:val="24"/>
          <w:szCs w:val="24"/>
        </w:rPr>
        <w:t> 2011; </w:t>
      </w:r>
      <w:r w:rsidRPr="005936B2">
        <w:rPr>
          <w:rFonts w:ascii="Book Antiqua" w:eastAsia="宋体" w:hAnsi="Book Antiqua" w:cs="宋体"/>
          <w:b/>
          <w:bCs/>
          <w:kern w:val="0"/>
          <w:sz w:val="24"/>
          <w:szCs w:val="24"/>
        </w:rPr>
        <w:t>34</w:t>
      </w:r>
      <w:r w:rsidRPr="005936B2">
        <w:rPr>
          <w:rFonts w:ascii="Book Antiqua" w:eastAsia="宋体" w:hAnsi="Book Antiqua" w:cs="宋体"/>
          <w:kern w:val="0"/>
          <w:sz w:val="24"/>
          <w:szCs w:val="24"/>
        </w:rPr>
        <w:t>: 1329-1336 [PMID: 21505211 DOI: 10.2337/dc10-2377]</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93 </w:t>
      </w:r>
      <w:r w:rsidRPr="005936B2">
        <w:rPr>
          <w:rFonts w:ascii="Book Antiqua" w:eastAsia="宋体" w:hAnsi="Book Antiqua" w:cs="宋体"/>
          <w:b/>
          <w:bCs/>
          <w:kern w:val="0"/>
          <w:sz w:val="24"/>
          <w:szCs w:val="24"/>
        </w:rPr>
        <w:t>Verzijl N</w:t>
      </w:r>
      <w:r w:rsidRPr="005936B2">
        <w:rPr>
          <w:rFonts w:ascii="Book Antiqua" w:eastAsia="宋体" w:hAnsi="Book Antiqua" w:cs="宋体"/>
          <w:kern w:val="0"/>
          <w:sz w:val="24"/>
          <w:szCs w:val="24"/>
        </w:rPr>
        <w:t>, DeGroot J, Thorpe SR, Bank RA, Shaw JN, Lyons TJ, Bijlsma JW, Lafeber FP, Baynes JW, TeKoppele JM. Effect of collagen turnover on the accumulation of advanced glycation end products.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2000; </w:t>
      </w:r>
      <w:r w:rsidRPr="005936B2">
        <w:rPr>
          <w:rFonts w:ascii="Book Antiqua" w:eastAsia="宋体" w:hAnsi="Book Antiqua" w:cs="宋体"/>
          <w:b/>
          <w:bCs/>
          <w:kern w:val="0"/>
          <w:sz w:val="24"/>
          <w:szCs w:val="24"/>
        </w:rPr>
        <w:t>275</w:t>
      </w:r>
      <w:r w:rsidRPr="005936B2">
        <w:rPr>
          <w:rFonts w:ascii="Book Antiqua" w:eastAsia="宋体" w:hAnsi="Book Antiqua" w:cs="宋体"/>
          <w:kern w:val="0"/>
          <w:sz w:val="24"/>
          <w:szCs w:val="24"/>
        </w:rPr>
        <w:t>: 39027-39031 [PMID: 10976109 DOI: 10.1074/jbc.M006700200]</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94 </w:t>
      </w:r>
      <w:r w:rsidRPr="005936B2">
        <w:rPr>
          <w:rFonts w:ascii="Book Antiqua" w:eastAsia="宋体" w:hAnsi="Book Antiqua" w:cs="宋体"/>
          <w:b/>
          <w:bCs/>
          <w:kern w:val="0"/>
          <w:sz w:val="24"/>
          <w:szCs w:val="24"/>
        </w:rPr>
        <w:t>Verzijl N</w:t>
      </w:r>
      <w:r w:rsidRPr="005936B2">
        <w:rPr>
          <w:rFonts w:ascii="Book Antiqua" w:eastAsia="宋体" w:hAnsi="Book Antiqua" w:cs="宋体"/>
          <w:kern w:val="0"/>
          <w:sz w:val="24"/>
          <w:szCs w:val="24"/>
        </w:rPr>
        <w:t xml:space="preserve">, DeGroot J, Oldehinkel E, Bank RA, Thorpe SR, Baynes JW, Bayliss MT, Bijlsma JW, Lafeber FP, Tekoppele JM. </w:t>
      </w:r>
      <w:proofErr w:type="gramStart"/>
      <w:r w:rsidRPr="005936B2">
        <w:rPr>
          <w:rFonts w:ascii="Book Antiqua" w:eastAsia="宋体" w:hAnsi="Book Antiqua" w:cs="宋体"/>
          <w:kern w:val="0"/>
          <w:sz w:val="24"/>
          <w:szCs w:val="24"/>
        </w:rPr>
        <w:t>Age-related accumulation of Maillard reaction products in human articular cartilage collagen.</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Biochem J</w:t>
      </w:r>
      <w:r w:rsidRPr="005936B2">
        <w:rPr>
          <w:rFonts w:ascii="Book Antiqua" w:eastAsia="宋体" w:hAnsi="Book Antiqua" w:cs="宋体"/>
          <w:kern w:val="0"/>
          <w:sz w:val="24"/>
          <w:szCs w:val="24"/>
        </w:rPr>
        <w:t> 2000; </w:t>
      </w:r>
      <w:r w:rsidRPr="005936B2">
        <w:rPr>
          <w:rFonts w:ascii="Book Antiqua" w:eastAsia="宋体" w:hAnsi="Book Antiqua" w:cs="宋体"/>
          <w:b/>
          <w:bCs/>
          <w:kern w:val="0"/>
          <w:sz w:val="24"/>
          <w:szCs w:val="24"/>
        </w:rPr>
        <w:t>350 Pt 2</w:t>
      </w:r>
      <w:r w:rsidRPr="005936B2">
        <w:rPr>
          <w:rFonts w:ascii="Book Antiqua" w:eastAsia="宋体" w:hAnsi="Book Antiqua" w:cs="宋体"/>
          <w:kern w:val="0"/>
          <w:sz w:val="24"/>
          <w:szCs w:val="24"/>
        </w:rPr>
        <w:t>: 381-387 [PMID: 10947951 DOI: 10.1042/0264-6021: 3500381]</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95 </w:t>
      </w:r>
      <w:r w:rsidRPr="005936B2">
        <w:rPr>
          <w:rFonts w:ascii="Book Antiqua" w:eastAsia="宋体" w:hAnsi="Book Antiqua" w:cs="宋体"/>
          <w:b/>
          <w:bCs/>
          <w:kern w:val="0"/>
          <w:sz w:val="24"/>
          <w:szCs w:val="24"/>
        </w:rPr>
        <w:t>Wells-Knecht MC</w:t>
      </w:r>
      <w:r w:rsidRPr="005936B2">
        <w:rPr>
          <w:rFonts w:ascii="Book Antiqua" w:eastAsia="宋体" w:hAnsi="Book Antiqua" w:cs="宋体"/>
          <w:kern w:val="0"/>
          <w:sz w:val="24"/>
          <w:szCs w:val="24"/>
        </w:rPr>
        <w:t>, Lyons TJ, McCance DR, Thorpe SR, Baynes JW.</w:t>
      </w:r>
      <w:proofErr w:type="gramEnd"/>
      <w:r w:rsidRPr="005936B2">
        <w:rPr>
          <w:rFonts w:ascii="Book Antiqua" w:eastAsia="宋体" w:hAnsi="Book Antiqua" w:cs="宋体"/>
          <w:kern w:val="0"/>
          <w:sz w:val="24"/>
          <w:szCs w:val="24"/>
        </w:rPr>
        <w:t xml:space="preserve"> Age-dependent increase in ortho-tyrosine and methionine sulfoxide in human skin collagen is not accelerated in diabetes. </w:t>
      </w:r>
      <w:proofErr w:type="gramStart"/>
      <w:r w:rsidRPr="005936B2">
        <w:rPr>
          <w:rFonts w:ascii="Book Antiqua" w:eastAsia="宋体" w:hAnsi="Book Antiqua" w:cs="宋体"/>
          <w:kern w:val="0"/>
          <w:sz w:val="24"/>
          <w:szCs w:val="24"/>
        </w:rPr>
        <w:t>Evidence against a generalized increase in oxidative stress in diabetes.</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J Clin Invest</w:t>
      </w:r>
      <w:r w:rsidRPr="005936B2">
        <w:rPr>
          <w:rFonts w:ascii="Book Antiqua" w:eastAsia="宋体" w:hAnsi="Book Antiqua" w:cs="宋体"/>
          <w:kern w:val="0"/>
          <w:sz w:val="24"/>
          <w:szCs w:val="24"/>
        </w:rPr>
        <w:t> 1997; </w:t>
      </w:r>
      <w:r w:rsidRPr="005936B2">
        <w:rPr>
          <w:rFonts w:ascii="Book Antiqua" w:eastAsia="宋体" w:hAnsi="Book Antiqua" w:cs="宋体"/>
          <w:b/>
          <w:bCs/>
          <w:kern w:val="0"/>
          <w:sz w:val="24"/>
          <w:szCs w:val="24"/>
        </w:rPr>
        <w:t>100</w:t>
      </w:r>
      <w:r w:rsidRPr="005936B2">
        <w:rPr>
          <w:rFonts w:ascii="Book Antiqua" w:eastAsia="宋体" w:hAnsi="Book Antiqua" w:cs="宋体"/>
          <w:kern w:val="0"/>
          <w:sz w:val="24"/>
          <w:szCs w:val="24"/>
        </w:rPr>
        <w:t>: 839-846 [PMID: 9259583 DOI: 10.1172/JCI119599]</w:t>
      </w:r>
    </w:p>
    <w:p w:rsidR="007A0C7D" w:rsidRPr="005936B2" w:rsidRDefault="007A0C7D" w:rsidP="007A0C7D">
      <w:pPr>
        <w:widowControl/>
        <w:spacing w:line="360" w:lineRule="auto"/>
        <w:rPr>
          <w:rFonts w:ascii="Book Antiqua" w:eastAsia="宋体" w:hAnsi="Book Antiqua" w:cs="宋体"/>
          <w:kern w:val="0"/>
          <w:sz w:val="24"/>
          <w:szCs w:val="24"/>
          <w:lang w:val="de-AT"/>
        </w:rPr>
      </w:pPr>
      <w:r w:rsidRPr="005936B2">
        <w:rPr>
          <w:rFonts w:ascii="Book Antiqua" w:eastAsia="宋体" w:hAnsi="Book Antiqua" w:cs="宋体"/>
          <w:kern w:val="0"/>
          <w:sz w:val="24"/>
          <w:szCs w:val="24"/>
        </w:rPr>
        <w:lastRenderedPageBreak/>
        <w:t>96 </w:t>
      </w:r>
      <w:r w:rsidRPr="005936B2">
        <w:rPr>
          <w:rFonts w:ascii="Book Antiqua" w:eastAsia="宋体" w:hAnsi="Book Antiqua" w:cs="宋体"/>
          <w:b/>
          <w:bCs/>
          <w:kern w:val="0"/>
          <w:sz w:val="24"/>
          <w:szCs w:val="24"/>
        </w:rPr>
        <w:t>Sanguineti R</w:t>
      </w:r>
      <w:r w:rsidRPr="005936B2">
        <w:rPr>
          <w:rFonts w:ascii="Book Antiqua" w:eastAsia="宋体" w:hAnsi="Book Antiqua" w:cs="宋体"/>
          <w:kern w:val="0"/>
          <w:sz w:val="24"/>
          <w:szCs w:val="24"/>
        </w:rPr>
        <w:t>, Puddu A, Mach F, Montecucco F, Viviani GL. Advanced glycation end products play adverse proinflammatory activities in osteoporosis. </w:t>
      </w:r>
      <w:r w:rsidRPr="005936B2">
        <w:rPr>
          <w:rFonts w:ascii="Book Antiqua" w:eastAsia="宋体" w:hAnsi="Book Antiqua" w:cs="宋体"/>
          <w:i/>
          <w:iCs/>
          <w:kern w:val="0"/>
          <w:sz w:val="24"/>
          <w:szCs w:val="24"/>
          <w:lang w:val="de-AT"/>
        </w:rPr>
        <w:t>Mediators Inflamm</w:t>
      </w:r>
      <w:r w:rsidRPr="005936B2">
        <w:rPr>
          <w:rFonts w:ascii="Book Antiqua" w:eastAsia="宋体" w:hAnsi="Book Antiqua" w:cs="宋体"/>
          <w:kern w:val="0"/>
          <w:sz w:val="24"/>
          <w:szCs w:val="24"/>
          <w:lang w:val="de-AT"/>
        </w:rPr>
        <w:t> 2014; </w:t>
      </w:r>
      <w:r w:rsidRPr="005936B2">
        <w:rPr>
          <w:rFonts w:ascii="Book Antiqua" w:eastAsia="宋体" w:hAnsi="Book Antiqua" w:cs="宋体"/>
          <w:b/>
          <w:bCs/>
          <w:kern w:val="0"/>
          <w:sz w:val="24"/>
          <w:szCs w:val="24"/>
          <w:lang w:val="de-AT"/>
        </w:rPr>
        <w:t>2014</w:t>
      </w:r>
      <w:r w:rsidRPr="005936B2">
        <w:rPr>
          <w:rFonts w:ascii="Book Antiqua" w:eastAsia="宋体" w:hAnsi="Book Antiqua" w:cs="宋体"/>
          <w:kern w:val="0"/>
          <w:sz w:val="24"/>
          <w:szCs w:val="24"/>
          <w:lang w:val="de-AT"/>
        </w:rPr>
        <w:t>: 975872 [PMID: 24771986 DOI: 10.1155/2014/975872]</w:t>
      </w:r>
    </w:p>
    <w:p w:rsidR="007A30DF" w:rsidRPr="005936B2" w:rsidRDefault="007A30DF"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lang w:val="de-AT"/>
        </w:rPr>
        <w:t xml:space="preserve">97 </w:t>
      </w:r>
      <w:r w:rsidRPr="005936B2">
        <w:rPr>
          <w:rFonts w:ascii="Book Antiqua" w:eastAsia="宋体" w:hAnsi="Book Antiqua" w:cs="宋体"/>
          <w:b/>
          <w:kern w:val="0"/>
          <w:sz w:val="24"/>
          <w:szCs w:val="24"/>
          <w:lang w:val="de-AT"/>
        </w:rPr>
        <w:t>Ahmed MU</w:t>
      </w:r>
      <w:r w:rsidRPr="005936B2">
        <w:rPr>
          <w:rFonts w:ascii="Book Antiqua" w:eastAsia="宋体" w:hAnsi="Book Antiqua" w:cs="宋体"/>
          <w:kern w:val="0"/>
          <w:sz w:val="24"/>
          <w:szCs w:val="24"/>
          <w:lang w:val="de-AT"/>
        </w:rPr>
        <w:t xml:space="preserve">, Brinkmann Frye E, Degenhardt TP, Thorpe SR, Baynes JW. </w:t>
      </w:r>
      <w:r w:rsidRPr="005936B2">
        <w:rPr>
          <w:rFonts w:ascii="Book Antiqua" w:eastAsia="宋体" w:hAnsi="Book Antiqua" w:cs="宋体"/>
          <w:kern w:val="0"/>
          <w:sz w:val="24"/>
          <w:szCs w:val="24"/>
        </w:rPr>
        <w:t>N-epsilon</w:t>
      </w:r>
      <w:proofErr w:type="gramStart"/>
      <w:r w:rsidRPr="005936B2">
        <w:rPr>
          <w:rFonts w:ascii="Book Antiqua" w:eastAsia="宋体" w:hAnsi="Book Antiqua" w:cs="宋体"/>
          <w:kern w:val="0"/>
          <w:sz w:val="24"/>
          <w:szCs w:val="24"/>
        </w:rPr>
        <w:t>-(</w:t>
      </w:r>
      <w:proofErr w:type="gramEnd"/>
      <w:r w:rsidRPr="005936B2">
        <w:rPr>
          <w:rFonts w:ascii="Book Antiqua" w:eastAsia="宋体" w:hAnsi="Book Antiqua" w:cs="宋体"/>
          <w:kern w:val="0"/>
          <w:sz w:val="24"/>
          <w:szCs w:val="24"/>
        </w:rPr>
        <w:t xml:space="preserve">carboxyethyl)lysine, a product of the chemical modification of proteins by methylglyoxal, increases with age in human lens proteins. </w:t>
      </w:r>
      <w:r w:rsidRPr="005936B2">
        <w:rPr>
          <w:rFonts w:ascii="Book Antiqua" w:eastAsia="宋体" w:hAnsi="Book Antiqua" w:cs="宋体"/>
          <w:i/>
          <w:kern w:val="0"/>
          <w:sz w:val="24"/>
          <w:szCs w:val="24"/>
        </w:rPr>
        <w:t xml:space="preserve">Biochem J </w:t>
      </w:r>
      <w:r w:rsidRPr="005936B2">
        <w:rPr>
          <w:rFonts w:ascii="Book Antiqua" w:eastAsia="宋体" w:hAnsi="Book Antiqua" w:cs="宋体"/>
          <w:kern w:val="0"/>
          <w:sz w:val="24"/>
          <w:szCs w:val="24"/>
        </w:rPr>
        <w:t xml:space="preserve">1997; </w:t>
      </w:r>
      <w:r w:rsidRPr="005936B2">
        <w:rPr>
          <w:rFonts w:ascii="Book Antiqua" w:eastAsia="宋体" w:hAnsi="Book Antiqua" w:cs="宋体"/>
          <w:b/>
          <w:kern w:val="0"/>
          <w:sz w:val="24"/>
          <w:szCs w:val="24"/>
        </w:rPr>
        <w:t>324</w:t>
      </w:r>
      <w:r w:rsidRPr="005936B2">
        <w:rPr>
          <w:rFonts w:ascii="Book Antiqua" w:eastAsia="宋体" w:hAnsi="Book Antiqua" w:cs="宋体"/>
          <w:kern w:val="0"/>
          <w:sz w:val="24"/>
          <w:szCs w:val="24"/>
        </w:rPr>
        <w:t xml:space="preserve"> Pt 2: 565-570 [PMID: 9182719]</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98 </w:t>
      </w:r>
      <w:r w:rsidRPr="005936B2">
        <w:rPr>
          <w:rFonts w:ascii="Book Antiqua" w:eastAsia="宋体" w:hAnsi="Book Antiqua" w:cs="宋体"/>
          <w:b/>
          <w:bCs/>
          <w:kern w:val="0"/>
          <w:sz w:val="24"/>
          <w:szCs w:val="24"/>
        </w:rPr>
        <w:t>Greifenhagen U</w:t>
      </w:r>
      <w:r w:rsidRPr="005936B2">
        <w:rPr>
          <w:rFonts w:ascii="Book Antiqua" w:eastAsia="宋体" w:hAnsi="Book Antiqua" w:cs="宋体"/>
          <w:kern w:val="0"/>
          <w:sz w:val="24"/>
          <w:szCs w:val="24"/>
        </w:rPr>
        <w:t>, Nguyen VD, Moschner J, Giannis A, Frolov A, Hoffmann R. Sensitive and site-specific identification of carboxymethylated and carboxyethylated peptides in tryptic digests of proteins and human plasma. </w:t>
      </w:r>
      <w:r w:rsidRPr="005936B2">
        <w:rPr>
          <w:rFonts w:ascii="Book Antiqua" w:eastAsia="宋体" w:hAnsi="Book Antiqua" w:cs="宋体"/>
          <w:i/>
          <w:iCs/>
          <w:kern w:val="0"/>
          <w:sz w:val="24"/>
          <w:szCs w:val="24"/>
        </w:rPr>
        <w:t>J Proteome Res</w:t>
      </w:r>
      <w:r w:rsidRPr="005936B2">
        <w:rPr>
          <w:rFonts w:ascii="Book Antiqua" w:eastAsia="宋体" w:hAnsi="Book Antiqua" w:cs="宋体"/>
          <w:kern w:val="0"/>
          <w:sz w:val="24"/>
          <w:szCs w:val="24"/>
        </w:rPr>
        <w:t> 2015; </w:t>
      </w:r>
      <w:r w:rsidRPr="005936B2">
        <w:rPr>
          <w:rFonts w:ascii="Book Antiqua" w:eastAsia="宋体" w:hAnsi="Book Antiqua" w:cs="宋体"/>
          <w:b/>
          <w:bCs/>
          <w:kern w:val="0"/>
          <w:sz w:val="24"/>
          <w:szCs w:val="24"/>
        </w:rPr>
        <w:t>14</w:t>
      </w:r>
      <w:r w:rsidRPr="005936B2">
        <w:rPr>
          <w:rFonts w:ascii="Book Antiqua" w:eastAsia="宋体" w:hAnsi="Book Antiqua" w:cs="宋体"/>
          <w:kern w:val="0"/>
          <w:sz w:val="24"/>
          <w:szCs w:val="24"/>
        </w:rPr>
        <w:t>: 768-777 [PMID: 25423611 DOI: 10.1021/pr500799m]</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99 </w:t>
      </w:r>
      <w:r w:rsidRPr="005936B2">
        <w:rPr>
          <w:rFonts w:ascii="Book Antiqua" w:eastAsia="宋体" w:hAnsi="Book Antiqua" w:cs="宋体"/>
          <w:b/>
          <w:bCs/>
          <w:kern w:val="0"/>
          <w:sz w:val="24"/>
          <w:szCs w:val="24"/>
        </w:rPr>
        <w:t>Ahmed N</w:t>
      </w:r>
      <w:r w:rsidRPr="005936B2">
        <w:rPr>
          <w:rFonts w:ascii="Book Antiqua" w:eastAsia="宋体" w:hAnsi="Book Antiqua" w:cs="宋体"/>
          <w:kern w:val="0"/>
          <w:sz w:val="24"/>
          <w:szCs w:val="24"/>
        </w:rPr>
        <w:t>, Thornalley PJ, Dawczynski J, Franke S, Strobel J, Stein G, Haik GM. Methylglyoxal-derived hydroimidazolone advanced glycation end-products of human lens proteins. </w:t>
      </w:r>
      <w:r w:rsidRPr="005936B2">
        <w:rPr>
          <w:rFonts w:ascii="Book Antiqua" w:eastAsia="宋体" w:hAnsi="Book Antiqua" w:cs="宋体"/>
          <w:i/>
          <w:iCs/>
          <w:kern w:val="0"/>
          <w:sz w:val="24"/>
          <w:szCs w:val="24"/>
        </w:rPr>
        <w:t>Invest Ophthalmol Vis Sci</w:t>
      </w:r>
      <w:r w:rsidRPr="005936B2">
        <w:rPr>
          <w:rFonts w:ascii="Book Antiqua" w:eastAsia="宋体" w:hAnsi="Book Antiqua" w:cs="宋体"/>
          <w:kern w:val="0"/>
          <w:sz w:val="24"/>
          <w:szCs w:val="24"/>
        </w:rPr>
        <w:t> 2003; </w:t>
      </w:r>
      <w:r w:rsidRPr="005936B2">
        <w:rPr>
          <w:rFonts w:ascii="Book Antiqua" w:eastAsia="宋体" w:hAnsi="Book Antiqua" w:cs="宋体"/>
          <w:b/>
          <w:bCs/>
          <w:kern w:val="0"/>
          <w:sz w:val="24"/>
          <w:szCs w:val="24"/>
        </w:rPr>
        <w:t>44</w:t>
      </w:r>
      <w:r w:rsidRPr="005936B2">
        <w:rPr>
          <w:rFonts w:ascii="Book Antiqua" w:eastAsia="宋体" w:hAnsi="Book Antiqua" w:cs="宋体"/>
          <w:kern w:val="0"/>
          <w:sz w:val="24"/>
          <w:szCs w:val="24"/>
        </w:rPr>
        <w:t>: 5287-5292 [PMID: 14638728 DOI: 10.1167/iovs.03-0573]</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100 </w:t>
      </w:r>
      <w:r w:rsidRPr="005936B2">
        <w:rPr>
          <w:rFonts w:ascii="Book Antiqua" w:eastAsia="宋体" w:hAnsi="Book Antiqua" w:cs="宋体"/>
          <w:b/>
          <w:bCs/>
          <w:kern w:val="0"/>
          <w:sz w:val="24"/>
          <w:szCs w:val="24"/>
        </w:rPr>
        <w:t>Michalek MT</w:t>
      </w:r>
      <w:r w:rsidRPr="005936B2">
        <w:rPr>
          <w:rFonts w:ascii="Book Antiqua" w:eastAsia="宋体" w:hAnsi="Book Antiqua" w:cs="宋体"/>
          <w:kern w:val="0"/>
          <w:sz w:val="24"/>
          <w:szCs w:val="24"/>
        </w:rPr>
        <w:t>, Grant EP, Rock KL. Chemical denaturation and modification of ovalbumin alters its dependence on ubiquitin conjugation for class I antigen presentation. </w:t>
      </w:r>
      <w:r w:rsidRPr="005936B2">
        <w:rPr>
          <w:rFonts w:ascii="Book Antiqua" w:eastAsia="宋体" w:hAnsi="Book Antiqua" w:cs="宋体"/>
          <w:i/>
          <w:iCs/>
          <w:kern w:val="0"/>
          <w:sz w:val="24"/>
          <w:szCs w:val="24"/>
        </w:rPr>
        <w:t>J Immunol</w:t>
      </w:r>
      <w:r w:rsidRPr="005936B2">
        <w:rPr>
          <w:rFonts w:ascii="Book Antiqua" w:eastAsia="宋体" w:hAnsi="Book Antiqua" w:cs="宋体"/>
          <w:kern w:val="0"/>
          <w:sz w:val="24"/>
          <w:szCs w:val="24"/>
        </w:rPr>
        <w:t> 1996; </w:t>
      </w:r>
      <w:r w:rsidRPr="005936B2">
        <w:rPr>
          <w:rFonts w:ascii="Book Antiqua" w:eastAsia="宋体" w:hAnsi="Book Antiqua" w:cs="宋体"/>
          <w:b/>
          <w:bCs/>
          <w:kern w:val="0"/>
          <w:sz w:val="24"/>
          <w:szCs w:val="24"/>
        </w:rPr>
        <w:t>157</w:t>
      </w:r>
      <w:r w:rsidRPr="005936B2">
        <w:rPr>
          <w:rFonts w:ascii="Book Antiqua" w:eastAsia="宋体" w:hAnsi="Book Antiqua" w:cs="宋体"/>
          <w:kern w:val="0"/>
          <w:sz w:val="24"/>
          <w:szCs w:val="24"/>
        </w:rPr>
        <w:t>: 617-624 [PMID: 8752909]</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101 </w:t>
      </w:r>
      <w:r w:rsidRPr="005936B2">
        <w:rPr>
          <w:rFonts w:ascii="Book Antiqua" w:eastAsia="宋体" w:hAnsi="Book Antiqua" w:cs="宋体"/>
          <w:b/>
          <w:bCs/>
          <w:kern w:val="0"/>
          <w:sz w:val="24"/>
          <w:szCs w:val="24"/>
        </w:rPr>
        <w:t>Goldberg AL</w:t>
      </w:r>
      <w:r w:rsidRPr="005936B2">
        <w:rPr>
          <w:rFonts w:ascii="Book Antiqua" w:eastAsia="宋体" w:hAnsi="Book Antiqua" w:cs="宋体"/>
          <w:kern w:val="0"/>
          <w:sz w:val="24"/>
          <w:szCs w:val="24"/>
        </w:rPr>
        <w:t>. Protein degradation and protection against misfolded or damaged proteins. </w:t>
      </w:r>
      <w:r w:rsidRPr="005936B2">
        <w:rPr>
          <w:rFonts w:ascii="Book Antiqua" w:eastAsia="宋体" w:hAnsi="Book Antiqua" w:cs="宋体"/>
          <w:i/>
          <w:iCs/>
          <w:kern w:val="0"/>
          <w:sz w:val="24"/>
          <w:szCs w:val="24"/>
        </w:rPr>
        <w:t>Nature</w:t>
      </w:r>
      <w:r w:rsidRPr="005936B2">
        <w:rPr>
          <w:rFonts w:ascii="Book Antiqua" w:eastAsia="宋体" w:hAnsi="Book Antiqua" w:cs="宋体"/>
          <w:kern w:val="0"/>
          <w:sz w:val="24"/>
          <w:szCs w:val="24"/>
        </w:rPr>
        <w:t> 2003; </w:t>
      </w:r>
      <w:r w:rsidRPr="005936B2">
        <w:rPr>
          <w:rFonts w:ascii="Book Antiqua" w:eastAsia="宋体" w:hAnsi="Book Antiqua" w:cs="宋体"/>
          <w:b/>
          <w:bCs/>
          <w:kern w:val="0"/>
          <w:sz w:val="24"/>
          <w:szCs w:val="24"/>
        </w:rPr>
        <w:t>426</w:t>
      </w:r>
      <w:r w:rsidRPr="005936B2">
        <w:rPr>
          <w:rFonts w:ascii="Book Antiqua" w:eastAsia="宋体" w:hAnsi="Book Antiqua" w:cs="宋体"/>
          <w:kern w:val="0"/>
          <w:sz w:val="24"/>
          <w:szCs w:val="24"/>
        </w:rPr>
        <w:t>: 895-899 [PMID: 14685250 DOI: 10.1038/nature02263]</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102 </w:t>
      </w:r>
      <w:r w:rsidRPr="005936B2">
        <w:rPr>
          <w:rFonts w:ascii="Book Antiqua" w:eastAsia="宋体" w:hAnsi="Book Antiqua" w:cs="宋体"/>
          <w:b/>
          <w:bCs/>
          <w:kern w:val="0"/>
          <w:sz w:val="24"/>
          <w:szCs w:val="24"/>
        </w:rPr>
        <w:t>DeGroot J</w:t>
      </w:r>
      <w:r w:rsidRPr="005936B2">
        <w:rPr>
          <w:rFonts w:ascii="Book Antiqua" w:eastAsia="宋体" w:hAnsi="Book Antiqua" w:cs="宋体"/>
          <w:kern w:val="0"/>
          <w:sz w:val="24"/>
          <w:szCs w:val="24"/>
        </w:rPr>
        <w:t>, Verzijl N, Wenting-Van Wijk MJ, Bank RA, Lafeber FP, Bijlsma JW, TeKoppele JM. Age-related decrease in susceptibility of human articular cartilage to matrix metalloproteinase-mediated degradation: the role of advanced glycation end products. </w:t>
      </w:r>
      <w:r w:rsidRPr="005936B2">
        <w:rPr>
          <w:rFonts w:ascii="Book Antiqua" w:eastAsia="宋体" w:hAnsi="Book Antiqua" w:cs="宋体"/>
          <w:i/>
          <w:iCs/>
          <w:kern w:val="0"/>
          <w:sz w:val="24"/>
          <w:szCs w:val="24"/>
        </w:rPr>
        <w:t>Arthritis Rheum</w:t>
      </w:r>
      <w:r w:rsidRPr="005936B2">
        <w:rPr>
          <w:rFonts w:ascii="Book Antiqua" w:eastAsia="宋体" w:hAnsi="Book Antiqua" w:cs="宋体"/>
          <w:kern w:val="0"/>
          <w:sz w:val="24"/>
          <w:szCs w:val="24"/>
        </w:rPr>
        <w:t> 2001; </w:t>
      </w:r>
      <w:r w:rsidRPr="005936B2">
        <w:rPr>
          <w:rFonts w:ascii="Book Antiqua" w:eastAsia="宋体" w:hAnsi="Book Antiqua" w:cs="宋体"/>
          <w:b/>
          <w:bCs/>
          <w:kern w:val="0"/>
          <w:sz w:val="24"/>
          <w:szCs w:val="24"/>
        </w:rPr>
        <w:t>44</w:t>
      </w:r>
      <w:r w:rsidRPr="005936B2">
        <w:rPr>
          <w:rFonts w:ascii="Book Antiqua" w:eastAsia="宋体" w:hAnsi="Book Antiqua" w:cs="宋体"/>
          <w:kern w:val="0"/>
          <w:sz w:val="24"/>
          <w:szCs w:val="24"/>
        </w:rPr>
        <w:t>: 2562-2571 [PMID: 11710713 DOI: 10.1002/1529-0131(200111)44: 11]</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103 </w:t>
      </w:r>
      <w:r w:rsidRPr="005936B2">
        <w:rPr>
          <w:rFonts w:ascii="Book Antiqua" w:eastAsia="宋体" w:hAnsi="Book Antiqua" w:cs="宋体"/>
          <w:b/>
          <w:bCs/>
          <w:kern w:val="0"/>
          <w:sz w:val="24"/>
          <w:szCs w:val="24"/>
        </w:rPr>
        <w:t>Mullarkey CJ</w:t>
      </w:r>
      <w:r w:rsidRPr="005936B2">
        <w:rPr>
          <w:rFonts w:ascii="Book Antiqua" w:eastAsia="宋体" w:hAnsi="Book Antiqua" w:cs="宋体"/>
          <w:kern w:val="0"/>
          <w:sz w:val="24"/>
          <w:szCs w:val="24"/>
        </w:rPr>
        <w:t>, Edelstein D, Brownlee M. Free radical generation by early glycation products: a mechanism for accelerated atherogenesis in diabetes. </w:t>
      </w:r>
      <w:r w:rsidRPr="005936B2">
        <w:rPr>
          <w:rFonts w:ascii="Book Antiqua" w:eastAsia="宋体" w:hAnsi="Book Antiqua" w:cs="宋体"/>
          <w:i/>
          <w:iCs/>
          <w:kern w:val="0"/>
          <w:sz w:val="24"/>
          <w:szCs w:val="24"/>
        </w:rPr>
        <w:t>Biochem Biophys Res Commun</w:t>
      </w:r>
      <w:r w:rsidRPr="005936B2">
        <w:rPr>
          <w:rFonts w:ascii="Book Antiqua" w:eastAsia="宋体" w:hAnsi="Book Antiqua" w:cs="宋体"/>
          <w:kern w:val="0"/>
          <w:sz w:val="24"/>
          <w:szCs w:val="24"/>
        </w:rPr>
        <w:t> 1990; </w:t>
      </w:r>
      <w:r w:rsidRPr="005936B2">
        <w:rPr>
          <w:rFonts w:ascii="Book Antiqua" w:eastAsia="宋体" w:hAnsi="Book Antiqua" w:cs="宋体"/>
          <w:b/>
          <w:bCs/>
          <w:kern w:val="0"/>
          <w:sz w:val="24"/>
          <w:szCs w:val="24"/>
        </w:rPr>
        <w:t>173</w:t>
      </w:r>
      <w:r w:rsidRPr="005936B2">
        <w:rPr>
          <w:rFonts w:ascii="Book Antiqua" w:eastAsia="宋体" w:hAnsi="Book Antiqua" w:cs="宋体"/>
          <w:kern w:val="0"/>
          <w:sz w:val="24"/>
          <w:szCs w:val="24"/>
        </w:rPr>
        <w:t>: 932-939 [PMID: 2176495 DOI: 10.1016/S0006-</w:t>
      </w:r>
      <w:proofErr w:type="gramStart"/>
      <w:r w:rsidRPr="005936B2">
        <w:rPr>
          <w:rFonts w:ascii="Book Antiqua" w:eastAsia="宋体" w:hAnsi="Book Antiqua" w:cs="宋体"/>
          <w:kern w:val="0"/>
          <w:sz w:val="24"/>
          <w:szCs w:val="24"/>
        </w:rPr>
        <w:t>291X(</w:t>
      </w:r>
      <w:proofErr w:type="gramEnd"/>
      <w:r w:rsidRPr="005936B2">
        <w:rPr>
          <w:rFonts w:ascii="Book Antiqua" w:eastAsia="宋体" w:hAnsi="Book Antiqua" w:cs="宋体"/>
          <w:kern w:val="0"/>
          <w:sz w:val="24"/>
          <w:szCs w:val="24"/>
        </w:rPr>
        <w:t>05)80875-7]</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104 </w:t>
      </w:r>
      <w:r w:rsidRPr="005936B2">
        <w:rPr>
          <w:rFonts w:ascii="Book Antiqua" w:eastAsia="宋体" w:hAnsi="Book Antiqua" w:cs="宋体"/>
          <w:b/>
          <w:bCs/>
          <w:kern w:val="0"/>
          <w:sz w:val="24"/>
          <w:szCs w:val="24"/>
        </w:rPr>
        <w:t>Tsai CS</w:t>
      </w:r>
      <w:r w:rsidRPr="005936B2">
        <w:rPr>
          <w:rFonts w:ascii="Book Antiqua" w:eastAsia="宋体" w:hAnsi="Book Antiqua" w:cs="宋体"/>
          <w:kern w:val="0"/>
          <w:sz w:val="24"/>
          <w:szCs w:val="24"/>
        </w:rPr>
        <w:t xml:space="preserve">, White JH. </w:t>
      </w:r>
      <w:proofErr w:type="gramStart"/>
      <w:r w:rsidRPr="005936B2">
        <w:rPr>
          <w:rFonts w:ascii="Book Antiqua" w:eastAsia="宋体" w:hAnsi="Book Antiqua" w:cs="宋体"/>
          <w:kern w:val="0"/>
          <w:sz w:val="24"/>
          <w:szCs w:val="24"/>
        </w:rPr>
        <w:t>Activation of liver alcohol dehydrogenase by glycosylation.</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Biochem J</w:t>
      </w:r>
      <w:r w:rsidRPr="005936B2">
        <w:rPr>
          <w:rFonts w:ascii="Book Antiqua" w:eastAsia="宋体" w:hAnsi="Book Antiqua" w:cs="宋体"/>
          <w:kern w:val="0"/>
          <w:sz w:val="24"/>
          <w:szCs w:val="24"/>
        </w:rPr>
        <w:t> 1983; </w:t>
      </w:r>
      <w:r w:rsidRPr="005936B2">
        <w:rPr>
          <w:rFonts w:ascii="Book Antiqua" w:eastAsia="宋体" w:hAnsi="Book Antiqua" w:cs="宋体"/>
          <w:b/>
          <w:bCs/>
          <w:kern w:val="0"/>
          <w:sz w:val="24"/>
          <w:szCs w:val="24"/>
        </w:rPr>
        <w:t>209</w:t>
      </w:r>
      <w:r w:rsidRPr="005936B2">
        <w:rPr>
          <w:rFonts w:ascii="Book Antiqua" w:eastAsia="宋体" w:hAnsi="Book Antiqua" w:cs="宋体"/>
          <w:kern w:val="0"/>
          <w:sz w:val="24"/>
          <w:szCs w:val="24"/>
        </w:rPr>
        <w:t>: 309-314 [PMID: 6342612 DOI: 10.1042/bj2090309]</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lastRenderedPageBreak/>
        <w:t>105 </w:t>
      </w:r>
      <w:r w:rsidRPr="005936B2">
        <w:rPr>
          <w:rFonts w:ascii="Book Antiqua" w:eastAsia="宋体" w:hAnsi="Book Antiqua" w:cs="宋体"/>
          <w:b/>
          <w:bCs/>
          <w:kern w:val="0"/>
          <w:sz w:val="24"/>
          <w:szCs w:val="24"/>
        </w:rPr>
        <w:t>Niwa T</w:t>
      </w:r>
      <w:r w:rsidRPr="005936B2">
        <w:rPr>
          <w:rFonts w:ascii="Book Antiqua" w:eastAsia="宋体" w:hAnsi="Book Antiqua" w:cs="宋体"/>
          <w:kern w:val="0"/>
          <w:sz w:val="24"/>
          <w:szCs w:val="24"/>
        </w:rPr>
        <w:t>, Tsukushi S. 3-deoxyglucosone and AGEs in uremic complications: inactivation of glutathione peroxidase by 3-deoxyglucosone. </w:t>
      </w:r>
      <w:r w:rsidRPr="005936B2">
        <w:rPr>
          <w:rFonts w:ascii="Book Antiqua" w:eastAsia="宋体" w:hAnsi="Book Antiqua" w:cs="宋体"/>
          <w:i/>
          <w:iCs/>
          <w:kern w:val="0"/>
          <w:sz w:val="24"/>
          <w:szCs w:val="24"/>
        </w:rPr>
        <w:t>Kidney Int Suppl</w:t>
      </w:r>
      <w:r w:rsidRPr="005936B2">
        <w:rPr>
          <w:rFonts w:ascii="Book Antiqua" w:eastAsia="宋体" w:hAnsi="Book Antiqua" w:cs="宋体"/>
          <w:kern w:val="0"/>
          <w:sz w:val="24"/>
          <w:szCs w:val="24"/>
        </w:rPr>
        <w:t> 2001; </w:t>
      </w:r>
      <w:r w:rsidRPr="005936B2">
        <w:rPr>
          <w:rFonts w:ascii="Book Antiqua" w:eastAsia="宋体" w:hAnsi="Book Antiqua" w:cs="宋体"/>
          <w:b/>
          <w:bCs/>
          <w:kern w:val="0"/>
          <w:sz w:val="24"/>
          <w:szCs w:val="24"/>
        </w:rPr>
        <w:t>78</w:t>
      </w:r>
      <w:r w:rsidRPr="005936B2">
        <w:rPr>
          <w:rFonts w:ascii="Book Antiqua" w:eastAsia="宋体" w:hAnsi="Book Antiqua" w:cs="宋体"/>
          <w:kern w:val="0"/>
          <w:sz w:val="24"/>
          <w:szCs w:val="24"/>
        </w:rPr>
        <w:t>: S37-S41 [PMID: 11168980 DOI: 10.1046/j.1523-1755.2001.59780037.x]</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106 </w:t>
      </w:r>
      <w:r w:rsidRPr="005936B2">
        <w:rPr>
          <w:rFonts w:ascii="Book Antiqua" w:eastAsia="宋体" w:hAnsi="Book Antiqua" w:cs="宋体"/>
          <w:b/>
          <w:bCs/>
          <w:kern w:val="0"/>
          <w:sz w:val="24"/>
          <w:szCs w:val="24"/>
        </w:rPr>
        <w:t>Monti P</w:t>
      </w:r>
      <w:r w:rsidRPr="005936B2">
        <w:rPr>
          <w:rFonts w:ascii="Book Antiqua" w:eastAsia="宋体" w:hAnsi="Book Antiqua" w:cs="宋体"/>
          <w:kern w:val="0"/>
          <w:sz w:val="24"/>
          <w:szCs w:val="24"/>
        </w:rPr>
        <w:t>, Brigatti C, Krasmann M, Ziegler AG, Bonifacio E. Concentration and activity of the soluble form of the interleukin-7 receptor α in type 1 diabetes identifies an interplay between hyperglycemia and immune function. </w:t>
      </w:r>
      <w:r w:rsidRPr="005936B2">
        <w:rPr>
          <w:rFonts w:ascii="Book Antiqua" w:eastAsia="宋体" w:hAnsi="Book Antiqua" w:cs="宋体"/>
          <w:i/>
          <w:iCs/>
          <w:kern w:val="0"/>
          <w:sz w:val="24"/>
          <w:szCs w:val="24"/>
        </w:rPr>
        <w:t>Diabetes</w:t>
      </w:r>
      <w:r w:rsidRPr="005936B2">
        <w:rPr>
          <w:rFonts w:ascii="Book Antiqua" w:eastAsia="宋体" w:hAnsi="Book Antiqua" w:cs="宋体"/>
          <w:kern w:val="0"/>
          <w:sz w:val="24"/>
          <w:szCs w:val="24"/>
        </w:rPr>
        <w:t> 2013; </w:t>
      </w:r>
      <w:r w:rsidRPr="005936B2">
        <w:rPr>
          <w:rFonts w:ascii="Book Antiqua" w:eastAsia="宋体" w:hAnsi="Book Antiqua" w:cs="宋体"/>
          <w:b/>
          <w:bCs/>
          <w:kern w:val="0"/>
          <w:sz w:val="24"/>
          <w:szCs w:val="24"/>
        </w:rPr>
        <w:t>62</w:t>
      </w:r>
      <w:r w:rsidRPr="005936B2">
        <w:rPr>
          <w:rFonts w:ascii="Book Antiqua" w:eastAsia="宋体" w:hAnsi="Book Antiqua" w:cs="宋体"/>
          <w:kern w:val="0"/>
          <w:sz w:val="24"/>
          <w:szCs w:val="24"/>
        </w:rPr>
        <w:t>: 2500-2508 [PMID: 23454692 DOI: 10.2337/db12-1726]</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107 </w:t>
      </w:r>
      <w:r w:rsidRPr="005936B2">
        <w:rPr>
          <w:rFonts w:ascii="Book Antiqua" w:eastAsia="宋体" w:hAnsi="Book Antiqua" w:cs="宋体"/>
          <w:b/>
          <w:bCs/>
          <w:kern w:val="0"/>
          <w:sz w:val="24"/>
          <w:szCs w:val="24"/>
        </w:rPr>
        <w:t>Giardino I</w:t>
      </w:r>
      <w:r w:rsidRPr="005936B2">
        <w:rPr>
          <w:rFonts w:ascii="Book Antiqua" w:eastAsia="宋体" w:hAnsi="Book Antiqua" w:cs="宋体"/>
          <w:kern w:val="0"/>
          <w:sz w:val="24"/>
          <w:szCs w:val="24"/>
        </w:rPr>
        <w:t xml:space="preserve">, Edelstein D, Brownlee M. Nonenzymatic glycosylation in vitro and in bovine endothelial cells alters basic fibroblast growth factor activity. </w:t>
      </w:r>
      <w:proofErr w:type="gramStart"/>
      <w:r w:rsidRPr="005936B2">
        <w:rPr>
          <w:rFonts w:ascii="Book Antiqua" w:eastAsia="宋体" w:hAnsi="Book Antiqua" w:cs="宋体"/>
          <w:kern w:val="0"/>
          <w:sz w:val="24"/>
          <w:szCs w:val="24"/>
        </w:rPr>
        <w:t>A model for intracellular glycosylation in diabetes.</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J Clin Invest</w:t>
      </w:r>
      <w:r w:rsidRPr="005936B2">
        <w:rPr>
          <w:rFonts w:ascii="Book Antiqua" w:eastAsia="宋体" w:hAnsi="Book Antiqua" w:cs="宋体"/>
          <w:kern w:val="0"/>
          <w:sz w:val="24"/>
          <w:szCs w:val="24"/>
        </w:rPr>
        <w:t> 1994; </w:t>
      </w:r>
      <w:r w:rsidRPr="005936B2">
        <w:rPr>
          <w:rFonts w:ascii="Book Antiqua" w:eastAsia="宋体" w:hAnsi="Book Antiqua" w:cs="宋体"/>
          <w:b/>
          <w:bCs/>
          <w:kern w:val="0"/>
          <w:sz w:val="24"/>
          <w:szCs w:val="24"/>
        </w:rPr>
        <w:t>94</w:t>
      </w:r>
      <w:r w:rsidRPr="005936B2">
        <w:rPr>
          <w:rFonts w:ascii="Book Antiqua" w:eastAsia="宋体" w:hAnsi="Book Antiqua" w:cs="宋体"/>
          <w:kern w:val="0"/>
          <w:sz w:val="24"/>
          <w:szCs w:val="24"/>
        </w:rPr>
        <w:t>: 110-117 [PMID: 8040253 DOI: 10.1172/JCI117296]</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108 </w:t>
      </w:r>
      <w:r w:rsidRPr="005936B2">
        <w:rPr>
          <w:rFonts w:ascii="Book Antiqua" w:eastAsia="宋体" w:hAnsi="Book Antiqua" w:cs="宋体"/>
          <w:b/>
          <w:bCs/>
          <w:kern w:val="0"/>
          <w:sz w:val="24"/>
          <w:szCs w:val="24"/>
        </w:rPr>
        <w:t>Acosta J</w:t>
      </w:r>
      <w:r w:rsidRPr="005936B2">
        <w:rPr>
          <w:rFonts w:ascii="Book Antiqua" w:eastAsia="宋体" w:hAnsi="Book Antiqua" w:cs="宋体"/>
          <w:kern w:val="0"/>
          <w:sz w:val="24"/>
          <w:szCs w:val="24"/>
        </w:rPr>
        <w:t>, Hettinga J, Flückiger R, Krumrei N, Goldfine A, Angarita L, Halperin J. Molecular basis for a link between complement and the vascular complications of diabetes. </w:t>
      </w:r>
      <w:r w:rsidRPr="005936B2">
        <w:rPr>
          <w:rFonts w:ascii="Book Antiqua" w:eastAsia="宋体" w:hAnsi="Book Antiqua" w:cs="宋体"/>
          <w:i/>
          <w:iCs/>
          <w:kern w:val="0"/>
          <w:sz w:val="24"/>
          <w:szCs w:val="24"/>
        </w:rPr>
        <w:t>Proc Natl Acad Sci U S A</w:t>
      </w:r>
      <w:r w:rsidRPr="005936B2">
        <w:rPr>
          <w:rFonts w:ascii="Book Antiqua" w:eastAsia="宋体" w:hAnsi="Book Antiqua" w:cs="宋体"/>
          <w:kern w:val="0"/>
          <w:sz w:val="24"/>
          <w:szCs w:val="24"/>
        </w:rPr>
        <w:t> 2000; </w:t>
      </w:r>
      <w:r w:rsidRPr="005936B2">
        <w:rPr>
          <w:rFonts w:ascii="Book Antiqua" w:eastAsia="宋体" w:hAnsi="Book Antiqua" w:cs="宋体"/>
          <w:b/>
          <w:bCs/>
          <w:kern w:val="0"/>
          <w:sz w:val="24"/>
          <w:szCs w:val="24"/>
        </w:rPr>
        <w:t>97</w:t>
      </w:r>
      <w:r w:rsidRPr="005936B2">
        <w:rPr>
          <w:rFonts w:ascii="Book Antiqua" w:eastAsia="宋体" w:hAnsi="Book Antiqua" w:cs="宋体"/>
          <w:kern w:val="0"/>
          <w:sz w:val="24"/>
          <w:szCs w:val="24"/>
        </w:rPr>
        <w:t>: 5450-5455 [PMID: 10805801 DOI: 10.1073/pnas.97.10.5450]</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109 </w:t>
      </w:r>
      <w:r w:rsidRPr="005936B2">
        <w:rPr>
          <w:rFonts w:ascii="Book Antiqua" w:eastAsia="宋体" w:hAnsi="Book Antiqua" w:cs="宋体"/>
          <w:b/>
          <w:bCs/>
          <w:kern w:val="0"/>
          <w:sz w:val="24"/>
          <w:szCs w:val="24"/>
        </w:rPr>
        <w:t>Chellan P</w:t>
      </w:r>
      <w:r w:rsidRPr="005936B2">
        <w:rPr>
          <w:rFonts w:ascii="Book Antiqua" w:eastAsia="宋体" w:hAnsi="Book Antiqua" w:cs="宋体"/>
          <w:kern w:val="0"/>
          <w:sz w:val="24"/>
          <w:szCs w:val="24"/>
        </w:rPr>
        <w:t xml:space="preserve">, Nagaraj RH. Early glycation products produce pentosidine cross-links on native proteins. </w:t>
      </w:r>
      <w:proofErr w:type="gramStart"/>
      <w:r w:rsidRPr="005936B2">
        <w:rPr>
          <w:rFonts w:ascii="Book Antiqua" w:eastAsia="宋体" w:hAnsi="Book Antiqua" w:cs="宋体"/>
          <w:kern w:val="0"/>
          <w:sz w:val="24"/>
          <w:szCs w:val="24"/>
        </w:rPr>
        <w:t>novel</w:t>
      </w:r>
      <w:proofErr w:type="gramEnd"/>
      <w:r w:rsidRPr="005936B2">
        <w:rPr>
          <w:rFonts w:ascii="Book Antiqua" w:eastAsia="宋体" w:hAnsi="Book Antiqua" w:cs="宋体"/>
          <w:kern w:val="0"/>
          <w:sz w:val="24"/>
          <w:szCs w:val="24"/>
        </w:rPr>
        <w:t xml:space="preserve"> mechanism of pentosidine formation and propagation of glycation.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2001; </w:t>
      </w:r>
      <w:r w:rsidRPr="005936B2">
        <w:rPr>
          <w:rFonts w:ascii="Book Antiqua" w:eastAsia="宋体" w:hAnsi="Book Antiqua" w:cs="宋体"/>
          <w:b/>
          <w:bCs/>
          <w:kern w:val="0"/>
          <w:sz w:val="24"/>
          <w:szCs w:val="24"/>
        </w:rPr>
        <w:t>276</w:t>
      </w:r>
      <w:r w:rsidRPr="005936B2">
        <w:rPr>
          <w:rFonts w:ascii="Book Antiqua" w:eastAsia="宋体" w:hAnsi="Book Antiqua" w:cs="宋体"/>
          <w:kern w:val="0"/>
          <w:sz w:val="24"/>
          <w:szCs w:val="24"/>
        </w:rPr>
        <w:t>: 3895-3903 [PMID: 11076948 DOI: 10.1074/jbc.M008626200]</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110 </w:t>
      </w:r>
      <w:r w:rsidRPr="005936B2">
        <w:rPr>
          <w:rFonts w:ascii="Book Antiqua" w:eastAsia="宋体" w:hAnsi="Book Antiqua" w:cs="宋体"/>
          <w:b/>
          <w:bCs/>
          <w:kern w:val="0"/>
          <w:sz w:val="24"/>
          <w:szCs w:val="24"/>
        </w:rPr>
        <w:t>Ott C</w:t>
      </w:r>
      <w:r w:rsidRPr="005936B2">
        <w:rPr>
          <w:rFonts w:ascii="Book Antiqua" w:eastAsia="宋体" w:hAnsi="Book Antiqua" w:cs="宋体"/>
          <w:kern w:val="0"/>
          <w:sz w:val="24"/>
          <w:szCs w:val="24"/>
        </w:rPr>
        <w:t>, Jacobs K, Haucke E, Navarrete Santos A, Grune T, Simm A. Role of advanced glycation end products in cellular signaling. </w:t>
      </w:r>
      <w:r w:rsidRPr="005936B2">
        <w:rPr>
          <w:rFonts w:ascii="Book Antiqua" w:eastAsia="宋体" w:hAnsi="Book Antiqua" w:cs="宋体"/>
          <w:i/>
          <w:iCs/>
          <w:kern w:val="0"/>
          <w:sz w:val="24"/>
          <w:szCs w:val="24"/>
        </w:rPr>
        <w:t>Redox Biol</w:t>
      </w:r>
      <w:r w:rsidRPr="005936B2">
        <w:rPr>
          <w:rFonts w:ascii="Book Antiqua" w:eastAsia="宋体" w:hAnsi="Book Antiqua" w:cs="宋体"/>
          <w:kern w:val="0"/>
          <w:sz w:val="24"/>
          <w:szCs w:val="24"/>
        </w:rPr>
        <w:t> 2014; </w:t>
      </w:r>
      <w:r w:rsidRPr="005936B2">
        <w:rPr>
          <w:rFonts w:ascii="Book Antiqua" w:eastAsia="宋体" w:hAnsi="Book Antiqua" w:cs="宋体"/>
          <w:b/>
          <w:bCs/>
          <w:kern w:val="0"/>
          <w:sz w:val="24"/>
          <w:szCs w:val="24"/>
        </w:rPr>
        <w:t>2</w:t>
      </w:r>
      <w:r w:rsidRPr="005936B2">
        <w:rPr>
          <w:rFonts w:ascii="Book Antiqua" w:eastAsia="宋体" w:hAnsi="Book Antiqua" w:cs="宋体"/>
          <w:kern w:val="0"/>
          <w:sz w:val="24"/>
          <w:szCs w:val="24"/>
        </w:rPr>
        <w:t>: 411-429 [PMID: 24624331 DOI: 10.1016/j.redox.2013.12.016]</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111 </w:t>
      </w:r>
      <w:r w:rsidRPr="005936B2">
        <w:rPr>
          <w:rFonts w:ascii="Book Antiqua" w:eastAsia="宋体" w:hAnsi="Book Antiqua" w:cs="宋体"/>
          <w:b/>
          <w:bCs/>
          <w:kern w:val="0"/>
          <w:sz w:val="24"/>
          <w:szCs w:val="24"/>
        </w:rPr>
        <w:t>Stirban A</w:t>
      </w:r>
      <w:r w:rsidRPr="005936B2">
        <w:rPr>
          <w:rFonts w:ascii="Book Antiqua" w:eastAsia="宋体" w:hAnsi="Book Antiqua" w:cs="宋体"/>
          <w:kern w:val="0"/>
          <w:sz w:val="24"/>
          <w:szCs w:val="24"/>
        </w:rPr>
        <w:t>, Gawlowski T, Roden M. Vascular effects of advanced glycation endproducts: Clinical effects and molecular mechanisms. </w:t>
      </w:r>
      <w:r w:rsidRPr="005936B2">
        <w:rPr>
          <w:rFonts w:ascii="Book Antiqua" w:eastAsia="宋体" w:hAnsi="Book Antiqua" w:cs="宋体"/>
          <w:i/>
          <w:iCs/>
          <w:kern w:val="0"/>
          <w:sz w:val="24"/>
          <w:szCs w:val="24"/>
        </w:rPr>
        <w:t>Mol Metab</w:t>
      </w:r>
      <w:r w:rsidRPr="005936B2">
        <w:rPr>
          <w:rFonts w:ascii="Book Antiqua" w:eastAsia="宋体" w:hAnsi="Book Antiqua" w:cs="宋体"/>
          <w:kern w:val="0"/>
          <w:sz w:val="24"/>
          <w:szCs w:val="24"/>
        </w:rPr>
        <w:t> 2014; </w:t>
      </w:r>
      <w:r w:rsidRPr="005936B2">
        <w:rPr>
          <w:rFonts w:ascii="Book Antiqua" w:eastAsia="宋体" w:hAnsi="Book Antiqua" w:cs="宋体"/>
          <w:b/>
          <w:bCs/>
          <w:kern w:val="0"/>
          <w:sz w:val="24"/>
          <w:szCs w:val="24"/>
        </w:rPr>
        <w:t>3</w:t>
      </w:r>
      <w:r w:rsidRPr="005936B2">
        <w:rPr>
          <w:rFonts w:ascii="Book Antiqua" w:eastAsia="宋体" w:hAnsi="Book Antiqua" w:cs="宋体"/>
          <w:kern w:val="0"/>
          <w:sz w:val="24"/>
          <w:szCs w:val="24"/>
        </w:rPr>
        <w:t>: 94-108 [PMID: 24634815]</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112 </w:t>
      </w:r>
      <w:r w:rsidRPr="005936B2">
        <w:rPr>
          <w:rFonts w:ascii="Book Antiqua" w:eastAsia="宋体" w:hAnsi="Book Antiqua" w:cs="宋体"/>
          <w:b/>
          <w:bCs/>
          <w:kern w:val="0"/>
          <w:sz w:val="24"/>
          <w:szCs w:val="24"/>
        </w:rPr>
        <w:t>Bulteau AL</w:t>
      </w:r>
      <w:r w:rsidRPr="005936B2">
        <w:rPr>
          <w:rFonts w:ascii="Book Antiqua" w:eastAsia="宋体" w:hAnsi="Book Antiqua" w:cs="宋体"/>
          <w:kern w:val="0"/>
          <w:sz w:val="24"/>
          <w:szCs w:val="24"/>
        </w:rPr>
        <w:t>, Verbeke P, Petropoulos I, Chaffotte AF, Friguet B. Proteasome inhibition in glyoxal-treated fibroblasts and resistance of glycated glucose-6-phosphate dehydrogenase to 20 S proteasome degradation in vitro.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2001; </w:t>
      </w:r>
      <w:r w:rsidRPr="005936B2">
        <w:rPr>
          <w:rFonts w:ascii="Book Antiqua" w:eastAsia="宋体" w:hAnsi="Book Antiqua" w:cs="宋体"/>
          <w:b/>
          <w:bCs/>
          <w:kern w:val="0"/>
          <w:sz w:val="24"/>
          <w:szCs w:val="24"/>
        </w:rPr>
        <w:t>276</w:t>
      </w:r>
      <w:r w:rsidRPr="005936B2">
        <w:rPr>
          <w:rFonts w:ascii="Book Antiqua" w:eastAsia="宋体" w:hAnsi="Book Antiqua" w:cs="宋体"/>
          <w:kern w:val="0"/>
          <w:sz w:val="24"/>
          <w:szCs w:val="24"/>
        </w:rPr>
        <w:t>: 45662-45668 [PMID: 11559702 DOI: 10.1074/jbc.M105374200]</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113 </w:t>
      </w:r>
      <w:r w:rsidRPr="005936B2">
        <w:rPr>
          <w:rFonts w:ascii="Book Antiqua" w:eastAsia="宋体" w:hAnsi="Book Antiqua" w:cs="宋体"/>
          <w:b/>
          <w:bCs/>
          <w:kern w:val="0"/>
          <w:sz w:val="24"/>
          <w:szCs w:val="24"/>
        </w:rPr>
        <w:t>Höhn A</w:t>
      </w:r>
      <w:r w:rsidRPr="005936B2">
        <w:rPr>
          <w:rFonts w:ascii="Book Antiqua" w:eastAsia="宋体" w:hAnsi="Book Antiqua" w:cs="宋体"/>
          <w:kern w:val="0"/>
          <w:sz w:val="24"/>
          <w:szCs w:val="24"/>
        </w:rPr>
        <w:t>, Jung T, Grune T. Pathophysiological importance of aggregated damaged proteins. </w:t>
      </w:r>
      <w:r w:rsidRPr="005936B2">
        <w:rPr>
          <w:rFonts w:ascii="Book Antiqua" w:eastAsia="宋体" w:hAnsi="Book Antiqua" w:cs="宋体"/>
          <w:i/>
          <w:iCs/>
          <w:kern w:val="0"/>
          <w:sz w:val="24"/>
          <w:szCs w:val="24"/>
        </w:rPr>
        <w:t>Free Radic Biol Med</w:t>
      </w:r>
      <w:r w:rsidRPr="005936B2">
        <w:rPr>
          <w:rFonts w:ascii="Book Antiqua" w:eastAsia="宋体" w:hAnsi="Book Antiqua" w:cs="宋体"/>
          <w:kern w:val="0"/>
          <w:sz w:val="24"/>
          <w:szCs w:val="24"/>
        </w:rPr>
        <w:t> 2014; </w:t>
      </w:r>
      <w:r w:rsidRPr="005936B2">
        <w:rPr>
          <w:rFonts w:ascii="Book Antiqua" w:eastAsia="宋体" w:hAnsi="Book Antiqua" w:cs="宋体"/>
          <w:b/>
          <w:bCs/>
          <w:kern w:val="0"/>
          <w:sz w:val="24"/>
          <w:szCs w:val="24"/>
        </w:rPr>
        <w:t>71</w:t>
      </w:r>
      <w:r w:rsidRPr="005936B2">
        <w:rPr>
          <w:rFonts w:ascii="Book Antiqua" w:eastAsia="宋体" w:hAnsi="Book Antiqua" w:cs="宋体"/>
          <w:kern w:val="0"/>
          <w:sz w:val="24"/>
          <w:szCs w:val="24"/>
        </w:rPr>
        <w:t>: 70-89 [PMID: 24632383 DOI: 10.1016/j.freeradbiomed.2014.02.028]</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lastRenderedPageBreak/>
        <w:t>114 </w:t>
      </w:r>
      <w:r w:rsidRPr="005936B2">
        <w:rPr>
          <w:rFonts w:ascii="Book Antiqua" w:eastAsia="宋体" w:hAnsi="Book Antiqua" w:cs="宋体"/>
          <w:b/>
          <w:bCs/>
          <w:kern w:val="0"/>
          <w:sz w:val="24"/>
          <w:szCs w:val="24"/>
        </w:rPr>
        <w:t>Grimm S</w:t>
      </w:r>
      <w:r w:rsidRPr="005936B2">
        <w:rPr>
          <w:rFonts w:ascii="Book Antiqua" w:eastAsia="宋体" w:hAnsi="Book Antiqua" w:cs="宋体"/>
          <w:kern w:val="0"/>
          <w:sz w:val="24"/>
          <w:szCs w:val="24"/>
        </w:rPr>
        <w:t>, Ott C, Hörlacher M, Weber D, Höhn A, Grune T. Advanced-glycation-end-product-induced formation of immunoproteasomes: involvement of RAGE and Jak2/STAT1. </w:t>
      </w:r>
      <w:r w:rsidRPr="005936B2">
        <w:rPr>
          <w:rFonts w:ascii="Book Antiqua" w:eastAsia="宋体" w:hAnsi="Book Antiqua" w:cs="宋体"/>
          <w:i/>
          <w:iCs/>
          <w:kern w:val="0"/>
          <w:sz w:val="24"/>
          <w:szCs w:val="24"/>
        </w:rPr>
        <w:t>Biochem J</w:t>
      </w:r>
      <w:r w:rsidRPr="005936B2">
        <w:rPr>
          <w:rFonts w:ascii="Book Antiqua" w:eastAsia="宋体" w:hAnsi="Book Antiqua" w:cs="宋体"/>
          <w:kern w:val="0"/>
          <w:sz w:val="24"/>
          <w:szCs w:val="24"/>
        </w:rPr>
        <w:t> 2012; </w:t>
      </w:r>
      <w:r w:rsidRPr="005936B2">
        <w:rPr>
          <w:rFonts w:ascii="Book Antiqua" w:eastAsia="宋体" w:hAnsi="Book Antiqua" w:cs="宋体"/>
          <w:b/>
          <w:bCs/>
          <w:kern w:val="0"/>
          <w:sz w:val="24"/>
          <w:szCs w:val="24"/>
        </w:rPr>
        <w:t>448</w:t>
      </w:r>
      <w:r w:rsidRPr="005936B2">
        <w:rPr>
          <w:rFonts w:ascii="Book Antiqua" w:eastAsia="宋体" w:hAnsi="Book Antiqua" w:cs="宋体"/>
          <w:kern w:val="0"/>
          <w:sz w:val="24"/>
          <w:szCs w:val="24"/>
        </w:rPr>
        <w:t>: 127-139 [PMID: 22892029 DOI: 10.1042/BJ20120298]</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115 </w:t>
      </w:r>
      <w:r w:rsidRPr="005936B2">
        <w:rPr>
          <w:rFonts w:ascii="Book Antiqua" w:eastAsia="宋体" w:hAnsi="Book Antiqua" w:cs="宋体"/>
          <w:b/>
          <w:bCs/>
          <w:kern w:val="0"/>
          <w:sz w:val="24"/>
          <w:szCs w:val="24"/>
        </w:rPr>
        <w:t>Henle T</w:t>
      </w:r>
      <w:r w:rsidRPr="005936B2">
        <w:rPr>
          <w:rFonts w:ascii="Book Antiqua" w:eastAsia="宋体" w:hAnsi="Book Antiqua" w:cs="宋体"/>
          <w:kern w:val="0"/>
          <w:sz w:val="24"/>
          <w:szCs w:val="24"/>
        </w:rPr>
        <w:t>. AGEs in foods: do they play a role in uremia? </w:t>
      </w:r>
      <w:r w:rsidRPr="005936B2">
        <w:rPr>
          <w:rFonts w:ascii="Book Antiqua" w:eastAsia="宋体" w:hAnsi="Book Antiqua" w:cs="宋体"/>
          <w:i/>
          <w:iCs/>
          <w:kern w:val="0"/>
          <w:sz w:val="24"/>
          <w:szCs w:val="24"/>
        </w:rPr>
        <w:t>Kidney Int Suppl</w:t>
      </w:r>
      <w:r w:rsidRPr="005936B2">
        <w:rPr>
          <w:rFonts w:ascii="Book Antiqua" w:eastAsia="宋体" w:hAnsi="Book Antiqua" w:cs="宋体"/>
          <w:kern w:val="0"/>
          <w:sz w:val="24"/>
          <w:szCs w:val="24"/>
        </w:rPr>
        <w:t> 2003;</w:t>
      </w:r>
      <w:r w:rsidRPr="005936B2">
        <w:rPr>
          <w:rFonts w:ascii="Book Antiqua" w:eastAsia="宋体" w:hAnsi="Book Antiqua" w:cs="宋体"/>
          <w:b/>
          <w:kern w:val="0"/>
          <w:sz w:val="24"/>
          <w:szCs w:val="24"/>
        </w:rPr>
        <w:t> (84):</w:t>
      </w:r>
      <w:r w:rsidRPr="005936B2">
        <w:rPr>
          <w:rFonts w:ascii="Book Antiqua" w:eastAsia="宋体" w:hAnsi="Book Antiqua" w:cs="宋体"/>
          <w:kern w:val="0"/>
          <w:sz w:val="24"/>
          <w:szCs w:val="24"/>
        </w:rPr>
        <w:t xml:space="preserve"> S145-S147 [PMID: 12694332 DOI: 10.1046/j.1523-1755.63.s84.16.x]</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 xml:space="preserve">116 </w:t>
      </w:r>
      <w:r w:rsidRPr="005936B2">
        <w:rPr>
          <w:rFonts w:ascii="Book Antiqua" w:eastAsia="宋体" w:hAnsi="Book Antiqua" w:cs="宋体"/>
          <w:b/>
          <w:kern w:val="0"/>
          <w:sz w:val="24"/>
          <w:szCs w:val="24"/>
        </w:rPr>
        <w:t>Lee K,</w:t>
      </w:r>
      <w:r w:rsidRPr="005936B2">
        <w:rPr>
          <w:rFonts w:ascii="Book Antiqua" w:eastAsia="宋体" w:hAnsi="Book Antiqua" w:cs="宋体"/>
          <w:kern w:val="0"/>
          <w:sz w:val="24"/>
          <w:szCs w:val="24"/>
        </w:rPr>
        <w:t xml:space="preserve"> Erbersdobler HF. In: Labuza TP, Reineccius GA, Monnier VM, O'Brien J and Baynes JW, eds. Maillard Reaction in Chemistry, Food and Health. The Royal Society of Chemistry Cambridge UK: 1994, 358–363 </w:t>
      </w:r>
    </w:p>
    <w:p w:rsidR="007A0C7D" w:rsidRPr="005936B2" w:rsidRDefault="007A0C7D" w:rsidP="007A0C7D">
      <w:pPr>
        <w:widowControl/>
        <w:spacing w:line="360" w:lineRule="auto"/>
        <w:rPr>
          <w:rFonts w:ascii="Book Antiqua" w:hAnsi="Book Antiqua" w:cs="Book Antiqua"/>
          <w:sz w:val="24"/>
          <w:szCs w:val="24"/>
        </w:rPr>
      </w:pPr>
      <w:proofErr w:type="gramStart"/>
      <w:r w:rsidRPr="005936B2">
        <w:rPr>
          <w:rFonts w:ascii="Book Antiqua" w:eastAsia="宋体" w:hAnsi="Book Antiqua" w:cs="宋体"/>
          <w:kern w:val="0"/>
          <w:sz w:val="24"/>
          <w:szCs w:val="24"/>
        </w:rPr>
        <w:t>117</w:t>
      </w:r>
      <w:r w:rsidRPr="005936B2">
        <w:rPr>
          <w:rFonts w:ascii="Book Antiqua" w:hAnsi="Book Antiqua" w:cs="Book Antiqua"/>
          <w:b/>
          <w:bCs/>
          <w:sz w:val="24"/>
          <w:szCs w:val="24"/>
        </w:rPr>
        <w:t xml:space="preserve"> Finot PA</w:t>
      </w:r>
      <w:r w:rsidRPr="005936B2">
        <w:rPr>
          <w:rFonts w:ascii="Book Antiqua" w:hAnsi="Book Antiqua" w:cs="Book Antiqua"/>
          <w:sz w:val="24"/>
          <w:szCs w:val="24"/>
        </w:rPr>
        <w:t>.</w:t>
      </w:r>
      <w:proofErr w:type="gramEnd"/>
      <w:r w:rsidRPr="005936B2">
        <w:rPr>
          <w:rFonts w:ascii="Book Antiqua" w:hAnsi="Book Antiqua" w:cs="Book Antiqua"/>
          <w:sz w:val="24"/>
          <w:szCs w:val="24"/>
        </w:rPr>
        <w:t xml:space="preserve"> </w:t>
      </w:r>
      <w:proofErr w:type="gramStart"/>
      <w:r w:rsidRPr="005936B2">
        <w:rPr>
          <w:rFonts w:ascii="Book Antiqua" w:hAnsi="Book Antiqua" w:cs="Book Antiqua"/>
          <w:sz w:val="24"/>
          <w:szCs w:val="24"/>
        </w:rPr>
        <w:t>Metabolism and physiological effects of Maillard reactions products.</w:t>
      </w:r>
      <w:proofErr w:type="gramEnd"/>
      <w:r w:rsidRPr="005936B2">
        <w:rPr>
          <w:rFonts w:ascii="Book Antiqua" w:hAnsi="Book Antiqua" w:cs="Book Antiqua"/>
          <w:sz w:val="24"/>
          <w:szCs w:val="24"/>
        </w:rPr>
        <w:t xml:space="preserve"> In: Finot PA, Aeschbacher HU, Hurrell RF and Liardon R. </w:t>
      </w:r>
      <w:proofErr w:type="gramStart"/>
      <w:r w:rsidRPr="005936B2">
        <w:rPr>
          <w:rFonts w:ascii="Book Antiqua" w:hAnsi="Book Antiqua" w:cs="Book Antiqua"/>
          <w:sz w:val="24"/>
          <w:szCs w:val="24"/>
        </w:rPr>
        <w:t>The Maillard reaction in food processing, human nutrition and physiology.</w:t>
      </w:r>
      <w:proofErr w:type="gramEnd"/>
      <w:r w:rsidRPr="005936B2">
        <w:rPr>
          <w:rFonts w:ascii="Book Antiqua" w:hAnsi="Book Antiqua" w:cs="Book Antiqua"/>
          <w:sz w:val="24"/>
          <w:szCs w:val="24"/>
        </w:rPr>
        <w:t xml:space="preserve"> Basel: Birkhäuser, 1990: 259-272 </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118 </w:t>
      </w:r>
      <w:r w:rsidRPr="005936B2">
        <w:rPr>
          <w:rFonts w:ascii="Book Antiqua" w:eastAsia="宋体" w:hAnsi="Book Antiqua" w:cs="宋体"/>
          <w:b/>
          <w:bCs/>
          <w:kern w:val="0"/>
          <w:sz w:val="24"/>
          <w:szCs w:val="24"/>
        </w:rPr>
        <w:t>Wiame E</w:t>
      </w:r>
      <w:r w:rsidRPr="005936B2">
        <w:rPr>
          <w:rFonts w:ascii="Book Antiqua" w:eastAsia="宋体" w:hAnsi="Book Antiqua" w:cs="宋体"/>
          <w:kern w:val="0"/>
          <w:sz w:val="24"/>
          <w:szCs w:val="24"/>
        </w:rPr>
        <w:t>, Delpierre G, Collard F, Van Schaftingen E. Identification of a pathway for the utilization of the Amadori product fructoselysine in Escherichia coli.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2002; </w:t>
      </w:r>
      <w:r w:rsidRPr="005936B2">
        <w:rPr>
          <w:rFonts w:ascii="Book Antiqua" w:eastAsia="宋体" w:hAnsi="Book Antiqua" w:cs="宋体"/>
          <w:b/>
          <w:bCs/>
          <w:kern w:val="0"/>
          <w:sz w:val="24"/>
          <w:szCs w:val="24"/>
        </w:rPr>
        <w:t>277</w:t>
      </w:r>
      <w:r w:rsidRPr="005936B2">
        <w:rPr>
          <w:rFonts w:ascii="Book Antiqua" w:eastAsia="宋体" w:hAnsi="Book Antiqua" w:cs="宋体"/>
          <w:kern w:val="0"/>
          <w:sz w:val="24"/>
          <w:szCs w:val="24"/>
        </w:rPr>
        <w:t>: 42523-42529 [PMID: 12147680 DOI: 10.1074/jbc.M200863200]</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119 </w:t>
      </w:r>
      <w:r w:rsidRPr="005936B2">
        <w:rPr>
          <w:rFonts w:ascii="Book Antiqua" w:eastAsia="宋体" w:hAnsi="Book Antiqua" w:cs="宋体"/>
          <w:b/>
          <w:bCs/>
          <w:kern w:val="0"/>
          <w:sz w:val="24"/>
          <w:szCs w:val="24"/>
        </w:rPr>
        <w:t>Finot PA</w:t>
      </w:r>
      <w:r w:rsidRPr="005936B2">
        <w:rPr>
          <w:rFonts w:ascii="Book Antiqua" w:eastAsia="宋体" w:hAnsi="Book Antiqua" w:cs="宋体"/>
          <w:kern w:val="0"/>
          <w:sz w:val="24"/>
          <w:szCs w:val="24"/>
        </w:rPr>
        <w:t>, Magnenat E, Mottu F, Bujard E. [Biologic availability and metabolic transit of amino acids modified by technological processing]. </w:t>
      </w:r>
      <w:r w:rsidRPr="005936B2">
        <w:rPr>
          <w:rFonts w:ascii="Book Antiqua" w:eastAsia="宋体" w:hAnsi="Book Antiqua" w:cs="宋体"/>
          <w:i/>
          <w:iCs/>
          <w:kern w:val="0"/>
          <w:sz w:val="24"/>
          <w:szCs w:val="24"/>
        </w:rPr>
        <w:t>Ann Nutr Aliment</w:t>
      </w:r>
      <w:r w:rsidRPr="005936B2">
        <w:rPr>
          <w:rFonts w:ascii="Book Antiqua" w:eastAsia="宋体" w:hAnsi="Book Antiqua" w:cs="宋体"/>
          <w:kern w:val="0"/>
          <w:sz w:val="24"/>
          <w:szCs w:val="24"/>
        </w:rPr>
        <w:t> 1978; </w:t>
      </w:r>
      <w:r w:rsidRPr="005936B2">
        <w:rPr>
          <w:rFonts w:ascii="Book Antiqua" w:eastAsia="宋体" w:hAnsi="Book Antiqua" w:cs="宋体"/>
          <w:b/>
          <w:bCs/>
          <w:kern w:val="0"/>
          <w:sz w:val="24"/>
          <w:szCs w:val="24"/>
        </w:rPr>
        <w:t>32</w:t>
      </w:r>
      <w:r w:rsidRPr="005936B2">
        <w:rPr>
          <w:rFonts w:ascii="Book Antiqua" w:eastAsia="宋体" w:hAnsi="Book Antiqua" w:cs="宋体"/>
          <w:kern w:val="0"/>
          <w:sz w:val="24"/>
          <w:szCs w:val="24"/>
        </w:rPr>
        <w:t>: 326-338 [PMID: 707918]</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120</w:t>
      </w:r>
      <w:r w:rsidRPr="005936B2">
        <w:rPr>
          <w:rFonts w:ascii="Book Antiqua" w:eastAsia="宋体" w:hAnsi="Book Antiqua" w:cs="宋体"/>
          <w:b/>
          <w:kern w:val="0"/>
          <w:sz w:val="24"/>
          <w:szCs w:val="24"/>
        </w:rPr>
        <w:t xml:space="preserve"> Oste RE</w:t>
      </w:r>
      <w:r w:rsidRPr="005936B2">
        <w:rPr>
          <w:rFonts w:ascii="Book Antiqua" w:eastAsia="宋体" w:hAnsi="Book Antiqua" w:cs="宋体"/>
          <w:kern w:val="0"/>
          <w:sz w:val="24"/>
          <w:szCs w:val="24"/>
        </w:rPr>
        <w:t xml:space="preserve">, Miller R, Sjorstrom H, Noren O. Effect os Maillard reaction-products on protein digestion-studies on pure compounds. </w:t>
      </w:r>
      <w:r w:rsidRPr="005936B2">
        <w:rPr>
          <w:rFonts w:ascii="Book Antiqua" w:eastAsia="宋体" w:hAnsi="Book Antiqua" w:cs="宋体"/>
          <w:i/>
          <w:kern w:val="0"/>
          <w:sz w:val="24"/>
          <w:szCs w:val="24"/>
        </w:rPr>
        <w:t>J Agric Food Chem</w:t>
      </w:r>
      <w:r w:rsidRPr="005936B2">
        <w:rPr>
          <w:rFonts w:ascii="Book Antiqua" w:eastAsia="宋体" w:hAnsi="Book Antiqua" w:cs="宋体"/>
          <w:kern w:val="0"/>
          <w:sz w:val="24"/>
          <w:szCs w:val="24"/>
        </w:rPr>
        <w:t xml:space="preserve"> 1987; </w:t>
      </w:r>
      <w:r w:rsidRPr="005936B2">
        <w:rPr>
          <w:rFonts w:ascii="Book Antiqua" w:eastAsia="宋体" w:hAnsi="Book Antiqua" w:cs="宋体"/>
          <w:b/>
          <w:kern w:val="0"/>
          <w:sz w:val="24"/>
          <w:szCs w:val="24"/>
        </w:rPr>
        <w:t>35</w:t>
      </w:r>
      <w:r w:rsidRPr="005936B2">
        <w:rPr>
          <w:rFonts w:ascii="Book Antiqua" w:eastAsia="宋体" w:hAnsi="Book Antiqua" w:cs="宋体"/>
          <w:kern w:val="0"/>
          <w:sz w:val="24"/>
          <w:szCs w:val="24"/>
        </w:rPr>
        <w:t>: 938-942 [DOI: 10.1021/jf00078a020]</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121 </w:t>
      </w:r>
      <w:r w:rsidRPr="005936B2">
        <w:rPr>
          <w:rFonts w:ascii="Book Antiqua" w:eastAsia="宋体" w:hAnsi="Book Antiqua" w:cs="宋体"/>
          <w:b/>
          <w:bCs/>
          <w:kern w:val="0"/>
          <w:sz w:val="24"/>
          <w:szCs w:val="24"/>
        </w:rPr>
        <w:t>Ahmed N</w:t>
      </w:r>
      <w:r w:rsidRPr="005936B2">
        <w:rPr>
          <w:rFonts w:ascii="Book Antiqua" w:eastAsia="宋体" w:hAnsi="Book Antiqua" w:cs="宋体"/>
          <w:kern w:val="0"/>
          <w:sz w:val="24"/>
          <w:szCs w:val="24"/>
        </w:rPr>
        <w:t>, Thornalley PJ, Lüthen R, Häussinger D, Sebekova K, Schinzel R, Voelker W, Heidland A. Processing of protein glycation, oxidation and nitrosation adducts in the liver and the effect of cirrhosis. </w:t>
      </w:r>
      <w:r w:rsidRPr="005936B2">
        <w:rPr>
          <w:rFonts w:ascii="Book Antiqua" w:eastAsia="宋体" w:hAnsi="Book Antiqua" w:cs="宋体"/>
          <w:i/>
          <w:iCs/>
          <w:kern w:val="0"/>
          <w:sz w:val="24"/>
          <w:szCs w:val="24"/>
        </w:rPr>
        <w:t>J Hepatol</w:t>
      </w:r>
      <w:r w:rsidRPr="005936B2">
        <w:rPr>
          <w:rFonts w:ascii="Book Antiqua" w:eastAsia="宋体" w:hAnsi="Book Antiqua" w:cs="宋体"/>
          <w:kern w:val="0"/>
          <w:sz w:val="24"/>
          <w:szCs w:val="24"/>
        </w:rPr>
        <w:t> 2004; </w:t>
      </w:r>
      <w:r w:rsidRPr="005936B2">
        <w:rPr>
          <w:rFonts w:ascii="Book Antiqua" w:eastAsia="宋体" w:hAnsi="Book Antiqua" w:cs="宋体"/>
          <w:b/>
          <w:bCs/>
          <w:kern w:val="0"/>
          <w:sz w:val="24"/>
          <w:szCs w:val="24"/>
        </w:rPr>
        <w:t>41</w:t>
      </w:r>
      <w:r w:rsidRPr="005936B2">
        <w:rPr>
          <w:rFonts w:ascii="Book Antiqua" w:eastAsia="宋体" w:hAnsi="Book Antiqua" w:cs="宋体"/>
          <w:kern w:val="0"/>
          <w:sz w:val="24"/>
          <w:szCs w:val="24"/>
        </w:rPr>
        <w:t>: 913-919 [PMID: 15582123 DOI: 10.1016/j.jhep.2004.08.007]</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122</w:t>
      </w:r>
      <w:r w:rsidRPr="005936B2">
        <w:rPr>
          <w:rFonts w:ascii="Book Antiqua" w:eastAsia="宋体" w:hAnsi="Book Antiqua" w:cs="宋体"/>
          <w:b/>
          <w:kern w:val="0"/>
          <w:sz w:val="24"/>
          <w:szCs w:val="24"/>
        </w:rPr>
        <w:t xml:space="preserve"> Liardon R,</w:t>
      </w:r>
      <w:r w:rsidRPr="005936B2">
        <w:rPr>
          <w:rFonts w:ascii="Book Antiqua" w:eastAsia="宋体" w:hAnsi="Book Antiqua" w:cs="宋体"/>
          <w:kern w:val="0"/>
          <w:sz w:val="24"/>
          <w:szCs w:val="24"/>
        </w:rPr>
        <w:t xml:space="preserve"> De Weck-Gaudard D, Philippossian G, Finot P-A. Identification of N</w:t>
      </w:r>
      <w:r w:rsidRPr="005936B2">
        <w:rPr>
          <w:rFonts w:ascii="Book Antiqua" w:eastAsia="宋体" w:hAnsi="Book Antiqua" w:cs="宋体"/>
          <w:kern w:val="0"/>
          <w:sz w:val="24"/>
          <w:szCs w:val="24"/>
        </w:rPr>
        <w:sym w:font="Symbol" w:char="F065"/>
      </w:r>
      <w:r w:rsidRPr="005936B2">
        <w:rPr>
          <w:rFonts w:ascii="Book Antiqua" w:eastAsia="宋体" w:hAnsi="Book Antiqua" w:cs="宋体"/>
          <w:kern w:val="0"/>
          <w:sz w:val="24"/>
          <w:szCs w:val="24"/>
        </w:rPr>
        <w:t>-carboxymethyllysine: a new Maillard reaction product, in rat urine.</w:t>
      </w:r>
      <w:r w:rsidRPr="005936B2">
        <w:rPr>
          <w:rFonts w:ascii="Book Antiqua" w:eastAsia="宋体" w:hAnsi="Book Antiqua" w:cs="宋体"/>
          <w:i/>
          <w:kern w:val="0"/>
          <w:sz w:val="24"/>
          <w:szCs w:val="24"/>
        </w:rPr>
        <w:t xml:space="preserve"> J Agr Food Chem </w:t>
      </w:r>
      <w:r w:rsidRPr="005936B2">
        <w:rPr>
          <w:rFonts w:ascii="Book Antiqua" w:eastAsia="宋体" w:hAnsi="Book Antiqua" w:cs="宋体"/>
          <w:kern w:val="0"/>
          <w:sz w:val="24"/>
          <w:szCs w:val="24"/>
        </w:rPr>
        <w:t xml:space="preserve">1987; </w:t>
      </w:r>
      <w:r w:rsidRPr="005936B2">
        <w:rPr>
          <w:rFonts w:ascii="Book Antiqua" w:eastAsia="宋体" w:hAnsi="Book Antiqua" w:cs="宋体"/>
          <w:b/>
          <w:kern w:val="0"/>
          <w:sz w:val="24"/>
          <w:szCs w:val="24"/>
        </w:rPr>
        <w:t>35</w:t>
      </w:r>
      <w:r w:rsidRPr="005936B2">
        <w:rPr>
          <w:rFonts w:ascii="Book Antiqua" w:eastAsia="宋体" w:hAnsi="Book Antiqua" w:cs="宋体"/>
          <w:kern w:val="0"/>
          <w:sz w:val="24"/>
          <w:szCs w:val="24"/>
        </w:rPr>
        <w:t>: 427-431 [DOI: 10.1021/jf00075a035]</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123 </w:t>
      </w:r>
      <w:r w:rsidRPr="005936B2">
        <w:rPr>
          <w:rFonts w:ascii="Book Antiqua" w:eastAsia="宋体" w:hAnsi="Book Antiqua" w:cs="宋体"/>
          <w:b/>
          <w:bCs/>
          <w:kern w:val="0"/>
          <w:sz w:val="24"/>
          <w:szCs w:val="24"/>
        </w:rPr>
        <w:t>Germond JE</w:t>
      </w:r>
      <w:r w:rsidRPr="005936B2">
        <w:rPr>
          <w:rFonts w:ascii="Book Antiqua" w:eastAsia="宋体" w:hAnsi="Book Antiqua" w:cs="宋体"/>
          <w:kern w:val="0"/>
          <w:sz w:val="24"/>
          <w:szCs w:val="24"/>
        </w:rPr>
        <w:t>, Philippossian G, Richli U, Bracco I, Arnaud MJ. Rapid and complete urinary elimination of [14C]-5-hydroxymethyl-2-furaldehyde administered orally or intravenously to rats. </w:t>
      </w:r>
      <w:r w:rsidRPr="005936B2">
        <w:rPr>
          <w:rFonts w:ascii="Book Antiqua" w:eastAsia="宋体" w:hAnsi="Book Antiqua" w:cs="宋体"/>
          <w:i/>
          <w:iCs/>
          <w:kern w:val="0"/>
          <w:sz w:val="24"/>
          <w:szCs w:val="24"/>
        </w:rPr>
        <w:t>J Toxicol Environ Health</w:t>
      </w:r>
      <w:r w:rsidRPr="005936B2">
        <w:rPr>
          <w:rFonts w:ascii="Book Antiqua" w:eastAsia="宋体" w:hAnsi="Book Antiqua" w:cs="宋体"/>
          <w:kern w:val="0"/>
          <w:sz w:val="24"/>
          <w:szCs w:val="24"/>
        </w:rPr>
        <w:t> 1987; </w:t>
      </w:r>
      <w:r w:rsidRPr="005936B2">
        <w:rPr>
          <w:rFonts w:ascii="Book Antiqua" w:eastAsia="宋体" w:hAnsi="Book Antiqua" w:cs="宋体"/>
          <w:b/>
          <w:bCs/>
          <w:kern w:val="0"/>
          <w:sz w:val="24"/>
          <w:szCs w:val="24"/>
        </w:rPr>
        <w:t>22</w:t>
      </w:r>
      <w:r w:rsidRPr="005936B2">
        <w:rPr>
          <w:rFonts w:ascii="Book Antiqua" w:eastAsia="宋体" w:hAnsi="Book Antiqua" w:cs="宋体"/>
          <w:kern w:val="0"/>
          <w:sz w:val="24"/>
          <w:szCs w:val="24"/>
        </w:rPr>
        <w:t>: 79-89 [PMID: 3612837 DOI: 10.1080/15287398709531052]</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lastRenderedPageBreak/>
        <w:t>124 </w:t>
      </w:r>
      <w:r w:rsidRPr="005936B2">
        <w:rPr>
          <w:rFonts w:ascii="Book Antiqua" w:eastAsia="宋体" w:hAnsi="Book Antiqua" w:cs="宋体"/>
          <w:b/>
          <w:bCs/>
          <w:kern w:val="0"/>
          <w:sz w:val="24"/>
          <w:szCs w:val="24"/>
        </w:rPr>
        <w:t>Koschinsky T</w:t>
      </w:r>
      <w:r w:rsidRPr="005936B2">
        <w:rPr>
          <w:rFonts w:ascii="Book Antiqua" w:eastAsia="宋体" w:hAnsi="Book Antiqua" w:cs="宋体"/>
          <w:kern w:val="0"/>
          <w:sz w:val="24"/>
          <w:szCs w:val="24"/>
        </w:rPr>
        <w:t>, He CJ, Mitsuhashi T, Bucala R, Liu C, Buenting C, Heitmann K, Vlassara H. Orally absorbed reactive glycation products (glycotoxins): an environmental risk factor in diabetic nephropathy. </w:t>
      </w:r>
      <w:r w:rsidRPr="005936B2">
        <w:rPr>
          <w:rFonts w:ascii="Book Antiqua" w:eastAsia="宋体" w:hAnsi="Book Antiqua" w:cs="宋体"/>
          <w:i/>
          <w:iCs/>
          <w:kern w:val="0"/>
          <w:sz w:val="24"/>
          <w:szCs w:val="24"/>
        </w:rPr>
        <w:t>Proc Natl Acad Sci U S A</w:t>
      </w:r>
      <w:r w:rsidRPr="005936B2">
        <w:rPr>
          <w:rFonts w:ascii="Book Antiqua" w:eastAsia="宋体" w:hAnsi="Book Antiqua" w:cs="宋体"/>
          <w:kern w:val="0"/>
          <w:sz w:val="24"/>
          <w:szCs w:val="24"/>
        </w:rPr>
        <w:t> 1997; </w:t>
      </w:r>
      <w:r w:rsidRPr="005936B2">
        <w:rPr>
          <w:rFonts w:ascii="Book Antiqua" w:eastAsia="宋体" w:hAnsi="Book Antiqua" w:cs="宋体"/>
          <w:b/>
          <w:bCs/>
          <w:kern w:val="0"/>
          <w:sz w:val="24"/>
          <w:szCs w:val="24"/>
        </w:rPr>
        <w:t>94</w:t>
      </w:r>
      <w:r w:rsidRPr="005936B2">
        <w:rPr>
          <w:rFonts w:ascii="Book Antiqua" w:eastAsia="宋体" w:hAnsi="Book Antiqua" w:cs="宋体"/>
          <w:kern w:val="0"/>
          <w:sz w:val="24"/>
          <w:szCs w:val="24"/>
        </w:rPr>
        <w:t>: 6474-6479 [PMID: 9177242 DOI: 10.1073/pnas.94.12.6474]</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125 </w:t>
      </w:r>
      <w:r w:rsidRPr="005936B2">
        <w:rPr>
          <w:rFonts w:ascii="Book Antiqua" w:eastAsia="宋体" w:hAnsi="Book Antiqua" w:cs="宋体"/>
          <w:b/>
          <w:bCs/>
          <w:kern w:val="0"/>
          <w:sz w:val="24"/>
          <w:szCs w:val="24"/>
        </w:rPr>
        <w:t>Yang Z</w:t>
      </w:r>
      <w:r w:rsidRPr="005936B2">
        <w:rPr>
          <w:rFonts w:ascii="Book Antiqua" w:eastAsia="宋体" w:hAnsi="Book Antiqua" w:cs="宋体"/>
          <w:kern w:val="0"/>
          <w:sz w:val="24"/>
          <w:szCs w:val="24"/>
        </w:rPr>
        <w:t>, Makita Z, Horii Y, Brunelle S, Cerami A, Sehajpal P, Suthanthiran M, Vlassara H. Two novel rat liver membrane proteins that bind advanced glycosylation endproducts: relationship to macrophage receptor for glucose-modified proteins. </w:t>
      </w:r>
      <w:r w:rsidRPr="005936B2">
        <w:rPr>
          <w:rFonts w:ascii="Book Antiqua" w:eastAsia="宋体" w:hAnsi="Book Antiqua" w:cs="宋体"/>
          <w:i/>
          <w:iCs/>
          <w:kern w:val="0"/>
          <w:sz w:val="24"/>
          <w:szCs w:val="24"/>
        </w:rPr>
        <w:t>J Exp Med</w:t>
      </w:r>
      <w:r w:rsidRPr="005936B2">
        <w:rPr>
          <w:rFonts w:ascii="Book Antiqua" w:eastAsia="宋体" w:hAnsi="Book Antiqua" w:cs="宋体"/>
          <w:kern w:val="0"/>
          <w:sz w:val="24"/>
          <w:szCs w:val="24"/>
        </w:rPr>
        <w:t> 1991; </w:t>
      </w:r>
      <w:r w:rsidRPr="005936B2">
        <w:rPr>
          <w:rFonts w:ascii="Book Antiqua" w:eastAsia="宋体" w:hAnsi="Book Antiqua" w:cs="宋体"/>
          <w:b/>
          <w:bCs/>
          <w:kern w:val="0"/>
          <w:sz w:val="24"/>
          <w:szCs w:val="24"/>
        </w:rPr>
        <w:t>174</w:t>
      </w:r>
      <w:r w:rsidRPr="005936B2">
        <w:rPr>
          <w:rFonts w:ascii="Book Antiqua" w:eastAsia="宋体" w:hAnsi="Book Antiqua" w:cs="宋体"/>
          <w:kern w:val="0"/>
          <w:sz w:val="24"/>
          <w:szCs w:val="24"/>
        </w:rPr>
        <w:t>: 515-524 [PMID: 1651976 DOI: 10.1084/jem.174.3.515]</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126 </w:t>
      </w:r>
      <w:r w:rsidRPr="005936B2">
        <w:rPr>
          <w:rFonts w:ascii="Book Antiqua" w:eastAsia="宋体" w:hAnsi="Book Antiqua" w:cs="宋体"/>
          <w:b/>
          <w:bCs/>
          <w:kern w:val="0"/>
          <w:sz w:val="24"/>
          <w:szCs w:val="24"/>
        </w:rPr>
        <w:t>Li YM</w:t>
      </w:r>
      <w:r w:rsidRPr="005936B2">
        <w:rPr>
          <w:rFonts w:ascii="Book Antiqua" w:eastAsia="宋体" w:hAnsi="Book Antiqua" w:cs="宋体"/>
          <w:kern w:val="0"/>
          <w:sz w:val="24"/>
          <w:szCs w:val="24"/>
        </w:rPr>
        <w:t>, Mitsuhashi T, Wojciechowicz D, Shimizu N, Li J, Stitt A, He C, Banerjee D, Vlassara H. Molecular identity and cellular distribution of advanced glycation endproduct receptors: relationship of p60 to OST-48 and p90 to 80K-H membrane proteins. </w:t>
      </w:r>
      <w:r w:rsidRPr="005936B2">
        <w:rPr>
          <w:rFonts w:ascii="Book Antiqua" w:eastAsia="宋体" w:hAnsi="Book Antiqua" w:cs="宋体"/>
          <w:i/>
          <w:iCs/>
          <w:kern w:val="0"/>
          <w:sz w:val="24"/>
          <w:szCs w:val="24"/>
        </w:rPr>
        <w:t>Proc Natl Acad Sci U S A</w:t>
      </w:r>
      <w:r w:rsidRPr="005936B2">
        <w:rPr>
          <w:rFonts w:ascii="Book Antiqua" w:eastAsia="宋体" w:hAnsi="Book Antiqua" w:cs="宋体"/>
          <w:kern w:val="0"/>
          <w:sz w:val="24"/>
          <w:szCs w:val="24"/>
        </w:rPr>
        <w:t> 1996; </w:t>
      </w:r>
      <w:r w:rsidRPr="005936B2">
        <w:rPr>
          <w:rFonts w:ascii="Book Antiqua" w:eastAsia="宋体" w:hAnsi="Book Antiqua" w:cs="宋体"/>
          <w:b/>
          <w:bCs/>
          <w:kern w:val="0"/>
          <w:sz w:val="24"/>
          <w:szCs w:val="24"/>
        </w:rPr>
        <w:t>93</w:t>
      </w:r>
      <w:r w:rsidRPr="005936B2">
        <w:rPr>
          <w:rFonts w:ascii="Book Antiqua" w:eastAsia="宋体" w:hAnsi="Book Antiqua" w:cs="宋体"/>
          <w:kern w:val="0"/>
          <w:sz w:val="24"/>
          <w:szCs w:val="24"/>
        </w:rPr>
        <w:t>: 11047-11052 [PMID: 8855306 DOI: 10.1073/pnas.93.20.11047]</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127 </w:t>
      </w:r>
      <w:r w:rsidRPr="005936B2">
        <w:rPr>
          <w:rFonts w:ascii="Book Antiqua" w:eastAsia="宋体" w:hAnsi="Book Antiqua" w:cs="宋体"/>
          <w:b/>
          <w:bCs/>
          <w:kern w:val="0"/>
          <w:sz w:val="24"/>
          <w:szCs w:val="24"/>
        </w:rPr>
        <w:t>Vlassara H</w:t>
      </w:r>
      <w:r w:rsidRPr="005936B2">
        <w:rPr>
          <w:rFonts w:ascii="Book Antiqua" w:eastAsia="宋体" w:hAnsi="Book Antiqua" w:cs="宋体"/>
          <w:kern w:val="0"/>
          <w:sz w:val="24"/>
          <w:szCs w:val="24"/>
        </w:rPr>
        <w:t>, Li YM, Imani F, Wojciechowicz D, Yang Z, Liu FT, Cerami A. Identification of galectin-3 as a high-affinity binding protein for advanced glycation end products (AGE): a new member of the AGE-receptor complex. </w:t>
      </w:r>
      <w:r w:rsidRPr="005936B2">
        <w:rPr>
          <w:rFonts w:ascii="Book Antiqua" w:eastAsia="宋体" w:hAnsi="Book Antiqua" w:cs="宋体"/>
          <w:i/>
          <w:iCs/>
          <w:kern w:val="0"/>
          <w:sz w:val="24"/>
          <w:szCs w:val="24"/>
        </w:rPr>
        <w:t>Mol Med</w:t>
      </w:r>
      <w:r w:rsidRPr="005936B2">
        <w:rPr>
          <w:rFonts w:ascii="Book Antiqua" w:eastAsia="宋体" w:hAnsi="Book Antiqua" w:cs="宋体"/>
          <w:kern w:val="0"/>
          <w:sz w:val="24"/>
          <w:szCs w:val="24"/>
        </w:rPr>
        <w:t> 1995; </w:t>
      </w:r>
      <w:r w:rsidRPr="005936B2">
        <w:rPr>
          <w:rFonts w:ascii="Book Antiqua" w:eastAsia="宋体" w:hAnsi="Book Antiqua" w:cs="宋体"/>
          <w:b/>
          <w:bCs/>
          <w:kern w:val="0"/>
          <w:sz w:val="24"/>
          <w:szCs w:val="24"/>
        </w:rPr>
        <w:t>1</w:t>
      </w:r>
      <w:r w:rsidRPr="005936B2">
        <w:rPr>
          <w:rFonts w:ascii="Book Antiqua" w:eastAsia="宋体" w:hAnsi="Book Antiqua" w:cs="宋体"/>
          <w:kern w:val="0"/>
          <w:sz w:val="24"/>
          <w:szCs w:val="24"/>
        </w:rPr>
        <w:t>: 634-646 [PMID: 8529130]</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128 </w:t>
      </w:r>
      <w:r w:rsidRPr="005936B2">
        <w:rPr>
          <w:rFonts w:ascii="Book Antiqua" w:eastAsia="宋体" w:hAnsi="Book Antiqua" w:cs="宋体"/>
          <w:b/>
          <w:bCs/>
          <w:kern w:val="0"/>
          <w:sz w:val="24"/>
          <w:szCs w:val="24"/>
        </w:rPr>
        <w:t>Prabhudas M</w:t>
      </w:r>
      <w:r w:rsidRPr="005936B2">
        <w:rPr>
          <w:rFonts w:ascii="Book Antiqua" w:eastAsia="宋体" w:hAnsi="Book Antiqua" w:cs="宋体"/>
          <w:kern w:val="0"/>
          <w:sz w:val="24"/>
          <w:szCs w:val="24"/>
        </w:rPr>
        <w:t>, Bowdish D, Drickamer K, Febbraio M, Herz J, Kobzik L, Krieger M, Loike J, Means TK, Moestrup SK, Post S, Sawamura T, Silverstein S, Wang XY, El Khoury J. Standardizing scavenger receptor nomenclature. </w:t>
      </w:r>
      <w:r w:rsidRPr="005936B2">
        <w:rPr>
          <w:rFonts w:ascii="Book Antiqua" w:eastAsia="宋体" w:hAnsi="Book Antiqua" w:cs="宋体"/>
          <w:i/>
          <w:iCs/>
          <w:kern w:val="0"/>
          <w:sz w:val="24"/>
          <w:szCs w:val="24"/>
        </w:rPr>
        <w:t>J Immunol</w:t>
      </w:r>
      <w:r w:rsidRPr="005936B2">
        <w:rPr>
          <w:rFonts w:ascii="Book Antiqua" w:eastAsia="宋体" w:hAnsi="Book Antiqua" w:cs="宋体"/>
          <w:kern w:val="0"/>
          <w:sz w:val="24"/>
          <w:szCs w:val="24"/>
        </w:rPr>
        <w:t> 2014; </w:t>
      </w:r>
      <w:r w:rsidRPr="005936B2">
        <w:rPr>
          <w:rFonts w:ascii="Book Antiqua" w:eastAsia="宋体" w:hAnsi="Book Antiqua" w:cs="宋体"/>
          <w:b/>
          <w:bCs/>
          <w:kern w:val="0"/>
          <w:sz w:val="24"/>
          <w:szCs w:val="24"/>
        </w:rPr>
        <w:t>192</w:t>
      </w:r>
      <w:r w:rsidRPr="005936B2">
        <w:rPr>
          <w:rFonts w:ascii="Book Antiqua" w:eastAsia="宋体" w:hAnsi="Book Antiqua" w:cs="宋体"/>
          <w:kern w:val="0"/>
          <w:sz w:val="24"/>
          <w:szCs w:val="24"/>
        </w:rPr>
        <w:t>: 1997-2006 [PMID: 24563502 DOI: 10.4049/jimmunol.1490003]</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129 </w:t>
      </w:r>
      <w:r w:rsidRPr="005936B2">
        <w:rPr>
          <w:rFonts w:ascii="Book Antiqua" w:eastAsia="宋体" w:hAnsi="Book Antiqua" w:cs="宋体"/>
          <w:b/>
          <w:bCs/>
          <w:kern w:val="0"/>
          <w:sz w:val="24"/>
          <w:szCs w:val="24"/>
        </w:rPr>
        <w:t>Zani IA</w:t>
      </w:r>
      <w:r w:rsidRPr="005936B2">
        <w:rPr>
          <w:rFonts w:ascii="Book Antiqua" w:eastAsia="宋体" w:hAnsi="Book Antiqua" w:cs="宋体"/>
          <w:kern w:val="0"/>
          <w:sz w:val="24"/>
          <w:szCs w:val="24"/>
        </w:rPr>
        <w:t>, Stephen SL, Mughal NA, Russell D, Homer-Vanniasinkam S, Wheatcroft SB, Ponnambalam S. Scavenger receptor structure and function in health and disease. </w:t>
      </w:r>
      <w:r w:rsidRPr="005936B2">
        <w:rPr>
          <w:rFonts w:ascii="Book Antiqua" w:eastAsia="宋体" w:hAnsi="Book Antiqua" w:cs="宋体"/>
          <w:i/>
          <w:iCs/>
          <w:kern w:val="0"/>
          <w:sz w:val="24"/>
          <w:szCs w:val="24"/>
        </w:rPr>
        <w:t>Cells</w:t>
      </w:r>
      <w:r w:rsidRPr="005936B2">
        <w:rPr>
          <w:rFonts w:ascii="Book Antiqua" w:eastAsia="宋体" w:hAnsi="Book Antiqua" w:cs="宋体"/>
          <w:kern w:val="0"/>
          <w:sz w:val="24"/>
          <w:szCs w:val="24"/>
        </w:rPr>
        <w:t> 2015; </w:t>
      </w:r>
      <w:r w:rsidRPr="005936B2">
        <w:rPr>
          <w:rFonts w:ascii="Book Antiqua" w:eastAsia="宋体" w:hAnsi="Book Antiqua" w:cs="宋体"/>
          <w:b/>
          <w:bCs/>
          <w:kern w:val="0"/>
          <w:sz w:val="24"/>
          <w:szCs w:val="24"/>
        </w:rPr>
        <w:t>4</w:t>
      </w:r>
      <w:r w:rsidRPr="005936B2">
        <w:rPr>
          <w:rFonts w:ascii="Book Antiqua" w:eastAsia="宋体" w:hAnsi="Book Antiqua" w:cs="宋体"/>
          <w:kern w:val="0"/>
          <w:sz w:val="24"/>
          <w:szCs w:val="24"/>
        </w:rPr>
        <w:t>: 178-201 [PMID: 26010753 DOI: 10.3390/cells4020178]</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130 </w:t>
      </w:r>
      <w:r w:rsidRPr="005936B2">
        <w:rPr>
          <w:rFonts w:ascii="Book Antiqua" w:eastAsia="宋体" w:hAnsi="Book Antiqua" w:cs="宋体"/>
          <w:b/>
          <w:bCs/>
          <w:kern w:val="0"/>
          <w:sz w:val="24"/>
          <w:szCs w:val="24"/>
        </w:rPr>
        <w:t>el Khoury J</w:t>
      </w:r>
      <w:r w:rsidRPr="005936B2">
        <w:rPr>
          <w:rFonts w:ascii="Book Antiqua" w:eastAsia="宋体" w:hAnsi="Book Antiqua" w:cs="宋体"/>
          <w:kern w:val="0"/>
          <w:sz w:val="24"/>
          <w:szCs w:val="24"/>
        </w:rPr>
        <w:t>, Thomas CA, Loike JD, Hickman SE, Cao L, Silverstein SC. Macrophages adhere to glucose-modified basement membrane collagen IV via their scavenger receptors.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1994; </w:t>
      </w:r>
      <w:r w:rsidRPr="005936B2">
        <w:rPr>
          <w:rFonts w:ascii="Book Antiqua" w:eastAsia="宋体" w:hAnsi="Book Antiqua" w:cs="宋体"/>
          <w:b/>
          <w:bCs/>
          <w:kern w:val="0"/>
          <w:sz w:val="24"/>
          <w:szCs w:val="24"/>
        </w:rPr>
        <w:t>269</w:t>
      </w:r>
      <w:r w:rsidRPr="005936B2">
        <w:rPr>
          <w:rFonts w:ascii="Book Antiqua" w:eastAsia="宋体" w:hAnsi="Book Antiqua" w:cs="宋体"/>
          <w:kern w:val="0"/>
          <w:sz w:val="24"/>
          <w:szCs w:val="24"/>
        </w:rPr>
        <w:t>: 10197-10200 [PMID: 8144597]</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131 </w:t>
      </w:r>
      <w:r w:rsidRPr="005936B2">
        <w:rPr>
          <w:rFonts w:ascii="Book Antiqua" w:eastAsia="宋体" w:hAnsi="Book Antiqua" w:cs="宋体"/>
          <w:b/>
          <w:bCs/>
          <w:kern w:val="0"/>
          <w:sz w:val="24"/>
          <w:szCs w:val="24"/>
        </w:rPr>
        <w:t>Araki N</w:t>
      </w:r>
      <w:r w:rsidRPr="005936B2">
        <w:rPr>
          <w:rFonts w:ascii="Book Antiqua" w:eastAsia="宋体" w:hAnsi="Book Antiqua" w:cs="宋体"/>
          <w:kern w:val="0"/>
          <w:sz w:val="24"/>
          <w:szCs w:val="24"/>
        </w:rPr>
        <w:t>, Higashi T, Mori T, Shibayama R, Kawabe Y, Kodama T, Takahashi K, Shichiri M, Horiuchi S. Macrophage scavenger receptor mediates the endocytic uptake and degradation of advanced glycation end products of the Maillard reaction. </w:t>
      </w:r>
      <w:r w:rsidRPr="005936B2">
        <w:rPr>
          <w:rFonts w:ascii="Book Antiqua" w:eastAsia="宋体" w:hAnsi="Book Antiqua" w:cs="宋体"/>
          <w:i/>
          <w:iCs/>
          <w:kern w:val="0"/>
          <w:sz w:val="24"/>
          <w:szCs w:val="24"/>
        </w:rPr>
        <w:t>Eur J Biochem</w:t>
      </w:r>
      <w:r w:rsidRPr="005936B2">
        <w:rPr>
          <w:rFonts w:ascii="Book Antiqua" w:eastAsia="宋体" w:hAnsi="Book Antiqua" w:cs="宋体"/>
          <w:kern w:val="0"/>
          <w:sz w:val="24"/>
          <w:szCs w:val="24"/>
        </w:rPr>
        <w:t> 1995; </w:t>
      </w:r>
      <w:r w:rsidRPr="005936B2">
        <w:rPr>
          <w:rFonts w:ascii="Book Antiqua" w:eastAsia="宋体" w:hAnsi="Book Antiqua" w:cs="宋体"/>
          <w:b/>
          <w:bCs/>
          <w:kern w:val="0"/>
          <w:sz w:val="24"/>
          <w:szCs w:val="24"/>
        </w:rPr>
        <w:t>230</w:t>
      </w:r>
      <w:r w:rsidRPr="005936B2">
        <w:rPr>
          <w:rFonts w:ascii="Book Antiqua" w:eastAsia="宋体" w:hAnsi="Book Antiqua" w:cs="宋体"/>
          <w:kern w:val="0"/>
          <w:sz w:val="24"/>
          <w:szCs w:val="24"/>
        </w:rPr>
        <w:t>: 408-415 [PMID: 7607209 DOI: 10.1111/j.1432-1033.1995.0408h.x]</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lastRenderedPageBreak/>
        <w:t>132 </w:t>
      </w:r>
      <w:r w:rsidRPr="005936B2">
        <w:rPr>
          <w:rFonts w:ascii="Book Antiqua" w:eastAsia="宋体" w:hAnsi="Book Antiqua" w:cs="宋体"/>
          <w:b/>
          <w:bCs/>
          <w:kern w:val="0"/>
          <w:sz w:val="24"/>
          <w:szCs w:val="24"/>
        </w:rPr>
        <w:t>Ohgami N</w:t>
      </w:r>
      <w:r w:rsidRPr="005936B2">
        <w:rPr>
          <w:rFonts w:ascii="Book Antiqua" w:eastAsia="宋体" w:hAnsi="Book Antiqua" w:cs="宋体"/>
          <w:kern w:val="0"/>
          <w:sz w:val="24"/>
          <w:szCs w:val="24"/>
        </w:rPr>
        <w:t>, Nagai R, Miyazaki A, Ikemoto M, Arai H, Horiuchi S, Nakayama H. Scavenger receptor class B type I-mediated reverse cholesterol transport is inhibited by advanced glycation end products.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2001; </w:t>
      </w:r>
      <w:r w:rsidRPr="005936B2">
        <w:rPr>
          <w:rFonts w:ascii="Book Antiqua" w:eastAsia="宋体" w:hAnsi="Book Antiqua" w:cs="宋体"/>
          <w:b/>
          <w:bCs/>
          <w:kern w:val="0"/>
          <w:sz w:val="24"/>
          <w:szCs w:val="24"/>
        </w:rPr>
        <w:t>276</w:t>
      </w:r>
      <w:r w:rsidRPr="005936B2">
        <w:rPr>
          <w:rFonts w:ascii="Book Antiqua" w:eastAsia="宋体" w:hAnsi="Book Antiqua" w:cs="宋体"/>
          <w:kern w:val="0"/>
          <w:sz w:val="24"/>
          <w:szCs w:val="24"/>
        </w:rPr>
        <w:t>: 13348-13355 [PMID: 11278947 DOI: 10.1074/jbc.M011613200]</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133 </w:t>
      </w:r>
      <w:r w:rsidRPr="005936B2">
        <w:rPr>
          <w:rFonts w:ascii="Book Antiqua" w:eastAsia="宋体" w:hAnsi="Book Antiqua" w:cs="宋体"/>
          <w:b/>
          <w:bCs/>
          <w:kern w:val="0"/>
          <w:sz w:val="24"/>
          <w:szCs w:val="24"/>
        </w:rPr>
        <w:t>Ohgami N</w:t>
      </w:r>
      <w:r w:rsidRPr="005936B2">
        <w:rPr>
          <w:rFonts w:ascii="Book Antiqua" w:eastAsia="宋体" w:hAnsi="Book Antiqua" w:cs="宋体"/>
          <w:kern w:val="0"/>
          <w:sz w:val="24"/>
          <w:szCs w:val="24"/>
        </w:rPr>
        <w:t>, Nagai R, Ikemoto M, Arai H, Miyazaki A, Hakamata H, Horiuchi S, Nakayama H. CD36, serves as a receptor for advanced glycation endproducts (AGE). </w:t>
      </w:r>
      <w:r w:rsidRPr="005936B2">
        <w:rPr>
          <w:rFonts w:ascii="Book Antiqua" w:eastAsia="宋体" w:hAnsi="Book Antiqua" w:cs="宋体"/>
          <w:i/>
          <w:iCs/>
          <w:kern w:val="0"/>
          <w:sz w:val="24"/>
          <w:szCs w:val="24"/>
        </w:rPr>
        <w:t>J Diabetes Complications</w:t>
      </w:r>
      <w:r w:rsidRPr="005936B2">
        <w:rPr>
          <w:rFonts w:ascii="Book Antiqua" w:eastAsia="宋体" w:hAnsi="Book Antiqua" w:cs="宋体"/>
          <w:kern w:val="0"/>
          <w:sz w:val="24"/>
          <w:szCs w:val="24"/>
        </w:rPr>
        <w:t> 2002; </w:t>
      </w:r>
      <w:r w:rsidRPr="005936B2">
        <w:rPr>
          <w:rFonts w:ascii="Book Antiqua" w:eastAsia="宋体" w:hAnsi="Book Antiqua" w:cs="宋体"/>
          <w:b/>
          <w:bCs/>
          <w:kern w:val="0"/>
          <w:sz w:val="24"/>
          <w:szCs w:val="24"/>
        </w:rPr>
        <w:t>16</w:t>
      </w:r>
      <w:r w:rsidRPr="005936B2">
        <w:rPr>
          <w:rFonts w:ascii="Book Antiqua" w:eastAsia="宋体" w:hAnsi="Book Antiqua" w:cs="宋体"/>
          <w:kern w:val="0"/>
          <w:sz w:val="24"/>
          <w:szCs w:val="24"/>
        </w:rPr>
        <w:t>: 56-59 [PMID: 11872368 DOI: 10.1016/S1056-8727(01)00208-2]</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134 </w:t>
      </w:r>
      <w:r w:rsidRPr="005936B2">
        <w:rPr>
          <w:rFonts w:ascii="Book Antiqua" w:eastAsia="宋体" w:hAnsi="Book Antiqua" w:cs="宋体"/>
          <w:b/>
          <w:bCs/>
          <w:kern w:val="0"/>
          <w:sz w:val="24"/>
          <w:szCs w:val="24"/>
        </w:rPr>
        <w:t>Jono T</w:t>
      </w:r>
      <w:r w:rsidRPr="005936B2">
        <w:rPr>
          <w:rFonts w:ascii="Book Antiqua" w:eastAsia="宋体" w:hAnsi="Book Antiqua" w:cs="宋体"/>
          <w:kern w:val="0"/>
          <w:sz w:val="24"/>
          <w:szCs w:val="24"/>
        </w:rPr>
        <w:t>, Miyazaki A, Nagai R, Sawamura T, Kitamura T, Horiuchi S. Lectin-like oxidized low density lipoprotein receptor-1 (LOX-1) serves as an endothelial receptor for advanced glycation end products (AGE). </w:t>
      </w:r>
      <w:r w:rsidRPr="005936B2">
        <w:rPr>
          <w:rFonts w:ascii="Book Antiqua" w:eastAsia="宋体" w:hAnsi="Book Antiqua" w:cs="宋体"/>
          <w:i/>
          <w:iCs/>
          <w:kern w:val="0"/>
          <w:sz w:val="24"/>
          <w:szCs w:val="24"/>
        </w:rPr>
        <w:t>FEBS Lett</w:t>
      </w:r>
      <w:r w:rsidRPr="005936B2">
        <w:rPr>
          <w:rFonts w:ascii="Book Antiqua" w:eastAsia="宋体" w:hAnsi="Book Antiqua" w:cs="宋体"/>
          <w:kern w:val="0"/>
          <w:sz w:val="24"/>
          <w:szCs w:val="24"/>
        </w:rPr>
        <w:t> 2002; </w:t>
      </w:r>
      <w:r w:rsidRPr="005936B2">
        <w:rPr>
          <w:rFonts w:ascii="Book Antiqua" w:eastAsia="宋体" w:hAnsi="Book Antiqua" w:cs="宋体"/>
          <w:b/>
          <w:bCs/>
          <w:kern w:val="0"/>
          <w:sz w:val="24"/>
          <w:szCs w:val="24"/>
        </w:rPr>
        <w:t>511</w:t>
      </w:r>
      <w:r w:rsidRPr="005936B2">
        <w:rPr>
          <w:rFonts w:ascii="Book Antiqua" w:eastAsia="宋体" w:hAnsi="Book Antiqua" w:cs="宋体"/>
          <w:kern w:val="0"/>
          <w:sz w:val="24"/>
          <w:szCs w:val="24"/>
        </w:rPr>
        <w:t>: 170-174 [PMID: 11821070 DOI: 10.1016/S0014-5793(01)03325-7]</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135 </w:t>
      </w:r>
      <w:r w:rsidRPr="005936B2">
        <w:rPr>
          <w:rFonts w:ascii="Book Antiqua" w:eastAsia="宋体" w:hAnsi="Book Antiqua" w:cs="宋体"/>
          <w:b/>
          <w:bCs/>
          <w:kern w:val="0"/>
          <w:sz w:val="24"/>
          <w:szCs w:val="24"/>
        </w:rPr>
        <w:t>Tamura Y</w:t>
      </w:r>
      <w:r w:rsidRPr="005936B2">
        <w:rPr>
          <w:rFonts w:ascii="Book Antiqua" w:eastAsia="宋体" w:hAnsi="Book Antiqua" w:cs="宋体"/>
          <w:kern w:val="0"/>
          <w:sz w:val="24"/>
          <w:szCs w:val="24"/>
        </w:rPr>
        <w:t>, Adachi H, Osuga J, Ohashi K, Yahagi N, Sekiya M, Okazaki H, Tomita S, Iizuka Y, Shimano H, Nagai R, Kimura S, Tsujimoto M, Ishibashi S. FEEL-1 and FEEL-2 are endocytic receptors for advanced glycation end products.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2003; </w:t>
      </w:r>
      <w:r w:rsidRPr="005936B2">
        <w:rPr>
          <w:rFonts w:ascii="Book Antiqua" w:eastAsia="宋体" w:hAnsi="Book Antiqua" w:cs="宋体"/>
          <w:b/>
          <w:bCs/>
          <w:kern w:val="0"/>
          <w:sz w:val="24"/>
          <w:szCs w:val="24"/>
        </w:rPr>
        <w:t>278</w:t>
      </w:r>
      <w:r w:rsidRPr="005936B2">
        <w:rPr>
          <w:rFonts w:ascii="Book Antiqua" w:eastAsia="宋体" w:hAnsi="Book Antiqua" w:cs="宋体"/>
          <w:kern w:val="0"/>
          <w:sz w:val="24"/>
          <w:szCs w:val="24"/>
        </w:rPr>
        <w:t>: 12613-12617 [PMID: 12473645 DOI: 10.1074/jbc.M210211200]</w:t>
      </w:r>
    </w:p>
    <w:p w:rsidR="007A0C7D" w:rsidRPr="005936B2" w:rsidRDefault="007A0C7D" w:rsidP="007A0C7D">
      <w:pPr>
        <w:widowControl/>
        <w:spacing w:line="360" w:lineRule="auto"/>
        <w:rPr>
          <w:rFonts w:ascii="Book Antiqua" w:eastAsia="宋体" w:hAnsi="Book Antiqua" w:cs="宋体"/>
          <w:kern w:val="0"/>
          <w:sz w:val="24"/>
          <w:szCs w:val="24"/>
          <w:lang w:val="de-AT"/>
        </w:rPr>
      </w:pPr>
      <w:r w:rsidRPr="005936B2">
        <w:rPr>
          <w:rFonts w:ascii="Book Antiqua" w:eastAsia="宋体" w:hAnsi="Book Antiqua" w:cs="宋体"/>
          <w:kern w:val="0"/>
          <w:sz w:val="24"/>
          <w:szCs w:val="24"/>
        </w:rPr>
        <w:t>136 </w:t>
      </w:r>
      <w:r w:rsidRPr="005936B2">
        <w:rPr>
          <w:rFonts w:ascii="Book Antiqua" w:eastAsia="宋体" w:hAnsi="Book Antiqua" w:cs="宋体"/>
          <w:b/>
          <w:bCs/>
          <w:kern w:val="0"/>
          <w:sz w:val="24"/>
          <w:szCs w:val="24"/>
        </w:rPr>
        <w:t>Neeper M</w:t>
      </w:r>
      <w:r w:rsidRPr="005936B2">
        <w:rPr>
          <w:rFonts w:ascii="Book Antiqua" w:eastAsia="宋体" w:hAnsi="Book Antiqua" w:cs="宋体"/>
          <w:kern w:val="0"/>
          <w:sz w:val="24"/>
          <w:szCs w:val="24"/>
        </w:rPr>
        <w:t>, Schmidt AM, Brett J, Yan SD, Wang F, Pan YC, Elliston K, Stern D, Shaw A. Cloning and expression of a cell surface receptor for advanced glycosylation end products of proteins. </w:t>
      </w:r>
      <w:r w:rsidRPr="005936B2">
        <w:rPr>
          <w:rFonts w:ascii="Book Antiqua" w:eastAsia="宋体" w:hAnsi="Book Antiqua" w:cs="宋体"/>
          <w:i/>
          <w:iCs/>
          <w:kern w:val="0"/>
          <w:sz w:val="24"/>
          <w:szCs w:val="24"/>
          <w:lang w:val="de-AT"/>
        </w:rPr>
        <w:t>J Biol Chem</w:t>
      </w:r>
      <w:r w:rsidRPr="005936B2">
        <w:rPr>
          <w:rFonts w:ascii="Book Antiqua" w:eastAsia="宋体" w:hAnsi="Book Antiqua" w:cs="宋体"/>
          <w:kern w:val="0"/>
          <w:sz w:val="24"/>
          <w:szCs w:val="24"/>
          <w:lang w:val="de-AT"/>
        </w:rPr>
        <w:t> 1992; </w:t>
      </w:r>
      <w:r w:rsidRPr="005936B2">
        <w:rPr>
          <w:rFonts w:ascii="Book Antiqua" w:eastAsia="宋体" w:hAnsi="Book Antiqua" w:cs="宋体"/>
          <w:b/>
          <w:bCs/>
          <w:kern w:val="0"/>
          <w:sz w:val="24"/>
          <w:szCs w:val="24"/>
          <w:lang w:val="de-AT"/>
        </w:rPr>
        <w:t>267</w:t>
      </w:r>
      <w:r w:rsidRPr="005936B2">
        <w:rPr>
          <w:rFonts w:ascii="Book Antiqua" w:eastAsia="宋体" w:hAnsi="Book Antiqua" w:cs="宋体"/>
          <w:kern w:val="0"/>
          <w:sz w:val="24"/>
          <w:szCs w:val="24"/>
          <w:lang w:val="de-AT"/>
        </w:rPr>
        <w:t>: 14998-15004 [PMID: 1378843]</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lang w:val="de-AT"/>
        </w:rPr>
        <w:t>137 </w:t>
      </w:r>
      <w:r w:rsidRPr="005936B2">
        <w:rPr>
          <w:rFonts w:ascii="Book Antiqua" w:eastAsia="宋体" w:hAnsi="Book Antiqua" w:cs="宋体"/>
          <w:b/>
          <w:bCs/>
          <w:kern w:val="0"/>
          <w:sz w:val="24"/>
          <w:szCs w:val="24"/>
          <w:lang w:val="de-AT"/>
        </w:rPr>
        <w:t>Schmidt AM</w:t>
      </w:r>
      <w:r w:rsidRPr="005936B2">
        <w:rPr>
          <w:rFonts w:ascii="Book Antiqua" w:eastAsia="宋体" w:hAnsi="Book Antiqua" w:cs="宋体"/>
          <w:kern w:val="0"/>
          <w:sz w:val="24"/>
          <w:szCs w:val="24"/>
          <w:lang w:val="de-AT"/>
        </w:rPr>
        <w:t xml:space="preserve">, Yan SD, Yan SF, Stern DM. </w:t>
      </w:r>
      <w:proofErr w:type="gramStart"/>
      <w:r w:rsidRPr="005936B2">
        <w:rPr>
          <w:rFonts w:ascii="Book Antiqua" w:eastAsia="宋体" w:hAnsi="Book Antiqua" w:cs="宋体"/>
          <w:kern w:val="0"/>
          <w:sz w:val="24"/>
          <w:szCs w:val="24"/>
        </w:rPr>
        <w:t>The multiligand receptor RAGE as a progression factor amplifying immune and inflammatory responses.</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J Clin Invest</w:t>
      </w:r>
      <w:r w:rsidRPr="005936B2">
        <w:rPr>
          <w:rFonts w:ascii="Book Antiqua" w:eastAsia="宋体" w:hAnsi="Book Antiqua" w:cs="宋体"/>
          <w:kern w:val="0"/>
          <w:sz w:val="24"/>
          <w:szCs w:val="24"/>
        </w:rPr>
        <w:t> 2001; </w:t>
      </w:r>
      <w:r w:rsidRPr="005936B2">
        <w:rPr>
          <w:rFonts w:ascii="Book Antiqua" w:eastAsia="宋体" w:hAnsi="Book Antiqua" w:cs="宋体"/>
          <w:b/>
          <w:bCs/>
          <w:kern w:val="0"/>
          <w:sz w:val="24"/>
          <w:szCs w:val="24"/>
        </w:rPr>
        <w:t>108</w:t>
      </w:r>
      <w:r w:rsidRPr="005936B2">
        <w:rPr>
          <w:rFonts w:ascii="Book Antiqua" w:eastAsia="宋体" w:hAnsi="Book Antiqua" w:cs="宋体"/>
          <w:kern w:val="0"/>
          <w:sz w:val="24"/>
          <w:szCs w:val="24"/>
        </w:rPr>
        <w:t>: 949-955 [PMID: 11581294 DOI: 10.1172/JCI200114002]</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138 </w:t>
      </w:r>
      <w:r w:rsidRPr="005936B2">
        <w:rPr>
          <w:rFonts w:ascii="Book Antiqua" w:eastAsia="宋体" w:hAnsi="Book Antiqua" w:cs="宋体"/>
          <w:b/>
          <w:bCs/>
          <w:kern w:val="0"/>
          <w:sz w:val="24"/>
          <w:szCs w:val="24"/>
        </w:rPr>
        <w:t>Yan SF</w:t>
      </w:r>
      <w:r w:rsidRPr="005936B2">
        <w:rPr>
          <w:rFonts w:ascii="Book Antiqua" w:eastAsia="宋体" w:hAnsi="Book Antiqua" w:cs="宋体"/>
          <w:kern w:val="0"/>
          <w:sz w:val="24"/>
          <w:szCs w:val="24"/>
        </w:rPr>
        <w:t>, Ramasamy R, Naka Y, Schmidt AM. Glycation, inflammation, and RAGE: a scaffold for the macrovascular complications of diabetes and beyond. </w:t>
      </w:r>
      <w:r w:rsidRPr="005936B2">
        <w:rPr>
          <w:rFonts w:ascii="Book Antiqua" w:eastAsia="宋体" w:hAnsi="Book Antiqua" w:cs="宋体"/>
          <w:i/>
          <w:iCs/>
          <w:kern w:val="0"/>
          <w:sz w:val="24"/>
          <w:szCs w:val="24"/>
        </w:rPr>
        <w:t>Circ Res</w:t>
      </w:r>
      <w:r w:rsidRPr="005936B2">
        <w:rPr>
          <w:rFonts w:ascii="Book Antiqua" w:eastAsia="宋体" w:hAnsi="Book Antiqua" w:cs="宋体"/>
          <w:kern w:val="0"/>
          <w:sz w:val="24"/>
          <w:szCs w:val="24"/>
        </w:rPr>
        <w:t> 2003; </w:t>
      </w:r>
      <w:r w:rsidRPr="005936B2">
        <w:rPr>
          <w:rFonts w:ascii="Book Antiqua" w:eastAsia="宋体" w:hAnsi="Book Antiqua" w:cs="宋体"/>
          <w:b/>
          <w:bCs/>
          <w:kern w:val="0"/>
          <w:sz w:val="24"/>
          <w:szCs w:val="24"/>
        </w:rPr>
        <w:t>93</w:t>
      </w:r>
      <w:r w:rsidRPr="005936B2">
        <w:rPr>
          <w:rFonts w:ascii="Book Antiqua" w:eastAsia="宋体" w:hAnsi="Book Antiqua" w:cs="宋体"/>
          <w:kern w:val="0"/>
          <w:sz w:val="24"/>
          <w:szCs w:val="24"/>
        </w:rPr>
        <w:t>: 1159-1169 [PMID: 14670831 DOI: 10.1161/01.RES.0000103862.26506.3D]</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139 </w:t>
      </w:r>
      <w:r w:rsidRPr="005936B2">
        <w:rPr>
          <w:rFonts w:ascii="Book Antiqua" w:eastAsia="宋体" w:hAnsi="Book Antiqua" w:cs="宋体"/>
          <w:b/>
          <w:bCs/>
          <w:kern w:val="0"/>
          <w:sz w:val="24"/>
          <w:szCs w:val="24"/>
        </w:rPr>
        <w:t>Gefter JV</w:t>
      </w:r>
      <w:r w:rsidRPr="005936B2">
        <w:rPr>
          <w:rFonts w:ascii="Book Antiqua" w:eastAsia="宋体" w:hAnsi="Book Antiqua" w:cs="宋体"/>
          <w:kern w:val="0"/>
          <w:sz w:val="24"/>
          <w:szCs w:val="24"/>
        </w:rPr>
        <w:t>, Shaufl AL, Fink MP, Delude RL. Comparison of distinct protein isoforms of the receptor for advanced glycation end-products expressed in murine tissues and cell lines. </w:t>
      </w:r>
      <w:r w:rsidRPr="005936B2">
        <w:rPr>
          <w:rFonts w:ascii="Book Antiqua" w:eastAsia="宋体" w:hAnsi="Book Antiqua" w:cs="宋体"/>
          <w:i/>
          <w:iCs/>
          <w:kern w:val="0"/>
          <w:sz w:val="24"/>
          <w:szCs w:val="24"/>
        </w:rPr>
        <w:t>Cell Tissue Res</w:t>
      </w:r>
      <w:r w:rsidRPr="005936B2">
        <w:rPr>
          <w:rFonts w:ascii="Book Antiqua" w:eastAsia="宋体" w:hAnsi="Book Antiqua" w:cs="宋体"/>
          <w:kern w:val="0"/>
          <w:sz w:val="24"/>
          <w:szCs w:val="24"/>
        </w:rPr>
        <w:t> 2009; </w:t>
      </w:r>
      <w:r w:rsidRPr="005936B2">
        <w:rPr>
          <w:rFonts w:ascii="Book Antiqua" w:eastAsia="宋体" w:hAnsi="Book Antiqua" w:cs="宋体"/>
          <w:b/>
          <w:bCs/>
          <w:kern w:val="0"/>
          <w:sz w:val="24"/>
          <w:szCs w:val="24"/>
        </w:rPr>
        <w:t>337</w:t>
      </w:r>
      <w:r w:rsidRPr="005936B2">
        <w:rPr>
          <w:rFonts w:ascii="Book Antiqua" w:eastAsia="宋体" w:hAnsi="Book Antiqua" w:cs="宋体"/>
          <w:kern w:val="0"/>
          <w:sz w:val="24"/>
          <w:szCs w:val="24"/>
        </w:rPr>
        <w:t>: 79-89 [PMID: 19415334 DOI: 10.1007/s00441-009-0791-0]</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140 </w:t>
      </w:r>
      <w:r w:rsidRPr="005936B2">
        <w:rPr>
          <w:rFonts w:ascii="Book Antiqua" w:eastAsia="宋体" w:hAnsi="Book Antiqua" w:cs="宋体"/>
          <w:b/>
          <w:bCs/>
          <w:kern w:val="0"/>
          <w:sz w:val="24"/>
          <w:szCs w:val="24"/>
        </w:rPr>
        <w:t>Hoffmann JA</w:t>
      </w:r>
      <w:r w:rsidRPr="005936B2">
        <w:rPr>
          <w:rFonts w:ascii="Book Antiqua" w:eastAsia="宋体" w:hAnsi="Book Antiqua" w:cs="宋体"/>
          <w:kern w:val="0"/>
          <w:sz w:val="24"/>
          <w:szCs w:val="24"/>
        </w:rPr>
        <w:t>, Kafatos FC, Janeway CA, Ezekowitz RA.</w:t>
      </w:r>
      <w:proofErr w:type="gramEnd"/>
      <w:r w:rsidRPr="005936B2">
        <w:rPr>
          <w:rFonts w:ascii="Book Antiqua" w:eastAsia="宋体" w:hAnsi="Book Antiqua" w:cs="宋体"/>
          <w:kern w:val="0"/>
          <w:sz w:val="24"/>
          <w:szCs w:val="24"/>
        </w:rPr>
        <w:t xml:space="preserve"> </w:t>
      </w:r>
      <w:proofErr w:type="gramStart"/>
      <w:r w:rsidRPr="005936B2">
        <w:rPr>
          <w:rFonts w:ascii="Book Antiqua" w:eastAsia="宋体" w:hAnsi="Book Antiqua" w:cs="宋体"/>
          <w:kern w:val="0"/>
          <w:sz w:val="24"/>
          <w:szCs w:val="24"/>
        </w:rPr>
        <w:t>Phylogenetic perspectives in innate immunity.</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Science</w:t>
      </w:r>
      <w:r w:rsidRPr="005936B2">
        <w:rPr>
          <w:rFonts w:ascii="Book Antiqua" w:eastAsia="宋体" w:hAnsi="Book Antiqua" w:cs="宋体"/>
          <w:kern w:val="0"/>
          <w:sz w:val="24"/>
          <w:szCs w:val="24"/>
        </w:rPr>
        <w:t> 1999; </w:t>
      </w:r>
      <w:r w:rsidRPr="005936B2">
        <w:rPr>
          <w:rFonts w:ascii="Book Antiqua" w:eastAsia="宋体" w:hAnsi="Book Antiqua" w:cs="宋体"/>
          <w:b/>
          <w:bCs/>
          <w:kern w:val="0"/>
          <w:sz w:val="24"/>
          <w:szCs w:val="24"/>
        </w:rPr>
        <w:t>284</w:t>
      </w:r>
      <w:r w:rsidRPr="005936B2">
        <w:rPr>
          <w:rFonts w:ascii="Book Antiqua" w:eastAsia="宋体" w:hAnsi="Book Antiqua" w:cs="宋体"/>
          <w:kern w:val="0"/>
          <w:sz w:val="24"/>
          <w:szCs w:val="24"/>
        </w:rPr>
        <w:t>: 1313-1318 [PMID: 10334979 DOI: 10.1126/science.284.5418.1313]</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lastRenderedPageBreak/>
        <w:t>141 </w:t>
      </w:r>
      <w:r w:rsidRPr="005936B2">
        <w:rPr>
          <w:rFonts w:ascii="Book Antiqua" w:eastAsia="宋体" w:hAnsi="Book Antiqua" w:cs="宋体"/>
          <w:b/>
          <w:bCs/>
          <w:kern w:val="0"/>
          <w:sz w:val="24"/>
          <w:szCs w:val="24"/>
        </w:rPr>
        <w:t>Sturchler E</w:t>
      </w:r>
      <w:r w:rsidRPr="005936B2">
        <w:rPr>
          <w:rFonts w:ascii="Book Antiqua" w:eastAsia="宋体" w:hAnsi="Book Antiqua" w:cs="宋体"/>
          <w:kern w:val="0"/>
          <w:sz w:val="24"/>
          <w:szCs w:val="24"/>
        </w:rPr>
        <w:t>, Galichet A, Weibel M, Leclerc E, Heizmann CW. Site-specific blockade of RAGE-Vd prevents amyloid-beta oligomer neurotoxicity. </w:t>
      </w:r>
      <w:r w:rsidRPr="005936B2">
        <w:rPr>
          <w:rFonts w:ascii="Book Antiqua" w:eastAsia="宋体" w:hAnsi="Book Antiqua" w:cs="宋体"/>
          <w:i/>
          <w:iCs/>
          <w:kern w:val="0"/>
          <w:sz w:val="24"/>
          <w:szCs w:val="24"/>
        </w:rPr>
        <w:t>J Neurosci</w:t>
      </w:r>
      <w:r w:rsidRPr="005936B2">
        <w:rPr>
          <w:rFonts w:ascii="Book Antiqua" w:eastAsia="宋体" w:hAnsi="Book Antiqua" w:cs="宋体"/>
          <w:kern w:val="0"/>
          <w:sz w:val="24"/>
          <w:szCs w:val="24"/>
        </w:rPr>
        <w:t> 2008; </w:t>
      </w:r>
      <w:r w:rsidRPr="005936B2">
        <w:rPr>
          <w:rFonts w:ascii="Book Antiqua" w:eastAsia="宋体" w:hAnsi="Book Antiqua" w:cs="宋体"/>
          <w:b/>
          <w:bCs/>
          <w:kern w:val="0"/>
          <w:sz w:val="24"/>
          <w:szCs w:val="24"/>
        </w:rPr>
        <w:t>28</w:t>
      </w:r>
      <w:r w:rsidRPr="005936B2">
        <w:rPr>
          <w:rFonts w:ascii="Book Antiqua" w:eastAsia="宋体" w:hAnsi="Book Antiqua" w:cs="宋体"/>
          <w:kern w:val="0"/>
          <w:sz w:val="24"/>
          <w:szCs w:val="24"/>
        </w:rPr>
        <w:t>: 5149-5158 [PMID: 18480271 DOI: 10.1523/JNEUROSCI.4878-07.2008]</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142 </w:t>
      </w:r>
      <w:r w:rsidRPr="005936B2">
        <w:rPr>
          <w:rFonts w:ascii="Book Antiqua" w:eastAsia="宋体" w:hAnsi="Book Antiqua" w:cs="宋体"/>
          <w:b/>
          <w:bCs/>
          <w:kern w:val="0"/>
          <w:sz w:val="24"/>
          <w:szCs w:val="24"/>
        </w:rPr>
        <w:t>Hori O</w:t>
      </w:r>
      <w:r w:rsidRPr="005936B2">
        <w:rPr>
          <w:rFonts w:ascii="Book Antiqua" w:eastAsia="宋体" w:hAnsi="Book Antiqua" w:cs="宋体"/>
          <w:kern w:val="0"/>
          <w:sz w:val="24"/>
          <w:szCs w:val="24"/>
        </w:rPr>
        <w:t xml:space="preserve">, Brett J, Slattery T, Cao R, Zhang J, Chen JX, Nagashima M, Lundh ER, Vijay S, Nitecki D. The receptor for advanced glycation end products (RAGE) is a cellular binding site for amphoterin. </w:t>
      </w:r>
      <w:proofErr w:type="gramStart"/>
      <w:r w:rsidRPr="005936B2">
        <w:rPr>
          <w:rFonts w:ascii="Book Antiqua" w:eastAsia="宋体" w:hAnsi="Book Antiqua" w:cs="宋体"/>
          <w:kern w:val="0"/>
          <w:sz w:val="24"/>
          <w:szCs w:val="24"/>
        </w:rPr>
        <w:t>Mediation of neurite outgrowth and co-expression of rage and amphoterin in the developing nervous system.</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1995; </w:t>
      </w:r>
      <w:r w:rsidRPr="005936B2">
        <w:rPr>
          <w:rFonts w:ascii="Book Antiqua" w:eastAsia="宋体" w:hAnsi="Book Antiqua" w:cs="宋体"/>
          <w:b/>
          <w:bCs/>
          <w:kern w:val="0"/>
          <w:sz w:val="24"/>
          <w:szCs w:val="24"/>
        </w:rPr>
        <w:t>270</w:t>
      </w:r>
      <w:r w:rsidRPr="005936B2">
        <w:rPr>
          <w:rFonts w:ascii="Book Antiqua" w:eastAsia="宋体" w:hAnsi="Book Antiqua" w:cs="宋体"/>
          <w:kern w:val="0"/>
          <w:sz w:val="24"/>
          <w:szCs w:val="24"/>
        </w:rPr>
        <w:t>: 25752-25761 [PMID: 7592757 DOI: 10.1074/jbc.270.43.25752]</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143 </w:t>
      </w:r>
      <w:r w:rsidRPr="005936B2">
        <w:rPr>
          <w:rFonts w:ascii="Book Antiqua" w:eastAsia="宋体" w:hAnsi="Book Antiqua" w:cs="宋体"/>
          <w:b/>
          <w:bCs/>
          <w:kern w:val="0"/>
          <w:sz w:val="24"/>
          <w:szCs w:val="24"/>
        </w:rPr>
        <w:t>Taguchi A</w:t>
      </w:r>
      <w:r w:rsidRPr="005936B2">
        <w:rPr>
          <w:rFonts w:ascii="Book Antiqua" w:eastAsia="宋体" w:hAnsi="Book Antiqua" w:cs="宋体"/>
          <w:kern w:val="0"/>
          <w:sz w:val="24"/>
          <w:szCs w:val="24"/>
        </w:rPr>
        <w:t>, Blood DC, del Toro G, Canet A, Lee DC, Qu W, Tanji N, Lu Y, Lalla E, Fu C, Hofmann MA, Kislinger T, Ingram M, Lu A, Tanaka H, Hori O, Ogawa S, Stern DM, Schmidt AM. Blockade of RAGE-amphoterin signalling suppresses tumour growth and metastases. </w:t>
      </w:r>
      <w:r w:rsidRPr="005936B2">
        <w:rPr>
          <w:rFonts w:ascii="Book Antiqua" w:eastAsia="宋体" w:hAnsi="Book Antiqua" w:cs="宋体"/>
          <w:i/>
          <w:iCs/>
          <w:kern w:val="0"/>
          <w:sz w:val="24"/>
          <w:szCs w:val="24"/>
        </w:rPr>
        <w:t>Nature</w:t>
      </w:r>
      <w:r w:rsidRPr="005936B2">
        <w:rPr>
          <w:rFonts w:ascii="Book Antiqua" w:eastAsia="宋体" w:hAnsi="Book Antiqua" w:cs="宋体"/>
          <w:kern w:val="0"/>
          <w:sz w:val="24"/>
          <w:szCs w:val="24"/>
        </w:rPr>
        <w:t> 2000; </w:t>
      </w:r>
      <w:r w:rsidRPr="005936B2">
        <w:rPr>
          <w:rFonts w:ascii="Book Antiqua" w:eastAsia="宋体" w:hAnsi="Book Antiqua" w:cs="宋体"/>
          <w:b/>
          <w:bCs/>
          <w:kern w:val="0"/>
          <w:sz w:val="24"/>
          <w:szCs w:val="24"/>
        </w:rPr>
        <w:t>405</w:t>
      </w:r>
      <w:r w:rsidRPr="005936B2">
        <w:rPr>
          <w:rFonts w:ascii="Book Antiqua" w:eastAsia="宋体" w:hAnsi="Book Antiqua" w:cs="宋体"/>
          <w:kern w:val="0"/>
          <w:sz w:val="24"/>
          <w:szCs w:val="24"/>
        </w:rPr>
        <w:t>: 354-360 [PMID: 10830965 DOI: 10.1038/35012626]</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144 </w:t>
      </w:r>
      <w:r w:rsidRPr="005936B2">
        <w:rPr>
          <w:rFonts w:ascii="Book Antiqua" w:eastAsia="宋体" w:hAnsi="Book Antiqua" w:cs="宋体"/>
          <w:b/>
          <w:bCs/>
          <w:kern w:val="0"/>
          <w:sz w:val="24"/>
          <w:szCs w:val="24"/>
        </w:rPr>
        <w:t>Müller S</w:t>
      </w:r>
      <w:r w:rsidRPr="005936B2">
        <w:rPr>
          <w:rFonts w:ascii="Book Antiqua" w:eastAsia="宋体" w:hAnsi="Book Antiqua" w:cs="宋体"/>
          <w:kern w:val="0"/>
          <w:sz w:val="24"/>
          <w:szCs w:val="24"/>
        </w:rPr>
        <w:t>, Scaffidi P, Degryse B, Bonaldi T, Ronfani L, Agresti A, Beltrame M, Bianchi ME. New EMBO members' review: the double life of HMGB1 chromatin protein: architectural factor and extracellular signal. </w:t>
      </w:r>
      <w:r w:rsidRPr="005936B2">
        <w:rPr>
          <w:rFonts w:ascii="Book Antiqua" w:eastAsia="宋体" w:hAnsi="Book Antiqua" w:cs="宋体"/>
          <w:i/>
          <w:iCs/>
          <w:kern w:val="0"/>
          <w:sz w:val="24"/>
          <w:szCs w:val="24"/>
        </w:rPr>
        <w:t>EMBO J</w:t>
      </w:r>
      <w:r w:rsidRPr="005936B2">
        <w:rPr>
          <w:rFonts w:ascii="Book Antiqua" w:eastAsia="宋体" w:hAnsi="Book Antiqua" w:cs="宋体"/>
          <w:kern w:val="0"/>
          <w:sz w:val="24"/>
          <w:szCs w:val="24"/>
        </w:rPr>
        <w:t> 2001; </w:t>
      </w:r>
      <w:r w:rsidRPr="005936B2">
        <w:rPr>
          <w:rFonts w:ascii="Book Antiqua" w:eastAsia="宋体" w:hAnsi="Book Antiqua" w:cs="宋体"/>
          <w:b/>
          <w:bCs/>
          <w:kern w:val="0"/>
          <w:sz w:val="24"/>
          <w:szCs w:val="24"/>
        </w:rPr>
        <w:t>20</w:t>
      </w:r>
      <w:r w:rsidRPr="005936B2">
        <w:rPr>
          <w:rFonts w:ascii="Book Antiqua" w:eastAsia="宋体" w:hAnsi="Book Antiqua" w:cs="宋体"/>
          <w:kern w:val="0"/>
          <w:sz w:val="24"/>
          <w:szCs w:val="24"/>
        </w:rPr>
        <w:t>: 4337-4340 [PMID: 11500360 DOI: 10.1093/emboj/20.16.4337]</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145 </w:t>
      </w:r>
      <w:r w:rsidRPr="005936B2">
        <w:rPr>
          <w:rFonts w:ascii="Book Antiqua" w:eastAsia="宋体" w:hAnsi="Book Antiqua" w:cs="宋体"/>
          <w:b/>
          <w:bCs/>
          <w:kern w:val="0"/>
          <w:sz w:val="24"/>
          <w:szCs w:val="24"/>
        </w:rPr>
        <w:t>Brasier AR</w:t>
      </w:r>
      <w:r w:rsidRPr="005936B2">
        <w:rPr>
          <w:rFonts w:ascii="Book Antiqua" w:eastAsia="宋体" w:hAnsi="Book Antiqua" w:cs="宋体"/>
          <w:kern w:val="0"/>
          <w:sz w:val="24"/>
          <w:szCs w:val="24"/>
        </w:rPr>
        <w:t>.</w:t>
      </w:r>
      <w:proofErr w:type="gramEnd"/>
      <w:r w:rsidRPr="005936B2">
        <w:rPr>
          <w:rFonts w:ascii="Book Antiqua" w:eastAsia="宋体" w:hAnsi="Book Antiqua" w:cs="宋体"/>
          <w:kern w:val="0"/>
          <w:sz w:val="24"/>
          <w:szCs w:val="24"/>
        </w:rPr>
        <w:t xml:space="preserve"> </w:t>
      </w:r>
      <w:proofErr w:type="gramStart"/>
      <w:r w:rsidRPr="005936B2">
        <w:rPr>
          <w:rFonts w:ascii="Book Antiqua" w:eastAsia="宋体" w:hAnsi="Book Antiqua" w:cs="宋体"/>
          <w:kern w:val="0"/>
          <w:sz w:val="24"/>
          <w:szCs w:val="24"/>
        </w:rPr>
        <w:t>The NF-kappaB regulatory network.</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Cardiovasc Toxicol</w:t>
      </w:r>
      <w:r w:rsidRPr="005936B2">
        <w:rPr>
          <w:rFonts w:ascii="Book Antiqua" w:eastAsia="宋体" w:hAnsi="Book Antiqua" w:cs="宋体"/>
          <w:kern w:val="0"/>
          <w:sz w:val="24"/>
          <w:szCs w:val="24"/>
        </w:rPr>
        <w:t> 2006; </w:t>
      </w:r>
      <w:r w:rsidRPr="005936B2">
        <w:rPr>
          <w:rFonts w:ascii="Book Antiqua" w:eastAsia="宋体" w:hAnsi="Book Antiqua" w:cs="宋体"/>
          <w:b/>
          <w:bCs/>
          <w:kern w:val="0"/>
          <w:sz w:val="24"/>
          <w:szCs w:val="24"/>
        </w:rPr>
        <w:t>6</w:t>
      </w:r>
      <w:r w:rsidRPr="005936B2">
        <w:rPr>
          <w:rFonts w:ascii="Book Antiqua" w:eastAsia="宋体" w:hAnsi="Book Antiqua" w:cs="宋体"/>
          <w:kern w:val="0"/>
          <w:sz w:val="24"/>
          <w:szCs w:val="24"/>
        </w:rPr>
        <w:t>: 111-130 [PMID: 17303919 DOI: 10.1385/CT: 6: 2: 111]</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lang w:val="de-AT"/>
        </w:rPr>
        <w:t>146 </w:t>
      </w:r>
      <w:r w:rsidRPr="005936B2">
        <w:rPr>
          <w:rFonts w:ascii="Book Antiqua" w:eastAsia="宋体" w:hAnsi="Book Antiqua" w:cs="宋体"/>
          <w:b/>
          <w:bCs/>
          <w:kern w:val="0"/>
          <w:sz w:val="24"/>
          <w:szCs w:val="24"/>
          <w:lang w:val="de-AT"/>
        </w:rPr>
        <w:t>Akirav EM</w:t>
      </w:r>
      <w:r w:rsidRPr="005936B2">
        <w:rPr>
          <w:rFonts w:ascii="Book Antiqua" w:eastAsia="宋体" w:hAnsi="Book Antiqua" w:cs="宋体"/>
          <w:kern w:val="0"/>
          <w:sz w:val="24"/>
          <w:szCs w:val="24"/>
          <w:lang w:val="de-AT"/>
        </w:rPr>
        <w:t xml:space="preserve">, Preston-Hurlburt P, Garyu J, Henegariu O, Clynes R, Schmidt AM, Herold KC. </w:t>
      </w:r>
      <w:r w:rsidRPr="005936B2">
        <w:rPr>
          <w:rFonts w:ascii="Book Antiqua" w:eastAsia="宋体" w:hAnsi="Book Antiqua" w:cs="宋体"/>
          <w:kern w:val="0"/>
          <w:sz w:val="24"/>
          <w:szCs w:val="24"/>
        </w:rPr>
        <w:t>RAGE expression in human T cells: a link between environmental factors and adaptive immune responses. </w:t>
      </w:r>
      <w:r w:rsidRPr="005936B2">
        <w:rPr>
          <w:rFonts w:ascii="Book Antiqua" w:eastAsia="宋体" w:hAnsi="Book Antiqua" w:cs="宋体"/>
          <w:i/>
          <w:iCs/>
          <w:kern w:val="0"/>
          <w:sz w:val="24"/>
          <w:szCs w:val="24"/>
        </w:rPr>
        <w:t>PLoS One</w:t>
      </w:r>
      <w:r w:rsidRPr="005936B2">
        <w:rPr>
          <w:rFonts w:ascii="Book Antiqua" w:eastAsia="宋体" w:hAnsi="Book Antiqua" w:cs="宋体"/>
          <w:kern w:val="0"/>
          <w:sz w:val="24"/>
          <w:szCs w:val="24"/>
        </w:rPr>
        <w:t> 2012; </w:t>
      </w:r>
      <w:r w:rsidRPr="005936B2">
        <w:rPr>
          <w:rFonts w:ascii="Book Antiqua" w:eastAsia="宋体" w:hAnsi="Book Antiqua" w:cs="宋体"/>
          <w:b/>
          <w:bCs/>
          <w:kern w:val="0"/>
          <w:sz w:val="24"/>
          <w:szCs w:val="24"/>
        </w:rPr>
        <w:t>7</w:t>
      </w:r>
      <w:r w:rsidRPr="005936B2">
        <w:rPr>
          <w:rFonts w:ascii="Book Antiqua" w:eastAsia="宋体" w:hAnsi="Book Antiqua" w:cs="宋体"/>
          <w:kern w:val="0"/>
          <w:sz w:val="24"/>
          <w:szCs w:val="24"/>
        </w:rPr>
        <w:t>: e34698 [PMID: 22509345 DOI: 10.1371/journal.pone.0034698]</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147 </w:t>
      </w:r>
      <w:r w:rsidRPr="005936B2">
        <w:rPr>
          <w:rFonts w:ascii="Book Antiqua" w:eastAsia="宋体" w:hAnsi="Book Antiqua" w:cs="宋体"/>
          <w:b/>
          <w:bCs/>
          <w:kern w:val="0"/>
          <w:sz w:val="24"/>
          <w:szCs w:val="24"/>
        </w:rPr>
        <w:t>Akirav EM</w:t>
      </w:r>
      <w:r w:rsidRPr="005936B2">
        <w:rPr>
          <w:rFonts w:ascii="Book Antiqua" w:eastAsia="宋体" w:hAnsi="Book Antiqua" w:cs="宋体"/>
          <w:kern w:val="0"/>
          <w:sz w:val="24"/>
          <w:szCs w:val="24"/>
        </w:rPr>
        <w:t>, Henegariu O, Preston-Hurlburt P, Schmidt AM, Clynes R, Herold KC. The receptor for advanced glycation end products (RAGE) affects T cell differentiation in OVA induced asthma. </w:t>
      </w:r>
      <w:r w:rsidRPr="005936B2">
        <w:rPr>
          <w:rFonts w:ascii="Book Antiqua" w:eastAsia="宋体" w:hAnsi="Book Antiqua" w:cs="宋体"/>
          <w:i/>
          <w:iCs/>
          <w:kern w:val="0"/>
          <w:sz w:val="24"/>
          <w:szCs w:val="24"/>
        </w:rPr>
        <w:t>PLoS One</w:t>
      </w:r>
      <w:r w:rsidRPr="005936B2">
        <w:rPr>
          <w:rFonts w:ascii="Book Antiqua" w:eastAsia="宋体" w:hAnsi="Book Antiqua" w:cs="宋体"/>
          <w:kern w:val="0"/>
          <w:sz w:val="24"/>
          <w:szCs w:val="24"/>
        </w:rPr>
        <w:t> 2014; </w:t>
      </w:r>
      <w:r w:rsidRPr="005936B2">
        <w:rPr>
          <w:rFonts w:ascii="Book Antiqua" w:eastAsia="宋体" w:hAnsi="Book Antiqua" w:cs="宋体"/>
          <w:b/>
          <w:bCs/>
          <w:kern w:val="0"/>
          <w:sz w:val="24"/>
          <w:szCs w:val="24"/>
        </w:rPr>
        <w:t>9</w:t>
      </w:r>
      <w:r w:rsidRPr="005936B2">
        <w:rPr>
          <w:rFonts w:ascii="Book Antiqua" w:eastAsia="宋体" w:hAnsi="Book Antiqua" w:cs="宋体"/>
          <w:kern w:val="0"/>
          <w:sz w:val="24"/>
          <w:szCs w:val="24"/>
        </w:rPr>
        <w:t>: e95678 [PMID: 24759895 DOI: 10.1371/journal.pone.0095678]</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148 </w:t>
      </w:r>
      <w:r w:rsidRPr="005936B2">
        <w:rPr>
          <w:rFonts w:ascii="Book Antiqua" w:eastAsia="宋体" w:hAnsi="Book Antiqua" w:cs="宋体"/>
          <w:b/>
          <w:bCs/>
          <w:kern w:val="0"/>
          <w:sz w:val="24"/>
          <w:szCs w:val="24"/>
        </w:rPr>
        <w:t>Ilchmann A</w:t>
      </w:r>
      <w:r w:rsidRPr="005936B2">
        <w:rPr>
          <w:rFonts w:ascii="Book Antiqua" w:eastAsia="宋体" w:hAnsi="Book Antiqua" w:cs="宋体"/>
          <w:kern w:val="0"/>
          <w:sz w:val="24"/>
          <w:szCs w:val="24"/>
        </w:rPr>
        <w:t xml:space="preserve">, Burgdorf S, Scheurer S, Waibler Z, Nagai R, Wellner A, Yamamoto Y, Yamamoto H, Henle T, Kurts C, Kalinke U, Vieths S, Toda M. Glycation of a food allergen by the Maillard reaction enhances its T-cell immunogenicity: role of </w:t>
      </w:r>
      <w:r w:rsidRPr="005936B2">
        <w:rPr>
          <w:rFonts w:ascii="Book Antiqua" w:eastAsia="宋体" w:hAnsi="Book Antiqua" w:cs="宋体"/>
          <w:kern w:val="0"/>
          <w:sz w:val="24"/>
          <w:szCs w:val="24"/>
        </w:rPr>
        <w:lastRenderedPageBreak/>
        <w:t>macrophage scavenger receptor class A type I and II. </w:t>
      </w:r>
      <w:r w:rsidRPr="005936B2">
        <w:rPr>
          <w:rFonts w:ascii="Book Antiqua" w:eastAsia="宋体" w:hAnsi="Book Antiqua" w:cs="宋体"/>
          <w:i/>
          <w:iCs/>
          <w:kern w:val="0"/>
          <w:sz w:val="24"/>
          <w:szCs w:val="24"/>
        </w:rPr>
        <w:t>J Allergy Clin Immunol</w:t>
      </w:r>
      <w:r w:rsidRPr="005936B2">
        <w:rPr>
          <w:rFonts w:ascii="Book Antiqua" w:eastAsia="宋体" w:hAnsi="Book Antiqua" w:cs="宋体"/>
          <w:kern w:val="0"/>
          <w:sz w:val="24"/>
          <w:szCs w:val="24"/>
        </w:rPr>
        <w:t> 2010; </w:t>
      </w:r>
      <w:r w:rsidRPr="005936B2">
        <w:rPr>
          <w:rFonts w:ascii="Book Antiqua" w:eastAsia="宋体" w:hAnsi="Book Antiqua" w:cs="宋体"/>
          <w:b/>
          <w:bCs/>
          <w:kern w:val="0"/>
          <w:sz w:val="24"/>
          <w:szCs w:val="24"/>
        </w:rPr>
        <w:t>125</w:t>
      </w:r>
      <w:r w:rsidRPr="005936B2">
        <w:rPr>
          <w:rFonts w:ascii="Book Antiqua" w:eastAsia="宋体" w:hAnsi="Book Antiqua" w:cs="宋体"/>
          <w:kern w:val="0"/>
          <w:sz w:val="24"/>
          <w:szCs w:val="24"/>
        </w:rPr>
        <w:t>: 175-83.e1-11 [PMID: 19864011 DOI: 10.1016/j.jaci.2009.08.013]</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149 </w:t>
      </w:r>
      <w:r w:rsidRPr="005936B2">
        <w:rPr>
          <w:rFonts w:ascii="Book Antiqua" w:eastAsia="宋体" w:hAnsi="Book Antiqua" w:cs="宋体"/>
          <w:b/>
          <w:bCs/>
          <w:kern w:val="0"/>
          <w:sz w:val="24"/>
          <w:szCs w:val="24"/>
        </w:rPr>
        <w:t>Heilmann M</w:t>
      </w:r>
      <w:r w:rsidRPr="005936B2">
        <w:rPr>
          <w:rFonts w:ascii="Book Antiqua" w:eastAsia="宋体" w:hAnsi="Book Antiqua" w:cs="宋体"/>
          <w:kern w:val="0"/>
          <w:sz w:val="24"/>
          <w:szCs w:val="24"/>
        </w:rPr>
        <w:t>, Wellner A, Gadermaier G, Ilchmann A, Briza P, Krause M, Nagai R, Burgdorf S, Scheurer S, Vieths S, Henle T, Toda M. Ovalbumin modified with pyrraline, a Maillard reaction product, shows enhanced T-cell immunogenicity.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2014; </w:t>
      </w:r>
      <w:r w:rsidRPr="005936B2">
        <w:rPr>
          <w:rFonts w:ascii="Book Antiqua" w:eastAsia="宋体" w:hAnsi="Book Antiqua" w:cs="宋体"/>
          <w:b/>
          <w:bCs/>
          <w:kern w:val="0"/>
          <w:sz w:val="24"/>
          <w:szCs w:val="24"/>
        </w:rPr>
        <w:t>289</w:t>
      </w:r>
      <w:r w:rsidRPr="005936B2">
        <w:rPr>
          <w:rFonts w:ascii="Book Antiqua" w:eastAsia="宋体" w:hAnsi="Book Antiqua" w:cs="宋体"/>
          <w:kern w:val="0"/>
          <w:sz w:val="24"/>
          <w:szCs w:val="24"/>
        </w:rPr>
        <w:t>: 7919-7928 [PMID: 24505139 DOI: 10.1074/jbc.M113.523621]</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150 </w:t>
      </w:r>
      <w:r w:rsidRPr="005936B2">
        <w:rPr>
          <w:rFonts w:ascii="Book Antiqua" w:eastAsia="宋体" w:hAnsi="Book Antiqua" w:cs="宋体"/>
          <w:b/>
          <w:bCs/>
          <w:kern w:val="0"/>
          <w:sz w:val="24"/>
          <w:szCs w:val="24"/>
        </w:rPr>
        <w:t>Janeway CA</w:t>
      </w:r>
      <w:r w:rsidRPr="005936B2">
        <w:rPr>
          <w:rFonts w:ascii="Book Antiqua" w:eastAsia="宋体" w:hAnsi="Book Antiqua" w:cs="宋体"/>
          <w:kern w:val="0"/>
          <w:sz w:val="24"/>
          <w:szCs w:val="24"/>
        </w:rPr>
        <w:t xml:space="preserve">. </w:t>
      </w:r>
      <w:proofErr w:type="gramStart"/>
      <w:r w:rsidRPr="005936B2">
        <w:rPr>
          <w:rFonts w:ascii="Book Antiqua" w:eastAsia="宋体" w:hAnsi="Book Antiqua" w:cs="宋体"/>
          <w:kern w:val="0"/>
          <w:sz w:val="24"/>
          <w:szCs w:val="24"/>
        </w:rPr>
        <w:t>Approaching</w:t>
      </w:r>
      <w:proofErr w:type="gramEnd"/>
      <w:r w:rsidRPr="005936B2">
        <w:rPr>
          <w:rFonts w:ascii="Book Antiqua" w:eastAsia="宋体" w:hAnsi="Book Antiqua" w:cs="宋体"/>
          <w:kern w:val="0"/>
          <w:sz w:val="24"/>
          <w:szCs w:val="24"/>
        </w:rPr>
        <w:t xml:space="preserve"> the asymptote? </w:t>
      </w:r>
      <w:proofErr w:type="gramStart"/>
      <w:r w:rsidRPr="005936B2">
        <w:rPr>
          <w:rFonts w:ascii="Book Antiqua" w:eastAsia="宋体" w:hAnsi="Book Antiqua" w:cs="宋体"/>
          <w:kern w:val="0"/>
          <w:sz w:val="24"/>
          <w:szCs w:val="24"/>
        </w:rPr>
        <w:t>Evolution and revolution in immunology.</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Cold Spring Harb Symp Quant Biol</w:t>
      </w:r>
      <w:r w:rsidRPr="005936B2">
        <w:rPr>
          <w:rFonts w:ascii="Book Antiqua" w:eastAsia="宋体" w:hAnsi="Book Antiqua" w:cs="宋体"/>
          <w:kern w:val="0"/>
          <w:sz w:val="24"/>
          <w:szCs w:val="24"/>
        </w:rPr>
        <w:t> 1989; </w:t>
      </w:r>
      <w:r w:rsidRPr="005936B2">
        <w:rPr>
          <w:rFonts w:ascii="Book Antiqua" w:eastAsia="宋体" w:hAnsi="Book Antiqua" w:cs="宋体"/>
          <w:b/>
          <w:bCs/>
          <w:kern w:val="0"/>
          <w:sz w:val="24"/>
          <w:szCs w:val="24"/>
        </w:rPr>
        <w:t>54</w:t>
      </w:r>
      <w:r w:rsidRPr="005936B2">
        <w:rPr>
          <w:rFonts w:ascii="Book Antiqua" w:eastAsia="宋体" w:hAnsi="Book Antiqua" w:cs="宋体"/>
          <w:bCs/>
          <w:kern w:val="0"/>
          <w:sz w:val="24"/>
          <w:szCs w:val="24"/>
        </w:rPr>
        <w:t xml:space="preserve"> Pt 1</w:t>
      </w:r>
      <w:r w:rsidRPr="005936B2">
        <w:rPr>
          <w:rFonts w:ascii="Book Antiqua" w:eastAsia="宋体" w:hAnsi="Book Antiqua" w:cs="宋体"/>
          <w:kern w:val="0"/>
          <w:sz w:val="24"/>
          <w:szCs w:val="24"/>
        </w:rPr>
        <w:t>: 1-13 [PMID: 2700931 DOI: 10.1101/SQB.1989.054.01.003]</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151 </w:t>
      </w:r>
      <w:r w:rsidRPr="005936B2">
        <w:rPr>
          <w:rFonts w:ascii="Book Antiqua" w:eastAsia="宋体" w:hAnsi="Book Antiqua" w:cs="宋体"/>
          <w:b/>
          <w:bCs/>
          <w:kern w:val="0"/>
          <w:sz w:val="24"/>
          <w:szCs w:val="24"/>
        </w:rPr>
        <w:t>Chavakis T</w:t>
      </w:r>
      <w:r w:rsidRPr="005936B2">
        <w:rPr>
          <w:rFonts w:ascii="Book Antiqua" w:eastAsia="宋体" w:hAnsi="Book Antiqua" w:cs="宋体"/>
          <w:kern w:val="0"/>
          <w:sz w:val="24"/>
          <w:szCs w:val="24"/>
        </w:rPr>
        <w:t>, Bierhaus A, Nawroth PP. RAGE (receptor for advanced glycation end products): a central player in the inflammatory response. </w:t>
      </w:r>
      <w:r w:rsidRPr="005936B2">
        <w:rPr>
          <w:rFonts w:ascii="Book Antiqua" w:eastAsia="宋体" w:hAnsi="Book Antiqua" w:cs="宋体"/>
          <w:i/>
          <w:iCs/>
          <w:kern w:val="0"/>
          <w:sz w:val="24"/>
          <w:szCs w:val="24"/>
        </w:rPr>
        <w:t>Microbes Infect</w:t>
      </w:r>
      <w:r w:rsidRPr="005936B2">
        <w:rPr>
          <w:rFonts w:ascii="Book Antiqua" w:eastAsia="宋体" w:hAnsi="Book Antiqua" w:cs="宋体"/>
          <w:kern w:val="0"/>
          <w:sz w:val="24"/>
          <w:szCs w:val="24"/>
        </w:rPr>
        <w:t> 2004; </w:t>
      </w:r>
      <w:r w:rsidRPr="005936B2">
        <w:rPr>
          <w:rFonts w:ascii="Book Antiqua" w:eastAsia="宋体" w:hAnsi="Book Antiqua" w:cs="宋体"/>
          <w:b/>
          <w:bCs/>
          <w:kern w:val="0"/>
          <w:sz w:val="24"/>
          <w:szCs w:val="24"/>
        </w:rPr>
        <w:t>6</w:t>
      </w:r>
      <w:r w:rsidRPr="005936B2">
        <w:rPr>
          <w:rFonts w:ascii="Book Antiqua" w:eastAsia="宋体" w:hAnsi="Book Antiqua" w:cs="宋体"/>
          <w:kern w:val="0"/>
          <w:sz w:val="24"/>
          <w:szCs w:val="24"/>
        </w:rPr>
        <w:t>: 1219-1225 [PMID: 15488742 DOI: 10.1016/j.micinf.2004.08.004]</w:t>
      </w:r>
    </w:p>
    <w:p w:rsidR="007A0C7D" w:rsidRPr="005936B2" w:rsidRDefault="007A0C7D" w:rsidP="007A0C7D">
      <w:pPr>
        <w:widowControl/>
        <w:spacing w:line="360" w:lineRule="auto"/>
        <w:rPr>
          <w:rFonts w:ascii="Book Antiqua" w:eastAsia="宋体" w:hAnsi="Book Antiqua" w:cs="宋体"/>
          <w:kern w:val="0"/>
          <w:sz w:val="24"/>
          <w:szCs w:val="24"/>
          <w:lang w:val="de-AT"/>
        </w:rPr>
      </w:pPr>
      <w:r w:rsidRPr="005936B2">
        <w:rPr>
          <w:rFonts w:ascii="Book Antiqua" w:eastAsia="宋体" w:hAnsi="Book Antiqua" w:cs="宋体"/>
          <w:kern w:val="0"/>
          <w:sz w:val="24"/>
          <w:szCs w:val="24"/>
        </w:rPr>
        <w:t>152 </w:t>
      </w:r>
      <w:r w:rsidRPr="005936B2">
        <w:rPr>
          <w:rFonts w:ascii="Book Antiqua" w:eastAsia="宋体" w:hAnsi="Book Antiqua" w:cs="宋体"/>
          <w:b/>
          <w:bCs/>
          <w:kern w:val="0"/>
          <w:sz w:val="24"/>
          <w:szCs w:val="24"/>
        </w:rPr>
        <w:t>Reiniger N</w:t>
      </w:r>
      <w:r w:rsidRPr="005936B2">
        <w:rPr>
          <w:rFonts w:ascii="Book Antiqua" w:eastAsia="宋体" w:hAnsi="Book Antiqua" w:cs="宋体"/>
          <w:kern w:val="0"/>
          <w:sz w:val="24"/>
          <w:szCs w:val="24"/>
        </w:rPr>
        <w:t>, Lau K, McCalla D, Eby B, Cheng B, Lu Y, Qu W, Quadri N, Ananthakrishnan R, Furmansky M, Rosario R, Song F, Rai V, Weinberg A, Friedman R, Ramasamy R, D'Agati V, Schmidt AM. Deletion of the receptor for advanced glycation end products reduces glomerulosclerosis and preserves renal function in the diabetic OVE26 mouse. </w:t>
      </w:r>
      <w:r w:rsidRPr="005936B2">
        <w:rPr>
          <w:rFonts w:ascii="Book Antiqua" w:eastAsia="宋体" w:hAnsi="Book Antiqua" w:cs="宋体"/>
          <w:i/>
          <w:iCs/>
          <w:kern w:val="0"/>
          <w:sz w:val="24"/>
          <w:szCs w:val="24"/>
          <w:lang w:val="de-AT"/>
        </w:rPr>
        <w:t>Diabetes</w:t>
      </w:r>
      <w:r w:rsidRPr="005936B2">
        <w:rPr>
          <w:rFonts w:ascii="Book Antiqua" w:eastAsia="宋体" w:hAnsi="Book Antiqua" w:cs="宋体"/>
          <w:kern w:val="0"/>
          <w:sz w:val="24"/>
          <w:szCs w:val="24"/>
          <w:lang w:val="de-AT"/>
        </w:rPr>
        <w:t> 2010; </w:t>
      </w:r>
      <w:r w:rsidRPr="005936B2">
        <w:rPr>
          <w:rFonts w:ascii="Book Antiqua" w:eastAsia="宋体" w:hAnsi="Book Antiqua" w:cs="宋体"/>
          <w:b/>
          <w:bCs/>
          <w:kern w:val="0"/>
          <w:sz w:val="24"/>
          <w:szCs w:val="24"/>
          <w:lang w:val="de-AT"/>
        </w:rPr>
        <w:t>59</w:t>
      </w:r>
      <w:r w:rsidRPr="005936B2">
        <w:rPr>
          <w:rFonts w:ascii="Book Antiqua" w:eastAsia="宋体" w:hAnsi="Book Antiqua" w:cs="宋体"/>
          <w:kern w:val="0"/>
          <w:sz w:val="24"/>
          <w:szCs w:val="24"/>
          <w:lang w:val="de-AT"/>
        </w:rPr>
        <w:t>: 2043-2054 [PMID: 20627935 DOI: 10.2337/db09-1766]</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lang w:val="de-AT"/>
        </w:rPr>
        <w:t>153 </w:t>
      </w:r>
      <w:r w:rsidRPr="005936B2">
        <w:rPr>
          <w:rFonts w:ascii="Book Antiqua" w:eastAsia="宋体" w:hAnsi="Book Antiqua" w:cs="宋体"/>
          <w:b/>
          <w:bCs/>
          <w:kern w:val="0"/>
          <w:sz w:val="24"/>
          <w:szCs w:val="24"/>
          <w:lang w:val="de-AT"/>
        </w:rPr>
        <w:t>Ramasamy R</w:t>
      </w:r>
      <w:r w:rsidRPr="005936B2">
        <w:rPr>
          <w:rFonts w:ascii="Book Antiqua" w:eastAsia="宋体" w:hAnsi="Book Antiqua" w:cs="宋体"/>
          <w:kern w:val="0"/>
          <w:sz w:val="24"/>
          <w:szCs w:val="24"/>
          <w:lang w:val="de-AT"/>
        </w:rPr>
        <w:t xml:space="preserve">, Yan SF, Schmidt AM. </w:t>
      </w:r>
      <w:r w:rsidRPr="005936B2">
        <w:rPr>
          <w:rFonts w:ascii="Book Antiqua" w:eastAsia="宋体" w:hAnsi="Book Antiqua" w:cs="宋体"/>
          <w:kern w:val="0"/>
          <w:sz w:val="24"/>
          <w:szCs w:val="24"/>
        </w:rPr>
        <w:t>Advanced glycation endproducts: from precursors to RAGE: round and round we go. </w:t>
      </w:r>
      <w:r w:rsidRPr="005936B2">
        <w:rPr>
          <w:rFonts w:ascii="Book Antiqua" w:eastAsia="宋体" w:hAnsi="Book Antiqua" w:cs="宋体"/>
          <w:i/>
          <w:iCs/>
          <w:kern w:val="0"/>
          <w:sz w:val="24"/>
          <w:szCs w:val="24"/>
        </w:rPr>
        <w:t>Amino Acids</w:t>
      </w:r>
      <w:r w:rsidRPr="005936B2">
        <w:rPr>
          <w:rFonts w:ascii="Book Antiqua" w:eastAsia="宋体" w:hAnsi="Book Antiqua" w:cs="宋体"/>
          <w:kern w:val="0"/>
          <w:sz w:val="24"/>
          <w:szCs w:val="24"/>
        </w:rPr>
        <w:t> 2012; </w:t>
      </w:r>
      <w:r w:rsidRPr="005936B2">
        <w:rPr>
          <w:rFonts w:ascii="Book Antiqua" w:eastAsia="宋体" w:hAnsi="Book Antiqua" w:cs="宋体"/>
          <w:b/>
          <w:bCs/>
          <w:kern w:val="0"/>
          <w:sz w:val="24"/>
          <w:szCs w:val="24"/>
        </w:rPr>
        <w:t>42</w:t>
      </w:r>
      <w:r w:rsidRPr="005936B2">
        <w:rPr>
          <w:rFonts w:ascii="Book Antiqua" w:eastAsia="宋体" w:hAnsi="Book Antiqua" w:cs="宋体"/>
          <w:kern w:val="0"/>
          <w:sz w:val="24"/>
          <w:szCs w:val="24"/>
        </w:rPr>
        <w:t>: 1151-1161 [PMID: 20957395 DOI: 10.1007/s00726-010-0773-2]</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154 </w:t>
      </w:r>
      <w:r w:rsidRPr="005936B2">
        <w:rPr>
          <w:rFonts w:ascii="Book Antiqua" w:eastAsia="宋体" w:hAnsi="Book Antiqua" w:cs="宋体"/>
          <w:b/>
          <w:bCs/>
          <w:kern w:val="0"/>
          <w:sz w:val="24"/>
          <w:szCs w:val="24"/>
        </w:rPr>
        <w:t>Baydanoff S</w:t>
      </w:r>
      <w:r w:rsidRPr="005936B2">
        <w:rPr>
          <w:rFonts w:ascii="Book Antiqua" w:eastAsia="宋体" w:hAnsi="Book Antiqua" w:cs="宋体"/>
          <w:kern w:val="0"/>
          <w:sz w:val="24"/>
          <w:szCs w:val="24"/>
        </w:rPr>
        <w:t>, Nicoloff G, Alexiev C. Age-dependent changes in the level of antielastin antibodies of different immunoglobulin classes (IgG, IgM, IgA and IgD) in the human serum. </w:t>
      </w:r>
      <w:r w:rsidRPr="005936B2">
        <w:rPr>
          <w:rFonts w:ascii="Book Antiqua" w:eastAsia="宋体" w:hAnsi="Book Antiqua" w:cs="宋体"/>
          <w:i/>
          <w:iCs/>
          <w:kern w:val="0"/>
          <w:sz w:val="24"/>
          <w:szCs w:val="24"/>
        </w:rPr>
        <w:t>Cor Vasa</w:t>
      </w:r>
      <w:r w:rsidRPr="005936B2">
        <w:rPr>
          <w:rFonts w:ascii="Book Antiqua" w:eastAsia="宋体" w:hAnsi="Book Antiqua" w:cs="宋体"/>
          <w:kern w:val="0"/>
          <w:sz w:val="24"/>
          <w:szCs w:val="24"/>
        </w:rPr>
        <w:t> 1991; </w:t>
      </w:r>
      <w:r w:rsidRPr="005936B2">
        <w:rPr>
          <w:rFonts w:ascii="Book Antiqua" w:eastAsia="宋体" w:hAnsi="Book Antiqua" w:cs="宋体"/>
          <w:b/>
          <w:bCs/>
          <w:kern w:val="0"/>
          <w:sz w:val="24"/>
          <w:szCs w:val="24"/>
        </w:rPr>
        <w:t>33</w:t>
      </w:r>
      <w:r w:rsidRPr="005936B2">
        <w:rPr>
          <w:rFonts w:ascii="Book Antiqua" w:eastAsia="宋体" w:hAnsi="Book Antiqua" w:cs="宋体"/>
          <w:kern w:val="0"/>
          <w:sz w:val="24"/>
          <w:szCs w:val="24"/>
        </w:rPr>
        <w:t>: 197-205 [PMID: 1914472]</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 xml:space="preserve">155 </w:t>
      </w:r>
      <w:r w:rsidRPr="005936B2">
        <w:rPr>
          <w:rFonts w:ascii="Book Antiqua" w:eastAsia="宋体" w:hAnsi="Book Antiqua" w:cs="宋体"/>
          <w:b/>
          <w:kern w:val="0"/>
          <w:sz w:val="24"/>
          <w:szCs w:val="24"/>
        </w:rPr>
        <w:t>Mir AR</w:t>
      </w:r>
      <w:r w:rsidRPr="005936B2">
        <w:rPr>
          <w:rFonts w:ascii="Book Antiqua" w:eastAsia="宋体" w:hAnsi="Book Antiqua" w:cs="宋体"/>
          <w:kern w:val="0"/>
          <w:sz w:val="24"/>
          <w:szCs w:val="24"/>
        </w:rPr>
        <w:t>, Moinuddin, Habib S, Khan F, Alam K, Ali A. Structural changes in histone H2A by methylglyoxal generate highly immunogenic amorphous aggregates with implications in auto-immune response in cancer. </w:t>
      </w:r>
      <w:r w:rsidRPr="005936B2">
        <w:rPr>
          <w:rFonts w:ascii="Book Antiqua" w:eastAsia="宋体" w:hAnsi="Book Antiqua" w:cs="宋体"/>
          <w:i/>
          <w:iCs/>
          <w:kern w:val="0"/>
          <w:sz w:val="24"/>
          <w:szCs w:val="24"/>
        </w:rPr>
        <w:t>Glycobiology</w:t>
      </w:r>
      <w:r w:rsidRPr="005936B2">
        <w:rPr>
          <w:rFonts w:ascii="Book Antiqua" w:eastAsia="宋体" w:hAnsi="Book Antiqua" w:cs="宋体"/>
          <w:kern w:val="0"/>
          <w:sz w:val="24"/>
          <w:szCs w:val="24"/>
        </w:rPr>
        <w:t> 2015;</w:t>
      </w:r>
      <w:r w:rsidRPr="005936B2">
        <w:rPr>
          <w:rFonts w:ascii="Book Antiqua" w:hAnsi="Book Antiqua"/>
        </w:rPr>
        <w:t xml:space="preserve"> </w:t>
      </w:r>
      <w:r w:rsidRPr="005936B2">
        <w:rPr>
          <w:rFonts w:ascii="Book Antiqua" w:eastAsia="宋体" w:hAnsi="Book Antiqua" w:cs="宋体"/>
          <w:kern w:val="0"/>
          <w:sz w:val="24"/>
          <w:szCs w:val="24"/>
        </w:rPr>
        <w:t xml:space="preserve">Epub ahead of print [PMID: </w:t>
      </w:r>
      <w:bookmarkStart w:id="5" w:name="OLE_LINK5"/>
      <w:bookmarkStart w:id="6" w:name="OLE_LINK6"/>
      <w:r w:rsidRPr="005936B2">
        <w:rPr>
          <w:rFonts w:ascii="Book Antiqua" w:eastAsia="宋体" w:hAnsi="Book Antiqua" w:cs="宋体"/>
          <w:kern w:val="0"/>
          <w:sz w:val="24"/>
          <w:szCs w:val="24"/>
        </w:rPr>
        <w:t xml:space="preserve">26408820 </w:t>
      </w:r>
      <w:bookmarkEnd w:id="5"/>
      <w:bookmarkEnd w:id="6"/>
      <w:r w:rsidRPr="005936B2">
        <w:rPr>
          <w:rFonts w:ascii="Book Antiqua" w:eastAsia="宋体" w:hAnsi="Book Antiqua" w:cs="宋体"/>
          <w:kern w:val="0"/>
          <w:sz w:val="24"/>
          <w:szCs w:val="24"/>
        </w:rPr>
        <w:t>DOI: 10.1093/glycob/cwv082]</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156 </w:t>
      </w:r>
      <w:r w:rsidRPr="005936B2">
        <w:rPr>
          <w:rFonts w:ascii="Book Antiqua" w:eastAsia="宋体" w:hAnsi="Book Antiqua" w:cs="宋体"/>
          <w:b/>
          <w:bCs/>
          <w:kern w:val="0"/>
          <w:sz w:val="24"/>
          <w:szCs w:val="24"/>
        </w:rPr>
        <w:t>Arif B</w:t>
      </w:r>
      <w:r w:rsidRPr="005936B2">
        <w:rPr>
          <w:rFonts w:ascii="Book Antiqua" w:eastAsia="宋体" w:hAnsi="Book Antiqua" w:cs="宋体"/>
          <w:kern w:val="0"/>
          <w:sz w:val="24"/>
          <w:szCs w:val="24"/>
        </w:rPr>
        <w:t>, Ashraf JM, Moinuddin J, Arif Z, Alam K. Structural and immunological characterization of Amadori-rich human serum albumin: role in diabetes mellitus. </w:t>
      </w:r>
      <w:r w:rsidRPr="005936B2">
        <w:rPr>
          <w:rFonts w:ascii="Book Antiqua" w:eastAsia="宋体" w:hAnsi="Book Antiqua" w:cs="宋体"/>
          <w:i/>
          <w:iCs/>
          <w:kern w:val="0"/>
          <w:sz w:val="24"/>
          <w:szCs w:val="24"/>
        </w:rPr>
        <w:t>Arch Biochem Biophys</w:t>
      </w:r>
      <w:r w:rsidRPr="005936B2">
        <w:rPr>
          <w:rFonts w:ascii="Book Antiqua" w:eastAsia="宋体" w:hAnsi="Book Antiqua" w:cs="宋体"/>
          <w:kern w:val="0"/>
          <w:sz w:val="24"/>
          <w:szCs w:val="24"/>
        </w:rPr>
        <w:t> 2012; </w:t>
      </w:r>
      <w:r w:rsidRPr="005936B2">
        <w:rPr>
          <w:rFonts w:ascii="Book Antiqua" w:eastAsia="宋体" w:hAnsi="Book Antiqua" w:cs="宋体"/>
          <w:b/>
          <w:bCs/>
          <w:kern w:val="0"/>
          <w:sz w:val="24"/>
          <w:szCs w:val="24"/>
        </w:rPr>
        <w:t>522</w:t>
      </w:r>
      <w:r w:rsidRPr="005936B2">
        <w:rPr>
          <w:rFonts w:ascii="Book Antiqua" w:eastAsia="宋体" w:hAnsi="Book Antiqua" w:cs="宋体"/>
          <w:kern w:val="0"/>
          <w:sz w:val="24"/>
          <w:szCs w:val="24"/>
        </w:rPr>
        <w:t>: 17-25 [PMID: 22516656 DOI: 10.1016/j.abb.2012.04.005]</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lastRenderedPageBreak/>
        <w:t>157 </w:t>
      </w:r>
      <w:r w:rsidRPr="005936B2">
        <w:rPr>
          <w:rFonts w:ascii="Book Antiqua" w:eastAsia="宋体" w:hAnsi="Book Antiqua" w:cs="宋体"/>
          <w:b/>
          <w:bCs/>
          <w:kern w:val="0"/>
          <w:sz w:val="24"/>
          <w:szCs w:val="24"/>
        </w:rPr>
        <w:t>Ansari NA</w:t>
      </w:r>
      <w:r w:rsidRPr="005936B2">
        <w:rPr>
          <w:rFonts w:ascii="Book Antiqua" w:eastAsia="宋体" w:hAnsi="Book Antiqua" w:cs="宋体"/>
          <w:kern w:val="0"/>
          <w:sz w:val="24"/>
          <w:szCs w:val="24"/>
        </w:rPr>
        <w:t>, Moinuddin K, Ali A. Preferential recognition of Amadori-rich lysine residues by serum antibodies in diabetes mellitus: role of protein glycation in the disease process. </w:t>
      </w:r>
      <w:r w:rsidRPr="005936B2">
        <w:rPr>
          <w:rFonts w:ascii="Book Antiqua" w:eastAsia="宋体" w:hAnsi="Book Antiqua" w:cs="宋体"/>
          <w:i/>
          <w:iCs/>
          <w:kern w:val="0"/>
          <w:sz w:val="24"/>
          <w:szCs w:val="24"/>
        </w:rPr>
        <w:t>Hum Immunol</w:t>
      </w:r>
      <w:r w:rsidRPr="005936B2">
        <w:rPr>
          <w:rFonts w:ascii="Book Antiqua" w:eastAsia="宋体" w:hAnsi="Book Antiqua" w:cs="宋体"/>
          <w:kern w:val="0"/>
          <w:sz w:val="24"/>
          <w:szCs w:val="24"/>
        </w:rPr>
        <w:t> 2009; </w:t>
      </w:r>
      <w:r w:rsidRPr="005936B2">
        <w:rPr>
          <w:rFonts w:ascii="Book Antiqua" w:eastAsia="宋体" w:hAnsi="Book Antiqua" w:cs="宋体"/>
          <w:b/>
          <w:bCs/>
          <w:kern w:val="0"/>
          <w:sz w:val="24"/>
          <w:szCs w:val="24"/>
        </w:rPr>
        <w:t>70</w:t>
      </w:r>
      <w:r w:rsidRPr="005936B2">
        <w:rPr>
          <w:rFonts w:ascii="Book Antiqua" w:eastAsia="宋体" w:hAnsi="Book Antiqua" w:cs="宋体"/>
          <w:kern w:val="0"/>
          <w:sz w:val="24"/>
          <w:szCs w:val="24"/>
        </w:rPr>
        <w:t>: 417-424 [PMID: 19332092 DOI: 10.1016/j.humimm.2009.03.015]</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 xml:space="preserve">158 </w:t>
      </w:r>
      <w:r w:rsidRPr="005936B2">
        <w:rPr>
          <w:rFonts w:ascii="Book Antiqua" w:eastAsia="宋体" w:hAnsi="Book Antiqua" w:cs="宋体"/>
          <w:b/>
          <w:kern w:val="0"/>
          <w:sz w:val="24"/>
          <w:szCs w:val="24"/>
        </w:rPr>
        <w:t>Rasheed Z</w:t>
      </w:r>
      <w:r w:rsidRPr="005936B2">
        <w:rPr>
          <w:rFonts w:ascii="Book Antiqua" w:eastAsia="宋体" w:hAnsi="Book Antiqua" w:cs="宋体"/>
          <w:kern w:val="0"/>
          <w:sz w:val="24"/>
          <w:szCs w:val="24"/>
        </w:rPr>
        <w:t xml:space="preserve">, Kumar L, Sajid, Prasad I, Ansari NA, Ahmad R. Advanced Glycation End Products (AGEs) damaged IgG, a target for circulating autoantibodies in patients with type 1 diabetes mellitus. </w:t>
      </w:r>
      <w:r w:rsidRPr="005936B2">
        <w:rPr>
          <w:rFonts w:ascii="Book Antiqua" w:eastAsia="宋体" w:hAnsi="Book Antiqua" w:cs="宋体"/>
          <w:i/>
          <w:kern w:val="0"/>
          <w:sz w:val="24"/>
          <w:szCs w:val="24"/>
        </w:rPr>
        <w:t xml:space="preserve">Open Glycosci </w:t>
      </w:r>
      <w:r w:rsidRPr="005936B2">
        <w:rPr>
          <w:rFonts w:ascii="Book Antiqua" w:eastAsia="宋体" w:hAnsi="Book Antiqua" w:cs="宋体"/>
          <w:kern w:val="0"/>
          <w:sz w:val="24"/>
          <w:szCs w:val="24"/>
        </w:rPr>
        <w:t xml:space="preserve">2009; </w:t>
      </w:r>
      <w:r w:rsidRPr="005936B2">
        <w:rPr>
          <w:rFonts w:ascii="Book Antiqua" w:eastAsia="宋体" w:hAnsi="Book Antiqua" w:cs="宋体"/>
          <w:b/>
          <w:kern w:val="0"/>
          <w:sz w:val="24"/>
          <w:szCs w:val="24"/>
        </w:rPr>
        <w:t>2</w:t>
      </w:r>
      <w:r w:rsidRPr="005936B2">
        <w:rPr>
          <w:rFonts w:ascii="Book Antiqua" w:eastAsia="宋体" w:hAnsi="Book Antiqua" w:cs="宋体"/>
          <w:kern w:val="0"/>
          <w:sz w:val="24"/>
          <w:szCs w:val="24"/>
        </w:rPr>
        <w:t>: 1-8 [DOI: 10.2174/1875398100902010001]</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159 </w:t>
      </w:r>
      <w:r w:rsidRPr="005936B2">
        <w:rPr>
          <w:rFonts w:ascii="Book Antiqua" w:eastAsia="宋体" w:hAnsi="Book Antiqua" w:cs="宋体"/>
          <w:b/>
          <w:bCs/>
          <w:kern w:val="0"/>
          <w:sz w:val="24"/>
          <w:szCs w:val="24"/>
        </w:rPr>
        <w:t>Shahab U</w:t>
      </w:r>
      <w:r w:rsidRPr="005936B2">
        <w:rPr>
          <w:rFonts w:ascii="Book Antiqua" w:eastAsia="宋体" w:hAnsi="Book Antiqua" w:cs="宋体"/>
          <w:kern w:val="0"/>
          <w:sz w:val="24"/>
          <w:szCs w:val="24"/>
        </w:rPr>
        <w:t>, Tabrez S, Khan MS, Akhter F, Khan MS, Saeed M, Ahmad K, Srivastava AK, Ahmad S. Immunogenicity of DNA-advanced glycation end product fashioned through glyoxal and arginine in the presence of Fe³</w:t>
      </w:r>
      <w:r w:rsidRPr="005936B2">
        <w:rPr>
          <w:rFonts w:ascii="Cambria Math" w:eastAsia="MS Mincho" w:hAnsi="Cambria Math" w:cs="Cambria Math"/>
          <w:kern w:val="0"/>
          <w:sz w:val="24"/>
          <w:szCs w:val="24"/>
        </w:rPr>
        <w:t>⁺</w:t>
      </w:r>
      <w:r w:rsidRPr="005936B2">
        <w:rPr>
          <w:rFonts w:ascii="Book Antiqua" w:eastAsia="宋体" w:hAnsi="Book Antiqua" w:cs="宋体"/>
          <w:kern w:val="0"/>
          <w:sz w:val="24"/>
          <w:szCs w:val="24"/>
        </w:rPr>
        <w:t>: its potential role in prompt recognition of diabetes mellitus auto-antibodies. </w:t>
      </w:r>
      <w:r w:rsidRPr="005936B2">
        <w:rPr>
          <w:rFonts w:ascii="Book Antiqua" w:eastAsia="宋体" w:hAnsi="Book Antiqua" w:cs="宋体"/>
          <w:i/>
          <w:iCs/>
          <w:kern w:val="0"/>
          <w:sz w:val="24"/>
          <w:szCs w:val="24"/>
        </w:rPr>
        <w:t>Chem Biol Interact</w:t>
      </w:r>
      <w:r w:rsidRPr="005936B2">
        <w:rPr>
          <w:rFonts w:ascii="Book Antiqua" w:eastAsia="宋体" w:hAnsi="Book Antiqua" w:cs="宋体"/>
          <w:kern w:val="0"/>
          <w:sz w:val="24"/>
          <w:szCs w:val="24"/>
        </w:rPr>
        <w:t> 2014; </w:t>
      </w:r>
      <w:r w:rsidRPr="005936B2">
        <w:rPr>
          <w:rFonts w:ascii="Book Antiqua" w:eastAsia="宋体" w:hAnsi="Book Antiqua" w:cs="宋体"/>
          <w:b/>
          <w:bCs/>
          <w:kern w:val="0"/>
          <w:sz w:val="24"/>
          <w:szCs w:val="24"/>
        </w:rPr>
        <w:t>219</w:t>
      </w:r>
      <w:r w:rsidRPr="005936B2">
        <w:rPr>
          <w:rFonts w:ascii="Book Antiqua" w:eastAsia="宋体" w:hAnsi="Book Antiqua" w:cs="宋体"/>
          <w:kern w:val="0"/>
          <w:sz w:val="24"/>
          <w:szCs w:val="24"/>
        </w:rPr>
        <w:t>: 229-240 [PMID: 24968179 DOI: 10.1016/j.cbi.2014.06.012]</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160 </w:t>
      </w:r>
      <w:r w:rsidRPr="005936B2">
        <w:rPr>
          <w:rFonts w:ascii="Book Antiqua" w:eastAsia="宋体" w:hAnsi="Book Antiqua" w:cs="宋体"/>
          <w:b/>
          <w:bCs/>
          <w:kern w:val="0"/>
          <w:sz w:val="24"/>
          <w:szCs w:val="24"/>
        </w:rPr>
        <w:t>Ahmad S</w:t>
      </w:r>
      <w:r w:rsidRPr="005936B2">
        <w:rPr>
          <w:rFonts w:ascii="Book Antiqua" w:eastAsia="宋体" w:hAnsi="Book Antiqua" w:cs="宋体"/>
          <w:kern w:val="0"/>
          <w:sz w:val="24"/>
          <w:szCs w:val="24"/>
        </w:rPr>
        <w:t>, Moinuddin K, Shahab U, Alam K, Ali A. Genotoxicity and immunogenicity of DNA-advanced glycation end products formed by methylglyoxal and lysine in presence of Cu2+. </w:t>
      </w:r>
      <w:r w:rsidRPr="005936B2">
        <w:rPr>
          <w:rFonts w:ascii="Book Antiqua" w:eastAsia="宋体" w:hAnsi="Book Antiqua" w:cs="宋体"/>
          <w:i/>
          <w:iCs/>
          <w:kern w:val="0"/>
          <w:sz w:val="24"/>
          <w:szCs w:val="24"/>
        </w:rPr>
        <w:t>Biochem Biophys Res Commun</w:t>
      </w:r>
      <w:r w:rsidRPr="005936B2">
        <w:rPr>
          <w:rFonts w:ascii="Book Antiqua" w:eastAsia="宋体" w:hAnsi="Book Antiqua" w:cs="宋体"/>
          <w:kern w:val="0"/>
          <w:sz w:val="24"/>
          <w:szCs w:val="24"/>
        </w:rPr>
        <w:t> 2011; </w:t>
      </w:r>
      <w:r w:rsidRPr="005936B2">
        <w:rPr>
          <w:rFonts w:ascii="Book Antiqua" w:eastAsia="宋体" w:hAnsi="Book Antiqua" w:cs="宋体"/>
          <w:b/>
          <w:bCs/>
          <w:kern w:val="0"/>
          <w:sz w:val="24"/>
          <w:szCs w:val="24"/>
        </w:rPr>
        <w:t>407</w:t>
      </w:r>
      <w:r w:rsidRPr="005936B2">
        <w:rPr>
          <w:rFonts w:ascii="Book Antiqua" w:eastAsia="宋体" w:hAnsi="Book Antiqua" w:cs="宋体"/>
          <w:kern w:val="0"/>
          <w:sz w:val="24"/>
          <w:szCs w:val="24"/>
        </w:rPr>
        <w:t>: 568-574 [PMID: 21420380 DOI: 10.1016/j.bbrc.2011.03.064]</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161 </w:t>
      </w:r>
      <w:r w:rsidRPr="005936B2">
        <w:rPr>
          <w:rFonts w:ascii="Book Antiqua" w:eastAsia="宋体" w:hAnsi="Book Antiqua" w:cs="宋体"/>
          <w:b/>
          <w:bCs/>
          <w:kern w:val="0"/>
          <w:sz w:val="24"/>
          <w:szCs w:val="24"/>
        </w:rPr>
        <w:t>Akhter F</w:t>
      </w:r>
      <w:r w:rsidRPr="005936B2">
        <w:rPr>
          <w:rFonts w:ascii="Book Antiqua" w:eastAsia="宋体" w:hAnsi="Book Antiqua" w:cs="宋体"/>
          <w:kern w:val="0"/>
          <w:sz w:val="24"/>
          <w:szCs w:val="24"/>
        </w:rPr>
        <w:t>, Khan MS, Singh S, Ahmad S.</w:t>
      </w:r>
      <w:proofErr w:type="gramEnd"/>
      <w:r w:rsidRPr="005936B2">
        <w:rPr>
          <w:rFonts w:ascii="Book Antiqua" w:eastAsia="宋体" w:hAnsi="Book Antiqua" w:cs="宋体"/>
          <w:kern w:val="0"/>
          <w:sz w:val="24"/>
          <w:szCs w:val="24"/>
        </w:rPr>
        <w:t xml:space="preserve"> An immunohistochemical analysis to validate the rationale behind the enhanced immunogenicity of D-ribosylated </w:t>
      </w:r>
      <w:proofErr w:type="gramStart"/>
      <w:r w:rsidRPr="005936B2">
        <w:rPr>
          <w:rFonts w:ascii="Book Antiqua" w:eastAsia="宋体" w:hAnsi="Book Antiqua" w:cs="宋体"/>
          <w:kern w:val="0"/>
          <w:sz w:val="24"/>
          <w:szCs w:val="24"/>
        </w:rPr>
        <w:t>low density</w:t>
      </w:r>
      <w:proofErr w:type="gramEnd"/>
      <w:r w:rsidRPr="005936B2">
        <w:rPr>
          <w:rFonts w:ascii="Book Antiqua" w:eastAsia="宋体" w:hAnsi="Book Antiqua" w:cs="宋体"/>
          <w:kern w:val="0"/>
          <w:sz w:val="24"/>
          <w:szCs w:val="24"/>
        </w:rPr>
        <w:t xml:space="preserve"> lipo-protein. </w:t>
      </w:r>
      <w:r w:rsidRPr="005936B2">
        <w:rPr>
          <w:rFonts w:ascii="Book Antiqua" w:eastAsia="宋体" w:hAnsi="Book Antiqua" w:cs="宋体"/>
          <w:i/>
          <w:iCs/>
          <w:kern w:val="0"/>
          <w:sz w:val="24"/>
          <w:szCs w:val="24"/>
        </w:rPr>
        <w:t>PLoS One</w:t>
      </w:r>
      <w:r w:rsidRPr="005936B2">
        <w:rPr>
          <w:rFonts w:ascii="Book Antiqua" w:eastAsia="宋体" w:hAnsi="Book Antiqua" w:cs="宋体"/>
          <w:kern w:val="0"/>
          <w:sz w:val="24"/>
          <w:szCs w:val="24"/>
        </w:rPr>
        <w:t> 2014; </w:t>
      </w:r>
      <w:r w:rsidRPr="005936B2">
        <w:rPr>
          <w:rFonts w:ascii="Book Antiqua" w:eastAsia="宋体" w:hAnsi="Book Antiqua" w:cs="宋体"/>
          <w:b/>
          <w:bCs/>
          <w:kern w:val="0"/>
          <w:sz w:val="24"/>
          <w:szCs w:val="24"/>
        </w:rPr>
        <w:t>9</w:t>
      </w:r>
      <w:r w:rsidRPr="005936B2">
        <w:rPr>
          <w:rFonts w:ascii="Book Antiqua" w:eastAsia="宋体" w:hAnsi="Book Antiqua" w:cs="宋体"/>
          <w:kern w:val="0"/>
          <w:sz w:val="24"/>
          <w:szCs w:val="24"/>
        </w:rPr>
        <w:t>: e113144 [PMID: 25393017 DOI: 10.1371/journal.pone.0113144]</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162 </w:t>
      </w:r>
      <w:r w:rsidRPr="005936B2">
        <w:rPr>
          <w:rFonts w:ascii="Book Antiqua" w:eastAsia="宋体" w:hAnsi="Book Antiqua" w:cs="宋体"/>
          <w:b/>
          <w:bCs/>
          <w:kern w:val="0"/>
          <w:sz w:val="24"/>
          <w:szCs w:val="24"/>
        </w:rPr>
        <w:t>Akhter F</w:t>
      </w:r>
      <w:r w:rsidRPr="005936B2">
        <w:rPr>
          <w:rFonts w:ascii="Book Antiqua" w:eastAsia="宋体" w:hAnsi="Book Antiqua" w:cs="宋体"/>
          <w:kern w:val="0"/>
          <w:sz w:val="24"/>
          <w:szCs w:val="24"/>
        </w:rPr>
        <w:t>, Khan MS, Ahmad S. Acquired immunogenicity of calf thymus DNA and LDL modified by D-ribose: a comparative study. </w:t>
      </w:r>
      <w:r w:rsidRPr="005936B2">
        <w:rPr>
          <w:rFonts w:ascii="Book Antiqua" w:eastAsia="宋体" w:hAnsi="Book Antiqua" w:cs="宋体"/>
          <w:i/>
          <w:iCs/>
          <w:kern w:val="0"/>
          <w:sz w:val="24"/>
          <w:szCs w:val="24"/>
        </w:rPr>
        <w:t>Int J Biol Macromol</w:t>
      </w:r>
      <w:r w:rsidRPr="005936B2">
        <w:rPr>
          <w:rFonts w:ascii="Book Antiqua" w:eastAsia="宋体" w:hAnsi="Book Antiqua" w:cs="宋体"/>
          <w:kern w:val="0"/>
          <w:sz w:val="24"/>
          <w:szCs w:val="24"/>
        </w:rPr>
        <w:t> 2015; </w:t>
      </w:r>
      <w:r w:rsidRPr="005936B2">
        <w:rPr>
          <w:rFonts w:ascii="Book Antiqua" w:eastAsia="宋体" w:hAnsi="Book Antiqua" w:cs="宋体"/>
          <w:b/>
          <w:bCs/>
          <w:kern w:val="0"/>
          <w:sz w:val="24"/>
          <w:szCs w:val="24"/>
        </w:rPr>
        <w:t>72</w:t>
      </w:r>
      <w:r w:rsidRPr="005936B2">
        <w:rPr>
          <w:rFonts w:ascii="Book Antiqua" w:eastAsia="宋体" w:hAnsi="Book Antiqua" w:cs="宋体"/>
          <w:kern w:val="0"/>
          <w:sz w:val="24"/>
          <w:szCs w:val="24"/>
        </w:rPr>
        <w:t>: 1222-1227 [PMID: 25450543 DOI: 10.1016/j.ijbiomac.2014.10.034]</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163 </w:t>
      </w:r>
      <w:r w:rsidRPr="005936B2">
        <w:rPr>
          <w:rFonts w:ascii="Book Antiqua" w:eastAsia="宋体" w:hAnsi="Book Antiqua" w:cs="宋体"/>
          <w:b/>
          <w:bCs/>
          <w:kern w:val="0"/>
          <w:sz w:val="24"/>
          <w:szCs w:val="24"/>
        </w:rPr>
        <w:t>Khan MW</w:t>
      </w:r>
      <w:r w:rsidRPr="005936B2">
        <w:rPr>
          <w:rFonts w:ascii="Book Antiqua" w:eastAsia="宋体" w:hAnsi="Book Antiqua" w:cs="宋体"/>
          <w:kern w:val="0"/>
          <w:sz w:val="24"/>
          <w:szCs w:val="24"/>
        </w:rPr>
        <w:t>, Qadrie ZL, Khan WA.</w:t>
      </w:r>
      <w:proofErr w:type="gramEnd"/>
      <w:r w:rsidRPr="005936B2">
        <w:rPr>
          <w:rFonts w:ascii="Book Antiqua" w:eastAsia="宋体" w:hAnsi="Book Antiqua" w:cs="宋体"/>
          <w:kern w:val="0"/>
          <w:sz w:val="24"/>
          <w:szCs w:val="24"/>
        </w:rPr>
        <w:t xml:space="preserve"> Antibodies against gluco-oxidatively modified human serum albumin detected in diabetes-associated complications. </w:t>
      </w:r>
      <w:r w:rsidRPr="005936B2">
        <w:rPr>
          <w:rFonts w:ascii="Book Antiqua" w:eastAsia="宋体" w:hAnsi="Book Antiqua" w:cs="宋体"/>
          <w:i/>
          <w:iCs/>
          <w:kern w:val="0"/>
          <w:sz w:val="24"/>
          <w:szCs w:val="24"/>
        </w:rPr>
        <w:t>Int Arch Allergy Immunol</w:t>
      </w:r>
      <w:r w:rsidRPr="005936B2">
        <w:rPr>
          <w:rFonts w:ascii="Book Antiqua" w:eastAsia="宋体" w:hAnsi="Book Antiqua" w:cs="宋体"/>
          <w:kern w:val="0"/>
          <w:sz w:val="24"/>
          <w:szCs w:val="24"/>
        </w:rPr>
        <w:t> 2010; </w:t>
      </w:r>
      <w:r w:rsidRPr="005936B2">
        <w:rPr>
          <w:rFonts w:ascii="Book Antiqua" w:eastAsia="宋体" w:hAnsi="Book Antiqua" w:cs="宋体"/>
          <w:b/>
          <w:bCs/>
          <w:kern w:val="0"/>
          <w:sz w:val="24"/>
          <w:szCs w:val="24"/>
        </w:rPr>
        <w:t>153</w:t>
      </w:r>
      <w:r w:rsidRPr="005936B2">
        <w:rPr>
          <w:rFonts w:ascii="Book Antiqua" w:eastAsia="宋体" w:hAnsi="Book Antiqua" w:cs="宋体"/>
          <w:kern w:val="0"/>
          <w:sz w:val="24"/>
          <w:szCs w:val="24"/>
        </w:rPr>
        <w:t>: 207-214 [PMID: 20413989 DOI: 10.1159/000312639]</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164 </w:t>
      </w:r>
      <w:r w:rsidRPr="005936B2">
        <w:rPr>
          <w:rFonts w:ascii="Book Antiqua" w:eastAsia="宋体" w:hAnsi="Book Antiqua" w:cs="宋体"/>
          <w:b/>
          <w:bCs/>
          <w:kern w:val="0"/>
          <w:sz w:val="24"/>
          <w:szCs w:val="24"/>
        </w:rPr>
        <w:t>Shibayama R</w:t>
      </w:r>
      <w:r w:rsidRPr="005936B2">
        <w:rPr>
          <w:rFonts w:ascii="Book Antiqua" w:eastAsia="宋体" w:hAnsi="Book Antiqua" w:cs="宋体"/>
          <w:kern w:val="0"/>
          <w:sz w:val="24"/>
          <w:szCs w:val="24"/>
        </w:rPr>
        <w:t>, Araki N, Nagai R, Horiuchi S. Autoantibody against N(epsilon)-(carboxymethyl)lysine: an advanced glycation end product of the Maillard reaction. </w:t>
      </w:r>
      <w:r w:rsidRPr="005936B2">
        <w:rPr>
          <w:rFonts w:ascii="Book Antiqua" w:eastAsia="宋体" w:hAnsi="Book Antiqua" w:cs="宋体"/>
          <w:i/>
          <w:iCs/>
          <w:kern w:val="0"/>
          <w:sz w:val="24"/>
          <w:szCs w:val="24"/>
        </w:rPr>
        <w:t>Diabetes</w:t>
      </w:r>
      <w:r w:rsidRPr="005936B2">
        <w:rPr>
          <w:rFonts w:ascii="Book Antiqua" w:eastAsia="宋体" w:hAnsi="Book Antiqua" w:cs="宋体"/>
          <w:kern w:val="0"/>
          <w:sz w:val="24"/>
          <w:szCs w:val="24"/>
        </w:rPr>
        <w:t> 1999; </w:t>
      </w:r>
      <w:r w:rsidRPr="005936B2">
        <w:rPr>
          <w:rFonts w:ascii="Book Antiqua" w:eastAsia="宋体" w:hAnsi="Book Antiqua" w:cs="宋体"/>
          <w:b/>
          <w:bCs/>
          <w:kern w:val="0"/>
          <w:sz w:val="24"/>
          <w:szCs w:val="24"/>
        </w:rPr>
        <w:t>48</w:t>
      </w:r>
      <w:r w:rsidRPr="005936B2">
        <w:rPr>
          <w:rFonts w:ascii="Book Antiqua" w:eastAsia="宋体" w:hAnsi="Book Antiqua" w:cs="宋体"/>
          <w:kern w:val="0"/>
          <w:sz w:val="24"/>
          <w:szCs w:val="24"/>
        </w:rPr>
        <w:t>: 1842-1849 [PMID: 10480617 DOI: 10.2337/diabetes.48.9.1842]</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lastRenderedPageBreak/>
        <w:t>165 </w:t>
      </w:r>
      <w:r w:rsidRPr="005936B2">
        <w:rPr>
          <w:rFonts w:ascii="Book Antiqua" w:eastAsia="宋体" w:hAnsi="Book Antiqua" w:cs="宋体"/>
          <w:b/>
          <w:bCs/>
          <w:kern w:val="0"/>
          <w:sz w:val="24"/>
          <w:szCs w:val="24"/>
        </w:rPr>
        <w:t>Bassiouny AR</w:t>
      </w:r>
      <w:r w:rsidRPr="005936B2">
        <w:rPr>
          <w:rFonts w:ascii="Book Antiqua" w:eastAsia="宋体" w:hAnsi="Book Antiqua" w:cs="宋体"/>
          <w:kern w:val="0"/>
          <w:sz w:val="24"/>
          <w:szCs w:val="24"/>
        </w:rPr>
        <w:t>, Rosenberg H, McDonald TL. Glucosylated collagen is antigenic. </w:t>
      </w:r>
      <w:r w:rsidRPr="005936B2">
        <w:rPr>
          <w:rFonts w:ascii="Book Antiqua" w:eastAsia="宋体" w:hAnsi="Book Antiqua" w:cs="宋体"/>
          <w:i/>
          <w:iCs/>
          <w:kern w:val="0"/>
          <w:sz w:val="24"/>
          <w:szCs w:val="24"/>
        </w:rPr>
        <w:t>Diabetes</w:t>
      </w:r>
      <w:r w:rsidRPr="005936B2">
        <w:rPr>
          <w:rFonts w:ascii="Book Antiqua" w:eastAsia="宋体" w:hAnsi="Book Antiqua" w:cs="宋体"/>
          <w:kern w:val="0"/>
          <w:sz w:val="24"/>
          <w:szCs w:val="24"/>
        </w:rPr>
        <w:t> 1983; </w:t>
      </w:r>
      <w:r w:rsidRPr="005936B2">
        <w:rPr>
          <w:rFonts w:ascii="Book Antiqua" w:eastAsia="宋体" w:hAnsi="Book Antiqua" w:cs="宋体"/>
          <w:b/>
          <w:bCs/>
          <w:kern w:val="0"/>
          <w:sz w:val="24"/>
          <w:szCs w:val="24"/>
        </w:rPr>
        <w:t>32</w:t>
      </w:r>
      <w:r w:rsidRPr="005936B2">
        <w:rPr>
          <w:rFonts w:ascii="Book Antiqua" w:eastAsia="宋体" w:hAnsi="Book Antiqua" w:cs="宋体"/>
          <w:kern w:val="0"/>
          <w:sz w:val="24"/>
          <w:szCs w:val="24"/>
        </w:rPr>
        <w:t>: 1182-1184 [PMID: 6197330 DOI: 10.2337/diab.32.12.1182]</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166 </w:t>
      </w:r>
      <w:r w:rsidRPr="005936B2">
        <w:rPr>
          <w:rFonts w:ascii="Book Antiqua" w:eastAsia="宋体" w:hAnsi="Book Antiqua" w:cs="宋体"/>
          <w:b/>
          <w:bCs/>
          <w:kern w:val="0"/>
          <w:sz w:val="24"/>
          <w:szCs w:val="24"/>
        </w:rPr>
        <w:t>Vay D</w:t>
      </w:r>
      <w:r w:rsidRPr="005936B2">
        <w:rPr>
          <w:rFonts w:ascii="Book Antiqua" w:eastAsia="宋体" w:hAnsi="Book Antiqua" w:cs="宋体"/>
          <w:kern w:val="0"/>
          <w:sz w:val="24"/>
          <w:szCs w:val="24"/>
        </w:rPr>
        <w:t>, Vidali M, Allochis G, Cusaro C, Rolla R, Mottaran E, Bellomo G, Albano E. Antibodies against advanced glycation end product Nepsilon-(carboxymethyl)lysine in healthy controls and diabetic patients. </w:t>
      </w:r>
      <w:r w:rsidRPr="005936B2">
        <w:rPr>
          <w:rFonts w:ascii="Book Antiqua" w:eastAsia="宋体" w:hAnsi="Book Antiqua" w:cs="宋体"/>
          <w:i/>
          <w:iCs/>
          <w:kern w:val="0"/>
          <w:sz w:val="24"/>
          <w:szCs w:val="24"/>
        </w:rPr>
        <w:t>Diabetologia</w:t>
      </w:r>
      <w:r w:rsidRPr="005936B2">
        <w:rPr>
          <w:rFonts w:ascii="Book Antiqua" w:eastAsia="宋体" w:hAnsi="Book Antiqua" w:cs="宋体"/>
          <w:kern w:val="0"/>
          <w:sz w:val="24"/>
          <w:szCs w:val="24"/>
        </w:rPr>
        <w:t> 2000; </w:t>
      </w:r>
      <w:r w:rsidRPr="005936B2">
        <w:rPr>
          <w:rFonts w:ascii="Book Antiqua" w:eastAsia="宋体" w:hAnsi="Book Antiqua" w:cs="宋体"/>
          <w:b/>
          <w:bCs/>
          <w:kern w:val="0"/>
          <w:sz w:val="24"/>
          <w:szCs w:val="24"/>
        </w:rPr>
        <w:t>43</w:t>
      </w:r>
      <w:r w:rsidRPr="005936B2">
        <w:rPr>
          <w:rFonts w:ascii="Book Antiqua" w:eastAsia="宋体" w:hAnsi="Book Antiqua" w:cs="宋体"/>
          <w:kern w:val="0"/>
          <w:sz w:val="24"/>
          <w:szCs w:val="24"/>
        </w:rPr>
        <w:t>: 1385-1388 [PMID: 11126407 DOI: 10.1007/s001250051543]</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167 </w:t>
      </w:r>
      <w:r w:rsidRPr="005936B2">
        <w:rPr>
          <w:rFonts w:ascii="Book Antiqua" w:eastAsia="宋体" w:hAnsi="Book Antiqua" w:cs="宋体"/>
          <w:b/>
          <w:bCs/>
          <w:kern w:val="0"/>
          <w:sz w:val="24"/>
          <w:szCs w:val="24"/>
        </w:rPr>
        <w:t>Nicoloff G</w:t>
      </w:r>
      <w:r w:rsidRPr="005936B2">
        <w:rPr>
          <w:rFonts w:ascii="Book Antiqua" w:eastAsia="宋体" w:hAnsi="Book Antiqua" w:cs="宋体"/>
          <w:kern w:val="0"/>
          <w:sz w:val="24"/>
          <w:szCs w:val="24"/>
        </w:rPr>
        <w:t>, Baydanoff S, Petrova Ch, Christova P. Antibodies to advanced glycation end products in children with diabetes mellitus. </w:t>
      </w:r>
      <w:r w:rsidRPr="005936B2">
        <w:rPr>
          <w:rFonts w:ascii="Book Antiqua" w:eastAsia="宋体" w:hAnsi="Book Antiqua" w:cs="宋体"/>
          <w:i/>
          <w:iCs/>
          <w:kern w:val="0"/>
          <w:sz w:val="24"/>
          <w:szCs w:val="24"/>
        </w:rPr>
        <w:t>Vascul Pharmacol</w:t>
      </w:r>
      <w:r w:rsidRPr="005936B2">
        <w:rPr>
          <w:rFonts w:ascii="Book Antiqua" w:eastAsia="宋体" w:hAnsi="Book Antiqua" w:cs="宋体"/>
          <w:kern w:val="0"/>
          <w:sz w:val="24"/>
          <w:szCs w:val="24"/>
        </w:rPr>
        <w:t> 2002; </w:t>
      </w:r>
      <w:r w:rsidRPr="005936B2">
        <w:rPr>
          <w:rFonts w:ascii="Book Antiqua" w:eastAsia="宋体" w:hAnsi="Book Antiqua" w:cs="宋体"/>
          <w:b/>
          <w:bCs/>
          <w:kern w:val="0"/>
          <w:sz w:val="24"/>
          <w:szCs w:val="24"/>
        </w:rPr>
        <w:t>39</w:t>
      </w:r>
      <w:r w:rsidRPr="005936B2">
        <w:rPr>
          <w:rFonts w:ascii="Book Antiqua" w:eastAsia="宋体" w:hAnsi="Book Antiqua" w:cs="宋体"/>
          <w:kern w:val="0"/>
          <w:sz w:val="24"/>
          <w:szCs w:val="24"/>
        </w:rPr>
        <w:t>: 39-45 [PMID: 12616989 DOI: 10.1016/S1537-1891(02)00248-3]</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168 </w:t>
      </w:r>
      <w:r w:rsidRPr="005936B2">
        <w:rPr>
          <w:rFonts w:ascii="Book Antiqua" w:eastAsia="宋体" w:hAnsi="Book Antiqua" w:cs="宋体"/>
          <w:b/>
          <w:bCs/>
          <w:kern w:val="0"/>
          <w:sz w:val="24"/>
          <w:szCs w:val="24"/>
        </w:rPr>
        <w:t>Buongiorno AM</w:t>
      </w:r>
      <w:r w:rsidRPr="005936B2">
        <w:rPr>
          <w:rFonts w:ascii="Book Antiqua" w:eastAsia="宋体" w:hAnsi="Book Antiqua" w:cs="宋体"/>
          <w:kern w:val="0"/>
          <w:sz w:val="24"/>
          <w:szCs w:val="24"/>
        </w:rPr>
        <w:t xml:space="preserve">, Morelli S, Sagratella E, Cipriani R, Mazzaferro S, Morano S, </w:t>
      </w:r>
      <w:proofErr w:type="gramStart"/>
      <w:r w:rsidRPr="005936B2">
        <w:rPr>
          <w:rFonts w:ascii="Book Antiqua" w:eastAsia="宋体" w:hAnsi="Book Antiqua" w:cs="宋体"/>
          <w:kern w:val="0"/>
          <w:sz w:val="24"/>
          <w:szCs w:val="24"/>
        </w:rPr>
        <w:t>Sensi</w:t>
      </w:r>
      <w:proofErr w:type="gramEnd"/>
      <w:r w:rsidRPr="005936B2">
        <w:rPr>
          <w:rFonts w:ascii="Book Antiqua" w:eastAsia="宋体" w:hAnsi="Book Antiqua" w:cs="宋体"/>
          <w:kern w:val="0"/>
          <w:sz w:val="24"/>
          <w:szCs w:val="24"/>
        </w:rPr>
        <w:t xml:space="preserve"> M. Immunogenicity of advanced glycation end products in diabetic patients and in nephropathic non-diabetic patients on hemodialysis or after renal transplantation. </w:t>
      </w:r>
      <w:r w:rsidRPr="005936B2">
        <w:rPr>
          <w:rFonts w:ascii="Book Antiqua" w:eastAsia="宋体" w:hAnsi="Book Antiqua" w:cs="宋体"/>
          <w:i/>
          <w:iCs/>
          <w:kern w:val="0"/>
          <w:sz w:val="24"/>
          <w:szCs w:val="24"/>
        </w:rPr>
        <w:t>J Endocrinol Invest</w:t>
      </w:r>
      <w:r w:rsidRPr="005936B2">
        <w:rPr>
          <w:rFonts w:ascii="Book Antiqua" w:eastAsia="宋体" w:hAnsi="Book Antiqua" w:cs="宋体"/>
          <w:kern w:val="0"/>
          <w:sz w:val="24"/>
          <w:szCs w:val="24"/>
        </w:rPr>
        <w:t> 2008; </w:t>
      </w:r>
      <w:r w:rsidRPr="005936B2">
        <w:rPr>
          <w:rFonts w:ascii="Book Antiqua" w:eastAsia="宋体" w:hAnsi="Book Antiqua" w:cs="宋体"/>
          <w:b/>
          <w:bCs/>
          <w:kern w:val="0"/>
          <w:sz w:val="24"/>
          <w:szCs w:val="24"/>
        </w:rPr>
        <w:t>31</w:t>
      </w:r>
      <w:r w:rsidRPr="005936B2">
        <w:rPr>
          <w:rFonts w:ascii="Book Antiqua" w:eastAsia="宋体" w:hAnsi="Book Antiqua" w:cs="宋体"/>
          <w:kern w:val="0"/>
          <w:sz w:val="24"/>
          <w:szCs w:val="24"/>
        </w:rPr>
        <w:t>: 558-562 [PMID: 18591891 DOI: 10.1007/BF03346408]</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169 </w:t>
      </w:r>
      <w:r w:rsidRPr="005936B2">
        <w:rPr>
          <w:rFonts w:ascii="Book Antiqua" w:eastAsia="宋体" w:hAnsi="Book Antiqua" w:cs="宋体"/>
          <w:b/>
          <w:bCs/>
          <w:kern w:val="0"/>
          <w:sz w:val="24"/>
          <w:szCs w:val="24"/>
        </w:rPr>
        <w:t>Turk Z</w:t>
      </w:r>
      <w:r w:rsidRPr="005936B2">
        <w:rPr>
          <w:rFonts w:ascii="Book Antiqua" w:eastAsia="宋体" w:hAnsi="Book Antiqua" w:cs="宋体"/>
          <w:kern w:val="0"/>
          <w:sz w:val="24"/>
          <w:szCs w:val="24"/>
        </w:rPr>
        <w:t>, Ljubic S, Turk N, Benko B. Detection of autoantibodies against advanced glycation endproducts and AGE-immune complexes in serum of patients with diabetes mellitus. </w:t>
      </w:r>
      <w:r w:rsidRPr="005936B2">
        <w:rPr>
          <w:rFonts w:ascii="Book Antiqua" w:eastAsia="宋体" w:hAnsi="Book Antiqua" w:cs="宋体"/>
          <w:i/>
          <w:iCs/>
          <w:kern w:val="0"/>
          <w:sz w:val="24"/>
          <w:szCs w:val="24"/>
        </w:rPr>
        <w:t>Clin Chim Acta</w:t>
      </w:r>
      <w:r w:rsidRPr="005936B2">
        <w:rPr>
          <w:rFonts w:ascii="Book Antiqua" w:eastAsia="宋体" w:hAnsi="Book Antiqua" w:cs="宋体"/>
          <w:kern w:val="0"/>
          <w:sz w:val="24"/>
          <w:szCs w:val="24"/>
        </w:rPr>
        <w:t> 2001; </w:t>
      </w:r>
      <w:r w:rsidRPr="005936B2">
        <w:rPr>
          <w:rFonts w:ascii="Book Antiqua" w:eastAsia="宋体" w:hAnsi="Book Antiqua" w:cs="宋体"/>
          <w:b/>
          <w:bCs/>
          <w:kern w:val="0"/>
          <w:sz w:val="24"/>
          <w:szCs w:val="24"/>
        </w:rPr>
        <w:t>303</w:t>
      </w:r>
      <w:r w:rsidRPr="005936B2">
        <w:rPr>
          <w:rFonts w:ascii="Book Antiqua" w:eastAsia="宋体" w:hAnsi="Book Antiqua" w:cs="宋体"/>
          <w:kern w:val="0"/>
          <w:sz w:val="24"/>
          <w:szCs w:val="24"/>
        </w:rPr>
        <w:t>: 105-115 [PMID: 11163030 DOI: 10.1016/S0009-8981(00)00389-2]</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170 </w:t>
      </w:r>
      <w:r w:rsidRPr="005936B2">
        <w:rPr>
          <w:rFonts w:ascii="Book Antiqua" w:eastAsia="宋体" w:hAnsi="Book Antiqua" w:cs="宋体"/>
          <w:b/>
          <w:bCs/>
          <w:kern w:val="0"/>
          <w:sz w:val="24"/>
          <w:szCs w:val="24"/>
        </w:rPr>
        <w:t>Ligier S</w:t>
      </w:r>
      <w:r w:rsidRPr="005936B2">
        <w:rPr>
          <w:rFonts w:ascii="Book Antiqua" w:eastAsia="宋体" w:hAnsi="Book Antiqua" w:cs="宋体"/>
          <w:kern w:val="0"/>
          <w:sz w:val="24"/>
          <w:szCs w:val="24"/>
        </w:rPr>
        <w:t>, Fortin PR, Newkirk MM. A new antibody in rheumatoid arthritis targeting glycated IgG: IgM anti-IgG-AGE. </w:t>
      </w:r>
      <w:r w:rsidRPr="005936B2">
        <w:rPr>
          <w:rFonts w:ascii="Book Antiqua" w:eastAsia="宋体" w:hAnsi="Book Antiqua" w:cs="宋体"/>
          <w:i/>
          <w:iCs/>
          <w:kern w:val="0"/>
          <w:sz w:val="24"/>
          <w:szCs w:val="24"/>
        </w:rPr>
        <w:t>Br J Rheumatol</w:t>
      </w:r>
      <w:r w:rsidRPr="005936B2">
        <w:rPr>
          <w:rFonts w:ascii="Book Antiqua" w:eastAsia="宋体" w:hAnsi="Book Antiqua" w:cs="宋体"/>
          <w:kern w:val="0"/>
          <w:sz w:val="24"/>
          <w:szCs w:val="24"/>
        </w:rPr>
        <w:t> 1998; </w:t>
      </w:r>
      <w:r w:rsidRPr="005936B2">
        <w:rPr>
          <w:rFonts w:ascii="Book Antiqua" w:eastAsia="宋体" w:hAnsi="Book Antiqua" w:cs="宋体"/>
          <w:b/>
          <w:bCs/>
          <w:kern w:val="0"/>
          <w:sz w:val="24"/>
          <w:szCs w:val="24"/>
        </w:rPr>
        <w:t>37</w:t>
      </w:r>
      <w:r w:rsidRPr="005936B2">
        <w:rPr>
          <w:rFonts w:ascii="Book Antiqua" w:eastAsia="宋体" w:hAnsi="Book Antiqua" w:cs="宋体"/>
          <w:kern w:val="0"/>
          <w:sz w:val="24"/>
          <w:szCs w:val="24"/>
        </w:rPr>
        <w:t>: 1307-1314 [PMID: 9973155 DOI: 10.1093/rheumatology/37.12.1307]</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171 </w:t>
      </w:r>
      <w:r w:rsidRPr="005936B2">
        <w:rPr>
          <w:rFonts w:ascii="Book Antiqua" w:eastAsia="宋体" w:hAnsi="Book Antiqua" w:cs="宋体"/>
          <w:b/>
          <w:bCs/>
          <w:kern w:val="0"/>
          <w:sz w:val="24"/>
          <w:szCs w:val="24"/>
        </w:rPr>
        <w:t>Tai AW</w:t>
      </w:r>
      <w:r w:rsidRPr="005936B2">
        <w:rPr>
          <w:rFonts w:ascii="Book Antiqua" w:eastAsia="宋体" w:hAnsi="Book Antiqua" w:cs="宋体"/>
          <w:kern w:val="0"/>
          <w:sz w:val="24"/>
          <w:szCs w:val="24"/>
        </w:rPr>
        <w:t>, Newkirk MM.</w:t>
      </w:r>
      <w:proofErr w:type="gramEnd"/>
      <w:r w:rsidRPr="005936B2">
        <w:rPr>
          <w:rFonts w:ascii="Book Antiqua" w:eastAsia="宋体" w:hAnsi="Book Antiqua" w:cs="宋体"/>
          <w:kern w:val="0"/>
          <w:sz w:val="24"/>
          <w:szCs w:val="24"/>
        </w:rPr>
        <w:t xml:space="preserve"> An autoantibody targeting glycated IgG is associated with elevated serum immune complexes in rheumatoid arthritis (RA). </w:t>
      </w:r>
      <w:r w:rsidRPr="005936B2">
        <w:rPr>
          <w:rFonts w:ascii="Book Antiqua" w:eastAsia="宋体" w:hAnsi="Book Antiqua" w:cs="宋体"/>
          <w:i/>
          <w:iCs/>
          <w:kern w:val="0"/>
          <w:sz w:val="24"/>
          <w:szCs w:val="24"/>
        </w:rPr>
        <w:t>Clin Exp Immunol</w:t>
      </w:r>
      <w:r w:rsidRPr="005936B2">
        <w:rPr>
          <w:rFonts w:ascii="Book Antiqua" w:eastAsia="宋体" w:hAnsi="Book Antiqua" w:cs="宋体"/>
          <w:kern w:val="0"/>
          <w:sz w:val="24"/>
          <w:szCs w:val="24"/>
        </w:rPr>
        <w:t> 2000; </w:t>
      </w:r>
      <w:r w:rsidRPr="005936B2">
        <w:rPr>
          <w:rFonts w:ascii="Book Antiqua" w:eastAsia="宋体" w:hAnsi="Book Antiqua" w:cs="宋体"/>
          <w:b/>
          <w:bCs/>
          <w:kern w:val="0"/>
          <w:sz w:val="24"/>
          <w:szCs w:val="24"/>
        </w:rPr>
        <w:t>120</w:t>
      </w:r>
      <w:r w:rsidRPr="005936B2">
        <w:rPr>
          <w:rFonts w:ascii="Book Antiqua" w:eastAsia="宋体" w:hAnsi="Book Antiqua" w:cs="宋体"/>
          <w:kern w:val="0"/>
          <w:sz w:val="24"/>
          <w:szCs w:val="24"/>
        </w:rPr>
        <w:t>: 188-193 [PMID: 10759782 DOI: 10.1046/j.1365-2249.2000.01188.x]</w:t>
      </w:r>
    </w:p>
    <w:p w:rsidR="007A0C7D" w:rsidRPr="005936B2" w:rsidRDefault="007A0C7D" w:rsidP="007A0C7D">
      <w:pPr>
        <w:widowControl/>
        <w:spacing w:line="360" w:lineRule="auto"/>
        <w:rPr>
          <w:rFonts w:ascii="Book Antiqua" w:hAnsi="Book Antiqua" w:cs="Book Antiqua"/>
          <w:sz w:val="24"/>
          <w:szCs w:val="24"/>
        </w:rPr>
      </w:pPr>
      <w:r w:rsidRPr="005936B2">
        <w:rPr>
          <w:rFonts w:ascii="Book Antiqua" w:eastAsia="宋体" w:hAnsi="Book Antiqua" w:cs="宋体"/>
          <w:kern w:val="0"/>
          <w:sz w:val="24"/>
          <w:szCs w:val="24"/>
        </w:rPr>
        <w:t xml:space="preserve">172 </w:t>
      </w:r>
      <w:r w:rsidR="007A30DF" w:rsidRPr="005936B2">
        <w:rPr>
          <w:rFonts w:ascii="Book Antiqua" w:hAnsi="Book Antiqua" w:cs="Book Antiqua"/>
          <w:b/>
          <w:sz w:val="24"/>
          <w:szCs w:val="24"/>
        </w:rPr>
        <w:t>Foged C</w:t>
      </w:r>
      <w:r w:rsidR="007A30DF" w:rsidRPr="005936B2">
        <w:rPr>
          <w:rFonts w:ascii="Book Antiqua" w:hAnsi="Book Antiqua" w:cs="Book Antiqua"/>
          <w:sz w:val="24"/>
          <w:szCs w:val="24"/>
        </w:rPr>
        <w:t xml:space="preserve">, Sundblad A. Case Study: Immunogenicity of Anti-TNF Antibodies. In: van de Weert M, Møller EH. </w:t>
      </w:r>
      <w:proofErr w:type="gramStart"/>
      <w:r w:rsidR="007A30DF" w:rsidRPr="005936B2">
        <w:rPr>
          <w:rFonts w:ascii="Book Antiqua" w:hAnsi="Book Antiqua" w:cs="Book Antiqua"/>
          <w:sz w:val="24"/>
          <w:szCs w:val="24"/>
        </w:rPr>
        <w:t>Immunogenicity of Biopharmaceuticals.</w:t>
      </w:r>
      <w:proofErr w:type="gramEnd"/>
      <w:r w:rsidR="007A30DF" w:rsidRPr="005936B2">
        <w:rPr>
          <w:rFonts w:ascii="Book Antiqua" w:hAnsi="Book Antiqua" w:cs="Book Antiqua"/>
          <w:sz w:val="24"/>
          <w:szCs w:val="24"/>
        </w:rPr>
        <w:t xml:space="preserve"> New York: Springer, 2008; 189-203 [DOI: 10.1007/978-0-387-75841-1_11]</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173 </w:t>
      </w:r>
      <w:r w:rsidRPr="005936B2">
        <w:rPr>
          <w:rFonts w:ascii="Book Antiqua" w:eastAsia="宋体" w:hAnsi="Book Antiqua" w:cs="宋体"/>
          <w:b/>
          <w:bCs/>
          <w:kern w:val="0"/>
          <w:sz w:val="24"/>
          <w:szCs w:val="24"/>
        </w:rPr>
        <w:t>Zhu L</w:t>
      </w:r>
      <w:r w:rsidRPr="005936B2">
        <w:rPr>
          <w:rFonts w:ascii="Book Antiqua" w:eastAsia="宋体" w:hAnsi="Book Antiqua" w:cs="宋体"/>
          <w:kern w:val="0"/>
          <w:sz w:val="24"/>
          <w:szCs w:val="24"/>
        </w:rPr>
        <w:t xml:space="preserve">, He Z, Wu F, Ding R, Jiang Q, Zhang J, Fan M, Wang X, Eva B, Jan N, Liang C, Wu Z. Immunization with advanced glycation end products modified low density lipoprotein inhibits atherosclerosis progression in diabetic apoE and LDLR </w:t>
      </w:r>
      <w:r w:rsidRPr="005936B2">
        <w:rPr>
          <w:rFonts w:ascii="Book Antiqua" w:eastAsia="宋体" w:hAnsi="Book Antiqua" w:cs="宋体"/>
          <w:kern w:val="0"/>
          <w:sz w:val="24"/>
          <w:szCs w:val="24"/>
        </w:rPr>
        <w:lastRenderedPageBreak/>
        <w:t>null mice. </w:t>
      </w:r>
      <w:r w:rsidRPr="005936B2">
        <w:rPr>
          <w:rFonts w:ascii="Book Antiqua" w:eastAsia="宋体" w:hAnsi="Book Antiqua" w:cs="宋体"/>
          <w:i/>
          <w:iCs/>
          <w:kern w:val="0"/>
          <w:sz w:val="24"/>
          <w:szCs w:val="24"/>
        </w:rPr>
        <w:t>Cardiovasc Diabetol</w:t>
      </w:r>
      <w:r w:rsidRPr="005936B2">
        <w:rPr>
          <w:rFonts w:ascii="Book Antiqua" w:eastAsia="宋体" w:hAnsi="Book Antiqua" w:cs="宋体"/>
          <w:kern w:val="0"/>
          <w:sz w:val="24"/>
          <w:szCs w:val="24"/>
        </w:rPr>
        <w:t> 2014; </w:t>
      </w:r>
      <w:r w:rsidRPr="005936B2">
        <w:rPr>
          <w:rFonts w:ascii="Book Antiqua" w:eastAsia="宋体" w:hAnsi="Book Antiqua" w:cs="宋体"/>
          <w:b/>
          <w:bCs/>
          <w:kern w:val="0"/>
          <w:sz w:val="24"/>
          <w:szCs w:val="24"/>
        </w:rPr>
        <w:t>13</w:t>
      </w:r>
      <w:r w:rsidRPr="005936B2">
        <w:rPr>
          <w:rFonts w:ascii="Book Antiqua" w:eastAsia="宋体" w:hAnsi="Book Antiqua" w:cs="宋体"/>
          <w:kern w:val="0"/>
          <w:sz w:val="24"/>
          <w:szCs w:val="24"/>
        </w:rPr>
        <w:t>: 151 [PMID: 25391642 DOI: 10.1186/s12933-014-0151-6]</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174 </w:t>
      </w:r>
      <w:r w:rsidRPr="005936B2">
        <w:rPr>
          <w:rFonts w:ascii="Book Antiqua" w:eastAsia="宋体" w:hAnsi="Book Antiqua" w:cs="宋体"/>
          <w:b/>
          <w:bCs/>
          <w:kern w:val="0"/>
          <w:sz w:val="24"/>
          <w:szCs w:val="24"/>
        </w:rPr>
        <w:t>Lopes-Virella MF</w:t>
      </w:r>
      <w:r w:rsidRPr="005936B2">
        <w:rPr>
          <w:rFonts w:ascii="Book Antiqua" w:eastAsia="宋体" w:hAnsi="Book Antiqua" w:cs="宋体"/>
          <w:kern w:val="0"/>
          <w:sz w:val="24"/>
          <w:szCs w:val="24"/>
        </w:rPr>
        <w:t>, Virella G. Clinical significance of the humoral immune response to modified LDL. </w:t>
      </w:r>
      <w:r w:rsidRPr="005936B2">
        <w:rPr>
          <w:rFonts w:ascii="Book Antiqua" w:eastAsia="宋体" w:hAnsi="Book Antiqua" w:cs="宋体"/>
          <w:i/>
          <w:iCs/>
          <w:kern w:val="0"/>
          <w:sz w:val="24"/>
          <w:szCs w:val="24"/>
        </w:rPr>
        <w:t>Clin Immunol</w:t>
      </w:r>
      <w:r w:rsidRPr="005936B2">
        <w:rPr>
          <w:rFonts w:ascii="Book Antiqua" w:eastAsia="宋体" w:hAnsi="Book Antiqua" w:cs="宋体"/>
          <w:kern w:val="0"/>
          <w:sz w:val="24"/>
          <w:szCs w:val="24"/>
        </w:rPr>
        <w:t> 2010; </w:t>
      </w:r>
      <w:r w:rsidRPr="005936B2">
        <w:rPr>
          <w:rFonts w:ascii="Book Antiqua" w:eastAsia="宋体" w:hAnsi="Book Antiqua" w:cs="宋体"/>
          <w:b/>
          <w:bCs/>
          <w:kern w:val="0"/>
          <w:sz w:val="24"/>
          <w:szCs w:val="24"/>
        </w:rPr>
        <w:t>134</w:t>
      </w:r>
      <w:r w:rsidRPr="005936B2">
        <w:rPr>
          <w:rFonts w:ascii="Book Antiqua" w:eastAsia="宋体" w:hAnsi="Book Antiqua" w:cs="宋体"/>
          <w:kern w:val="0"/>
          <w:sz w:val="24"/>
          <w:szCs w:val="24"/>
        </w:rPr>
        <w:t>: 55-65 [PMID: 19427818 DOI: 10.1016/j.clim.2009.04.001]</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175 </w:t>
      </w:r>
      <w:r w:rsidRPr="005936B2">
        <w:rPr>
          <w:rFonts w:ascii="Book Antiqua" w:eastAsia="宋体" w:hAnsi="Book Antiqua" w:cs="宋体"/>
          <w:b/>
          <w:bCs/>
          <w:kern w:val="0"/>
          <w:sz w:val="24"/>
          <w:szCs w:val="24"/>
        </w:rPr>
        <w:t>Virella G</w:t>
      </w:r>
      <w:r w:rsidRPr="005936B2">
        <w:rPr>
          <w:rFonts w:ascii="Book Antiqua" w:eastAsia="宋体" w:hAnsi="Book Antiqua" w:cs="宋体"/>
          <w:kern w:val="0"/>
          <w:sz w:val="24"/>
          <w:szCs w:val="24"/>
        </w:rPr>
        <w:t>, Thorpe SR, Alderson NL, Derrick MB, Chassereau C, Rhett JM, Lopes-Virella MF. Definition of the immunogenic forms of modified human LDL recognized by human autoantibodies and by rabbit hyperimmune antibodies. </w:t>
      </w:r>
      <w:r w:rsidRPr="005936B2">
        <w:rPr>
          <w:rFonts w:ascii="Book Antiqua" w:eastAsia="宋体" w:hAnsi="Book Antiqua" w:cs="宋体"/>
          <w:i/>
          <w:iCs/>
          <w:kern w:val="0"/>
          <w:sz w:val="24"/>
          <w:szCs w:val="24"/>
        </w:rPr>
        <w:t>J Lipid Res</w:t>
      </w:r>
      <w:r w:rsidRPr="005936B2">
        <w:rPr>
          <w:rFonts w:ascii="Book Antiqua" w:eastAsia="宋体" w:hAnsi="Book Antiqua" w:cs="宋体"/>
          <w:kern w:val="0"/>
          <w:sz w:val="24"/>
          <w:szCs w:val="24"/>
        </w:rPr>
        <w:t> 2004; </w:t>
      </w:r>
      <w:r w:rsidRPr="005936B2">
        <w:rPr>
          <w:rFonts w:ascii="Book Antiqua" w:eastAsia="宋体" w:hAnsi="Book Antiqua" w:cs="宋体"/>
          <w:b/>
          <w:bCs/>
          <w:kern w:val="0"/>
          <w:sz w:val="24"/>
          <w:szCs w:val="24"/>
        </w:rPr>
        <w:t>45</w:t>
      </w:r>
      <w:r w:rsidRPr="005936B2">
        <w:rPr>
          <w:rFonts w:ascii="Book Antiqua" w:eastAsia="宋体" w:hAnsi="Book Antiqua" w:cs="宋体"/>
          <w:kern w:val="0"/>
          <w:sz w:val="24"/>
          <w:szCs w:val="24"/>
        </w:rPr>
        <w:t>: 1859-1867 [PMID: 15258197 DOI: 10.1194/jlr.M400095-JLR200]</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176 </w:t>
      </w:r>
      <w:r w:rsidRPr="005936B2">
        <w:rPr>
          <w:rFonts w:ascii="Book Antiqua" w:eastAsia="宋体" w:hAnsi="Book Antiqua" w:cs="宋体"/>
          <w:b/>
          <w:bCs/>
          <w:kern w:val="0"/>
          <w:sz w:val="24"/>
          <w:szCs w:val="24"/>
        </w:rPr>
        <w:t>Hunt KJ</w:t>
      </w:r>
      <w:r w:rsidRPr="005936B2">
        <w:rPr>
          <w:rFonts w:ascii="Book Antiqua" w:eastAsia="宋体" w:hAnsi="Book Antiqua" w:cs="宋体"/>
          <w:kern w:val="0"/>
          <w:sz w:val="24"/>
          <w:szCs w:val="24"/>
        </w:rPr>
        <w:t>, Baker N, Cleary P, Backlund JY, Lyons T, Jenkins A, Virella G, Lopes-Virella MF.</w:t>
      </w:r>
      <w:proofErr w:type="gramEnd"/>
      <w:r w:rsidRPr="005936B2">
        <w:rPr>
          <w:rFonts w:ascii="Book Antiqua" w:eastAsia="宋体" w:hAnsi="Book Antiqua" w:cs="宋体"/>
          <w:kern w:val="0"/>
          <w:sz w:val="24"/>
          <w:szCs w:val="24"/>
        </w:rPr>
        <w:t xml:space="preserve"> Oxidized LDL and AGE-LDL in circulating immune complexes strongly predict progression of carotid artery IMT in type 1 diabetes. </w:t>
      </w:r>
      <w:r w:rsidRPr="005936B2">
        <w:rPr>
          <w:rFonts w:ascii="Book Antiqua" w:eastAsia="宋体" w:hAnsi="Book Antiqua" w:cs="宋体"/>
          <w:i/>
          <w:iCs/>
          <w:kern w:val="0"/>
          <w:sz w:val="24"/>
          <w:szCs w:val="24"/>
        </w:rPr>
        <w:t>Atherosclerosis</w:t>
      </w:r>
      <w:r w:rsidRPr="005936B2">
        <w:rPr>
          <w:rFonts w:ascii="Book Antiqua" w:eastAsia="宋体" w:hAnsi="Book Antiqua" w:cs="宋体"/>
          <w:kern w:val="0"/>
          <w:sz w:val="24"/>
          <w:szCs w:val="24"/>
        </w:rPr>
        <w:t> 2013; </w:t>
      </w:r>
      <w:r w:rsidRPr="005936B2">
        <w:rPr>
          <w:rFonts w:ascii="Book Antiqua" w:eastAsia="宋体" w:hAnsi="Book Antiqua" w:cs="宋体"/>
          <w:b/>
          <w:bCs/>
          <w:kern w:val="0"/>
          <w:sz w:val="24"/>
          <w:szCs w:val="24"/>
        </w:rPr>
        <w:t>231</w:t>
      </w:r>
      <w:r w:rsidRPr="005936B2">
        <w:rPr>
          <w:rFonts w:ascii="Book Antiqua" w:eastAsia="宋体" w:hAnsi="Book Antiqua" w:cs="宋体"/>
          <w:kern w:val="0"/>
          <w:sz w:val="24"/>
          <w:szCs w:val="24"/>
        </w:rPr>
        <w:t>: 315-322 [PMID: 24267245 DOI: 10.1016/j.atherosclerosis.2013.09.027]</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177 </w:t>
      </w:r>
      <w:r w:rsidRPr="005936B2">
        <w:rPr>
          <w:rFonts w:ascii="Book Antiqua" w:eastAsia="宋体" w:hAnsi="Book Antiqua" w:cs="宋体"/>
          <w:b/>
          <w:bCs/>
          <w:kern w:val="0"/>
          <w:sz w:val="24"/>
          <w:szCs w:val="24"/>
        </w:rPr>
        <w:t>Baynes BM</w:t>
      </w:r>
      <w:r w:rsidRPr="005936B2">
        <w:rPr>
          <w:rFonts w:ascii="Book Antiqua" w:eastAsia="宋体" w:hAnsi="Book Antiqua" w:cs="宋体"/>
          <w:kern w:val="0"/>
          <w:sz w:val="24"/>
          <w:szCs w:val="24"/>
        </w:rPr>
        <w:t>, Wang DI, Trout BL. Role of arginine in the stabilization of proteins against aggregation.</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Biochemistry</w:t>
      </w:r>
      <w:r w:rsidRPr="005936B2">
        <w:rPr>
          <w:rFonts w:ascii="Book Antiqua" w:eastAsia="宋体" w:hAnsi="Book Antiqua" w:cs="宋体"/>
          <w:kern w:val="0"/>
          <w:sz w:val="24"/>
          <w:szCs w:val="24"/>
        </w:rPr>
        <w:t> 2005; </w:t>
      </w:r>
      <w:r w:rsidRPr="005936B2">
        <w:rPr>
          <w:rFonts w:ascii="Book Antiqua" w:eastAsia="宋体" w:hAnsi="Book Antiqua" w:cs="宋体"/>
          <w:b/>
          <w:bCs/>
          <w:kern w:val="0"/>
          <w:sz w:val="24"/>
          <w:szCs w:val="24"/>
        </w:rPr>
        <w:t>44</w:t>
      </w:r>
      <w:r w:rsidRPr="005936B2">
        <w:rPr>
          <w:rFonts w:ascii="Book Antiqua" w:eastAsia="宋体" w:hAnsi="Book Antiqua" w:cs="宋体"/>
          <w:kern w:val="0"/>
          <w:sz w:val="24"/>
          <w:szCs w:val="24"/>
        </w:rPr>
        <w:t>: 4919-4925 [PMID: 15779919 DOI: 10.1021/bi047528r]</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178 </w:t>
      </w:r>
      <w:r w:rsidRPr="005936B2">
        <w:rPr>
          <w:rFonts w:ascii="Book Antiqua" w:eastAsia="宋体" w:hAnsi="Book Antiqua" w:cs="宋体"/>
          <w:b/>
          <w:bCs/>
          <w:kern w:val="0"/>
          <w:sz w:val="24"/>
          <w:szCs w:val="24"/>
        </w:rPr>
        <w:t>Tobler SA</w:t>
      </w:r>
      <w:r w:rsidRPr="005936B2">
        <w:rPr>
          <w:rFonts w:ascii="Book Antiqua" w:eastAsia="宋体" w:hAnsi="Book Antiqua" w:cs="宋体"/>
          <w:kern w:val="0"/>
          <w:sz w:val="24"/>
          <w:szCs w:val="24"/>
        </w:rPr>
        <w:t xml:space="preserve">, Fernandez EJ. </w:t>
      </w:r>
      <w:proofErr w:type="gramStart"/>
      <w:r w:rsidRPr="005936B2">
        <w:rPr>
          <w:rFonts w:ascii="Book Antiqua" w:eastAsia="宋体" w:hAnsi="Book Antiqua" w:cs="宋体"/>
          <w:kern w:val="0"/>
          <w:sz w:val="24"/>
          <w:szCs w:val="24"/>
        </w:rPr>
        <w:t>Structural features of interferon-gamma aggregation revealed by hydrogen exchange.</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Protein Sci</w:t>
      </w:r>
      <w:r w:rsidRPr="005936B2">
        <w:rPr>
          <w:rFonts w:ascii="Book Antiqua" w:eastAsia="宋体" w:hAnsi="Book Antiqua" w:cs="宋体"/>
          <w:kern w:val="0"/>
          <w:sz w:val="24"/>
          <w:szCs w:val="24"/>
        </w:rPr>
        <w:t> 2002; </w:t>
      </w:r>
      <w:r w:rsidRPr="005936B2">
        <w:rPr>
          <w:rFonts w:ascii="Book Antiqua" w:eastAsia="宋体" w:hAnsi="Book Antiqua" w:cs="宋体"/>
          <w:b/>
          <w:bCs/>
          <w:kern w:val="0"/>
          <w:sz w:val="24"/>
          <w:szCs w:val="24"/>
        </w:rPr>
        <w:t>11</w:t>
      </w:r>
      <w:r w:rsidRPr="005936B2">
        <w:rPr>
          <w:rFonts w:ascii="Book Antiqua" w:eastAsia="宋体" w:hAnsi="Book Antiqua" w:cs="宋体"/>
          <w:kern w:val="0"/>
          <w:sz w:val="24"/>
          <w:szCs w:val="24"/>
        </w:rPr>
        <w:t>: 1340-1352 [PMID: 12021433 DOI: 10.1110/ps.3770102]</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179 </w:t>
      </w:r>
      <w:r w:rsidRPr="005936B2">
        <w:rPr>
          <w:rFonts w:ascii="Book Antiqua" w:eastAsia="宋体" w:hAnsi="Book Antiqua" w:cs="宋体"/>
          <w:b/>
          <w:bCs/>
          <w:kern w:val="0"/>
          <w:sz w:val="24"/>
          <w:szCs w:val="24"/>
        </w:rPr>
        <w:t>Uversky VN</w:t>
      </w:r>
      <w:r w:rsidRPr="005936B2">
        <w:rPr>
          <w:rFonts w:ascii="Book Antiqua" w:eastAsia="宋体" w:hAnsi="Book Antiqua" w:cs="宋体"/>
          <w:kern w:val="0"/>
          <w:sz w:val="24"/>
          <w:szCs w:val="24"/>
        </w:rPr>
        <w:t>, Segel DJ, Doniach S, Fink AL. Association-induced folding of globular proteins. </w:t>
      </w:r>
      <w:r w:rsidRPr="005936B2">
        <w:rPr>
          <w:rFonts w:ascii="Book Antiqua" w:eastAsia="宋体" w:hAnsi="Book Antiqua" w:cs="宋体"/>
          <w:i/>
          <w:iCs/>
          <w:kern w:val="0"/>
          <w:sz w:val="24"/>
          <w:szCs w:val="24"/>
        </w:rPr>
        <w:t>Proc Natl Acad Sci U S A</w:t>
      </w:r>
      <w:r w:rsidRPr="005936B2">
        <w:rPr>
          <w:rFonts w:ascii="Book Antiqua" w:eastAsia="宋体" w:hAnsi="Book Antiqua" w:cs="宋体"/>
          <w:kern w:val="0"/>
          <w:sz w:val="24"/>
          <w:szCs w:val="24"/>
        </w:rPr>
        <w:t> 1998; </w:t>
      </w:r>
      <w:r w:rsidRPr="005936B2">
        <w:rPr>
          <w:rFonts w:ascii="Book Antiqua" w:eastAsia="宋体" w:hAnsi="Book Antiqua" w:cs="宋体"/>
          <w:b/>
          <w:bCs/>
          <w:kern w:val="0"/>
          <w:sz w:val="24"/>
          <w:szCs w:val="24"/>
        </w:rPr>
        <w:t>95</w:t>
      </w:r>
      <w:r w:rsidRPr="005936B2">
        <w:rPr>
          <w:rFonts w:ascii="Book Antiqua" w:eastAsia="宋体" w:hAnsi="Book Antiqua" w:cs="宋体"/>
          <w:kern w:val="0"/>
          <w:sz w:val="24"/>
          <w:szCs w:val="24"/>
        </w:rPr>
        <w:t>: 5480-5483 [PMID: 9576907 DOI: 10.1073/pnas.95.10.5480]</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180 </w:t>
      </w:r>
      <w:r w:rsidRPr="005936B2">
        <w:rPr>
          <w:rFonts w:ascii="Book Antiqua" w:eastAsia="宋体" w:hAnsi="Book Antiqua" w:cs="宋体"/>
          <w:b/>
          <w:bCs/>
          <w:kern w:val="0"/>
          <w:sz w:val="24"/>
          <w:szCs w:val="24"/>
        </w:rPr>
        <w:t>Moore WV</w:t>
      </w:r>
      <w:r w:rsidRPr="005936B2">
        <w:rPr>
          <w:rFonts w:ascii="Book Antiqua" w:eastAsia="宋体" w:hAnsi="Book Antiqua" w:cs="宋体"/>
          <w:kern w:val="0"/>
          <w:sz w:val="24"/>
          <w:szCs w:val="24"/>
        </w:rPr>
        <w:t xml:space="preserve">, Leppert P. Role of aggregated human growth hormone (hGH) in development of antibodies to </w:t>
      </w:r>
      <w:proofErr w:type="gramStart"/>
      <w:r w:rsidRPr="005936B2">
        <w:rPr>
          <w:rFonts w:ascii="Book Antiqua" w:eastAsia="宋体" w:hAnsi="Book Antiqua" w:cs="宋体"/>
          <w:kern w:val="0"/>
          <w:sz w:val="24"/>
          <w:szCs w:val="24"/>
        </w:rPr>
        <w:t>hGH</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J Clin Endocrinol Metab</w:t>
      </w:r>
      <w:r w:rsidRPr="005936B2">
        <w:rPr>
          <w:rFonts w:ascii="Book Antiqua" w:eastAsia="宋体" w:hAnsi="Book Antiqua" w:cs="宋体"/>
          <w:kern w:val="0"/>
          <w:sz w:val="24"/>
          <w:szCs w:val="24"/>
        </w:rPr>
        <w:t> 1980; </w:t>
      </w:r>
      <w:r w:rsidRPr="005936B2">
        <w:rPr>
          <w:rFonts w:ascii="Book Antiqua" w:eastAsia="宋体" w:hAnsi="Book Antiqua" w:cs="宋体"/>
          <w:b/>
          <w:bCs/>
          <w:kern w:val="0"/>
          <w:sz w:val="24"/>
          <w:szCs w:val="24"/>
        </w:rPr>
        <w:t>51</w:t>
      </w:r>
      <w:r w:rsidRPr="005936B2">
        <w:rPr>
          <w:rFonts w:ascii="Book Antiqua" w:eastAsia="宋体" w:hAnsi="Book Antiqua" w:cs="宋体"/>
          <w:kern w:val="0"/>
          <w:sz w:val="24"/>
          <w:szCs w:val="24"/>
        </w:rPr>
        <w:t>: 691-697 [PMID: 7419661 DOI: 10.1210/jcem-51-4-691]</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181 </w:t>
      </w:r>
      <w:r w:rsidRPr="005936B2">
        <w:rPr>
          <w:rFonts w:ascii="Book Antiqua" w:eastAsia="宋体" w:hAnsi="Book Antiqua" w:cs="宋体"/>
          <w:b/>
          <w:bCs/>
          <w:kern w:val="0"/>
          <w:sz w:val="24"/>
          <w:szCs w:val="24"/>
        </w:rPr>
        <w:t>Palleroni AV</w:t>
      </w:r>
      <w:r w:rsidRPr="005936B2">
        <w:rPr>
          <w:rFonts w:ascii="Book Antiqua" w:eastAsia="宋体" w:hAnsi="Book Antiqua" w:cs="宋体"/>
          <w:kern w:val="0"/>
          <w:sz w:val="24"/>
          <w:szCs w:val="24"/>
        </w:rPr>
        <w:t>, Aglione A, Labow M, Brunda MJ, Pestka S, Sinigaglia F, Garotta G, Alsenz J, Braun A. Interferon immunogenicity: preclinical evaluation of interferon-alpha 2a. </w:t>
      </w:r>
      <w:r w:rsidRPr="005936B2">
        <w:rPr>
          <w:rFonts w:ascii="Book Antiqua" w:eastAsia="宋体" w:hAnsi="Book Antiqua" w:cs="宋体"/>
          <w:i/>
          <w:iCs/>
          <w:kern w:val="0"/>
          <w:sz w:val="24"/>
          <w:szCs w:val="24"/>
        </w:rPr>
        <w:t>J Interferon Cytokine Res</w:t>
      </w:r>
      <w:r w:rsidRPr="005936B2">
        <w:rPr>
          <w:rFonts w:ascii="Book Antiqua" w:eastAsia="宋体" w:hAnsi="Book Antiqua" w:cs="宋体"/>
          <w:kern w:val="0"/>
          <w:sz w:val="24"/>
          <w:szCs w:val="24"/>
        </w:rPr>
        <w:t> 1997; </w:t>
      </w:r>
      <w:r w:rsidRPr="005936B2">
        <w:rPr>
          <w:rFonts w:ascii="Book Antiqua" w:eastAsia="宋体" w:hAnsi="Book Antiqua" w:cs="宋体"/>
          <w:b/>
          <w:bCs/>
          <w:kern w:val="0"/>
          <w:sz w:val="24"/>
          <w:szCs w:val="24"/>
        </w:rPr>
        <w:t>17</w:t>
      </w:r>
      <w:r w:rsidRPr="005936B2">
        <w:rPr>
          <w:rFonts w:ascii="Book Antiqua" w:eastAsia="宋体" w:hAnsi="Book Antiqua" w:cs="宋体"/>
          <w:bCs/>
          <w:kern w:val="0"/>
          <w:sz w:val="24"/>
          <w:szCs w:val="24"/>
        </w:rPr>
        <w:t xml:space="preserve"> Suppl 1</w:t>
      </w:r>
      <w:r w:rsidRPr="005936B2">
        <w:rPr>
          <w:rFonts w:ascii="Book Antiqua" w:eastAsia="宋体" w:hAnsi="Book Antiqua" w:cs="宋体"/>
          <w:kern w:val="0"/>
          <w:sz w:val="24"/>
          <w:szCs w:val="24"/>
        </w:rPr>
        <w:t>: S23-S27 [PMID: 9241612]</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182 </w:t>
      </w:r>
      <w:r w:rsidRPr="005936B2">
        <w:rPr>
          <w:rFonts w:ascii="Book Antiqua" w:eastAsia="宋体" w:hAnsi="Book Antiqua" w:cs="宋体"/>
          <w:b/>
          <w:bCs/>
          <w:kern w:val="0"/>
          <w:sz w:val="24"/>
          <w:szCs w:val="24"/>
        </w:rPr>
        <w:t>Hochuli E</w:t>
      </w:r>
      <w:r w:rsidRPr="005936B2">
        <w:rPr>
          <w:rFonts w:ascii="Book Antiqua" w:eastAsia="宋体" w:hAnsi="Book Antiqua" w:cs="宋体"/>
          <w:kern w:val="0"/>
          <w:sz w:val="24"/>
          <w:szCs w:val="24"/>
        </w:rPr>
        <w:t>. Interferon immunogenicity</w:t>
      </w:r>
      <w:proofErr w:type="gramEnd"/>
      <w:r w:rsidRPr="005936B2">
        <w:rPr>
          <w:rFonts w:ascii="Book Antiqua" w:eastAsia="宋体" w:hAnsi="Book Antiqua" w:cs="宋体"/>
          <w:kern w:val="0"/>
          <w:sz w:val="24"/>
          <w:szCs w:val="24"/>
        </w:rPr>
        <w:t>: technical evaluation of interferon-alpha 2a. </w:t>
      </w:r>
      <w:r w:rsidRPr="005936B2">
        <w:rPr>
          <w:rFonts w:ascii="Book Antiqua" w:eastAsia="宋体" w:hAnsi="Book Antiqua" w:cs="宋体"/>
          <w:i/>
          <w:iCs/>
          <w:kern w:val="0"/>
          <w:sz w:val="24"/>
          <w:szCs w:val="24"/>
        </w:rPr>
        <w:t>J Interferon Cytokine Res</w:t>
      </w:r>
      <w:r w:rsidRPr="005936B2">
        <w:rPr>
          <w:rFonts w:ascii="Book Antiqua" w:eastAsia="宋体" w:hAnsi="Book Antiqua" w:cs="宋体"/>
          <w:kern w:val="0"/>
          <w:sz w:val="24"/>
          <w:szCs w:val="24"/>
        </w:rPr>
        <w:t> 1997; </w:t>
      </w:r>
      <w:r w:rsidRPr="005936B2">
        <w:rPr>
          <w:rFonts w:ascii="Book Antiqua" w:eastAsia="宋体" w:hAnsi="Book Antiqua" w:cs="宋体"/>
          <w:b/>
          <w:bCs/>
          <w:kern w:val="0"/>
          <w:sz w:val="24"/>
          <w:szCs w:val="24"/>
        </w:rPr>
        <w:t>17</w:t>
      </w:r>
      <w:r w:rsidRPr="005936B2">
        <w:rPr>
          <w:rFonts w:ascii="Book Antiqua" w:eastAsia="宋体" w:hAnsi="Book Antiqua" w:cs="宋体"/>
          <w:bCs/>
          <w:kern w:val="0"/>
          <w:sz w:val="24"/>
          <w:szCs w:val="24"/>
        </w:rPr>
        <w:t xml:space="preserve"> Suppl 1</w:t>
      </w:r>
      <w:r w:rsidRPr="005936B2">
        <w:rPr>
          <w:rFonts w:ascii="Book Antiqua" w:eastAsia="宋体" w:hAnsi="Book Antiqua" w:cs="宋体"/>
          <w:kern w:val="0"/>
          <w:sz w:val="24"/>
          <w:szCs w:val="24"/>
        </w:rPr>
        <w:t>: S15-S21 [PMID: 9241611]</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lastRenderedPageBreak/>
        <w:t>183 </w:t>
      </w:r>
      <w:r w:rsidRPr="005936B2">
        <w:rPr>
          <w:rFonts w:ascii="Book Antiqua" w:eastAsia="宋体" w:hAnsi="Book Antiqua" w:cs="宋体"/>
          <w:b/>
          <w:bCs/>
          <w:kern w:val="0"/>
          <w:sz w:val="24"/>
          <w:szCs w:val="24"/>
        </w:rPr>
        <w:t>Ryff JC</w:t>
      </w:r>
      <w:r w:rsidRPr="005936B2">
        <w:rPr>
          <w:rFonts w:ascii="Book Antiqua" w:eastAsia="宋体" w:hAnsi="Book Antiqua" w:cs="宋体"/>
          <w:kern w:val="0"/>
          <w:sz w:val="24"/>
          <w:szCs w:val="24"/>
        </w:rPr>
        <w:t>.</w:t>
      </w:r>
      <w:proofErr w:type="gramEnd"/>
      <w:r w:rsidRPr="005936B2">
        <w:rPr>
          <w:rFonts w:ascii="Book Antiqua" w:eastAsia="宋体" w:hAnsi="Book Antiqua" w:cs="宋体"/>
          <w:kern w:val="0"/>
          <w:sz w:val="24"/>
          <w:szCs w:val="24"/>
        </w:rPr>
        <w:t xml:space="preserve"> </w:t>
      </w:r>
      <w:proofErr w:type="gramStart"/>
      <w:r w:rsidRPr="005936B2">
        <w:rPr>
          <w:rFonts w:ascii="Book Antiqua" w:eastAsia="宋体" w:hAnsi="Book Antiqua" w:cs="宋体"/>
          <w:kern w:val="0"/>
          <w:sz w:val="24"/>
          <w:szCs w:val="24"/>
        </w:rPr>
        <w:t>Clinical investigation of the immunogenicity of interferon-alpha 2a.</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J Interferon Cytokine Res</w:t>
      </w:r>
      <w:r w:rsidRPr="005936B2">
        <w:rPr>
          <w:rFonts w:ascii="Book Antiqua" w:eastAsia="宋体" w:hAnsi="Book Antiqua" w:cs="宋体"/>
          <w:kern w:val="0"/>
          <w:sz w:val="24"/>
          <w:szCs w:val="24"/>
        </w:rPr>
        <w:t> 1997; </w:t>
      </w:r>
      <w:r w:rsidRPr="005936B2">
        <w:rPr>
          <w:rFonts w:ascii="Book Antiqua" w:eastAsia="宋体" w:hAnsi="Book Antiqua" w:cs="宋体"/>
          <w:b/>
          <w:bCs/>
          <w:kern w:val="0"/>
          <w:sz w:val="24"/>
          <w:szCs w:val="24"/>
        </w:rPr>
        <w:t xml:space="preserve">17 </w:t>
      </w:r>
      <w:r w:rsidRPr="005936B2">
        <w:rPr>
          <w:rFonts w:ascii="Book Antiqua" w:eastAsia="宋体" w:hAnsi="Book Antiqua" w:cs="宋体"/>
          <w:bCs/>
          <w:kern w:val="0"/>
          <w:sz w:val="24"/>
          <w:szCs w:val="24"/>
        </w:rPr>
        <w:t>Suppl 1</w:t>
      </w:r>
      <w:r w:rsidRPr="005936B2">
        <w:rPr>
          <w:rFonts w:ascii="Book Antiqua" w:eastAsia="宋体" w:hAnsi="Book Antiqua" w:cs="宋体"/>
          <w:kern w:val="0"/>
          <w:sz w:val="24"/>
          <w:szCs w:val="24"/>
        </w:rPr>
        <w:t>: S29-S33 [PMID: 9241613]</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184 </w:t>
      </w:r>
      <w:r w:rsidRPr="005936B2">
        <w:rPr>
          <w:rFonts w:ascii="Book Antiqua" w:eastAsia="宋体" w:hAnsi="Book Antiqua" w:cs="宋体"/>
          <w:b/>
          <w:bCs/>
          <w:kern w:val="0"/>
          <w:sz w:val="24"/>
          <w:szCs w:val="24"/>
        </w:rPr>
        <w:t>Hermeling S</w:t>
      </w:r>
      <w:r w:rsidRPr="005936B2">
        <w:rPr>
          <w:rFonts w:ascii="Book Antiqua" w:eastAsia="宋体" w:hAnsi="Book Antiqua" w:cs="宋体"/>
          <w:kern w:val="0"/>
          <w:sz w:val="24"/>
          <w:szCs w:val="24"/>
        </w:rPr>
        <w:t>, Aranha L, Damen JM, Slijper M, Schellekens H, Crommelin DJ, Jiskoot W. Structural characterization and immunogenicity in wild-type and immune tolerant mice of degraded recombinant human interferon alpha2b. </w:t>
      </w:r>
      <w:r w:rsidRPr="005936B2">
        <w:rPr>
          <w:rFonts w:ascii="Book Antiqua" w:eastAsia="宋体" w:hAnsi="Book Antiqua" w:cs="宋体"/>
          <w:i/>
          <w:iCs/>
          <w:kern w:val="0"/>
          <w:sz w:val="24"/>
          <w:szCs w:val="24"/>
        </w:rPr>
        <w:t>Pharm Res</w:t>
      </w:r>
      <w:r w:rsidRPr="005936B2">
        <w:rPr>
          <w:rFonts w:ascii="Book Antiqua" w:eastAsia="宋体" w:hAnsi="Book Antiqua" w:cs="宋体"/>
          <w:kern w:val="0"/>
          <w:sz w:val="24"/>
          <w:szCs w:val="24"/>
        </w:rPr>
        <w:t> 2005; </w:t>
      </w:r>
      <w:r w:rsidRPr="005936B2">
        <w:rPr>
          <w:rFonts w:ascii="Book Antiqua" w:eastAsia="宋体" w:hAnsi="Book Antiqua" w:cs="宋体"/>
          <w:b/>
          <w:bCs/>
          <w:kern w:val="0"/>
          <w:sz w:val="24"/>
          <w:szCs w:val="24"/>
        </w:rPr>
        <w:t>22</w:t>
      </w:r>
      <w:r w:rsidRPr="005936B2">
        <w:rPr>
          <w:rFonts w:ascii="Book Antiqua" w:eastAsia="宋体" w:hAnsi="Book Antiqua" w:cs="宋体"/>
          <w:kern w:val="0"/>
          <w:sz w:val="24"/>
          <w:szCs w:val="24"/>
        </w:rPr>
        <w:t>: 1997-2006 [PMID: 16184451 DOI: 10.1007/s11095-005-8177-9]</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185 </w:t>
      </w:r>
      <w:r w:rsidRPr="005936B2">
        <w:rPr>
          <w:rFonts w:ascii="Book Antiqua" w:eastAsia="宋体" w:hAnsi="Book Antiqua" w:cs="宋体"/>
          <w:b/>
          <w:bCs/>
          <w:kern w:val="0"/>
          <w:sz w:val="24"/>
          <w:szCs w:val="24"/>
        </w:rPr>
        <w:t>Ratanji KD</w:t>
      </w:r>
      <w:r w:rsidRPr="005936B2">
        <w:rPr>
          <w:rFonts w:ascii="Book Antiqua" w:eastAsia="宋体" w:hAnsi="Book Antiqua" w:cs="宋体"/>
          <w:kern w:val="0"/>
          <w:sz w:val="24"/>
          <w:szCs w:val="24"/>
        </w:rPr>
        <w:t>, Derrick JP, Dearman RJ, Kimber I. Immunogenicity of therapeutic proteins: influence of aggregation. </w:t>
      </w:r>
      <w:r w:rsidRPr="005936B2">
        <w:rPr>
          <w:rFonts w:ascii="Book Antiqua" w:eastAsia="宋体" w:hAnsi="Book Antiqua" w:cs="宋体"/>
          <w:i/>
          <w:iCs/>
          <w:kern w:val="0"/>
          <w:sz w:val="24"/>
          <w:szCs w:val="24"/>
        </w:rPr>
        <w:t>J Immunotoxicol</w:t>
      </w:r>
      <w:r w:rsidRPr="005936B2">
        <w:rPr>
          <w:rFonts w:ascii="Book Antiqua" w:eastAsia="宋体" w:hAnsi="Book Antiqua" w:cs="宋体"/>
          <w:kern w:val="0"/>
          <w:sz w:val="24"/>
          <w:szCs w:val="24"/>
        </w:rPr>
        <w:t> </w:t>
      </w:r>
      <w:r w:rsidR="007A30DF" w:rsidRPr="005936B2">
        <w:rPr>
          <w:rFonts w:ascii="Book Antiqua" w:eastAsia="宋体" w:hAnsi="Book Antiqua" w:cs="宋体"/>
          <w:kern w:val="0"/>
          <w:sz w:val="24"/>
          <w:szCs w:val="24"/>
        </w:rPr>
        <w:t>2014</w:t>
      </w:r>
      <w:r w:rsidRPr="005936B2">
        <w:rPr>
          <w:rFonts w:ascii="Book Antiqua" w:eastAsia="宋体" w:hAnsi="Book Antiqua" w:cs="宋体"/>
          <w:kern w:val="0"/>
          <w:sz w:val="24"/>
          <w:szCs w:val="24"/>
        </w:rPr>
        <w:t>; </w:t>
      </w:r>
      <w:r w:rsidRPr="005936B2">
        <w:rPr>
          <w:rFonts w:ascii="Book Antiqua" w:eastAsia="宋体" w:hAnsi="Book Antiqua" w:cs="宋体"/>
          <w:b/>
          <w:bCs/>
          <w:kern w:val="0"/>
          <w:sz w:val="24"/>
          <w:szCs w:val="24"/>
        </w:rPr>
        <w:t>11</w:t>
      </w:r>
      <w:r w:rsidRPr="005936B2">
        <w:rPr>
          <w:rFonts w:ascii="Book Antiqua" w:eastAsia="宋体" w:hAnsi="Book Antiqua" w:cs="宋体"/>
          <w:kern w:val="0"/>
          <w:sz w:val="24"/>
          <w:szCs w:val="24"/>
        </w:rPr>
        <w:t>: 99-109 [PMID: 23919460 DOI: 10.3109/1547691X.2013.821564]</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186 </w:t>
      </w:r>
      <w:r w:rsidRPr="005936B2">
        <w:rPr>
          <w:rFonts w:ascii="Book Antiqua" w:eastAsia="宋体" w:hAnsi="Book Antiqua" w:cs="宋体"/>
          <w:b/>
          <w:bCs/>
          <w:kern w:val="0"/>
          <w:sz w:val="24"/>
          <w:szCs w:val="24"/>
        </w:rPr>
        <w:t>Hermeling S</w:t>
      </w:r>
      <w:r w:rsidRPr="005936B2">
        <w:rPr>
          <w:rFonts w:ascii="Book Antiqua" w:eastAsia="宋体" w:hAnsi="Book Antiqua" w:cs="宋体"/>
          <w:kern w:val="0"/>
          <w:sz w:val="24"/>
          <w:szCs w:val="24"/>
        </w:rPr>
        <w:t>, Schellekens H, Maas C, Gebbink MF, Crommelin DJ, Jiskoot W. Antibody response to aggregated human interferon alpha2b in wild-type and transgenic immune tolerant mice depends on type and level of aggregation. </w:t>
      </w:r>
      <w:r w:rsidRPr="005936B2">
        <w:rPr>
          <w:rFonts w:ascii="Book Antiqua" w:eastAsia="宋体" w:hAnsi="Book Antiqua" w:cs="宋体"/>
          <w:i/>
          <w:iCs/>
          <w:kern w:val="0"/>
          <w:sz w:val="24"/>
          <w:szCs w:val="24"/>
        </w:rPr>
        <w:t>J Pharm Sci</w:t>
      </w:r>
      <w:r w:rsidRPr="005936B2">
        <w:rPr>
          <w:rFonts w:ascii="Book Antiqua" w:eastAsia="宋体" w:hAnsi="Book Antiqua" w:cs="宋体"/>
          <w:kern w:val="0"/>
          <w:sz w:val="24"/>
          <w:szCs w:val="24"/>
        </w:rPr>
        <w:t> 2006; </w:t>
      </w:r>
      <w:r w:rsidRPr="005936B2">
        <w:rPr>
          <w:rFonts w:ascii="Book Antiqua" w:eastAsia="宋体" w:hAnsi="Book Antiqua" w:cs="宋体"/>
          <w:b/>
          <w:bCs/>
          <w:kern w:val="0"/>
          <w:sz w:val="24"/>
          <w:szCs w:val="24"/>
        </w:rPr>
        <w:t>95</w:t>
      </w:r>
      <w:r w:rsidRPr="005936B2">
        <w:rPr>
          <w:rFonts w:ascii="Book Antiqua" w:eastAsia="宋体" w:hAnsi="Book Antiqua" w:cs="宋体"/>
          <w:kern w:val="0"/>
          <w:sz w:val="24"/>
          <w:szCs w:val="24"/>
        </w:rPr>
        <w:t>: 1084-1096 [PMID: 16552750 DOI: 10.1002/jps.20599]</w:t>
      </w:r>
    </w:p>
    <w:p w:rsidR="007A0C7D" w:rsidRPr="005936B2" w:rsidRDefault="007A0C7D" w:rsidP="007A0C7D">
      <w:pPr>
        <w:widowControl/>
        <w:spacing w:line="360" w:lineRule="auto"/>
        <w:rPr>
          <w:rFonts w:ascii="Book Antiqua" w:eastAsia="宋体" w:hAnsi="Book Antiqua" w:cs="宋体"/>
          <w:kern w:val="0"/>
          <w:sz w:val="24"/>
          <w:szCs w:val="24"/>
          <w:lang w:val="de-AT"/>
        </w:rPr>
      </w:pPr>
      <w:proofErr w:type="gramStart"/>
      <w:r w:rsidRPr="005936B2">
        <w:rPr>
          <w:rFonts w:ascii="Book Antiqua" w:eastAsia="宋体" w:hAnsi="Book Antiqua" w:cs="宋体"/>
          <w:kern w:val="0"/>
          <w:sz w:val="24"/>
          <w:szCs w:val="24"/>
        </w:rPr>
        <w:t>187 </w:t>
      </w:r>
      <w:r w:rsidRPr="005936B2">
        <w:rPr>
          <w:rFonts w:ascii="Book Antiqua" w:eastAsia="宋体" w:hAnsi="Book Antiqua" w:cs="宋体"/>
          <w:b/>
          <w:bCs/>
          <w:kern w:val="0"/>
          <w:sz w:val="24"/>
          <w:szCs w:val="24"/>
        </w:rPr>
        <w:t>Purohit VS</w:t>
      </w:r>
      <w:r w:rsidRPr="005936B2">
        <w:rPr>
          <w:rFonts w:ascii="Book Antiqua" w:eastAsia="宋体" w:hAnsi="Book Antiqua" w:cs="宋体"/>
          <w:kern w:val="0"/>
          <w:sz w:val="24"/>
          <w:szCs w:val="24"/>
        </w:rPr>
        <w:t>, Balasubramanian SV.</w:t>
      </w:r>
      <w:proofErr w:type="gramEnd"/>
      <w:r w:rsidRPr="005936B2">
        <w:rPr>
          <w:rFonts w:ascii="Book Antiqua" w:eastAsia="宋体" w:hAnsi="Book Antiqua" w:cs="宋体"/>
          <w:kern w:val="0"/>
          <w:sz w:val="24"/>
          <w:szCs w:val="24"/>
        </w:rPr>
        <w:t xml:space="preserve"> </w:t>
      </w:r>
      <w:proofErr w:type="gramStart"/>
      <w:r w:rsidRPr="005936B2">
        <w:rPr>
          <w:rFonts w:ascii="Book Antiqua" w:eastAsia="宋体" w:hAnsi="Book Antiqua" w:cs="宋体"/>
          <w:kern w:val="0"/>
          <w:sz w:val="24"/>
          <w:szCs w:val="24"/>
        </w:rPr>
        <w:t>Interaction of dicaproyl phosphatidylserine with recombinant factor VIII and its impact on immunogenicity.</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lang w:val="de-AT"/>
        </w:rPr>
        <w:t>AAPS J</w:t>
      </w:r>
      <w:r w:rsidRPr="005936B2">
        <w:rPr>
          <w:rFonts w:ascii="Book Antiqua" w:eastAsia="宋体" w:hAnsi="Book Antiqua" w:cs="宋体"/>
          <w:kern w:val="0"/>
          <w:sz w:val="24"/>
          <w:szCs w:val="24"/>
          <w:lang w:val="de-AT"/>
        </w:rPr>
        <w:t> 2006; </w:t>
      </w:r>
      <w:r w:rsidRPr="005936B2">
        <w:rPr>
          <w:rFonts w:ascii="Book Antiqua" w:eastAsia="宋体" w:hAnsi="Book Antiqua" w:cs="宋体"/>
          <w:b/>
          <w:bCs/>
          <w:kern w:val="0"/>
          <w:sz w:val="24"/>
          <w:szCs w:val="24"/>
          <w:lang w:val="de-AT"/>
        </w:rPr>
        <w:t>8</w:t>
      </w:r>
      <w:r w:rsidRPr="005936B2">
        <w:rPr>
          <w:rFonts w:ascii="Book Antiqua" w:eastAsia="宋体" w:hAnsi="Book Antiqua" w:cs="宋体"/>
          <w:kern w:val="0"/>
          <w:sz w:val="24"/>
          <w:szCs w:val="24"/>
          <w:lang w:val="de-AT"/>
        </w:rPr>
        <w:t>: E362-E370 [PMID: 16796387 DOI: 10.1007/BF02854907]</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lang w:val="de-AT"/>
        </w:rPr>
        <w:t>188 </w:t>
      </w:r>
      <w:r w:rsidRPr="005936B2">
        <w:rPr>
          <w:rFonts w:ascii="Book Antiqua" w:eastAsia="宋体" w:hAnsi="Book Antiqua" w:cs="宋体"/>
          <w:b/>
          <w:bCs/>
          <w:kern w:val="0"/>
          <w:sz w:val="24"/>
          <w:szCs w:val="24"/>
          <w:lang w:val="de-AT"/>
        </w:rPr>
        <w:t>Bachmann MF</w:t>
      </w:r>
      <w:r w:rsidRPr="005936B2">
        <w:rPr>
          <w:rFonts w:ascii="Book Antiqua" w:eastAsia="宋体" w:hAnsi="Book Antiqua" w:cs="宋体"/>
          <w:kern w:val="0"/>
          <w:sz w:val="24"/>
          <w:szCs w:val="24"/>
          <w:lang w:val="de-AT"/>
        </w:rPr>
        <w:t xml:space="preserve">, Oxenius A, Speiser DE, Mariathasan S, Hengartner H, Zinkernagel RM, Ohashi PS. </w:t>
      </w:r>
      <w:r w:rsidRPr="005936B2">
        <w:rPr>
          <w:rFonts w:ascii="Book Antiqua" w:eastAsia="宋体" w:hAnsi="Book Antiqua" w:cs="宋体"/>
          <w:kern w:val="0"/>
          <w:sz w:val="24"/>
          <w:szCs w:val="24"/>
        </w:rPr>
        <w:t>Peptide-induced T cell receptor down-regulation on naive T cells predicts agonist/partial agonist properties and strictly correlates with T cell activation. </w:t>
      </w:r>
      <w:r w:rsidRPr="005936B2">
        <w:rPr>
          <w:rFonts w:ascii="Book Antiqua" w:eastAsia="宋体" w:hAnsi="Book Antiqua" w:cs="宋体"/>
          <w:i/>
          <w:iCs/>
          <w:kern w:val="0"/>
          <w:sz w:val="24"/>
          <w:szCs w:val="24"/>
        </w:rPr>
        <w:t>Eur J Immunol</w:t>
      </w:r>
      <w:r w:rsidRPr="005936B2">
        <w:rPr>
          <w:rFonts w:ascii="Book Antiqua" w:eastAsia="宋体" w:hAnsi="Book Antiqua" w:cs="宋体"/>
          <w:kern w:val="0"/>
          <w:sz w:val="24"/>
          <w:szCs w:val="24"/>
        </w:rPr>
        <w:t> 1997; </w:t>
      </w:r>
      <w:r w:rsidRPr="005936B2">
        <w:rPr>
          <w:rFonts w:ascii="Book Antiqua" w:eastAsia="宋体" w:hAnsi="Book Antiqua" w:cs="宋体"/>
          <w:b/>
          <w:bCs/>
          <w:kern w:val="0"/>
          <w:sz w:val="24"/>
          <w:szCs w:val="24"/>
        </w:rPr>
        <w:t>27</w:t>
      </w:r>
      <w:r w:rsidRPr="005936B2">
        <w:rPr>
          <w:rFonts w:ascii="Book Antiqua" w:eastAsia="宋体" w:hAnsi="Book Antiqua" w:cs="宋体"/>
          <w:kern w:val="0"/>
          <w:sz w:val="24"/>
          <w:szCs w:val="24"/>
        </w:rPr>
        <w:t>: 2195-2203 [PMID: 9341759 DOI: 10.1002/eji.1830270912]</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189 </w:t>
      </w:r>
      <w:r w:rsidRPr="005936B2">
        <w:rPr>
          <w:rFonts w:ascii="Book Antiqua" w:eastAsia="宋体" w:hAnsi="Book Antiqua" w:cs="宋体"/>
          <w:b/>
          <w:bCs/>
          <w:kern w:val="0"/>
          <w:sz w:val="24"/>
          <w:szCs w:val="24"/>
        </w:rPr>
        <w:t>Bhanot G</w:t>
      </w:r>
      <w:r w:rsidRPr="005936B2">
        <w:rPr>
          <w:rFonts w:ascii="Book Antiqua" w:eastAsia="宋体" w:hAnsi="Book Antiqua" w:cs="宋体"/>
          <w:kern w:val="0"/>
          <w:sz w:val="24"/>
          <w:szCs w:val="24"/>
        </w:rPr>
        <w:t>. Results from modeling of B-Cell receptors binding to antigen. </w:t>
      </w:r>
      <w:r w:rsidRPr="005936B2">
        <w:rPr>
          <w:rFonts w:ascii="Book Antiqua" w:eastAsia="宋体" w:hAnsi="Book Antiqua" w:cs="宋体"/>
          <w:i/>
          <w:iCs/>
          <w:kern w:val="0"/>
          <w:sz w:val="24"/>
          <w:szCs w:val="24"/>
        </w:rPr>
        <w:t>Prog Biophys Mol Biol</w:t>
      </w:r>
      <w:r w:rsidRPr="005936B2">
        <w:rPr>
          <w:rFonts w:ascii="Book Antiqua" w:eastAsia="宋体" w:hAnsi="Book Antiqua" w:cs="宋体"/>
          <w:kern w:val="0"/>
          <w:sz w:val="24"/>
          <w:szCs w:val="24"/>
        </w:rPr>
        <w:t> </w:t>
      </w:r>
      <w:r w:rsidR="007A30DF" w:rsidRPr="005936B2">
        <w:rPr>
          <w:rFonts w:ascii="Book Antiqua" w:eastAsia="宋体" w:hAnsi="Book Antiqua" w:cs="宋体"/>
          <w:kern w:val="0"/>
          <w:sz w:val="24"/>
          <w:szCs w:val="24"/>
        </w:rPr>
        <w:t>2004</w:t>
      </w:r>
      <w:r w:rsidRPr="005936B2">
        <w:rPr>
          <w:rFonts w:ascii="Book Antiqua" w:eastAsia="宋体" w:hAnsi="Book Antiqua" w:cs="宋体"/>
          <w:kern w:val="0"/>
          <w:sz w:val="24"/>
          <w:szCs w:val="24"/>
        </w:rPr>
        <w:t>; </w:t>
      </w:r>
      <w:r w:rsidRPr="005936B2">
        <w:rPr>
          <w:rFonts w:ascii="Book Antiqua" w:eastAsia="宋体" w:hAnsi="Book Antiqua" w:cs="宋体"/>
          <w:b/>
          <w:bCs/>
          <w:kern w:val="0"/>
          <w:sz w:val="24"/>
          <w:szCs w:val="24"/>
        </w:rPr>
        <w:t>85</w:t>
      </w:r>
      <w:r w:rsidRPr="005936B2">
        <w:rPr>
          <w:rFonts w:ascii="Book Antiqua" w:eastAsia="宋体" w:hAnsi="Book Antiqua" w:cs="宋体"/>
          <w:kern w:val="0"/>
          <w:sz w:val="24"/>
          <w:szCs w:val="24"/>
        </w:rPr>
        <w:t>: 343-352 [PMID: 15142751 DOI: 10.1016/j.pbiomolbio.2004.01.008]</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190 </w:t>
      </w:r>
      <w:r w:rsidRPr="005936B2">
        <w:rPr>
          <w:rFonts w:ascii="Book Antiqua" w:eastAsia="宋体" w:hAnsi="Book Antiqua" w:cs="宋体"/>
          <w:b/>
          <w:bCs/>
          <w:kern w:val="0"/>
          <w:sz w:val="24"/>
          <w:szCs w:val="24"/>
        </w:rPr>
        <w:t>Dintzis RZ</w:t>
      </w:r>
      <w:r w:rsidRPr="005936B2">
        <w:rPr>
          <w:rFonts w:ascii="Book Antiqua" w:eastAsia="宋体" w:hAnsi="Book Antiqua" w:cs="宋体"/>
          <w:kern w:val="0"/>
          <w:sz w:val="24"/>
          <w:szCs w:val="24"/>
        </w:rPr>
        <w:t>, Okajima M, Middleton MH, Greene G, Dintzis HM. The immunogenicity of soluble haptenated polymers is determined by molecular mass and hapten valence. </w:t>
      </w:r>
      <w:r w:rsidRPr="005936B2">
        <w:rPr>
          <w:rFonts w:ascii="Book Antiqua" w:eastAsia="宋体" w:hAnsi="Book Antiqua" w:cs="宋体"/>
          <w:i/>
          <w:iCs/>
          <w:kern w:val="0"/>
          <w:sz w:val="24"/>
          <w:szCs w:val="24"/>
        </w:rPr>
        <w:t>J Immunol</w:t>
      </w:r>
      <w:r w:rsidRPr="005936B2">
        <w:rPr>
          <w:rFonts w:ascii="Book Antiqua" w:eastAsia="宋体" w:hAnsi="Book Antiqua" w:cs="宋体"/>
          <w:kern w:val="0"/>
          <w:sz w:val="24"/>
          <w:szCs w:val="24"/>
        </w:rPr>
        <w:t> 1989; </w:t>
      </w:r>
      <w:r w:rsidRPr="005936B2">
        <w:rPr>
          <w:rFonts w:ascii="Book Antiqua" w:eastAsia="宋体" w:hAnsi="Book Antiqua" w:cs="宋体"/>
          <w:b/>
          <w:bCs/>
          <w:kern w:val="0"/>
          <w:sz w:val="24"/>
          <w:szCs w:val="24"/>
        </w:rPr>
        <w:t>143</w:t>
      </w:r>
      <w:r w:rsidRPr="005936B2">
        <w:rPr>
          <w:rFonts w:ascii="Book Antiqua" w:eastAsia="宋体" w:hAnsi="Book Antiqua" w:cs="宋体"/>
          <w:kern w:val="0"/>
          <w:sz w:val="24"/>
          <w:szCs w:val="24"/>
        </w:rPr>
        <w:t>: 1239-1244 [PMID: 2473123]</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191 </w:t>
      </w:r>
      <w:r w:rsidRPr="005936B2">
        <w:rPr>
          <w:rFonts w:ascii="Book Antiqua" w:eastAsia="宋体" w:hAnsi="Book Antiqua" w:cs="宋体"/>
          <w:b/>
          <w:bCs/>
          <w:kern w:val="0"/>
          <w:sz w:val="24"/>
          <w:szCs w:val="24"/>
        </w:rPr>
        <w:t>Rosenberg AS</w:t>
      </w:r>
      <w:r w:rsidRPr="005936B2">
        <w:rPr>
          <w:rFonts w:ascii="Book Antiqua" w:eastAsia="宋体" w:hAnsi="Book Antiqua" w:cs="宋体"/>
          <w:kern w:val="0"/>
          <w:sz w:val="24"/>
          <w:szCs w:val="24"/>
        </w:rPr>
        <w:t>.</w:t>
      </w:r>
      <w:proofErr w:type="gramEnd"/>
      <w:r w:rsidRPr="005936B2">
        <w:rPr>
          <w:rFonts w:ascii="Book Antiqua" w:eastAsia="宋体" w:hAnsi="Book Antiqua" w:cs="宋体"/>
          <w:kern w:val="0"/>
          <w:sz w:val="24"/>
          <w:szCs w:val="24"/>
        </w:rPr>
        <w:t xml:space="preserve"> Effects of protein aggregates: an immunologic perspective. </w:t>
      </w:r>
      <w:r w:rsidRPr="005936B2">
        <w:rPr>
          <w:rFonts w:ascii="Book Antiqua" w:eastAsia="宋体" w:hAnsi="Book Antiqua" w:cs="宋体"/>
          <w:i/>
          <w:iCs/>
          <w:kern w:val="0"/>
          <w:sz w:val="24"/>
          <w:szCs w:val="24"/>
        </w:rPr>
        <w:t>AAPS J</w:t>
      </w:r>
      <w:r w:rsidRPr="005936B2">
        <w:rPr>
          <w:rFonts w:ascii="Book Antiqua" w:eastAsia="宋体" w:hAnsi="Book Antiqua" w:cs="宋体"/>
          <w:kern w:val="0"/>
          <w:sz w:val="24"/>
          <w:szCs w:val="24"/>
        </w:rPr>
        <w:t> 2006; </w:t>
      </w:r>
      <w:r w:rsidRPr="005936B2">
        <w:rPr>
          <w:rFonts w:ascii="Book Antiqua" w:eastAsia="宋体" w:hAnsi="Book Antiqua" w:cs="宋体"/>
          <w:b/>
          <w:bCs/>
          <w:kern w:val="0"/>
          <w:sz w:val="24"/>
          <w:szCs w:val="24"/>
        </w:rPr>
        <w:t>8</w:t>
      </w:r>
      <w:r w:rsidRPr="005936B2">
        <w:rPr>
          <w:rFonts w:ascii="Book Antiqua" w:eastAsia="宋体" w:hAnsi="Book Antiqua" w:cs="宋体"/>
          <w:kern w:val="0"/>
          <w:sz w:val="24"/>
          <w:szCs w:val="24"/>
        </w:rPr>
        <w:t>: E501-E507 [PMID: 17025268 DOI: 10.1208/aapsj080359]</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192 </w:t>
      </w:r>
      <w:r w:rsidRPr="005936B2">
        <w:rPr>
          <w:rFonts w:ascii="Book Antiqua" w:eastAsia="宋体" w:hAnsi="Book Antiqua" w:cs="宋体"/>
          <w:b/>
          <w:bCs/>
          <w:kern w:val="0"/>
          <w:sz w:val="24"/>
          <w:szCs w:val="24"/>
        </w:rPr>
        <w:t>Smith RA</w:t>
      </w:r>
      <w:r w:rsidRPr="005936B2">
        <w:rPr>
          <w:rFonts w:ascii="Book Antiqua" w:eastAsia="宋体" w:hAnsi="Book Antiqua" w:cs="宋体"/>
          <w:kern w:val="0"/>
          <w:sz w:val="24"/>
          <w:szCs w:val="24"/>
        </w:rPr>
        <w:t>, Young J, Weis JJ, Weis JH.</w:t>
      </w:r>
      <w:proofErr w:type="gramEnd"/>
      <w:r w:rsidRPr="005936B2">
        <w:rPr>
          <w:rFonts w:ascii="Book Antiqua" w:eastAsia="宋体" w:hAnsi="Book Antiqua" w:cs="宋体"/>
          <w:kern w:val="0"/>
          <w:sz w:val="24"/>
          <w:szCs w:val="24"/>
        </w:rPr>
        <w:t xml:space="preserve"> </w:t>
      </w:r>
      <w:proofErr w:type="gramStart"/>
      <w:r w:rsidRPr="005936B2">
        <w:rPr>
          <w:rFonts w:ascii="Book Antiqua" w:eastAsia="宋体" w:hAnsi="Book Antiqua" w:cs="宋体"/>
          <w:kern w:val="0"/>
          <w:sz w:val="24"/>
          <w:szCs w:val="24"/>
        </w:rPr>
        <w:t>Expression of the mouse fragilis gene products in immune cells and association with receptor signaling complexes.</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Genes Immun</w:t>
      </w:r>
      <w:r w:rsidRPr="005936B2">
        <w:rPr>
          <w:rFonts w:ascii="Book Antiqua" w:eastAsia="宋体" w:hAnsi="Book Antiqua" w:cs="宋体"/>
          <w:kern w:val="0"/>
          <w:sz w:val="24"/>
          <w:szCs w:val="24"/>
        </w:rPr>
        <w:t> 2006; </w:t>
      </w:r>
      <w:r w:rsidRPr="005936B2">
        <w:rPr>
          <w:rFonts w:ascii="Book Antiqua" w:eastAsia="宋体" w:hAnsi="Book Antiqua" w:cs="宋体"/>
          <w:b/>
          <w:bCs/>
          <w:kern w:val="0"/>
          <w:sz w:val="24"/>
          <w:szCs w:val="24"/>
        </w:rPr>
        <w:t>7</w:t>
      </w:r>
      <w:r w:rsidRPr="005936B2">
        <w:rPr>
          <w:rFonts w:ascii="Book Antiqua" w:eastAsia="宋体" w:hAnsi="Book Antiqua" w:cs="宋体"/>
          <w:kern w:val="0"/>
          <w:sz w:val="24"/>
          <w:szCs w:val="24"/>
        </w:rPr>
        <w:t>: 113-121 [PMID: 16395393 DOI: 10.1038/sj.gene.6364278]</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lastRenderedPageBreak/>
        <w:t>193 </w:t>
      </w:r>
      <w:r w:rsidRPr="005936B2">
        <w:rPr>
          <w:rFonts w:ascii="Book Antiqua" w:eastAsia="宋体" w:hAnsi="Book Antiqua" w:cs="宋体"/>
          <w:b/>
          <w:bCs/>
          <w:kern w:val="0"/>
          <w:sz w:val="24"/>
          <w:szCs w:val="24"/>
        </w:rPr>
        <w:t>Maas C</w:t>
      </w:r>
      <w:r w:rsidRPr="005936B2">
        <w:rPr>
          <w:rFonts w:ascii="Book Antiqua" w:eastAsia="宋体" w:hAnsi="Book Antiqua" w:cs="宋体"/>
          <w:kern w:val="0"/>
          <w:sz w:val="24"/>
          <w:szCs w:val="24"/>
        </w:rPr>
        <w:t>, Hermeling S, Bouma B, Jiskoot W, Gebbink MF.</w:t>
      </w:r>
      <w:proofErr w:type="gramEnd"/>
      <w:r w:rsidRPr="005936B2">
        <w:rPr>
          <w:rFonts w:ascii="Book Antiqua" w:eastAsia="宋体" w:hAnsi="Book Antiqua" w:cs="宋体"/>
          <w:kern w:val="0"/>
          <w:sz w:val="24"/>
          <w:szCs w:val="24"/>
        </w:rPr>
        <w:t xml:space="preserve"> </w:t>
      </w:r>
      <w:proofErr w:type="gramStart"/>
      <w:r w:rsidRPr="005936B2">
        <w:rPr>
          <w:rFonts w:ascii="Book Antiqua" w:eastAsia="宋体" w:hAnsi="Book Antiqua" w:cs="宋体"/>
          <w:kern w:val="0"/>
          <w:sz w:val="24"/>
          <w:szCs w:val="24"/>
        </w:rPr>
        <w:t>A role for protein misfolding in immunogenicity of biopharmaceuticals.</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2007; </w:t>
      </w:r>
      <w:r w:rsidRPr="005936B2">
        <w:rPr>
          <w:rFonts w:ascii="Book Antiqua" w:eastAsia="宋体" w:hAnsi="Book Antiqua" w:cs="宋体"/>
          <w:b/>
          <w:bCs/>
          <w:kern w:val="0"/>
          <w:sz w:val="24"/>
          <w:szCs w:val="24"/>
        </w:rPr>
        <w:t>282</w:t>
      </w:r>
      <w:r w:rsidRPr="005936B2">
        <w:rPr>
          <w:rFonts w:ascii="Book Antiqua" w:eastAsia="宋体" w:hAnsi="Book Antiqua" w:cs="宋体"/>
          <w:kern w:val="0"/>
          <w:sz w:val="24"/>
          <w:szCs w:val="24"/>
        </w:rPr>
        <w:t>: 2229-2236 [PMID: 17135263 DOI: 10.1074/jbc.M605984200]</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194 </w:t>
      </w:r>
      <w:r w:rsidRPr="005936B2">
        <w:rPr>
          <w:rFonts w:ascii="Book Antiqua" w:eastAsia="宋体" w:hAnsi="Book Antiqua" w:cs="宋体"/>
          <w:b/>
          <w:bCs/>
          <w:kern w:val="0"/>
          <w:sz w:val="24"/>
          <w:szCs w:val="24"/>
        </w:rPr>
        <w:t>Sulzer B</w:t>
      </w:r>
      <w:r w:rsidRPr="005936B2">
        <w:rPr>
          <w:rFonts w:ascii="Book Antiqua" w:eastAsia="宋体" w:hAnsi="Book Antiqua" w:cs="宋体"/>
          <w:kern w:val="0"/>
          <w:sz w:val="24"/>
          <w:szCs w:val="24"/>
        </w:rPr>
        <w:t>, Perelson AS.</w:t>
      </w:r>
      <w:proofErr w:type="gramEnd"/>
      <w:r w:rsidRPr="005936B2">
        <w:rPr>
          <w:rFonts w:ascii="Book Antiqua" w:eastAsia="宋体" w:hAnsi="Book Antiqua" w:cs="宋体"/>
          <w:kern w:val="0"/>
          <w:sz w:val="24"/>
          <w:szCs w:val="24"/>
        </w:rPr>
        <w:t xml:space="preserve"> Immunons revisited: binding of multivalent antigens to B cells. </w:t>
      </w:r>
      <w:r w:rsidRPr="005936B2">
        <w:rPr>
          <w:rFonts w:ascii="Book Antiqua" w:eastAsia="宋体" w:hAnsi="Book Antiqua" w:cs="宋体"/>
          <w:i/>
          <w:iCs/>
          <w:kern w:val="0"/>
          <w:sz w:val="24"/>
          <w:szCs w:val="24"/>
        </w:rPr>
        <w:t>Mol Immunol</w:t>
      </w:r>
      <w:r w:rsidRPr="005936B2">
        <w:rPr>
          <w:rFonts w:ascii="Book Antiqua" w:eastAsia="宋体" w:hAnsi="Book Antiqua" w:cs="宋体"/>
          <w:kern w:val="0"/>
          <w:sz w:val="24"/>
          <w:szCs w:val="24"/>
        </w:rPr>
        <w:t> 1997; </w:t>
      </w:r>
      <w:r w:rsidRPr="005936B2">
        <w:rPr>
          <w:rFonts w:ascii="Book Antiqua" w:eastAsia="宋体" w:hAnsi="Book Antiqua" w:cs="宋体"/>
          <w:b/>
          <w:bCs/>
          <w:kern w:val="0"/>
          <w:sz w:val="24"/>
          <w:szCs w:val="24"/>
        </w:rPr>
        <w:t>34</w:t>
      </w:r>
      <w:r w:rsidRPr="005936B2">
        <w:rPr>
          <w:rFonts w:ascii="Book Antiqua" w:eastAsia="宋体" w:hAnsi="Book Antiqua" w:cs="宋体"/>
          <w:kern w:val="0"/>
          <w:sz w:val="24"/>
          <w:szCs w:val="24"/>
        </w:rPr>
        <w:t>: 63-74 [PMID: 9182877 DOI: 10.1016/S0161-5890(96)00096-X]</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195 </w:t>
      </w:r>
      <w:r w:rsidRPr="005936B2">
        <w:rPr>
          <w:rFonts w:ascii="Book Antiqua" w:eastAsia="宋体" w:hAnsi="Book Antiqua" w:cs="宋体"/>
          <w:b/>
          <w:bCs/>
          <w:kern w:val="0"/>
          <w:sz w:val="24"/>
          <w:szCs w:val="24"/>
        </w:rPr>
        <w:t>Lindenthal C</w:t>
      </w:r>
      <w:r w:rsidRPr="005936B2">
        <w:rPr>
          <w:rFonts w:ascii="Book Antiqua" w:eastAsia="宋体" w:hAnsi="Book Antiqua" w:cs="宋体"/>
          <w:kern w:val="0"/>
          <w:sz w:val="24"/>
          <w:szCs w:val="24"/>
        </w:rPr>
        <w:t>, Elsinghorst EA. Identification of a glycoprotein produced by enterotoxigenic Escherichia coli. </w:t>
      </w:r>
      <w:r w:rsidRPr="005936B2">
        <w:rPr>
          <w:rFonts w:ascii="Book Antiqua" w:eastAsia="宋体" w:hAnsi="Book Antiqua" w:cs="宋体"/>
          <w:i/>
          <w:iCs/>
          <w:kern w:val="0"/>
          <w:sz w:val="24"/>
          <w:szCs w:val="24"/>
        </w:rPr>
        <w:t>Infect Immun</w:t>
      </w:r>
      <w:r w:rsidRPr="005936B2">
        <w:rPr>
          <w:rFonts w:ascii="Book Antiqua" w:eastAsia="宋体" w:hAnsi="Book Antiqua" w:cs="宋体"/>
          <w:kern w:val="0"/>
          <w:sz w:val="24"/>
          <w:szCs w:val="24"/>
        </w:rPr>
        <w:t> 1999; </w:t>
      </w:r>
      <w:r w:rsidRPr="005936B2">
        <w:rPr>
          <w:rFonts w:ascii="Book Antiqua" w:eastAsia="宋体" w:hAnsi="Book Antiqua" w:cs="宋体"/>
          <w:b/>
          <w:bCs/>
          <w:kern w:val="0"/>
          <w:sz w:val="24"/>
          <w:szCs w:val="24"/>
        </w:rPr>
        <w:t>67</w:t>
      </w:r>
      <w:r w:rsidRPr="005936B2">
        <w:rPr>
          <w:rFonts w:ascii="Book Antiqua" w:eastAsia="宋体" w:hAnsi="Book Antiqua" w:cs="宋体"/>
          <w:kern w:val="0"/>
          <w:sz w:val="24"/>
          <w:szCs w:val="24"/>
        </w:rPr>
        <w:t>: 4084-4091 [PMID: 10417177]</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196 </w:t>
      </w:r>
      <w:r w:rsidRPr="005936B2">
        <w:rPr>
          <w:rFonts w:ascii="Book Antiqua" w:eastAsia="宋体" w:hAnsi="Book Antiqua" w:cs="宋体"/>
          <w:b/>
          <w:bCs/>
          <w:kern w:val="0"/>
          <w:sz w:val="24"/>
          <w:szCs w:val="24"/>
        </w:rPr>
        <w:t>Sherlock O</w:t>
      </w:r>
      <w:r w:rsidRPr="005936B2">
        <w:rPr>
          <w:rFonts w:ascii="Book Antiqua" w:eastAsia="宋体" w:hAnsi="Book Antiqua" w:cs="宋体"/>
          <w:kern w:val="0"/>
          <w:sz w:val="24"/>
          <w:szCs w:val="24"/>
        </w:rPr>
        <w:t>, Dobrindt U, Jensen JB, Munk Vejborg R, Klemm P. Glycosylation of the self-recognizing Escherichia coli Ag43 autotransporter protein. </w:t>
      </w:r>
      <w:r w:rsidRPr="005936B2">
        <w:rPr>
          <w:rFonts w:ascii="Book Antiqua" w:eastAsia="宋体" w:hAnsi="Book Antiqua" w:cs="宋体"/>
          <w:i/>
          <w:iCs/>
          <w:kern w:val="0"/>
          <w:sz w:val="24"/>
          <w:szCs w:val="24"/>
        </w:rPr>
        <w:t>J Bacteriol</w:t>
      </w:r>
      <w:r w:rsidRPr="005936B2">
        <w:rPr>
          <w:rFonts w:ascii="Book Antiqua" w:eastAsia="宋体" w:hAnsi="Book Antiqua" w:cs="宋体"/>
          <w:kern w:val="0"/>
          <w:sz w:val="24"/>
          <w:szCs w:val="24"/>
        </w:rPr>
        <w:t> 2006; </w:t>
      </w:r>
      <w:r w:rsidRPr="005936B2">
        <w:rPr>
          <w:rFonts w:ascii="Book Antiqua" w:eastAsia="宋体" w:hAnsi="Book Antiqua" w:cs="宋体"/>
          <w:b/>
          <w:bCs/>
          <w:kern w:val="0"/>
          <w:sz w:val="24"/>
          <w:szCs w:val="24"/>
        </w:rPr>
        <w:t>188</w:t>
      </w:r>
      <w:r w:rsidRPr="005936B2">
        <w:rPr>
          <w:rFonts w:ascii="Book Antiqua" w:eastAsia="宋体" w:hAnsi="Book Antiqua" w:cs="宋体"/>
          <w:kern w:val="0"/>
          <w:sz w:val="24"/>
          <w:szCs w:val="24"/>
        </w:rPr>
        <w:t>: 1798-1807 [PMID: 16484190 DOI: 10.1128/JB.188.5.1798-1807.2006]</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197 </w:t>
      </w:r>
      <w:r w:rsidRPr="005936B2">
        <w:rPr>
          <w:rFonts w:ascii="Book Antiqua" w:eastAsia="宋体" w:hAnsi="Book Antiqua" w:cs="宋体"/>
          <w:b/>
          <w:bCs/>
          <w:kern w:val="0"/>
          <w:sz w:val="24"/>
          <w:szCs w:val="24"/>
        </w:rPr>
        <w:t>Gross J</w:t>
      </w:r>
      <w:r w:rsidRPr="005936B2">
        <w:rPr>
          <w:rFonts w:ascii="Book Antiqua" w:eastAsia="宋体" w:hAnsi="Book Antiqua" w:cs="宋体"/>
          <w:kern w:val="0"/>
          <w:sz w:val="24"/>
          <w:szCs w:val="24"/>
        </w:rPr>
        <w:t>, Grass S, Davis AE, Gilmore-Erdmann P, Townsend RR, St Geme JW.</w:t>
      </w:r>
      <w:proofErr w:type="gramEnd"/>
      <w:r w:rsidRPr="005936B2">
        <w:rPr>
          <w:rFonts w:ascii="Book Antiqua" w:eastAsia="宋体" w:hAnsi="Book Antiqua" w:cs="宋体"/>
          <w:kern w:val="0"/>
          <w:sz w:val="24"/>
          <w:szCs w:val="24"/>
        </w:rPr>
        <w:t xml:space="preserve"> The Haemophilus influenzae HMW1 adhesin is a glycoprotein with an unusual N-linked carbohydrate modification.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2008; </w:t>
      </w:r>
      <w:r w:rsidRPr="005936B2">
        <w:rPr>
          <w:rFonts w:ascii="Book Antiqua" w:eastAsia="宋体" w:hAnsi="Book Antiqua" w:cs="宋体"/>
          <w:b/>
          <w:bCs/>
          <w:kern w:val="0"/>
          <w:sz w:val="24"/>
          <w:szCs w:val="24"/>
        </w:rPr>
        <w:t>283</w:t>
      </w:r>
      <w:r w:rsidRPr="005936B2">
        <w:rPr>
          <w:rFonts w:ascii="Book Antiqua" w:eastAsia="宋体" w:hAnsi="Book Antiqua" w:cs="宋体"/>
          <w:kern w:val="0"/>
          <w:sz w:val="24"/>
          <w:szCs w:val="24"/>
        </w:rPr>
        <w:t>: 26010-26015 [PMID: 18621734 DOI: 10.1074/jbc.M801819200]</w:t>
      </w:r>
    </w:p>
    <w:p w:rsidR="007A30DF" w:rsidRPr="005936B2" w:rsidRDefault="007A30DF" w:rsidP="00B320DA">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198</w:t>
      </w:r>
      <w:r w:rsidRPr="005936B2">
        <w:rPr>
          <w:rFonts w:ascii="Book Antiqua" w:eastAsia="宋体" w:hAnsi="Book Antiqua" w:cs="宋体"/>
          <w:b/>
          <w:bCs/>
          <w:kern w:val="0"/>
          <w:sz w:val="24"/>
          <w:szCs w:val="24"/>
        </w:rPr>
        <w:t xml:space="preserve"> </w:t>
      </w:r>
      <w:r w:rsidR="00B320DA" w:rsidRPr="005936B2">
        <w:rPr>
          <w:rFonts w:ascii="Book Antiqua" w:eastAsia="宋体" w:hAnsi="Book Antiqua" w:cs="宋体"/>
          <w:b/>
          <w:bCs/>
          <w:kern w:val="0"/>
          <w:sz w:val="24"/>
          <w:szCs w:val="24"/>
        </w:rPr>
        <w:t xml:space="preserve">Cuccui J, </w:t>
      </w:r>
      <w:r w:rsidR="00B320DA" w:rsidRPr="005936B2">
        <w:rPr>
          <w:rFonts w:ascii="Book Antiqua" w:eastAsia="宋体" w:hAnsi="Book Antiqua" w:cs="宋体"/>
          <w:bCs/>
          <w:kern w:val="0"/>
          <w:sz w:val="24"/>
          <w:szCs w:val="24"/>
        </w:rPr>
        <w:t>Wren B. Hijacking bacterial glycosylation for the production of</w:t>
      </w:r>
      <w:r w:rsidR="00B320DA" w:rsidRPr="005936B2">
        <w:rPr>
          <w:rFonts w:ascii="Book Antiqua" w:eastAsia="宋体" w:hAnsi="Book Antiqua" w:cs="宋体"/>
          <w:bCs/>
          <w:kern w:val="0"/>
          <w:sz w:val="24"/>
          <w:szCs w:val="24"/>
          <w:lang w:val="bg-BG"/>
        </w:rPr>
        <w:t xml:space="preserve"> </w:t>
      </w:r>
      <w:r w:rsidR="00B320DA" w:rsidRPr="005936B2">
        <w:rPr>
          <w:rFonts w:ascii="Book Antiqua" w:eastAsia="宋体" w:hAnsi="Book Antiqua" w:cs="宋体"/>
          <w:bCs/>
          <w:kern w:val="0"/>
          <w:sz w:val="24"/>
          <w:szCs w:val="24"/>
        </w:rPr>
        <w:t xml:space="preserve">glycoconjugates, from vaccines to humanised glycoproteins. </w:t>
      </w:r>
      <w:r w:rsidR="00B320DA" w:rsidRPr="005936B2">
        <w:rPr>
          <w:rFonts w:ascii="Book Antiqua" w:eastAsia="宋体" w:hAnsi="Book Antiqua" w:cs="宋体"/>
          <w:bCs/>
          <w:i/>
          <w:kern w:val="0"/>
          <w:sz w:val="24"/>
          <w:szCs w:val="24"/>
        </w:rPr>
        <w:t>J Pharm Pharmacol</w:t>
      </w:r>
      <w:r w:rsidR="00B320DA" w:rsidRPr="005936B2">
        <w:rPr>
          <w:rFonts w:ascii="Book Antiqua" w:eastAsia="宋体" w:hAnsi="Book Antiqua" w:cs="宋体"/>
          <w:bCs/>
          <w:kern w:val="0"/>
          <w:sz w:val="24"/>
          <w:szCs w:val="24"/>
          <w:lang w:val="bg-BG"/>
        </w:rPr>
        <w:t xml:space="preserve"> </w:t>
      </w:r>
      <w:r w:rsidR="00B320DA" w:rsidRPr="005936B2">
        <w:rPr>
          <w:rFonts w:ascii="Book Antiqua" w:eastAsia="宋体" w:hAnsi="Book Antiqua" w:cs="宋体"/>
          <w:bCs/>
          <w:kern w:val="0"/>
          <w:sz w:val="24"/>
          <w:szCs w:val="24"/>
        </w:rPr>
        <w:t>2015</w:t>
      </w:r>
      <w:r w:rsidR="00B320DA" w:rsidRPr="005936B2">
        <w:rPr>
          <w:rFonts w:ascii="Book Antiqua" w:eastAsia="宋体" w:hAnsi="Book Antiqua" w:cs="宋体"/>
          <w:bCs/>
          <w:kern w:val="0"/>
          <w:sz w:val="24"/>
          <w:szCs w:val="24"/>
          <w:lang w:val="bg-BG"/>
        </w:rPr>
        <w:t>;</w:t>
      </w:r>
      <w:r w:rsidR="00B320DA" w:rsidRPr="005936B2">
        <w:rPr>
          <w:rFonts w:ascii="Book Antiqua" w:eastAsia="宋体" w:hAnsi="Book Antiqua" w:cs="宋体"/>
          <w:bCs/>
          <w:kern w:val="0"/>
          <w:sz w:val="24"/>
          <w:szCs w:val="24"/>
        </w:rPr>
        <w:t xml:space="preserve"> </w:t>
      </w:r>
      <w:r w:rsidR="00B320DA" w:rsidRPr="005936B2">
        <w:rPr>
          <w:rFonts w:ascii="Book Antiqua" w:eastAsia="宋体" w:hAnsi="Book Antiqua" w:cs="宋体"/>
          <w:b/>
          <w:bCs/>
          <w:kern w:val="0"/>
          <w:sz w:val="24"/>
          <w:szCs w:val="24"/>
        </w:rPr>
        <w:t>67</w:t>
      </w:r>
      <w:r w:rsidR="00B320DA" w:rsidRPr="005936B2">
        <w:rPr>
          <w:rFonts w:ascii="Book Antiqua" w:eastAsia="宋体" w:hAnsi="Book Antiqua" w:cs="宋体"/>
          <w:bCs/>
          <w:kern w:val="0"/>
          <w:sz w:val="24"/>
          <w:szCs w:val="24"/>
        </w:rPr>
        <w:t>:</w:t>
      </w:r>
      <w:r w:rsidR="00B320DA" w:rsidRPr="005936B2">
        <w:rPr>
          <w:rFonts w:ascii="Book Antiqua" w:eastAsia="宋体" w:hAnsi="Book Antiqua" w:cs="宋体"/>
          <w:bCs/>
          <w:kern w:val="0"/>
          <w:sz w:val="24"/>
          <w:szCs w:val="24"/>
          <w:lang w:val="bg-BG"/>
        </w:rPr>
        <w:t xml:space="preserve"> </w:t>
      </w:r>
      <w:r w:rsidR="00B320DA" w:rsidRPr="005936B2">
        <w:rPr>
          <w:rFonts w:ascii="Book Antiqua" w:eastAsia="宋体" w:hAnsi="Book Antiqua" w:cs="宋体"/>
          <w:bCs/>
          <w:kern w:val="0"/>
          <w:sz w:val="24"/>
          <w:szCs w:val="24"/>
        </w:rPr>
        <w:t>338-</w:t>
      </w:r>
      <w:r w:rsidR="00B320DA" w:rsidRPr="005936B2">
        <w:rPr>
          <w:rFonts w:ascii="Book Antiqua" w:eastAsia="宋体" w:hAnsi="Book Antiqua" w:cs="宋体"/>
          <w:bCs/>
          <w:kern w:val="0"/>
          <w:sz w:val="24"/>
          <w:szCs w:val="24"/>
          <w:lang w:val="bg-BG"/>
        </w:rPr>
        <w:t>3</w:t>
      </w:r>
      <w:r w:rsidR="00B320DA" w:rsidRPr="005936B2">
        <w:rPr>
          <w:rFonts w:ascii="Book Antiqua" w:eastAsia="宋体" w:hAnsi="Book Antiqua" w:cs="宋体"/>
          <w:bCs/>
          <w:kern w:val="0"/>
          <w:sz w:val="24"/>
          <w:szCs w:val="24"/>
        </w:rPr>
        <w:t>50</w:t>
      </w:r>
      <w:r w:rsidR="00B320DA" w:rsidRPr="005936B2">
        <w:rPr>
          <w:rFonts w:ascii="Book Antiqua" w:eastAsia="宋体" w:hAnsi="Book Antiqua" w:cs="宋体"/>
          <w:bCs/>
          <w:kern w:val="0"/>
          <w:sz w:val="24"/>
          <w:szCs w:val="24"/>
          <w:lang w:val="bg-BG"/>
        </w:rPr>
        <w:t xml:space="preserve"> </w:t>
      </w:r>
      <w:r w:rsidR="00B320DA" w:rsidRPr="005936B2">
        <w:rPr>
          <w:rFonts w:ascii="Book Antiqua" w:eastAsia="宋体" w:hAnsi="Book Antiqua" w:cs="宋体"/>
          <w:bCs/>
          <w:kern w:val="0"/>
          <w:sz w:val="24"/>
          <w:szCs w:val="24"/>
        </w:rPr>
        <w:t>[PMID:</w:t>
      </w:r>
      <w:r w:rsidR="00B320DA" w:rsidRPr="005936B2">
        <w:rPr>
          <w:rFonts w:ascii="Book Antiqua" w:eastAsia="宋体" w:hAnsi="Book Antiqua" w:cs="宋体"/>
          <w:bCs/>
          <w:kern w:val="0"/>
          <w:sz w:val="24"/>
          <w:szCs w:val="24"/>
          <w:lang w:val="bg-BG"/>
        </w:rPr>
        <w:t xml:space="preserve"> </w:t>
      </w:r>
      <w:r w:rsidR="00B320DA" w:rsidRPr="005936B2">
        <w:rPr>
          <w:rFonts w:ascii="Book Antiqua" w:eastAsia="宋体" w:hAnsi="Book Antiqua" w:cs="宋体"/>
          <w:bCs/>
          <w:kern w:val="0"/>
          <w:sz w:val="24"/>
          <w:szCs w:val="24"/>
        </w:rPr>
        <w:t>25244672 DOI: 10.1111/jphp.12321]</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199 </w:t>
      </w:r>
      <w:r w:rsidRPr="005936B2">
        <w:rPr>
          <w:rFonts w:ascii="Book Antiqua" w:eastAsia="宋体" w:hAnsi="Book Antiqua" w:cs="宋体"/>
          <w:b/>
          <w:bCs/>
          <w:kern w:val="0"/>
          <w:sz w:val="24"/>
          <w:szCs w:val="24"/>
        </w:rPr>
        <w:t>Kagawa Y</w:t>
      </w:r>
      <w:r w:rsidRPr="005936B2">
        <w:rPr>
          <w:rFonts w:ascii="Book Antiqua" w:eastAsia="宋体" w:hAnsi="Book Antiqua" w:cs="宋体"/>
          <w:kern w:val="0"/>
          <w:sz w:val="24"/>
          <w:szCs w:val="24"/>
        </w:rPr>
        <w:t>, Takasaki S, Utsumi J, Hosoi K, Shimizu H, Kochibe N, Kobata A. Comparative study of the asparagine-linked sugar chains of natural human interferon-beta 1 and recombinant human interferon-beta 1 produced by three different mammalian cells.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1988; </w:t>
      </w:r>
      <w:r w:rsidRPr="005936B2">
        <w:rPr>
          <w:rFonts w:ascii="Book Antiqua" w:eastAsia="宋体" w:hAnsi="Book Antiqua" w:cs="宋体"/>
          <w:b/>
          <w:bCs/>
          <w:kern w:val="0"/>
          <w:sz w:val="24"/>
          <w:szCs w:val="24"/>
        </w:rPr>
        <w:t>263</w:t>
      </w:r>
      <w:r w:rsidRPr="005936B2">
        <w:rPr>
          <w:rFonts w:ascii="Book Antiqua" w:eastAsia="宋体" w:hAnsi="Book Antiqua" w:cs="宋体"/>
          <w:kern w:val="0"/>
          <w:sz w:val="24"/>
          <w:szCs w:val="24"/>
        </w:rPr>
        <w:t>: 17508-17515 [PMID: 3182859]</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200 </w:t>
      </w:r>
      <w:r w:rsidRPr="005936B2">
        <w:rPr>
          <w:rFonts w:ascii="Book Antiqua" w:eastAsia="宋体" w:hAnsi="Book Antiqua" w:cs="宋体"/>
          <w:b/>
          <w:bCs/>
          <w:kern w:val="0"/>
          <w:sz w:val="24"/>
          <w:szCs w:val="24"/>
        </w:rPr>
        <w:t>Goochee CF</w:t>
      </w:r>
      <w:r w:rsidRPr="005936B2">
        <w:rPr>
          <w:rFonts w:ascii="Book Antiqua" w:eastAsia="宋体" w:hAnsi="Book Antiqua" w:cs="宋体"/>
          <w:kern w:val="0"/>
          <w:sz w:val="24"/>
          <w:szCs w:val="24"/>
        </w:rPr>
        <w:t>, Monica T. Environmental effects on protein glycosylation. </w:t>
      </w:r>
      <w:r w:rsidRPr="005936B2">
        <w:rPr>
          <w:rFonts w:ascii="Book Antiqua" w:eastAsia="宋体" w:hAnsi="Book Antiqua" w:cs="宋体"/>
          <w:i/>
          <w:iCs/>
          <w:kern w:val="0"/>
          <w:sz w:val="24"/>
          <w:szCs w:val="24"/>
        </w:rPr>
        <w:t>Biotechnology (N Y)</w:t>
      </w:r>
      <w:r w:rsidRPr="005936B2">
        <w:rPr>
          <w:rFonts w:ascii="Book Antiqua" w:eastAsia="宋体" w:hAnsi="Book Antiqua" w:cs="宋体"/>
          <w:kern w:val="0"/>
          <w:sz w:val="24"/>
          <w:szCs w:val="24"/>
        </w:rPr>
        <w:t> 1990; </w:t>
      </w:r>
      <w:r w:rsidRPr="005936B2">
        <w:rPr>
          <w:rFonts w:ascii="Book Antiqua" w:eastAsia="宋体" w:hAnsi="Book Antiqua" w:cs="宋体"/>
          <w:b/>
          <w:bCs/>
          <w:kern w:val="0"/>
          <w:sz w:val="24"/>
          <w:szCs w:val="24"/>
        </w:rPr>
        <w:t>8</w:t>
      </w:r>
      <w:r w:rsidRPr="005936B2">
        <w:rPr>
          <w:rFonts w:ascii="Book Antiqua" w:eastAsia="宋体" w:hAnsi="Book Antiqua" w:cs="宋体"/>
          <w:kern w:val="0"/>
          <w:sz w:val="24"/>
          <w:szCs w:val="24"/>
        </w:rPr>
        <w:t>: 421-427 [PMID: 1366536 DOI: 10.1038/nbt0590-421]</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201 </w:t>
      </w:r>
      <w:r w:rsidRPr="005936B2">
        <w:rPr>
          <w:rFonts w:ascii="Book Antiqua" w:eastAsia="宋体" w:hAnsi="Book Antiqua" w:cs="宋体"/>
          <w:b/>
          <w:bCs/>
          <w:kern w:val="0"/>
          <w:sz w:val="24"/>
          <w:szCs w:val="24"/>
        </w:rPr>
        <w:t>Cleland JL</w:t>
      </w:r>
      <w:r w:rsidRPr="005936B2">
        <w:rPr>
          <w:rFonts w:ascii="Book Antiqua" w:eastAsia="宋体" w:hAnsi="Book Antiqua" w:cs="宋体"/>
          <w:kern w:val="0"/>
          <w:sz w:val="24"/>
          <w:szCs w:val="24"/>
        </w:rPr>
        <w:t>, Powell MF, Shire SJ. The development of stable protein formulations: a close look at protein aggregation, deamidation, and oxidation. </w:t>
      </w:r>
      <w:r w:rsidRPr="005936B2">
        <w:rPr>
          <w:rFonts w:ascii="Book Antiqua" w:eastAsia="宋体" w:hAnsi="Book Antiqua" w:cs="宋体"/>
          <w:i/>
          <w:iCs/>
          <w:kern w:val="0"/>
          <w:sz w:val="24"/>
          <w:szCs w:val="24"/>
        </w:rPr>
        <w:t>Crit Rev Ther Drug Carrier Syst</w:t>
      </w:r>
      <w:r w:rsidRPr="005936B2">
        <w:rPr>
          <w:rFonts w:ascii="Book Antiqua" w:eastAsia="宋体" w:hAnsi="Book Antiqua" w:cs="宋体"/>
          <w:kern w:val="0"/>
          <w:sz w:val="24"/>
          <w:szCs w:val="24"/>
        </w:rPr>
        <w:t> 1993; </w:t>
      </w:r>
      <w:r w:rsidRPr="005936B2">
        <w:rPr>
          <w:rFonts w:ascii="Book Antiqua" w:eastAsia="宋体" w:hAnsi="Book Antiqua" w:cs="宋体"/>
          <w:b/>
          <w:bCs/>
          <w:kern w:val="0"/>
          <w:sz w:val="24"/>
          <w:szCs w:val="24"/>
        </w:rPr>
        <w:t>10</w:t>
      </w:r>
      <w:r w:rsidRPr="005936B2">
        <w:rPr>
          <w:rFonts w:ascii="Book Antiqua" w:eastAsia="宋体" w:hAnsi="Book Antiqua" w:cs="宋体"/>
          <w:kern w:val="0"/>
          <w:sz w:val="24"/>
          <w:szCs w:val="24"/>
        </w:rPr>
        <w:t>: 307-377 [PMID: 8124728]</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202 </w:t>
      </w:r>
      <w:r w:rsidRPr="005936B2">
        <w:rPr>
          <w:rFonts w:ascii="Book Antiqua" w:eastAsia="宋体" w:hAnsi="Book Antiqua" w:cs="宋体"/>
          <w:b/>
          <w:bCs/>
          <w:kern w:val="0"/>
          <w:sz w:val="24"/>
          <w:szCs w:val="24"/>
        </w:rPr>
        <w:t>Xie M</w:t>
      </w:r>
      <w:r w:rsidRPr="005936B2">
        <w:rPr>
          <w:rFonts w:ascii="Book Antiqua" w:eastAsia="宋体" w:hAnsi="Book Antiqua" w:cs="宋体"/>
          <w:kern w:val="0"/>
          <w:sz w:val="24"/>
          <w:szCs w:val="24"/>
        </w:rPr>
        <w:t xml:space="preserve">, Schowen RL. </w:t>
      </w:r>
      <w:proofErr w:type="gramStart"/>
      <w:r w:rsidRPr="005936B2">
        <w:rPr>
          <w:rFonts w:ascii="Book Antiqua" w:eastAsia="宋体" w:hAnsi="Book Antiqua" w:cs="宋体"/>
          <w:kern w:val="0"/>
          <w:sz w:val="24"/>
          <w:szCs w:val="24"/>
        </w:rPr>
        <w:t>Secondary structure and protein deamidation.</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J Pharm Sci</w:t>
      </w:r>
      <w:r w:rsidRPr="005936B2">
        <w:rPr>
          <w:rFonts w:ascii="Book Antiqua" w:eastAsia="宋体" w:hAnsi="Book Antiqua" w:cs="宋体"/>
          <w:kern w:val="0"/>
          <w:sz w:val="24"/>
          <w:szCs w:val="24"/>
        </w:rPr>
        <w:t> 1999; </w:t>
      </w:r>
      <w:r w:rsidRPr="005936B2">
        <w:rPr>
          <w:rFonts w:ascii="Book Antiqua" w:eastAsia="宋体" w:hAnsi="Book Antiqua" w:cs="宋体"/>
          <w:b/>
          <w:bCs/>
          <w:kern w:val="0"/>
          <w:sz w:val="24"/>
          <w:szCs w:val="24"/>
        </w:rPr>
        <w:t>88</w:t>
      </w:r>
      <w:r w:rsidRPr="005936B2">
        <w:rPr>
          <w:rFonts w:ascii="Book Antiqua" w:eastAsia="宋体" w:hAnsi="Book Antiqua" w:cs="宋体"/>
          <w:kern w:val="0"/>
          <w:sz w:val="24"/>
          <w:szCs w:val="24"/>
        </w:rPr>
        <w:t>: 8-13 [PMID: 9874696 DOI: 10.1021/js9802493]</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203 </w:t>
      </w:r>
      <w:r w:rsidRPr="005936B2">
        <w:rPr>
          <w:rFonts w:ascii="Book Antiqua" w:eastAsia="宋体" w:hAnsi="Book Antiqua" w:cs="宋体"/>
          <w:b/>
          <w:bCs/>
          <w:kern w:val="0"/>
          <w:sz w:val="24"/>
          <w:szCs w:val="24"/>
        </w:rPr>
        <w:t>Lai MC</w:t>
      </w:r>
      <w:r w:rsidRPr="005936B2">
        <w:rPr>
          <w:rFonts w:ascii="Book Antiqua" w:eastAsia="宋体" w:hAnsi="Book Antiqua" w:cs="宋体"/>
          <w:kern w:val="0"/>
          <w:sz w:val="24"/>
          <w:szCs w:val="24"/>
        </w:rPr>
        <w:t xml:space="preserve">, Topp EM. </w:t>
      </w:r>
      <w:proofErr w:type="gramStart"/>
      <w:r w:rsidRPr="005936B2">
        <w:rPr>
          <w:rFonts w:ascii="Book Antiqua" w:eastAsia="宋体" w:hAnsi="Book Antiqua" w:cs="宋体"/>
          <w:kern w:val="0"/>
          <w:sz w:val="24"/>
          <w:szCs w:val="24"/>
        </w:rPr>
        <w:t>Solid-state chemical stability of proteins and peptides.</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J Pharm Sci</w:t>
      </w:r>
      <w:r w:rsidRPr="005936B2">
        <w:rPr>
          <w:rFonts w:ascii="Book Antiqua" w:eastAsia="宋体" w:hAnsi="Book Antiqua" w:cs="宋体"/>
          <w:kern w:val="0"/>
          <w:sz w:val="24"/>
          <w:szCs w:val="24"/>
        </w:rPr>
        <w:t> 1999; </w:t>
      </w:r>
      <w:r w:rsidRPr="005936B2">
        <w:rPr>
          <w:rFonts w:ascii="Book Antiqua" w:eastAsia="宋体" w:hAnsi="Book Antiqua" w:cs="宋体"/>
          <w:b/>
          <w:bCs/>
          <w:kern w:val="0"/>
          <w:sz w:val="24"/>
          <w:szCs w:val="24"/>
        </w:rPr>
        <w:t>88</w:t>
      </w:r>
      <w:r w:rsidRPr="005936B2">
        <w:rPr>
          <w:rFonts w:ascii="Book Antiqua" w:eastAsia="宋体" w:hAnsi="Book Antiqua" w:cs="宋体"/>
          <w:kern w:val="0"/>
          <w:sz w:val="24"/>
          <w:szCs w:val="24"/>
        </w:rPr>
        <w:t>: 489-500 [PMID: 10229638 DOI: 10.1021/js980374e]</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lastRenderedPageBreak/>
        <w:t>204 </w:t>
      </w:r>
      <w:r w:rsidRPr="005936B2">
        <w:rPr>
          <w:rFonts w:ascii="Book Antiqua" w:eastAsia="宋体" w:hAnsi="Book Antiqua" w:cs="宋体"/>
          <w:b/>
          <w:bCs/>
          <w:kern w:val="0"/>
          <w:sz w:val="24"/>
          <w:szCs w:val="24"/>
        </w:rPr>
        <w:t>van Beers MM</w:t>
      </w:r>
      <w:r w:rsidRPr="005936B2">
        <w:rPr>
          <w:rFonts w:ascii="Book Antiqua" w:eastAsia="宋体" w:hAnsi="Book Antiqua" w:cs="宋体"/>
          <w:kern w:val="0"/>
          <w:sz w:val="24"/>
          <w:szCs w:val="24"/>
        </w:rPr>
        <w:t>, Sauerborn M, Gilli F, Brinks V, Schellekens H, Jiskoot W. Oxidized and aggregated recombinant human interferon beta is immunogenic in human interferon beta transgenic mice. </w:t>
      </w:r>
      <w:r w:rsidRPr="005936B2">
        <w:rPr>
          <w:rFonts w:ascii="Book Antiqua" w:eastAsia="宋体" w:hAnsi="Book Antiqua" w:cs="宋体"/>
          <w:i/>
          <w:iCs/>
          <w:kern w:val="0"/>
          <w:sz w:val="24"/>
          <w:szCs w:val="24"/>
        </w:rPr>
        <w:t>Pharm Res</w:t>
      </w:r>
      <w:r w:rsidRPr="005936B2">
        <w:rPr>
          <w:rFonts w:ascii="Book Antiqua" w:eastAsia="宋体" w:hAnsi="Book Antiqua" w:cs="宋体"/>
          <w:kern w:val="0"/>
          <w:sz w:val="24"/>
          <w:szCs w:val="24"/>
        </w:rPr>
        <w:t> 2011; </w:t>
      </w:r>
      <w:r w:rsidRPr="005936B2">
        <w:rPr>
          <w:rFonts w:ascii="Book Antiqua" w:eastAsia="宋体" w:hAnsi="Book Antiqua" w:cs="宋体"/>
          <w:b/>
          <w:bCs/>
          <w:kern w:val="0"/>
          <w:sz w:val="24"/>
          <w:szCs w:val="24"/>
        </w:rPr>
        <w:t>28</w:t>
      </w:r>
      <w:r w:rsidRPr="005936B2">
        <w:rPr>
          <w:rFonts w:ascii="Book Antiqua" w:eastAsia="宋体" w:hAnsi="Book Antiqua" w:cs="宋体"/>
          <w:kern w:val="0"/>
          <w:sz w:val="24"/>
          <w:szCs w:val="24"/>
        </w:rPr>
        <w:t>: 2393-2402 [PMID: 21544687 DOI: 10.1007/s11095-011-0451-4]</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205 </w:t>
      </w:r>
      <w:r w:rsidRPr="005936B2">
        <w:rPr>
          <w:rFonts w:ascii="Book Antiqua" w:eastAsia="宋体" w:hAnsi="Book Antiqua" w:cs="宋体"/>
          <w:b/>
          <w:bCs/>
          <w:kern w:val="0"/>
          <w:sz w:val="24"/>
          <w:szCs w:val="24"/>
        </w:rPr>
        <w:t>Giulivi C</w:t>
      </w:r>
      <w:r w:rsidRPr="005936B2">
        <w:rPr>
          <w:rFonts w:ascii="Book Antiqua" w:eastAsia="宋体" w:hAnsi="Book Antiqua" w:cs="宋体"/>
          <w:kern w:val="0"/>
          <w:sz w:val="24"/>
          <w:szCs w:val="24"/>
        </w:rPr>
        <w:t xml:space="preserve">, Davies KJ. </w:t>
      </w:r>
      <w:proofErr w:type="gramStart"/>
      <w:r w:rsidRPr="005936B2">
        <w:rPr>
          <w:rFonts w:ascii="Book Antiqua" w:eastAsia="宋体" w:hAnsi="Book Antiqua" w:cs="宋体"/>
          <w:kern w:val="0"/>
          <w:sz w:val="24"/>
          <w:szCs w:val="24"/>
        </w:rPr>
        <w:t>Mechanism of the formation and proteolytic release of H2O2-induced dityrosine and tyrosine oxidation products in hemoglobin and red blood cells.</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2001; </w:t>
      </w:r>
      <w:r w:rsidRPr="005936B2">
        <w:rPr>
          <w:rFonts w:ascii="Book Antiqua" w:eastAsia="宋体" w:hAnsi="Book Antiqua" w:cs="宋体"/>
          <w:b/>
          <w:bCs/>
          <w:kern w:val="0"/>
          <w:sz w:val="24"/>
          <w:szCs w:val="24"/>
        </w:rPr>
        <w:t>276</w:t>
      </w:r>
      <w:r w:rsidRPr="005936B2">
        <w:rPr>
          <w:rFonts w:ascii="Book Antiqua" w:eastAsia="宋体" w:hAnsi="Book Antiqua" w:cs="宋体"/>
          <w:kern w:val="0"/>
          <w:sz w:val="24"/>
          <w:szCs w:val="24"/>
        </w:rPr>
        <w:t>: 24129-24136 [PMID: 11294851 DOI: 10.1074/jbc.M010697200]</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206 </w:t>
      </w:r>
      <w:r w:rsidRPr="005936B2">
        <w:rPr>
          <w:rFonts w:ascii="Book Antiqua" w:eastAsia="宋体" w:hAnsi="Book Antiqua" w:cs="宋体"/>
          <w:b/>
          <w:bCs/>
          <w:kern w:val="0"/>
          <w:sz w:val="24"/>
          <w:szCs w:val="24"/>
        </w:rPr>
        <w:t>Mironova R</w:t>
      </w:r>
      <w:r w:rsidRPr="005936B2">
        <w:rPr>
          <w:rFonts w:ascii="Book Antiqua" w:eastAsia="宋体" w:hAnsi="Book Antiqua" w:cs="宋体"/>
          <w:kern w:val="0"/>
          <w:sz w:val="24"/>
          <w:szCs w:val="24"/>
        </w:rPr>
        <w:t>, Niwa T, Hayashi H, Dimitrova R, Ivanov I. Evidence for non-enzymatic glycosylation in Escherichia coli. </w:t>
      </w:r>
      <w:r w:rsidRPr="005936B2">
        <w:rPr>
          <w:rFonts w:ascii="Book Antiqua" w:eastAsia="宋体" w:hAnsi="Book Antiqua" w:cs="宋体"/>
          <w:i/>
          <w:iCs/>
          <w:kern w:val="0"/>
          <w:sz w:val="24"/>
          <w:szCs w:val="24"/>
        </w:rPr>
        <w:t>Mol Microbiol</w:t>
      </w:r>
      <w:r w:rsidRPr="005936B2">
        <w:rPr>
          <w:rFonts w:ascii="Book Antiqua" w:eastAsia="宋体" w:hAnsi="Book Antiqua" w:cs="宋体"/>
          <w:kern w:val="0"/>
          <w:sz w:val="24"/>
          <w:szCs w:val="24"/>
        </w:rPr>
        <w:t> 2001; </w:t>
      </w:r>
      <w:r w:rsidRPr="005936B2">
        <w:rPr>
          <w:rFonts w:ascii="Book Antiqua" w:eastAsia="宋体" w:hAnsi="Book Antiqua" w:cs="宋体"/>
          <w:b/>
          <w:bCs/>
          <w:kern w:val="0"/>
          <w:sz w:val="24"/>
          <w:szCs w:val="24"/>
        </w:rPr>
        <w:t>39</w:t>
      </w:r>
      <w:r w:rsidRPr="005936B2">
        <w:rPr>
          <w:rFonts w:ascii="Book Antiqua" w:eastAsia="宋体" w:hAnsi="Book Antiqua" w:cs="宋体"/>
          <w:kern w:val="0"/>
          <w:sz w:val="24"/>
          <w:szCs w:val="24"/>
        </w:rPr>
        <w:t>: 1061-1068 [PMID: 11251824 DOI: 10.1046/j.1365-2958.2001.02304.x]</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207 </w:t>
      </w:r>
      <w:r w:rsidRPr="005936B2">
        <w:rPr>
          <w:rFonts w:ascii="Book Antiqua" w:eastAsia="宋体" w:hAnsi="Book Antiqua" w:cs="宋体"/>
          <w:b/>
          <w:bCs/>
          <w:kern w:val="0"/>
          <w:sz w:val="24"/>
          <w:szCs w:val="24"/>
        </w:rPr>
        <w:t>Mironova R</w:t>
      </w:r>
      <w:r w:rsidRPr="005936B2">
        <w:rPr>
          <w:rFonts w:ascii="Book Antiqua" w:eastAsia="宋体" w:hAnsi="Book Antiqua" w:cs="宋体"/>
          <w:kern w:val="0"/>
          <w:sz w:val="24"/>
          <w:szCs w:val="24"/>
        </w:rPr>
        <w:t>, Niwa T, Handzhiyski Y, Sredovska A, Ivanov I. Evidence for non-enzymatic glycosylation of Escherichia coli chromosomal DNA. </w:t>
      </w:r>
      <w:r w:rsidRPr="005936B2">
        <w:rPr>
          <w:rFonts w:ascii="Book Antiqua" w:eastAsia="宋体" w:hAnsi="Book Antiqua" w:cs="宋体"/>
          <w:i/>
          <w:iCs/>
          <w:kern w:val="0"/>
          <w:sz w:val="24"/>
          <w:szCs w:val="24"/>
        </w:rPr>
        <w:t>Mol Microbiol</w:t>
      </w:r>
      <w:r w:rsidRPr="005936B2">
        <w:rPr>
          <w:rFonts w:ascii="Book Antiqua" w:eastAsia="宋体" w:hAnsi="Book Antiqua" w:cs="宋体"/>
          <w:kern w:val="0"/>
          <w:sz w:val="24"/>
          <w:szCs w:val="24"/>
        </w:rPr>
        <w:t> 2005; </w:t>
      </w:r>
      <w:r w:rsidRPr="005936B2">
        <w:rPr>
          <w:rFonts w:ascii="Book Antiqua" w:eastAsia="宋体" w:hAnsi="Book Antiqua" w:cs="宋体"/>
          <w:b/>
          <w:bCs/>
          <w:kern w:val="0"/>
          <w:sz w:val="24"/>
          <w:szCs w:val="24"/>
        </w:rPr>
        <w:t>55</w:t>
      </w:r>
      <w:r w:rsidRPr="005936B2">
        <w:rPr>
          <w:rFonts w:ascii="Book Antiqua" w:eastAsia="宋体" w:hAnsi="Book Antiqua" w:cs="宋体"/>
          <w:kern w:val="0"/>
          <w:sz w:val="24"/>
          <w:szCs w:val="24"/>
        </w:rPr>
        <w:t>: 1801-1811 [PMID: 15752201 DOI: 10.1111/j.1365-2958.2005.04504.x]</w:t>
      </w:r>
    </w:p>
    <w:p w:rsidR="007A30DF"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 xml:space="preserve">208 </w:t>
      </w:r>
      <w:r w:rsidRPr="005936B2">
        <w:rPr>
          <w:rFonts w:ascii="Book Antiqua" w:eastAsia="宋体" w:hAnsi="Book Antiqua" w:cs="宋体"/>
          <w:b/>
          <w:kern w:val="0"/>
          <w:sz w:val="24"/>
          <w:szCs w:val="24"/>
        </w:rPr>
        <w:t>Boyanova M</w:t>
      </w:r>
      <w:r w:rsidRPr="005936B2">
        <w:rPr>
          <w:rFonts w:ascii="Book Antiqua" w:eastAsia="宋体" w:hAnsi="Book Antiqua" w:cs="宋体"/>
          <w:kern w:val="0"/>
          <w:sz w:val="24"/>
          <w:szCs w:val="24"/>
        </w:rPr>
        <w:t xml:space="preserve">, Mironova R, Niwa T, Ivanov I. Post-translational Processing of Human Interferon-gamma and Approaches for its Prevention. In: Georgiev VS, Western KA, McGovan, JJ. Infectious Disease. Totowa: Humana Press, 2008: 365-373 </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 xml:space="preserve">209 </w:t>
      </w:r>
      <w:r w:rsidRPr="005936B2">
        <w:rPr>
          <w:rFonts w:ascii="Book Antiqua" w:eastAsia="宋体" w:hAnsi="Book Antiqua" w:cs="宋体"/>
          <w:b/>
          <w:kern w:val="0"/>
          <w:sz w:val="24"/>
          <w:szCs w:val="24"/>
        </w:rPr>
        <w:t>Bozhinov AS</w:t>
      </w:r>
      <w:r w:rsidRPr="005936B2">
        <w:rPr>
          <w:rFonts w:ascii="Book Antiqua" w:eastAsia="宋体" w:hAnsi="Book Antiqua" w:cs="宋体"/>
          <w:kern w:val="0"/>
          <w:sz w:val="24"/>
          <w:szCs w:val="24"/>
        </w:rPr>
        <w:t xml:space="preserve">, Boyanova M, Niwa T, Ivanov I, Mironova R. Evidence for the presence of glycation adducts in protein therapeutics. </w:t>
      </w:r>
      <w:r w:rsidRPr="005936B2">
        <w:rPr>
          <w:rFonts w:ascii="Book Antiqua" w:eastAsia="宋体" w:hAnsi="Book Antiqua" w:cs="宋体"/>
          <w:i/>
          <w:kern w:val="0"/>
          <w:sz w:val="24"/>
          <w:szCs w:val="24"/>
        </w:rPr>
        <w:t xml:space="preserve">Biotechnol Biotechnol Eq </w:t>
      </w:r>
      <w:r w:rsidRPr="005936B2">
        <w:rPr>
          <w:rFonts w:ascii="Book Antiqua" w:eastAsia="宋体" w:hAnsi="Book Antiqua" w:cs="宋体"/>
          <w:kern w:val="0"/>
          <w:sz w:val="24"/>
          <w:szCs w:val="24"/>
        </w:rPr>
        <w:t xml:space="preserve">2010; </w:t>
      </w:r>
      <w:r w:rsidRPr="005936B2">
        <w:rPr>
          <w:rFonts w:ascii="Book Antiqua" w:eastAsia="宋体" w:hAnsi="Book Antiqua" w:cs="宋体"/>
          <w:b/>
          <w:kern w:val="0"/>
          <w:sz w:val="24"/>
          <w:szCs w:val="24"/>
        </w:rPr>
        <w:t>24</w:t>
      </w:r>
      <w:r w:rsidRPr="005936B2">
        <w:rPr>
          <w:rFonts w:ascii="Book Antiqua" w:eastAsia="宋体" w:hAnsi="Book Antiqua" w:cs="宋体"/>
          <w:kern w:val="0"/>
          <w:sz w:val="24"/>
          <w:szCs w:val="24"/>
        </w:rPr>
        <w:t>: 1904-1909 [DOI: 10.2478/v10133-010-0036-0]</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210 </w:t>
      </w:r>
      <w:r w:rsidRPr="005936B2">
        <w:rPr>
          <w:rFonts w:ascii="Book Antiqua" w:eastAsia="宋体" w:hAnsi="Book Antiqua" w:cs="宋体"/>
          <w:b/>
          <w:bCs/>
          <w:kern w:val="0"/>
          <w:sz w:val="24"/>
          <w:szCs w:val="24"/>
        </w:rPr>
        <w:t>Kleinova M</w:t>
      </w:r>
      <w:r w:rsidRPr="005936B2">
        <w:rPr>
          <w:rFonts w:ascii="Book Antiqua" w:eastAsia="宋体" w:hAnsi="Book Antiqua" w:cs="宋体"/>
          <w:kern w:val="0"/>
          <w:sz w:val="24"/>
          <w:szCs w:val="24"/>
        </w:rPr>
        <w:t>, Belgacem O, Pock K, Rizzi A, Buchacher A, Allmaier G. Characterization of cysteinylation of pharmaceutical-grade human serum albumin by electrospray ionization mass spectrometry and low-energy collision-induced dissociation tandem mass spectrometry. </w:t>
      </w:r>
      <w:r w:rsidRPr="005936B2">
        <w:rPr>
          <w:rFonts w:ascii="Book Antiqua" w:eastAsia="宋体" w:hAnsi="Book Antiqua" w:cs="宋体"/>
          <w:i/>
          <w:iCs/>
          <w:kern w:val="0"/>
          <w:sz w:val="24"/>
          <w:szCs w:val="24"/>
        </w:rPr>
        <w:t>Rapid Commun Mass Spectrom</w:t>
      </w:r>
      <w:r w:rsidRPr="005936B2">
        <w:rPr>
          <w:rFonts w:ascii="Book Antiqua" w:eastAsia="宋体" w:hAnsi="Book Antiqua" w:cs="宋体"/>
          <w:kern w:val="0"/>
          <w:sz w:val="24"/>
          <w:szCs w:val="24"/>
        </w:rPr>
        <w:t> 2005; </w:t>
      </w:r>
      <w:r w:rsidRPr="005936B2">
        <w:rPr>
          <w:rFonts w:ascii="Book Antiqua" w:eastAsia="宋体" w:hAnsi="Book Antiqua" w:cs="宋体"/>
          <w:b/>
          <w:bCs/>
          <w:kern w:val="0"/>
          <w:sz w:val="24"/>
          <w:szCs w:val="24"/>
        </w:rPr>
        <w:t>19</w:t>
      </w:r>
      <w:r w:rsidRPr="005936B2">
        <w:rPr>
          <w:rFonts w:ascii="Book Antiqua" w:eastAsia="宋体" w:hAnsi="Book Antiqua" w:cs="宋体"/>
          <w:kern w:val="0"/>
          <w:sz w:val="24"/>
          <w:szCs w:val="24"/>
        </w:rPr>
        <w:t>: 2965-2973 [PMID: 16178042 DOI: 10.1002/rcm.2154]</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211 </w:t>
      </w:r>
      <w:r w:rsidRPr="005936B2">
        <w:rPr>
          <w:rFonts w:ascii="Book Antiqua" w:eastAsia="宋体" w:hAnsi="Book Antiqua" w:cs="宋体"/>
          <w:b/>
          <w:bCs/>
          <w:kern w:val="0"/>
          <w:sz w:val="24"/>
          <w:szCs w:val="24"/>
        </w:rPr>
        <w:t>Bozhinov A</w:t>
      </w:r>
      <w:r w:rsidRPr="005936B2">
        <w:rPr>
          <w:rFonts w:ascii="Book Antiqua" w:eastAsia="宋体" w:hAnsi="Book Antiqua" w:cs="宋体"/>
          <w:kern w:val="0"/>
          <w:sz w:val="24"/>
          <w:szCs w:val="24"/>
        </w:rPr>
        <w:t>, Handzhiyski Y, Genov K, Daskalovska V, Niwa T, Ivanov I, Mironova R. Advanced glycation end products contribute to the immunogenicity of IFN-β pharmaceuticals. </w:t>
      </w:r>
      <w:r w:rsidRPr="005936B2">
        <w:rPr>
          <w:rFonts w:ascii="Book Antiqua" w:eastAsia="宋体" w:hAnsi="Book Antiqua" w:cs="宋体"/>
          <w:i/>
          <w:iCs/>
          <w:kern w:val="0"/>
          <w:sz w:val="24"/>
          <w:szCs w:val="24"/>
        </w:rPr>
        <w:t>J Allergy Clin Immunol</w:t>
      </w:r>
      <w:r w:rsidRPr="005936B2">
        <w:rPr>
          <w:rFonts w:ascii="Book Antiqua" w:eastAsia="宋体" w:hAnsi="Book Antiqua" w:cs="宋体"/>
          <w:kern w:val="0"/>
          <w:sz w:val="24"/>
          <w:szCs w:val="24"/>
        </w:rPr>
        <w:t> 2012; </w:t>
      </w:r>
      <w:r w:rsidRPr="005936B2">
        <w:rPr>
          <w:rFonts w:ascii="Book Antiqua" w:eastAsia="宋体" w:hAnsi="Book Antiqua" w:cs="宋体"/>
          <w:b/>
          <w:bCs/>
          <w:kern w:val="0"/>
          <w:sz w:val="24"/>
          <w:szCs w:val="24"/>
        </w:rPr>
        <w:t>129</w:t>
      </w:r>
      <w:r w:rsidRPr="005936B2">
        <w:rPr>
          <w:rFonts w:ascii="Book Antiqua" w:eastAsia="宋体" w:hAnsi="Book Antiqua" w:cs="宋体"/>
          <w:kern w:val="0"/>
          <w:sz w:val="24"/>
          <w:szCs w:val="24"/>
        </w:rPr>
        <w:t>: 855-858.e6 [PMID: 22154379 DOI: 10.1016/j.jaci.2011.10.035]</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212 </w:t>
      </w:r>
      <w:r w:rsidRPr="005936B2">
        <w:rPr>
          <w:rFonts w:ascii="Book Antiqua" w:eastAsia="宋体" w:hAnsi="Book Antiqua" w:cs="宋体"/>
          <w:b/>
          <w:bCs/>
          <w:kern w:val="0"/>
          <w:sz w:val="24"/>
          <w:szCs w:val="24"/>
        </w:rPr>
        <w:t>Fernández O</w:t>
      </w:r>
      <w:r w:rsidRPr="005936B2">
        <w:rPr>
          <w:rFonts w:ascii="Book Antiqua" w:eastAsia="宋体" w:hAnsi="Book Antiqua" w:cs="宋体"/>
          <w:kern w:val="0"/>
          <w:sz w:val="24"/>
          <w:szCs w:val="24"/>
        </w:rPr>
        <w:t xml:space="preserve">, Mayorga C, Luque G, Guerrero M, Guerrero R, Leyva L, León A, Blanca M. Study of binding and neutralising antibodies to interferon-beta in two </w:t>
      </w:r>
      <w:r w:rsidRPr="005936B2">
        <w:rPr>
          <w:rFonts w:ascii="Book Antiqua" w:eastAsia="宋体" w:hAnsi="Book Antiqua" w:cs="宋体"/>
          <w:kern w:val="0"/>
          <w:sz w:val="24"/>
          <w:szCs w:val="24"/>
        </w:rPr>
        <w:lastRenderedPageBreak/>
        <w:t>groups of relapsing-remitting multiple sclerosis patients. </w:t>
      </w:r>
      <w:r w:rsidRPr="005936B2">
        <w:rPr>
          <w:rFonts w:ascii="Book Antiqua" w:eastAsia="宋体" w:hAnsi="Book Antiqua" w:cs="宋体"/>
          <w:i/>
          <w:iCs/>
          <w:kern w:val="0"/>
          <w:sz w:val="24"/>
          <w:szCs w:val="24"/>
        </w:rPr>
        <w:t>J Neurol</w:t>
      </w:r>
      <w:r w:rsidRPr="005936B2">
        <w:rPr>
          <w:rFonts w:ascii="Book Antiqua" w:eastAsia="宋体" w:hAnsi="Book Antiqua" w:cs="宋体"/>
          <w:kern w:val="0"/>
          <w:sz w:val="24"/>
          <w:szCs w:val="24"/>
        </w:rPr>
        <w:t> 2001; </w:t>
      </w:r>
      <w:r w:rsidRPr="005936B2">
        <w:rPr>
          <w:rFonts w:ascii="Book Antiqua" w:eastAsia="宋体" w:hAnsi="Book Antiqua" w:cs="宋体"/>
          <w:b/>
          <w:bCs/>
          <w:kern w:val="0"/>
          <w:sz w:val="24"/>
          <w:szCs w:val="24"/>
        </w:rPr>
        <w:t>248</w:t>
      </w:r>
      <w:r w:rsidRPr="005936B2">
        <w:rPr>
          <w:rFonts w:ascii="Book Antiqua" w:eastAsia="宋体" w:hAnsi="Book Antiqua" w:cs="宋体"/>
          <w:kern w:val="0"/>
          <w:sz w:val="24"/>
          <w:szCs w:val="24"/>
        </w:rPr>
        <w:t>: 383-388 [PMID: 11437159 DOI: 10.1007/s004150170178]</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213 </w:t>
      </w:r>
      <w:r w:rsidRPr="005936B2">
        <w:rPr>
          <w:rFonts w:ascii="Book Antiqua" w:eastAsia="宋体" w:hAnsi="Book Antiqua" w:cs="宋体"/>
          <w:b/>
          <w:bCs/>
          <w:kern w:val="0"/>
          <w:sz w:val="24"/>
          <w:szCs w:val="24"/>
        </w:rPr>
        <w:t>Bertolotto A</w:t>
      </w:r>
      <w:r w:rsidRPr="005936B2">
        <w:rPr>
          <w:rFonts w:ascii="Book Antiqua" w:eastAsia="宋体" w:hAnsi="Book Antiqua" w:cs="宋体"/>
          <w:kern w:val="0"/>
          <w:sz w:val="24"/>
          <w:szCs w:val="24"/>
        </w:rPr>
        <w:t>, Sala A, Malucchi S, Marnetto F, Caldano M, Di Sapio A, Capobianco M, Gilli F. Biological activity of interferon betas in patients with multiple sclerosis is affected by treatment regimen and neutralising antibodies. </w:t>
      </w:r>
      <w:r w:rsidRPr="005936B2">
        <w:rPr>
          <w:rFonts w:ascii="Book Antiqua" w:eastAsia="宋体" w:hAnsi="Book Antiqua" w:cs="宋体"/>
          <w:i/>
          <w:iCs/>
          <w:kern w:val="0"/>
          <w:sz w:val="24"/>
          <w:szCs w:val="24"/>
        </w:rPr>
        <w:t>J Neurol Neurosurg Psychiatry</w:t>
      </w:r>
      <w:r w:rsidRPr="005936B2">
        <w:rPr>
          <w:rFonts w:ascii="Book Antiqua" w:eastAsia="宋体" w:hAnsi="Book Antiqua" w:cs="宋体"/>
          <w:kern w:val="0"/>
          <w:sz w:val="24"/>
          <w:szCs w:val="24"/>
        </w:rPr>
        <w:t> 2004; </w:t>
      </w:r>
      <w:r w:rsidRPr="005936B2">
        <w:rPr>
          <w:rFonts w:ascii="Book Antiqua" w:eastAsia="宋体" w:hAnsi="Book Antiqua" w:cs="宋体"/>
          <w:b/>
          <w:bCs/>
          <w:kern w:val="0"/>
          <w:sz w:val="24"/>
          <w:szCs w:val="24"/>
        </w:rPr>
        <w:t>75</w:t>
      </w:r>
      <w:r w:rsidRPr="005936B2">
        <w:rPr>
          <w:rFonts w:ascii="Book Antiqua" w:eastAsia="宋体" w:hAnsi="Book Antiqua" w:cs="宋体"/>
          <w:kern w:val="0"/>
          <w:sz w:val="24"/>
          <w:szCs w:val="24"/>
        </w:rPr>
        <w:t>: 1294-1299 [PMID: 15314118 DOI: 10.1136/jnnp.2004.037259]</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214 </w:t>
      </w:r>
      <w:r w:rsidRPr="005936B2">
        <w:rPr>
          <w:rFonts w:ascii="Book Antiqua" w:eastAsia="宋体" w:hAnsi="Book Antiqua" w:cs="宋体"/>
          <w:b/>
          <w:bCs/>
          <w:kern w:val="0"/>
          <w:sz w:val="24"/>
          <w:szCs w:val="24"/>
        </w:rPr>
        <w:t>Bendtzen K</w:t>
      </w:r>
      <w:r w:rsidRPr="005936B2">
        <w:rPr>
          <w:rFonts w:ascii="Book Antiqua" w:eastAsia="宋体" w:hAnsi="Book Antiqua" w:cs="宋体"/>
          <w:kern w:val="0"/>
          <w:sz w:val="24"/>
          <w:szCs w:val="24"/>
        </w:rPr>
        <w:t>. Anti-IFN BAb and NAb antibodies: a minireview. </w:t>
      </w:r>
      <w:r w:rsidRPr="005936B2">
        <w:rPr>
          <w:rFonts w:ascii="Book Antiqua" w:eastAsia="宋体" w:hAnsi="Book Antiqua" w:cs="宋体"/>
          <w:i/>
          <w:iCs/>
          <w:kern w:val="0"/>
          <w:sz w:val="24"/>
          <w:szCs w:val="24"/>
        </w:rPr>
        <w:t>Neurology</w:t>
      </w:r>
      <w:r w:rsidRPr="005936B2">
        <w:rPr>
          <w:rFonts w:ascii="Book Antiqua" w:eastAsia="宋体" w:hAnsi="Book Antiqua" w:cs="宋体"/>
          <w:kern w:val="0"/>
          <w:sz w:val="24"/>
          <w:szCs w:val="24"/>
        </w:rPr>
        <w:t> 2003; </w:t>
      </w:r>
      <w:r w:rsidRPr="005936B2">
        <w:rPr>
          <w:rFonts w:ascii="Book Antiqua" w:eastAsia="宋体" w:hAnsi="Book Antiqua" w:cs="宋体"/>
          <w:b/>
          <w:bCs/>
          <w:kern w:val="0"/>
          <w:sz w:val="24"/>
          <w:szCs w:val="24"/>
        </w:rPr>
        <w:t>61</w:t>
      </w:r>
      <w:r w:rsidRPr="005936B2">
        <w:rPr>
          <w:rFonts w:ascii="Book Antiqua" w:eastAsia="宋体" w:hAnsi="Book Antiqua" w:cs="宋体"/>
          <w:kern w:val="0"/>
          <w:sz w:val="24"/>
          <w:szCs w:val="24"/>
        </w:rPr>
        <w:t>: S6-10 [PMID: 14610102 DOI: 10.1212/01.WNL.0000092357.07278.09]</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215 </w:t>
      </w:r>
      <w:r w:rsidRPr="005936B2">
        <w:rPr>
          <w:rFonts w:ascii="Book Antiqua" w:eastAsia="宋体" w:hAnsi="Book Antiqua" w:cs="宋体"/>
          <w:b/>
          <w:bCs/>
          <w:kern w:val="0"/>
          <w:sz w:val="24"/>
          <w:szCs w:val="24"/>
        </w:rPr>
        <w:t>Pachner AR</w:t>
      </w:r>
      <w:r w:rsidRPr="005936B2">
        <w:rPr>
          <w:rFonts w:ascii="Book Antiqua" w:eastAsia="宋体" w:hAnsi="Book Antiqua" w:cs="宋体"/>
          <w:kern w:val="0"/>
          <w:sz w:val="24"/>
          <w:szCs w:val="24"/>
        </w:rPr>
        <w:t>, Oger J, Palace J. The measurement of antibodies binding to IFNbeta in MS patients treated with IFNbeta. </w:t>
      </w:r>
      <w:r w:rsidRPr="005936B2">
        <w:rPr>
          <w:rFonts w:ascii="Book Antiqua" w:eastAsia="宋体" w:hAnsi="Book Antiqua" w:cs="宋体"/>
          <w:i/>
          <w:iCs/>
          <w:kern w:val="0"/>
          <w:sz w:val="24"/>
          <w:szCs w:val="24"/>
        </w:rPr>
        <w:t>Neurology</w:t>
      </w:r>
      <w:r w:rsidRPr="005936B2">
        <w:rPr>
          <w:rFonts w:ascii="Book Antiqua" w:eastAsia="宋体" w:hAnsi="Book Antiqua" w:cs="宋体"/>
          <w:kern w:val="0"/>
          <w:sz w:val="24"/>
          <w:szCs w:val="24"/>
        </w:rPr>
        <w:t> 2003; </w:t>
      </w:r>
      <w:r w:rsidRPr="005936B2">
        <w:rPr>
          <w:rFonts w:ascii="Book Antiqua" w:eastAsia="宋体" w:hAnsi="Book Antiqua" w:cs="宋体"/>
          <w:b/>
          <w:bCs/>
          <w:kern w:val="0"/>
          <w:sz w:val="24"/>
          <w:szCs w:val="24"/>
        </w:rPr>
        <w:t>61</w:t>
      </w:r>
      <w:r w:rsidRPr="005936B2">
        <w:rPr>
          <w:rFonts w:ascii="Book Antiqua" w:eastAsia="宋体" w:hAnsi="Book Antiqua" w:cs="宋体"/>
          <w:kern w:val="0"/>
          <w:sz w:val="24"/>
          <w:szCs w:val="24"/>
        </w:rPr>
        <w:t>: S18-S20 [PMID: 14610105 DOI: 10.1212/01.WNL.0000092359.93813.92]</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216 </w:t>
      </w:r>
      <w:r w:rsidRPr="005936B2">
        <w:rPr>
          <w:rFonts w:ascii="Book Antiqua" w:eastAsia="宋体" w:hAnsi="Book Antiqua" w:cs="宋体"/>
          <w:b/>
          <w:bCs/>
          <w:kern w:val="0"/>
          <w:sz w:val="24"/>
          <w:szCs w:val="24"/>
        </w:rPr>
        <w:t>Pachner AR</w:t>
      </w:r>
      <w:r w:rsidRPr="005936B2">
        <w:rPr>
          <w:rFonts w:ascii="Book Antiqua" w:eastAsia="宋体" w:hAnsi="Book Antiqua" w:cs="宋体"/>
          <w:kern w:val="0"/>
          <w:sz w:val="24"/>
          <w:szCs w:val="24"/>
        </w:rPr>
        <w:t>.</w:t>
      </w:r>
      <w:proofErr w:type="gramEnd"/>
      <w:r w:rsidRPr="005936B2">
        <w:rPr>
          <w:rFonts w:ascii="Book Antiqua" w:eastAsia="宋体" w:hAnsi="Book Antiqua" w:cs="宋体"/>
          <w:kern w:val="0"/>
          <w:sz w:val="24"/>
          <w:szCs w:val="24"/>
        </w:rPr>
        <w:t xml:space="preserve"> </w:t>
      </w:r>
      <w:proofErr w:type="gramStart"/>
      <w:r w:rsidRPr="005936B2">
        <w:rPr>
          <w:rFonts w:ascii="Book Antiqua" w:eastAsia="宋体" w:hAnsi="Book Antiqua" w:cs="宋体"/>
          <w:kern w:val="0"/>
          <w:sz w:val="24"/>
          <w:szCs w:val="24"/>
        </w:rPr>
        <w:t>An improved ELISA for screening for neutralizing anti-IFN-beta antibodies in MS patients.</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Neurology</w:t>
      </w:r>
      <w:r w:rsidRPr="005936B2">
        <w:rPr>
          <w:rFonts w:ascii="Book Antiqua" w:eastAsia="宋体" w:hAnsi="Book Antiqua" w:cs="宋体"/>
          <w:kern w:val="0"/>
          <w:sz w:val="24"/>
          <w:szCs w:val="24"/>
        </w:rPr>
        <w:t> 2003; </w:t>
      </w:r>
      <w:r w:rsidRPr="005936B2">
        <w:rPr>
          <w:rFonts w:ascii="Book Antiqua" w:eastAsia="宋体" w:hAnsi="Book Antiqua" w:cs="宋体"/>
          <w:b/>
          <w:bCs/>
          <w:kern w:val="0"/>
          <w:sz w:val="24"/>
          <w:szCs w:val="24"/>
        </w:rPr>
        <w:t>61</w:t>
      </w:r>
      <w:r w:rsidRPr="005936B2">
        <w:rPr>
          <w:rFonts w:ascii="Book Antiqua" w:eastAsia="宋体" w:hAnsi="Book Antiqua" w:cs="宋体"/>
          <w:kern w:val="0"/>
          <w:sz w:val="24"/>
          <w:szCs w:val="24"/>
        </w:rPr>
        <w:t>: 1444-1446 [PMID: 14638976 DOI: 10.1212/01.WNL.0000094198.37489.11]</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217 </w:t>
      </w:r>
      <w:r w:rsidRPr="005936B2">
        <w:rPr>
          <w:rFonts w:ascii="Book Antiqua" w:eastAsia="宋体" w:hAnsi="Book Antiqua" w:cs="宋体"/>
          <w:b/>
          <w:bCs/>
          <w:kern w:val="0"/>
          <w:sz w:val="24"/>
          <w:szCs w:val="24"/>
        </w:rPr>
        <w:t>Perini P</w:t>
      </w:r>
      <w:r w:rsidRPr="005936B2">
        <w:rPr>
          <w:rFonts w:ascii="Book Antiqua" w:eastAsia="宋体" w:hAnsi="Book Antiqua" w:cs="宋体"/>
          <w:kern w:val="0"/>
          <w:sz w:val="24"/>
          <w:szCs w:val="24"/>
        </w:rPr>
        <w:t>, Calabrese M, Biasi G, Gallo P. The clinical impact of interferon beta antibodies in relapsing-remitting MS. </w:t>
      </w:r>
      <w:r w:rsidRPr="005936B2">
        <w:rPr>
          <w:rFonts w:ascii="Book Antiqua" w:eastAsia="宋体" w:hAnsi="Book Antiqua" w:cs="宋体"/>
          <w:i/>
          <w:iCs/>
          <w:kern w:val="0"/>
          <w:sz w:val="24"/>
          <w:szCs w:val="24"/>
        </w:rPr>
        <w:t>J Neurol</w:t>
      </w:r>
      <w:r w:rsidRPr="005936B2">
        <w:rPr>
          <w:rFonts w:ascii="Book Antiqua" w:eastAsia="宋体" w:hAnsi="Book Antiqua" w:cs="宋体"/>
          <w:kern w:val="0"/>
          <w:sz w:val="24"/>
          <w:szCs w:val="24"/>
        </w:rPr>
        <w:t> 2004; </w:t>
      </w:r>
      <w:r w:rsidRPr="005936B2">
        <w:rPr>
          <w:rFonts w:ascii="Book Antiqua" w:eastAsia="宋体" w:hAnsi="Book Antiqua" w:cs="宋体"/>
          <w:b/>
          <w:bCs/>
          <w:kern w:val="0"/>
          <w:sz w:val="24"/>
          <w:szCs w:val="24"/>
        </w:rPr>
        <w:t>251</w:t>
      </w:r>
      <w:r w:rsidRPr="005936B2">
        <w:rPr>
          <w:rFonts w:ascii="Book Antiqua" w:eastAsia="宋体" w:hAnsi="Book Antiqua" w:cs="宋体"/>
          <w:kern w:val="0"/>
          <w:sz w:val="24"/>
          <w:szCs w:val="24"/>
        </w:rPr>
        <w:t>: 305-309 [PMID: 15015010 DOI: 10.1007/s00415-004-0312-8]</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218 </w:t>
      </w:r>
      <w:r w:rsidRPr="005936B2">
        <w:rPr>
          <w:rFonts w:ascii="Book Antiqua" w:eastAsia="宋体" w:hAnsi="Book Antiqua" w:cs="宋体"/>
          <w:b/>
          <w:bCs/>
          <w:kern w:val="0"/>
          <w:sz w:val="24"/>
          <w:szCs w:val="24"/>
        </w:rPr>
        <w:t>Borg FA</w:t>
      </w:r>
      <w:r w:rsidRPr="005936B2">
        <w:rPr>
          <w:rFonts w:ascii="Book Antiqua" w:eastAsia="宋体" w:hAnsi="Book Antiqua" w:cs="宋体"/>
          <w:kern w:val="0"/>
          <w:sz w:val="24"/>
          <w:szCs w:val="24"/>
        </w:rPr>
        <w:t xml:space="preserve">, Isenberg DA. </w:t>
      </w:r>
      <w:proofErr w:type="gramStart"/>
      <w:r w:rsidRPr="005936B2">
        <w:rPr>
          <w:rFonts w:ascii="Book Antiqua" w:eastAsia="宋体" w:hAnsi="Book Antiqua" w:cs="宋体"/>
          <w:kern w:val="0"/>
          <w:sz w:val="24"/>
          <w:szCs w:val="24"/>
        </w:rPr>
        <w:t>Syndromes and complications of interferon therapy.</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Curr Opin Rheumatol</w:t>
      </w:r>
      <w:r w:rsidRPr="005936B2">
        <w:rPr>
          <w:rFonts w:ascii="Book Antiqua" w:eastAsia="宋体" w:hAnsi="Book Antiqua" w:cs="宋体"/>
          <w:kern w:val="0"/>
          <w:sz w:val="24"/>
          <w:szCs w:val="24"/>
        </w:rPr>
        <w:t> 2007; </w:t>
      </w:r>
      <w:r w:rsidRPr="005936B2">
        <w:rPr>
          <w:rFonts w:ascii="Book Antiqua" w:eastAsia="宋体" w:hAnsi="Book Antiqua" w:cs="宋体"/>
          <w:b/>
          <w:bCs/>
          <w:kern w:val="0"/>
          <w:sz w:val="24"/>
          <w:szCs w:val="24"/>
        </w:rPr>
        <w:t>19</w:t>
      </w:r>
      <w:r w:rsidRPr="005936B2">
        <w:rPr>
          <w:rFonts w:ascii="Book Antiqua" w:eastAsia="宋体" w:hAnsi="Book Antiqua" w:cs="宋体"/>
          <w:kern w:val="0"/>
          <w:sz w:val="24"/>
          <w:szCs w:val="24"/>
        </w:rPr>
        <w:t>: 61-66 [PMID: 17143098 DOI: 10.1097/BOR.0b013e328010c547]</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219 </w:t>
      </w:r>
      <w:r w:rsidRPr="005936B2">
        <w:rPr>
          <w:rFonts w:ascii="Book Antiqua" w:eastAsia="宋体" w:hAnsi="Book Antiqua" w:cs="宋体"/>
          <w:b/>
          <w:bCs/>
          <w:kern w:val="0"/>
          <w:sz w:val="24"/>
          <w:szCs w:val="24"/>
        </w:rPr>
        <w:t>Marrie RA</w:t>
      </w:r>
      <w:r w:rsidRPr="005936B2">
        <w:rPr>
          <w:rFonts w:ascii="Book Antiqua" w:eastAsia="宋体" w:hAnsi="Book Antiqua" w:cs="宋体"/>
          <w:kern w:val="0"/>
          <w:sz w:val="24"/>
          <w:szCs w:val="24"/>
        </w:rPr>
        <w:t>, Rudick RA. Drug Insight: interferon treatment in multiple sclerosis. </w:t>
      </w:r>
      <w:r w:rsidRPr="005936B2">
        <w:rPr>
          <w:rFonts w:ascii="Book Antiqua" w:eastAsia="宋体" w:hAnsi="Book Antiqua" w:cs="宋体"/>
          <w:i/>
          <w:iCs/>
          <w:kern w:val="0"/>
          <w:sz w:val="24"/>
          <w:szCs w:val="24"/>
        </w:rPr>
        <w:t>Nat Clin Pract Neurol</w:t>
      </w:r>
      <w:r w:rsidRPr="005936B2">
        <w:rPr>
          <w:rFonts w:ascii="Book Antiqua" w:eastAsia="宋体" w:hAnsi="Book Antiqua" w:cs="宋体"/>
          <w:kern w:val="0"/>
          <w:sz w:val="24"/>
          <w:szCs w:val="24"/>
        </w:rPr>
        <w:t> 2006; </w:t>
      </w:r>
      <w:r w:rsidRPr="005936B2">
        <w:rPr>
          <w:rFonts w:ascii="Book Antiqua" w:eastAsia="宋体" w:hAnsi="Book Antiqua" w:cs="宋体"/>
          <w:b/>
          <w:bCs/>
          <w:kern w:val="0"/>
          <w:sz w:val="24"/>
          <w:szCs w:val="24"/>
        </w:rPr>
        <w:t>2</w:t>
      </w:r>
      <w:r w:rsidRPr="005936B2">
        <w:rPr>
          <w:rFonts w:ascii="Book Antiqua" w:eastAsia="宋体" w:hAnsi="Book Antiqua" w:cs="宋体"/>
          <w:kern w:val="0"/>
          <w:sz w:val="24"/>
          <w:szCs w:val="24"/>
        </w:rPr>
        <w:t>: 34-44 [PMID: 16932519 DOI: 10.1038/ncpneuro0088]</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220 </w:t>
      </w:r>
      <w:r w:rsidRPr="005936B2">
        <w:rPr>
          <w:rFonts w:ascii="Book Antiqua" w:eastAsia="宋体" w:hAnsi="Book Antiqua" w:cs="宋体"/>
          <w:b/>
          <w:bCs/>
          <w:kern w:val="0"/>
          <w:sz w:val="24"/>
          <w:szCs w:val="24"/>
        </w:rPr>
        <w:t>Gilli F</w:t>
      </w:r>
      <w:r w:rsidRPr="005936B2">
        <w:rPr>
          <w:rFonts w:ascii="Book Antiqua" w:eastAsia="宋体" w:hAnsi="Book Antiqua" w:cs="宋体"/>
          <w:kern w:val="0"/>
          <w:sz w:val="24"/>
          <w:szCs w:val="24"/>
        </w:rPr>
        <w:t>, Marnetto F, Caldano M, Sala A, Malucchi S, Capobianco M, Bertolotto A. Biological markers of interferon-beta therapy: comparison among interferon-stimulated genes MxA, TRAIL and XAF-1. </w:t>
      </w:r>
      <w:r w:rsidRPr="005936B2">
        <w:rPr>
          <w:rFonts w:ascii="Book Antiqua" w:eastAsia="宋体" w:hAnsi="Book Antiqua" w:cs="宋体"/>
          <w:i/>
          <w:iCs/>
          <w:kern w:val="0"/>
          <w:sz w:val="24"/>
          <w:szCs w:val="24"/>
        </w:rPr>
        <w:t>Mult Scler</w:t>
      </w:r>
      <w:r w:rsidRPr="005936B2">
        <w:rPr>
          <w:rFonts w:ascii="Book Antiqua" w:eastAsia="宋体" w:hAnsi="Book Antiqua" w:cs="宋体"/>
          <w:kern w:val="0"/>
          <w:sz w:val="24"/>
          <w:szCs w:val="24"/>
        </w:rPr>
        <w:t> 2006; </w:t>
      </w:r>
      <w:r w:rsidRPr="005936B2">
        <w:rPr>
          <w:rFonts w:ascii="Book Antiqua" w:eastAsia="宋体" w:hAnsi="Book Antiqua" w:cs="宋体"/>
          <w:b/>
          <w:bCs/>
          <w:kern w:val="0"/>
          <w:sz w:val="24"/>
          <w:szCs w:val="24"/>
        </w:rPr>
        <w:t>12</w:t>
      </w:r>
      <w:r w:rsidRPr="005936B2">
        <w:rPr>
          <w:rFonts w:ascii="Book Antiqua" w:eastAsia="宋体" w:hAnsi="Book Antiqua" w:cs="宋体"/>
          <w:kern w:val="0"/>
          <w:sz w:val="24"/>
          <w:szCs w:val="24"/>
        </w:rPr>
        <w:t>: 47-57 [PMID: 16459719 DOI: 10.1191/135248506ms1245oa]</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221 </w:t>
      </w:r>
      <w:r w:rsidRPr="005936B2">
        <w:rPr>
          <w:rFonts w:ascii="Book Antiqua" w:eastAsia="宋体" w:hAnsi="Book Antiqua" w:cs="宋体"/>
          <w:b/>
          <w:bCs/>
          <w:kern w:val="0"/>
          <w:sz w:val="24"/>
          <w:szCs w:val="24"/>
        </w:rPr>
        <w:t>Kivisäkk P</w:t>
      </w:r>
      <w:r w:rsidRPr="005936B2">
        <w:rPr>
          <w:rFonts w:ascii="Book Antiqua" w:eastAsia="宋体" w:hAnsi="Book Antiqua" w:cs="宋体"/>
          <w:kern w:val="0"/>
          <w:sz w:val="24"/>
          <w:szCs w:val="24"/>
        </w:rPr>
        <w:t xml:space="preserve">, Alm GV, Tian WZ, Matusevicius D, Fredrikson S, Link H. Neutralising and binding anti-interferon-beta-I b (IFN-beta-I b) antibodies during </w:t>
      </w:r>
      <w:r w:rsidRPr="005936B2">
        <w:rPr>
          <w:rFonts w:ascii="Book Antiqua" w:eastAsia="宋体" w:hAnsi="Book Antiqua" w:cs="宋体"/>
          <w:kern w:val="0"/>
          <w:sz w:val="24"/>
          <w:szCs w:val="24"/>
        </w:rPr>
        <w:lastRenderedPageBreak/>
        <w:t>IFN-beta-I b treatment of multiple sclerosis. </w:t>
      </w:r>
      <w:r w:rsidRPr="005936B2">
        <w:rPr>
          <w:rFonts w:ascii="Book Antiqua" w:eastAsia="宋体" w:hAnsi="Book Antiqua" w:cs="宋体"/>
          <w:i/>
          <w:iCs/>
          <w:kern w:val="0"/>
          <w:sz w:val="24"/>
          <w:szCs w:val="24"/>
        </w:rPr>
        <w:t>Mult Scler</w:t>
      </w:r>
      <w:r w:rsidRPr="005936B2">
        <w:rPr>
          <w:rFonts w:ascii="Book Antiqua" w:eastAsia="宋体" w:hAnsi="Book Antiqua" w:cs="宋体"/>
          <w:kern w:val="0"/>
          <w:sz w:val="24"/>
          <w:szCs w:val="24"/>
        </w:rPr>
        <w:t> 1997; </w:t>
      </w:r>
      <w:r w:rsidRPr="005936B2">
        <w:rPr>
          <w:rFonts w:ascii="Book Antiqua" w:eastAsia="宋体" w:hAnsi="Book Antiqua" w:cs="宋体"/>
          <w:b/>
          <w:bCs/>
          <w:kern w:val="0"/>
          <w:sz w:val="24"/>
          <w:szCs w:val="24"/>
        </w:rPr>
        <w:t>3</w:t>
      </w:r>
      <w:r w:rsidRPr="005936B2">
        <w:rPr>
          <w:rFonts w:ascii="Book Antiqua" w:eastAsia="宋体" w:hAnsi="Book Antiqua" w:cs="宋体"/>
          <w:kern w:val="0"/>
          <w:sz w:val="24"/>
          <w:szCs w:val="24"/>
        </w:rPr>
        <w:t>: 184-190 [PMID: 9310964 DOI: 10.1177/135245859700300303]</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222 </w:t>
      </w:r>
      <w:r w:rsidRPr="005936B2">
        <w:rPr>
          <w:rFonts w:ascii="Book Antiqua" w:eastAsia="宋体" w:hAnsi="Book Antiqua" w:cs="宋体"/>
          <w:b/>
          <w:bCs/>
          <w:kern w:val="0"/>
          <w:sz w:val="24"/>
          <w:szCs w:val="24"/>
        </w:rPr>
        <w:t>Rudick RA</w:t>
      </w:r>
      <w:r w:rsidRPr="005936B2">
        <w:rPr>
          <w:rFonts w:ascii="Book Antiqua" w:eastAsia="宋体" w:hAnsi="Book Antiqua" w:cs="宋体"/>
          <w:kern w:val="0"/>
          <w:sz w:val="24"/>
          <w:szCs w:val="24"/>
        </w:rPr>
        <w:t>, Simonian NA, Alam JA, Campion M, Scaramucci JO, Jones W, Coats ME, Goodkin DE, Weinstock-Guttman B, Herndon RM, Mass MK, Richert JR, Salazar AM, Munschauer FE, Cookfair DL, Simon JH, Jacobs LD. Incidence and significance of neutralizing antibodies to interferon beta-1a in multiple sclerosis. Multiple Sclerosis Collaborative Research Group (MSCRG) </w:t>
      </w:r>
      <w:r w:rsidRPr="005936B2">
        <w:rPr>
          <w:rFonts w:ascii="Book Antiqua" w:eastAsia="宋体" w:hAnsi="Book Antiqua" w:cs="宋体"/>
          <w:i/>
          <w:iCs/>
          <w:kern w:val="0"/>
          <w:sz w:val="24"/>
          <w:szCs w:val="24"/>
        </w:rPr>
        <w:t>Neurology</w:t>
      </w:r>
      <w:r w:rsidRPr="005936B2">
        <w:rPr>
          <w:rFonts w:ascii="Book Antiqua" w:eastAsia="宋体" w:hAnsi="Book Antiqua" w:cs="宋体"/>
          <w:kern w:val="0"/>
          <w:sz w:val="24"/>
          <w:szCs w:val="24"/>
        </w:rPr>
        <w:t> 1998; </w:t>
      </w:r>
      <w:r w:rsidRPr="005936B2">
        <w:rPr>
          <w:rFonts w:ascii="Book Antiqua" w:eastAsia="宋体" w:hAnsi="Book Antiqua" w:cs="宋体"/>
          <w:b/>
          <w:bCs/>
          <w:kern w:val="0"/>
          <w:sz w:val="24"/>
          <w:szCs w:val="24"/>
        </w:rPr>
        <w:t>50</w:t>
      </w:r>
      <w:r w:rsidRPr="005936B2">
        <w:rPr>
          <w:rFonts w:ascii="Book Antiqua" w:eastAsia="宋体" w:hAnsi="Book Antiqua" w:cs="宋体"/>
          <w:kern w:val="0"/>
          <w:sz w:val="24"/>
          <w:szCs w:val="24"/>
        </w:rPr>
        <w:t>: 1266-1272 [PMID: 9595973 DOI: 10.1212/WNL.50.5.1266]</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223 </w:t>
      </w:r>
      <w:r w:rsidRPr="005936B2">
        <w:rPr>
          <w:rFonts w:ascii="Book Antiqua" w:eastAsia="宋体" w:hAnsi="Book Antiqua" w:cs="宋体"/>
          <w:b/>
          <w:bCs/>
          <w:kern w:val="0"/>
          <w:sz w:val="24"/>
          <w:szCs w:val="24"/>
        </w:rPr>
        <w:t>Creeke PI</w:t>
      </w:r>
      <w:r w:rsidRPr="005936B2">
        <w:rPr>
          <w:rFonts w:ascii="Book Antiqua" w:eastAsia="宋体" w:hAnsi="Book Antiqua" w:cs="宋体"/>
          <w:kern w:val="0"/>
          <w:sz w:val="24"/>
          <w:szCs w:val="24"/>
        </w:rPr>
        <w:t xml:space="preserve">, Farrell RA. </w:t>
      </w:r>
      <w:proofErr w:type="gramStart"/>
      <w:r w:rsidRPr="005936B2">
        <w:rPr>
          <w:rFonts w:ascii="Book Antiqua" w:eastAsia="宋体" w:hAnsi="Book Antiqua" w:cs="宋体"/>
          <w:kern w:val="0"/>
          <w:sz w:val="24"/>
          <w:szCs w:val="24"/>
        </w:rPr>
        <w:t>Clinical testing for neutralizing antibodies to interferon-β in multiple sclerosis.</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Ther Adv Neurol Disord</w:t>
      </w:r>
      <w:r w:rsidRPr="005936B2">
        <w:rPr>
          <w:rFonts w:ascii="Book Antiqua" w:eastAsia="宋体" w:hAnsi="Book Antiqua" w:cs="宋体"/>
          <w:kern w:val="0"/>
          <w:sz w:val="24"/>
          <w:szCs w:val="24"/>
        </w:rPr>
        <w:t> 2013; </w:t>
      </w:r>
      <w:r w:rsidRPr="005936B2">
        <w:rPr>
          <w:rFonts w:ascii="Book Antiqua" w:eastAsia="宋体" w:hAnsi="Book Antiqua" w:cs="宋体"/>
          <w:b/>
          <w:bCs/>
          <w:kern w:val="0"/>
          <w:sz w:val="24"/>
          <w:szCs w:val="24"/>
        </w:rPr>
        <w:t>6</w:t>
      </w:r>
      <w:r w:rsidRPr="005936B2">
        <w:rPr>
          <w:rFonts w:ascii="Book Antiqua" w:eastAsia="宋体" w:hAnsi="Book Antiqua" w:cs="宋体"/>
          <w:kern w:val="0"/>
          <w:sz w:val="24"/>
          <w:szCs w:val="24"/>
        </w:rPr>
        <w:t>: 3-17 [PMID: 23277789 DOI: 10.1177/1756285612469264]</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224 </w:t>
      </w:r>
      <w:r w:rsidRPr="005936B2">
        <w:rPr>
          <w:rFonts w:ascii="Book Antiqua" w:eastAsia="宋体" w:hAnsi="Book Antiqua" w:cs="宋体"/>
          <w:b/>
          <w:bCs/>
          <w:kern w:val="0"/>
          <w:sz w:val="24"/>
          <w:szCs w:val="24"/>
        </w:rPr>
        <w:t>Grossberg SE</w:t>
      </w:r>
      <w:r w:rsidRPr="005936B2">
        <w:rPr>
          <w:rFonts w:ascii="Book Antiqua" w:eastAsia="宋体" w:hAnsi="Book Antiqua" w:cs="宋体"/>
          <w:kern w:val="0"/>
          <w:sz w:val="24"/>
          <w:szCs w:val="24"/>
        </w:rPr>
        <w:t xml:space="preserve">, Oger J, Grossberg LD, Gehchan A, Klein JP. </w:t>
      </w:r>
      <w:proofErr w:type="gramStart"/>
      <w:r w:rsidRPr="005936B2">
        <w:rPr>
          <w:rFonts w:ascii="Book Antiqua" w:eastAsia="宋体" w:hAnsi="Book Antiqua" w:cs="宋体"/>
          <w:kern w:val="0"/>
          <w:sz w:val="24"/>
          <w:szCs w:val="24"/>
        </w:rPr>
        <w:t>Frequency and magnitude of interferon β neutralizing antibodies in the evaluation of interferon β immunogenicity in patients with multiple sclerosis.</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J Interferon Cytokine Res</w:t>
      </w:r>
      <w:r w:rsidRPr="005936B2">
        <w:rPr>
          <w:rFonts w:ascii="Book Antiqua" w:eastAsia="宋体" w:hAnsi="Book Antiqua" w:cs="宋体"/>
          <w:kern w:val="0"/>
          <w:sz w:val="24"/>
          <w:szCs w:val="24"/>
        </w:rPr>
        <w:t> 2011; </w:t>
      </w:r>
      <w:r w:rsidRPr="005936B2">
        <w:rPr>
          <w:rFonts w:ascii="Book Antiqua" w:eastAsia="宋体" w:hAnsi="Book Antiqua" w:cs="宋体"/>
          <w:b/>
          <w:bCs/>
          <w:kern w:val="0"/>
          <w:sz w:val="24"/>
          <w:szCs w:val="24"/>
        </w:rPr>
        <w:t>31</w:t>
      </w:r>
      <w:r w:rsidRPr="005936B2">
        <w:rPr>
          <w:rFonts w:ascii="Book Antiqua" w:eastAsia="宋体" w:hAnsi="Book Antiqua" w:cs="宋体"/>
          <w:kern w:val="0"/>
          <w:sz w:val="24"/>
          <w:szCs w:val="24"/>
        </w:rPr>
        <w:t>: 337-344 [PMID: 21226608 DOI: 10.1089/jir.2010.0038]</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225 </w:t>
      </w:r>
      <w:r w:rsidRPr="005936B2">
        <w:rPr>
          <w:rFonts w:ascii="Book Antiqua" w:eastAsia="宋体" w:hAnsi="Book Antiqua" w:cs="宋体"/>
          <w:b/>
          <w:bCs/>
          <w:kern w:val="0"/>
          <w:sz w:val="24"/>
          <w:szCs w:val="24"/>
        </w:rPr>
        <w:t>Jensen PE</w:t>
      </w:r>
      <w:r w:rsidRPr="005936B2">
        <w:rPr>
          <w:rFonts w:ascii="Book Antiqua" w:eastAsia="宋体" w:hAnsi="Book Antiqua" w:cs="宋体"/>
          <w:kern w:val="0"/>
          <w:sz w:val="24"/>
          <w:szCs w:val="24"/>
        </w:rPr>
        <w:t>, Sellebjerg F, Søndergaard HB, Sørensen PS. Correlation between anti-interferon-β binding and neutralizing antibodies in interferon-β-treated multiple sclerosis patients. </w:t>
      </w:r>
      <w:r w:rsidRPr="005936B2">
        <w:rPr>
          <w:rFonts w:ascii="Book Antiqua" w:eastAsia="宋体" w:hAnsi="Book Antiqua" w:cs="宋体"/>
          <w:i/>
          <w:iCs/>
          <w:kern w:val="0"/>
          <w:sz w:val="24"/>
          <w:szCs w:val="24"/>
        </w:rPr>
        <w:t>Eur J Neurol</w:t>
      </w:r>
      <w:r w:rsidRPr="005936B2">
        <w:rPr>
          <w:rFonts w:ascii="Book Antiqua" w:eastAsia="宋体" w:hAnsi="Book Antiqua" w:cs="宋体"/>
          <w:kern w:val="0"/>
          <w:sz w:val="24"/>
          <w:szCs w:val="24"/>
        </w:rPr>
        <w:t> 2012; </w:t>
      </w:r>
      <w:r w:rsidRPr="005936B2">
        <w:rPr>
          <w:rFonts w:ascii="Book Antiqua" w:eastAsia="宋体" w:hAnsi="Book Antiqua" w:cs="宋体"/>
          <w:b/>
          <w:bCs/>
          <w:kern w:val="0"/>
          <w:sz w:val="24"/>
          <w:szCs w:val="24"/>
        </w:rPr>
        <w:t>19</w:t>
      </w:r>
      <w:r w:rsidRPr="005936B2">
        <w:rPr>
          <w:rFonts w:ascii="Book Antiqua" w:eastAsia="宋体" w:hAnsi="Book Antiqua" w:cs="宋体"/>
          <w:kern w:val="0"/>
          <w:sz w:val="24"/>
          <w:szCs w:val="24"/>
        </w:rPr>
        <w:t>: 1311-1317 [PMID: 22564111 DOI: 10.1111/j.1468-1331.2012.03721.x]</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226 </w:t>
      </w:r>
      <w:r w:rsidRPr="005936B2">
        <w:rPr>
          <w:rFonts w:ascii="Book Antiqua" w:eastAsia="宋体" w:hAnsi="Book Antiqua" w:cs="宋体"/>
          <w:b/>
          <w:bCs/>
          <w:kern w:val="0"/>
          <w:sz w:val="24"/>
          <w:szCs w:val="24"/>
        </w:rPr>
        <w:t>Zare N</w:t>
      </w:r>
      <w:r w:rsidRPr="005936B2">
        <w:rPr>
          <w:rFonts w:ascii="Book Antiqua" w:eastAsia="宋体" w:hAnsi="Book Antiqua" w:cs="宋体"/>
          <w:kern w:val="0"/>
          <w:sz w:val="24"/>
          <w:szCs w:val="24"/>
        </w:rPr>
        <w:t>, Zarkesh-Esfahani SH, Gharagozloo M, Shaygannejad V. Antibodies to interferon beta in patients with multiple sclerosis receiving CinnoVex, rebif, and betaferon. </w:t>
      </w:r>
      <w:r w:rsidRPr="005936B2">
        <w:rPr>
          <w:rFonts w:ascii="Book Antiqua" w:eastAsia="宋体" w:hAnsi="Book Antiqua" w:cs="宋体"/>
          <w:i/>
          <w:iCs/>
          <w:kern w:val="0"/>
          <w:sz w:val="24"/>
          <w:szCs w:val="24"/>
        </w:rPr>
        <w:t>J Korean Med Sci</w:t>
      </w:r>
      <w:r w:rsidRPr="005936B2">
        <w:rPr>
          <w:rFonts w:ascii="Book Antiqua" w:eastAsia="宋体" w:hAnsi="Book Antiqua" w:cs="宋体"/>
          <w:kern w:val="0"/>
          <w:sz w:val="24"/>
          <w:szCs w:val="24"/>
        </w:rPr>
        <w:t> 2013; </w:t>
      </w:r>
      <w:r w:rsidRPr="005936B2">
        <w:rPr>
          <w:rFonts w:ascii="Book Antiqua" w:eastAsia="宋体" w:hAnsi="Book Antiqua" w:cs="宋体"/>
          <w:b/>
          <w:bCs/>
          <w:kern w:val="0"/>
          <w:sz w:val="24"/>
          <w:szCs w:val="24"/>
        </w:rPr>
        <w:t>28</w:t>
      </w:r>
      <w:r w:rsidRPr="005936B2">
        <w:rPr>
          <w:rFonts w:ascii="Book Antiqua" w:eastAsia="宋体" w:hAnsi="Book Antiqua" w:cs="宋体"/>
          <w:kern w:val="0"/>
          <w:sz w:val="24"/>
          <w:szCs w:val="24"/>
        </w:rPr>
        <w:t>: 1801-1806 [PMID: 24339712 DOI: 10.3346/jkms.2013.28.12.1801]</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227 </w:t>
      </w:r>
      <w:r w:rsidRPr="005936B2">
        <w:rPr>
          <w:rFonts w:ascii="Book Antiqua" w:eastAsia="宋体" w:hAnsi="Book Antiqua" w:cs="宋体"/>
          <w:b/>
          <w:bCs/>
          <w:kern w:val="0"/>
          <w:sz w:val="24"/>
          <w:szCs w:val="24"/>
        </w:rPr>
        <w:t>Gibbs E</w:t>
      </w:r>
      <w:r w:rsidRPr="005936B2">
        <w:rPr>
          <w:rFonts w:ascii="Book Antiqua" w:eastAsia="宋体" w:hAnsi="Book Antiqua" w:cs="宋体"/>
          <w:kern w:val="0"/>
          <w:sz w:val="24"/>
          <w:szCs w:val="24"/>
        </w:rPr>
        <w:t>, Karim ME, Oger J. Antibody dissociation rates are predictive of neutralizing antibody (NAb) course: a comparison of interferon beta-1b-treated Multiple Sclerosis (MS) patients with transient versus sustained NAbs. </w:t>
      </w:r>
      <w:r w:rsidRPr="005936B2">
        <w:rPr>
          <w:rFonts w:ascii="Book Antiqua" w:eastAsia="宋体" w:hAnsi="Book Antiqua" w:cs="宋体"/>
          <w:i/>
          <w:iCs/>
          <w:kern w:val="0"/>
          <w:sz w:val="24"/>
          <w:szCs w:val="24"/>
        </w:rPr>
        <w:t>Clin Immunol</w:t>
      </w:r>
      <w:r w:rsidRPr="005936B2">
        <w:rPr>
          <w:rFonts w:ascii="Book Antiqua" w:eastAsia="宋体" w:hAnsi="Book Antiqua" w:cs="宋体"/>
          <w:kern w:val="0"/>
          <w:sz w:val="24"/>
          <w:szCs w:val="24"/>
        </w:rPr>
        <w:t> 2015; </w:t>
      </w:r>
      <w:r w:rsidRPr="005936B2">
        <w:rPr>
          <w:rFonts w:ascii="Book Antiqua" w:eastAsia="宋体" w:hAnsi="Book Antiqua" w:cs="宋体"/>
          <w:b/>
          <w:bCs/>
          <w:kern w:val="0"/>
          <w:sz w:val="24"/>
          <w:szCs w:val="24"/>
        </w:rPr>
        <w:t>157</w:t>
      </w:r>
      <w:r w:rsidRPr="005936B2">
        <w:rPr>
          <w:rFonts w:ascii="Book Antiqua" w:eastAsia="宋体" w:hAnsi="Book Antiqua" w:cs="宋体"/>
          <w:kern w:val="0"/>
          <w:sz w:val="24"/>
          <w:szCs w:val="24"/>
        </w:rPr>
        <w:t>: 91-101 [PMID: 25543089 DOI: 10.1016/j.clim.2014.12.005]</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228 </w:t>
      </w:r>
      <w:r w:rsidRPr="005936B2">
        <w:rPr>
          <w:rFonts w:ascii="Book Antiqua" w:eastAsia="宋体" w:hAnsi="Book Antiqua" w:cs="宋体"/>
          <w:b/>
          <w:bCs/>
          <w:kern w:val="0"/>
          <w:sz w:val="24"/>
          <w:szCs w:val="24"/>
        </w:rPr>
        <w:t>Malucchi S</w:t>
      </w:r>
      <w:r w:rsidRPr="005936B2">
        <w:rPr>
          <w:rFonts w:ascii="Book Antiqua" w:eastAsia="宋体" w:hAnsi="Book Antiqua" w:cs="宋体"/>
          <w:kern w:val="0"/>
          <w:sz w:val="24"/>
          <w:szCs w:val="24"/>
        </w:rPr>
        <w:t>, Sala A, Gilli F, Bottero R, Di Sapio A, Capobianco M, Bertolotto A. Neutralizing antibodies reduce the efficacy of betaIFN during treatment of multiple sclerosis. </w:t>
      </w:r>
      <w:r w:rsidRPr="005936B2">
        <w:rPr>
          <w:rFonts w:ascii="Book Antiqua" w:eastAsia="宋体" w:hAnsi="Book Antiqua" w:cs="宋体"/>
          <w:i/>
          <w:iCs/>
          <w:kern w:val="0"/>
          <w:sz w:val="24"/>
          <w:szCs w:val="24"/>
        </w:rPr>
        <w:t>Neurology</w:t>
      </w:r>
      <w:r w:rsidRPr="005936B2">
        <w:rPr>
          <w:rFonts w:ascii="Book Antiqua" w:eastAsia="宋体" w:hAnsi="Book Antiqua" w:cs="宋体"/>
          <w:kern w:val="0"/>
          <w:sz w:val="24"/>
          <w:szCs w:val="24"/>
        </w:rPr>
        <w:t> 2004; </w:t>
      </w:r>
      <w:r w:rsidRPr="005936B2">
        <w:rPr>
          <w:rFonts w:ascii="Book Antiqua" w:eastAsia="宋体" w:hAnsi="Book Antiqua" w:cs="宋体"/>
          <w:b/>
          <w:bCs/>
          <w:kern w:val="0"/>
          <w:sz w:val="24"/>
          <w:szCs w:val="24"/>
        </w:rPr>
        <w:t>62</w:t>
      </w:r>
      <w:r w:rsidRPr="005936B2">
        <w:rPr>
          <w:rFonts w:ascii="Book Antiqua" w:eastAsia="宋体" w:hAnsi="Book Antiqua" w:cs="宋体"/>
          <w:kern w:val="0"/>
          <w:sz w:val="24"/>
          <w:szCs w:val="24"/>
        </w:rPr>
        <w:t>: 2031-2037 [PMID: 15184610 DOI: 10.1212/01.WNL.0000129265.73259.9E]</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lastRenderedPageBreak/>
        <w:t>229 </w:t>
      </w:r>
      <w:r w:rsidRPr="005936B2">
        <w:rPr>
          <w:rFonts w:ascii="Book Antiqua" w:eastAsia="宋体" w:hAnsi="Book Antiqua" w:cs="宋体"/>
          <w:b/>
          <w:bCs/>
          <w:kern w:val="0"/>
          <w:sz w:val="24"/>
          <w:szCs w:val="24"/>
        </w:rPr>
        <w:t>Runkel L</w:t>
      </w:r>
      <w:r w:rsidRPr="005936B2">
        <w:rPr>
          <w:rFonts w:ascii="Book Antiqua" w:eastAsia="宋体" w:hAnsi="Book Antiqua" w:cs="宋体"/>
          <w:kern w:val="0"/>
          <w:sz w:val="24"/>
          <w:szCs w:val="24"/>
        </w:rPr>
        <w:t>, Meier W, Pepinsky RB, Karpusas M, Whitty A, Kimball K, Brickelmaier M, Muldowney C, Jones W, Goelz SE. Structural and functional differences between glycosylated and non-glycosylated forms of human interferon-beta (IFN-beta). </w:t>
      </w:r>
      <w:r w:rsidRPr="005936B2">
        <w:rPr>
          <w:rFonts w:ascii="Book Antiqua" w:eastAsia="宋体" w:hAnsi="Book Antiqua" w:cs="宋体"/>
          <w:i/>
          <w:iCs/>
          <w:kern w:val="0"/>
          <w:sz w:val="24"/>
          <w:szCs w:val="24"/>
        </w:rPr>
        <w:t>Pharm Res</w:t>
      </w:r>
      <w:r w:rsidRPr="005936B2">
        <w:rPr>
          <w:rFonts w:ascii="Book Antiqua" w:eastAsia="宋体" w:hAnsi="Book Antiqua" w:cs="宋体"/>
          <w:kern w:val="0"/>
          <w:sz w:val="24"/>
          <w:szCs w:val="24"/>
        </w:rPr>
        <w:t> 1998; </w:t>
      </w:r>
      <w:r w:rsidRPr="005936B2">
        <w:rPr>
          <w:rFonts w:ascii="Book Antiqua" w:eastAsia="宋体" w:hAnsi="Book Antiqua" w:cs="宋体"/>
          <w:b/>
          <w:bCs/>
          <w:kern w:val="0"/>
          <w:sz w:val="24"/>
          <w:szCs w:val="24"/>
        </w:rPr>
        <w:t>15</w:t>
      </w:r>
      <w:r w:rsidRPr="005936B2">
        <w:rPr>
          <w:rFonts w:ascii="Book Antiqua" w:eastAsia="宋体" w:hAnsi="Book Antiqua" w:cs="宋体"/>
          <w:kern w:val="0"/>
          <w:sz w:val="24"/>
          <w:szCs w:val="24"/>
        </w:rPr>
        <w:t>: 641-649 [PMID: 9587963 DOI: 10.1023/A: 1011974512425]</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230 </w:t>
      </w:r>
      <w:r w:rsidRPr="005936B2">
        <w:rPr>
          <w:rFonts w:ascii="Book Antiqua" w:eastAsia="宋体" w:hAnsi="Book Antiqua" w:cs="宋体"/>
          <w:b/>
          <w:bCs/>
          <w:kern w:val="0"/>
          <w:sz w:val="24"/>
          <w:szCs w:val="24"/>
        </w:rPr>
        <w:t>Takahashi M</w:t>
      </w:r>
      <w:r w:rsidRPr="005936B2">
        <w:rPr>
          <w:rFonts w:ascii="Book Antiqua" w:eastAsia="宋体" w:hAnsi="Book Antiqua" w:cs="宋体"/>
          <w:kern w:val="0"/>
          <w:sz w:val="24"/>
          <w:szCs w:val="24"/>
        </w:rPr>
        <w:t>, Fujii J, Teshima T, Suzuki K, Shiba T, Taniguchi N. Identity of a major 3-deoxyglucosone-reducing enzyme with aldehyde reductase in rat liver established by amino acid sequencing and cDNA expression. </w:t>
      </w:r>
      <w:r w:rsidRPr="005936B2">
        <w:rPr>
          <w:rFonts w:ascii="Book Antiqua" w:eastAsia="宋体" w:hAnsi="Book Antiqua" w:cs="宋体"/>
          <w:i/>
          <w:iCs/>
          <w:kern w:val="0"/>
          <w:sz w:val="24"/>
          <w:szCs w:val="24"/>
        </w:rPr>
        <w:t>Gene</w:t>
      </w:r>
      <w:r w:rsidRPr="005936B2">
        <w:rPr>
          <w:rFonts w:ascii="Book Antiqua" w:eastAsia="宋体" w:hAnsi="Book Antiqua" w:cs="宋体"/>
          <w:kern w:val="0"/>
          <w:sz w:val="24"/>
          <w:szCs w:val="24"/>
        </w:rPr>
        <w:t> 1993; </w:t>
      </w:r>
      <w:r w:rsidRPr="005936B2">
        <w:rPr>
          <w:rFonts w:ascii="Book Antiqua" w:eastAsia="宋体" w:hAnsi="Book Antiqua" w:cs="宋体"/>
          <w:b/>
          <w:bCs/>
          <w:kern w:val="0"/>
          <w:sz w:val="24"/>
          <w:szCs w:val="24"/>
        </w:rPr>
        <w:t>127</w:t>
      </w:r>
      <w:r w:rsidRPr="005936B2">
        <w:rPr>
          <w:rFonts w:ascii="Book Antiqua" w:eastAsia="宋体" w:hAnsi="Book Antiqua" w:cs="宋体"/>
          <w:kern w:val="0"/>
          <w:sz w:val="24"/>
          <w:szCs w:val="24"/>
        </w:rPr>
        <w:t>: 249-253 [PMID: 8500767 DOI: 10.1016/0378-1119(93)90728-L]</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231 </w:t>
      </w:r>
      <w:r w:rsidRPr="005936B2">
        <w:rPr>
          <w:rFonts w:ascii="Book Antiqua" w:eastAsia="宋体" w:hAnsi="Book Antiqua" w:cs="宋体"/>
          <w:b/>
          <w:bCs/>
          <w:kern w:val="0"/>
          <w:sz w:val="24"/>
          <w:szCs w:val="24"/>
        </w:rPr>
        <w:t>Sato K</w:t>
      </w:r>
      <w:r w:rsidRPr="005936B2">
        <w:rPr>
          <w:rFonts w:ascii="Book Antiqua" w:eastAsia="宋体" w:hAnsi="Book Antiqua" w:cs="宋体"/>
          <w:kern w:val="0"/>
          <w:sz w:val="24"/>
          <w:szCs w:val="24"/>
        </w:rPr>
        <w:t>, Inazu A, Yamaguchi S, Nakayama T, Deyashiki Y, Sawada H, Hara A. Monkey 3-deoxyglucosone reductase: tissue distribution and purification of three multiple forms of the kidney enzyme that are identical with dihydrodiol dehydrogenase, aldehyde reductase, and aldose reductase. </w:t>
      </w:r>
      <w:r w:rsidRPr="005936B2">
        <w:rPr>
          <w:rFonts w:ascii="Book Antiqua" w:eastAsia="宋体" w:hAnsi="Book Antiqua" w:cs="宋体"/>
          <w:i/>
          <w:iCs/>
          <w:kern w:val="0"/>
          <w:sz w:val="24"/>
          <w:szCs w:val="24"/>
        </w:rPr>
        <w:t>Arch Biochem Biophys</w:t>
      </w:r>
      <w:r w:rsidRPr="005936B2">
        <w:rPr>
          <w:rFonts w:ascii="Book Antiqua" w:eastAsia="宋体" w:hAnsi="Book Antiqua" w:cs="宋体"/>
          <w:kern w:val="0"/>
          <w:sz w:val="24"/>
          <w:szCs w:val="24"/>
        </w:rPr>
        <w:t> 1993; </w:t>
      </w:r>
      <w:r w:rsidRPr="005936B2">
        <w:rPr>
          <w:rFonts w:ascii="Book Antiqua" w:eastAsia="宋体" w:hAnsi="Book Antiqua" w:cs="宋体"/>
          <w:b/>
          <w:bCs/>
          <w:kern w:val="0"/>
          <w:sz w:val="24"/>
          <w:szCs w:val="24"/>
        </w:rPr>
        <w:t>307</w:t>
      </w:r>
      <w:r w:rsidRPr="005936B2">
        <w:rPr>
          <w:rFonts w:ascii="Book Antiqua" w:eastAsia="宋体" w:hAnsi="Book Antiqua" w:cs="宋体"/>
          <w:kern w:val="0"/>
          <w:sz w:val="24"/>
          <w:szCs w:val="24"/>
        </w:rPr>
        <w:t>: 286-294 [PMID: 8274014 DOI: 10.1006/abbi.1993.1591]</w:t>
      </w:r>
    </w:p>
    <w:p w:rsidR="007A0C7D" w:rsidRPr="005936B2" w:rsidRDefault="007A0C7D" w:rsidP="007A0C7D">
      <w:pPr>
        <w:widowControl/>
        <w:spacing w:line="360" w:lineRule="auto"/>
        <w:rPr>
          <w:rFonts w:ascii="Book Antiqua" w:eastAsia="宋体" w:hAnsi="Book Antiqua" w:cs="宋体"/>
          <w:kern w:val="0"/>
          <w:sz w:val="24"/>
          <w:szCs w:val="24"/>
        </w:rPr>
      </w:pPr>
      <w:proofErr w:type="gramStart"/>
      <w:r w:rsidRPr="005936B2">
        <w:rPr>
          <w:rFonts w:ascii="Book Antiqua" w:eastAsia="宋体" w:hAnsi="Book Antiqua" w:cs="宋体"/>
          <w:kern w:val="0"/>
          <w:sz w:val="24"/>
          <w:szCs w:val="24"/>
        </w:rPr>
        <w:t>232 </w:t>
      </w:r>
      <w:r w:rsidRPr="005936B2">
        <w:rPr>
          <w:rFonts w:ascii="Book Antiqua" w:eastAsia="宋体" w:hAnsi="Book Antiqua" w:cs="宋体"/>
          <w:b/>
          <w:bCs/>
          <w:kern w:val="0"/>
          <w:sz w:val="24"/>
          <w:szCs w:val="24"/>
        </w:rPr>
        <w:t>Feather MS</w:t>
      </w:r>
      <w:r w:rsidRPr="005936B2">
        <w:rPr>
          <w:rFonts w:ascii="Book Antiqua" w:eastAsia="宋体" w:hAnsi="Book Antiqua" w:cs="宋体"/>
          <w:kern w:val="0"/>
          <w:sz w:val="24"/>
          <w:szCs w:val="24"/>
        </w:rPr>
        <w:t>, Flynn TG, Munro KA, Kubiseski TJ, Walton DJ.</w:t>
      </w:r>
      <w:proofErr w:type="gramEnd"/>
      <w:r w:rsidRPr="005936B2">
        <w:rPr>
          <w:rFonts w:ascii="Book Antiqua" w:eastAsia="宋体" w:hAnsi="Book Antiqua" w:cs="宋体"/>
          <w:kern w:val="0"/>
          <w:sz w:val="24"/>
          <w:szCs w:val="24"/>
        </w:rPr>
        <w:t xml:space="preserve"> </w:t>
      </w:r>
      <w:proofErr w:type="gramStart"/>
      <w:r w:rsidRPr="005936B2">
        <w:rPr>
          <w:rFonts w:ascii="Book Antiqua" w:eastAsia="宋体" w:hAnsi="Book Antiqua" w:cs="宋体"/>
          <w:kern w:val="0"/>
          <w:sz w:val="24"/>
          <w:szCs w:val="24"/>
        </w:rPr>
        <w:t>Catalysis of reduction of carbohydrate 2-oxoaldehydes (osones) by mammalian aldose reductase and aldehyde reductase.</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Biochim Biophys Acta</w:t>
      </w:r>
      <w:r w:rsidRPr="005936B2">
        <w:rPr>
          <w:rFonts w:ascii="Book Antiqua" w:eastAsia="宋体" w:hAnsi="Book Antiqua" w:cs="宋体"/>
          <w:kern w:val="0"/>
          <w:sz w:val="24"/>
          <w:szCs w:val="24"/>
        </w:rPr>
        <w:t> 1995; </w:t>
      </w:r>
      <w:r w:rsidRPr="005936B2">
        <w:rPr>
          <w:rFonts w:ascii="Book Antiqua" w:eastAsia="宋体" w:hAnsi="Book Antiqua" w:cs="宋体"/>
          <w:b/>
          <w:bCs/>
          <w:kern w:val="0"/>
          <w:sz w:val="24"/>
          <w:szCs w:val="24"/>
        </w:rPr>
        <w:t>1244</w:t>
      </w:r>
      <w:r w:rsidRPr="005936B2">
        <w:rPr>
          <w:rFonts w:ascii="Book Antiqua" w:eastAsia="宋体" w:hAnsi="Book Antiqua" w:cs="宋体"/>
          <w:kern w:val="0"/>
          <w:sz w:val="24"/>
          <w:szCs w:val="24"/>
        </w:rPr>
        <w:t>: 10-16 [PMID: 7766643 DOI: 10.1016/0304-4165(94)00156-R]</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233 </w:t>
      </w:r>
      <w:r w:rsidRPr="005936B2">
        <w:rPr>
          <w:rFonts w:ascii="Book Antiqua" w:eastAsia="宋体" w:hAnsi="Book Antiqua" w:cs="宋体"/>
          <w:b/>
          <w:bCs/>
          <w:kern w:val="0"/>
          <w:sz w:val="24"/>
          <w:szCs w:val="24"/>
        </w:rPr>
        <w:t>Shinohara M</w:t>
      </w:r>
      <w:r w:rsidRPr="005936B2">
        <w:rPr>
          <w:rFonts w:ascii="Book Antiqua" w:eastAsia="宋体" w:hAnsi="Book Antiqua" w:cs="宋体"/>
          <w:kern w:val="0"/>
          <w:sz w:val="24"/>
          <w:szCs w:val="24"/>
        </w:rPr>
        <w:t>, Thornalley PJ, Giardino I, Beisswenger P, Thorpe SR, Onorato J, Brownlee M. Overexpression of glyoxalase-I in bovine endothelial cells inhibits intracellular advanced glycation endproduct formation and prevents hyperglycemia-induced increases in macromolecular endocytosis. </w:t>
      </w:r>
      <w:r w:rsidRPr="005936B2">
        <w:rPr>
          <w:rFonts w:ascii="Book Antiqua" w:eastAsia="宋体" w:hAnsi="Book Antiqua" w:cs="宋体"/>
          <w:i/>
          <w:iCs/>
          <w:kern w:val="0"/>
          <w:sz w:val="24"/>
          <w:szCs w:val="24"/>
        </w:rPr>
        <w:t>J Clin Invest</w:t>
      </w:r>
      <w:r w:rsidRPr="005936B2">
        <w:rPr>
          <w:rFonts w:ascii="Book Antiqua" w:eastAsia="宋体" w:hAnsi="Book Antiqua" w:cs="宋体"/>
          <w:kern w:val="0"/>
          <w:sz w:val="24"/>
          <w:szCs w:val="24"/>
        </w:rPr>
        <w:t> 1998; </w:t>
      </w:r>
      <w:r w:rsidRPr="005936B2">
        <w:rPr>
          <w:rFonts w:ascii="Book Antiqua" w:eastAsia="宋体" w:hAnsi="Book Antiqua" w:cs="宋体"/>
          <w:b/>
          <w:bCs/>
          <w:kern w:val="0"/>
          <w:sz w:val="24"/>
          <w:szCs w:val="24"/>
        </w:rPr>
        <w:t>101</w:t>
      </w:r>
      <w:r w:rsidRPr="005936B2">
        <w:rPr>
          <w:rFonts w:ascii="Book Antiqua" w:eastAsia="宋体" w:hAnsi="Book Antiqua" w:cs="宋体"/>
          <w:kern w:val="0"/>
          <w:sz w:val="24"/>
          <w:szCs w:val="24"/>
        </w:rPr>
        <w:t>: 1142-1147 [PMID: 9486985 DOI: 10.1172/JCI119885]</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234 </w:t>
      </w:r>
      <w:r w:rsidRPr="005936B2">
        <w:rPr>
          <w:rFonts w:ascii="Book Antiqua" w:eastAsia="宋体" w:hAnsi="Book Antiqua" w:cs="宋体"/>
          <w:b/>
          <w:bCs/>
          <w:kern w:val="0"/>
          <w:sz w:val="24"/>
          <w:szCs w:val="24"/>
        </w:rPr>
        <w:t>Collard F</w:t>
      </w:r>
      <w:r w:rsidRPr="005936B2">
        <w:rPr>
          <w:rFonts w:ascii="Book Antiqua" w:eastAsia="宋体" w:hAnsi="Book Antiqua" w:cs="宋体"/>
          <w:kern w:val="0"/>
          <w:sz w:val="24"/>
          <w:szCs w:val="24"/>
        </w:rPr>
        <w:t>, Vertommen D, Fortpied J, Duester G, Van Schaftingen E. Identification of 3-deoxyglucosone dehydrogenase as aldehyde dehydrogenase 1A1 (retinaldehyde dehydrogenase 1). </w:t>
      </w:r>
      <w:r w:rsidRPr="005936B2">
        <w:rPr>
          <w:rFonts w:ascii="Book Antiqua" w:eastAsia="宋体" w:hAnsi="Book Antiqua" w:cs="宋体"/>
          <w:i/>
          <w:iCs/>
          <w:kern w:val="0"/>
          <w:sz w:val="24"/>
          <w:szCs w:val="24"/>
        </w:rPr>
        <w:t>Biochimie</w:t>
      </w:r>
      <w:r w:rsidRPr="005936B2">
        <w:rPr>
          <w:rFonts w:ascii="Book Antiqua" w:eastAsia="宋体" w:hAnsi="Book Antiqua" w:cs="宋体"/>
          <w:kern w:val="0"/>
          <w:sz w:val="24"/>
          <w:szCs w:val="24"/>
        </w:rPr>
        <w:t> 2007; </w:t>
      </w:r>
      <w:r w:rsidRPr="005936B2">
        <w:rPr>
          <w:rFonts w:ascii="Book Antiqua" w:eastAsia="宋体" w:hAnsi="Book Antiqua" w:cs="宋体"/>
          <w:b/>
          <w:bCs/>
          <w:kern w:val="0"/>
          <w:sz w:val="24"/>
          <w:szCs w:val="24"/>
        </w:rPr>
        <w:t>89</w:t>
      </w:r>
      <w:r w:rsidRPr="005936B2">
        <w:rPr>
          <w:rFonts w:ascii="Book Antiqua" w:eastAsia="宋体" w:hAnsi="Book Antiqua" w:cs="宋体"/>
          <w:kern w:val="0"/>
          <w:sz w:val="24"/>
          <w:szCs w:val="24"/>
        </w:rPr>
        <w:t>: 369-373 [PMID: 17175089 DOI: 10.1016/j.biochi.2006.11.005]</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235 </w:t>
      </w:r>
      <w:r w:rsidRPr="005936B2">
        <w:rPr>
          <w:rFonts w:ascii="Book Antiqua" w:eastAsia="宋体" w:hAnsi="Book Antiqua" w:cs="宋体"/>
          <w:b/>
          <w:bCs/>
          <w:kern w:val="0"/>
          <w:sz w:val="24"/>
          <w:szCs w:val="24"/>
        </w:rPr>
        <w:t>Richarme G</w:t>
      </w:r>
      <w:r w:rsidRPr="005936B2">
        <w:rPr>
          <w:rFonts w:ascii="Book Antiqua" w:eastAsia="宋体" w:hAnsi="Book Antiqua" w:cs="宋体"/>
          <w:kern w:val="0"/>
          <w:sz w:val="24"/>
          <w:szCs w:val="24"/>
        </w:rPr>
        <w:t>, Mihoub M, Dairou J, Bui LC, Leger T, Lamouri A. Parkinsonism-associated protein DJ-1/Park7 is a major protein deglycase that repairs methylglyoxal- and glyoxal-glycated cysteine, arginine, and lysine residues.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2015; </w:t>
      </w:r>
      <w:r w:rsidRPr="005936B2">
        <w:rPr>
          <w:rFonts w:ascii="Book Antiqua" w:eastAsia="宋体" w:hAnsi="Book Antiqua" w:cs="宋体"/>
          <w:b/>
          <w:bCs/>
          <w:kern w:val="0"/>
          <w:sz w:val="24"/>
          <w:szCs w:val="24"/>
        </w:rPr>
        <w:t>290</w:t>
      </w:r>
      <w:r w:rsidRPr="005936B2">
        <w:rPr>
          <w:rFonts w:ascii="Book Antiqua" w:eastAsia="宋体" w:hAnsi="Book Antiqua" w:cs="宋体"/>
          <w:kern w:val="0"/>
          <w:sz w:val="24"/>
          <w:szCs w:val="24"/>
        </w:rPr>
        <w:t>: 1885-1897 [PMID: 25416785 DOI: 10.1074/jbc.M114.597815]</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lastRenderedPageBreak/>
        <w:t>236 </w:t>
      </w:r>
      <w:r w:rsidRPr="005936B2">
        <w:rPr>
          <w:rFonts w:ascii="Book Antiqua" w:eastAsia="宋体" w:hAnsi="Book Antiqua" w:cs="宋体"/>
          <w:b/>
          <w:bCs/>
          <w:kern w:val="0"/>
          <w:sz w:val="24"/>
          <w:szCs w:val="24"/>
        </w:rPr>
        <w:t>Van Schaftingen E</w:t>
      </w:r>
      <w:r w:rsidRPr="005936B2">
        <w:rPr>
          <w:rFonts w:ascii="Book Antiqua" w:eastAsia="宋体" w:hAnsi="Book Antiqua" w:cs="宋体"/>
          <w:kern w:val="0"/>
          <w:sz w:val="24"/>
          <w:szCs w:val="24"/>
        </w:rPr>
        <w:t>, Collard F, Wiame E, Veiga-da-Cunha M. Enzymatic repair of Amadori products. </w:t>
      </w:r>
      <w:r w:rsidRPr="005936B2">
        <w:rPr>
          <w:rFonts w:ascii="Book Antiqua" w:eastAsia="宋体" w:hAnsi="Book Antiqua" w:cs="宋体"/>
          <w:i/>
          <w:iCs/>
          <w:kern w:val="0"/>
          <w:sz w:val="24"/>
          <w:szCs w:val="24"/>
        </w:rPr>
        <w:t>Amino Acids</w:t>
      </w:r>
      <w:r w:rsidRPr="005936B2">
        <w:rPr>
          <w:rFonts w:ascii="Book Antiqua" w:eastAsia="宋体" w:hAnsi="Book Antiqua" w:cs="宋体"/>
          <w:kern w:val="0"/>
          <w:sz w:val="24"/>
          <w:szCs w:val="24"/>
        </w:rPr>
        <w:t> 2012; </w:t>
      </w:r>
      <w:r w:rsidRPr="005936B2">
        <w:rPr>
          <w:rFonts w:ascii="Book Antiqua" w:eastAsia="宋体" w:hAnsi="Book Antiqua" w:cs="宋体"/>
          <w:b/>
          <w:bCs/>
          <w:kern w:val="0"/>
          <w:sz w:val="24"/>
          <w:szCs w:val="24"/>
        </w:rPr>
        <w:t>42</w:t>
      </w:r>
      <w:r w:rsidRPr="005936B2">
        <w:rPr>
          <w:rFonts w:ascii="Book Antiqua" w:eastAsia="宋体" w:hAnsi="Book Antiqua" w:cs="宋体"/>
          <w:kern w:val="0"/>
          <w:sz w:val="24"/>
          <w:szCs w:val="24"/>
        </w:rPr>
        <w:t>: 1143-1150 [PMID: 20967558 DOI: 10.1007/s00726-010-0780-3]</w:t>
      </w:r>
    </w:p>
    <w:p w:rsidR="007A0C7D" w:rsidRPr="005936B2" w:rsidRDefault="007A0C7D" w:rsidP="007A0C7D">
      <w:pPr>
        <w:widowControl/>
        <w:spacing w:line="360" w:lineRule="auto"/>
        <w:rPr>
          <w:rFonts w:ascii="Book Antiqua" w:eastAsia="宋体" w:hAnsi="Book Antiqua" w:cs="宋体"/>
          <w:kern w:val="0"/>
          <w:sz w:val="24"/>
          <w:szCs w:val="24"/>
          <w:lang w:val="de-AT"/>
        </w:rPr>
      </w:pPr>
      <w:r w:rsidRPr="005936B2">
        <w:rPr>
          <w:rFonts w:ascii="Book Antiqua" w:eastAsia="宋体" w:hAnsi="Book Antiqua" w:cs="宋体"/>
          <w:kern w:val="0"/>
          <w:sz w:val="24"/>
          <w:szCs w:val="24"/>
        </w:rPr>
        <w:t xml:space="preserve">237 </w:t>
      </w:r>
      <w:r w:rsidRPr="005936B2">
        <w:rPr>
          <w:rFonts w:ascii="Book Antiqua" w:eastAsia="宋体" w:hAnsi="Book Antiqua" w:cs="宋体"/>
          <w:b/>
          <w:kern w:val="0"/>
          <w:sz w:val="24"/>
          <w:szCs w:val="24"/>
        </w:rPr>
        <w:t>Dimitrova AA</w:t>
      </w:r>
      <w:r w:rsidRPr="005936B2">
        <w:rPr>
          <w:rFonts w:ascii="Book Antiqua" w:eastAsia="宋体" w:hAnsi="Book Antiqua" w:cs="宋体"/>
          <w:kern w:val="0"/>
          <w:sz w:val="24"/>
          <w:szCs w:val="24"/>
        </w:rPr>
        <w:t xml:space="preserve">, Stoilova, II, Atanasova, MA, Georgieva, MN, Russeva, AL, Strashimirov, DS, Tzachev, KN. Anti-Age antibodies and serum concentrations of zinc, copper and selenium in patients with occupational vegetative polyneuropathy of upper limbs. </w:t>
      </w:r>
      <w:r w:rsidRPr="005936B2">
        <w:rPr>
          <w:rFonts w:ascii="Book Antiqua" w:eastAsia="宋体" w:hAnsi="Book Antiqua" w:cs="宋体"/>
          <w:i/>
          <w:kern w:val="0"/>
          <w:sz w:val="24"/>
          <w:szCs w:val="24"/>
          <w:lang w:val="de-AT"/>
        </w:rPr>
        <w:t xml:space="preserve">J Biomed Clin Res </w:t>
      </w:r>
      <w:r w:rsidRPr="005936B2">
        <w:rPr>
          <w:rFonts w:ascii="Book Antiqua" w:eastAsia="宋体" w:hAnsi="Book Antiqua" w:cs="宋体"/>
          <w:kern w:val="0"/>
          <w:sz w:val="24"/>
          <w:szCs w:val="24"/>
          <w:lang w:val="de-AT"/>
        </w:rPr>
        <w:t xml:space="preserve">2009; </w:t>
      </w:r>
      <w:r w:rsidRPr="005936B2">
        <w:rPr>
          <w:rFonts w:ascii="Book Antiqua" w:eastAsia="宋体" w:hAnsi="Book Antiqua" w:cs="宋体"/>
          <w:b/>
          <w:kern w:val="0"/>
          <w:sz w:val="24"/>
          <w:szCs w:val="24"/>
          <w:lang w:val="de-AT"/>
        </w:rPr>
        <w:t>2:</w:t>
      </w:r>
      <w:r w:rsidRPr="005936B2">
        <w:rPr>
          <w:rFonts w:ascii="Book Antiqua" w:eastAsia="宋体" w:hAnsi="Book Antiqua" w:cs="宋体"/>
          <w:kern w:val="0"/>
          <w:sz w:val="24"/>
          <w:szCs w:val="24"/>
          <w:lang w:val="de-AT"/>
        </w:rPr>
        <w:t xml:space="preserve"> 31-35 </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lang w:val="de-AT"/>
        </w:rPr>
        <w:t>238 </w:t>
      </w:r>
      <w:r w:rsidRPr="005936B2">
        <w:rPr>
          <w:rFonts w:ascii="Book Antiqua" w:eastAsia="宋体" w:hAnsi="Book Antiqua" w:cs="宋体"/>
          <w:b/>
          <w:bCs/>
          <w:kern w:val="0"/>
          <w:sz w:val="24"/>
          <w:szCs w:val="24"/>
          <w:lang w:val="de-AT"/>
        </w:rPr>
        <w:t>Fraser IP</w:t>
      </w:r>
      <w:r w:rsidRPr="005936B2">
        <w:rPr>
          <w:rFonts w:ascii="Book Antiqua" w:eastAsia="宋体" w:hAnsi="Book Antiqua" w:cs="宋体"/>
          <w:kern w:val="0"/>
          <w:sz w:val="24"/>
          <w:szCs w:val="24"/>
          <w:lang w:val="de-AT"/>
        </w:rPr>
        <w:t xml:space="preserve">, Koziel H, Ezekowitz RA. </w:t>
      </w:r>
      <w:r w:rsidRPr="005936B2">
        <w:rPr>
          <w:rFonts w:ascii="Book Antiqua" w:eastAsia="宋体" w:hAnsi="Book Antiqua" w:cs="宋体"/>
          <w:kern w:val="0"/>
          <w:sz w:val="24"/>
          <w:szCs w:val="24"/>
        </w:rPr>
        <w:t>The serum mannose-binding protein and the macrophage mannose receptor are pattern recognition molecules that link innate and adaptive immunity. </w:t>
      </w:r>
      <w:r w:rsidRPr="005936B2">
        <w:rPr>
          <w:rFonts w:ascii="Book Antiqua" w:eastAsia="宋体" w:hAnsi="Book Antiqua" w:cs="宋体"/>
          <w:i/>
          <w:iCs/>
          <w:kern w:val="0"/>
          <w:sz w:val="24"/>
          <w:szCs w:val="24"/>
        </w:rPr>
        <w:t>Semin Immunol</w:t>
      </w:r>
      <w:r w:rsidRPr="005936B2">
        <w:rPr>
          <w:rFonts w:ascii="Book Antiqua" w:eastAsia="宋体" w:hAnsi="Book Antiqua" w:cs="宋体"/>
          <w:kern w:val="0"/>
          <w:sz w:val="24"/>
          <w:szCs w:val="24"/>
        </w:rPr>
        <w:t> 1998; </w:t>
      </w:r>
      <w:r w:rsidRPr="005936B2">
        <w:rPr>
          <w:rFonts w:ascii="Book Antiqua" w:eastAsia="宋体" w:hAnsi="Book Antiqua" w:cs="宋体"/>
          <w:b/>
          <w:bCs/>
          <w:kern w:val="0"/>
          <w:sz w:val="24"/>
          <w:szCs w:val="24"/>
        </w:rPr>
        <w:t>10</w:t>
      </w:r>
      <w:r w:rsidRPr="005936B2">
        <w:rPr>
          <w:rFonts w:ascii="Book Antiqua" w:eastAsia="宋体" w:hAnsi="Book Antiqua" w:cs="宋体"/>
          <w:kern w:val="0"/>
          <w:sz w:val="24"/>
          <w:szCs w:val="24"/>
        </w:rPr>
        <w:t>: 363-372 [PMID: 9799711 DOI: 10.1006/smim.1998.0141]</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239 </w:t>
      </w:r>
      <w:r w:rsidRPr="005936B2">
        <w:rPr>
          <w:rFonts w:ascii="Book Antiqua" w:eastAsia="宋体" w:hAnsi="Book Antiqua" w:cs="宋体"/>
          <w:b/>
          <w:bCs/>
          <w:kern w:val="0"/>
          <w:sz w:val="24"/>
          <w:szCs w:val="24"/>
        </w:rPr>
        <w:t>Gordon S</w:t>
      </w:r>
      <w:r w:rsidRPr="005936B2">
        <w:rPr>
          <w:rFonts w:ascii="Book Antiqua" w:eastAsia="宋体" w:hAnsi="Book Antiqua" w:cs="宋体"/>
          <w:kern w:val="0"/>
          <w:sz w:val="24"/>
          <w:szCs w:val="24"/>
        </w:rPr>
        <w:t>. Pattern recognition receptors: doubling up for the innate immune response. </w:t>
      </w:r>
      <w:r w:rsidRPr="005936B2">
        <w:rPr>
          <w:rFonts w:ascii="Book Antiqua" w:eastAsia="宋体" w:hAnsi="Book Antiqua" w:cs="宋体"/>
          <w:i/>
          <w:iCs/>
          <w:kern w:val="0"/>
          <w:sz w:val="24"/>
          <w:szCs w:val="24"/>
        </w:rPr>
        <w:t>Cell</w:t>
      </w:r>
      <w:r w:rsidRPr="005936B2">
        <w:rPr>
          <w:rFonts w:ascii="Book Antiqua" w:eastAsia="宋体" w:hAnsi="Book Antiqua" w:cs="宋体"/>
          <w:kern w:val="0"/>
          <w:sz w:val="24"/>
          <w:szCs w:val="24"/>
        </w:rPr>
        <w:t> 2002; </w:t>
      </w:r>
      <w:r w:rsidRPr="005936B2">
        <w:rPr>
          <w:rFonts w:ascii="Book Antiqua" w:eastAsia="宋体" w:hAnsi="Book Antiqua" w:cs="宋体"/>
          <w:b/>
          <w:bCs/>
          <w:kern w:val="0"/>
          <w:sz w:val="24"/>
          <w:szCs w:val="24"/>
        </w:rPr>
        <w:t>111</w:t>
      </w:r>
      <w:r w:rsidRPr="005936B2">
        <w:rPr>
          <w:rFonts w:ascii="Book Antiqua" w:eastAsia="宋体" w:hAnsi="Book Antiqua" w:cs="宋体"/>
          <w:kern w:val="0"/>
          <w:sz w:val="24"/>
          <w:szCs w:val="24"/>
        </w:rPr>
        <w:t>: 927-930 [PMID: 12507420 DOI: 10.1016/S0092-8674(02)01201-1]</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240 </w:t>
      </w:r>
      <w:r w:rsidRPr="005936B2">
        <w:rPr>
          <w:rFonts w:ascii="Book Antiqua" w:eastAsia="宋体" w:hAnsi="Book Antiqua" w:cs="宋体"/>
          <w:b/>
          <w:bCs/>
          <w:kern w:val="0"/>
          <w:sz w:val="24"/>
          <w:szCs w:val="24"/>
        </w:rPr>
        <w:t>Philpott DJ</w:t>
      </w:r>
      <w:r w:rsidRPr="005936B2">
        <w:rPr>
          <w:rFonts w:ascii="Book Antiqua" w:eastAsia="宋体" w:hAnsi="Book Antiqua" w:cs="宋体"/>
          <w:kern w:val="0"/>
          <w:sz w:val="24"/>
          <w:szCs w:val="24"/>
        </w:rPr>
        <w:t xml:space="preserve">, Girardin SE. </w:t>
      </w:r>
      <w:proofErr w:type="gramStart"/>
      <w:r w:rsidRPr="005936B2">
        <w:rPr>
          <w:rFonts w:ascii="Book Antiqua" w:eastAsia="宋体" w:hAnsi="Book Antiqua" w:cs="宋体"/>
          <w:kern w:val="0"/>
          <w:sz w:val="24"/>
          <w:szCs w:val="24"/>
        </w:rPr>
        <w:t>The role of Toll-like receptors and Nod proteins in bacterial infection.</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Mol Immunol</w:t>
      </w:r>
      <w:r w:rsidRPr="005936B2">
        <w:rPr>
          <w:rFonts w:ascii="Book Antiqua" w:eastAsia="宋体" w:hAnsi="Book Antiqua" w:cs="宋体"/>
          <w:kern w:val="0"/>
          <w:sz w:val="24"/>
          <w:szCs w:val="24"/>
        </w:rPr>
        <w:t> 2004; </w:t>
      </w:r>
      <w:r w:rsidRPr="005936B2">
        <w:rPr>
          <w:rFonts w:ascii="Book Antiqua" w:eastAsia="宋体" w:hAnsi="Book Antiqua" w:cs="宋体"/>
          <w:b/>
          <w:bCs/>
          <w:kern w:val="0"/>
          <w:sz w:val="24"/>
          <w:szCs w:val="24"/>
        </w:rPr>
        <w:t>41</w:t>
      </w:r>
      <w:r w:rsidRPr="005936B2">
        <w:rPr>
          <w:rFonts w:ascii="Book Antiqua" w:eastAsia="宋体" w:hAnsi="Book Antiqua" w:cs="宋体"/>
          <w:kern w:val="0"/>
          <w:sz w:val="24"/>
          <w:szCs w:val="24"/>
        </w:rPr>
        <w:t>: 1099-1108 [PMID: 15476921 DOI: 10.1016/j.molimm.2004.06.012]</w:t>
      </w:r>
    </w:p>
    <w:p w:rsidR="007A0C7D" w:rsidRPr="005936B2" w:rsidRDefault="007A0C7D" w:rsidP="007A0C7D">
      <w:pPr>
        <w:widowControl/>
        <w:spacing w:line="360" w:lineRule="auto"/>
        <w:rPr>
          <w:rFonts w:ascii="Book Antiqua" w:eastAsia="宋体" w:hAnsi="Book Antiqua" w:cs="宋体"/>
          <w:kern w:val="0"/>
          <w:sz w:val="24"/>
          <w:szCs w:val="24"/>
          <w:lang w:val="de-AT"/>
        </w:rPr>
      </w:pPr>
      <w:r w:rsidRPr="005936B2">
        <w:rPr>
          <w:rFonts w:ascii="Book Antiqua" w:eastAsia="宋体" w:hAnsi="Book Antiqua" w:cs="宋体"/>
          <w:kern w:val="0"/>
          <w:sz w:val="24"/>
          <w:szCs w:val="24"/>
        </w:rPr>
        <w:t>241 </w:t>
      </w:r>
      <w:r w:rsidRPr="005936B2">
        <w:rPr>
          <w:rFonts w:ascii="Book Antiqua" w:eastAsia="宋体" w:hAnsi="Book Antiqua" w:cs="宋体"/>
          <w:b/>
          <w:bCs/>
          <w:kern w:val="0"/>
          <w:sz w:val="24"/>
          <w:szCs w:val="24"/>
        </w:rPr>
        <w:t>Mironova R</w:t>
      </w:r>
      <w:r w:rsidRPr="005936B2">
        <w:rPr>
          <w:rFonts w:ascii="Book Antiqua" w:eastAsia="宋体" w:hAnsi="Book Antiqua" w:cs="宋体"/>
          <w:kern w:val="0"/>
          <w:sz w:val="24"/>
          <w:szCs w:val="24"/>
        </w:rPr>
        <w:t>, Sredovska A, Ivanov I, Niwa T. Maillard reaction products in the Escherichia coli-derived therapeutic protein interferon alfacon-1. </w:t>
      </w:r>
      <w:r w:rsidRPr="005936B2">
        <w:rPr>
          <w:rFonts w:ascii="Book Antiqua" w:eastAsia="宋体" w:hAnsi="Book Antiqua" w:cs="宋体"/>
          <w:i/>
          <w:iCs/>
          <w:kern w:val="0"/>
          <w:sz w:val="24"/>
          <w:szCs w:val="24"/>
          <w:lang w:val="de-AT"/>
        </w:rPr>
        <w:t>Ann N Y Acad Sci</w:t>
      </w:r>
      <w:r w:rsidRPr="005936B2">
        <w:rPr>
          <w:rFonts w:ascii="Book Antiqua" w:eastAsia="宋体" w:hAnsi="Book Antiqua" w:cs="宋体"/>
          <w:kern w:val="0"/>
          <w:sz w:val="24"/>
          <w:szCs w:val="24"/>
          <w:lang w:val="de-AT"/>
        </w:rPr>
        <w:t> 2008; </w:t>
      </w:r>
      <w:r w:rsidRPr="005936B2">
        <w:rPr>
          <w:rFonts w:ascii="Book Antiqua" w:eastAsia="宋体" w:hAnsi="Book Antiqua" w:cs="宋体"/>
          <w:b/>
          <w:bCs/>
          <w:kern w:val="0"/>
          <w:sz w:val="24"/>
          <w:szCs w:val="24"/>
          <w:lang w:val="de-AT"/>
        </w:rPr>
        <w:t>1126</w:t>
      </w:r>
      <w:r w:rsidRPr="005936B2">
        <w:rPr>
          <w:rFonts w:ascii="Book Antiqua" w:eastAsia="宋体" w:hAnsi="Book Antiqua" w:cs="宋体"/>
          <w:kern w:val="0"/>
          <w:sz w:val="24"/>
          <w:szCs w:val="24"/>
          <w:lang w:val="de-AT"/>
        </w:rPr>
        <w:t>: 181-184 [PMID: 18079487 DOI: 10.1196/annals.1433.006]</w:t>
      </w:r>
    </w:p>
    <w:p w:rsidR="007A0C7D" w:rsidRPr="005936B2" w:rsidRDefault="007A0C7D" w:rsidP="007A0C7D">
      <w:pPr>
        <w:widowControl/>
        <w:spacing w:line="360" w:lineRule="auto"/>
        <w:rPr>
          <w:rFonts w:ascii="Book Antiqua" w:eastAsia="宋体" w:hAnsi="Book Antiqua" w:cs="宋体"/>
          <w:kern w:val="0"/>
          <w:sz w:val="24"/>
          <w:szCs w:val="24"/>
          <w:lang w:val="de-AT"/>
        </w:rPr>
      </w:pPr>
      <w:r w:rsidRPr="005936B2">
        <w:rPr>
          <w:rFonts w:ascii="Book Antiqua" w:eastAsia="宋体" w:hAnsi="Book Antiqua" w:cs="宋体"/>
          <w:kern w:val="0"/>
          <w:sz w:val="24"/>
          <w:szCs w:val="24"/>
          <w:lang w:val="de-AT"/>
        </w:rPr>
        <w:t>242 </w:t>
      </w:r>
      <w:r w:rsidRPr="005936B2">
        <w:rPr>
          <w:rFonts w:ascii="Book Antiqua" w:eastAsia="宋体" w:hAnsi="Book Antiqua" w:cs="宋体"/>
          <w:b/>
          <w:bCs/>
          <w:kern w:val="0"/>
          <w:sz w:val="24"/>
          <w:szCs w:val="24"/>
          <w:lang w:val="de-AT"/>
        </w:rPr>
        <w:t>Bucciarelli LG</w:t>
      </w:r>
      <w:r w:rsidRPr="005936B2">
        <w:rPr>
          <w:rFonts w:ascii="Book Antiqua" w:eastAsia="宋体" w:hAnsi="Book Antiqua" w:cs="宋体"/>
          <w:kern w:val="0"/>
          <w:sz w:val="24"/>
          <w:szCs w:val="24"/>
          <w:lang w:val="de-AT"/>
        </w:rPr>
        <w:t xml:space="preserve">, Wendt T, Rong L, Lalla E, Hofmann MA, Goova MT, Taguchi A, Yan SF, Yan SD, Stern DM, Schmidt AM. </w:t>
      </w:r>
      <w:r w:rsidRPr="005936B2">
        <w:rPr>
          <w:rFonts w:ascii="Book Antiqua" w:eastAsia="宋体" w:hAnsi="Book Antiqua" w:cs="宋体"/>
          <w:kern w:val="0"/>
          <w:sz w:val="24"/>
          <w:szCs w:val="24"/>
        </w:rPr>
        <w:t>RAGE is a multiligand receptor of the immunoglobulin superfamily: implications for homeostasis and chronic disease. </w:t>
      </w:r>
      <w:r w:rsidRPr="005936B2">
        <w:rPr>
          <w:rFonts w:ascii="Book Antiqua" w:eastAsia="宋体" w:hAnsi="Book Antiqua" w:cs="宋体"/>
          <w:i/>
          <w:iCs/>
          <w:kern w:val="0"/>
          <w:sz w:val="24"/>
          <w:szCs w:val="24"/>
          <w:lang w:val="de-AT"/>
        </w:rPr>
        <w:t>Cell Mol Life Sci</w:t>
      </w:r>
      <w:r w:rsidRPr="005936B2">
        <w:rPr>
          <w:rFonts w:ascii="Book Antiqua" w:eastAsia="宋体" w:hAnsi="Book Antiqua" w:cs="宋体"/>
          <w:kern w:val="0"/>
          <w:sz w:val="24"/>
          <w:szCs w:val="24"/>
          <w:lang w:val="de-AT"/>
        </w:rPr>
        <w:t> 2002; </w:t>
      </w:r>
      <w:r w:rsidRPr="005936B2">
        <w:rPr>
          <w:rFonts w:ascii="Book Antiqua" w:eastAsia="宋体" w:hAnsi="Book Antiqua" w:cs="宋体"/>
          <w:b/>
          <w:bCs/>
          <w:kern w:val="0"/>
          <w:sz w:val="24"/>
          <w:szCs w:val="24"/>
          <w:lang w:val="de-AT"/>
        </w:rPr>
        <w:t>59</w:t>
      </w:r>
      <w:r w:rsidRPr="005936B2">
        <w:rPr>
          <w:rFonts w:ascii="Book Antiqua" w:eastAsia="宋体" w:hAnsi="Book Antiqua" w:cs="宋体"/>
          <w:kern w:val="0"/>
          <w:sz w:val="24"/>
          <w:szCs w:val="24"/>
          <w:lang w:val="de-AT"/>
        </w:rPr>
        <w:t>: 1117-1128 [PMID: 12222959 DOI: 10.1007/s00018-002-8491-x]</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lang w:val="de-AT"/>
        </w:rPr>
        <w:t>243 </w:t>
      </w:r>
      <w:r w:rsidRPr="005936B2">
        <w:rPr>
          <w:rFonts w:ascii="Book Antiqua" w:eastAsia="宋体" w:hAnsi="Book Antiqua" w:cs="宋体"/>
          <w:b/>
          <w:bCs/>
          <w:kern w:val="0"/>
          <w:sz w:val="24"/>
          <w:szCs w:val="24"/>
          <w:lang w:val="de-AT"/>
        </w:rPr>
        <w:t>Kislinger T</w:t>
      </w:r>
      <w:r w:rsidRPr="005936B2">
        <w:rPr>
          <w:rFonts w:ascii="Book Antiqua" w:eastAsia="宋体" w:hAnsi="Book Antiqua" w:cs="宋体"/>
          <w:kern w:val="0"/>
          <w:sz w:val="24"/>
          <w:szCs w:val="24"/>
          <w:lang w:val="de-AT"/>
        </w:rPr>
        <w:t xml:space="preserve">, Fu C, Huber B, Qu W, Taguchi A, Du Yan S, Hofmann M, Yan SF, Pischetsrieder M, Stern D, Schmidt AM. </w:t>
      </w:r>
      <w:r w:rsidRPr="005936B2">
        <w:rPr>
          <w:rFonts w:ascii="Book Antiqua" w:eastAsia="宋体" w:hAnsi="Book Antiqua" w:cs="宋体"/>
          <w:kern w:val="0"/>
          <w:sz w:val="24"/>
          <w:szCs w:val="24"/>
        </w:rPr>
        <w:t>N(epsilon)-(carboxymethyl)lysine adducts of proteins are ligands for receptor for advanced glycation end products that activate cell signaling pathways and modulate gene expression.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1999; </w:t>
      </w:r>
      <w:r w:rsidRPr="005936B2">
        <w:rPr>
          <w:rFonts w:ascii="Book Antiqua" w:eastAsia="宋体" w:hAnsi="Book Antiqua" w:cs="宋体"/>
          <w:b/>
          <w:bCs/>
          <w:kern w:val="0"/>
          <w:sz w:val="24"/>
          <w:szCs w:val="24"/>
        </w:rPr>
        <w:t>274</w:t>
      </w:r>
      <w:r w:rsidRPr="005936B2">
        <w:rPr>
          <w:rFonts w:ascii="Book Antiqua" w:eastAsia="宋体" w:hAnsi="Book Antiqua" w:cs="宋体"/>
          <w:kern w:val="0"/>
          <w:sz w:val="24"/>
          <w:szCs w:val="24"/>
        </w:rPr>
        <w:t>: 31740-31749 [PMID: 10531386 DOI: 10.1074/jbc.274.44.31740]</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244 </w:t>
      </w:r>
      <w:r w:rsidRPr="005936B2">
        <w:rPr>
          <w:rFonts w:ascii="Book Antiqua" w:eastAsia="宋体" w:hAnsi="Book Antiqua" w:cs="宋体"/>
          <w:b/>
          <w:bCs/>
          <w:kern w:val="0"/>
          <w:sz w:val="24"/>
          <w:szCs w:val="24"/>
        </w:rPr>
        <w:t>Bierhaus A</w:t>
      </w:r>
      <w:r w:rsidRPr="005936B2">
        <w:rPr>
          <w:rFonts w:ascii="Book Antiqua" w:eastAsia="宋体" w:hAnsi="Book Antiqua" w:cs="宋体"/>
          <w:kern w:val="0"/>
          <w:sz w:val="24"/>
          <w:szCs w:val="24"/>
        </w:rPr>
        <w:t xml:space="preserve">, Schiekofer S, Schwaninger M, Andrassy M, Humpert PM, Chen J, Hong M, Luther T, Henle T, Klöting I, Morcos M, Hofmann M, Tritschler H, Weigle B, Kasper M, Smith M, Perry G, Schmidt AM, Stern DM, Häring HU, Schleicher E, </w:t>
      </w:r>
      <w:r w:rsidRPr="005936B2">
        <w:rPr>
          <w:rFonts w:ascii="Book Antiqua" w:eastAsia="宋体" w:hAnsi="Book Antiqua" w:cs="宋体"/>
          <w:kern w:val="0"/>
          <w:sz w:val="24"/>
          <w:szCs w:val="24"/>
        </w:rPr>
        <w:lastRenderedPageBreak/>
        <w:t>Nawroth PP. Diabetes-associated sustained activation of the transcription factor nuclear factor-kappaB. </w:t>
      </w:r>
      <w:r w:rsidRPr="005936B2">
        <w:rPr>
          <w:rFonts w:ascii="Book Antiqua" w:eastAsia="宋体" w:hAnsi="Book Antiqua" w:cs="宋体"/>
          <w:i/>
          <w:iCs/>
          <w:kern w:val="0"/>
          <w:sz w:val="24"/>
          <w:szCs w:val="24"/>
        </w:rPr>
        <w:t>Diabetes</w:t>
      </w:r>
      <w:r w:rsidRPr="005936B2">
        <w:rPr>
          <w:rFonts w:ascii="Book Antiqua" w:eastAsia="宋体" w:hAnsi="Book Antiqua" w:cs="宋体"/>
          <w:kern w:val="0"/>
          <w:sz w:val="24"/>
          <w:szCs w:val="24"/>
        </w:rPr>
        <w:t> 2001; </w:t>
      </w:r>
      <w:r w:rsidRPr="005936B2">
        <w:rPr>
          <w:rFonts w:ascii="Book Antiqua" w:eastAsia="宋体" w:hAnsi="Book Antiqua" w:cs="宋体"/>
          <w:b/>
          <w:bCs/>
          <w:kern w:val="0"/>
          <w:sz w:val="24"/>
          <w:szCs w:val="24"/>
        </w:rPr>
        <w:t>50</w:t>
      </w:r>
      <w:r w:rsidRPr="005936B2">
        <w:rPr>
          <w:rFonts w:ascii="Book Antiqua" w:eastAsia="宋体" w:hAnsi="Book Antiqua" w:cs="宋体"/>
          <w:kern w:val="0"/>
          <w:sz w:val="24"/>
          <w:szCs w:val="24"/>
        </w:rPr>
        <w:t>: 2792-2808 [PMID: 11723063 DOI: 10.2337/diabetes.50.12.2792]</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245 </w:t>
      </w:r>
      <w:r w:rsidRPr="005936B2">
        <w:rPr>
          <w:rFonts w:ascii="Book Antiqua" w:eastAsia="宋体" w:hAnsi="Book Antiqua" w:cs="宋体"/>
          <w:b/>
          <w:bCs/>
          <w:kern w:val="0"/>
          <w:sz w:val="24"/>
          <w:szCs w:val="24"/>
        </w:rPr>
        <w:t>Xue J</w:t>
      </w:r>
      <w:r w:rsidRPr="005936B2">
        <w:rPr>
          <w:rFonts w:ascii="Book Antiqua" w:eastAsia="宋体" w:hAnsi="Book Antiqua" w:cs="宋体"/>
          <w:kern w:val="0"/>
          <w:sz w:val="24"/>
          <w:szCs w:val="24"/>
        </w:rPr>
        <w:t>, Ray R, Singer D, Böhme D, Burz DS, Rai V, Hoffmann R, Shekhtman A. The receptor for advanced glycation end products (RAGE) specifically recognizes methylglyoxal-derived AGEs. </w:t>
      </w:r>
      <w:r w:rsidRPr="005936B2">
        <w:rPr>
          <w:rFonts w:ascii="Book Antiqua" w:eastAsia="宋体" w:hAnsi="Book Antiqua" w:cs="宋体"/>
          <w:i/>
          <w:iCs/>
          <w:kern w:val="0"/>
          <w:sz w:val="24"/>
          <w:szCs w:val="24"/>
        </w:rPr>
        <w:t>Biochemistry</w:t>
      </w:r>
      <w:r w:rsidRPr="005936B2">
        <w:rPr>
          <w:rFonts w:ascii="Book Antiqua" w:eastAsia="宋体" w:hAnsi="Book Antiqua" w:cs="宋体"/>
          <w:kern w:val="0"/>
          <w:sz w:val="24"/>
          <w:szCs w:val="24"/>
        </w:rPr>
        <w:t> 2014; </w:t>
      </w:r>
      <w:r w:rsidRPr="005936B2">
        <w:rPr>
          <w:rFonts w:ascii="Book Antiqua" w:eastAsia="宋体" w:hAnsi="Book Antiqua" w:cs="宋体"/>
          <w:b/>
          <w:bCs/>
          <w:kern w:val="0"/>
          <w:sz w:val="24"/>
          <w:szCs w:val="24"/>
        </w:rPr>
        <w:t>53</w:t>
      </w:r>
      <w:r w:rsidRPr="005936B2">
        <w:rPr>
          <w:rFonts w:ascii="Book Antiqua" w:eastAsia="宋体" w:hAnsi="Book Antiqua" w:cs="宋体"/>
          <w:kern w:val="0"/>
          <w:sz w:val="24"/>
          <w:szCs w:val="24"/>
        </w:rPr>
        <w:t>: 3327-3335 [PMID: 24824951 DOI: 10.1021/bi500046t]</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246 </w:t>
      </w:r>
      <w:r w:rsidRPr="005936B2">
        <w:rPr>
          <w:rFonts w:ascii="Book Antiqua" w:eastAsia="宋体" w:hAnsi="Book Antiqua" w:cs="宋体"/>
          <w:b/>
          <w:bCs/>
          <w:kern w:val="0"/>
          <w:sz w:val="24"/>
          <w:szCs w:val="24"/>
        </w:rPr>
        <w:t>Schmidt AM</w:t>
      </w:r>
      <w:r w:rsidRPr="005936B2">
        <w:rPr>
          <w:rFonts w:ascii="Book Antiqua" w:eastAsia="宋体" w:hAnsi="Book Antiqua" w:cs="宋体"/>
          <w:kern w:val="0"/>
          <w:sz w:val="24"/>
          <w:szCs w:val="24"/>
        </w:rPr>
        <w:t>, Vianna M, Gerlach M, Brett J, Ryan J, Kao J, Esposito C, Hegarty H, Hurley W, Clauss M. Isolation and characterization of two binding proteins for advanced glycosylation end products from bovine lung which are present on the endothelial cell surface. </w:t>
      </w:r>
      <w:r w:rsidRPr="005936B2">
        <w:rPr>
          <w:rFonts w:ascii="Book Antiqua" w:eastAsia="宋体" w:hAnsi="Book Antiqua" w:cs="宋体"/>
          <w:i/>
          <w:iCs/>
          <w:kern w:val="0"/>
          <w:sz w:val="24"/>
          <w:szCs w:val="24"/>
        </w:rPr>
        <w:t>J Biol Chem</w:t>
      </w:r>
      <w:r w:rsidRPr="005936B2">
        <w:rPr>
          <w:rFonts w:ascii="Book Antiqua" w:eastAsia="宋体" w:hAnsi="Book Antiqua" w:cs="宋体"/>
          <w:kern w:val="0"/>
          <w:sz w:val="24"/>
          <w:szCs w:val="24"/>
        </w:rPr>
        <w:t> 1992; </w:t>
      </w:r>
      <w:r w:rsidRPr="005936B2">
        <w:rPr>
          <w:rFonts w:ascii="Book Antiqua" w:eastAsia="宋体" w:hAnsi="Book Antiqua" w:cs="宋体"/>
          <w:b/>
          <w:bCs/>
          <w:kern w:val="0"/>
          <w:sz w:val="24"/>
          <w:szCs w:val="24"/>
        </w:rPr>
        <w:t>267</w:t>
      </w:r>
      <w:r w:rsidRPr="005936B2">
        <w:rPr>
          <w:rFonts w:ascii="Book Antiqua" w:eastAsia="宋体" w:hAnsi="Book Antiqua" w:cs="宋体"/>
          <w:kern w:val="0"/>
          <w:sz w:val="24"/>
          <w:szCs w:val="24"/>
        </w:rPr>
        <w:t>: 14987-14997 [PMID: 1321822]</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247 </w:t>
      </w:r>
      <w:r w:rsidRPr="005936B2">
        <w:rPr>
          <w:rFonts w:ascii="Book Antiqua" w:eastAsia="宋体" w:hAnsi="Book Antiqua" w:cs="宋体"/>
          <w:b/>
          <w:bCs/>
          <w:kern w:val="0"/>
          <w:sz w:val="24"/>
          <w:szCs w:val="24"/>
        </w:rPr>
        <w:t>Yeh CH</w:t>
      </w:r>
      <w:r w:rsidRPr="005936B2">
        <w:rPr>
          <w:rFonts w:ascii="Book Antiqua" w:eastAsia="宋体" w:hAnsi="Book Antiqua" w:cs="宋体"/>
          <w:kern w:val="0"/>
          <w:sz w:val="24"/>
          <w:szCs w:val="24"/>
        </w:rPr>
        <w:t>, Sturgis L, Haidacher J, Zhang XN, Sherwood SJ, Bjercke RJ, Juhasz O, Crow MT, Tilton RG, Denner L. Requirement for p38 and p44/p42 mitogen-activated protein kinases in RAGE-mediated nuclear factor-kappaB transcriptional activation and cytokine secretion. </w:t>
      </w:r>
      <w:r w:rsidRPr="005936B2">
        <w:rPr>
          <w:rFonts w:ascii="Book Antiqua" w:eastAsia="宋体" w:hAnsi="Book Antiqua" w:cs="宋体"/>
          <w:i/>
          <w:iCs/>
          <w:kern w:val="0"/>
          <w:sz w:val="24"/>
          <w:szCs w:val="24"/>
        </w:rPr>
        <w:t>Diabetes</w:t>
      </w:r>
      <w:r w:rsidRPr="005936B2">
        <w:rPr>
          <w:rFonts w:ascii="Book Antiqua" w:eastAsia="宋体" w:hAnsi="Book Antiqua" w:cs="宋体"/>
          <w:kern w:val="0"/>
          <w:sz w:val="24"/>
          <w:szCs w:val="24"/>
        </w:rPr>
        <w:t> 2001; </w:t>
      </w:r>
      <w:r w:rsidRPr="005936B2">
        <w:rPr>
          <w:rFonts w:ascii="Book Antiqua" w:eastAsia="宋体" w:hAnsi="Book Antiqua" w:cs="宋体"/>
          <w:b/>
          <w:bCs/>
          <w:kern w:val="0"/>
          <w:sz w:val="24"/>
          <w:szCs w:val="24"/>
        </w:rPr>
        <w:t>50</w:t>
      </w:r>
      <w:r w:rsidRPr="005936B2">
        <w:rPr>
          <w:rFonts w:ascii="Book Antiqua" w:eastAsia="宋体" w:hAnsi="Book Antiqua" w:cs="宋体"/>
          <w:kern w:val="0"/>
          <w:sz w:val="24"/>
          <w:szCs w:val="24"/>
        </w:rPr>
        <w:t>: 1495-1504 [PMID: 11375353 DOI: 10.2337/diabetes.50.6.1495]</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 xml:space="preserve">248 </w:t>
      </w:r>
      <w:r w:rsidRPr="005936B2">
        <w:rPr>
          <w:rFonts w:ascii="Book Antiqua" w:eastAsia="宋体" w:hAnsi="Book Antiqua" w:cs="宋体"/>
          <w:b/>
          <w:kern w:val="0"/>
          <w:sz w:val="24"/>
          <w:szCs w:val="24"/>
        </w:rPr>
        <w:t>Odjakova M</w:t>
      </w:r>
      <w:r w:rsidRPr="005936B2">
        <w:rPr>
          <w:rFonts w:ascii="Book Antiqua" w:eastAsia="宋体" w:hAnsi="Book Antiqua" w:cs="宋体"/>
          <w:kern w:val="0"/>
          <w:sz w:val="24"/>
          <w:szCs w:val="24"/>
        </w:rPr>
        <w:t>, Popova E, Merilin Al S, Mironova R. Plant-derived agents with antiglycation activity. In: Petrescu S. Glycosylation. Rijeka: InTech-Open Access Publisher, 2012: 223-256 [DOI: 10.5772/48186]</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249 </w:t>
      </w:r>
      <w:r w:rsidRPr="005936B2">
        <w:rPr>
          <w:rFonts w:ascii="Book Antiqua" w:eastAsia="宋体" w:hAnsi="Book Antiqua" w:cs="宋体"/>
          <w:b/>
          <w:bCs/>
          <w:kern w:val="0"/>
          <w:sz w:val="24"/>
          <w:szCs w:val="24"/>
        </w:rPr>
        <w:t>Yuk IH</w:t>
      </w:r>
      <w:r w:rsidRPr="005936B2">
        <w:rPr>
          <w:rFonts w:ascii="Book Antiqua" w:eastAsia="宋体" w:hAnsi="Book Antiqua" w:cs="宋体"/>
          <w:kern w:val="0"/>
          <w:sz w:val="24"/>
          <w:szCs w:val="24"/>
        </w:rPr>
        <w:t>, Zhang B, Yang Y, Dutina G, Leach KD, Vijayasankaran N, Shen AY, Andersen DC, Snedecor BR, Joly JC. Controlling glycation of recombinant antibody in fed-batch cell cultures. </w:t>
      </w:r>
      <w:r w:rsidRPr="005936B2">
        <w:rPr>
          <w:rFonts w:ascii="Book Antiqua" w:eastAsia="宋体" w:hAnsi="Book Antiqua" w:cs="宋体"/>
          <w:i/>
          <w:iCs/>
          <w:kern w:val="0"/>
          <w:sz w:val="24"/>
          <w:szCs w:val="24"/>
        </w:rPr>
        <w:t>Biotechnol Bioeng</w:t>
      </w:r>
      <w:r w:rsidRPr="005936B2">
        <w:rPr>
          <w:rFonts w:ascii="Book Antiqua" w:eastAsia="宋体" w:hAnsi="Book Antiqua" w:cs="宋体"/>
          <w:kern w:val="0"/>
          <w:sz w:val="24"/>
          <w:szCs w:val="24"/>
        </w:rPr>
        <w:t> 2011; </w:t>
      </w:r>
      <w:r w:rsidRPr="005936B2">
        <w:rPr>
          <w:rFonts w:ascii="Book Antiqua" w:eastAsia="宋体" w:hAnsi="Book Antiqua" w:cs="宋体"/>
          <w:b/>
          <w:bCs/>
          <w:kern w:val="0"/>
          <w:sz w:val="24"/>
          <w:szCs w:val="24"/>
        </w:rPr>
        <w:t>108</w:t>
      </w:r>
      <w:r w:rsidRPr="005936B2">
        <w:rPr>
          <w:rFonts w:ascii="Book Antiqua" w:eastAsia="宋体" w:hAnsi="Book Antiqua" w:cs="宋体"/>
          <w:kern w:val="0"/>
          <w:sz w:val="24"/>
          <w:szCs w:val="24"/>
        </w:rPr>
        <w:t>: 2600-2610 [PMID: 21618472 DOI: 10.1002/bit.23218]</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250 </w:t>
      </w:r>
      <w:r w:rsidRPr="005936B2">
        <w:rPr>
          <w:rFonts w:ascii="Book Antiqua" w:eastAsia="宋体" w:hAnsi="Book Antiqua" w:cs="宋体"/>
          <w:b/>
          <w:bCs/>
          <w:kern w:val="0"/>
          <w:sz w:val="24"/>
          <w:szCs w:val="24"/>
        </w:rPr>
        <w:t>Makar TK</w:t>
      </w:r>
      <w:r w:rsidRPr="005936B2">
        <w:rPr>
          <w:rFonts w:ascii="Book Antiqua" w:eastAsia="宋体" w:hAnsi="Book Antiqua" w:cs="宋体"/>
          <w:kern w:val="0"/>
          <w:sz w:val="24"/>
          <w:szCs w:val="24"/>
        </w:rPr>
        <w:t>, Nedergaard M, Preuss A, Hertz L, Cooper AJ. Glutamine transaminase K and omega-amidase activities in primary cultures of astrocytes and neurons and in embryonic chick forebrain: marked induction of brain glutamine transaminase K at time of hatching. </w:t>
      </w:r>
      <w:r w:rsidRPr="005936B2">
        <w:rPr>
          <w:rFonts w:ascii="Book Antiqua" w:eastAsia="宋体" w:hAnsi="Book Antiqua" w:cs="宋体"/>
          <w:i/>
          <w:iCs/>
          <w:kern w:val="0"/>
          <w:sz w:val="24"/>
          <w:szCs w:val="24"/>
        </w:rPr>
        <w:t>J Neurochem</w:t>
      </w:r>
      <w:r w:rsidRPr="005936B2">
        <w:rPr>
          <w:rFonts w:ascii="Book Antiqua" w:eastAsia="宋体" w:hAnsi="Book Antiqua" w:cs="宋体"/>
          <w:kern w:val="0"/>
          <w:sz w:val="24"/>
          <w:szCs w:val="24"/>
        </w:rPr>
        <w:t> 1994; </w:t>
      </w:r>
      <w:r w:rsidRPr="005936B2">
        <w:rPr>
          <w:rFonts w:ascii="Book Antiqua" w:eastAsia="宋体" w:hAnsi="Book Antiqua" w:cs="宋体"/>
          <w:b/>
          <w:bCs/>
          <w:kern w:val="0"/>
          <w:sz w:val="24"/>
          <w:szCs w:val="24"/>
        </w:rPr>
        <w:t>62</w:t>
      </w:r>
      <w:r w:rsidRPr="005936B2">
        <w:rPr>
          <w:rFonts w:ascii="Book Antiqua" w:eastAsia="宋体" w:hAnsi="Book Antiqua" w:cs="宋体"/>
          <w:kern w:val="0"/>
          <w:sz w:val="24"/>
          <w:szCs w:val="24"/>
        </w:rPr>
        <w:t>: 1983-1988 [PMID: 8158144 DOI: 10.1016/j.ab.2007.09.027]</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t>251 </w:t>
      </w:r>
      <w:r w:rsidRPr="005936B2">
        <w:rPr>
          <w:rFonts w:ascii="Book Antiqua" w:eastAsia="宋体" w:hAnsi="Book Antiqua" w:cs="宋体"/>
          <w:b/>
          <w:bCs/>
          <w:kern w:val="0"/>
          <w:sz w:val="24"/>
          <w:szCs w:val="24"/>
        </w:rPr>
        <w:t>Susic D</w:t>
      </w:r>
      <w:r w:rsidRPr="005936B2">
        <w:rPr>
          <w:rFonts w:ascii="Book Antiqua" w:eastAsia="宋体" w:hAnsi="Book Antiqua" w:cs="宋体"/>
          <w:kern w:val="0"/>
          <w:sz w:val="24"/>
          <w:szCs w:val="24"/>
        </w:rPr>
        <w:t>, Varagic J, Ahn J, Frohlich ED. Crosslink breakers: a new approach to cardiovascular therapy. </w:t>
      </w:r>
      <w:r w:rsidRPr="005936B2">
        <w:rPr>
          <w:rFonts w:ascii="Book Antiqua" w:eastAsia="宋体" w:hAnsi="Book Antiqua" w:cs="宋体"/>
          <w:i/>
          <w:iCs/>
          <w:kern w:val="0"/>
          <w:sz w:val="24"/>
          <w:szCs w:val="24"/>
        </w:rPr>
        <w:t>Curr Opin Cardiol</w:t>
      </w:r>
      <w:r w:rsidRPr="005936B2">
        <w:rPr>
          <w:rFonts w:ascii="Book Antiqua" w:eastAsia="宋体" w:hAnsi="Book Antiqua" w:cs="宋体"/>
          <w:kern w:val="0"/>
          <w:sz w:val="24"/>
          <w:szCs w:val="24"/>
        </w:rPr>
        <w:t> 2004; </w:t>
      </w:r>
      <w:r w:rsidRPr="005936B2">
        <w:rPr>
          <w:rFonts w:ascii="Book Antiqua" w:eastAsia="宋体" w:hAnsi="Book Antiqua" w:cs="宋体"/>
          <w:b/>
          <w:bCs/>
          <w:kern w:val="0"/>
          <w:sz w:val="24"/>
          <w:szCs w:val="24"/>
        </w:rPr>
        <w:t>19</w:t>
      </w:r>
      <w:r w:rsidRPr="005936B2">
        <w:rPr>
          <w:rFonts w:ascii="Book Antiqua" w:eastAsia="宋体" w:hAnsi="Book Antiqua" w:cs="宋体"/>
          <w:kern w:val="0"/>
          <w:sz w:val="24"/>
          <w:szCs w:val="24"/>
        </w:rPr>
        <w:t>: 336-340 [PMID: 15218393 DOI: 10.1097/01.hco.0000127135.73849.4f]</w:t>
      </w:r>
    </w:p>
    <w:p w:rsidR="007A0C7D" w:rsidRPr="005936B2" w:rsidRDefault="007A0C7D" w:rsidP="007A0C7D">
      <w:pPr>
        <w:widowControl/>
        <w:spacing w:line="360" w:lineRule="auto"/>
        <w:rPr>
          <w:rFonts w:ascii="Book Antiqua" w:eastAsia="宋体" w:hAnsi="Book Antiqua" w:cs="宋体"/>
          <w:kern w:val="0"/>
          <w:sz w:val="24"/>
          <w:szCs w:val="24"/>
        </w:rPr>
      </w:pPr>
      <w:r w:rsidRPr="005936B2">
        <w:rPr>
          <w:rFonts w:ascii="Book Antiqua" w:eastAsia="宋体" w:hAnsi="Book Antiqua" w:cs="宋体"/>
          <w:kern w:val="0"/>
          <w:sz w:val="24"/>
          <w:szCs w:val="24"/>
        </w:rPr>
        <w:lastRenderedPageBreak/>
        <w:t>252 </w:t>
      </w:r>
      <w:r w:rsidRPr="005936B2">
        <w:rPr>
          <w:rFonts w:ascii="Book Antiqua" w:eastAsia="宋体" w:hAnsi="Book Antiqua" w:cs="宋体"/>
          <w:b/>
          <w:bCs/>
          <w:kern w:val="0"/>
          <w:sz w:val="24"/>
          <w:szCs w:val="24"/>
        </w:rPr>
        <w:t>Coughlan MT</w:t>
      </w:r>
      <w:r w:rsidRPr="005936B2">
        <w:rPr>
          <w:rFonts w:ascii="Book Antiqua" w:eastAsia="宋体" w:hAnsi="Book Antiqua" w:cs="宋体"/>
          <w:kern w:val="0"/>
          <w:sz w:val="24"/>
          <w:szCs w:val="24"/>
        </w:rPr>
        <w:t xml:space="preserve">, Forbes JM, Cooper ME. </w:t>
      </w:r>
      <w:proofErr w:type="gramStart"/>
      <w:r w:rsidRPr="005936B2">
        <w:rPr>
          <w:rFonts w:ascii="Book Antiqua" w:eastAsia="宋体" w:hAnsi="Book Antiqua" w:cs="宋体"/>
          <w:kern w:val="0"/>
          <w:sz w:val="24"/>
          <w:szCs w:val="24"/>
        </w:rPr>
        <w:t>Role of the AGE crosslink breaker, alagebrium, as a renoprotective agent in diabetes.</w:t>
      </w:r>
      <w:proofErr w:type="gramEnd"/>
      <w:r w:rsidRPr="005936B2">
        <w:rPr>
          <w:rFonts w:ascii="Book Antiqua" w:eastAsia="宋体" w:hAnsi="Book Antiqua" w:cs="宋体"/>
          <w:kern w:val="0"/>
          <w:sz w:val="24"/>
          <w:szCs w:val="24"/>
        </w:rPr>
        <w:t> </w:t>
      </w:r>
      <w:r w:rsidRPr="005936B2">
        <w:rPr>
          <w:rFonts w:ascii="Book Antiqua" w:eastAsia="宋体" w:hAnsi="Book Antiqua" w:cs="宋体"/>
          <w:i/>
          <w:iCs/>
          <w:kern w:val="0"/>
          <w:sz w:val="24"/>
          <w:szCs w:val="24"/>
        </w:rPr>
        <w:t>Kidney Int Suppl</w:t>
      </w:r>
      <w:r w:rsidR="007A30DF" w:rsidRPr="005936B2">
        <w:rPr>
          <w:rFonts w:ascii="Book Antiqua" w:eastAsia="宋体" w:hAnsi="Book Antiqua" w:cs="宋体"/>
          <w:kern w:val="0"/>
          <w:sz w:val="24"/>
          <w:szCs w:val="24"/>
        </w:rPr>
        <w:t> 2007;</w:t>
      </w:r>
      <w:r w:rsidR="007A30DF" w:rsidRPr="005936B2">
        <w:rPr>
          <w:rFonts w:ascii="Book Antiqua" w:eastAsia="宋体" w:hAnsi="Book Antiqua" w:cs="宋体"/>
          <w:b/>
          <w:kern w:val="0"/>
          <w:sz w:val="24"/>
          <w:szCs w:val="24"/>
        </w:rPr>
        <w:t xml:space="preserve"> (106)</w:t>
      </w:r>
      <w:r w:rsidRPr="005936B2">
        <w:rPr>
          <w:rFonts w:ascii="Book Antiqua" w:eastAsia="宋体" w:hAnsi="Book Antiqua" w:cs="宋体"/>
          <w:b/>
          <w:kern w:val="0"/>
          <w:sz w:val="24"/>
          <w:szCs w:val="24"/>
        </w:rPr>
        <w:t xml:space="preserve">: </w:t>
      </w:r>
      <w:r w:rsidRPr="005936B2">
        <w:rPr>
          <w:rFonts w:ascii="Book Antiqua" w:eastAsia="宋体" w:hAnsi="Book Antiqua" w:cs="宋体"/>
          <w:kern w:val="0"/>
          <w:sz w:val="24"/>
          <w:szCs w:val="24"/>
        </w:rPr>
        <w:t>S54-S60 [PMID: 17653212 DOI: 10.1038/sj.ki.5002387]</w:t>
      </w:r>
    </w:p>
    <w:p w:rsidR="00B91FC5" w:rsidRPr="005936B2" w:rsidRDefault="00B91FC5" w:rsidP="007A0C7D">
      <w:pPr>
        <w:widowControl/>
        <w:spacing w:line="360" w:lineRule="auto"/>
        <w:rPr>
          <w:rFonts w:ascii="Book Antiqua" w:eastAsia="宋体" w:hAnsi="Book Antiqua" w:cs="宋体"/>
          <w:kern w:val="0"/>
          <w:sz w:val="24"/>
          <w:szCs w:val="24"/>
        </w:rPr>
      </w:pPr>
    </w:p>
    <w:p w:rsidR="00B91FC5" w:rsidRPr="005936B2" w:rsidRDefault="007A30DF" w:rsidP="007A30DF">
      <w:pPr>
        <w:pStyle w:val="ListParagraph"/>
        <w:wordWrap w:val="0"/>
        <w:spacing w:line="360" w:lineRule="auto"/>
        <w:ind w:left="360" w:right="120"/>
        <w:jc w:val="right"/>
        <w:rPr>
          <w:rFonts w:ascii="Book Antiqua" w:hAnsi="Book Antiqua"/>
          <w:b/>
          <w:bCs/>
          <w:color w:val="000000"/>
          <w:sz w:val="24"/>
          <w:szCs w:val="24"/>
        </w:rPr>
      </w:pPr>
      <w:bookmarkStart w:id="7" w:name="OLE_LINK427"/>
      <w:bookmarkStart w:id="8" w:name="OLE_LINK435"/>
      <w:bookmarkStart w:id="9" w:name="OLE_LINK516"/>
      <w:bookmarkStart w:id="10" w:name="OLE_LINK45"/>
      <w:bookmarkStart w:id="11" w:name="OLE_LINK132"/>
      <w:bookmarkStart w:id="12" w:name="OLE_LINK529"/>
      <w:bookmarkStart w:id="13" w:name="OLE_LINK541"/>
      <w:bookmarkStart w:id="14" w:name="OLE_LINK560"/>
      <w:bookmarkStart w:id="15" w:name="OLE_LINK558"/>
      <w:r w:rsidRPr="005936B2">
        <w:rPr>
          <w:rStyle w:val="Strong"/>
          <w:rFonts w:ascii="Book Antiqua" w:hAnsi="Book Antiqua" w:cs="Arial"/>
          <w:bCs w:val="0"/>
          <w:noProof/>
          <w:color w:val="000000"/>
          <w:sz w:val="24"/>
          <w:szCs w:val="24"/>
        </w:rPr>
        <w:t>P-Reviewer:</w:t>
      </w:r>
      <w:r w:rsidRPr="005936B2">
        <w:rPr>
          <w:rFonts w:ascii="Book Antiqua" w:hAnsi="Book Antiqua"/>
          <w:bCs/>
          <w:color w:val="000000"/>
          <w:sz w:val="24"/>
          <w:szCs w:val="24"/>
        </w:rPr>
        <w:t xml:space="preserve">  </w:t>
      </w:r>
      <w:r w:rsidR="00B91FC5" w:rsidRPr="005936B2">
        <w:rPr>
          <w:rFonts w:ascii="Book Antiqua" w:hAnsi="Book Antiqua"/>
          <w:bCs/>
          <w:color w:val="000000"/>
          <w:sz w:val="24"/>
          <w:szCs w:val="24"/>
        </w:rPr>
        <w:t>Ferrante A,</w:t>
      </w:r>
      <w:r w:rsidR="00B91FC5" w:rsidRPr="005936B2">
        <w:rPr>
          <w:rFonts w:ascii="Book Antiqua" w:hAnsi="Book Antiqua"/>
          <w:sz w:val="24"/>
          <w:szCs w:val="24"/>
        </w:rPr>
        <w:t xml:space="preserve"> </w:t>
      </w:r>
      <w:r w:rsidR="00B91FC5" w:rsidRPr="005936B2">
        <w:rPr>
          <w:rFonts w:ascii="Book Antiqua" w:hAnsi="Book Antiqua"/>
          <w:bCs/>
          <w:color w:val="000000"/>
          <w:sz w:val="24"/>
          <w:szCs w:val="24"/>
        </w:rPr>
        <w:t xml:space="preserve">Kwon HJ, Nagata T </w:t>
      </w:r>
      <w:r w:rsidRPr="005936B2">
        <w:rPr>
          <w:rFonts w:ascii="Book Antiqua" w:hAnsi="Book Antiqua"/>
          <w:b/>
          <w:bCs/>
          <w:color w:val="000000"/>
          <w:sz w:val="24"/>
          <w:szCs w:val="24"/>
        </w:rPr>
        <w:t>S-Editor:</w:t>
      </w:r>
      <w:r w:rsidRPr="005936B2">
        <w:rPr>
          <w:rFonts w:ascii="Book Antiqua" w:hAnsi="Book Antiqua"/>
          <w:bCs/>
          <w:color w:val="000000"/>
          <w:sz w:val="24"/>
          <w:szCs w:val="24"/>
        </w:rPr>
        <w:t xml:space="preserve"> Qi Y</w:t>
      </w:r>
    </w:p>
    <w:p w:rsidR="007A30DF" w:rsidRPr="005936B2" w:rsidRDefault="007A30DF" w:rsidP="00B91FC5">
      <w:pPr>
        <w:pStyle w:val="ListParagraph"/>
        <w:spacing w:line="360" w:lineRule="auto"/>
        <w:ind w:left="360" w:right="120"/>
        <w:jc w:val="right"/>
        <w:rPr>
          <w:rFonts w:ascii="Book Antiqua" w:hAnsi="Book Antiqua"/>
          <w:b/>
          <w:bCs/>
          <w:color w:val="000000"/>
          <w:sz w:val="24"/>
          <w:szCs w:val="24"/>
        </w:rPr>
      </w:pPr>
      <w:r w:rsidRPr="005936B2">
        <w:rPr>
          <w:rFonts w:ascii="Book Antiqua" w:hAnsi="Book Antiqua"/>
          <w:b/>
          <w:bCs/>
          <w:color w:val="000000"/>
          <w:sz w:val="24"/>
          <w:szCs w:val="24"/>
        </w:rPr>
        <w:t xml:space="preserve"> L-Editor:   E-Editor:</w:t>
      </w:r>
    </w:p>
    <w:bookmarkEnd w:id="7"/>
    <w:bookmarkEnd w:id="8"/>
    <w:bookmarkEnd w:id="9"/>
    <w:bookmarkEnd w:id="10"/>
    <w:bookmarkEnd w:id="11"/>
    <w:bookmarkEnd w:id="12"/>
    <w:bookmarkEnd w:id="13"/>
    <w:bookmarkEnd w:id="14"/>
    <w:bookmarkEnd w:id="15"/>
    <w:p w:rsidR="007A30DF" w:rsidRPr="005936B2" w:rsidRDefault="007A30DF" w:rsidP="007A30DF">
      <w:pPr>
        <w:spacing w:line="360" w:lineRule="auto"/>
        <w:rPr>
          <w:rFonts w:ascii="Book Antiqua" w:hAnsi="Book Antiqua"/>
          <w:b/>
          <w:sz w:val="24"/>
          <w:szCs w:val="24"/>
        </w:rPr>
        <w:sectPr w:rsidR="007A30DF" w:rsidRPr="005936B2" w:rsidSect="00F01A62">
          <w:pgSz w:w="11906" w:h="16838"/>
          <w:pgMar w:top="1417" w:right="1417" w:bottom="1417" w:left="1417" w:header="708" w:footer="708" w:gutter="0"/>
          <w:cols w:space="708"/>
          <w:docGrid w:linePitch="360"/>
        </w:sectPr>
      </w:pPr>
    </w:p>
    <w:bookmarkStart w:id="16" w:name="_MON_1509626038"/>
    <w:bookmarkEnd w:id="16"/>
    <w:p w:rsidR="007A30DF" w:rsidRPr="005936B2" w:rsidRDefault="007A30DF" w:rsidP="007A30DF">
      <w:pPr>
        <w:spacing w:line="360" w:lineRule="auto"/>
        <w:rPr>
          <w:rFonts w:ascii="Book Antiqua" w:eastAsia="宋体" w:hAnsi="Book Antiqua"/>
          <w:b/>
          <w:sz w:val="24"/>
          <w:szCs w:val="24"/>
        </w:rPr>
      </w:pPr>
      <w:r w:rsidRPr="005936B2">
        <w:rPr>
          <w:rFonts w:ascii="Book Antiqua" w:hAnsi="Book Antiqua"/>
          <w:b/>
          <w:sz w:val="24"/>
          <w:szCs w:val="24"/>
        </w:rPr>
        <w:object w:dxaOrig="9432" w:dyaOrig="7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9pt;height:355pt" o:ole="">
            <v:imagedata r:id="rId9" o:title=""/>
          </v:shape>
          <o:OLEObject Type="Embed" ProgID="Word.Document.12" ShapeID="_x0000_i1025" DrawAspect="Content" ObjectID="_1385399912" r:id="rId10">
            <o:FieldCodes>\s</o:FieldCodes>
          </o:OLEObject>
        </w:object>
      </w:r>
      <w:r w:rsidRPr="005936B2">
        <w:rPr>
          <w:rFonts w:ascii="Book Antiqua" w:hAnsi="Book Antiqua"/>
          <w:b/>
          <w:sz w:val="24"/>
          <w:szCs w:val="24"/>
        </w:rPr>
        <w:t>Figure 1 Maillard Reaction</w:t>
      </w:r>
      <w:r w:rsidRPr="005936B2">
        <w:rPr>
          <w:rFonts w:ascii="Book Antiqua" w:eastAsia="宋体" w:hAnsi="Book Antiqua"/>
          <w:b/>
          <w:sz w:val="24"/>
          <w:szCs w:val="24"/>
        </w:rPr>
        <w:t>.</w:t>
      </w: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bookmarkStart w:id="17" w:name="_MON_1509344968"/>
    <w:bookmarkEnd w:id="17"/>
    <w:p w:rsidR="007A30DF" w:rsidRPr="005936B2" w:rsidRDefault="007A30DF" w:rsidP="007A30DF">
      <w:pPr>
        <w:spacing w:line="360" w:lineRule="auto"/>
        <w:rPr>
          <w:rFonts w:ascii="Book Antiqua" w:hAnsi="Book Antiqua"/>
          <w:b/>
          <w:sz w:val="24"/>
          <w:szCs w:val="24"/>
        </w:rPr>
      </w:pPr>
      <w:r w:rsidRPr="005936B2">
        <w:rPr>
          <w:rFonts w:ascii="Book Antiqua" w:hAnsi="Book Antiqua"/>
          <w:b/>
          <w:sz w:val="24"/>
          <w:szCs w:val="24"/>
        </w:rPr>
        <w:object w:dxaOrig="9072" w:dyaOrig="5310">
          <v:shape id="_x0000_i1026" type="#_x0000_t75" style="width:453.4pt;height:265.9pt" o:ole="">
            <v:imagedata r:id="rId11" o:title=""/>
          </v:shape>
          <o:OLEObject Type="Embed" ProgID="Word.Document.12" ShapeID="_x0000_i1026" DrawAspect="Content" ObjectID="_1385399913" r:id="rId12">
            <o:FieldCodes>\s</o:FieldCodes>
          </o:OLEObject>
        </w:object>
      </w:r>
    </w:p>
    <w:p w:rsidR="007A30DF" w:rsidRPr="005936B2" w:rsidRDefault="007A30DF" w:rsidP="007A30DF">
      <w:pPr>
        <w:spacing w:line="360" w:lineRule="auto"/>
        <w:rPr>
          <w:rFonts w:ascii="Book Antiqua" w:eastAsia="宋体" w:hAnsi="Book Antiqua"/>
          <w:b/>
          <w:sz w:val="24"/>
          <w:szCs w:val="24"/>
        </w:rPr>
      </w:pPr>
      <w:r w:rsidRPr="005936B2">
        <w:rPr>
          <w:rFonts w:ascii="Book Antiqua" w:hAnsi="Book Antiqua"/>
          <w:b/>
          <w:sz w:val="24"/>
          <w:szCs w:val="24"/>
        </w:rPr>
        <w:t xml:space="preserve">Figure 2 Pathways of </w:t>
      </w:r>
      <w:r w:rsidR="00986405" w:rsidRPr="005936B2">
        <w:rPr>
          <w:rFonts w:ascii="Book Antiqua" w:hAnsi="Book Antiqua"/>
          <w:b/>
          <w:sz w:val="24"/>
          <w:szCs w:val="24"/>
        </w:rPr>
        <w:t>Nε</w:t>
      </w:r>
      <w:proofErr w:type="gramStart"/>
      <w:r w:rsidR="00986405" w:rsidRPr="005936B2">
        <w:rPr>
          <w:rFonts w:ascii="Book Antiqua" w:hAnsi="Book Antiqua"/>
          <w:b/>
          <w:sz w:val="24"/>
          <w:szCs w:val="24"/>
        </w:rPr>
        <w:t>-(</w:t>
      </w:r>
      <w:proofErr w:type="gramEnd"/>
      <w:r w:rsidR="00986405" w:rsidRPr="005936B2">
        <w:rPr>
          <w:rFonts w:ascii="Book Antiqua" w:hAnsi="Book Antiqua"/>
          <w:b/>
          <w:sz w:val="24"/>
          <w:szCs w:val="24"/>
        </w:rPr>
        <w:t xml:space="preserve">carboxymethyl)lysine </w:t>
      </w:r>
      <w:r w:rsidRPr="005936B2">
        <w:rPr>
          <w:rFonts w:ascii="Book Antiqua" w:hAnsi="Book Antiqua"/>
          <w:b/>
          <w:sz w:val="24"/>
          <w:szCs w:val="24"/>
        </w:rPr>
        <w:t>formation</w:t>
      </w:r>
      <w:r w:rsidRPr="005936B2">
        <w:rPr>
          <w:rFonts w:ascii="Book Antiqua" w:eastAsia="宋体" w:hAnsi="Book Antiqua"/>
          <w:b/>
          <w:sz w:val="24"/>
          <w:szCs w:val="24"/>
        </w:rPr>
        <w:t>.</w:t>
      </w: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sectPr w:rsidR="007A30DF" w:rsidRPr="005936B2" w:rsidSect="00F01A62">
          <w:pgSz w:w="11906" w:h="16838"/>
          <w:pgMar w:top="1417" w:right="1417" w:bottom="1417" w:left="1417" w:header="708" w:footer="708" w:gutter="0"/>
          <w:cols w:space="708"/>
          <w:docGrid w:linePitch="360"/>
        </w:sectPr>
      </w:pPr>
    </w:p>
    <w:bookmarkStart w:id="18" w:name="_MON_1509345135"/>
    <w:bookmarkEnd w:id="18"/>
    <w:p w:rsidR="007A30DF" w:rsidRPr="005936B2" w:rsidRDefault="007A30DF" w:rsidP="007A30DF">
      <w:pPr>
        <w:spacing w:line="360" w:lineRule="auto"/>
        <w:rPr>
          <w:rFonts w:ascii="Book Antiqua" w:hAnsi="Book Antiqua"/>
          <w:b/>
          <w:sz w:val="24"/>
          <w:szCs w:val="24"/>
        </w:rPr>
      </w:pPr>
      <w:r w:rsidRPr="005936B2">
        <w:rPr>
          <w:rFonts w:ascii="Book Antiqua" w:hAnsi="Book Antiqua"/>
          <w:b/>
          <w:sz w:val="24"/>
          <w:szCs w:val="24"/>
        </w:rPr>
        <w:object w:dxaOrig="9072" w:dyaOrig="4560">
          <v:shape id="_x0000_i1027" type="#_x0000_t75" style="width:453.4pt;height:227.4pt" o:ole="">
            <v:imagedata r:id="rId13" o:title=""/>
          </v:shape>
          <o:OLEObject Type="Embed" ProgID="Word.Document.12" ShapeID="_x0000_i1027" DrawAspect="Content" ObjectID="_1385399914" r:id="rId14">
            <o:FieldCodes>\s</o:FieldCodes>
          </o:OLEObject>
        </w:object>
      </w:r>
    </w:p>
    <w:p w:rsidR="007A30DF" w:rsidRPr="005936B2" w:rsidRDefault="007A30DF" w:rsidP="007A30DF">
      <w:pPr>
        <w:spacing w:line="360" w:lineRule="auto"/>
        <w:rPr>
          <w:rFonts w:ascii="Book Antiqua" w:eastAsia="宋体" w:hAnsi="Book Antiqua"/>
          <w:b/>
          <w:sz w:val="24"/>
          <w:szCs w:val="24"/>
        </w:rPr>
      </w:pPr>
      <w:r w:rsidRPr="005936B2">
        <w:rPr>
          <w:rFonts w:ascii="Book Antiqua" w:hAnsi="Book Antiqua"/>
          <w:b/>
          <w:sz w:val="24"/>
          <w:szCs w:val="24"/>
        </w:rPr>
        <w:t xml:space="preserve">       Figure 3 </w:t>
      </w:r>
      <w:proofErr w:type="gramStart"/>
      <w:r w:rsidRPr="005936B2">
        <w:rPr>
          <w:rFonts w:ascii="Book Antiqua" w:hAnsi="Book Antiqua"/>
          <w:b/>
          <w:sz w:val="24"/>
          <w:szCs w:val="24"/>
        </w:rPr>
        <w:t>Hydroimidazolones</w:t>
      </w:r>
      <w:r w:rsidRPr="005936B2">
        <w:rPr>
          <w:rFonts w:ascii="Book Antiqua" w:hAnsi="Book Antiqua"/>
          <w:b/>
          <w:sz w:val="24"/>
          <w:szCs w:val="24"/>
          <w:vertAlign w:val="superscript"/>
        </w:rPr>
        <w:t>[</w:t>
      </w:r>
      <w:proofErr w:type="gramEnd"/>
      <w:r w:rsidRPr="005936B2">
        <w:rPr>
          <w:rFonts w:ascii="Book Antiqua" w:hAnsi="Book Antiqua"/>
          <w:b/>
          <w:sz w:val="24"/>
          <w:szCs w:val="24"/>
          <w:vertAlign w:val="superscript"/>
        </w:rPr>
        <w:t>67]</w:t>
      </w:r>
      <w:r w:rsidRPr="005936B2">
        <w:rPr>
          <w:rFonts w:ascii="Book Antiqua" w:eastAsia="宋体" w:hAnsi="Book Antiqua"/>
          <w:b/>
          <w:sz w:val="24"/>
          <w:szCs w:val="24"/>
        </w:rPr>
        <w:t>.</w:t>
      </w:r>
    </w:p>
    <w:p w:rsidR="007A30DF" w:rsidRPr="005936B2" w:rsidRDefault="007A30DF" w:rsidP="007A30DF">
      <w:pPr>
        <w:spacing w:line="360" w:lineRule="auto"/>
        <w:rPr>
          <w:rFonts w:ascii="Book Antiqua" w:eastAsia="宋体" w:hAnsi="Book Antiqua"/>
          <w:b/>
          <w:sz w:val="24"/>
          <w:szCs w:val="24"/>
        </w:rPr>
        <w:sectPr w:rsidR="007A30DF" w:rsidRPr="005936B2" w:rsidSect="00F01A62">
          <w:pgSz w:w="11906" w:h="16838"/>
          <w:pgMar w:top="1417" w:right="1417" w:bottom="1417" w:left="1417" w:header="708" w:footer="708" w:gutter="0"/>
          <w:cols w:space="708"/>
          <w:docGrid w:linePitch="360"/>
        </w:sectPr>
      </w:pPr>
    </w:p>
    <w:bookmarkStart w:id="19" w:name="_MON_1509345335"/>
    <w:bookmarkEnd w:id="19"/>
    <w:p w:rsidR="007A30DF" w:rsidRPr="005936B2" w:rsidRDefault="007A30DF" w:rsidP="007A30DF">
      <w:pPr>
        <w:spacing w:line="360" w:lineRule="auto"/>
        <w:rPr>
          <w:rFonts w:ascii="Book Antiqua" w:hAnsi="Book Antiqua"/>
          <w:b/>
          <w:sz w:val="24"/>
          <w:szCs w:val="24"/>
        </w:rPr>
      </w:pPr>
      <w:r w:rsidRPr="005936B2">
        <w:rPr>
          <w:rFonts w:ascii="Book Antiqua" w:hAnsi="Book Antiqua"/>
          <w:b/>
          <w:sz w:val="24"/>
          <w:szCs w:val="24"/>
        </w:rPr>
        <w:object w:dxaOrig="9072" w:dyaOrig="5488">
          <v:shape id="_x0000_i1028" type="#_x0000_t75" style="width:453.4pt;height:274.45pt" o:ole="">
            <v:imagedata r:id="rId15" o:title=""/>
          </v:shape>
          <o:OLEObject Type="Embed" ProgID="Word.Document.12" ShapeID="_x0000_i1028" DrawAspect="Content" ObjectID="_1385399915" r:id="rId16">
            <o:FieldCodes>\s</o:FieldCodes>
          </o:OLEObject>
        </w:object>
      </w:r>
    </w:p>
    <w:p w:rsidR="007A30DF" w:rsidRPr="005936B2" w:rsidRDefault="007A30DF" w:rsidP="007A30DF">
      <w:pPr>
        <w:spacing w:line="360" w:lineRule="auto"/>
        <w:rPr>
          <w:rFonts w:ascii="Book Antiqua" w:eastAsia="宋体" w:hAnsi="Book Antiqua"/>
          <w:b/>
          <w:sz w:val="24"/>
          <w:szCs w:val="24"/>
        </w:rPr>
      </w:pPr>
      <w:r w:rsidRPr="005936B2">
        <w:rPr>
          <w:rFonts w:ascii="Book Antiqua" w:hAnsi="Book Antiqua"/>
          <w:b/>
          <w:sz w:val="24"/>
          <w:szCs w:val="24"/>
        </w:rPr>
        <w:t xml:space="preserve">Figure 4 Lysine-lysine </w:t>
      </w:r>
      <w:r w:rsidR="00986405" w:rsidRPr="005936B2">
        <w:rPr>
          <w:rFonts w:ascii="Book Antiqua" w:hAnsi="Book Antiqua"/>
          <w:b/>
          <w:sz w:val="24"/>
          <w:szCs w:val="24"/>
        </w:rPr>
        <w:t xml:space="preserve">advanced glycation end products </w:t>
      </w:r>
      <w:proofErr w:type="gramStart"/>
      <w:r w:rsidRPr="005936B2">
        <w:rPr>
          <w:rFonts w:ascii="Book Antiqua" w:hAnsi="Book Antiqua"/>
          <w:b/>
          <w:sz w:val="24"/>
          <w:szCs w:val="24"/>
        </w:rPr>
        <w:t>crosslinks</w:t>
      </w:r>
      <w:r w:rsidRPr="005936B2">
        <w:rPr>
          <w:rFonts w:ascii="Book Antiqua" w:hAnsi="Book Antiqua"/>
          <w:b/>
          <w:sz w:val="24"/>
          <w:szCs w:val="24"/>
          <w:vertAlign w:val="superscript"/>
        </w:rPr>
        <w:t>[</w:t>
      </w:r>
      <w:proofErr w:type="gramEnd"/>
      <w:r w:rsidRPr="005936B2">
        <w:rPr>
          <w:rFonts w:ascii="Book Antiqua" w:hAnsi="Book Antiqua"/>
          <w:b/>
          <w:sz w:val="24"/>
          <w:szCs w:val="24"/>
          <w:vertAlign w:val="superscript"/>
        </w:rPr>
        <w:t>67]</w:t>
      </w:r>
      <w:r w:rsidRPr="005936B2">
        <w:rPr>
          <w:rFonts w:ascii="Book Antiqua" w:eastAsia="宋体" w:hAnsi="Book Antiqua"/>
          <w:b/>
          <w:sz w:val="24"/>
          <w:szCs w:val="24"/>
        </w:rPr>
        <w:t>.</w:t>
      </w: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sectPr w:rsidR="007A30DF" w:rsidRPr="005936B2" w:rsidSect="00F01A62">
          <w:pgSz w:w="11906" w:h="16838"/>
          <w:pgMar w:top="1417" w:right="1417" w:bottom="1417" w:left="1417" w:header="708" w:footer="708" w:gutter="0"/>
          <w:cols w:space="708"/>
          <w:docGrid w:linePitch="360"/>
        </w:sectPr>
      </w:pPr>
    </w:p>
    <w:bookmarkStart w:id="20" w:name="_MON_1509626631"/>
    <w:bookmarkEnd w:id="20"/>
    <w:p w:rsidR="007A30DF" w:rsidRPr="005936B2" w:rsidRDefault="007A30DF" w:rsidP="007A30DF">
      <w:pPr>
        <w:spacing w:line="360" w:lineRule="auto"/>
        <w:rPr>
          <w:rFonts w:ascii="Book Antiqua" w:hAnsi="Book Antiqua"/>
          <w:b/>
          <w:sz w:val="24"/>
          <w:szCs w:val="24"/>
        </w:rPr>
      </w:pPr>
      <w:r w:rsidRPr="005936B2">
        <w:rPr>
          <w:rFonts w:ascii="Book Antiqua" w:hAnsi="Book Antiqua"/>
          <w:b/>
          <w:sz w:val="24"/>
          <w:szCs w:val="24"/>
        </w:rPr>
        <w:object w:dxaOrig="9072" w:dyaOrig="6604">
          <v:shape id="_x0000_i1029" type="#_x0000_t75" style="width:453.4pt;height:330.75pt" o:ole="">
            <v:imagedata r:id="rId17" o:title=""/>
          </v:shape>
          <o:OLEObject Type="Embed" ProgID="Word.Document.12" ShapeID="_x0000_i1029" DrawAspect="Content" ObjectID="_1385399916" r:id="rId18">
            <o:FieldCodes>\s</o:FieldCodes>
          </o:OLEObject>
        </w:object>
      </w:r>
    </w:p>
    <w:p w:rsidR="007A30DF" w:rsidRPr="005936B2" w:rsidRDefault="007A30DF" w:rsidP="007A30DF">
      <w:pPr>
        <w:spacing w:line="360" w:lineRule="auto"/>
        <w:rPr>
          <w:rFonts w:ascii="Book Antiqua" w:eastAsia="宋体" w:hAnsi="Book Antiqua"/>
          <w:b/>
          <w:sz w:val="24"/>
          <w:szCs w:val="24"/>
        </w:rPr>
      </w:pPr>
      <w:r w:rsidRPr="005936B2">
        <w:rPr>
          <w:rFonts w:ascii="Book Antiqua" w:hAnsi="Book Antiqua"/>
          <w:b/>
          <w:sz w:val="24"/>
          <w:szCs w:val="24"/>
        </w:rPr>
        <w:t xml:space="preserve">Figure 5 Biodistribution scheme illustrating flows of formation and removal of protein glycation free </w:t>
      </w:r>
      <w:proofErr w:type="gramStart"/>
      <w:r w:rsidRPr="005936B2">
        <w:rPr>
          <w:rFonts w:ascii="Book Antiqua" w:hAnsi="Book Antiqua"/>
          <w:b/>
          <w:sz w:val="24"/>
          <w:szCs w:val="24"/>
        </w:rPr>
        <w:t>adducts</w:t>
      </w:r>
      <w:r w:rsidRPr="005936B2">
        <w:rPr>
          <w:rFonts w:ascii="Book Antiqua" w:hAnsi="Book Antiqua"/>
          <w:b/>
          <w:sz w:val="24"/>
          <w:szCs w:val="24"/>
          <w:vertAlign w:val="superscript"/>
        </w:rPr>
        <w:t>[</w:t>
      </w:r>
      <w:proofErr w:type="gramEnd"/>
      <w:r w:rsidRPr="005936B2">
        <w:rPr>
          <w:rFonts w:ascii="Book Antiqua" w:hAnsi="Book Antiqua"/>
          <w:b/>
          <w:sz w:val="24"/>
          <w:szCs w:val="24"/>
          <w:vertAlign w:val="superscript"/>
        </w:rPr>
        <w:t>86]</w:t>
      </w:r>
      <w:r w:rsidRPr="005936B2">
        <w:rPr>
          <w:rFonts w:ascii="Book Antiqua" w:eastAsia="宋体" w:hAnsi="Book Antiqua"/>
          <w:b/>
          <w:sz w:val="24"/>
          <w:szCs w:val="24"/>
        </w:rPr>
        <w:t>.</w:t>
      </w: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sectPr w:rsidR="007A30DF" w:rsidRPr="005936B2" w:rsidSect="00F01A62">
          <w:pgSz w:w="11906" w:h="16838"/>
          <w:pgMar w:top="1417" w:right="1417" w:bottom="1417" w:left="1417" w:header="708" w:footer="708" w:gutter="0"/>
          <w:cols w:space="708"/>
          <w:docGrid w:linePitch="360"/>
        </w:sectPr>
      </w:pPr>
    </w:p>
    <w:bookmarkStart w:id="21" w:name="_MON_1509345839"/>
    <w:bookmarkEnd w:id="21"/>
    <w:p w:rsidR="007A30DF" w:rsidRPr="005936B2" w:rsidRDefault="007A30DF" w:rsidP="007A30DF">
      <w:pPr>
        <w:spacing w:line="360" w:lineRule="auto"/>
        <w:rPr>
          <w:rFonts w:ascii="Book Antiqua" w:hAnsi="Book Antiqua"/>
          <w:b/>
          <w:sz w:val="24"/>
          <w:szCs w:val="24"/>
        </w:rPr>
      </w:pPr>
      <w:r w:rsidRPr="005936B2">
        <w:rPr>
          <w:rFonts w:ascii="Book Antiqua" w:hAnsi="Book Antiqua"/>
          <w:b/>
          <w:sz w:val="24"/>
          <w:szCs w:val="24"/>
        </w:rPr>
        <w:object w:dxaOrig="9072" w:dyaOrig="3304">
          <v:shape id="_x0000_i1030" type="#_x0000_t75" style="width:453.4pt;height:165.4pt" o:ole="">
            <v:imagedata r:id="rId19" o:title=""/>
          </v:shape>
          <o:OLEObject Type="Embed" ProgID="Word.Document.12" ShapeID="_x0000_i1030" DrawAspect="Content" ObjectID="_1385399917" r:id="rId20">
            <o:FieldCodes>\s</o:FieldCodes>
          </o:OLEObject>
        </w:object>
      </w:r>
      <w:r w:rsidRPr="005936B2">
        <w:rPr>
          <w:rFonts w:ascii="Book Antiqua" w:hAnsi="Book Antiqua"/>
          <w:b/>
          <w:sz w:val="24"/>
          <w:szCs w:val="24"/>
        </w:rPr>
        <w:t xml:space="preserve"> </w:t>
      </w: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sz w:val="24"/>
          <w:szCs w:val="24"/>
        </w:rPr>
      </w:pPr>
      <w:r w:rsidRPr="005936B2">
        <w:rPr>
          <w:rFonts w:ascii="Book Antiqua" w:hAnsi="Book Antiqua"/>
          <w:b/>
          <w:sz w:val="24"/>
          <w:szCs w:val="24"/>
        </w:rPr>
        <w:t xml:space="preserve">Figure 6 Covalent dimerization and proteolysis of </w:t>
      </w:r>
      <w:r w:rsidRPr="005936B2">
        <w:rPr>
          <w:rFonts w:ascii="Book Antiqua" w:hAnsi="Book Antiqua"/>
          <w:b/>
          <w:i/>
          <w:sz w:val="24"/>
          <w:szCs w:val="24"/>
        </w:rPr>
        <w:t>E. coli</w:t>
      </w:r>
      <w:r w:rsidRPr="005936B2">
        <w:rPr>
          <w:rFonts w:ascii="Book Antiqua" w:hAnsi="Book Antiqua"/>
          <w:b/>
          <w:sz w:val="24"/>
          <w:szCs w:val="24"/>
        </w:rPr>
        <w:t>-derived hIFN</w:t>
      </w:r>
      <w:r w:rsidRPr="005936B2">
        <w:rPr>
          <w:rFonts w:ascii="Book Antiqua" w:hAnsi="Book Antiqua"/>
          <w:sz w:val="24"/>
          <w:szCs w:val="24"/>
        </w:rPr>
        <w:t xml:space="preserve"> </w:t>
      </w:r>
      <w:r w:rsidRPr="005936B2">
        <w:rPr>
          <w:rFonts w:ascii="Book Antiqua" w:hAnsi="Book Antiqua"/>
          <w:b/>
          <w:sz w:val="24"/>
          <w:szCs w:val="24"/>
        </w:rPr>
        <w:t xml:space="preserve">(A) after storage for one month in solution (0.4 </w:t>
      </w:r>
      <w:r w:rsidRPr="005936B2">
        <w:rPr>
          <w:rFonts w:ascii="Book Antiqua" w:eastAsia="宋体" w:hAnsi="Book Antiqua"/>
          <w:b/>
          <w:sz w:val="24"/>
          <w:szCs w:val="24"/>
        </w:rPr>
        <w:t>mol/L</w:t>
      </w:r>
      <w:r w:rsidRPr="005936B2">
        <w:rPr>
          <w:rFonts w:ascii="Book Antiqua" w:hAnsi="Book Antiqua"/>
          <w:b/>
          <w:sz w:val="24"/>
          <w:szCs w:val="24"/>
        </w:rPr>
        <w:t xml:space="preserve"> NaCl, Tris-HCl pH 8.2) at 4</w:t>
      </w:r>
      <w:r w:rsidRPr="005936B2">
        <w:rPr>
          <w:rFonts w:ascii="Book Antiqua" w:eastAsia="宋体" w:hAnsi="Book Antiqua"/>
          <w:b/>
          <w:sz w:val="24"/>
          <w:szCs w:val="24"/>
        </w:rPr>
        <w:t xml:space="preserve"> </w:t>
      </w:r>
      <w:r w:rsidRPr="005936B2">
        <w:rPr>
          <w:rFonts w:ascii="Book Antiqua" w:hAnsi="Book Antiqua"/>
          <w:b/>
          <w:sz w:val="24"/>
          <w:szCs w:val="24"/>
        </w:rPr>
        <w:t>°C under nitrogen (B)</w:t>
      </w:r>
      <w:r w:rsidRPr="005936B2">
        <w:rPr>
          <w:rFonts w:ascii="Book Antiqua" w:hAnsi="Book Antiqua"/>
          <w:sz w:val="24"/>
          <w:szCs w:val="24"/>
        </w:rPr>
        <w:t>. Protein species were separated on 15% denaturing (SDS) polyacrylamide gel.</w:t>
      </w:r>
    </w:p>
    <w:p w:rsidR="007A30DF" w:rsidRPr="005936B2" w:rsidRDefault="007A30DF" w:rsidP="007A30DF">
      <w:pPr>
        <w:spacing w:line="360" w:lineRule="auto"/>
        <w:rPr>
          <w:rFonts w:ascii="Book Antiqua" w:hAnsi="Book Antiqua"/>
          <w:b/>
          <w:sz w:val="24"/>
          <w:szCs w:val="24"/>
        </w:rPr>
        <w:sectPr w:rsidR="007A30DF" w:rsidRPr="005936B2" w:rsidSect="00F01A62">
          <w:pgSz w:w="11906" w:h="16838"/>
          <w:pgMar w:top="1417" w:right="1417" w:bottom="1417" w:left="1417" w:header="708" w:footer="708" w:gutter="0"/>
          <w:cols w:space="708"/>
          <w:docGrid w:linePitch="360"/>
        </w:sectPr>
      </w:pPr>
    </w:p>
    <w:bookmarkStart w:id="22" w:name="_MON_1509348126"/>
    <w:bookmarkEnd w:id="22"/>
    <w:p w:rsidR="007A30DF" w:rsidRPr="005936B2" w:rsidRDefault="007A30DF" w:rsidP="007A30DF">
      <w:pPr>
        <w:spacing w:line="360" w:lineRule="auto"/>
        <w:rPr>
          <w:rFonts w:ascii="Book Antiqua" w:hAnsi="Book Antiqua"/>
          <w:b/>
          <w:sz w:val="24"/>
          <w:szCs w:val="24"/>
          <w:lang w:val="bg-BG"/>
        </w:rPr>
      </w:pPr>
      <w:r w:rsidRPr="005936B2">
        <w:rPr>
          <w:rFonts w:ascii="Book Antiqua" w:hAnsi="Book Antiqua"/>
          <w:b/>
          <w:sz w:val="24"/>
          <w:szCs w:val="24"/>
          <w:lang w:val="bg-BG"/>
        </w:rPr>
        <w:object w:dxaOrig="9072" w:dyaOrig="4502">
          <v:shape id="_x0000_i1031" type="#_x0000_t75" style="width:453.4pt;height:225.25pt" o:ole="">
            <v:imagedata r:id="rId21" o:title=""/>
          </v:shape>
          <o:OLEObject Type="Embed" ProgID="Word.Document.12" ShapeID="_x0000_i1031" DrawAspect="Content" ObjectID="_1385399918" r:id="rId22">
            <o:FieldCodes>\s</o:FieldCodes>
          </o:OLEObject>
        </w:object>
      </w:r>
    </w:p>
    <w:bookmarkStart w:id="23" w:name="_MON_1509348157"/>
    <w:bookmarkEnd w:id="23"/>
    <w:p w:rsidR="007A30DF" w:rsidRPr="005936B2" w:rsidRDefault="007A30DF" w:rsidP="007A30DF">
      <w:pPr>
        <w:spacing w:line="360" w:lineRule="auto"/>
        <w:rPr>
          <w:rFonts w:ascii="Book Antiqua" w:hAnsi="Book Antiqua"/>
          <w:b/>
          <w:sz w:val="24"/>
          <w:szCs w:val="24"/>
          <w:lang w:val="bg-BG"/>
        </w:rPr>
      </w:pPr>
      <w:r w:rsidRPr="005936B2">
        <w:rPr>
          <w:rFonts w:ascii="Book Antiqua" w:hAnsi="Book Antiqua"/>
          <w:b/>
          <w:sz w:val="24"/>
          <w:szCs w:val="24"/>
          <w:lang w:val="bg-BG"/>
        </w:rPr>
        <w:object w:dxaOrig="9072" w:dyaOrig="4455">
          <v:shape id="_x0000_i1032" type="#_x0000_t75" style="width:453.4pt;height:222.4pt" o:ole="">
            <v:imagedata r:id="rId23" o:title=""/>
          </v:shape>
          <o:OLEObject Type="Embed" ProgID="Word.Document.12" ShapeID="_x0000_i1032" DrawAspect="Content" ObjectID="_1385399919" r:id="rId24">
            <o:FieldCodes>\s</o:FieldCodes>
          </o:OLEObject>
        </w:object>
      </w:r>
    </w:p>
    <w:p w:rsidR="007A30DF" w:rsidRPr="005936B2" w:rsidRDefault="007A30DF" w:rsidP="007A30DF">
      <w:pPr>
        <w:spacing w:line="360" w:lineRule="auto"/>
        <w:rPr>
          <w:rFonts w:ascii="Book Antiqua" w:hAnsi="Book Antiqua"/>
          <w:b/>
          <w:sz w:val="24"/>
          <w:szCs w:val="24"/>
          <w:lang w:val="bg-BG"/>
        </w:rPr>
      </w:pPr>
    </w:p>
    <w:p w:rsidR="007A30DF" w:rsidRPr="005936B2" w:rsidRDefault="007A30DF" w:rsidP="007A30DF">
      <w:pPr>
        <w:spacing w:line="360" w:lineRule="auto"/>
        <w:rPr>
          <w:rFonts w:ascii="Book Antiqua" w:hAnsi="Book Antiqua"/>
          <w:sz w:val="24"/>
          <w:szCs w:val="24"/>
        </w:rPr>
      </w:pPr>
      <w:r w:rsidRPr="005936B2">
        <w:rPr>
          <w:rFonts w:ascii="Book Antiqua" w:hAnsi="Book Antiqua"/>
          <w:b/>
          <w:sz w:val="24"/>
          <w:szCs w:val="24"/>
        </w:rPr>
        <w:t>Figure 7</w:t>
      </w:r>
      <w:r w:rsidRPr="005936B2">
        <w:rPr>
          <w:rFonts w:ascii="Book Antiqua" w:hAnsi="Book Antiqua"/>
          <w:sz w:val="24"/>
          <w:szCs w:val="24"/>
        </w:rPr>
        <w:t xml:space="preserve"> </w:t>
      </w:r>
      <w:r w:rsidR="00986405" w:rsidRPr="005936B2">
        <w:rPr>
          <w:rFonts w:ascii="Book Antiqua" w:hAnsi="Book Antiqua"/>
          <w:b/>
          <w:sz w:val="24"/>
          <w:szCs w:val="24"/>
        </w:rPr>
        <w:t>Nε</w:t>
      </w:r>
      <w:proofErr w:type="gramStart"/>
      <w:r w:rsidR="00986405" w:rsidRPr="005936B2">
        <w:rPr>
          <w:rFonts w:ascii="Book Antiqua" w:hAnsi="Book Antiqua"/>
          <w:b/>
          <w:sz w:val="24"/>
          <w:szCs w:val="24"/>
        </w:rPr>
        <w:t>-(</w:t>
      </w:r>
      <w:proofErr w:type="gramEnd"/>
      <w:r w:rsidR="00986405" w:rsidRPr="005936B2">
        <w:rPr>
          <w:rFonts w:ascii="Book Antiqua" w:hAnsi="Book Antiqua"/>
          <w:b/>
          <w:sz w:val="24"/>
          <w:szCs w:val="24"/>
        </w:rPr>
        <w:t xml:space="preserve">carboxymethyl)lysine </w:t>
      </w:r>
      <w:r w:rsidRPr="005936B2">
        <w:rPr>
          <w:rFonts w:ascii="Book Antiqua" w:hAnsi="Book Antiqua"/>
          <w:b/>
          <w:sz w:val="24"/>
          <w:szCs w:val="24"/>
        </w:rPr>
        <w:t>(A) and 3DG-imidazolone (B) in interferon pharmaceuticals.</w:t>
      </w:r>
      <w:r w:rsidRPr="005936B2">
        <w:rPr>
          <w:rFonts w:ascii="Book Antiqua" w:hAnsi="Book Antiqua"/>
          <w:sz w:val="24"/>
          <w:szCs w:val="24"/>
        </w:rPr>
        <w:t xml:space="preserve"> Three vials of each drug were analyzed by competitive ELISA in duplicates, and the pooled results were presented as means ± SD. One </w:t>
      </w:r>
      <w:r w:rsidRPr="005936B2">
        <w:rPr>
          <w:rFonts w:ascii="Book Antiqua" w:hAnsi="Book Antiqua"/>
          <w:sz w:val="24"/>
          <w:szCs w:val="24"/>
        </w:rPr>
        <w:t>g-eq AGEs-BSA corresponds to the amount of CML or 3DG-imidazolone present in one microgram of the referent AGEs-BSA. The latter was prepared by incubating 10 mg/mL BSA with 0.5 mol/L glucose for 3 months at 37</w:t>
      </w:r>
      <w:r w:rsidRPr="005936B2">
        <w:rPr>
          <w:rFonts w:ascii="Book Antiqua" w:eastAsia="宋体" w:hAnsi="Book Antiqua"/>
          <w:sz w:val="24"/>
          <w:szCs w:val="24"/>
        </w:rPr>
        <w:t xml:space="preserve"> </w:t>
      </w:r>
      <w:r w:rsidRPr="005936B2">
        <w:rPr>
          <w:rFonts w:ascii="Book Antiqua" w:hAnsi="Book Antiqua"/>
          <w:sz w:val="24"/>
          <w:szCs w:val="24"/>
        </w:rPr>
        <w:t>°C.</w:t>
      </w:r>
    </w:p>
    <w:p w:rsidR="007A30DF" w:rsidRPr="005936B2" w:rsidRDefault="007A30DF" w:rsidP="007A30DF">
      <w:pPr>
        <w:spacing w:line="360" w:lineRule="auto"/>
        <w:rPr>
          <w:rFonts w:ascii="Book Antiqua" w:hAnsi="Book Antiqua"/>
          <w:b/>
          <w:sz w:val="24"/>
          <w:szCs w:val="24"/>
        </w:rPr>
        <w:sectPr w:rsidR="007A30DF" w:rsidRPr="005936B2" w:rsidSect="00F01A62">
          <w:pgSz w:w="11906" w:h="16838"/>
          <w:pgMar w:top="1417" w:right="1417" w:bottom="1417" w:left="1417" w:header="708" w:footer="708" w:gutter="0"/>
          <w:cols w:space="708"/>
          <w:docGrid w:linePitch="360"/>
        </w:sectPr>
      </w:pPr>
    </w:p>
    <w:bookmarkStart w:id="24" w:name="_MON_1509348276"/>
    <w:bookmarkEnd w:id="24"/>
    <w:p w:rsidR="007A30DF" w:rsidRPr="005936B2" w:rsidRDefault="007A30DF" w:rsidP="007A30DF">
      <w:pPr>
        <w:spacing w:line="360" w:lineRule="auto"/>
        <w:rPr>
          <w:rFonts w:ascii="Book Antiqua" w:hAnsi="Book Antiqua"/>
          <w:sz w:val="24"/>
          <w:szCs w:val="24"/>
        </w:rPr>
      </w:pPr>
      <w:r w:rsidRPr="005936B2">
        <w:rPr>
          <w:rFonts w:ascii="Book Antiqua" w:hAnsi="Book Antiqua"/>
          <w:b/>
          <w:sz w:val="24"/>
          <w:szCs w:val="24"/>
        </w:rPr>
        <w:object w:dxaOrig="9072" w:dyaOrig="4535">
          <v:shape id="_x0000_i1033" type="#_x0000_t75" style="width:453.4pt;height:226.7pt" o:ole="">
            <v:imagedata r:id="rId25" o:title=""/>
          </v:shape>
          <o:OLEObject Type="Embed" ProgID="Word.Document.12" ShapeID="_x0000_i1033" DrawAspect="Content" ObjectID="_1385399920" r:id="rId26">
            <o:FieldCodes>\s</o:FieldCodes>
          </o:OLEObject>
        </w:object>
      </w:r>
      <w:r w:rsidRPr="005936B2">
        <w:rPr>
          <w:rFonts w:ascii="Book Antiqua" w:hAnsi="Book Antiqua"/>
          <w:b/>
          <w:sz w:val="24"/>
          <w:szCs w:val="24"/>
        </w:rPr>
        <w:t xml:space="preserve"> Figure 8</w:t>
      </w:r>
      <w:r w:rsidRPr="005936B2">
        <w:rPr>
          <w:rFonts w:ascii="Book Antiqua" w:hAnsi="Book Antiqua"/>
          <w:sz w:val="24"/>
          <w:szCs w:val="24"/>
        </w:rPr>
        <w:t xml:space="preserve"> </w:t>
      </w:r>
      <w:r w:rsidRPr="005936B2">
        <w:rPr>
          <w:rFonts w:ascii="Book Antiqua" w:hAnsi="Book Antiqua"/>
          <w:b/>
          <w:sz w:val="24"/>
          <w:szCs w:val="24"/>
        </w:rPr>
        <w:t>Percent sera of MS patients treated with Betaferon, Avoex and Rebif, containing anti-IFN</w:t>
      </w:r>
      <w:r w:rsidRPr="005936B2">
        <w:rPr>
          <w:rFonts w:ascii="Book Antiqua" w:hAnsi="Book Antiqua"/>
          <w:b/>
          <w:sz w:val="24"/>
          <w:szCs w:val="24"/>
        </w:rPr>
        <w:t></w:t>
      </w:r>
      <w:r w:rsidRPr="005936B2">
        <w:rPr>
          <w:rFonts w:ascii="Book Antiqua" w:eastAsia="宋体" w:hAnsi="Book Antiqua"/>
          <w:b/>
          <w:sz w:val="24"/>
          <w:szCs w:val="24"/>
        </w:rPr>
        <w:t>,</w:t>
      </w:r>
      <w:r w:rsidRPr="005936B2">
        <w:rPr>
          <w:rFonts w:ascii="Book Antiqua" w:hAnsi="Book Antiqua"/>
          <w:b/>
          <w:sz w:val="24"/>
          <w:szCs w:val="24"/>
        </w:rPr>
        <w:t xml:space="preserve"> anti-AGEs Abs, and responding to AGEs-BSA inhibition of binding to IFN</w:t>
      </w:r>
      <w:r w:rsidRPr="005936B2">
        <w:rPr>
          <w:rFonts w:ascii="Symbol" w:hAnsi="Symbol"/>
          <w:b/>
          <w:sz w:val="24"/>
          <w:szCs w:val="24"/>
        </w:rPr>
        <w:t></w:t>
      </w:r>
      <w:r w:rsidR="005936B2" w:rsidRPr="005936B2">
        <w:rPr>
          <w:rFonts w:ascii="Book Antiqua" w:hAnsi="Book Antiqua"/>
          <w:b/>
          <w:sz w:val="24"/>
          <w:szCs w:val="24"/>
        </w:rPr>
        <w:t>.</w:t>
      </w:r>
      <w:r w:rsidRPr="005936B2">
        <w:rPr>
          <w:rFonts w:ascii="Book Antiqua" w:hAnsi="Book Antiqua"/>
          <w:b/>
          <w:sz w:val="24"/>
          <w:szCs w:val="24"/>
        </w:rPr>
        <w:t xml:space="preserve"> </w:t>
      </w:r>
      <w:r w:rsidRPr="005936B2">
        <w:rPr>
          <w:rFonts w:ascii="Book Antiqua" w:hAnsi="Book Antiqua"/>
          <w:sz w:val="24"/>
          <w:szCs w:val="24"/>
        </w:rPr>
        <w:t>For detailed information on the experimental conditions see ref. No. 211.</w:t>
      </w:r>
    </w:p>
    <w:p w:rsidR="007A30DF" w:rsidRPr="005936B2" w:rsidRDefault="007A30DF" w:rsidP="007A30DF">
      <w:pPr>
        <w:spacing w:line="360" w:lineRule="auto"/>
        <w:rPr>
          <w:rFonts w:ascii="Book Antiqua" w:hAnsi="Book Antiqua"/>
          <w:b/>
          <w:sz w:val="24"/>
          <w:szCs w:val="24"/>
        </w:rPr>
        <w:sectPr w:rsidR="007A30DF" w:rsidRPr="005936B2" w:rsidSect="00F01A62">
          <w:pgSz w:w="11906" w:h="16838"/>
          <w:pgMar w:top="1417" w:right="1417" w:bottom="1417" w:left="1417" w:header="708" w:footer="708" w:gutter="0"/>
          <w:cols w:space="708"/>
          <w:docGrid w:linePitch="360"/>
        </w:sectPr>
      </w:pPr>
      <w:r w:rsidRPr="005936B2">
        <w:rPr>
          <w:rFonts w:ascii="Book Antiqua" w:hAnsi="Book Antiqua"/>
          <w:b/>
          <w:sz w:val="24"/>
          <w:szCs w:val="24"/>
        </w:rPr>
        <w:t xml:space="preserve"> </w:t>
      </w:r>
    </w:p>
    <w:p w:rsidR="007A30DF" w:rsidRPr="005936B2" w:rsidRDefault="005E444C" w:rsidP="007A30DF">
      <w:pPr>
        <w:spacing w:line="360" w:lineRule="auto"/>
        <w:rPr>
          <w:rFonts w:ascii="Book Antiqua" w:hAnsi="Book Antiqua"/>
          <w:b/>
          <w:sz w:val="24"/>
          <w:szCs w:val="24"/>
          <w:lang w:val="bg-BG"/>
        </w:rPr>
      </w:pPr>
      <w:bookmarkStart w:id="25" w:name="_MON_1509622879"/>
      <w:bookmarkEnd w:id="25"/>
      <w:r w:rsidRPr="005E444C">
        <w:rPr>
          <w:rFonts w:ascii="Book Antiqua" w:hAnsi="Book Antiqua"/>
          <w:b/>
          <w:noProof/>
          <w:sz w:val="24"/>
          <w:szCs w:val="24"/>
          <w:lang w:eastAsia="en-US"/>
        </w:rPr>
        <w:lastRenderedPageBreak/>
        <mc:AlternateContent>
          <mc:Choice Requires="wps">
            <w:drawing>
              <wp:anchor distT="0" distB="0" distL="114300" distR="114300" simplePos="0" relativeHeight="251659264" behindDoc="0" locked="0" layoutInCell="1" allowOverlap="1" wp14:editId="36B11C9B">
                <wp:simplePos x="0" y="0"/>
                <wp:positionH relativeFrom="column">
                  <wp:posOffset>5405755</wp:posOffset>
                </wp:positionH>
                <wp:positionV relativeFrom="paragraph">
                  <wp:posOffset>4310380</wp:posOffset>
                </wp:positionV>
                <wp:extent cx="1857375" cy="276225"/>
                <wp:effectExtent l="0" t="0" r="28575" b="2857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76225"/>
                        </a:xfrm>
                        <a:prstGeom prst="rect">
                          <a:avLst/>
                        </a:prstGeom>
                        <a:solidFill>
                          <a:srgbClr val="FFFFFF"/>
                        </a:solidFill>
                        <a:ln w="9525">
                          <a:solidFill>
                            <a:srgbClr val="000000"/>
                          </a:solidFill>
                          <a:miter lim="800000"/>
                          <a:headEnd/>
                          <a:tailEnd/>
                        </a:ln>
                      </wps:spPr>
                      <wps:txbx>
                        <w:txbxContent>
                          <w:p w:rsidR="005E444C" w:rsidRDefault="005E444C">
                            <w:r>
                              <w:rPr>
                                <w:rFonts w:ascii="Book Antiqua" w:hAnsi="Book Antiqua" w:hint="eastAsia"/>
                              </w:rPr>
                              <w:t>Leukocyte recruitment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文本框 2" o:spid="_x0000_s1026" type="#_x0000_t202" style="position:absolute;left:0;text-align:left;margin-left:425.65pt;margin-top:339.4pt;width:146.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">
                <v:textbox>
                  <w:txbxContent>
                    <w:p w:rsidR="005E444C" w:rsidRDefault="005E444C">
                      <w:r>
                        <w:rPr>
                          <w:rFonts w:ascii="Book Antiqua" w:hAnsi="Book Antiqua" w:hint="eastAsia"/>
                        </w:rPr>
                        <w:t>Leukocyte recruitment</w:t>
                      </w:r>
                    </w:p>
                  </w:txbxContent>
                </v:textbox>
              </v:shape>
            </w:pict>
          </mc:Fallback>
        </mc:AlternateContent>
      </w:r>
      <w:r w:rsidR="007A30DF" w:rsidRPr="005936B2">
        <w:rPr>
          <w:rFonts w:ascii="Book Antiqua" w:hAnsi="Book Antiqua"/>
          <w:b/>
          <w:sz w:val="24"/>
          <w:szCs w:val="24"/>
          <w:lang w:val="bg-BG"/>
        </w:rPr>
        <w:object w:dxaOrig="14004" w:dyaOrig="8070">
          <v:shape id="_x0000_i1034" type="#_x0000_t75" style="width:700.05pt;height:404.2pt" o:ole="">
            <v:imagedata r:id="rId27" o:title=""/>
          </v:shape>
          <o:OLEObject Type="Embed" ProgID="Word.Document.12" ShapeID="_x0000_i1034" DrawAspect="Content" ObjectID="_1385399921" r:id="rId28">
            <o:FieldCodes>\s</o:FieldCodes>
          </o:OLEObject>
        </w:object>
      </w:r>
    </w:p>
    <w:p w:rsidR="007A30DF" w:rsidRPr="005936B2" w:rsidRDefault="007A30DF" w:rsidP="007A30DF">
      <w:pPr>
        <w:spacing w:line="360" w:lineRule="auto"/>
        <w:rPr>
          <w:rFonts w:ascii="Book Antiqua" w:eastAsia="宋体" w:hAnsi="Book Antiqua"/>
          <w:b/>
          <w:sz w:val="24"/>
          <w:szCs w:val="24"/>
        </w:rPr>
      </w:pPr>
      <w:r w:rsidRPr="005936B2">
        <w:rPr>
          <w:rFonts w:ascii="Book Antiqua" w:hAnsi="Book Antiqua"/>
          <w:b/>
          <w:sz w:val="24"/>
          <w:szCs w:val="24"/>
        </w:rPr>
        <w:t xml:space="preserve">Figure 9 Proposed immune responses against </w:t>
      </w:r>
      <w:r w:rsidR="00986405" w:rsidRPr="005936B2">
        <w:rPr>
          <w:rFonts w:ascii="Book Antiqua" w:hAnsi="Book Antiqua"/>
          <w:b/>
          <w:sz w:val="24"/>
          <w:szCs w:val="24"/>
        </w:rPr>
        <w:t xml:space="preserve">advanced glycation end products </w:t>
      </w:r>
      <w:r w:rsidRPr="005936B2">
        <w:rPr>
          <w:rFonts w:ascii="Book Antiqua" w:hAnsi="Book Antiqua"/>
          <w:b/>
          <w:sz w:val="24"/>
          <w:szCs w:val="24"/>
        </w:rPr>
        <w:t>modified IFN</w:t>
      </w:r>
      <w:r w:rsidRPr="005936B2">
        <w:rPr>
          <w:rFonts w:ascii="Symbol" w:hAnsi="Symbol"/>
          <w:b/>
          <w:sz w:val="24"/>
          <w:szCs w:val="24"/>
        </w:rPr>
        <w:t></w:t>
      </w:r>
      <w:r w:rsidRPr="005936B2">
        <w:rPr>
          <w:rFonts w:ascii="Book Antiqua" w:hAnsi="Book Antiqua"/>
          <w:b/>
          <w:sz w:val="24"/>
          <w:szCs w:val="24"/>
        </w:rPr>
        <w:t xml:space="preserve"> (IFN</w:t>
      </w:r>
      <w:r w:rsidRPr="005936B2">
        <w:rPr>
          <w:rFonts w:ascii="Symbol" w:hAnsi="Symbol"/>
          <w:b/>
          <w:sz w:val="24"/>
          <w:szCs w:val="24"/>
        </w:rPr>
        <w:t></w:t>
      </w:r>
      <w:r w:rsidRPr="005936B2">
        <w:rPr>
          <w:rFonts w:ascii="Book Antiqua" w:hAnsi="Book Antiqua"/>
          <w:b/>
          <w:sz w:val="24"/>
          <w:szCs w:val="24"/>
        </w:rPr>
        <w:t>-AGEs)</w:t>
      </w:r>
      <w:r w:rsidRPr="005936B2">
        <w:rPr>
          <w:rFonts w:ascii="Book Antiqua" w:eastAsia="宋体" w:hAnsi="Book Antiqua"/>
          <w:b/>
          <w:sz w:val="24"/>
          <w:szCs w:val="24"/>
        </w:rPr>
        <w:t>.</w:t>
      </w:r>
    </w:p>
    <w:p w:rsidR="007A30DF" w:rsidRPr="005936B2" w:rsidRDefault="007A30DF" w:rsidP="007A30DF">
      <w:pPr>
        <w:spacing w:line="360" w:lineRule="auto"/>
        <w:rPr>
          <w:rFonts w:ascii="Book Antiqua" w:hAnsi="Book Antiqua"/>
          <w:b/>
          <w:sz w:val="24"/>
          <w:szCs w:val="24"/>
        </w:rPr>
      </w:pPr>
    </w:p>
    <w:p w:rsidR="007A30DF" w:rsidRPr="005936B2" w:rsidRDefault="007A30DF" w:rsidP="007A30DF">
      <w:pPr>
        <w:spacing w:line="360" w:lineRule="auto"/>
        <w:rPr>
          <w:rFonts w:ascii="Book Antiqua" w:hAnsi="Book Antiqua"/>
          <w:b/>
          <w:sz w:val="24"/>
          <w:szCs w:val="24"/>
        </w:rPr>
        <w:sectPr w:rsidR="007A30DF" w:rsidRPr="005936B2" w:rsidSect="00933BDE">
          <w:pgSz w:w="16838" w:h="11906" w:orient="landscape"/>
          <w:pgMar w:top="1417" w:right="1417" w:bottom="1417" w:left="1417" w:header="708" w:footer="708" w:gutter="0"/>
          <w:cols w:space="708"/>
          <w:docGrid w:linePitch="360"/>
        </w:sectPr>
      </w:pPr>
    </w:p>
    <w:p w:rsidR="001E53BA" w:rsidRPr="005936B2" w:rsidRDefault="001E53BA" w:rsidP="007A0C7D">
      <w:pPr>
        <w:spacing w:line="360" w:lineRule="auto"/>
        <w:rPr>
          <w:rFonts w:ascii="Book Antiqua" w:hAnsi="Book Antiqua"/>
        </w:rPr>
      </w:pPr>
    </w:p>
    <w:sectPr w:rsidR="001E53BA" w:rsidRPr="005936B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3F6" w:rsidRDefault="00A473F6">
      <w:r>
        <w:separator/>
      </w:r>
    </w:p>
  </w:endnote>
  <w:endnote w:type="continuationSeparator" w:id="0">
    <w:p w:rsidR="00A473F6" w:rsidRDefault="00A47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宋体">
    <w:altName w:val="SimSun"/>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Symbol">
    <w:panose1 w:val="00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456" w:rsidRDefault="00FC483C">
    <w:pPr>
      <w:pStyle w:val="Footer"/>
      <w:jc w:val="center"/>
    </w:pPr>
    <w:r>
      <w:fldChar w:fldCharType="begin"/>
    </w:r>
    <w:r>
      <w:instrText xml:space="preserve"> PAGE   \* MERGEFORMAT </w:instrText>
    </w:r>
    <w:r>
      <w:fldChar w:fldCharType="separate"/>
    </w:r>
    <w:r w:rsidR="00513351">
      <w:rPr>
        <w:noProof/>
      </w:rPr>
      <w:t>63</w:t>
    </w:r>
    <w:r>
      <w:rPr>
        <w:noProof/>
      </w:rPr>
      <w:fldChar w:fldCharType="end"/>
    </w:r>
  </w:p>
  <w:p w:rsidR="00D82456" w:rsidRDefault="0051335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3F6" w:rsidRDefault="00A473F6">
      <w:r>
        <w:separator/>
      </w:r>
    </w:p>
  </w:footnote>
  <w:footnote w:type="continuationSeparator" w:id="0">
    <w:p w:rsidR="00A473F6" w:rsidRDefault="00A473F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008FE"/>
    <w:multiLevelType w:val="hybridMultilevel"/>
    <w:tmpl w:val="439AE456"/>
    <w:lvl w:ilvl="0" w:tplc="175EE642">
      <w:start w:val="168"/>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32121161"/>
    <w:multiLevelType w:val="hybridMultilevel"/>
    <w:tmpl w:val="4ECC5E72"/>
    <w:lvl w:ilvl="0" w:tplc="C5E472B0">
      <w:start w:val="1"/>
      <w:numFmt w:val="decimal"/>
      <w:lvlText w:val="%1"/>
      <w:lvlJc w:val="left"/>
      <w:pPr>
        <w:ind w:left="720" w:hanging="360"/>
      </w:pPr>
      <w:rPr>
        <w:rFonts w:cs="Book Antiqua" w:hint="default"/>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582A04B7"/>
    <w:multiLevelType w:val="hybridMultilevel"/>
    <w:tmpl w:val="5EE863C4"/>
    <w:lvl w:ilvl="0" w:tplc="A628E4BA">
      <w:start w:val="15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35347D"/>
    <w:multiLevelType w:val="hybridMultilevel"/>
    <w:tmpl w:val="B3BA5C02"/>
    <w:lvl w:ilvl="0" w:tplc="6F684E78">
      <w:start w:val="125"/>
      <w:numFmt w:val="decimal"/>
      <w:lvlText w:val="%1."/>
      <w:lvlJc w:val="left"/>
      <w:pPr>
        <w:ind w:left="720" w:hanging="360"/>
      </w:pPr>
      <w:rPr>
        <w:rFonts w:cs="Book Antiqua" w:hint="default"/>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6DC908A3"/>
    <w:multiLevelType w:val="hybridMultilevel"/>
    <w:tmpl w:val="38580B92"/>
    <w:lvl w:ilvl="0" w:tplc="4B5EAF36">
      <w:start w:val="146"/>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7CC03619"/>
    <w:multiLevelType w:val="hybridMultilevel"/>
    <w:tmpl w:val="5466247C"/>
    <w:lvl w:ilvl="0" w:tplc="72D855B4">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6">
    <w:nsid w:val="7F246E76"/>
    <w:multiLevelType w:val="hybridMultilevel"/>
    <w:tmpl w:val="E62E37F4"/>
    <w:lvl w:ilvl="0" w:tplc="13B69C4E">
      <w:start w:val="114"/>
      <w:numFmt w:val="decimal"/>
      <w:lvlText w:val="%1."/>
      <w:lvlJc w:val="left"/>
      <w:pPr>
        <w:ind w:left="720" w:hanging="360"/>
      </w:pPr>
      <w:rPr>
        <w:rFonts w:cs="Book Antiqua" w:hint="default"/>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3"/>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grammar="clean"/>
  <w:defaultTabStop w:val="420"/>
  <w:hyphenationZone w:val="42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C7D"/>
    <w:rsid w:val="001E53BA"/>
    <w:rsid w:val="002919B8"/>
    <w:rsid w:val="00317C57"/>
    <w:rsid w:val="00323704"/>
    <w:rsid w:val="003B3FB8"/>
    <w:rsid w:val="003F37AD"/>
    <w:rsid w:val="004C70F6"/>
    <w:rsid w:val="00513351"/>
    <w:rsid w:val="005217FC"/>
    <w:rsid w:val="005936B2"/>
    <w:rsid w:val="005E444C"/>
    <w:rsid w:val="00774D36"/>
    <w:rsid w:val="007A0C7D"/>
    <w:rsid w:val="007A30DF"/>
    <w:rsid w:val="008D0A3A"/>
    <w:rsid w:val="00986405"/>
    <w:rsid w:val="00A473F6"/>
    <w:rsid w:val="00AB6355"/>
    <w:rsid w:val="00B320DA"/>
    <w:rsid w:val="00B91FC5"/>
    <w:rsid w:val="00BA4341"/>
    <w:rsid w:val="00C31BC9"/>
    <w:rsid w:val="00E0202D"/>
    <w:rsid w:val="00FC4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paragraph" w:styleId="Heading1">
    <w:name w:val="heading 1"/>
    <w:basedOn w:val="Normal"/>
    <w:next w:val="Normal"/>
    <w:link w:val="Heading1Char"/>
    <w:uiPriority w:val="99"/>
    <w:qFormat/>
    <w:rsid w:val="007A30DF"/>
    <w:pPr>
      <w:keepNext/>
      <w:widowControl/>
      <w:spacing w:before="240" w:after="60" w:line="264" w:lineRule="auto"/>
      <w:ind w:firstLine="360"/>
      <w:outlineLvl w:val="0"/>
    </w:pPr>
    <w:rPr>
      <w:rFonts w:ascii="Arial" w:eastAsia="Times New Roman" w:hAnsi="Arial" w:cs="Arial"/>
      <w:b/>
      <w:bCs/>
      <w:kern w:val="32"/>
      <w:sz w:val="32"/>
      <w:szCs w:val="32"/>
      <w:lang w:eastAsia="en-US"/>
    </w:rPr>
  </w:style>
  <w:style w:type="paragraph" w:styleId="Heading2">
    <w:name w:val="heading 2"/>
    <w:aliases w:val="KB7,Übersch 2 Times Roman,Subsection"/>
    <w:basedOn w:val="Normal"/>
    <w:next w:val="Normal"/>
    <w:link w:val="Heading2Char1"/>
    <w:uiPriority w:val="99"/>
    <w:qFormat/>
    <w:rsid w:val="007A30DF"/>
    <w:pPr>
      <w:keepNext/>
      <w:widowControl/>
      <w:jc w:val="center"/>
      <w:outlineLvl w:val="1"/>
    </w:pPr>
    <w:rPr>
      <w:rFonts w:ascii="Times New Roman" w:eastAsia="Calibri" w:hAnsi="Times New Roman" w:cs="Times New Roman"/>
      <w:b/>
      <w:bCs/>
      <w:smallCaps/>
      <w:kern w:val="0"/>
      <w:sz w:val="28"/>
      <w:szCs w:val="28"/>
      <w:lang w:val="fr-FR" w:eastAsia="en-US"/>
    </w:rPr>
  </w:style>
  <w:style w:type="paragraph" w:styleId="Heading3">
    <w:name w:val="heading 3"/>
    <w:basedOn w:val="Normal"/>
    <w:next w:val="Normal"/>
    <w:link w:val="Heading3Char"/>
    <w:uiPriority w:val="99"/>
    <w:qFormat/>
    <w:rsid w:val="007A30DF"/>
    <w:pPr>
      <w:keepNext/>
      <w:widowControl/>
      <w:spacing w:before="240" w:after="60" w:line="264" w:lineRule="auto"/>
      <w:ind w:firstLine="360"/>
      <w:outlineLvl w:val="2"/>
    </w:pPr>
    <w:rPr>
      <w:rFonts w:ascii="Arial" w:eastAsia="Times New Roman" w:hAnsi="Arial" w:cs="Arial"/>
      <w:b/>
      <w:bCs/>
      <w:kern w:val="0"/>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nhideWhenUsed/>
    <w:rsid w:val="007A30DF"/>
    <w:rPr>
      <w:sz w:val="21"/>
      <w:szCs w:val="21"/>
    </w:rPr>
  </w:style>
  <w:style w:type="paragraph" w:styleId="CommentText">
    <w:name w:val="annotation text"/>
    <w:basedOn w:val="Normal"/>
    <w:link w:val="CommentTextChar"/>
    <w:unhideWhenUsed/>
    <w:rsid w:val="007A30DF"/>
    <w:pPr>
      <w:jc w:val="left"/>
    </w:pPr>
  </w:style>
  <w:style w:type="character" w:customStyle="1" w:styleId="CommentTextChar">
    <w:name w:val="Comment Text Char"/>
    <w:basedOn w:val="DefaultParagraphFont"/>
    <w:link w:val="CommentText"/>
    <w:rsid w:val="007A30DF"/>
  </w:style>
  <w:style w:type="paragraph" w:styleId="CommentSubject">
    <w:name w:val="annotation subject"/>
    <w:basedOn w:val="CommentText"/>
    <w:next w:val="CommentText"/>
    <w:link w:val="CommentSubjectChar"/>
    <w:uiPriority w:val="99"/>
    <w:semiHidden/>
    <w:unhideWhenUsed/>
    <w:rsid w:val="007A30DF"/>
    <w:rPr>
      <w:b/>
      <w:bCs/>
    </w:rPr>
  </w:style>
  <w:style w:type="character" w:customStyle="1" w:styleId="CommentSubjectChar">
    <w:name w:val="Comment Subject Char"/>
    <w:basedOn w:val="CommentTextChar"/>
    <w:link w:val="CommentSubject"/>
    <w:uiPriority w:val="99"/>
    <w:semiHidden/>
    <w:rsid w:val="007A30DF"/>
    <w:rPr>
      <w:b/>
      <w:bCs/>
    </w:rPr>
  </w:style>
  <w:style w:type="paragraph" w:styleId="BalloonText">
    <w:name w:val="Balloon Text"/>
    <w:basedOn w:val="Normal"/>
    <w:link w:val="BalloonTextChar"/>
    <w:uiPriority w:val="99"/>
    <w:semiHidden/>
    <w:unhideWhenUsed/>
    <w:rsid w:val="007A30DF"/>
    <w:rPr>
      <w:sz w:val="18"/>
      <w:szCs w:val="18"/>
    </w:rPr>
  </w:style>
  <w:style w:type="character" w:customStyle="1" w:styleId="BalloonTextChar">
    <w:name w:val="Balloon Text Char"/>
    <w:basedOn w:val="DefaultParagraphFont"/>
    <w:link w:val="BalloonText"/>
    <w:uiPriority w:val="99"/>
    <w:semiHidden/>
    <w:rsid w:val="007A30DF"/>
    <w:rPr>
      <w:sz w:val="18"/>
      <w:szCs w:val="18"/>
    </w:rPr>
  </w:style>
  <w:style w:type="character" w:customStyle="1" w:styleId="Heading1Char">
    <w:name w:val="Heading 1 Char"/>
    <w:basedOn w:val="DefaultParagraphFont"/>
    <w:link w:val="Heading1"/>
    <w:uiPriority w:val="99"/>
    <w:rsid w:val="007A30DF"/>
    <w:rPr>
      <w:rFonts w:ascii="Arial" w:eastAsia="Times New Roman" w:hAnsi="Arial" w:cs="Arial"/>
      <w:b/>
      <w:bCs/>
      <w:kern w:val="32"/>
      <w:sz w:val="32"/>
      <w:szCs w:val="32"/>
      <w:lang w:eastAsia="en-US"/>
    </w:rPr>
  </w:style>
  <w:style w:type="character" w:customStyle="1" w:styleId="Heading2Char1">
    <w:name w:val="Heading 2 Char1"/>
    <w:aliases w:val="KB7 Char1,Übersch 2 Times Roman Char1,Subsection Char1"/>
    <w:basedOn w:val="DefaultParagraphFont"/>
    <w:link w:val="Heading2"/>
    <w:uiPriority w:val="99"/>
    <w:rsid w:val="007A30DF"/>
    <w:rPr>
      <w:rFonts w:ascii="Times New Roman" w:eastAsia="Calibri" w:hAnsi="Times New Roman" w:cs="Times New Roman"/>
      <w:b/>
      <w:bCs/>
      <w:smallCaps/>
      <w:kern w:val="0"/>
      <w:sz w:val="28"/>
      <w:szCs w:val="28"/>
      <w:lang w:val="fr-FR" w:eastAsia="en-US"/>
    </w:rPr>
  </w:style>
  <w:style w:type="character" w:customStyle="1" w:styleId="Heading3Char">
    <w:name w:val="Heading 3 Char"/>
    <w:basedOn w:val="DefaultParagraphFont"/>
    <w:link w:val="Heading3"/>
    <w:uiPriority w:val="99"/>
    <w:rsid w:val="007A30DF"/>
    <w:rPr>
      <w:rFonts w:ascii="Arial" w:eastAsia="Times New Roman" w:hAnsi="Arial" w:cs="Arial"/>
      <w:b/>
      <w:bCs/>
      <w:kern w:val="0"/>
      <w:sz w:val="26"/>
      <w:szCs w:val="26"/>
      <w:lang w:eastAsia="en-US"/>
    </w:rPr>
  </w:style>
  <w:style w:type="character" w:customStyle="1" w:styleId="Heading2Char">
    <w:name w:val="Heading 2 Char"/>
    <w:aliases w:val="KB7 Char,Übersch 2 Times Roman Char,Subsection Char"/>
    <w:uiPriority w:val="99"/>
    <w:semiHidden/>
    <w:locked/>
    <w:rsid w:val="007A30DF"/>
    <w:rPr>
      <w:rFonts w:ascii="Cambria" w:hAnsi="Cambria" w:cs="Cambria"/>
      <w:b/>
      <w:bCs/>
      <w:i/>
      <w:iCs/>
      <w:sz w:val="28"/>
      <w:szCs w:val="28"/>
    </w:rPr>
  </w:style>
  <w:style w:type="character" w:styleId="Hyperlink">
    <w:name w:val="Hyperlink"/>
    <w:rsid w:val="007A30DF"/>
    <w:rPr>
      <w:color w:val="0000FF"/>
      <w:u w:val="single"/>
    </w:rPr>
  </w:style>
  <w:style w:type="character" w:customStyle="1" w:styleId="jrnl">
    <w:name w:val="jrnl"/>
    <w:basedOn w:val="DefaultParagraphFont"/>
    <w:uiPriority w:val="99"/>
    <w:rsid w:val="007A30DF"/>
  </w:style>
  <w:style w:type="character" w:styleId="Emphasis">
    <w:name w:val="Emphasis"/>
    <w:uiPriority w:val="99"/>
    <w:qFormat/>
    <w:rsid w:val="007A30DF"/>
    <w:rPr>
      <w:i/>
      <w:iCs/>
    </w:rPr>
  </w:style>
  <w:style w:type="character" w:customStyle="1" w:styleId="hps">
    <w:name w:val="hps"/>
    <w:basedOn w:val="DefaultParagraphFont"/>
    <w:uiPriority w:val="99"/>
    <w:rsid w:val="007A30DF"/>
  </w:style>
  <w:style w:type="character" w:customStyle="1" w:styleId="hpsalt-edited">
    <w:name w:val="hps alt-edited"/>
    <w:basedOn w:val="DefaultParagraphFont"/>
    <w:uiPriority w:val="99"/>
    <w:rsid w:val="007A30DF"/>
  </w:style>
  <w:style w:type="character" w:customStyle="1" w:styleId="hpsatn">
    <w:name w:val="hps atn"/>
    <w:basedOn w:val="DefaultParagraphFont"/>
    <w:uiPriority w:val="99"/>
    <w:rsid w:val="007A30DF"/>
  </w:style>
  <w:style w:type="paragraph" w:styleId="BodyText">
    <w:name w:val="Body Text"/>
    <w:basedOn w:val="Normal"/>
    <w:link w:val="BodyTextChar1"/>
    <w:uiPriority w:val="99"/>
    <w:rsid w:val="007A30DF"/>
    <w:pPr>
      <w:widowControl/>
      <w:autoSpaceDE w:val="0"/>
      <w:autoSpaceDN w:val="0"/>
    </w:pPr>
    <w:rPr>
      <w:rFonts w:ascii="Times New Roman" w:eastAsia="Calibri" w:hAnsi="Times New Roman" w:cs="Times New Roman"/>
      <w:kern w:val="0"/>
      <w:sz w:val="24"/>
      <w:szCs w:val="24"/>
      <w:lang w:eastAsia="bg-BG"/>
    </w:rPr>
  </w:style>
  <w:style w:type="character" w:customStyle="1" w:styleId="BodyTextChar1">
    <w:name w:val="Body Text Char1"/>
    <w:basedOn w:val="DefaultParagraphFont"/>
    <w:link w:val="BodyText"/>
    <w:uiPriority w:val="99"/>
    <w:rsid w:val="007A30DF"/>
    <w:rPr>
      <w:rFonts w:ascii="Times New Roman" w:eastAsia="Calibri" w:hAnsi="Times New Roman" w:cs="Times New Roman"/>
      <w:kern w:val="0"/>
      <w:sz w:val="24"/>
      <w:szCs w:val="24"/>
      <w:lang w:eastAsia="bg-BG"/>
    </w:rPr>
  </w:style>
  <w:style w:type="character" w:customStyle="1" w:styleId="BodyTextChar">
    <w:name w:val="Body Text Char"/>
    <w:uiPriority w:val="99"/>
    <w:semiHidden/>
    <w:locked/>
    <w:rsid w:val="007A30DF"/>
    <w:rPr>
      <w:rFonts w:ascii="Times New Roman" w:hAnsi="Times New Roman" w:cs="Times New Roman"/>
      <w:sz w:val="21"/>
      <w:szCs w:val="21"/>
    </w:rPr>
  </w:style>
  <w:style w:type="character" w:customStyle="1" w:styleId="atn">
    <w:name w:val="atn"/>
    <w:basedOn w:val="DefaultParagraphFont"/>
    <w:uiPriority w:val="99"/>
    <w:rsid w:val="007A30DF"/>
  </w:style>
  <w:style w:type="character" w:customStyle="1" w:styleId="st">
    <w:name w:val="st"/>
    <w:basedOn w:val="DefaultParagraphFont"/>
    <w:uiPriority w:val="99"/>
    <w:rsid w:val="007A30DF"/>
  </w:style>
  <w:style w:type="character" w:customStyle="1" w:styleId="shorttext">
    <w:name w:val="short_text"/>
    <w:basedOn w:val="DefaultParagraphFont"/>
    <w:uiPriority w:val="99"/>
    <w:rsid w:val="007A30DF"/>
  </w:style>
  <w:style w:type="character" w:customStyle="1" w:styleId="alt-edited">
    <w:name w:val="alt-edited"/>
    <w:basedOn w:val="DefaultParagraphFont"/>
    <w:uiPriority w:val="99"/>
    <w:rsid w:val="007A30DF"/>
  </w:style>
  <w:style w:type="character" w:customStyle="1" w:styleId="CharChar1">
    <w:name w:val="Char Char1"/>
    <w:uiPriority w:val="99"/>
    <w:semiHidden/>
    <w:rsid w:val="007A30DF"/>
    <w:rPr>
      <w:sz w:val="24"/>
      <w:szCs w:val="24"/>
      <w:lang w:val="bg-BG" w:eastAsia="bg-BG"/>
    </w:rPr>
  </w:style>
  <w:style w:type="character" w:customStyle="1" w:styleId="citation">
    <w:name w:val="citation"/>
    <w:basedOn w:val="DefaultParagraphFont"/>
    <w:uiPriority w:val="99"/>
    <w:rsid w:val="007A30DF"/>
  </w:style>
  <w:style w:type="character" w:customStyle="1" w:styleId="ref-journal">
    <w:name w:val="ref-journal"/>
    <w:basedOn w:val="DefaultParagraphFont"/>
    <w:uiPriority w:val="99"/>
    <w:rsid w:val="007A30DF"/>
  </w:style>
  <w:style w:type="character" w:customStyle="1" w:styleId="ref-vol">
    <w:name w:val="ref-vol"/>
    <w:basedOn w:val="DefaultParagraphFont"/>
    <w:uiPriority w:val="99"/>
    <w:rsid w:val="007A30DF"/>
  </w:style>
  <w:style w:type="character" w:customStyle="1" w:styleId="CharChar11">
    <w:name w:val="Char Char11"/>
    <w:uiPriority w:val="99"/>
    <w:semiHidden/>
    <w:rsid w:val="007A30DF"/>
    <w:rPr>
      <w:sz w:val="24"/>
      <w:szCs w:val="24"/>
      <w:lang w:val="bg-BG" w:eastAsia="bg-BG"/>
    </w:rPr>
  </w:style>
  <w:style w:type="character" w:customStyle="1" w:styleId="CharChar12">
    <w:name w:val="Char Char12"/>
    <w:uiPriority w:val="99"/>
    <w:semiHidden/>
    <w:rsid w:val="007A30DF"/>
    <w:rPr>
      <w:sz w:val="24"/>
      <w:szCs w:val="24"/>
      <w:lang w:val="bg-BG" w:eastAsia="bg-BG"/>
    </w:rPr>
  </w:style>
  <w:style w:type="character" w:customStyle="1" w:styleId="CharChar13">
    <w:name w:val="Char Char13"/>
    <w:uiPriority w:val="99"/>
    <w:semiHidden/>
    <w:rsid w:val="007A30DF"/>
    <w:rPr>
      <w:sz w:val="24"/>
      <w:szCs w:val="24"/>
      <w:lang w:val="bg-BG" w:eastAsia="bg-BG"/>
    </w:rPr>
  </w:style>
  <w:style w:type="character" w:customStyle="1" w:styleId="CharChar14">
    <w:name w:val="Char Char14"/>
    <w:uiPriority w:val="99"/>
    <w:semiHidden/>
    <w:rsid w:val="007A30DF"/>
    <w:rPr>
      <w:sz w:val="24"/>
      <w:szCs w:val="24"/>
      <w:lang w:val="bg-BG" w:eastAsia="bg-BG"/>
    </w:rPr>
  </w:style>
  <w:style w:type="character" w:customStyle="1" w:styleId="CharChar15">
    <w:name w:val="Char Char15"/>
    <w:uiPriority w:val="99"/>
    <w:semiHidden/>
    <w:rsid w:val="007A30DF"/>
    <w:rPr>
      <w:sz w:val="24"/>
      <w:szCs w:val="24"/>
      <w:lang w:val="bg-BG" w:eastAsia="bg-BG"/>
    </w:rPr>
  </w:style>
  <w:style w:type="character" w:customStyle="1" w:styleId="CharChar16">
    <w:name w:val="Char Char16"/>
    <w:uiPriority w:val="99"/>
    <w:semiHidden/>
    <w:rsid w:val="007A30DF"/>
    <w:rPr>
      <w:sz w:val="24"/>
      <w:szCs w:val="24"/>
      <w:lang w:val="bg-BG" w:eastAsia="bg-BG"/>
    </w:rPr>
  </w:style>
  <w:style w:type="paragraph" w:styleId="Header">
    <w:name w:val="header"/>
    <w:basedOn w:val="Normal"/>
    <w:link w:val="HeaderChar"/>
    <w:uiPriority w:val="99"/>
    <w:unhideWhenUsed/>
    <w:rsid w:val="007A30DF"/>
    <w:pPr>
      <w:widowControl/>
      <w:tabs>
        <w:tab w:val="center" w:pos="4536"/>
        <w:tab w:val="right" w:pos="9072"/>
      </w:tabs>
      <w:spacing w:line="264" w:lineRule="auto"/>
      <w:ind w:firstLine="360"/>
    </w:pPr>
    <w:rPr>
      <w:rFonts w:ascii="Times New Roman" w:eastAsia="Times New Roman" w:hAnsi="Times New Roman" w:cs="Times New Roman"/>
      <w:kern w:val="0"/>
      <w:szCs w:val="21"/>
      <w:lang w:eastAsia="en-US"/>
    </w:rPr>
  </w:style>
  <w:style w:type="character" w:customStyle="1" w:styleId="HeaderChar">
    <w:name w:val="Header Char"/>
    <w:basedOn w:val="DefaultParagraphFont"/>
    <w:link w:val="Header"/>
    <w:uiPriority w:val="99"/>
    <w:rsid w:val="007A30DF"/>
    <w:rPr>
      <w:rFonts w:ascii="Times New Roman" w:eastAsia="Times New Roman" w:hAnsi="Times New Roman" w:cs="Times New Roman"/>
      <w:kern w:val="0"/>
      <w:szCs w:val="21"/>
      <w:lang w:eastAsia="en-US"/>
    </w:rPr>
  </w:style>
  <w:style w:type="paragraph" w:styleId="Footer">
    <w:name w:val="footer"/>
    <w:basedOn w:val="Normal"/>
    <w:link w:val="FooterChar"/>
    <w:uiPriority w:val="99"/>
    <w:unhideWhenUsed/>
    <w:rsid w:val="007A30DF"/>
    <w:pPr>
      <w:widowControl/>
      <w:tabs>
        <w:tab w:val="center" w:pos="4536"/>
        <w:tab w:val="right" w:pos="9072"/>
      </w:tabs>
      <w:spacing w:line="264" w:lineRule="auto"/>
      <w:ind w:firstLine="360"/>
    </w:pPr>
    <w:rPr>
      <w:rFonts w:ascii="Times New Roman" w:eastAsia="Times New Roman" w:hAnsi="Times New Roman" w:cs="Times New Roman"/>
      <w:kern w:val="0"/>
      <w:szCs w:val="21"/>
      <w:lang w:eastAsia="en-US"/>
    </w:rPr>
  </w:style>
  <w:style w:type="character" w:customStyle="1" w:styleId="FooterChar">
    <w:name w:val="Footer Char"/>
    <w:basedOn w:val="DefaultParagraphFont"/>
    <w:link w:val="Footer"/>
    <w:uiPriority w:val="99"/>
    <w:rsid w:val="007A30DF"/>
    <w:rPr>
      <w:rFonts w:ascii="Times New Roman" w:eastAsia="Times New Roman" w:hAnsi="Times New Roman" w:cs="Times New Roman"/>
      <w:kern w:val="0"/>
      <w:szCs w:val="21"/>
      <w:lang w:eastAsia="en-US"/>
    </w:rPr>
  </w:style>
  <w:style w:type="paragraph" w:styleId="NormalWeb">
    <w:name w:val="Normal (Web)"/>
    <w:basedOn w:val="Normal"/>
    <w:uiPriority w:val="99"/>
    <w:unhideWhenUsed/>
    <w:rsid w:val="007A30DF"/>
    <w:pPr>
      <w:widowControl/>
      <w:jc w:val="left"/>
    </w:pPr>
    <w:rPr>
      <w:rFonts w:ascii="inherit" w:eastAsia="Times New Roman" w:hAnsi="inherit" w:cs="Times New Roman"/>
      <w:kern w:val="0"/>
      <w:sz w:val="24"/>
      <w:szCs w:val="24"/>
      <w:lang w:val="bg-BG" w:eastAsia="bg-BG"/>
    </w:rPr>
  </w:style>
  <w:style w:type="paragraph" w:styleId="ListParagraph">
    <w:name w:val="List Paragraph"/>
    <w:basedOn w:val="Normal"/>
    <w:uiPriority w:val="34"/>
    <w:qFormat/>
    <w:rsid w:val="007A30DF"/>
    <w:pPr>
      <w:ind w:left="720"/>
      <w:contextualSpacing/>
    </w:pPr>
    <w:rPr>
      <w:rFonts w:ascii="Times New Roman" w:eastAsia="宋体" w:hAnsi="Times New Roman" w:cs="Times New Roman"/>
      <w:szCs w:val="20"/>
    </w:rPr>
  </w:style>
  <w:style w:type="character" w:styleId="Strong">
    <w:name w:val="Strong"/>
    <w:uiPriority w:val="22"/>
    <w:qFormat/>
    <w:rsid w:val="007A30DF"/>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paragraph" w:styleId="Heading1">
    <w:name w:val="heading 1"/>
    <w:basedOn w:val="Normal"/>
    <w:next w:val="Normal"/>
    <w:link w:val="Heading1Char"/>
    <w:uiPriority w:val="99"/>
    <w:qFormat/>
    <w:rsid w:val="007A30DF"/>
    <w:pPr>
      <w:keepNext/>
      <w:widowControl/>
      <w:spacing w:before="240" w:after="60" w:line="264" w:lineRule="auto"/>
      <w:ind w:firstLine="360"/>
      <w:outlineLvl w:val="0"/>
    </w:pPr>
    <w:rPr>
      <w:rFonts w:ascii="Arial" w:eastAsia="Times New Roman" w:hAnsi="Arial" w:cs="Arial"/>
      <w:b/>
      <w:bCs/>
      <w:kern w:val="32"/>
      <w:sz w:val="32"/>
      <w:szCs w:val="32"/>
      <w:lang w:eastAsia="en-US"/>
    </w:rPr>
  </w:style>
  <w:style w:type="paragraph" w:styleId="Heading2">
    <w:name w:val="heading 2"/>
    <w:aliases w:val="KB7,Übersch 2 Times Roman,Subsection"/>
    <w:basedOn w:val="Normal"/>
    <w:next w:val="Normal"/>
    <w:link w:val="Heading2Char1"/>
    <w:uiPriority w:val="99"/>
    <w:qFormat/>
    <w:rsid w:val="007A30DF"/>
    <w:pPr>
      <w:keepNext/>
      <w:widowControl/>
      <w:jc w:val="center"/>
      <w:outlineLvl w:val="1"/>
    </w:pPr>
    <w:rPr>
      <w:rFonts w:ascii="Times New Roman" w:eastAsia="Calibri" w:hAnsi="Times New Roman" w:cs="Times New Roman"/>
      <w:b/>
      <w:bCs/>
      <w:smallCaps/>
      <w:kern w:val="0"/>
      <w:sz w:val="28"/>
      <w:szCs w:val="28"/>
      <w:lang w:val="fr-FR" w:eastAsia="en-US"/>
    </w:rPr>
  </w:style>
  <w:style w:type="paragraph" w:styleId="Heading3">
    <w:name w:val="heading 3"/>
    <w:basedOn w:val="Normal"/>
    <w:next w:val="Normal"/>
    <w:link w:val="Heading3Char"/>
    <w:uiPriority w:val="99"/>
    <w:qFormat/>
    <w:rsid w:val="007A30DF"/>
    <w:pPr>
      <w:keepNext/>
      <w:widowControl/>
      <w:spacing w:before="240" w:after="60" w:line="264" w:lineRule="auto"/>
      <w:ind w:firstLine="360"/>
      <w:outlineLvl w:val="2"/>
    </w:pPr>
    <w:rPr>
      <w:rFonts w:ascii="Arial" w:eastAsia="Times New Roman" w:hAnsi="Arial" w:cs="Arial"/>
      <w:b/>
      <w:bCs/>
      <w:kern w:val="0"/>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nhideWhenUsed/>
    <w:rsid w:val="007A30DF"/>
    <w:rPr>
      <w:sz w:val="21"/>
      <w:szCs w:val="21"/>
    </w:rPr>
  </w:style>
  <w:style w:type="paragraph" w:styleId="CommentText">
    <w:name w:val="annotation text"/>
    <w:basedOn w:val="Normal"/>
    <w:link w:val="CommentTextChar"/>
    <w:unhideWhenUsed/>
    <w:rsid w:val="007A30DF"/>
    <w:pPr>
      <w:jc w:val="left"/>
    </w:pPr>
  </w:style>
  <w:style w:type="character" w:customStyle="1" w:styleId="CommentTextChar">
    <w:name w:val="Comment Text Char"/>
    <w:basedOn w:val="DefaultParagraphFont"/>
    <w:link w:val="CommentText"/>
    <w:rsid w:val="007A30DF"/>
  </w:style>
  <w:style w:type="paragraph" w:styleId="CommentSubject">
    <w:name w:val="annotation subject"/>
    <w:basedOn w:val="CommentText"/>
    <w:next w:val="CommentText"/>
    <w:link w:val="CommentSubjectChar"/>
    <w:uiPriority w:val="99"/>
    <w:semiHidden/>
    <w:unhideWhenUsed/>
    <w:rsid w:val="007A30DF"/>
    <w:rPr>
      <w:b/>
      <w:bCs/>
    </w:rPr>
  </w:style>
  <w:style w:type="character" w:customStyle="1" w:styleId="CommentSubjectChar">
    <w:name w:val="Comment Subject Char"/>
    <w:basedOn w:val="CommentTextChar"/>
    <w:link w:val="CommentSubject"/>
    <w:uiPriority w:val="99"/>
    <w:semiHidden/>
    <w:rsid w:val="007A30DF"/>
    <w:rPr>
      <w:b/>
      <w:bCs/>
    </w:rPr>
  </w:style>
  <w:style w:type="paragraph" w:styleId="BalloonText">
    <w:name w:val="Balloon Text"/>
    <w:basedOn w:val="Normal"/>
    <w:link w:val="BalloonTextChar"/>
    <w:uiPriority w:val="99"/>
    <w:semiHidden/>
    <w:unhideWhenUsed/>
    <w:rsid w:val="007A30DF"/>
    <w:rPr>
      <w:sz w:val="18"/>
      <w:szCs w:val="18"/>
    </w:rPr>
  </w:style>
  <w:style w:type="character" w:customStyle="1" w:styleId="BalloonTextChar">
    <w:name w:val="Balloon Text Char"/>
    <w:basedOn w:val="DefaultParagraphFont"/>
    <w:link w:val="BalloonText"/>
    <w:uiPriority w:val="99"/>
    <w:semiHidden/>
    <w:rsid w:val="007A30DF"/>
    <w:rPr>
      <w:sz w:val="18"/>
      <w:szCs w:val="18"/>
    </w:rPr>
  </w:style>
  <w:style w:type="character" w:customStyle="1" w:styleId="Heading1Char">
    <w:name w:val="Heading 1 Char"/>
    <w:basedOn w:val="DefaultParagraphFont"/>
    <w:link w:val="Heading1"/>
    <w:uiPriority w:val="99"/>
    <w:rsid w:val="007A30DF"/>
    <w:rPr>
      <w:rFonts w:ascii="Arial" w:eastAsia="Times New Roman" w:hAnsi="Arial" w:cs="Arial"/>
      <w:b/>
      <w:bCs/>
      <w:kern w:val="32"/>
      <w:sz w:val="32"/>
      <w:szCs w:val="32"/>
      <w:lang w:eastAsia="en-US"/>
    </w:rPr>
  </w:style>
  <w:style w:type="character" w:customStyle="1" w:styleId="Heading2Char1">
    <w:name w:val="Heading 2 Char1"/>
    <w:aliases w:val="KB7 Char1,Übersch 2 Times Roman Char1,Subsection Char1"/>
    <w:basedOn w:val="DefaultParagraphFont"/>
    <w:link w:val="Heading2"/>
    <w:uiPriority w:val="99"/>
    <w:rsid w:val="007A30DF"/>
    <w:rPr>
      <w:rFonts w:ascii="Times New Roman" w:eastAsia="Calibri" w:hAnsi="Times New Roman" w:cs="Times New Roman"/>
      <w:b/>
      <w:bCs/>
      <w:smallCaps/>
      <w:kern w:val="0"/>
      <w:sz w:val="28"/>
      <w:szCs w:val="28"/>
      <w:lang w:val="fr-FR" w:eastAsia="en-US"/>
    </w:rPr>
  </w:style>
  <w:style w:type="character" w:customStyle="1" w:styleId="Heading3Char">
    <w:name w:val="Heading 3 Char"/>
    <w:basedOn w:val="DefaultParagraphFont"/>
    <w:link w:val="Heading3"/>
    <w:uiPriority w:val="99"/>
    <w:rsid w:val="007A30DF"/>
    <w:rPr>
      <w:rFonts w:ascii="Arial" w:eastAsia="Times New Roman" w:hAnsi="Arial" w:cs="Arial"/>
      <w:b/>
      <w:bCs/>
      <w:kern w:val="0"/>
      <w:sz w:val="26"/>
      <w:szCs w:val="26"/>
      <w:lang w:eastAsia="en-US"/>
    </w:rPr>
  </w:style>
  <w:style w:type="character" w:customStyle="1" w:styleId="Heading2Char">
    <w:name w:val="Heading 2 Char"/>
    <w:aliases w:val="KB7 Char,Übersch 2 Times Roman Char,Subsection Char"/>
    <w:uiPriority w:val="99"/>
    <w:semiHidden/>
    <w:locked/>
    <w:rsid w:val="007A30DF"/>
    <w:rPr>
      <w:rFonts w:ascii="Cambria" w:hAnsi="Cambria" w:cs="Cambria"/>
      <w:b/>
      <w:bCs/>
      <w:i/>
      <w:iCs/>
      <w:sz w:val="28"/>
      <w:szCs w:val="28"/>
    </w:rPr>
  </w:style>
  <w:style w:type="character" w:styleId="Hyperlink">
    <w:name w:val="Hyperlink"/>
    <w:rsid w:val="007A30DF"/>
    <w:rPr>
      <w:color w:val="0000FF"/>
      <w:u w:val="single"/>
    </w:rPr>
  </w:style>
  <w:style w:type="character" w:customStyle="1" w:styleId="jrnl">
    <w:name w:val="jrnl"/>
    <w:basedOn w:val="DefaultParagraphFont"/>
    <w:uiPriority w:val="99"/>
    <w:rsid w:val="007A30DF"/>
  </w:style>
  <w:style w:type="character" w:styleId="Emphasis">
    <w:name w:val="Emphasis"/>
    <w:uiPriority w:val="99"/>
    <w:qFormat/>
    <w:rsid w:val="007A30DF"/>
    <w:rPr>
      <w:i/>
      <w:iCs/>
    </w:rPr>
  </w:style>
  <w:style w:type="character" w:customStyle="1" w:styleId="hps">
    <w:name w:val="hps"/>
    <w:basedOn w:val="DefaultParagraphFont"/>
    <w:uiPriority w:val="99"/>
    <w:rsid w:val="007A30DF"/>
  </w:style>
  <w:style w:type="character" w:customStyle="1" w:styleId="hpsalt-edited">
    <w:name w:val="hps alt-edited"/>
    <w:basedOn w:val="DefaultParagraphFont"/>
    <w:uiPriority w:val="99"/>
    <w:rsid w:val="007A30DF"/>
  </w:style>
  <w:style w:type="character" w:customStyle="1" w:styleId="hpsatn">
    <w:name w:val="hps atn"/>
    <w:basedOn w:val="DefaultParagraphFont"/>
    <w:uiPriority w:val="99"/>
    <w:rsid w:val="007A30DF"/>
  </w:style>
  <w:style w:type="paragraph" w:styleId="BodyText">
    <w:name w:val="Body Text"/>
    <w:basedOn w:val="Normal"/>
    <w:link w:val="BodyTextChar1"/>
    <w:uiPriority w:val="99"/>
    <w:rsid w:val="007A30DF"/>
    <w:pPr>
      <w:widowControl/>
      <w:autoSpaceDE w:val="0"/>
      <w:autoSpaceDN w:val="0"/>
    </w:pPr>
    <w:rPr>
      <w:rFonts w:ascii="Times New Roman" w:eastAsia="Calibri" w:hAnsi="Times New Roman" w:cs="Times New Roman"/>
      <w:kern w:val="0"/>
      <w:sz w:val="24"/>
      <w:szCs w:val="24"/>
      <w:lang w:eastAsia="bg-BG"/>
    </w:rPr>
  </w:style>
  <w:style w:type="character" w:customStyle="1" w:styleId="BodyTextChar1">
    <w:name w:val="Body Text Char1"/>
    <w:basedOn w:val="DefaultParagraphFont"/>
    <w:link w:val="BodyText"/>
    <w:uiPriority w:val="99"/>
    <w:rsid w:val="007A30DF"/>
    <w:rPr>
      <w:rFonts w:ascii="Times New Roman" w:eastAsia="Calibri" w:hAnsi="Times New Roman" w:cs="Times New Roman"/>
      <w:kern w:val="0"/>
      <w:sz w:val="24"/>
      <w:szCs w:val="24"/>
      <w:lang w:eastAsia="bg-BG"/>
    </w:rPr>
  </w:style>
  <w:style w:type="character" w:customStyle="1" w:styleId="BodyTextChar">
    <w:name w:val="Body Text Char"/>
    <w:uiPriority w:val="99"/>
    <w:semiHidden/>
    <w:locked/>
    <w:rsid w:val="007A30DF"/>
    <w:rPr>
      <w:rFonts w:ascii="Times New Roman" w:hAnsi="Times New Roman" w:cs="Times New Roman"/>
      <w:sz w:val="21"/>
      <w:szCs w:val="21"/>
    </w:rPr>
  </w:style>
  <w:style w:type="character" w:customStyle="1" w:styleId="atn">
    <w:name w:val="atn"/>
    <w:basedOn w:val="DefaultParagraphFont"/>
    <w:uiPriority w:val="99"/>
    <w:rsid w:val="007A30DF"/>
  </w:style>
  <w:style w:type="character" w:customStyle="1" w:styleId="st">
    <w:name w:val="st"/>
    <w:basedOn w:val="DefaultParagraphFont"/>
    <w:uiPriority w:val="99"/>
    <w:rsid w:val="007A30DF"/>
  </w:style>
  <w:style w:type="character" w:customStyle="1" w:styleId="shorttext">
    <w:name w:val="short_text"/>
    <w:basedOn w:val="DefaultParagraphFont"/>
    <w:uiPriority w:val="99"/>
    <w:rsid w:val="007A30DF"/>
  </w:style>
  <w:style w:type="character" w:customStyle="1" w:styleId="alt-edited">
    <w:name w:val="alt-edited"/>
    <w:basedOn w:val="DefaultParagraphFont"/>
    <w:uiPriority w:val="99"/>
    <w:rsid w:val="007A30DF"/>
  </w:style>
  <w:style w:type="character" w:customStyle="1" w:styleId="CharChar1">
    <w:name w:val="Char Char1"/>
    <w:uiPriority w:val="99"/>
    <w:semiHidden/>
    <w:rsid w:val="007A30DF"/>
    <w:rPr>
      <w:sz w:val="24"/>
      <w:szCs w:val="24"/>
      <w:lang w:val="bg-BG" w:eastAsia="bg-BG"/>
    </w:rPr>
  </w:style>
  <w:style w:type="character" w:customStyle="1" w:styleId="citation">
    <w:name w:val="citation"/>
    <w:basedOn w:val="DefaultParagraphFont"/>
    <w:uiPriority w:val="99"/>
    <w:rsid w:val="007A30DF"/>
  </w:style>
  <w:style w:type="character" w:customStyle="1" w:styleId="ref-journal">
    <w:name w:val="ref-journal"/>
    <w:basedOn w:val="DefaultParagraphFont"/>
    <w:uiPriority w:val="99"/>
    <w:rsid w:val="007A30DF"/>
  </w:style>
  <w:style w:type="character" w:customStyle="1" w:styleId="ref-vol">
    <w:name w:val="ref-vol"/>
    <w:basedOn w:val="DefaultParagraphFont"/>
    <w:uiPriority w:val="99"/>
    <w:rsid w:val="007A30DF"/>
  </w:style>
  <w:style w:type="character" w:customStyle="1" w:styleId="CharChar11">
    <w:name w:val="Char Char11"/>
    <w:uiPriority w:val="99"/>
    <w:semiHidden/>
    <w:rsid w:val="007A30DF"/>
    <w:rPr>
      <w:sz w:val="24"/>
      <w:szCs w:val="24"/>
      <w:lang w:val="bg-BG" w:eastAsia="bg-BG"/>
    </w:rPr>
  </w:style>
  <w:style w:type="character" w:customStyle="1" w:styleId="CharChar12">
    <w:name w:val="Char Char12"/>
    <w:uiPriority w:val="99"/>
    <w:semiHidden/>
    <w:rsid w:val="007A30DF"/>
    <w:rPr>
      <w:sz w:val="24"/>
      <w:szCs w:val="24"/>
      <w:lang w:val="bg-BG" w:eastAsia="bg-BG"/>
    </w:rPr>
  </w:style>
  <w:style w:type="character" w:customStyle="1" w:styleId="CharChar13">
    <w:name w:val="Char Char13"/>
    <w:uiPriority w:val="99"/>
    <w:semiHidden/>
    <w:rsid w:val="007A30DF"/>
    <w:rPr>
      <w:sz w:val="24"/>
      <w:szCs w:val="24"/>
      <w:lang w:val="bg-BG" w:eastAsia="bg-BG"/>
    </w:rPr>
  </w:style>
  <w:style w:type="character" w:customStyle="1" w:styleId="CharChar14">
    <w:name w:val="Char Char14"/>
    <w:uiPriority w:val="99"/>
    <w:semiHidden/>
    <w:rsid w:val="007A30DF"/>
    <w:rPr>
      <w:sz w:val="24"/>
      <w:szCs w:val="24"/>
      <w:lang w:val="bg-BG" w:eastAsia="bg-BG"/>
    </w:rPr>
  </w:style>
  <w:style w:type="character" w:customStyle="1" w:styleId="CharChar15">
    <w:name w:val="Char Char15"/>
    <w:uiPriority w:val="99"/>
    <w:semiHidden/>
    <w:rsid w:val="007A30DF"/>
    <w:rPr>
      <w:sz w:val="24"/>
      <w:szCs w:val="24"/>
      <w:lang w:val="bg-BG" w:eastAsia="bg-BG"/>
    </w:rPr>
  </w:style>
  <w:style w:type="character" w:customStyle="1" w:styleId="CharChar16">
    <w:name w:val="Char Char16"/>
    <w:uiPriority w:val="99"/>
    <w:semiHidden/>
    <w:rsid w:val="007A30DF"/>
    <w:rPr>
      <w:sz w:val="24"/>
      <w:szCs w:val="24"/>
      <w:lang w:val="bg-BG" w:eastAsia="bg-BG"/>
    </w:rPr>
  </w:style>
  <w:style w:type="paragraph" w:styleId="Header">
    <w:name w:val="header"/>
    <w:basedOn w:val="Normal"/>
    <w:link w:val="HeaderChar"/>
    <w:uiPriority w:val="99"/>
    <w:unhideWhenUsed/>
    <w:rsid w:val="007A30DF"/>
    <w:pPr>
      <w:widowControl/>
      <w:tabs>
        <w:tab w:val="center" w:pos="4536"/>
        <w:tab w:val="right" w:pos="9072"/>
      </w:tabs>
      <w:spacing w:line="264" w:lineRule="auto"/>
      <w:ind w:firstLine="360"/>
    </w:pPr>
    <w:rPr>
      <w:rFonts w:ascii="Times New Roman" w:eastAsia="Times New Roman" w:hAnsi="Times New Roman" w:cs="Times New Roman"/>
      <w:kern w:val="0"/>
      <w:szCs w:val="21"/>
      <w:lang w:eastAsia="en-US"/>
    </w:rPr>
  </w:style>
  <w:style w:type="character" w:customStyle="1" w:styleId="HeaderChar">
    <w:name w:val="Header Char"/>
    <w:basedOn w:val="DefaultParagraphFont"/>
    <w:link w:val="Header"/>
    <w:uiPriority w:val="99"/>
    <w:rsid w:val="007A30DF"/>
    <w:rPr>
      <w:rFonts w:ascii="Times New Roman" w:eastAsia="Times New Roman" w:hAnsi="Times New Roman" w:cs="Times New Roman"/>
      <w:kern w:val="0"/>
      <w:szCs w:val="21"/>
      <w:lang w:eastAsia="en-US"/>
    </w:rPr>
  </w:style>
  <w:style w:type="paragraph" w:styleId="Footer">
    <w:name w:val="footer"/>
    <w:basedOn w:val="Normal"/>
    <w:link w:val="FooterChar"/>
    <w:uiPriority w:val="99"/>
    <w:unhideWhenUsed/>
    <w:rsid w:val="007A30DF"/>
    <w:pPr>
      <w:widowControl/>
      <w:tabs>
        <w:tab w:val="center" w:pos="4536"/>
        <w:tab w:val="right" w:pos="9072"/>
      </w:tabs>
      <w:spacing w:line="264" w:lineRule="auto"/>
      <w:ind w:firstLine="360"/>
    </w:pPr>
    <w:rPr>
      <w:rFonts w:ascii="Times New Roman" w:eastAsia="Times New Roman" w:hAnsi="Times New Roman" w:cs="Times New Roman"/>
      <w:kern w:val="0"/>
      <w:szCs w:val="21"/>
      <w:lang w:eastAsia="en-US"/>
    </w:rPr>
  </w:style>
  <w:style w:type="character" w:customStyle="1" w:styleId="FooterChar">
    <w:name w:val="Footer Char"/>
    <w:basedOn w:val="DefaultParagraphFont"/>
    <w:link w:val="Footer"/>
    <w:uiPriority w:val="99"/>
    <w:rsid w:val="007A30DF"/>
    <w:rPr>
      <w:rFonts w:ascii="Times New Roman" w:eastAsia="Times New Roman" w:hAnsi="Times New Roman" w:cs="Times New Roman"/>
      <w:kern w:val="0"/>
      <w:szCs w:val="21"/>
      <w:lang w:eastAsia="en-US"/>
    </w:rPr>
  </w:style>
  <w:style w:type="paragraph" w:styleId="NormalWeb">
    <w:name w:val="Normal (Web)"/>
    <w:basedOn w:val="Normal"/>
    <w:uiPriority w:val="99"/>
    <w:unhideWhenUsed/>
    <w:rsid w:val="007A30DF"/>
    <w:pPr>
      <w:widowControl/>
      <w:jc w:val="left"/>
    </w:pPr>
    <w:rPr>
      <w:rFonts w:ascii="inherit" w:eastAsia="Times New Roman" w:hAnsi="inherit" w:cs="Times New Roman"/>
      <w:kern w:val="0"/>
      <w:sz w:val="24"/>
      <w:szCs w:val="24"/>
      <w:lang w:val="bg-BG" w:eastAsia="bg-BG"/>
    </w:rPr>
  </w:style>
  <w:style w:type="paragraph" w:styleId="ListParagraph">
    <w:name w:val="List Paragraph"/>
    <w:basedOn w:val="Normal"/>
    <w:uiPriority w:val="34"/>
    <w:qFormat/>
    <w:rsid w:val="007A30DF"/>
    <w:pPr>
      <w:ind w:left="720"/>
      <w:contextualSpacing/>
    </w:pPr>
    <w:rPr>
      <w:rFonts w:ascii="Times New Roman" w:eastAsia="宋体" w:hAnsi="Times New Roman" w:cs="Times New Roman"/>
      <w:szCs w:val="20"/>
    </w:rPr>
  </w:style>
  <w:style w:type="character" w:styleId="Strong">
    <w:name w:val="Strong"/>
    <w:uiPriority w:val="22"/>
    <w:qFormat/>
    <w:rsid w:val="007A30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85078">
      <w:bodyDiv w:val="1"/>
      <w:marLeft w:val="0"/>
      <w:marRight w:val="0"/>
      <w:marTop w:val="0"/>
      <w:marBottom w:val="0"/>
      <w:divBdr>
        <w:top w:val="none" w:sz="0" w:space="0" w:color="auto"/>
        <w:left w:val="none" w:sz="0" w:space="0" w:color="auto"/>
        <w:bottom w:val="none" w:sz="0" w:space="0" w:color="auto"/>
        <w:right w:val="none" w:sz="0" w:space="0" w:color="auto"/>
      </w:divBdr>
      <w:divsChild>
        <w:div w:id="2131973387">
          <w:marLeft w:val="0"/>
          <w:marRight w:val="0"/>
          <w:marTop w:val="0"/>
          <w:marBottom w:val="0"/>
          <w:divBdr>
            <w:top w:val="none" w:sz="0" w:space="0" w:color="auto"/>
            <w:left w:val="none" w:sz="0" w:space="0" w:color="auto"/>
            <w:bottom w:val="none" w:sz="0" w:space="0" w:color="auto"/>
            <w:right w:val="none" w:sz="0" w:space="0" w:color="auto"/>
          </w:divBdr>
          <w:divsChild>
            <w:div w:id="1106923088">
              <w:marLeft w:val="0"/>
              <w:marRight w:val="0"/>
              <w:marTop w:val="0"/>
              <w:marBottom w:val="0"/>
              <w:divBdr>
                <w:top w:val="none" w:sz="0" w:space="0" w:color="auto"/>
                <w:left w:val="none" w:sz="0" w:space="0" w:color="auto"/>
                <w:bottom w:val="none" w:sz="0" w:space="0" w:color="auto"/>
                <w:right w:val="none" w:sz="0" w:space="0" w:color="auto"/>
              </w:divBdr>
            </w:div>
            <w:div w:id="1852840562">
              <w:marLeft w:val="0"/>
              <w:marRight w:val="0"/>
              <w:marTop w:val="0"/>
              <w:marBottom w:val="0"/>
              <w:divBdr>
                <w:top w:val="none" w:sz="0" w:space="0" w:color="auto"/>
                <w:left w:val="none" w:sz="0" w:space="0" w:color="auto"/>
                <w:bottom w:val="none" w:sz="0" w:space="0" w:color="auto"/>
                <w:right w:val="none" w:sz="0" w:space="0" w:color="auto"/>
              </w:divBdr>
            </w:div>
            <w:div w:id="703093010">
              <w:marLeft w:val="0"/>
              <w:marRight w:val="0"/>
              <w:marTop w:val="0"/>
              <w:marBottom w:val="0"/>
              <w:divBdr>
                <w:top w:val="none" w:sz="0" w:space="0" w:color="auto"/>
                <w:left w:val="none" w:sz="0" w:space="0" w:color="auto"/>
                <w:bottom w:val="none" w:sz="0" w:space="0" w:color="auto"/>
                <w:right w:val="none" w:sz="0" w:space="0" w:color="auto"/>
              </w:divBdr>
            </w:div>
            <w:div w:id="682441779">
              <w:marLeft w:val="0"/>
              <w:marRight w:val="0"/>
              <w:marTop w:val="0"/>
              <w:marBottom w:val="0"/>
              <w:divBdr>
                <w:top w:val="none" w:sz="0" w:space="0" w:color="auto"/>
                <w:left w:val="none" w:sz="0" w:space="0" w:color="auto"/>
                <w:bottom w:val="none" w:sz="0" w:space="0" w:color="auto"/>
                <w:right w:val="none" w:sz="0" w:space="0" w:color="auto"/>
              </w:divBdr>
            </w:div>
            <w:div w:id="45643321">
              <w:marLeft w:val="0"/>
              <w:marRight w:val="0"/>
              <w:marTop w:val="0"/>
              <w:marBottom w:val="0"/>
              <w:divBdr>
                <w:top w:val="none" w:sz="0" w:space="0" w:color="auto"/>
                <w:left w:val="none" w:sz="0" w:space="0" w:color="auto"/>
                <w:bottom w:val="none" w:sz="0" w:space="0" w:color="auto"/>
                <w:right w:val="none" w:sz="0" w:space="0" w:color="auto"/>
              </w:divBdr>
            </w:div>
            <w:div w:id="401292288">
              <w:marLeft w:val="0"/>
              <w:marRight w:val="0"/>
              <w:marTop w:val="0"/>
              <w:marBottom w:val="0"/>
              <w:divBdr>
                <w:top w:val="none" w:sz="0" w:space="0" w:color="auto"/>
                <w:left w:val="none" w:sz="0" w:space="0" w:color="auto"/>
                <w:bottom w:val="none" w:sz="0" w:space="0" w:color="auto"/>
                <w:right w:val="none" w:sz="0" w:space="0" w:color="auto"/>
              </w:divBdr>
            </w:div>
            <w:div w:id="1687054569">
              <w:marLeft w:val="0"/>
              <w:marRight w:val="0"/>
              <w:marTop w:val="0"/>
              <w:marBottom w:val="0"/>
              <w:divBdr>
                <w:top w:val="none" w:sz="0" w:space="0" w:color="auto"/>
                <w:left w:val="none" w:sz="0" w:space="0" w:color="auto"/>
                <w:bottom w:val="none" w:sz="0" w:space="0" w:color="auto"/>
                <w:right w:val="none" w:sz="0" w:space="0" w:color="auto"/>
              </w:divBdr>
            </w:div>
            <w:div w:id="1230770115">
              <w:marLeft w:val="0"/>
              <w:marRight w:val="0"/>
              <w:marTop w:val="0"/>
              <w:marBottom w:val="0"/>
              <w:divBdr>
                <w:top w:val="none" w:sz="0" w:space="0" w:color="auto"/>
                <w:left w:val="none" w:sz="0" w:space="0" w:color="auto"/>
                <w:bottom w:val="none" w:sz="0" w:space="0" w:color="auto"/>
                <w:right w:val="none" w:sz="0" w:space="0" w:color="auto"/>
              </w:divBdr>
            </w:div>
            <w:div w:id="1266570922">
              <w:marLeft w:val="0"/>
              <w:marRight w:val="0"/>
              <w:marTop w:val="0"/>
              <w:marBottom w:val="0"/>
              <w:divBdr>
                <w:top w:val="none" w:sz="0" w:space="0" w:color="auto"/>
                <w:left w:val="none" w:sz="0" w:space="0" w:color="auto"/>
                <w:bottom w:val="none" w:sz="0" w:space="0" w:color="auto"/>
                <w:right w:val="none" w:sz="0" w:space="0" w:color="auto"/>
              </w:divBdr>
            </w:div>
            <w:div w:id="1587375905">
              <w:marLeft w:val="0"/>
              <w:marRight w:val="0"/>
              <w:marTop w:val="0"/>
              <w:marBottom w:val="0"/>
              <w:divBdr>
                <w:top w:val="none" w:sz="0" w:space="0" w:color="auto"/>
                <w:left w:val="none" w:sz="0" w:space="0" w:color="auto"/>
                <w:bottom w:val="none" w:sz="0" w:space="0" w:color="auto"/>
                <w:right w:val="none" w:sz="0" w:space="0" w:color="auto"/>
              </w:divBdr>
            </w:div>
            <w:div w:id="2108891668">
              <w:marLeft w:val="0"/>
              <w:marRight w:val="0"/>
              <w:marTop w:val="0"/>
              <w:marBottom w:val="0"/>
              <w:divBdr>
                <w:top w:val="none" w:sz="0" w:space="0" w:color="auto"/>
                <w:left w:val="none" w:sz="0" w:space="0" w:color="auto"/>
                <w:bottom w:val="none" w:sz="0" w:space="0" w:color="auto"/>
                <w:right w:val="none" w:sz="0" w:space="0" w:color="auto"/>
              </w:divBdr>
            </w:div>
            <w:div w:id="1553154338">
              <w:marLeft w:val="0"/>
              <w:marRight w:val="0"/>
              <w:marTop w:val="0"/>
              <w:marBottom w:val="0"/>
              <w:divBdr>
                <w:top w:val="none" w:sz="0" w:space="0" w:color="auto"/>
                <w:left w:val="none" w:sz="0" w:space="0" w:color="auto"/>
                <w:bottom w:val="none" w:sz="0" w:space="0" w:color="auto"/>
                <w:right w:val="none" w:sz="0" w:space="0" w:color="auto"/>
              </w:divBdr>
            </w:div>
            <w:div w:id="1466195191">
              <w:marLeft w:val="0"/>
              <w:marRight w:val="0"/>
              <w:marTop w:val="0"/>
              <w:marBottom w:val="0"/>
              <w:divBdr>
                <w:top w:val="none" w:sz="0" w:space="0" w:color="auto"/>
                <w:left w:val="none" w:sz="0" w:space="0" w:color="auto"/>
                <w:bottom w:val="none" w:sz="0" w:space="0" w:color="auto"/>
                <w:right w:val="none" w:sz="0" w:space="0" w:color="auto"/>
              </w:divBdr>
            </w:div>
            <w:div w:id="110903727">
              <w:marLeft w:val="0"/>
              <w:marRight w:val="0"/>
              <w:marTop w:val="0"/>
              <w:marBottom w:val="0"/>
              <w:divBdr>
                <w:top w:val="none" w:sz="0" w:space="0" w:color="auto"/>
                <w:left w:val="none" w:sz="0" w:space="0" w:color="auto"/>
                <w:bottom w:val="none" w:sz="0" w:space="0" w:color="auto"/>
                <w:right w:val="none" w:sz="0" w:space="0" w:color="auto"/>
              </w:divBdr>
            </w:div>
            <w:div w:id="1679653633">
              <w:marLeft w:val="0"/>
              <w:marRight w:val="0"/>
              <w:marTop w:val="0"/>
              <w:marBottom w:val="0"/>
              <w:divBdr>
                <w:top w:val="none" w:sz="0" w:space="0" w:color="auto"/>
                <w:left w:val="none" w:sz="0" w:space="0" w:color="auto"/>
                <w:bottom w:val="none" w:sz="0" w:space="0" w:color="auto"/>
                <w:right w:val="none" w:sz="0" w:space="0" w:color="auto"/>
              </w:divBdr>
            </w:div>
            <w:div w:id="1897084896">
              <w:marLeft w:val="0"/>
              <w:marRight w:val="0"/>
              <w:marTop w:val="0"/>
              <w:marBottom w:val="0"/>
              <w:divBdr>
                <w:top w:val="none" w:sz="0" w:space="0" w:color="auto"/>
                <w:left w:val="none" w:sz="0" w:space="0" w:color="auto"/>
                <w:bottom w:val="none" w:sz="0" w:space="0" w:color="auto"/>
                <w:right w:val="none" w:sz="0" w:space="0" w:color="auto"/>
              </w:divBdr>
            </w:div>
            <w:div w:id="467742897">
              <w:marLeft w:val="0"/>
              <w:marRight w:val="0"/>
              <w:marTop w:val="0"/>
              <w:marBottom w:val="0"/>
              <w:divBdr>
                <w:top w:val="none" w:sz="0" w:space="0" w:color="auto"/>
                <w:left w:val="none" w:sz="0" w:space="0" w:color="auto"/>
                <w:bottom w:val="none" w:sz="0" w:space="0" w:color="auto"/>
                <w:right w:val="none" w:sz="0" w:space="0" w:color="auto"/>
              </w:divBdr>
            </w:div>
            <w:div w:id="442069798">
              <w:marLeft w:val="0"/>
              <w:marRight w:val="0"/>
              <w:marTop w:val="0"/>
              <w:marBottom w:val="0"/>
              <w:divBdr>
                <w:top w:val="none" w:sz="0" w:space="0" w:color="auto"/>
                <w:left w:val="none" w:sz="0" w:space="0" w:color="auto"/>
                <w:bottom w:val="none" w:sz="0" w:space="0" w:color="auto"/>
                <w:right w:val="none" w:sz="0" w:space="0" w:color="auto"/>
              </w:divBdr>
            </w:div>
            <w:div w:id="292172648">
              <w:marLeft w:val="0"/>
              <w:marRight w:val="0"/>
              <w:marTop w:val="0"/>
              <w:marBottom w:val="0"/>
              <w:divBdr>
                <w:top w:val="none" w:sz="0" w:space="0" w:color="auto"/>
                <w:left w:val="none" w:sz="0" w:space="0" w:color="auto"/>
                <w:bottom w:val="none" w:sz="0" w:space="0" w:color="auto"/>
                <w:right w:val="none" w:sz="0" w:space="0" w:color="auto"/>
              </w:divBdr>
            </w:div>
            <w:div w:id="751436298">
              <w:marLeft w:val="0"/>
              <w:marRight w:val="0"/>
              <w:marTop w:val="0"/>
              <w:marBottom w:val="0"/>
              <w:divBdr>
                <w:top w:val="none" w:sz="0" w:space="0" w:color="auto"/>
                <w:left w:val="none" w:sz="0" w:space="0" w:color="auto"/>
                <w:bottom w:val="none" w:sz="0" w:space="0" w:color="auto"/>
                <w:right w:val="none" w:sz="0" w:space="0" w:color="auto"/>
              </w:divBdr>
            </w:div>
            <w:div w:id="896088396">
              <w:marLeft w:val="0"/>
              <w:marRight w:val="0"/>
              <w:marTop w:val="0"/>
              <w:marBottom w:val="0"/>
              <w:divBdr>
                <w:top w:val="none" w:sz="0" w:space="0" w:color="auto"/>
                <w:left w:val="none" w:sz="0" w:space="0" w:color="auto"/>
                <w:bottom w:val="none" w:sz="0" w:space="0" w:color="auto"/>
                <w:right w:val="none" w:sz="0" w:space="0" w:color="auto"/>
              </w:divBdr>
            </w:div>
            <w:div w:id="909852810">
              <w:marLeft w:val="0"/>
              <w:marRight w:val="0"/>
              <w:marTop w:val="0"/>
              <w:marBottom w:val="0"/>
              <w:divBdr>
                <w:top w:val="none" w:sz="0" w:space="0" w:color="auto"/>
                <w:left w:val="none" w:sz="0" w:space="0" w:color="auto"/>
                <w:bottom w:val="none" w:sz="0" w:space="0" w:color="auto"/>
                <w:right w:val="none" w:sz="0" w:space="0" w:color="auto"/>
              </w:divBdr>
            </w:div>
            <w:div w:id="2137987386">
              <w:marLeft w:val="0"/>
              <w:marRight w:val="0"/>
              <w:marTop w:val="0"/>
              <w:marBottom w:val="0"/>
              <w:divBdr>
                <w:top w:val="none" w:sz="0" w:space="0" w:color="auto"/>
                <w:left w:val="none" w:sz="0" w:space="0" w:color="auto"/>
                <w:bottom w:val="none" w:sz="0" w:space="0" w:color="auto"/>
                <w:right w:val="none" w:sz="0" w:space="0" w:color="auto"/>
              </w:divBdr>
            </w:div>
            <w:div w:id="1558200431">
              <w:marLeft w:val="0"/>
              <w:marRight w:val="0"/>
              <w:marTop w:val="0"/>
              <w:marBottom w:val="0"/>
              <w:divBdr>
                <w:top w:val="none" w:sz="0" w:space="0" w:color="auto"/>
                <w:left w:val="none" w:sz="0" w:space="0" w:color="auto"/>
                <w:bottom w:val="none" w:sz="0" w:space="0" w:color="auto"/>
                <w:right w:val="none" w:sz="0" w:space="0" w:color="auto"/>
              </w:divBdr>
            </w:div>
            <w:div w:id="258292634">
              <w:marLeft w:val="0"/>
              <w:marRight w:val="0"/>
              <w:marTop w:val="0"/>
              <w:marBottom w:val="0"/>
              <w:divBdr>
                <w:top w:val="none" w:sz="0" w:space="0" w:color="auto"/>
                <w:left w:val="none" w:sz="0" w:space="0" w:color="auto"/>
                <w:bottom w:val="none" w:sz="0" w:space="0" w:color="auto"/>
                <w:right w:val="none" w:sz="0" w:space="0" w:color="auto"/>
              </w:divBdr>
            </w:div>
            <w:div w:id="733547111">
              <w:marLeft w:val="0"/>
              <w:marRight w:val="0"/>
              <w:marTop w:val="0"/>
              <w:marBottom w:val="0"/>
              <w:divBdr>
                <w:top w:val="none" w:sz="0" w:space="0" w:color="auto"/>
                <w:left w:val="none" w:sz="0" w:space="0" w:color="auto"/>
                <w:bottom w:val="none" w:sz="0" w:space="0" w:color="auto"/>
                <w:right w:val="none" w:sz="0" w:space="0" w:color="auto"/>
              </w:divBdr>
            </w:div>
            <w:div w:id="375396134">
              <w:marLeft w:val="0"/>
              <w:marRight w:val="0"/>
              <w:marTop w:val="0"/>
              <w:marBottom w:val="0"/>
              <w:divBdr>
                <w:top w:val="none" w:sz="0" w:space="0" w:color="auto"/>
                <w:left w:val="none" w:sz="0" w:space="0" w:color="auto"/>
                <w:bottom w:val="none" w:sz="0" w:space="0" w:color="auto"/>
                <w:right w:val="none" w:sz="0" w:space="0" w:color="auto"/>
              </w:divBdr>
            </w:div>
            <w:div w:id="261690198">
              <w:marLeft w:val="0"/>
              <w:marRight w:val="0"/>
              <w:marTop w:val="0"/>
              <w:marBottom w:val="0"/>
              <w:divBdr>
                <w:top w:val="none" w:sz="0" w:space="0" w:color="auto"/>
                <w:left w:val="none" w:sz="0" w:space="0" w:color="auto"/>
                <w:bottom w:val="none" w:sz="0" w:space="0" w:color="auto"/>
                <w:right w:val="none" w:sz="0" w:space="0" w:color="auto"/>
              </w:divBdr>
            </w:div>
            <w:div w:id="1363018869">
              <w:marLeft w:val="0"/>
              <w:marRight w:val="0"/>
              <w:marTop w:val="0"/>
              <w:marBottom w:val="0"/>
              <w:divBdr>
                <w:top w:val="none" w:sz="0" w:space="0" w:color="auto"/>
                <w:left w:val="none" w:sz="0" w:space="0" w:color="auto"/>
                <w:bottom w:val="none" w:sz="0" w:space="0" w:color="auto"/>
                <w:right w:val="none" w:sz="0" w:space="0" w:color="auto"/>
              </w:divBdr>
            </w:div>
            <w:div w:id="1997293669">
              <w:marLeft w:val="0"/>
              <w:marRight w:val="0"/>
              <w:marTop w:val="0"/>
              <w:marBottom w:val="0"/>
              <w:divBdr>
                <w:top w:val="none" w:sz="0" w:space="0" w:color="auto"/>
                <w:left w:val="none" w:sz="0" w:space="0" w:color="auto"/>
                <w:bottom w:val="none" w:sz="0" w:space="0" w:color="auto"/>
                <w:right w:val="none" w:sz="0" w:space="0" w:color="auto"/>
              </w:divBdr>
            </w:div>
            <w:div w:id="1473254130">
              <w:marLeft w:val="0"/>
              <w:marRight w:val="0"/>
              <w:marTop w:val="0"/>
              <w:marBottom w:val="0"/>
              <w:divBdr>
                <w:top w:val="none" w:sz="0" w:space="0" w:color="auto"/>
                <w:left w:val="none" w:sz="0" w:space="0" w:color="auto"/>
                <w:bottom w:val="none" w:sz="0" w:space="0" w:color="auto"/>
                <w:right w:val="none" w:sz="0" w:space="0" w:color="auto"/>
              </w:divBdr>
            </w:div>
            <w:div w:id="1788427583">
              <w:marLeft w:val="0"/>
              <w:marRight w:val="0"/>
              <w:marTop w:val="0"/>
              <w:marBottom w:val="0"/>
              <w:divBdr>
                <w:top w:val="none" w:sz="0" w:space="0" w:color="auto"/>
                <w:left w:val="none" w:sz="0" w:space="0" w:color="auto"/>
                <w:bottom w:val="none" w:sz="0" w:space="0" w:color="auto"/>
                <w:right w:val="none" w:sz="0" w:space="0" w:color="auto"/>
              </w:divBdr>
            </w:div>
            <w:div w:id="1126006648">
              <w:marLeft w:val="0"/>
              <w:marRight w:val="0"/>
              <w:marTop w:val="0"/>
              <w:marBottom w:val="0"/>
              <w:divBdr>
                <w:top w:val="none" w:sz="0" w:space="0" w:color="auto"/>
                <w:left w:val="none" w:sz="0" w:space="0" w:color="auto"/>
                <w:bottom w:val="none" w:sz="0" w:space="0" w:color="auto"/>
                <w:right w:val="none" w:sz="0" w:space="0" w:color="auto"/>
              </w:divBdr>
            </w:div>
            <w:div w:id="1511874359">
              <w:marLeft w:val="0"/>
              <w:marRight w:val="0"/>
              <w:marTop w:val="0"/>
              <w:marBottom w:val="0"/>
              <w:divBdr>
                <w:top w:val="none" w:sz="0" w:space="0" w:color="auto"/>
                <w:left w:val="none" w:sz="0" w:space="0" w:color="auto"/>
                <w:bottom w:val="none" w:sz="0" w:space="0" w:color="auto"/>
                <w:right w:val="none" w:sz="0" w:space="0" w:color="auto"/>
              </w:divBdr>
            </w:div>
            <w:div w:id="1896162225">
              <w:marLeft w:val="0"/>
              <w:marRight w:val="0"/>
              <w:marTop w:val="0"/>
              <w:marBottom w:val="0"/>
              <w:divBdr>
                <w:top w:val="none" w:sz="0" w:space="0" w:color="auto"/>
                <w:left w:val="none" w:sz="0" w:space="0" w:color="auto"/>
                <w:bottom w:val="none" w:sz="0" w:space="0" w:color="auto"/>
                <w:right w:val="none" w:sz="0" w:space="0" w:color="auto"/>
              </w:divBdr>
            </w:div>
            <w:div w:id="1658260175">
              <w:marLeft w:val="0"/>
              <w:marRight w:val="0"/>
              <w:marTop w:val="0"/>
              <w:marBottom w:val="0"/>
              <w:divBdr>
                <w:top w:val="none" w:sz="0" w:space="0" w:color="auto"/>
                <w:left w:val="none" w:sz="0" w:space="0" w:color="auto"/>
                <w:bottom w:val="none" w:sz="0" w:space="0" w:color="auto"/>
                <w:right w:val="none" w:sz="0" w:space="0" w:color="auto"/>
              </w:divBdr>
            </w:div>
            <w:div w:id="938568221">
              <w:marLeft w:val="0"/>
              <w:marRight w:val="0"/>
              <w:marTop w:val="0"/>
              <w:marBottom w:val="0"/>
              <w:divBdr>
                <w:top w:val="none" w:sz="0" w:space="0" w:color="auto"/>
                <w:left w:val="none" w:sz="0" w:space="0" w:color="auto"/>
                <w:bottom w:val="none" w:sz="0" w:space="0" w:color="auto"/>
                <w:right w:val="none" w:sz="0" w:space="0" w:color="auto"/>
              </w:divBdr>
            </w:div>
            <w:div w:id="186913393">
              <w:marLeft w:val="0"/>
              <w:marRight w:val="0"/>
              <w:marTop w:val="0"/>
              <w:marBottom w:val="0"/>
              <w:divBdr>
                <w:top w:val="none" w:sz="0" w:space="0" w:color="auto"/>
                <w:left w:val="none" w:sz="0" w:space="0" w:color="auto"/>
                <w:bottom w:val="none" w:sz="0" w:space="0" w:color="auto"/>
                <w:right w:val="none" w:sz="0" w:space="0" w:color="auto"/>
              </w:divBdr>
            </w:div>
            <w:div w:id="306277442">
              <w:marLeft w:val="0"/>
              <w:marRight w:val="0"/>
              <w:marTop w:val="0"/>
              <w:marBottom w:val="0"/>
              <w:divBdr>
                <w:top w:val="none" w:sz="0" w:space="0" w:color="auto"/>
                <w:left w:val="none" w:sz="0" w:space="0" w:color="auto"/>
                <w:bottom w:val="none" w:sz="0" w:space="0" w:color="auto"/>
                <w:right w:val="none" w:sz="0" w:space="0" w:color="auto"/>
              </w:divBdr>
            </w:div>
            <w:div w:id="1361589383">
              <w:marLeft w:val="0"/>
              <w:marRight w:val="0"/>
              <w:marTop w:val="0"/>
              <w:marBottom w:val="0"/>
              <w:divBdr>
                <w:top w:val="none" w:sz="0" w:space="0" w:color="auto"/>
                <w:left w:val="none" w:sz="0" w:space="0" w:color="auto"/>
                <w:bottom w:val="none" w:sz="0" w:space="0" w:color="auto"/>
                <w:right w:val="none" w:sz="0" w:space="0" w:color="auto"/>
              </w:divBdr>
            </w:div>
            <w:div w:id="673841657">
              <w:marLeft w:val="0"/>
              <w:marRight w:val="0"/>
              <w:marTop w:val="0"/>
              <w:marBottom w:val="0"/>
              <w:divBdr>
                <w:top w:val="none" w:sz="0" w:space="0" w:color="auto"/>
                <w:left w:val="none" w:sz="0" w:space="0" w:color="auto"/>
                <w:bottom w:val="none" w:sz="0" w:space="0" w:color="auto"/>
                <w:right w:val="none" w:sz="0" w:space="0" w:color="auto"/>
              </w:divBdr>
            </w:div>
            <w:div w:id="1166017607">
              <w:marLeft w:val="0"/>
              <w:marRight w:val="0"/>
              <w:marTop w:val="0"/>
              <w:marBottom w:val="0"/>
              <w:divBdr>
                <w:top w:val="none" w:sz="0" w:space="0" w:color="auto"/>
                <w:left w:val="none" w:sz="0" w:space="0" w:color="auto"/>
                <w:bottom w:val="none" w:sz="0" w:space="0" w:color="auto"/>
                <w:right w:val="none" w:sz="0" w:space="0" w:color="auto"/>
              </w:divBdr>
            </w:div>
            <w:div w:id="452092434">
              <w:marLeft w:val="0"/>
              <w:marRight w:val="0"/>
              <w:marTop w:val="0"/>
              <w:marBottom w:val="0"/>
              <w:divBdr>
                <w:top w:val="none" w:sz="0" w:space="0" w:color="auto"/>
                <w:left w:val="none" w:sz="0" w:space="0" w:color="auto"/>
                <w:bottom w:val="none" w:sz="0" w:space="0" w:color="auto"/>
                <w:right w:val="none" w:sz="0" w:space="0" w:color="auto"/>
              </w:divBdr>
            </w:div>
            <w:div w:id="2048482537">
              <w:marLeft w:val="0"/>
              <w:marRight w:val="0"/>
              <w:marTop w:val="0"/>
              <w:marBottom w:val="0"/>
              <w:divBdr>
                <w:top w:val="none" w:sz="0" w:space="0" w:color="auto"/>
                <w:left w:val="none" w:sz="0" w:space="0" w:color="auto"/>
                <w:bottom w:val="none" w:sz="0" w:space="0" w:color="auto"/>
                <w:right w:val="none" w:sz="0" w:space="0" w:color="auto"/>
              </w:divBdr>
            </w:div>
            <w:div w:id="19017395">
              <w:marLeft w:val="0"/>
              <w:marRight w:val="0"/>
              <w:marTop w:val="0"/>
              <w:marBottom w:val="0"/>
              <w:divBdr>
                <w:top w:val="none" w:sz="0" w:space="0" w:color="auto"/>
                <w:left w:val="none" w:sz="0" w:space="0" w:color="auto"/>
                <w:bottom w:val="none" w:sz="0" w:space="0" w:color="auto"/>
                <w:right w:val="none" w:sz="0" w:space="0" w:color="auto"/>
              </w:divBdr>
            </w:div>
            <w:div w:id="358357949">
              <w:marLeft w:val="0"/>
              <w:marRight w:val="0"/>
              <w:marTop w:val="0"/>
              <w:marBottom w:val="0"/>
              <w:divBdr>
                <w:top w:val="none" w:sz="0" w:space="0" w:color="auto"/>
                <w:left w:val="none" w:sz="0" w:space="0" w:color="auto"/>
                <w:bottom w:val="none" w:sz="0" w:space="0" w:color="auto"/>
                <w:right w:val="none" w:sz="0" w:space="0" w:color="auto"/>
              </w:divBdr>
            </w:div>
            <w:div w:id="668750759">
              <w:marLeft w:val="0"/>
              <w:marRight w:val="0"/>
              <w:marTop w:val="0"/>
              <w:marBottom w:val="0"/>
              <w:divBdr>
                <w:top w:val="none" w:sz="0" w:space="0" w:color="auto"/>
                <w:left w:val="none" w:sz="0" w:space="0" w:color="auto"/>
                <w:bottom w:val="none" w:sz="0" w:space="0" w:color="auto"/>
                <w:right w:val="none" w:sz="0" w:space="0" w:color="auto"/>
              </w:divBdr>
            </w:div>
            <w:div w:id="1260522501">
              <w:marLeft w:val="0"/>
              <w:marRight w:val="0"/>
              <w:marTop w:val="0"/>
              <w:marBottom w:val="0"/>
              <w:divBdr>
                <w:top w:val="none" w:sz="0" w:space="0" w:color="auto"/>
                <w:left w:val="none" w:sz="0" w:space="0" w:color="auto"/>
                <w:bottom w:val="none" w:sz="0" w:space="0" w:color="auto"/>
                <w:right w:val="none" w:sz="0" w:space="0" w:color="auto"/>
              </w:divBdr>
            </w:div>
            <w:div w:id="346441480">
              <w:marLeft w:val="0"/>
              <w:marRight w:val="0"/>
              <w:marTop w:val="0"/>
              <w:marBottom w:val="0"/>
              <w:divBdr>
                <w:top w:val="none" w:sz="0" w:space="0" w:color="auto"/>
                <w:left w:val="none" w:sz="0" w:space="0" w:color="auto"/>
                <w:bottom w:val="none" w:sz="0" w:space="0" w:color="auto"/>
                <w:right w:val="none" w:sz="0" w:space="0" w:color="auto"/>
              </w:divBdr>
            </w:div>
            <w:div w:id="570889404">
              <w:marLeft w:val="0"/>
              <w:marRight w:val="0"/>
              <w:marTop w:val="0"/>
              <w:marBottom w:val="0"/>
              <w:divBdr>
                <w:top w:val="none" w:sz="0" w:space="0" w:color="auto"/>
                <w:left w:val="none" w:sz="0" w:space="0" w:color="auto"/>
                <w:bottom w:val="none" w:sz="0" w:space="0" w:color="auto"/>
                <w:right w:val="none" w:sz="0" w:space="0" w:color="auto"/>
              </w:divBdr>
            </w:div>
            <w:div w:id="184295999">
              <w:marLeft w:val="0"/>
              <w:marRight w:val="0"/>
              <w:marTop w:val="0"/>
              <w:marBottom w:val="0"/>
              <w:divBdr>
                <w:top w:val="none" w:sz="0" w:space="0" w:color="auto"/>
                <w:left w:val="none" w:sz="0" w:space="0" w:color="auto"/>
                <w:bottom w:val="none" w:sz="0" w:space="0" w:color="auto"/>
                <w:right w:val="none" w:sz="0" w:space="0" w:color="auto"/>
              </w:divBdr>
            </w:div>
            <w:div w:id="1302541654">
              <w:marLeft w:val="0"/>
              <w:marRight w:val="0"/>
              <w:marTop w:val="0"/>
              <w:marBottom w:val="0"/>
              <w:divBdr>
                <w:top w:val="none" w:sz="0" w:space="0" w:color="auto"/>
                <w:left w:val="none" w:sz="0" w:space="0" w:color="auto"/>
                <w:bottom w:val="none" w:sz="0" w:space="0" w:color="auto"/>
                <w:right w:val="none" w:sz="0" w:space="0" w:color="auto"/>
              </w:divBdr>
            </w:div>
            <w:div w:id="1182204087">
              <w:marLeft w:val="0"/>
              <w:marRight w:val="0"/>
              <w:marTop w:val="0"/>
              <w:marBottom w:val="0"/>
              <w:divBdr>
                <w:top w:val="none" w:sz="0" w:space="0" w:color="auto"/>
                <w:left w:val="none" w:sz="0" w:space="0" w:color="auto"/>
                <w:bottom w:val="none" w:sz="0" w:space="0" w:color="auto"/>
                <w:right w:val="none" w:sz="0" w:space="0" w:color="auto"/>
              </w:divBdr>
            </w:div>
            <w:div w:id="1878882923">
              <w:marLeft w:val="0"/>
              <w:marRight w:val="0"/>
              <w:marTop w:val="0"/>
              <w:marBottom w:val="0"/>
              <w:divBdr>
                <w:top w:val="none" w:sz="0" w:space="0" w:color="auto"/>
                <w:left w:val="none" w:sz="0" w:space="0" w:color="auto"/>
                <w:bottom w:val="none" w:sz="0" w:space="0" w:color="auto"/>
                <w:right w:val="none" w:sz="0" w:space="0" w:color="auto"/>
              </w:divBdr>
            </w:div>
            <w:div w:id="240481494">
              <w:marLeft w:val="0"/>
              <w:marRight w:val="0"/>
              <w:marTop w:val="0"/>
              <w:marBottom w:val="0"/>
              <w:divBdr>
                <w:top w:val="none" w:sz="0" w:space="0" w:color="auto"/>
                <w:left w:val="none" w:sz="0" w:space="0" w:color="auto"/>
                <w:bottom w:val="none" w:sz="0" w:space="0" w:color="auto"/>
                <w:right w:val="none" w:sz="0" w:space="0" w:color="auto"/>
              </w:divBdr>
            </w:div>
            <w:div w:id="1392577791">
              <w:marLeft w:val="0"/>
              <w:marRight w:val="0"/>
              <w:marTop w:val="0"/>
              <w:marBottom w:val="0"/>
              <w:divBdr>
                <w:top w:val="none" w:sz="0" w:space="0" w:color="auto"/>
                <w:left w:val="none" w:sz="0" w:space="0" w:color="auto"/>
                <w:bottom w:val="none" w:sz="0" w:space="0" w:color="auto"/>
                <w:right w:val="none" w:sz="0" w:space="0" w:color="auto"/>
              </w:divBdr>
            </w:div>
            <w:div w:id="559679164">
              <w:marLeft w:val="0"/>
              <w:marRight w:val="0"/>
              <w:marTop w:val="0"/>
              <w:marBottom w:val="0"/>
              <w:divBdr>
                <w:top w:val="none" w:sz="0" w:space="0" w:color="auto"/>
                <w:left w:val="none" w:sz="0" w:space="0" w:color="auto"/>
                <w:bottom w:val="none" w:sz="0" w:space="0" w:color="auto"/>
                <w:right w:val="none" w:sz="0" w:space="0" w:color="auto"/>
              </w:divBdr>
            </w:div>
            <w:div w:id="1680816154">
              <w:marLeft w:val="0"/>
              <w:marRight w:val="0"/>
              <w:marTop w:val="0"/>
              <w:marBottom w:val="0"/>
              <w:divBdr>
                <w:top w:val="none" w:sz="0" w:space="0" w:color="auto"/>
                <w:left w:val="none" w:sz="0" w:space="0" w:color="auto"/>
                <w:bottom w:val="none" w:sz="0" w:space="0" w:color="auto"/>
                <w:right w:val="none" w:sz="0" w:space="0" w:color="auto"/>
              </w:divBdr>
            </w:div>
            <w:div w:id="1467238613">
              <w:marLeft w:val="0"/>
              <w:marRight w:val="0"/>
              <w:marTop w:val="0"/>
              <w:marBottom w:val="0"/>
              <w:divBdr>
                <w:top w:val="none" w:sz="0" w:space="0" w:color="auto"/>
                <w:left w:val="none" w:sz="0" w:space="0" w:color="auto"/>
                <w:bottom w:val="none" w:sz="0" w:space="0" w:color="auto"/>
                <w:right w:val="none" w:sz="0" w:space="0" w:color="auto"/>
              </w:divBdr>
            </w:div>
            <w:div w:id="869151202">
              <w:marLeft w:val="0"/>
              <w:marRight w:val="0"/>
              <w:marTop w:val="0"/>
              <w:marBottom w:val="0"/>
              <w:divBdr>
                <w:top w:val="none" w:sz="0" w:space="0" w:color="auto"/>
                <w:left w:val="none" w:sz="0" w:space="0" w:color="auto"/>
                <w:bottom w:val="none" w:sz="0" w:space="0" w:color="auto"/>
                <w:right w:val="none" w:sz="0" w:space="0" w:color="auto"/>
              </w:divBdr>
            </w:div>
            <w:div w:id="1218052336">
              <w:marLeft w:val="0"/>
              <w:marRight w:val="0"/>
              <w:marTop w:val="0"/>
              <w:marBottom w:val="0"/>
              <w:divBdr>
                <w:top w:val="none" w:sz="0" w:space="0" w:color="auto"/>
                <w:left w:val="none" w:sz="0" w:space="0" w:color="auto"/>
                <w:bottom w:val="none" w:sz="0" w:space="0" w:color="auto"/>
                <w:right w:val="none" w:sz="0" w:space="0" w:color="auto"/>
              </w:divBdr>
            </w:div>
            <w:div w:id="242834787">
              <w:marLeft w:val="0"/>
              <w:marRight w:val="0"/>
              <w:marTop w:val="0"/>
              <w:marBottom w:val="0"/>
              <w:divBdr>
                <w:top w:val="none" w:sz="0" w:space="0" w:color="auto"/>
                <w:left w:val="none" w:sz="0" w:space="0" w:color="auto"/>
                <w:bottom w:val="none" w:sz="0" w:space="0" w:color="auto"/>
                <w:right w:val="none" w:sz="0" w:space="0" w:color="auto"/>
              </w:divBdr>
            </w:div>
            <w:div w:id="1057239773">
              <w:marLeft w:val="0"/>
              <w:marRight w:val="0"/>
              <w:marTop w:val="0"/>
              <w:marBottom w:val="0"/>
              <w:divBdr>
                <w:top w:val="none" w:sz="0" w:space="0" w:color="auto"/>
                <w:left w:val="none" w:sz="0" w:space="0" w:color="auto"/>
                <w:bottom w:val="none" w:sz="0" w:space="0" w:color="auto"/>
                <w:right w:val="none" w:sz="0" w:space="0" w:color="auto"/>
              </w:divBdr>
            </w:div>
            <w:div w:id="1856730009">
              <w:marLeft w:val="0"/>
              <w:marRight w:val="0"/>
              <w:marTop w:val="0"/>
              <w:marBottom w:val="0"/>
              <w:divBdr>
                <w:top w:val="none" w:sz="0" w:space="0" w:color="auto"/>
                <w:left w:val="none" w:sz="0" w:space="0" w:color="auto"/>
                <w:bottom w:val="none" w:sz="0" w:space="0" w:color="auto"/>
                <w:right w:val="none" w:sz="0" w:space="0" w:color="auto"/>
              </w:divBdr>
            </w:div>
            <w:div w:id="1745834255">
              <w:marLeft w:val="0"/>
              <w:marRight w:val="0"/>
              <w:marTop w:val="0"/>
              <w:marBottom w:val="0"/>
              <w:divBdr>
                <w:top w:val="none" w:sz="0" w:space="0" w:color="auto"/>
                <w:left w:val="none" w:sz="0" w:space="0" w:color="auto"/>
                <w:bottom w:val="none" w:sz="0" w:space="0" w:color="auto"/>
                <w:right w:val="none" w:sz="0" w:space="0" w:color="auto"/>
              </w:divBdr>
            </w:div>
            <w:div w:id="1598295617">
              <w:marLeft w:val="0"/>
              <w:marRight w:val="0"/>
              <w:marTop w:val="0"/>
              <w:marBottom w:val="0"/>
              <w:divBdr>
                <w:top w:val="none" w:sz="0" w:space="0" w:color="auto"/>
                <w:left w:val="none" w:sz="0" w:space="0" w:color="auto"/>
                <w:bottom w:val="none" w:sz="0" w:space="0" w:color="auto"/>
                <w:right w:val="none" w:sz="0" w:space="0" w:color="auto"/>
              </w:divBdr>
            </w:div>
            <w:div w:id="1647706653">
              <w:marLeft w:val="0"/>
              <w:marRight w:val="0"/>
              <w:marTop w:val="0"/>
              <w:marBottom w:val="0"/>
              <w:divBdr>
                <w:top w:val="none" w:sz="0" w:space="0" w:color="auto"/>
                <w:left w:val="none" w:sz="0" w:space="0" w:color="auto"/>
                <w:bottom w:val="none" w:sz="0" w:space="0" w:color="auto"/>
                <w:right w:val="none" w:sz="0" w:space="0" w:color="auto"/>
              </w:divBdr>
            </w:div>
            <w:div w:id="318461211">
              <w:marLeft w:val="0"/>
              <w:marRight w:val="0"/>
              <w:marTop w:val="0"/>
              <w:marBottom w:val="0"/>
              <w:divBdr>
                <w:top w:val="none" w:sz="0" w:space="0" w:color="auto"/>
                <w:left w:val="none" w:sz="0" w:space="0" w:color="auto"/>
                <w:bottom w:val="none" w:sz="0" w:space="0" w:color="auto"/>
                <w:right w:val="none" w:sz="0" w:space="0" w:color="auto"/>
              </w:divBdr>
            </w:div>
            <w:div w:id="62988840">
              <w:marLeft w:val="0"/>
              <w:marRight w:val="0"/>
              <w:marTop w:val="0"/>
              <w:marBottom w:val="0"/>
              <w:divBdr>
                <w:top w:val="none" w:sz="0" w:space="0" w:color="auto"/>
                <w:left w:val="none" w:sz="0" w:space="0" w:color="auto"/>
                <w:bottom w:val="none" w:sz="0" w:space="0" w:color="auto"/>
                <w:right w:val="none" w:sz="0" w:space="0" w:color="auto"/>
              </w:divBdr>
            </w:div>
            <w:div w:id="2070572172">
              <w:marLeft w:val="0"/>
              <w:marRight w:val="0"/>
              <w:marTop w:val="0"/>
              <w:marBottom w:val="0"/>
              <w:divBdr>
                <w:top w:val="none" w:sz="0" w:space="0" w:color="auto"/>
                <w:left w:val="none" w:sz="0" w:space="0" w:color="auto"/>
                <w:bottom w:val="none" w:sz="0" w:space="0" w:color="auto"/>
                <w:right w:val="none" w:sz="0" w:space="0" w:color="auto"/>
              </w:divBdr>
            </w:div>
            <w:div w:id="1768885887">
              <w:marLeft w:val="0"/>
              <w:marRight w:val="0"/>
              <w:marTop w:val="0"/>
              <w:marBottom w:val="0"/>
              <w:divBdr>
                <w:top w:val="none" w:sz="0" w:space="0" w:color="auto"/>
                <w:left w:val="none" w:sz="0" w:space="0" w:color="auto"/>
                <w:bottom w:val="none" w:sz="0" w:space="0" w:color="auto"/>
                <w:right w:val="none" w:sz="0" w:space="0" w:color="auto"/>
              </w:divBdr>
            </w:div>
            <w:div w:id="917137138">
              <w:marLeft w:val="0"/>
              <w:marRight w:val="0"/>
              <w:marTop w:val="0"/>
              <w:marBottom w:val="0"/>
              <w:divBdr>
                <w:top w:val="none" w:sz="0" w:space="0" w:color="auto"/>
                <w:left w:val="none" w:sz="0" w:space="0" w:color="auto"/>
                <w:bottom w:val="none" w:sz="0" w:space="0" w:color="auto"/>
                <w:right w:val="none" w:sz="0" w:space="0" w:color="auto"/>
              </w:divBdr>
            </w:div>
            <w:div w:id="89393306">
              <w:marLeft w:val="0"/>
              <w:marRight w:val="0"/>
              <w:marTop w:val="0"/>
              <w:marBottom w:val="0"/>
              <w:divBdr>
                <w:top w:val="none" w:sz="0" w:space="0" w:color="auto"/>
                <w:left w:val="none" w:sz="0" w:space="0" w:color="auto"/>
                <w:bottom w:val="none" w:sz="0" w:space="0" w:color="auto"/>
                <w:right w:val="none" w:sz="0" w:space="0" w:color="auto"/>
              </w:divBdr>
            </w:div>
            <w:div w:id="21321198">
              <w:marLeft w:val="0"/>
              <w:marRight w:val="0"/>
              <w:marTop w:val="0"/>
              <w:marBottom w:val="0"/>
              <w:divBdr>
                <w:top w:val="none" w:sz="0" w:space="0" w:color="auto"/>
                <w:left w:val="none" w:sz="0" w:space="0" w:color="auto"/>
                <w:bottom w:val="none" w:sz="0" w:space="0" w:color="auto"/>
                <w:right w:val="none" w:sz="0" w:space="0" w:color="auto"/>
              </w:divBdr>
            </w:div>
            <w:div w:id="753748156">
              <w:marLeft w:val="0"/>
              <w:marRight w:val="0"/>
              <w:marTop w:val="0"/>
              <w:marBottom w:val="0"/>
              <w:divBdr>
                <w:top w:val="none" w:sz="0" w:space="0" w:color="auto"/>
                <w:left w:val="none" w:sz="0" w:space="0" w:color="auto"/>
                <w:bottom w:val="none" w:sz="0" w:space="0" w:color="auto"/>
                <w:right w:val="none" w:sz="0" w:space="0" w:color="auto"/>
              </w:divBdr>
            </w:div>
            <w:div w:id="1962881988">
              <w:marLeft w:val="0"/>
              <w:marRight w:val="0"/>
              <w:marTop w:val="0"/>
              <w:marBottom w:val="0"/>
              <w:divBdr>
                <w:top w:val="none" w:sz="0" w:space="0" w:color="auto"/>
                <w:left w:val="none" w:sz="0" w:space="0" w:color="auto"/>
                <w:bottom w:val="none" w:sz="0" w:space="0" w:color="auto"/>
                <w:right w:val="none" w:sz="0" w:space="0" w:color="auto"/>
              </w:divBdr>
            </w:div>
            <w:div w:id="2027293624">
              <w:marLeft w:val="0"/>
              <w:marRight w:val="0"/>
              <w:marTop w:val="0"/>
              <w:marBottom w:val="0"/>
              <w:divBdr>
                <w:top w:val="none" w:sz="0" w:space="0" w:color="auto"/>
                <w:left w:val="none" w:sz="0" w:space="0" w:color="auto"/>
                <w:bottom w:val="none" w:sz="0" w:space="0" w:color="auto"/>
                <w:right w:val="none" w:sz="0" w:space="0" w:color="auto"/>
              </w:divBdr>
            </w:div>
            <w:div w:id="393937815">
              <w:marLeft w:val="0"/>
              <w:marRight w:val="0"/>
              <w:marTop w:val="0"/>
              <w:marBottom w:val="0"/>
              <w:divBdr>
                <w:top w:val="none" w:sz="0" w:space="0" w:color="auto"/>
                <w:left w:val="none" w:sz="0" w:space="0" w:color="auto"/>
                <w:bottom w:val="none" w:sz="0" w:space="0" w:color="auto"/>
                <w:right w:val="none" w:sz="0" w:space="0" w:color="auto"/>
              </w:divBdr>
            </w:div>
            <w:div w:id="992563764">
              <w:marLeft w:val="0"/>
              <w:marRight w:val="0"/>
              <w:marTop w:val="0"/>
              <w:marBottom w:val="0"/>
              <w:divBdr>
                <w:top w:val="none" w:sz="0" w:space="0" w:color="auto"/>
                <w:left w:val="none" w:sz="0" w:space="0" w:color="auto"/>
                <w:bottom w:val="none" w:sz="0" w:space="0" w:color="auto"/>
                <w:right w:val="none" w:sz="0" w:space="0" w:color="auto"/>
              </w:divBdr>
            </w:div>
            <w:div w:id="1030912005">
              <w:marLeft w:val="0"/>
              <w:marRight w:val="0"/>
              <w:marTop w:val="0"/>
              <w:marBottom w:val="0"/>
              <w:divBdr>
                <w:top w:val="none" w:sz="0" w:space="0" w:color="auto"/>
                <w:left w:val="none" w:sz="0" w:space="0" w:color="auto"/>
                <w:bottom w:val="none" w:sz="0" w:space="0" w:color="auto"/>
                <w:right w:val="none" w:sz="0" w:space="0" w:color="auto"/>
              </w:divBdr>
            </w:div>
            <w:div w:id="2070154770">
              <w:marLeft w:val="0"/>
              <w:marRight w:val="0"/>
              <w:marTop w:val="0"/>
              <w:marBottom w:val="0"/>
              <w:divBdr>
                <w:top w:val="none" w:sz="0" w:space="0" w:color="auto"/>
                <w:left w:val="none" w:sz="0" w:space="0" w:color="auto"/>
                <w:bottom w:val="none" w:sz="0" w:space="0" w:color="auto"/>
                <w:right w:val="none" w:sz="0" w:space="0" w:color="auto"/>
              </w:divBdr>
            </w:div>
            <w:div w:id="1520192864">
              <w:marLeft w:val="0"/>
              <w:marRight w:val="0"/>
              <w:marTop w:val="0"/>
              <w:marBottom w:val="0"/>
              <w:divBdr>
                <w:top w:val="none" w:sz="0" w:space="0" w:color="auto"/>
                <w:left w:val="none" w:sz="0" w:space="0" w:color="auto"/>
                <w:bottom w:val="none" w:sz="0" w:space="0" w:color="auto"/>
                <w:right w:val="none" w:sz="0" w:space="0" w:color="auto"/>
              </w:divBdr>
            </w:div>
            <w:div w:id="1835607780">
              <w:marLeft w:val="0"/>
              <w:marRight w:val="0"/>
              <w:marTop w:val="0"/>
              <w:marBottom w:val="0"/>
              <w:divBdr>
                <w:top w:val="none" w:sz="0" w:space="0" w:color="auto"/>
                <w:left w:val="none" w:sz="0" w:space="0" w:color="auto"/>
                <w:bottom w:val="none" w:sz="0" w:space="0" w:color="auto"/>
                <w:right w:val="none" w:sz="0" w:space="0" w:color="auto"/>
              </w:divBdr>
            </w:div>
            <w:div w:id="286350585">
              <w:marLeft w:val="0"/>
              <w:marRight w:val="0"/>
              <w:marTop w:val="0"/>
              <w:marBottom w:val="0"/>
              <w:divBdr>
                <w:top w:val="none" w:sz="0" w:space="0" w:color="auto"/>
                <w:left w:val="none" w:sz="0" w:space="0" w:color="auto"/>
                <w:bottom w:val="none" w:sz="0" w:space="0" w:color="auto"/>
                <w:right w:val="none" w:sz="0" w:space="0" w:color="auto"/>
              </w:divBdr>
            </w:div>
            <w:div w:id="1426919215">
              <w:marLeft w:val="0"/>
              <w:marRight w:val="0"/>
              <w:marTop w:val="0"/>
              <w:marBottom w:val="0"/>
              <w:divBdr>
                <w:top w:val="none" w:sz="0" w:space="0" w:color="auto"/>
                <w:left w:val="none" w:sz="0" w:space="0" w:color="auto"/>
                <w:bottom w:val="none" w:sz="0" w:space="0" w:color="auto"/>
                <w:right w:val="none" w:sz="0" w:space="0" w:color="auto"/>
              </w:divBdr>
            </w:div>
            <w:div w:id="135681437">
              <w:marLeft w:val="0"/>
              <w:marRight w:val="0"/>
              <w:marTop w:val="0"/>
              <w:marBottom w:val="0"/>
              <w:divBdr>
                <w:top w:val="none" w:sz="0" w:space="0" w:color="auto"/>
                <w:left w:val="none" w:sz="0" w:space="0" w:color="auto"/>
                <w:bottom w:val="none" w:sz="0" w:space="0" w:color="auto"/>
                <w:right w:val="none" w:sz="0" w:space="0" w:color="auto"/>
              </w:divBdr>
            </w:div>
            <w:div w:id="443575127">
              <w:marLeft w:val="0"/>
              <w:marRight w:val="0"/>
              <w:marTop w:val="0"/>
              <w:marBottom w:val="0"/>
              <w:divBdr>
                <w:top w:val="none" w:sz="0" w:space="0" w:color="auto"/>
                <w:left w:val="none" w:sz="0" w:space="0" w:color="auto"/>
                <w:bottom w:val="none" w:sz="0" w:space="0" w:color="auto"/>
                <w:right w:val="none" w:sz="0" w:space="0" w:color="auto"/>
              </w:divBdr>
            </w:div>
            <w:div w:id="2138571616">
              <w:marLeft w:val="0"/>
              <w:marRight w:val="0"/>
              <w:marTop w:val="0"/>
              <w:marBottom w:val="0"/>
              <w:divBdr>
                <w:top w:val="none" w:sz="0" w:space="0" w:color="auto"/>
                <w:left w:val="none" w:sz="0" w:space="0" w:color="auto"/>
                <w:bottom w:val="none" w:sz="0" w:space="0" w:color="auto"/>
                <w:right w:val="none" w:sz="0" w:space="0" w:color="auto"/>
              </w:divBdr>
            </w:div>
            <w:div w:id="69816069">
              <w:marLeft w:val="0"/>
              <w:marRight w:val="0"/>
              <w:marTop w:val="0"/>
              <w:marBottom w:val="0"/>
              <w:divBdr>
                <w:top w:val="none" w:sz="0" w:space="0" w:color="auto"/>
                <w:left w:val="none" w:sz="0" w:space="0" w:color="auto"/>
                <w:bottom w:val="none" w:sz="0" w:space="0" w:color="auto"/>
                <w:right w:val="none" w:sz="0" w:space="0" w:color="auto"/>
              </w:divBdr>
            </w:div>
            <w:div w:id="468594836">
              <w:marLeft w:val="0"/>
              <w:marRight w:val="0"/>
              <w:marTop w:val="0"/>
              <w:marBottom w:val="0"/>
              <w:divBdr>
                <w:top w:val="none" w:sz="0" w:space="0" w:color="auto"/>
                <w:left w:val="none" w:sz="0" w:space="0" w:color="auto"/>
                <w:bottom w:val="none" w:sz="0" w:space="0" w:color="auto"/>
                <w:right w:val="none" w:sz="0" w:space="0" w:color="auto"/>
              </w:divBdr>
            </w:div>
            <w:div w:id="642389208">
              <w:marLeft w:val="0"/>
              <w:marRight w:val="0"/>
              <w:marTop w:val="0"/>
              <w:marBottom w:val="0"/>
              <w:divBdr>
                <w:top w:val="none" w:sz="0" w:space="0" w:color="auto"/>
                <w:left w:val="none" w:sz="0" w:space="0" w:color="auto"/>
                <w:bottom w:val="none" w:sz="0" w:space="0" w:color="auto"/>
                <w:right w:val="none" w:sz="0" w:space="0" w:color="auto"/>
              </w:divBdr>
            </w:div>
            <w:div w:id="754017232">
              <w:marLeft w:val="0"/>
              <w:marRight w:val="0"/>
              <w:marTop w:val="0"/>
              <w:marBottom w:val="0"/>
              <w:divBdr>
                <w:top w:val="none" w:sz="0" w:space="0" w:color="auto"/>
                <w:left w:val="none" w:sz="0" w:space="0" w:color="auto"/>
                <w:bottom w:val="none" w:sz="0" w:space="0" w:color="auto"/>
                <w:right w:val="none" w:sz="0" w:space="0" w:color="auto"/>
              </w:divBdr>
            </w:div>
            <w:div w:id="945431384">
              <w:marLeft w:val="0"/>
              <w:marRight w:val="0"/>
              <w:marTop w:val="0"/>
              <w:marBottom w:val="0"/>
              <w:divBdr>
                <w:top w:val="none" w:sz="0" w:space="0" w:color="auto"/>
                <w:left w:val="none" w:sz="0" w:space="0" w:color="auto"/>
                <w:bottom w:val="none" w:sz="0" w:space="0" w:color="auto"/>
                <w:right w:val="none" w:sz="0" w:space="0" w:color="auto"/>
              </w:divBdr>
            </w:div>
            <w:div w:id="167209925">
              <w:marLeft w:val="0"/>
              <w:marRight w:val="0"/>
              <w:marTop w:val="0"/>
              <w:marBottom w:val="0"/>
              <w:divBdr>
                <w:top w:val="none" w:sz="0" w:space="0" w:color="auto"/>
                <w:left w:val="none" w:sz="0" w:space="0" w:color="auto"/>
                <w:bottom w:val="none" w:sz="0" w:space="0" w:color="auto"/>
                <w:right w:val="none" w:sz="0" w:space="0" w:color="auto"/>
              </w:divBdr>
            </w:div>
            <w:div w:id="205263358">
              <w:marLeft w:val="0"/>
              <w:marRight w:val="0"/>
              <w:marTop w:val="0"/>
              <w:marBottom w:val="0"/>
              <w:divBdr>
                <w:top w:val="none" w:sz="0" w:space="0" w:color="auto"/>
                <w:left w:val="none" w:sz="0" w:space="0" w:color="auto"/>
                <w:bottom w:val="none" w:sz="0" w:space="0" w:color="auto"/>
                <w:right w:val="none" w:sz="0" w:space="0" w:color="auto"/>
              </w:divBdr>
            </w:div>
            <w:div w:id="1376929606">
              <w:marLeft w:val="0"/>
              <w:marRight w:val="0"/>
              <w:marTop w:val="0"/>
              <w:marBottom w:val="0"/>
              <w:divBdr>
                <w:top w:val="none" w:sz="0" w:space="0" w:color="auto"/>
                <w:left w:val="none" w:sz="0" w:space="0" w:color="auto"/>
                <w:bottom w:val="none" w:sz="0" w:space="0" w:color="auto"/>
                <w:right w:val="none" w:sz="0" w:space="0" w:color="auto"/>
              </w:divBdr>
            </w:div>
            <w:div w:id="1933468514">
              <w:marLeft w:val="0"/>
              <w:marRight w:val="0"/>
              <w:marTop w:val="0"/>
              <w:marBottom w:val="0"/>
              <w:divBdr>
                <w:top w:val="none" w:sz="0" w:space="0" w:color="auto"/>
                <w:left w:val="none" w:sz="0" w:space="0" w:color="auto"/>
                <w:bottom w:val="none" w:sz="0" w:space="0" w:color="auto"/>
                <w:right w:val="none" w:sz="0" w:space="0" w:color="auto"/>
              </w:divBdr>
            </w:div>
            <w:div w:id="1185636527">
              <w:marLeft w:val="0"/>
              <w:marRight w:val="0"/>
              <w:marTop w:val="0"/>
              <w:marBottom w:val="0"/>
              <w:divBdr>
                <w:top w:val="none" w:sz="0" w:space="0" w:color="auto"/>
                <w:left w:val="none" w:sz="0" w:space="0" w:color="auto"/>
                <w:bottom w:val="none" w:sz="0" w:space="0" w:color="auto"/>
                <w:right w:val="none" w:sz="0" w:space="0" w:color="auto"/>
              </w:divBdr>
            </w:div>
            <w:div w:id="842553458">
              <w:marLeft w:val="0"/>
              <w:marRight w:val="0"/>
              <w:marTop w:val="0"/>
              <w:marBottom w:val="0"/>
              <w:divBdr>
                <w:top w:val="none" w:sz="0" w:space="0" w:color="auto"/>
                <w:left w:val="none" w:sz="0" w:space="0" w:color="auto"/>
                <w:bottom w:val="none" w:sz="0" w:space="0" w:color="auto"/>
                <w:right w:val="none" w:sz="0" w:space="0" w:color="auto"/>
              </w:divBdr>
            </w:div>
            <w:div w:id="974330952">
              <w:marLeft w:val="0"/>
              <w:marRight w:val="0"/>
              <w:marTop w:val="0"/>
              <w:marBottom w:val="0"/>
              <w:divBdr>
                <w:top w:val="none" w:sz="0" w:space="0" w:color="auto"/>
                <w:left w:val="none" w:sz="0" w:space="0" w:color="auto"/>
                <w:bottom w:val="none" w:sz="0" w:space="0" w:color="auto"/>
                <w:right w:val="none" w:sz="0" w:space="0" w:color="auto"/>
              </w:divBdr>
            </w:div>
            <w:div w:id="1999454042">
              <w:marLeft w:val="0"/>
              <w:marRight w:val="0"/>
              <w:marTop w:val="0"/>
              <w:marBottom w:val="0"/>
              <w:divBdr>
                <w:top w:val="none" w:sz="0" w:space="0" w:color="auto"/>
                <w:left w:val="none" w:sz="0" w:space="0" w:color="auto"/>
                <w:bottom w:val="none" w:sz="0" w:space="0" w:color="auto"/>
                <w:right w:val="none" w:sz="0" w:space="0" w:color="auto"/>
              </w:divBdr>
            </w:div>
            <w:div w:id="2035572832">
              <w:marLeft w:val="0"/>
              <w:marRight w:val="0"/>
              <w:marTop w:val="0"/>
              <w:marBottom w:val="0"/>
              <w:divBdr>
                <w:top w:val="none" w:sz="0" w:space="0" w:color="auto"/>
                <w:left w:val="none" w:sz="0" w:space="0" w:color="auto"/>
                <w:bottom w:val="none" w:sz="0" w:space="0" w:color="auto"/>
                <w:right w:val="none" w:sz="0" w:space="0" w:color="auto"/>
              </w:divBdr>
            </w:div>
            <w:div w:id="1928611600">
              <w:marLeft w:val="0"/>
              <w:marRight w:val="0"/>
              <w:marTop w:val="0"/>
              <w:marBottom w:val="0"/>
              <w:divBdr>
                <w:top w:val="none" w:sz="0" w:space="0" w:color="auto"/>
                <w:left w:val="none" w:sz="0" w:space="0" w:color="auto"/>
                <w:bottom w:val="none" w:sz="0" w:space="0" w:color="auto"/>
                <w:right w:val="none" w:sz="0" w:space="0" w:color="auto"/>
              </w:divBdr>
            </w:div>
            <w:div w:id="1342777493">
              <w:marLeft w:val="0"/>
              <w:marRight w:val="0"/>
              <w:marTop w:val="0"/>
              <w:marBottom w:val="0"/>
              <w:divBdr>
                <w:top w:val="none" w:sz="0" w:space="0" w:color="auto"/>
                <w:left w:val="none" w:sz="0" w:space="0" w:color="auto"/>
                <w:bottom w:val="none" w:sz="0" w:space="0" w:color="auto"/>
                <w:right w:val="none" w:sz="0" w:space="0" w:color="auto"/>
              </w:divBdr>
            </w:div>
            <w:div w:id="2075658195">
              <w:marLeft w:val="0"/>
              <w:marRight w:val="0"/>
              <w:marTop w:val="0"/>
              <w:marBottom w:val="0"/>
              <w:divBdr>
                <w:top w:val="none" w:sz="0" w:space="0" w:color="auto"/>
                <w:left w:val="none" w:sz="0" w:space="0" w:color="auto"/>
                <w:bottom w:val="none" w:sz="0" w:space="0" w:color="auto"/>
                <w:right w:val="none" w:sz="0" w:space="0" w:color="auto"/>
              </w:divBdr>
            </w:div>
            <w:div w:id="718168290">
              <w:marLeft w:val="0"/>
              <w:marRight w:val="0"/>
              <w:marTop w:val="0"/>
              <w:marBottom w:val="0"/>
              <w:divBdr>
                <w:top w:val="none" w:sz="0" w:space="0" w:color="auto"/>
                <w:left w:val="none" w:sz="0" w:space="0" w:color="auto"/>
                <w:bottom w:val="none" w:sz="0" w:space="0" w:color="auto"/>
                <w:right w:val="none" w:sz="0" w:space="0" w:color="auto"/>
              </w:divBdr>
            </w:div>
            <w:div w:id="1687049783">
              <w:marLeft w:val="0"/>
              <w:marRight w:val="0"/>
              <w:marTop w:val="0"/>
              <w:marBottom w:val="0"/>
              <w:divBdr>
                <w:top w:val="none" w:sz="0" w:space="0" w:color="auto"/>
                <w:left w:val="none" w:sz="0" w:space="0" w:color="auto"/>
                <w:bottom w:val="none" w:sz="0" w:space="0" w:color="auto"/>
                <w:right w:val="none" w:sz="0" w:space="0" w:color="auto"/>
              </w:divBdr>
            </w:div>
            <w:div w:id="233125533">
              <w:marLeft w:val="0"/>
              <w:marRight w:val="0"/>
              <w:marTop w:val="0"/>
              <w:marBottom w:val="0"/>
              <w:divBdr>
                <w:top w:val="none" w:sz="0" w:space="0" w:color="auto"/>
                <w:left w:val="none" w:sz="0" w:space="0" w:color="auto"/>
                <w:bottom w:val="none" w:sz="0" w:space="0" w:color="auto"/>
                <w:right w:val="none" w:sz="0" w:space="0" w:color="auto"/>
              </w:divBdr>
            </w:div>
            <w:div w:id="711156106">
              <w:marLeft w:val="0"/>
              <w:marRight w:val="0"/>
              <w:marTop w:val="0"/>
              <w:marBottom w:val="0"/>
              <w:divBdr>
                <w:top w:val="none" w:sz="0" w:space="0" w:color="auto"/>
                <w:left w:val="none" w:sz="0" w:space="0" w:color="auto"/>
                <w:bottom w:val="none" w:sz="0" w:space="0" w:color="auto"/>
                <w:right w:val="none" w:sz="0" w:space="0" w:color="auto"/>
              </w:divBdr>
            </w:div>
            <w:div w:id="537279716">
              <w:marLeft w:val="0"/>
              <w:marRight w:val="0"/>
              <w:marTop w:val="0"/>
              <w:marBottom w:val="0"/>
              <w:divBdr>
                <w:top w:val="none" w:sz="0" w:space="0" w:color="auto"/>
                <w:left w:val="none" w:sz="0" w:space="0" w:color="auto"/>
                <w:bottom w:val="none" w:sz="0" w:space="0" w:color="auto"/>
                <w:right w:val="none" w:sz="0" w:space="0" w:color="auto"/>
              </w:divBdr>
            </w:div>
            <w:div w:id="241645646">
              <w:marLeft w:val="0"/>
              <w:marRight w:val="0"/>
              <w:marTop w:val="0"/>
              <w:marBottom w:val="0"/>
              <w:divBdr>
                <w:top w:val="none" w:sz="0" w:space="0" w:color="auto"/>
                <w:left w:val="none" w:sz="0" w:space="0" w:color="auto"/>
                <w:bottom w:val="none" w:sz="0" w:space="0" w:color="auto"/>
                <w:right w:val="none" w:sz="0" w:space="0" w:color="auto"/>
              </w:divBdr>
            </w:div>
            <w:div w:id="867990908">
              <w:marLeft w:val="0"/>
              <w:marRight w:val="0"/>
              <w:marTop w:val="0"/>
              <w:marBottom w:val="0"/>
              <w:divBdr>
                <w:top w:val="none" w:sz="0" w:space="0" w:color="auto"/>
                <w:left w:val="none" w:sz="0" w:space="0" w:color="auto"/>
                <w:bottom w:val="none" w:sz="0" w:space="0" w:color="auto"/>
                <w:right w:val="none" w:sz="0" w:space="0" w:color="auto"/>
              </w:divBdr>
            </w:div>
            <w:div w:id="872617537">
              <w:marLeft w:val="0"/>
              <w:marRight w:val="0"/>
              <w:marTop w:val="0"/>
              <w:marBottom w:val="0"/>
              <w:divBdr>
                <w:top w:val="none" w:sz="0" w:space="0" w:color="auto"/>
                <w:left w:val="none" w:sz="0" w:space="0" w:color="auto"/>
                <w:bottom w:val="none" w:sz="0" w:space="0" w:color="auto"/>
                <w:right w:val="none" w:sz="0" w:space="0" w:color="auto"/>
              </w:divBdr>
            </w:div>
            <w:div w:id="1538007761">
              <w:marLeft w:val="0"/>
              <w:marRight w:val="0"/>
              <w:marTop w:val="0"/>
              <w:marBottom w:val="0"/>
              <w:divBdr>
                <w:top w:val="none" w:sz="0" w:space="0" w:color="auto"/>
                <w:left w:val="none" w:sz="0" w:space="0" w:color="auto"/>
                <w:bottom w:val="none" w:sz="0" w:space="0" w:color="auto"/>
                <w:right w:val="none" w:sz="0" w:space="0" w:color="auto"/>
              </w:divBdr>
            </w:div>
            <w:div w:id="1190531247">
              <w:marLeft w:val="0"/>
              <w:marRight w:val="0"/>
              <w:marTop w:val="0"/>
              <w:marBottom w:val="0"/>
              <w:divBdr>
                <w:top w:val="none" w:sz="0" w:space="0" w:color="auto"/>
                <w:left w:val="none" w:sz="0" w:space="0" w:color="auto"/>
                <w:bottom w:val="none" w:sz="0" w:space="0" w:color="auto"/>
                <w:right w:val="none" w:sz="0" w:space="0" w:color="auto"/>
              </w:divBdr>
            </w:div>
            <w:div w:id="447285353">
              <w:marLeft w:val="0"/>
              <w:marRight w:val="0"/>
              <w:marTop w:val="0"/>
              <w:marBottom w:val="0"/>
              <w:divBdr>
                <w:top w:val="none" w:sz="0" w:space="0" w:color="auto"/>
                <w:left w:val="none" w:sz="0" w:space="0" w:color="auto"/>
                <w:bottom w:val="none" w:sz="0" w:space="0" w:color="auto"/>
                <w:right w:val="none" w:sz="0" w:space="0" w:color="auto"/>
              </w:divBdr>
            </w:div>
            <w:div w:id="869680554">
              <w:marLeft w:val="0"/>
              <w:marRight w:val="0"/>
              <w:marTop w:val="0"/>
              <w:marBottom w:val="0"/>
              <w:divBdr>
                <w:top w:val="none" w:sz="0" w:space="0" w:color="auto"/>
                <w:left w:val="none" w:sz="0" w:space="0" w:color="auto"/>
                <w:bottom w:val="none" w:sz="0" w:space="0" w:color="auto"/>
                <w:right w:val="none" w:sz="0" w:space="0" w:color="auto"/>
              </w:divBdr>
            </w:div>
            <w:div w:id="395052801">
              <w:marLeft w:val="0"/>
              <w:marRight w:val="0"/>
              <w:marTop w:val="0"/>
              <w:marBottom w:val="0"/>
              <w:divBdr>
                <w:top w:val="none" w:sz="0" w:space="0" w:color="auto"/>
                <w:left w:val="none" w:sz="0" w:space="0" w:color="auto"/>
                <w:bottom w:val="none" w:sz="0" w:space="0" w:color="auto"/>
                <w:right w:val="none" w:sz="0" w:space="0" w:color="auto"/>
              </w:divBdr>
            </w:div>
            <w:div w:id="1026365497">
              <w:marLeft w:val="0"/>
              <w:marRight w:val="0"/>
              <w:marTop w:val="0"/>
              <w:marBottom w:val="0"/>
              <w:divBdr>
                <w:top w:val="none" w:sz="0" w:space="0" w:color="auto"/>
                <w:left w:val="none" w:sz="0" w:space="0" w:color="auto"/>
                <w:bottom w:val="none" w:sz="0" w:space="0" w:color="auto"/>
                <w:right w:val="none" w:sz="0" w:space="0" w:color="auto"/>
              </w:divBdr>
            </w:div>
            <w:div w:id="1485271810">
              <w:marLeft w:val="0"/>
              <w:marRight w:val="0"/>
              <w:marTop w:val="0"/>
              <w:marBottom w:val="0"/>
              <w:divBdr>
                <w:top w:val="none" w:sz="0" w:space="0" w:color="auto"/>
                <w:left w:val="none" w:sz="0" w:space="0" w:color="auto"/>
                <w:bottom w:val="none" w:sz="0" w:space="0" w:color="auto"/>
                <w:right w:val="none" w:sz="0" w:space="0" w:color="auto"/>
              </w:divBdr>
            </w:div>
            <w:div w:id="742800772">
              <w:marLeft w:val="0"/>
              <w:marRight w:val="0"/>
              <w:marTop w:val="0"/>
              <w:marBottom w:val="0"/>
              <w:divBdr>
                <w:top w:val="none" w:sz="0" w:space="0" w:color="auto"/>
                <w:left w:val="none" w:sz="0" w:space="0" w:color="auto"/>
                <w:bottom w:val="none" w:sz="0" w:space="0" w:color="auto"/>
                <w:right w:val="none" w:sz="0" w:space="0" w:color="auto"/>
              </w:divBdr>
            </w:div>
            <w:div w:id="43525159">
              <w:marLeft w:val="0"/>
              <w:marRight w:val="0"/>
              <w:marTop w:val="0"/>
              <w:marBottom w:val="0"/>
              <w:divBdr>
                <w:top w:val="none" w:sz="0" w:space="0" w:color="auto"/>
                <w:left w:val="none" w:sz="0" w:space="0" w:color="auto"/>
                <w:bottom w:val="none" w:sz="0" w:space="0" w:color="auto"/>
                <w:right w:val="none" w:sz="0" w:space="0" w:color="auto"/>
              </w:divBdr>
            </w:div>
            <w:div w:id="1982735260">
              <w:marLeft w:val="0"/>
              <w:marRight w:val="0"/>
              <w:marTop w:val="0"/>
              <w:marBottom w:val="0"/>
              <w:divBdr>
                <w:top w:val="none" w:sz="0" w:space="0" w:color="auto"/>
                <w:left w:val="none" w:sz="0" w:space="0" w:color="auto"/>
                <w:bottom w:val="none" w:sz="0" w:space="0" w:color="auto"/>
                <w:right w:val="none" w:sz="0" w:space="0" w:color="auto"/>
              </w:divBdr>
            </w:div>
            <w:div w:id="514271497">
              <w:marLeft w:val="0"/>
              <w:marRight w:val="0"/>
              <w:marTop w:val="0"/>
              <w:marBottom w:val="0"/>
              <w:divBdr>
                <w:top w:val="none" w:sz="0" w:space="0" w:color="auto"/>
                <w:left w:val="none" w:sz="0" w:space="0" w:color="auto"/>
                <w:bottom w:val="none" w:sz="0" w:space="0" w:color="auto"/>
                <w:right w:val="none" w:sz="0" w:space="0" w:color="auto"/>
              </w:divBdr>
            </w:div>
            <w:div w:id="1677272429">
              <w:marLeft w:val="0"/>
              <w:marRight w:val="0"/>
              <w:marTop w:val="0"/>
              <w:marBottom w:val="0"/>
              <w:divBdr>
                <w:top w:val="none" w:sz="0" w:space="0" w:color="auto"/>
                <w:left w:val="none" w:sz="0" w:space="0" w:color="auto"/>
                <w:bottom w:val="none" w:sz="0" w:space="0" w:color="auto"/>
                <w:right w:val="none" w:sz="0" w:space="0" w:color="auto"/>
              </w:divBdr>
            </w:div>
            <w:div w:id="1356997794">
              <w:marLeft w:val="0"/>
              <w:marRight w:val="0"/>
              <w:marTop w:val="0"/>
              <w:marBottom w:val="0"/>
              <w:divBdr>
                <w:top w:val="none" w:sz="0" w:space="0" w:color="auto"/>
                <w:left w:val="none" w:sz="0" w:space="0" w:color="auto"/>
                <w:bottom w:val="none" w:sz="0" w:space="0" w:color="auto"/>
                <w:right w:val="none" w:sz="0" w:space="0" w:color="auto"/>
              </w:divBdr>
            </w:div>
            <w:div w:id="1880436460">
              <w:marLeft w:val="0"/>
              <w:marRight w:val="0"/>
              <w:marTop w:val="0"/>
              <w:marBottom w:val="0"/>
              <w:divBdr>
                <w:top w:val="none" w:sz="0" w:space="0" w:color="auto"/>
                <w:left w:val="none" w:sz="0" w:space="0" w:color="auto"/>
                <w:bottom w:val="none" w:sz="0" w:space="0" w:color="auto"/>
                <w:right w:val="none" w:sz="0" w:space="0" w:color="auto"/>
              </w:divBdr>
            </w:div>
            <w:div w:id="653338238">
              <w:marLeft w:val="0"/>
              <w:marRight w:val="0"/>
              <w:marTop w:val="0"/>
              <w:marBottom w:val="0"/>
              <w:divBdr>
                <w:top w:val="none" w:sz="0" w:space="0" w:color="auto"/>
                <w:left w:val="none" w:sz="0" w:space="0" w:color="auto"/>
                <w:bottom w:val="none" w:sz="0" w:space="0" w:color="auto"/>
                <w:right w:val="none" w:sz="0" w:space="0" w:color="auto"/>
              </w:divBdr>
            </w:div>
            <w:div w:id="1240290353">
              <w:marLeft w:val="0"/>
              <w:marRight w:val="0"/>
              <w:marTop w:val="0"/>
              <w:marBottom w:val="0"/>
              <w:divBdr>
                <w:top w:val="none" w:sz="0" w:space="0" w:color="auto"/>
                <w:left w:val="none" w:sz="0" w:space="0" w:color="auto"/>
                <w:bottom w:val="none" w:sz="0" w:space="0" w:color="auto"/>
                <w:right w:val="none" w:sz="0" w:space="0" w:color="auto"/>
              </w:divBdr>
            </w:div>
            <w:div w:id="2109963413">
              <w:marLeft w:val="0"/>
              <w:marRight w:val="0"/>
              <w:marTop w:val="0"/>
              <w:marBottom w:val="0"/>
              <w:divBdr>
                <w:top w:val="none" w:sz="0" w:space="0" w:color="auto"/>
                <w:left w:val="none" w:sz="0" w:space="0" w:color="auto"/>
                <w:bottom w:val="none" w:sz="0" w:space="0" w:color="auto"/>
                <w:right w:val="none" w:sz="0" w:space="0" w:color="auto"/>
              </w:divBdr>
            </w:div>
            <w:div w:id="537935019">
              <w:marLeft w:val="0"/>
              <w:marRight w:val="0"/>
              <w:marTop w:val="0"/>
              <w:marBottom w:val="0"/>
              <w:divBdr>
                <w:top w:val="none" w:sz="0" w:space="0" w:color="auto"/>
                <w:left w:val="none" w:sz="0" w:space="0" w:color="auto"/>
                <w:bottom w:val="none" w:sz="0" w:space="0" w:color="auto"/>
                <w:right w:val="none" w:sz="0" w:space="0" w:color="auto"/>
              </w:divBdr>
            </w:div>
            <w:div w:id="2116166895">
              <w:marLeft w:val="0"/>
              <w:marRight w:val="0"/>
              <w:marTop w:val="0"/>
              <w:marBottom w:val="0"/>
              <w:divBdr>
                <w:top w:val="none" w:sz="0" w:space="0" w:color="auto"/>
                <w:left w:val="none" w:sz="0" w:space="0" w:color="auto"/>
                <w:bottom w:val="none" w:sz="0" w:space="0" w:color="auto"/>
                <w:right w:val="none" w:sz="0" w:space="0" w:color="auto"/>
              </w:divBdr>
            </w:div>
            <w:div w:id="2134057456">
              <w:marLeft w:val="0"/>
              <w:marRight w:val="0"/>
              <w:marTop w:val="0"/>
              <w:marBottom w:val="0"/>
              <w:divBdr>
                <w:top w:val="none" w:sz="0" w:space="0" w:color="auto"/>
                <w:left w:val="none" w:sz="0" w:space="0" w:color="auto"/>
                <w:bottom w:val="none" w:sz="0" w:space="0" w:color="auto"/>
                <w:right w:val="none" w:sz="0" w:space="0" w:color="auto"/>
              </w:divBdr>
            </w:div>
            <w:div w:id="1990865919">
              <w:marLeft w:val="0"/>
              <w:marRight w:val="0"/>
              <w:marTop w:val="0"/>
              <w:marBottom w:val="0"/>
              <w:divBdr>
                <w:top w:val="none" w:sz="0" w:space="0" w:color="auto"/>
                <w:left w:val="none" w:sz="0" w:space="0" w:color="auto"/>
                <w:bottom w:val="none" w:sz="0" w:space="0" w:color="auto"/>
                <w:right w:val="none" w:sz="0" w:space="0" w:color="auto"/>
              </w:divBdr>
            </w:div>
            <w:div w:id="1273321342">
              <w:marLeft w:val="0"/>
              <w:marRight w:val="0"/>
              <w:marTop w:val="0"/>
              <w:marBottom w:val="0"/>
              <w:divBdr>
                <w:top w:val="none" w:sz="0" w:space="0" w:color="auto"/>
                <w:left w:val="none" w:sz="0" w:space="0" w:color="auto"/>
                <w:bottom w:val="none" w:sz="0" w:space="0" w:color="auto"/>
                <w:right w:val="none" w:sz="0" w:space="0" w:color="auto"/>
              </w:divBdr>
            </w:div>
            <w:div w:id="243078656">
              <w:marLeft w:val="0"/>
              <w:marRight w:val="0"/>
              <w:marTop w:val="0"/>
              <w:marBottom w:val="0"/>
              <w:divBdr>
                <w:top w:val="none" w:sz="0" w:space="0" w:color="auto"/>
                <w:left w:val="none" w:sz="0" w:space="0" w:color="auto"/>
                <w:bottom w:val="none" w:sz="0" w:space="0" w:color="auto"/>
                <w:right w:val="none" w:sz="0" w:space="0" w:color="auto"/>
              </w:divBdr>
            </w:div>
            <w:div w:id="499277438">
              <w:marLeft w:val="0"/>
              <w:marRight w:val="0"/>
              <w:marTop w:val="0"/>
              <w:marBottom w:val="0"/>
              <w:divBdr>
                <w:top w:val="none" w:sz="0" w:space="0" w:color="auto"/>
                <w:left w:val="none" w:sz="0" w:space="0" w:color="auto"/>
                <w:bottom w:val="none" w:sz="0" w:space="0" w:color="auto"/>
                <w:right w:val="none" w:sz="0" w:space="0" w:color="auto"/>
              </w:divBdr>
            </w:div>
            <w:div w:id="578098286">
              <w:marLeft w:val="0"/>
              <w:marRight w:val="0"/>
              <w:marTop w:val="0"/>
              <w:marBottom w:val="0"/>
              <w:divBdr>
                <w:top w:val="none" w:sz="0" w:space="0" w:color="auto"/>
                <w:left w:val="none" w:sz="0" w:space="0" w:color="auto"/>
                <w:bottom w:val="none" w:sz="0" w:space="0" w:color="auto"/>
                <w:right w:val="none" w:sz="0" w:space="0" w:color="auto"/>
              </w:divBdr>
            </w:div>
            <w:div w:id="1254824510">
              <w:marLeft w:val="0"/>
              <w:marRight w:val="0"/>
              <w:marTop w:val="0"/>
              <w:marBottom w:val="0"/>
              <w:divBdr>
                <w:top w:val="none" w:sz="0" w:space="0" w:color="auto"/>
                <w:left w:val="none" w:sz="0" w:space="0" w:color="auto"/>
                <w:bottom w:val="none" w:sz="0" w:space="0" w:color="auto"/>
                <w:right w:val="none" w:sz="0" w:space="0" w:color="auto"/>
              </w:divBdr>
            </w:div>
            <w:div w:id="967786657">
              <w:marLeft w:val="0"/>
              <w:marRight w:val="0"/>
              <w:marTop w:val="0"/>
              <w:marBottom w:val="0"/>
              <w:divBdr>
                <w:top w:val="none" w:sz="0" w:space="0" w:color="auto"/>
                <w:left w:val="none" w:sz="0" w:space="0" w:color="auto"/>
                <w:bottom w:val="none" w:sz="0" w:space="0" w:color="auto"/>
                <w:right w:val="none" w:sz="0" w:space="0" w:color="auto"/>
              </w:divBdr>
            </w:div>
            <w:div w:id="1882356089">
              <w:marLeft w:val="0"/>
              <w:marRight w:val="0"/>
              <w:marTop w:val="0"/>
              <w:marBottom w:val="0"/>
              <w:divBdr>
                <w:top w:val="none" w:sz="0" w:space="0" w:color="auto"/>
                <w:left w:val="none" w:sz="0" w:space="0" w:color="auto"/>
                <w:bottom w:val="none" w:sz="0" w:space="0" w:color="auto"/>
                <w:right w:val="none" w:sz="0" w:space="0" w:color="auto"/>
              </w:divBdr>
            </w:div>
            <w:div w:id="1310090366">
              <w:marLeft w:val="0"/>
              <w:marRight w:val="0"/>
              <w:marTop w:val="0"/>
              <w:marBottom w:val="0"/>
              <w:divBdr>
                <w:top w:val="none" w:sz="0" w:space="0" w:color="auto"/>
                <w:left w:val="none" w:sz="0" w:space="0" w:color="auto"/>
                <w:bottom w:val="none" w:sz="0" w:space="0" w:color="auto"/>
                <w:right w:val="none" w:sz="0" w:space="0" w:color="auto"/>
              </w:divBdr>
            </w:div>
            <w:div w:id="1442216012">
              <w:marLeft w:val="0"/>
              <w:marRight w:val="0"/>
              <w:marTop w:val="0"/>
              <w:marBottom w:val="0"/>
              <w:divBdr>
                <w:top w:val="none" w:sz="0" w:space="0" w:color="auto"/>
                <w:left w:val="none" w:sz="0" w:space="0" w:color="auto"/>
                <w:bottom w:val="none" w:sz="0" w:space="0" w:color="auto"/>
                <w:right w:val="none" w:sz="0" w:space="0" w:color="auto"/>
              </w:divBdr>
            </w:div>
            <w:div w:id="647054953">
              <w:marLeft w:val="0"/>
              <w:marRight w:val="0"/>
              <w:marTop w:val="0"/>
              <w:marBottom w:val="0"/>
              <w:divBdr>
                <w:top w:val="none" w:sz="0" w:space="0" w:color="auto"/>
                <w:left w:val="none" w:sz="0" w:space="0" w:color="auto"/>
                <w:bottom w:val="none" w:sz="0" w:space="0" w:color="auto"/>
                <w:right w:val="none" w:sz="0" w:space="0" w:color="auto"/>
              </w:divBdr>
            </w:div>
            <w:div w:id="1434015805">
              <w:marLeft w:val="0"/>
              <w:marRight w:val="0"/>
              <w:marTop w:val="0"/>
              <w:marBottom w:val="0"/>
              <w:divBdr>
                <w:top w:val="none" w:sz="0" w:space="0" w:color="auto"/>
                <w:left w:val="none" w:sz="0" w:space="0" w:color="auto"/>
                <w:bottom w:val="none" w:sz="0" w:space="0" w:color="auto"/>
                <w:right w:val="none" w:sz="0" w:space="0" w:color="auto"/>
              </w:divBdr>
            </w:div>
            <w:div w:id="1019896842">
              <w:marLeft w:val="0"/>
              <w:marRight w:val="0"/>
              <w:marTop w:val="0"/>
              <w:marBottom w:val="0"/>
              <w:divBdr>
                <w:top w:val="none" w:sz="0" w:space="0" w:color="auto"/>
                <w:left w:val="none" w:sz="0" w:space="0" w:color="auto"/>
                <w:bottom w:val="none" w:sz="0" w:space="0" w:color="auto"/>
                <w:right w:val="none" w:sz="0" w:space="0" w:color="auto"/>
              </w:divBdr>
            </w:div>
            <w:div w:id="40788365">
              <w:marLeft w:val="0"/>
              <w:marRight w:val="0"/>
              <w:marTop w:val="0"/>
              <w:marBottom w:val="0"/>
              <w:divBdr>
                <w:top w:val="none" w:sz="0" w:space="0" w:color="auto"/>
                <w:left w:val="none" w:sz="0" w:space="0" w:color="auto"/>
                <w:bottom w:val="none" w:sz="0" w:space="0" w:color="auto"/>
                <w:right w:val="none" w:sz="0" w:space="0" w:color="auto"/>
              </w:divBdr>
            </w:div>
            <w:div w:id="1929994958">
              <w:marLeft w:val="0"/>
              <w:marRight w:val="0"/>
              <w:marTop w:val="0"/>
              <w:marBottom w:val="0"/>
              <w:divBdr>
                <w:top w:val="none" w:sz="0" w:space="0" w:color="auto"/>
                <w:left w:val="none" w:sz="0" w:space="0" w:color="auto"/>
                <w:bottom w:val="none" w:sz="0" w:space="0" w:color="auto"/>
                <w:right w:val="none" w:sz="0" w:space="0" w:color="auto"/>
              </w:divBdr>
            </w:div>
            <w:div w:id="311641799">
              <w:marLeft w:val="0"/>
              <w:marRight w:val="0"/>
              <w:marTop w:val="0"/>
              <w:marBottom w:val="0"/>
              <w:divBdr>
                <w:top w:val="none" w:sz="0" w:space="0" w:color="auto"/>
                <w:left w:val="none" w:sz="0" w:space="0" w:color="auto"/>
                <w:bottom w:val="none" w:sz="0" w:space="0" w:color="auto"/>
                <w:right w:val="none" w:sz="0" w:space="0" w:color="auto"/>
              </w:divBdr>
            </w:div>
            <w:div w:id="1444231146">
              <w:marLeft w:val="0"/>
              <w:marRight w:val="0"/>
              <w:marTop w:val="0"/>
              <w:marBottom w:val="0"/>
              <w:divBdr>
                <w:top w:val="none" w:sz="0" w:space="0" w:color="auto"/>
                <w:left w:val="none" w:sz="0" w:space="0" w:color="auto"/>
                <w:bottom w:val="none" w:sz="0" w:space="0" w:color="auto"/>
                <w:right w:val="none" w:sz="0" w:space="0" w:color="auto"/>
              </w:divBdr>
            </w:div>
            <w:div w:id="786239506">
              <w:marLeft w:val="0"/>
              <w:marRight w:val="0"/>
              <w:marTop w:val="0"/>
              <w:marBottom w:val="0"/>
              <w:divBdr>
                <w:top w:val="none" w:sz="0" w:space="0" w:color="auto"/>
                <w:left w:val="none" w:sz="0" w:space="0" w:color="auto"/>
                <w:bottom w:val="none" w:sz="0" w:space="0" w:color="auto"/>
                <w:right w:val="none" w:sz="0" w:space="0" w:color="auto"/>
              </w:divBdr>
            </w:div>
            <w:div w:id="239953060">
              <w:marLeft w:val="0"/>
              <w:marRight w:val="0"/>
              <w:marTop w:val="0"/>
              <w:marBottom w:val="0"/>
              <w:divBdr>
                <w:top w:val="none" w:sz="0" w:space="0" w:color="auto"/>
                <w:left w:val="none" w:sz="0" w:space="0" w:color="auto"/>
                <w:bottom w:val="none" w:sz="0" w:space="0" w:color="auto"/>
                <w:right w:val="none" w:sz="0" w:space="0" w:color="auto"/>
              </w:divBdr>
            </w:div>
            <w:div w:id="67383060">
              <w:marLeft w:val="0"/>
              <w:marRight w:val="0"/>
              <w:marTop w:val="0"/>
              <w:marBottom w:val="0"/>
              <w:divBdr>
                <w:top w:val="none" w:sz="0" w:space="0" w:color="auto"/>
                <w:left w:val="none" w:sz="0" w:space="0" w:color="auto"/>
                <w:bottom w:val="none" w:sz="0" w:space="0" w:color="auto"/>
                <w:right w:val="none" w:sz="0" w:space="0" w:color="auto"/>
              </w:divBdr>
            </w:div>
            <w:div w:id="817379859">
              <w:marLeft w:val="0"/>
              <w:marRight w:val="0"/>
              <w:marTop w:val="0"/>
              <w:marBottom w:val="0"/>
              <w:divBdr>
                <w:top w:val="none" w:sz="0" w:space="0" w:color="auto"/>
                <w:left w:val="none" w:sz="0" w:space="0" w:color="auto"/>
                <w:bottom w:val="none" w:sz="0" w:space="0" w:color="auto"/>
                <w:right w:val="none" w:sz="0" w:space="0" w:color="auto"/>
              </w:divBdr>
            </w:div>
            <w:div w:id="262765849">
              <w:marLeft w:val="0"/>
              <w:marRight w:val="0"/>
              <w:marTop w:val="0"/>
              <w:marBottom w:val="0"/>
              <w:divBdr>
                <w:top w:val="none" w:sz="0" w:space="0" w:color="auto"/>
                <w:left w:val="none" w:sz="0" w:space="0" w:color="auto"/>
                <w:bottom w:val="none" w:sz="0" w:space="0" w:color="auto"/>
                <w:right w:val="none" w:sz="0" w:space="0" w:color="auto"/>
              </w:divBdr>
            </w:div>
            <w:div w:id="1300265521">
              <w:marLeft w:val="0"/>
              <w:marRight w:val="0"/>
              <w:marTop w:val="0"/>
              <w:marBottom w:val="0"/>
              <w:divBdr>
                <w:top w:val="none" w:sz="0" w:space="0" w:color="auto"/>
                <w:left w:val="none" w:sz="0" w:space="0" w:color="auto"/>
                <w:bottom w:val="none" w:sz="0" w:space="0" w:color="auto"/>
                <w:right w:val="none" w:sz="0" w:space="0" w:color="auto"/>
              </w:divBdr>
            </w:div>
            <w:div w:id="1199078210">
              <w:marLeft w:val="0"/>
              <w:marRight w:val="0"/>
              <w:marTop w:val="0"/>
              <w:marBottom w:val="0"/>
              <w:divBdr>
                <w:top w:val="none" w:sz="0" w:space="0" w:color="auto"/>
                <w:left w:val="none" w:sz="0" w:space="0" w:color="auto"/>
                <w:bottom w:val="none" w:sz="0" w:space="0" w:color="auto"/>
                <w:right w:val="none" w:sz="0" w:space="0" w:color="auto"/>
              </w:divBdr>
            </w:div>
            <w:div w:id="1363356758">
              <w:marLeft w:val="0"/>
              <w:marRight w:val="0"/>
              <w:marTop w:val="0"/>
              <w:marBottom w:val="0"/>
              <w:divBdr>
                <w:top w:val="none" w:sz="0" w:space="0" w:color="auto"/>
                <w:left w:val="none" w:sz="0" w:space="0" w:color="auto"/>
                <w:bottom w:val="none" w:sz="0" w:space="0" w:color="auto"/>
                <w:right w:val="none" w:sz="0" w:space="0" w:color="auto"/>
              </w:divBdr>
            </w:div>
            <w:div w:id="1789659668">
              <w:marLeft w:val="0"/>
              <w:marRight w:val="0"/>
              <w:marTop w:val="0"/>
              <w:marBottom w:val="0"/>
              <w:divBdr>
                <w:top w:val="none" w:sz="0" w:space="0" w:color="auto"/>
                <w:left w:val="none" w:sz="0" w:space="0" w:color="auto"/>
                <w:bottom w:val="none" w:sz="0" w:space="0" w:color="auto"/>
                <w:right w:val="none" w:sz="0" w:space="0" w:color="auto"/>
              </w:divBdr>
            </w:div>
            <w:div w:id="696003263">
              <w:marLeft w:val="0"/>
              <w:marRight w:val="0"/>
              <w:marTop w:val="0"/>
              <w:marBottom w:val="0"/>
              <w:divBdr>
                <w:top w:val="none" w:sz="0" w:space="0" w:color="auto"/>
                <w:left w:val="none" w:sz="0" w:space="0" w:color="auto"/>
                <w:bottom w:val="none" w:sz="0" w:space="0" w:color="auto"/>
                <w:right w:val="none" w:sz="0" w:space="0" w:color="auto"/>
              </w:divBdr>
            </w:div>
            <w:div w:id="1950744614">
              <w:marLeft w:val="0"/>
              <w:marRight w:val="0"/>
              <w:marTop w:val="0"/>
              <w:marBottom w:val="0"/>
              <w:divBdr>
                <w:top w:val="none" w:sz="0" w:space="0" w:color="auto"/>
                <w:left w:val="none" w:sz="0" w:space="0" w:color="auto"/>
                <w:bottom w:val="none" w:sz="0" w:space="0" w:color="auto"/>
                <w:right w:val="none" w:sz="0" w:space="0" w:color="auto"/>
              </w:divBdr>
            </w:div>
            <w:div w:id="1143766413">
              <w:marLeft w:val="0"/>
              <w:marRight w:val="0"/>
              <w:marTop w:val="0"/>
              <w:marBottom w:val="0"/>
              <w:divBdr>
                <w:top w:val="none" w:sz="0" w:space="0" w:color="auto"/>
                <w:left w:val="none" w:sz="0" w:space="0" w:color="auto"/>
                <w:bottom w:val="none" w:sz="0" w:space="0" w:color="auto"/>
                <w:right w:val="none" w:sz="0" w:space="0" w:color="auto"/>
              </w:divBdr>
            </w:div>
            <w:div w:id="617226663">
              <w:marLeft w:val="0"/>
              <w:marRight w:val="0"/>
              <w:marTop w:val="0"/>
              <w:marBottom w:val="0"/>
              <w:divBdr>
                <w:top w:val="none" w:sz="0" w:space="0" w:color="auto"/>
                <w:left w:val="none" w:sz="0" w:space="0" w:color="auto"/>
                <w:bottom w:val="none" w:sz="0" w:space="0" w:color="auto"/>
                <w:right w:val="none" w:sz="0" w:space="0" w:color="auto"/>
              </w:divBdr>
            </w:div>
            <w:div w:id="420220787">
              <w:marLeft w:val="0"/>
              <w:marRight w:val="0"/>
              <w:marTop w:val="0"/>
              <w:marBottom w:val="0"/>
              <w:divBdr>
                <w:top w:val="none" w:sz="0" w:space="0" w:color="auto"/>
                <w:left w:val="none" w:sz="0" w:space="0" w:color="auto"/>
                <w:bottom w:val="none" w:sz="0" w:space="0" w:color="auto"/>
                <w:right w:val="none" w:sz="0" w:space="0" w:color="auto"/>
              </w:divBdr>
            </w:div>
            <w:div w:id="773016308">
              <w:marLeft w:val="0"/>
              <w:marRight w:val="0"/>
              <w:marTop w:val="0"/>
              <w:marBottom w:val="0"/>
              <w:divBdr>
                <w:top w:val="none" w:sz="0" w:space="0" w:color="auto"/>
                <w:left w:val="none" w:sz="0" w:space="0" w:color="auto"/>
                <w:bottom w:val="none" w:sz="0" w:space="0" w:color="auto"/>
                <w:right w:val="none" w:sz="0" w:space="0" w:color="auto"/>
              </w:divBdr>
            </w:div>
            <w:div w:id="519202470">
              <w:marLeft w:val="0"/>
              <w:marRight w:val="0"/>
              <w:marTop w:val="0"/>
              <w:marBottom w:val="0"/>
              <w:divBdr>
                <w:top w:val="none" w:sz="0" w:space="0" w:color="auto"/>
                <w:left w:val="none" w:sz="0" w:space="0" w:color="auto"/>
                <w:bottom w:val="none" w:sz="0" w:space="0" w:color="auto"/>
                <w:right w:val="none" w:sz="0" w:space="0" w:color="auto"/>
              </w:divBdr>
            </w:div>
            <w:div w:id="318508023">
              <w:marLeft w:val="0"/>
              <w:marRight w:val="0"/>
              <w:marTop w:val="0"/>
              <w:marBottom w:val="0"/>
              <w:divBdr>
                <w:top w:val="none" w:sz="0" w:space="0" w:color="auto"/>
                <w:left w:val="none" w:sz="0" w:space="0" w:color="auto"/>
                <w:bottom w:val="none" w:sz="0" w:space="0" w:color="auto"/>
                <w:right w:val="none" w:sz="0" w:space="0" w:color="auto"/>
              </w:divBdr>
            </w:div>
            <w:div w:id="543491920">
              <w:marLeft w:val="0"/>
              <w:marRight w:val="0"/>
              <w:marTop w:val="0"/>
              <w:marBottom w:val="0"/>
              <w:divBdr>
                <w:top w:val="none" w:sz="0" w:space="0" w:color="auto"/>
                <w:left w:val="none" w:sz="0" w:space="0" w:color="auto"/>
                <w:bottom w:val="none" w:sz="0" w:space="0" w:color="auto"/>
                <w:right w:val="none" w:sz="0" w:space="0" w:color="auto"/>
              </w:divBdr>
            </w:div>
            <w:div w:id="220144122">
              <w:marLeft w:val="0"/>
              <w:marRight w:val="0"/>
              <w:marTop w:val="0"/>
              <w:marBottom w:val="0"/>
              <w:divBdr>
                <w:top w:val="none" w:sz="0" w:space="0" w:color="auto"/>
                <w:left w:val="none" w:sz="0" w:space="0" w:color="auto"/>
                <w:bottom w:val="none" w:sz="0" w:space="0" w:color="auto"/>
                <w:right w:val="none" w:sz="0" w:space="0" w:color="auto"/>
              </w:divBdr>
            </w:div>
            <w:div w:id="418064664">
              <w:marLeft w:val="0"/>
              <w:marRight w:val="0"/>
              <w:marTop w:val="0"/>
              <w:marBottom w:val="0"/>
              <w:divBdr>
                <w:top w:val="none" w:sz="0" w:space="0" w:color="auto"/>
                <w:left w:val="none" w:sz="0" w:space="0" w:color="auto"/>
                <w:bottom w:val="none" w:sz="0" w:space="0" w:color="auto"/>
                <w:right w:val="none" w:sz="0" w:space="0" w:color="auto"/>
              </w:divBdr>
            </w:div>
            <w:div w:id="317729293">
              <w:marLeft w:val="0"/>
              <w:marRight w:val="0"/>
              <w:marTop w:val="0"/>
              <w:marBottom w:val="0"/>
              <w:divBdr>
                <w:top w:val="none" w:sz="0" w:space="0" w:color="auto"/>
                <w:left w:val="none" w:sz="0" w:space="0" w:color="auto"/>
                <w:bottom w:val="none" w:sz="0" w:space="0" w:color="auto"/>
                <w:right w:val="none" w:sz="0" w:space="0" w:color="auto"/>
              </w:divBdr>
            </w:div>
            <w:div w:id="1034233502">
              <w:marLeft w:val="0"/>
              <w:marRight w:val="0"/>
              <w:marTop w:val="0"/>
              <w:marBottom w:val="0"/>
              <w:divBdr>
                <w:top w:val="none" w:sz="0" w:space="0" w:color="auto"/>
                <w:left w:val="none" w:sz="0" w:space="0" w:color="auto"/>
                <w:bottom w:val="none" w:sz="0" w:space="0" w:color="auto"/>
                <w:right w:val="none" w:sz="0" w:space="0" w:color="auto"/>
              </w:divBdr>
            </w:div>
            <w:div w:id="57676391">
              <w:marLeft w:val="0"/>
              <w:marRight w:val="0"/>
              <w:marTop w:val="0"/>
              <w:marBottom w:val="0"/>
              <w:divBdr>
                <w:top w:val="none" w:sz="0" w:space="0" w:color="auto"/>
                <w:left w:val="none" w:sz="0" w:space="0" w:color="auto"/>
                <w:bottom w:val="none" w:sz="0" w:space="0" w:color="auto"/>
                <w:right w:val="none" w:sz="0" w:space="0" w:color="auto"/>
              </w:divBdr>
            </w:div>
            <w:div w:id="402873874">
              <w:marLeft w:val="0"/>
              <w:marRight w:val="0"/>
              <w:marTop w:val="0"/>
              <w:marBottom w:val="0"/>
              <w:divBdr>
                <w:top w:val="none" w:sz="0" w:space="0" w:color="auto"/>
                <w:left w:val="none" w:sz="0" w:space="0" w:color="auto"/>
                <w:bottom w:val="none" w:sz="0" w:space="0" w:color="auto"/>
                <w:right w:val="none" w:sz="0" w:space="0" w:color="auto"/>
              </w:divBdr>
            </w:div>
            <w:div w:id="1896428144">
              <w:marLeft w:val="0"/>
              <w:marRight w:val="0"/>
              <w:marTop w:val="0"/>
              <w:marBottom w:val="0"/>
              <w:divBdr>
                <w:top w:val="none" w:sz="0" w:space="0" w:color="auto"/>
                <w:left w:val="none" w:sz="0" w:space="0" w:color="auto"/>
                <w:bottom w:val="none" w:sz="0" w:space="0" w:color="auto"/>
                <w:right w:val="none" w:sz="0" w:space="0" w:color="auto"/>
              </w:divBdr>
            </w:div>
            <w:div w:id="120392320">
              <w:marLeft w:val="0"/>
              <w:marRight w:val="0"/>
              <w:marTop w:val="0"/>
              <w:marBottom w:val="0"/>
              <w:divBdr>
                <w:top w:val="none" w:sz="0" w:space="0" w:color="auto"/>
                <w:left w:val="none" w:sz="0" w:space="0" w:color="auto"/>
                <w:bottom w:val="none" w:sz="0" w:space="0" w:color="auto"/>
                <w:right w:val="none" w:sz="0" w:space="0" w:color="auto"/>
              </w:divBdr>
            </w:div>
            <w:div w:id="1689021627">
              <w:marLeft w:val="0"/>
              <w:marRight w:val="0"/>
              <w:marTop w:val="0"/>
              <w:marBottom w:val="0"/>
              <w:divBdr>
                <w:top w:val="none" w:sz="0" w:space="0" w:color="auto"/>
                <w:left w:val="none" w:sz="0" w:space="0" w:color="auto"/>
                <w:bottom w:val="none" w:sz="0" w:space="0" w:color="auto"/>
                <w:right w:val="none" w:sz="0" w:space="0" w:color="auto"/>
              </w:divBdr>
            </w:div>
            <w:div w:id="1950745715">
              <w:marLeft w:val="0"/>
              <w:marRight w:val="0"/>
              <w:marTop w:val="0"/>
              <w:marBottom w:val="0"/>
              <w:divBdr>
                <w:top w:val="none" w:sz="0" w:space="0" w:color="auto"/>
                <w:left w:val="none" w:sz="0" w:space="0" w:color="auto"/>
                <w:bottom w:val="none" w:sz="0" w:space="0" w:color="auto"/>
                <w:right w:val="none" w:sz="0" w:space="0" w:color="auto"/>
              </w:divBdr>
            </w:div>
            <w:div w:id="1088841870">
              <w:marLeft w:val="0"/>
              <w:marRight w:val="0"/>
              <w:marTop w:val="0"/>
              <w:marBottom w:val="0"/>
              <w:divBdr>
                <w:top w:val="none" w:sz="0" w:space="0" w:color="auto"/>
                <w:left w:val="none" w:sz="0" w:space="0" w:color="auto"/>
                <w:bottom w:val="none" w:sz="0" w:space="0" w:color="auto"/>
                <w:right w:val="none" w:sz="0" w:space="0" w:color="auto"/>
              </w:divBdr>
            </w:div>
            <w:div w:id="622272453">
              <w:marLeft w:val="0"/>
              <w:marRight w:val="0"/>
              <w:marTop w:val="0"/>
              <w:marBottom w:val="0"/>
              <w:divBdr>
                <w:top w:val="none" w:sz="0" w:space="0" w:color="auto"/>
                <w:left w:val="none" w:sz="0" w:space="0" w:color="auto"/>
                <w:bottom w:val="none" w:sz="0" w:space="0" w:color="auto"/>
                <w:right w:val="none" w:sz="0" w:space="0" w:color="auto"/>
              </w:divBdr>
            </w:div>
            <w:div w:id="1365710684">
              <w:marLeft w:val="0"/>
              <w:marRight w:val="0"/>
              <w:marTop w:val="0"/>
              <w:marBottom w:val="0"/>
              <w:divBdr>
                <w:top w:val="none" w:sz="0" w:space="0" w:color="auto"/>
                <w:left w:val="none" w:sz="0" w:space="0" w:color="auto"/>
                <w:bottom w:val="none" w:sz="0" w:space="0" w:color="auto"/>
                <w:right w:val="none" w:sz="0" w:space="0" w:color="auto"/>
              </w:divBdr>
            </w:div>
            <w:div w:id="900289051">
              <w:marLeft w:val="0"/>
              <w:marRight w:val="0"/>
              <w:marTop w:val="0"/>
              <w:marBottom w:val="0"/>
              <w:divBdr>
                <w:top w:val="none" w:sz="0" w:space="0" w:color="auto"/>
                <w:left w:val="none" w:sz="0" w:space="0" w:color="auto"/>
                <w:bottom w:val="none" w:sz="0" w:space="0" w:color="auto"/>
                <w:right w:val="none" w:sz="0" w:space="0" w:color="auto"/>
              </w:divBdr>
            </w:div>
            <w:div w:id="1734960376">
              <w:marLeft w:val="0"/>
              <w:marRight w:val="0"/>
              <w:marTop w:val="0"/>
              <w:marBottom w:val="0"/>
              <w:divBdr>
                <w:top w:val="none" w:sz="0" w:space="0" w:color="auto"/>
                <w:left w:val="none" w:sz="0" w:space="0" w:color="auto"/>
                <w:bottom w:val="none" w:sz="0" w:space="0" w:color="auto"/>
                <w:right w:val="none" w:sz="0" w:space="0" w:color="auto"/>
              </w:divBdr>
            </w:div>
            <w:div w:id="409691133">
              <w:marLeft w:val="0"/>
              <w:marRight w:val="0"/>
              <w:marTop w:val="0"/>
              <w:marBottom w:val="0"/>
              <w:divBdr>
                <w:top w:val="none" w:sz="0" w:space="0" w:color="auto"/>
                <w:left w:val="none" w:sz="0" w:space="0" w:color="auto"/>
                <w:bottom w:val="none" w:sz="0" w:space="0" w:color="auto"/>
                <w:right w:val="none" w:sz="0" w:space="0" w:color="auto"/>
              </w:divBdr>
            </w:div>
            <w:div w:id="1941402149">
              <w:marLeft w:val="0"/>
              <w:marRight w:val="0"/>
              <w:marTop w:val="0"/>
              <w:marBottom w:val="0"/>
              <w:divBdr>
                <w:top w:val="none" w:sz="0" w:space="0" w:color="auto"/>
                <w:left w:val="none" w:sz="0" w:space="0" w:color="auto"/>
                <w:bottom w:val="none" w:sz="0" w:space="0" w:color="auto"/>
                <w:right w:val="none" w:sz="0" w:space="0" w:color="auto"/>
              </w:divBdr>
            </w:div>
            <w:div w:id="815074072">
              <w:marLeft w:val="0"/>
              <w:marRight w:val="0"/>
              <w:marTop w:val="0"/>
              <w:marBottom w:val="0"/>
              <w:divBdr>
                <w:top w:val="none" w:sz="0" w:space="0" w:color="auto"/>
                <w:left w:val="none" w:sz="0" w:space="0" w:color="auto"/>
                <w:bottom w:val="none" w:sz="0" w:space="0" w:color="auto"/>
                <w:right w:val="none" w:sz="0" w:space="0" w:color="auto"/>
              </w:divBdr>
            </w:div>
            <w:div w:id="585236668">
              <w:marLeft w:val="0"/>
              <w:marRight w:val="0"/>
              <w:marTop w:val="0"/>
              <w:marBottom w:val="0"/>
              <w:divBdr>
                <w:top w:val="none" w:sz="0" w:space="0" w:color="auto"/>
                <w:left w:val="none" w:sz="0" w:space="0" w:color="auto"/>
                <w:bottom w:val="none" w:sz="0" w:space="0" w:color="auto"/>
                <w:right w:val="none" w:sz="0" w:space="0" w:color="auto"/>
              </w:divBdr>
            </w:div>
            <w:div w:id="753009931">
              <w:marLeft w:val="0"/>
              <w:marRight w:val="0"/>
              <w:marTop w:val="0"/>
              <w:marBottom w:val="0"/>
              <w:divBdr>
                <w:top w:val="none" w:sz="0" w:space="0" w:color="auto"/>
                <w:left w:val="none" w:sz="0" w:space="0" w:color="auto"/>
                <w:bottom w:val="none" w:sz="0" w:space="0" w:color="auto"/>
                <w:right w:val="none" w:sz="0" w:space="0" w:color="auto"/>
              </w:divBdr>
            </w:div>
            <w:div w:id="2058430337">
              <w:marLeft w:val="0"/>
              <w:marRight w:val="0"/>
              <w:marTop w:val="0"/>
              <w:marBottom w:val="0"/>
              <w:divBdr>
                <w:top w:val="none" w:sz="0" w:space="0" w:color="auto"/>
                <w:left w:val="none" w:sz="0" w:space="0" w:color="auto"/>
                <w:bottom w:val="none" w:sz="0" w:space="0" w:color="auto"/>
                <w:right w:val="none" w:sz="0" w:space="0" w:color="auto"/>
              </w:divBdr>
            </w:div>
            <w:div w:id="406463013">
              <w:marLeft w:val="0"/>
              <w:marRight w:val="0"/>
              <w:marTop w:val="0"/>
              <w:marBottom w:val="0"/>
              <w:divBdr>
                <w:top w:val="none" w:sz="0" w:space="0" w:color="auto"/>
                <w:left w:val="none" w:sz="0" w:space="0" w:color="auto"/>
                <w:bottom w:val="none" w:sz="0" w:space="0" w:color="auto"/>
                <w:right w:val="none" w:sz="0" w:space="0" w:color="auto"/>
              </w:divBdr>
            </w:div>
            <w:div w:id="1831939250">
              <w:marLeft w:val="0"/>
              <w:marRight w:val="0"/>
              <w:marTop w:val="0"/>
              <w:marBottom w:val="0"/>
              <w:divBdr>
                <w:top w:val="none" w:sz="0" w:space="0" w:color="auto"/>
                <w:left w:val="none" w:sz="0" w:space="0" w:color="auto"/>
                <w:bottom w:val="none" w:sz="0" w:space="0" w:color="auto"/>
                <w:right w:val="none" w:sz="0" w:space="0" w:color="auto"/>
              </w:divBdr>
            </w:div>
            <w:div w:id="993219356">
              <w:marLeft w:val="0"/>
              <w:marRight w:val="0"/>
              <w:marTop w:val="0"/>
              <w:marBottom w:val="0"/>
              <w:divBdr>
                <w:top w:val="none" w:sz="0" w:space="0" w:color="auto"/>
                <w:left w:val="none" w:sz="0" w:space="0" w:color="auto"/>
                <w:bottom w:val="none" w:sz="0" w:space="0" w:color="auto"/>
                <w:right w:val="none" w:sz="0" w:space="0" w:color="auto"/>
              </w:divBdr>
            </w:div>
            <w:div w:id="1878466229">
              <w:marLeft w:val="0"/>
              <w:marRight w:val="0"/>
              <w:marTop w:val="0"/>
              <w:marBottom w:val="0"/>
              <w:divBdr>
                <w:top w:val="none" w:sz="0" w:space="0" w:color="auto"/>
                <w:left w:val="none" w:sz="0" w:space="0" w:color="auto"/>
                <w:bottom w:val="none" w:sz="0" w:space="0" w:color="auto"/>
                <w:right w:val="none" w:sz="0" w:space="0" w:color="auto"/>
              </w:divBdr>
            </w:div>
            <w:div w:id="503054891">
              <w:marLeft w:val="0"/>
              <w:marRight w:val="0"/>
              <w:marTop w:val="0"/>
              <w:marBottom w:val="0"/>
              <w:divBdr>
                <w:top w:val="none" w:sz="0" w:space="0" w:color="auto"/>
                <w:left w:val="none" w:sz="0" w:space="0" w:color="auto"/>
                <w:bottom w:val="none" w:sz="0" w:space="0" w:color="auto"/>
                <w:right w:val="none" w:sz="0" w:space="0" w:color="auto"/>
              </w:divBdr>
            </w:div>
            <w:div w:id="758407676">
              <w:marLeft w:val="0"/>
              <w:marRight w:val="0"/>
              <w:marTop w:val="0"/>
              <w:marBottom w:val="0"/>
              <w:divBdr>
                <w:top w:val="none" w:sz="0" w:space="0" w:color="auto"/>
                <w:left w:val="none" w:sz="0" w:space="0" w:color="auto"/>
                <w:bottom w:val="none" w:sz="0" w:space="0" w:color="auto"/>
                <w:right w:val="none" w:sz="0" w:space="0" w:color="auto"/>
              </w:divBdr>
            </w:div>
            <w:div w:id="479542506">
              <w:marLeft w:val="0"/>
              <w:marRight w:val="0"/>
              <w:marTop w:val="0"/>
              <w:marBottom w:val="0"/>
              <w:divBdr>
                <w:top w:val="none" w:sz="0" w:space="0" w:color="auto"/>
                <w:left w:val="none" w:sz="0" w:space="0" w:color="auto"/>
                <w:bottom w:val="none" w:sz="0" w:space="0" w:color="auto"/>
                <w:right w:val="none" w:sz="0" w:space="0" w:color="auto"/>
              </w:divBdr>
            </w:div>
            <w:div w:id="2026596114">
              <w:marLeft w:val="0"/>
              <w:marRight w:val="0"/>
              <w:marTop w:val="0"/>
              <w:marBottom w:val="0"/>
              <w:divBdr>
                <w:top w:val="none" w:sz="0" w:space="0" w:color="auto"/>
                <w:left w:val="none" w:sz="0" w:space="0" w:color="auto"/>
                <w:bottom w:val="none" w:sz="0" w:space="0" w:color="auto"/>
                <w:right w:val="none" w:sz="0" w:space="0" w:color="auto"/>
              </w:divBdr>
            </w:div>
            <w:div w:id="1270549398">
              <w:marLeft w:val="0"/>
              <w:marRight w:val="0"/>
              <w:marTop w:val="0"/>
              <w:marBottom w:val="0"/>
              <w:divBdr>
                <w:top w:val="none" w:sz="0" w:space="0" w:color="auto"/>
                <w:left w:val="none" w:sz="0" w:space="0" w:color="auto"/>
                <w:bottom w:val="none" w:sz="0" w:space="0" w:color="auto"/>
                <w:right w:val="none" w:sz="0" w:space="0" w:color="auto"/>
              </w:divBdr>
            </w:div>
            <w:div w:id="38406318">
              <w:marLeft w:val="0"/>
              <w:marRight w:val="0"/>
              <w:marTop w:val="0"/>
              <w:marBottom w:val="0"/>
              <w:divBdr>
                <w:top w:val="none" w:sz="0" w:space="0" w:color="auto"/>
                <w:left w:val="none" w:sz="0" w:space="0" w:color="auto"/>
                <w:bottom w:val="none" w:sz="0" w:space="0" w:color="auto"/>
                <w:right w:val="none" w:sz="0" w:space="0" w:color="auto"/>
              </w:divBdr>
            </w:div>
            <w:div w:id="306325612">
              <w:marLeft w:val="0"/>
              <w:marRight w:val="0"/>
              <w:marTop w:val="0"/>
              <w:marBottom w:val="0"/>
              <w:divBdr>
                <w:top w:val="none" w:sz="0" w:space="0" w:color="auto"/>
                <w:left w:val="none" w:sz="0" w:space="0" w:color="auto"/>
                <w:bottom w:val="none" w:sz="0" w:space="0" w:color="auto"/>
                <w:right w:val="none" w:sz="0" w:space="0" w:color="auto"/>
              </w:divBdr>
            </w:div>
            <w:div w:id="1499807051">
              <w:marLeft w:val="0"/>
              <w:marRight w:val="0"/>
              <w:marTop w:val="0"/>
              <w:marBottom w:val="0"/>
              <w:divBdr>
                <w:top w:val="none" w:sz="0" w:space="0" w:color="auto"/>
                <w:left w:val="none" w:sz="0" w:space="0" w:color="auto"/>
                <w:bottom w:val="none" w:sz="0" w:space="0" w:color="auto"/>
                <w:right w:val="none" w:sz="0" w:space="0" w:color="auto"/>
              </w:divBdr>
            </w:div>
            <w:div w:id="2136675762">
              <w:marLeft w:val="0"/>
              <w:marRight w:val="0"/>
              <w:marTop w:val="0"/>
              <w:marBottom w:val="0"/>
              <w:divBdr>
                <w:top w:val="none" w:sz="0" w:space="0" w:color="auto"/>
                <w:left w:val="none" w:sz="0" w:space="0" w:color="auto"/>
                <w:bottom w:val="none" w:sz="0" w:space="0" w:color="auto"/>
                <w:right w:val="none" w:sz="0" w:space="0" w:color="auto"/>
              </w:divBdr>
            </w:div>
            <w:div w:id="1317032478">
              <w:marLeft w:val="0"/>
              <w:marRight w:val="0"/>
              <w:marTop w:val="0"/>
              <w:marBottom w:val="0"/>
              <w:divBdr>
                <w:top w:val="none" w:sz="0" w:space="0" w:color="auto"/>
                <w:left w:val="none" w:sz="0" w:space="0" w:color="auto"/>
                <w:bottom w:val="none" w:sz="0" w:space="0" w:color="auto"/>
                <w:right w:val="none" w:sz="0" w:space="0" w:color="auto"/>
              </w:divBdr>
            </w:div>
            <w:div w:id="1993677139">
              <w:marLeft w:val="0"/>
              <w:marRight w:val="0"/>
              <w:marTop w:val="0"/>
              <w:marBottom w:val="0"/>
              <w:divBdr>
                <w:top w:val="none" w:sz="0" w:space="0" w:color="auto"/>
                <w:left w:val="none" w:sz="0" w:space="0" w:color="auto"/>
                <w:bottom w:val="none" w:sz="0" w:space="0" w:color="auto"/>
                <w:right w:val="none" w:sz="0" w:space="0" w:color="auto"/>
              </w:divBdr>
            </w:div>
            <w:div w:id="232542263">
              <w:marLeft w:val="0"/>
              <w:marRight w:val="0"/>
              <w:marTop w:val="0"/>
              <w:marBottom w:val="0"/>
              <w:divBdr>
                <w:top w:val="none" w:sz="0" w:space="0" w:color="auto"/>
                <w:left w:val="none" w:sz="0" w:space="0" w:color="auto"/>
                <w:bottom w:val="none" w:sz="0" w:space="0" w:color="auto"/>
                <w:right w:val="none" w:sz="0" w:space="0" w:color="auto"/>
              </w:divBdr>
            </w:div>
            <w:div w:id="1888250642">
              <w:marLeft w:val="0"/>
              <w:marRight w:val="0"/>
              <w:marTop w:val="0"/>
              <w:marBottom w:val="0"/>
              <w:divBdr>
                <w:top w:val="none" w:sz="0" w:space="0" w:color="auto"/>
                <w:left w:val="none" w:sz="0" w:space="0" w:color="auto"/>
                <w:bottom w:val="none" w:sz="0" w:space="0" w:color="auto"/>
                <w:right w:val="none" w:sz="0" w:space="0" w:color="auto"/>
              </w:divBdr>
            </w:div>
            <w:div w:id="989990460">
              <w:marLeft w:val="0"/>
              <w:marRight w:val="0"/>
              <w:marTop w:val="0"/>
              <w:marBottom w:val="0"/>
              <w:divBdr>
                <w:top w:val="none" w:sz="0" w:space="0" w:color="auto"/>
                <w:left w:val="none" w:sz="0" w:space="0" w:color="auto"/>
                <w:bottom w:val="none" w:sz="0" w:space="0" w:color="auto"/>
                <w:right w:val="none" w:sz="0" w:space="0" w:color="auto"/>
              </w:divBdr>
            </w:div>
            <w:div w:id="444471293">
              <w:marLeft w:val="0"/>
              <w:marRight w:val="0"/>
              <w:marTop w:val="0"/>
              <w:marBottom w:val="0"/>
              <w:divBdr>
                <w:top w:val="none" w:sz="0" w:space="0" w:color="auto"/>
                <w:left w:val="none" w:sz="0" w:space="0" w:color="auto"/>
                <w:bottom w:val="none" w:sz="0" w:space="0" w:color="auto"/>
                <w:right w:val="none" w:sz="0" w:space="0" w:color="auto"/>
              </w:divBdr>
            </w:div>
            <w:div w:id="1640454657">
              <w:marLeft w:val="0"/>
              <w:marRight w:val="0"/>
              <w:marTop w:val="0"/>
              <w:marBottom w:val="0"/>
              <w:divBdr>
                <w:top w:val="none" w:sz="0" w:space="0" w:color="auto"/>
                <w:left w:val="none" w:sz="0" w:space="0" w:color="auto"/>
                <w:bottom w:val="none" w:sz="0" w:space="0" w:color="auto"/>
                <w:right w:val="none" w:sz="0" w:space="0" w:color="auto"/>
              </w:divBdr>
            </w:div>
            <w:div w:id="1779134402">
              <w:marLeft w:val="0"/>
              <w:marRight w:val="0"/>
              <w:marTop w:val="0"/>
              <w:marBottom w:val="0"/>
              <w:divBdr>
                <w:top w:val="none" w:sz="0" w:space="0" w:color="auto"/>
                <w:left w:val="none" w:sz="0" w:space="0" w:color="auto"/>
                <w:bottom w:val="none" w:sz="0" w:space="0" w:color="auto"/>
                <w:right w:val="none" w:sz="0" w:space="0" w:color="auto"/>
              </w:divBdr>
            </w:div>
            <w:div w:id="2084838724">
              <w:marLeft w:val="0"/>
              <w:marRight w:val="0"/>
              <w:marTop w:val="0"/>
              <w:marBottom w:val="0"/>
              <w:divBdr>
                <w:top w:val="none" w:sz="0" w:space="0" w:color="auto"/>
                <w:left w:val="none" w:sz="0" w:space="0" w:color="auto"/>
                <w:bottom w:val="none" w:sz="0" w:space="0" w:color="auto"/>
                <w:right w:val="none" w:sz="0" w:space="0" w:color="auto"/>
              </w:divBdr>
            </w:div>
            <w:div w:id="1371300079">
              <w:marLeft w:val="0"/>
              <w:marRight w:val="0"/>
              <w:marTop w:val="0"/>
              <w:marBottom w:val="0"/>
              <w:divBdr>
                <w:top w:val="none" w:sz="0" w:space="0" w:color="auto"/>
                <w:left w:val="none" w:sz="0" w:space="0" w:color="auto"/>
                <w:bottom w:val="none" w:sz="0" w:space="0" w:color="auto"/>
                <w:right w:val="none" w:sz="0" w:space="0" w:color="auto"/>
              </w:divBdr>
            </w:div>
            <w:div w:id="1145048924">
              <w:marLeft w:val="0"/>
              <w:marRight w:val="0"/>
              <w:marTop w:val="0"/>
              <w:marBottom w:val="0"/>
              <w:divBdr>
                <w:top w:val="none" w:sz="0" w:space="0" w:color="auto"/>
                <w:left w:val="none" w:sz="0" w:space="0" w:color="auto"/>
                <w:bottom w:val="none" w:sz="0" w:space="0" w:color="auto"/>
                <w:right w:val="none" w:sz="0" w:space="0" w:color="auto"/>
              </w:divBdr>
            </w:div>
            <w:div w:id="1247760930">
              <w:marLeft w:val="0"/>
              <w:marRight w:val="0"/>
              <w:marTop w:val="0"/>
              <w:marBottom w:val="0"/>
              <w:divBdr>
                <w:top w:val="none" w:sz="0" w:space="0" w:color="auto"/>
                <w:left w:val="none" w:sz="0" w:space="0" w:color="auto"/>
                <w:bottom w:val="none" w:sz="0" w:space="0" w:color="auto"/>
                <w:right w:val="none" w:sz="0" w:space="0" w:color="auto"/>
              </w:divBdr>
            </w:div>
            <w:div w:id="2101096759">
              <w:marLeft w:val="0"/>
              <w:marRight w:val="0"/>
              <w:marTop w:val="0"/>
              <w:marBottom w:val="0"/>
              <w:divBdr>
                <w:top w:val="none" w:sz="0" w:space="0" w:color="auto"/>
                <w:left w:val="none" w:sz="0" w:space="0" w:color="auto"/>
                <w:bottom w:val="none" w:sz="0" w:space="0" w:color="auto"/>
                <w:right w:val="none" w:sz="0" w:space="0" w:color="auto"/>
              </w:divBdr>
            </w:div>
            <w:div w:id="605582362">
              <w:marLeft w:val="0"/>
              <w:marRight w:val="0"/>
              <w:marTop w:val="0"/>
              <w:marBottom w:val="0"/>
              <w:divBdr>
                <w:top w:val="none" w:sz="0" w:space="0" w:color="auto"/>
                <w:left w:val="none" w:sz="0" w:space="0" w:color="auto"/>
                <w:bottom w:val="none" w:sz="0" w:space="0" w:color="auto"/>
                <w:right w:val="none" w:sz="0" w:space="0" w:color="auto"/>
              </w:divBdr>
            </w:div>
            <w:div w:id="1070495562">
              <w:marLeft w:val="0"/>
              <w:marRight w:val="0"/>
              <w:marTop w:val="0"/>
              <w:marBottom w:val="0"/>
              <w:divBdr>
                <w:top w:val="none" w:sz="0" w:space="0" w:color="auto"/>
                <w:left w:val="none" w:sz="0" w:space="0" w:color="auto"/>
                <w:bottom w:val="none" w:sz="0" w:space="0" w:color="auto"/>
                <w:right w:val="none" w:sz="0" w:space="0" w:color="auto"/>
              </w:divBdr>
            </w:div>
            <w:div w:id="157620478">
              <w:marLeft w:val="0"/>
              <w:marRight w:val="0"/>
              <w:marTop w:val="0"/>
              <w:marBottom w:val="0"/>
              <w:divBdr>
                <w:top w:val="none" w:sz="0" w:space="0" w:color="auto"/>
                <w:left w:val="none" w:sz="0" w:space="0" w:color="auto"/>
                <w:bottom w:val="none" w:sz="0" w:space="0" w:color="auto"/>
                <w:right w:val="none" w:sz="0" w:space="0" w:color="auto"/>
              </w:divBdr>
            </w:div>
            <w:div w:id="1592279166">
              <w:marLeft w:val="0"/>
              <w:marRight w:val="0"/>
              <w:marTop w:val="0"/>
              <w:marBottom w:val="0"/>
              <w:divBdr>
                <w:top w:val="none" w:sz="0" w:space="0" w:color="auto"/>
                <w:left w:val="none" w:sz="0" w:space="0" w:color="auto"/>
                <w:bottom w:val="none" w:sz="0" w:space="0" w:color="auto"/>
                <w:right w:val="none" w:sz="0" w:space="0" w:color="auto"/>
              </w:divBdr>
            </w:div>
            <w:div w:id="812524208">
              <w:marLeft w:val="0"/>
              <w:marRight w:val="0"/>
              <w:marTop w:val="0"/>
              <w:marBottom w:val="0"/>
              <w:divBdr>
                <w:top w:val="none" w:sz="0" w:space="0" w:color="auto"/>
                <w:left w:val="none" w:sz="0" w:space="0" w:color="auto"/>
                <w:bottom w:val="none" w:sz="0" w:space="0" w:color="auto"/>
                <w:right w:val="none" w:sz="0" w:space="0" w:color="auto"/>
              </w:divBdr>
            </w:div>
            <w:div w:id="992023305">
              <w:marLeft w:val="0"/>
              <w:marRight w:val="0"/>
              <w:marTop w:val="0"/>
              <w:marBottom w:val="0"/>
              <w:divBdr>
                <w:top w:val="none" w:sz="0" w:space="0" w:color="auto"/>
                <w:left w:val="none" w:sz="0" w:space="0" w:color="auto"/>
                <w:bottom w:val="none" w:sz="0" w:space="0" w:color="auto"/>
                <w:right w:val="none" w:sz="0" w:space="0" w:color="auto"/>
              </w:divBdr>
            </w:div>
            <w:div w:id="1398360513">
              <w:marLeft w:val="0"/>
              <w:marRight w:val="0"/>
              <w:marTop w:val="0"/>
              <w:marBottom w:val="0"/>
              <w:divBdr>
                <w:top w:val="none" w:sz="0" w:space="0" w:color="auto"/>
                <w:left w:val="none" w:sz="0" w:space="0" w:color="auto"/>
                <w:bottom w:val="none" w:sz="0" w:space="0" w:color="auto"/>
                <w:right w:val="none" w:sz="0" w:space="0" w:color="auto"/>
              </w:divBdr>
            </w:div>
            <w:div w:id="218905591">
              <w:marLeft w:val="0"/>
              <w:marRight w:val="0"/>
              <w:marTop w:val="0"/>
              <w:marBottom w:val="0"/>
              <w:divBdr>
                <w:top w:val="none" w:sz="0" w:space="0" w:color="auto"/>
                <w:left w:val="none" w:sz="0" w:space="0" w:color="auto"/>
                <w:bottom w:val="none" w:sz="0" w:space="0" w:color="auto"/>
                <w:right w:val="none" w:sz="0" w:space="0" w:color="auto"/>
              </w:divBdr>
            </w:div>
            <w:div w:id="181820221">
              <w:marLeft w:val="0"/>
              <w:marRight w:val="0"/>
              <w:marTop w:val="0"/>
              <w:marBottom w:val="0"/>
              <w:divBdr>
                <w:top w:val="none" w:sz="0" w:space="0" w:color="auto"/>
                <w:left w:val="none" w:sz="0" w:space="0" w:color="auto"/>
                <w:bottom w:val="none" w:sz="0" w:space="0" w:color="auto"/>
                <w:right w:val="none" w:sz="0" w:space="0" w:color="auto"/>
              </w:divBdr>
            </w:div>
            <w:div w:id="1201673580">
              <w:marLeft w:val="0"/>
              <w:marRight w:val="0"/>
              <w:marTop w:val="0"/>
              <w:marBottom w:val="0"/>
              <w:divBdr>
                <w:top w:val="none" w:sz="0" w:space="0" w:color="auto"/>
                <w:left w:val="none" w:sz="0" w:space="0" w:color="auto"/>
                <w:bottom w:val="none" w:sz="0" w:space="0" w:color="auto"/>
                <w:right w:val="none" w:sz="0" w:space="0" w:color="auto"/>
              </w:divBdr>
            </w:div>
            <w:div w:id="1394769204">
              <w:marLeft w:val="0"/>
              <w:marRight w:val="0"/>
              <w:marTop w:val="0"/>
              <w:marBottom w:val="0"/>
              <w:divBdr>
                <w:top w:val="none" w:sz="0" w:space="0" w:color="auto"/>
                <w:left w:val="none" w:sz="0" w:space="0" w:color="auto"/>
                <w:bottom w:val="none" w:sz="0" w:space="0" w:color="auto"/>
                <w:right w:val="none" w:sz="0" w:space="0" w:color="auto"/>
              </w:divBdr>
            </w:div>
            <w:div w:id="1807775344">
              <w:marLeft w:val="0"/>
              <w:marRight w:val="0"/>
              <w:marTop w:val="0"/>
              <w:marBottom w:val="0"/>
              <w:divBdr>
                <w:top w:val="none" w:sz="0" w:space="0" w:color="auto"/>
                <w:left w:val="none" w:sz="0" w:space="0" w:color="auto"/>
                <w:bottom w:val="none" w:sz="0" w:space="0" w:color="auto"/>
                <w:right w:val="none" w:sz="0" w:space="0" w:color="auto"/>
              </w:divBdr>
            </w:div>
            <w:div w:id="1465999755">
              <w:marLeft w:val="0"/>
              <w:marRight w:val="0"/>
              <w:marTop w:val="0"/>
              <w:marBottom w:val="0"/>
              <w:divBdr>
                <w:top w:val="none" w:sz="0" w:space="0" w:color="auto"/>
                <w:left w:val="none" w:sz="0" w:space="0" w:color="auto"/>
                <w:bottom w:val="none" w:sz="0" w:space="0" w:color="auto"/>
                <w:right w:val="none" w:sz="0" w:space="0" w:color="auto"/>
              </w:divBdr>
            </w:div>
            <w:div w:id="945574569">
              <w:marLeft w:val="0"/>
              <w:marRight w:val="0"/>
              <w:marTop w:val="0"/>
              <w:marBottom w:val="0"/>
              <w:divBdr>
                <w:top w:val="none" w:sz="0" w:space="0" w:color="auto"/>
                <w:left w:val="none" w:sz="0" w:space="0" w:color="auto"/>
                <w:bottom w:val="none" w:sz="0" w:space="0" w:color="auto"/>
                <w:right w:val="none" w:sz="0" w:space="0" w:color="auto"/>
              </w:divBdr>
            </w:div>
            <w:div w:id="1320041531">
              <w:marLeft w:val="0"/>
              <w:marRight w:val="0"/>
              <w:marTop w:val="0"/>
              <w:marBottom w:val="0"/>
              <w:divBdr>
                <w:top w:val="none" w:sz="0" w:space="0" w:color="auto"/>
                <w:left w:val="none" w:sz="0" w:space="0" w:color="auto"/>
                <w:bottom w:val="none" w:sz="0" w:space="0" w:color="auto"/>
                <w:right w:val="none" w:sz="0" w:space="0" w:color="auto"/>
              </w:divBdr>
            </w:div>
            <w:div w:id="954602242">
              <w:marLeft w:val="0"/>
              <w:marRight w:val="0"/>
              <w:marTop w:val="0"/>
              <w:marBottom w:val="0"/>
              <w:divBdr>
                <w:top w:val="none" w:sz="0" w:space="0" w:color="auto"/>
                <w:left w:val="none" w:sz="0" w:space="0" w:color="auto"/>
                <w:bottom w:val="none" w:sz="0" w:space="0" w:color="auto"/>
                <w:right w:val="none" w:sz="0" w:space="0" w:color="auto"/>
              </w:divBdr>
            </w:div>
            <w:div w:id="1220897705">
              <w:marLeft w:val="0"/>
              <w:marRight w:val="0"/>
              <w:marTop w:val="0"/>
              <w:marBottom w:val="0"/>
              <w:divBdr>
                <w:top w:val="none" w:sz="0" w:space="0" w:color="auto"/>
                <w:left w:val="none" w:sz="0" w:space="0" w:color="auto"/>
                <w:bottom w:val="none" w:sz="0" w:space="0" w:color="auto"/>
                <w:right w:val="none" w:sz="0" w:space="0" w:color="auto"/>
              </w:divBdr>
            </w:div>
            <w:div w:id="1455054992">
              <w:marLeft w:val="0"/>
              <w:marRight w:val="0"/>
              <w:marTop w:val="0"/>
              <w:marBottom w:val="0"/>
              <w:divBdr>
                <w:top w:val="none" w:sz="0" w:space="0" w:color="auto"/>
                <w:left w:val="none" w:sz="0" w:space="0" w:color="auto"/>
                <w:bottom w:val="none" w:sz="0" w:space="0" w:color="auto"/>
                <w:right w:val="none" w:sz="0" w:space="0" w:color="auto"/>
              </w:divBdr>
            </w:div>
            <w:div w:id="403183129">
              <w:marLeft w:val="0"/>
              <w:marRight w:val="0"/>
              <w:marTop w:val="0"/>
              <w:marBottom w:val="0"/>
              <w:divBdr>
                <w:top w:val="none" w:sz="0" w:space="0" w:color="auto"/>
                <w:left w:val="none" w:sz="0" w:space="0" w:color="auto"/>
                <w:bottom w:val="none" w:sz="0" w:space="0" w:color="auto"/>
                <w:right w:val="none" w:sz="0" w:space="0" w:color="auto"/>
              </w:divBdr>
            </w:div>
            <w:div w:id="1496647613">
              <w:marLeft w:val="0"/>
              <w:marRight w:val="0"/>
              <w:marTop w:val="0"/>
              <w:marBottom w:val="0"/>
              <w:divBdr>
                <w:top w:val="none" w:sz="0" w:space="0" w:color="auto"/>
                <w:left w:val="none" w:sz="0" w:space="0" w:color="auto"/>
                <w:bottom w:val="none" w:sz="0" w:space="0" w:color="auto"/>
                <w:right w:val="none" w:sz="0" w:space="0" w:color="auto"/>
              </w:divBdr>
            </w:div>
            <w:div w:id="1452434317">
              <w:marLeft w:val="0"/>
              <w:marRight w:val="0"/>
              <w:marTop w:val="0"/>
              <w:marBottom w:val="0"/>
              <w:divBdr>
                <w:top w:val="none" w:sz="0" w:space="0" w:color="auto"/>
                <w:left w:val="none" w:sz="0" w:space="0" w:color="auto"/>
                <w:bottom w:val="none" w:sz="0" w:space="0" w:color="auto"/>
                <w:right w:val="none" w:sz="0" w:space="0" w:color="auto"/>
              </w:divBdr>
            </w:div>
            <w:div w:id="1228027807">
              <w:marLeft w:val="0"/>
              <w:marRight w:val="0"/>
              <w:marTop w:val="0"/>
              <w:marBottom w:val="0"/>
              <w:divBdr>
                <w:top w:val="none" w:sz="0" w:space="0" w:color="auto"/>
                <w:left w:val="none" w:sz="0" w:space="0" w:color="auto"/>
                <w:bottom w:val="none" w:sz="0" w:space="0" w:color="auto"/>
                <w:right w:val="none" w:sz="0" w:space="0" w:color="auto"/>
              </w:divBdr>
            </w:div>
            <w:div w:id="1491480826">
              <w:marLeft w:val="0"/>
              <w:marRight w:val="0"/>
              <w:marTop w:val="0"/>
              <w:marBottom w:val="0"/>
              <w:divBdr>
                <w:top w:val="none" w:sz="0" w:space="0" w:color="auto"/>
                <w:left w:val="none" w:sz="0" w:space="0" w:color="auto"/>
                <w:bottom w:val="none" w:sz="0" w:space="0" w:color="auto"/>
                <w:right w:val="none" w:sz="0" w:space="0" w:color="auto"/>
              </w:divBdr>
            </w:div>
            <w:div w:id="1902904175">
              <w:marLeft w:val="0"/>
              <w:marRight w:val="0"/>
              <w:marTop w:val="0"/>
              <w:marBottom w:val="0"/>
              <w:divBdr>
                <w:top w:val="none" w:sz="0" w:space="0" w:color="auto"/>
                <w:left w:val="none" w:sz="0" w:space="0" w:color="auto"/>
                <w:bottom w:val="none" w:sz="0" w:space="0" w:color="auto"/>
                <w:right w:val="none" w:sz="0" w:space="0" w:color="auto"/>
              </w:divBdr>
            </w:div>
            <w:div w:id="1201820358">
              <w:marLeft w:val="0"/>
              <w:marRight w:val="0"/>
              <w:marTop w:val="0"/>
              <w:marBottom w:val="0"/>
              <w:divBdr>
                <w:top w:val="none" w:sz="0" w:space="0" w:color="auto"/>
                <w:left w:val="none" w:sz="0" w:space="0" w:color="auto"/>
                <w:bottom w:val="none" w:sz="0" w:space="0" w:color="auto"/>
                <w:right w:val="none" w:sz="0" w:space="0" w:color="auto"/>
              </w:divBdr>
            </w:div>
            <w:div w:id="674654073">
              <w:marLeft w:val="0"/>
              <w:marRight w:val="0"/>
              <w:marTop w:val="0"/>
              <w:marBottom w:val="0"/>
              <w:divBdr>
                <w:top w:val="none" w:sz="0" w:space="0" w:color="auto"/>
                <w:left w:val="none" w:sz="0" w:space="0" w:color="auto"/>
                <w:bottom w:val="none" w:sz="0" w:space="0" w:color="auto"/>
                <w:right w:val="none" w:sz="0" w:space="0" w:color="auto"/>
              </w:divBdr>
            </w:div>
            <w:div w:id="898321378">
              <w:marLeft w:val="0"/>
              <w:marRight w:val="0"/>
              <w:marTop w:val="0"/>
              <w:marBottom w:val="0"/>
              <w:divBdr>
                <w:top w:val="none" w:sz="0" w:space="0" w:color="auto"/>
                <w:left w:val="none" w:sz="0" w:space="0" w:color="auto"/>
                <w:bottom w:val="none" w:sz="0" w:space="0" w:color="auto"/>
                <w:right w:val="none" w:sz="0" w:space="0" w:color="auto"/>
              </w:divBdr>
            </w:div>
            <w:div w:id="819273416">
              <w:marLeft w:val="0"/>
              <w:marRight w:val="0"/>
              <w:marTop w:val="0"/>
              <w:marBottom w:val="0"/>
              <w:divBdr>
                <w:top w:val="none" w:sz="0" w:space="0" w:color="auto"/>
                <w:left w:val="none" w:sz="0" w:space="0" w:color="auto"/>
                <w:bottom w:val="none" w:sz="0" w:space="0" w:color="auto"/>
                <w:right w:val="none" w:sz="0" w:space="0" w:color="auto"/>
              </w:divBdr>
            </w:div>
            <w:div w:id="2082170516">
              <w:marLeft w:val="0"/>
              <w:marRight w:val="0"/>
              <w:marTop w:val="0"/>
              <w:marBottom w:val="0"/>
              <w:divBdr>
                <w:top w:val="none" w:sz="0" w:space="0" w:color="auto"/>
                <w:left w:val="none" w:sz="0" w:space="0" w:color="auto"/>
                <w:bottom w:val="none" w:sz="0" w:space="0" w:color="auto"/>
                <w:right w:val="none" w:sz="0" w:space="0" w:color="auto"/>
              </w:divBdr>
            </w:div>
            <w:div w:id="1472483187">
              <w:marLeft w:val="0"/>
              <w:marRight w:val="0"/>
              <w:marTop w:val="0"/>
              <w:marBottom w:val="0"/>
              <w:divBdr>
                <w:top w:val="none" w:sz="0" w:space="0" w:color="auto"/>
                <w:left w:val="none" w:sz="0" w:space="0" w:color="auto"/>
                <w:bottom w:val="none" w:sz="0" w:space="0" w:color="auto"/>
                <w:right w:val="none" w:sz="0" w:space="0" w:color="auto"/>
              </w:divBdr>
            </w:div>
            <w:div w:id="54016303">
              <w:marLeft w:val="0"/>
              <w:marRight w:val="0"/>
              <w:marTop w:val="0"/>
              <w:marBottom w:val="0"/>
              <w:divBdr>
                <w:top w:val="none" w:sz="0" w:space="0" w:color="auto"/>
                <w:left w:val="none" w:sz="0" w:space="0" w:color="auto"/>
                <w:bottom w:val="none" w:sz="0" w:space="0" w:color="auto"/>
                <w:right w:val="none" w:sz="0" w:space="0" w:color="auto"/>
              </w:divBdr>
            </w:div>
            <w:div w:id="1806586237">
              <w:marLeft w:val="0"/>
              <w:marRight w:val="0"/>
              <w:marTop w:val="0"/>
              <w:marBottom w:val="0"/>
              <w:divBdr>
                <w:top w:val="none" w:sz="0" w:space="0" w:color="auto"/>
                <w:left w:val="none" w:sz="0" w:space="0" w:color="auto"/>
                <w:bottom w:val="none" w:sz="0" w:space="0" w:color="auto"/>
                <w:right w:val="none" w:sz="0" w:space="0" w:color="auto"/>
              </w:divBdr>
            </w:div>
            <w:div w:id="1527523573">
              <w:marLeft w:val="0"/>
              <w:marRight w:val="0"/>
              <w:marTop w:val="0"/>
              <w:marBottom w:val="0"/>
              <w:divBdr>
                <w:top w:val="none" w:sz="0" w:space="0" w:color="auto"/>
                <w:left w:val="none" w:sz="0" w:space="0" w:color="auto"/>
                <w:bottom w:val="none" w:sz="0" w:space="0" w:color="auto"/>
                <w:right w:val="none" w:sz="0" w:space="0" w:color="auto"/>
              </w:divBdr>
            </w:div>
            <w:div w:id="1690401998">
              <w:marLeft w:val="0"/>
              <w:marRight w:val="0"/>
              <w:marTop w:val="0"/>
              <w:marBottom w:val="0"/>
              <w:divBdr>
                <w:top w:val="none" w:sz="0" w:space="0" w:color="auto"/>
                <w:left w:val="none" w:sz="0" w:space="0" w:color="auto"/>
                <w:bottom w:val="none" w:sz="0" w:space="0" w:color="auto"/>
                <w:right w:val="none" w:sz="0" w:space="0" w:color="auto"/>
              </w:divBdr>
            </w:div>
            <w:div w:id="64455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package" Target="embeddings/Microsoft_Word_Document6.docx"/><Relationship Id="rId21" Type="http://schemas.openxmlformats.org/officeDocument/2006/relationships/image" Target="media/image7.emf"/><Relationship Id="rId22" Type="http://schemas.openxmlformats.org/officeDocument/2006/relationships/package" Target="embeddings/Microsoft_Word_Document7.docx"/><Relationship Id="rId23" Type="http://schemas.openxmlformats.org/officeDocument/2006/relationships/image" Target="media/image8.emf"/><Relationship Id="rId24" Type="http://schemas.openxmlformats.org/officeDocument/2006/relationships/package" Target="embeddings/Microsoft_Word_Document8.docx"/><Relationship Id="rId25" Type="http://schemas.openxmlformats.org/officeDocument/2006/relationships/image" Target="media/image9.emf"/><Relationship Id="rId26" Type="http://schemas.openxmlformats.org/officeDocument/2006/relationships/package" Target="embeddings/Microsoft_Word_Document9.docx"/><Relationship Id="rId27" Type="http://schemas.openxmlformats.org/officeDocument/2006/relationships/image" Target="media/image10.emf"/><Relationship Id="rId28" Type="http://schemas.openxmlformats.org/officeDocument/2006/relationships/package" Target="embeddings/Microsoft_Word_Document10.docx"/><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package" Target="embeddings/Microsoft_Word_Document1.docx"/><Relationship Id="rId11" Type="http://schemas.openxmlformats.org/officeDocument/2006/relationships/image" Target="media/image2.emf"/><Relationship Id="rId12" Type="http://schemas.openxmlformats.org/officeDocument/2006/relationships/package" Target="embeddings/Microsoft_Word_Document2.docx"/><Relationship Id="rId13" Type="http://schemas.openxmlformats.org/officeDocument/2006/relationships/image" Target="media/image3.emf"/><Relationship Id="rId14" Type="http://schemas.openxmlformats.org/officeDocument/2006/relationships/package" Target="embeddings/Microsoft_Word_Document3.docx"/><Relationship Id="rId15" Type="http://schemas.openxmlformats.org/officeDocument/2006/relationships/image" Target="media/image4.emf"/><Relationship Id="rId16" Type="http://schemas.openxmlformats.org/officeDocument/2006/relationships/package" Target="embeddings/Microsoft_Word_Document4.docx"/><Relationship Id="rId17" Type="http://schemas.openxmlformats.org/officeDocument/2006/relationships/image" Target="media/image5.emf"/><Relationship Id="rId18" Type="http://schemas.openxmlformats.org/officeDocument/2006/relationships/package" Target="embeddings/Microsoft_Word_Document5.docx"/><Relationship Id="rId19" Type="http://schemas.openxmlformats.org/officeDocument/2006/relationships/image" Target="media/image6.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63</Pages>
  <Words>16864</Words>
  <Characters>96128</Characters>
  <Application>Microsoft Macintosh Word</Application>
  <DocSecurity>0</DocSecurity>
  <Lines>801</Lines>
  <Paragraphs>225</Paragraphs>
  <ScaleCrop>false</ScaleCrop>
  <Company>Hewlett-Packard Company</Company>
  <LinksUpToDate>false</LinksUpToDate>
  <CharactersWithSpaces>112767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qiyuan</dc:creator>
  <cp:lastModifiedBy>Na Ma</cp:lastModifiedBy>
  <cp:revision>2</cp:revision>
  <dcterms:created xsi:type="dcterms:W3CDTF">2015-12-14T04:32:00Z</dcterms:created>
  <dcterms:modified xsi:type="dcterms:W3CDTF">2015-12-14T04:32:00Z</dcterms:modified>
</cp:coreProperties>
</file>