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C40" w:rsidRPr="00031CB9" w:rsidRDefault="00B37C40" w:rsidP="00445758">
      <w:pPr>
        <w:kinsoku w:val="0"/>
        <w:wordWrap/>
        <w:overflowPunct w:val="0"/>
        <w:adjustRightInd w:val="0"/>
        <w:snapToGrid w:val="0"/>
        <w:spacing w:after="0" w:line="360" w:lineRule="auto"/>
        <w:rPr>
          <w:rFonts w:ascii="Book Antiqua" w:hAnsi="Book Antiqua" w:cs="Arial"/>
          <w:b/>
          <w:color w:val="000000" w:themeColor="text1"/>
          <w:sz w:val="24"/>
          <w:szCs w:val="24"/>
          <w:shd w:val="clear" w:color="auto" w:fill="FFFFFF"/>
        </w:rPr>
      </w:pPr>
      <w:r w:rsidRPr="00031CB9">
        <w:rPr>
          <w:rFonts w:ascii="Book Antiqua" w:hAnsi="Book Antiqua" w:cs="Arial"/>
          <w:b/>
          <w:color w:val="000000" w:themeColor="text1"/>
          <w:sz w:val="24"/>
          <w:szCs w:val="24"/>
          <w:shd w:val="clear" w:color="auto" w:fill="FFFFFF"/>
        </w:rPr>
        <w:t>Name of Journal: World Journal of Gastroenterology</w:t>
      </w:r>
    </w:p>
    <w:p w:rsidR="00B37C40" w:rsidRPr="00031CB9" w:rsidRDefault="00B37C40" w:rsidP="00445758">
      <w:pPr>
        <w:kinsoku w:val="0"/>
        <w:wordWrap/>
        <w:overflowPunct w:val="0"/>
        <w:adjustRightInd w:val="0"/>
        <w:snapToGrid w:val="0"/>
        <w:spacing w:after="0" w:line="360" w:lineRule="auto"/>
        <w:rPr>
          <w:rFonts w:ascii="Book Antiqua" w:hAnsi="Book Antiqua" w:cs="Arial"/>
          <w:b/>
          <w:color w:val="000000" w:themeColor="text1"/>
          <w:sz w:val="24"/>
          <w:szCs w:val="24"/>
          <w:shd w:val="clear" w:color="auto" w:fill="FFFFFF"/>
        </w:rPr>
      </w:pPr>
      <w:r w:rsidRPr="00031CB9">
        <w:rPr>
          <w:rFonts w:ascii="Book Antiqua" w:hAnsi="Book Antiqua" w:cs="Arial"/>
          <w:b/>
          <w:color w:val="000000" w:themeColor="text1"/>
          <w:sz w:val="24"/>
          <w:szCs w:val="24"/>
          <w:shd w:val="clear" w:color="auto" w:fill="FFFFFF"/>
        </w:rPr>
        <w:t>ESPS Manuscript NO: 21021</w:t>
      </w:r>
    </w:p>
    <w:p w:rsidR="00D61830" w:rsidRPr="00031CB9" w:rsidRDefault="00B37C40" w:rsidP="00445758">
      <w:pPr>
        <w:pStyle w:val="a"/>
        <w:kinsoku w:val="0"/>
        <w:wordWrap/>
        <w:overflowPunct w:val="0"/>
        <w:adjustRightInd w:val="0"/>
        <w:snapToGrid w:val="0"/>
        <w:spacing w:line="360" w:lineRule="auto"/>
        <w:rPr>
          <w:rFonts w:ascii="Book Antiqua" w:eastAsia="SimSun" w:hAnsi="Book Antiqua" w:cs="Arial"/>
          <w:b/>
          <w:color w:val="000000" w:themeColor="text1"/>
          <w:sz w:val="24"/>
          <w:szCs w:val="24"/>
          <w:shd w:val="clear" w:color="auto" w:fill="FFFFFF"/>
          <w:lang w:eastAsia="zh-CN"/>
        </w:rPr>
      </w:pPr>
      <w:r w:rsidRPr="00031CB9">
        <w:rPr>
          <w:rFonts w:ascii="Book Antiqua" w:hAnsi="Book Antiqua" w:cs="Arial"/>
          <w:b/>
          <w:color w:val="000000" w:themeColor="text1"/>
          <w:sz w:val="24"/>
          <w:szCs w:val="24"/>
          <w:shd w:val="clear" w:color="auto" w:fill="FFFFFF"/>
        </w:rPr>
        <w:t>Manuscript Type:</w:t>
      </w:r>
      <w:r w:rsidRPr="00031CB9">
        <w:rPr>
          <w:rFonts w:ascii="Book Antiqua" w:eastAsia="SimSun" w:hAnsi="Book Antiqua" w:cs="Arial"/>
          <w:b/>
          <w:color w:val="000000" w:themeColor="text1"/>
          <w:sz w:val="24"/>
          <w:szCs w:val="24"/>
          <w:shd w:val="clear" w:color="auto" w:fill="FFFFFF"/>
          <w:lang w:eastAsia="zh-CN"/>
        </w:rPr>
        <w:t xml:space="preserve"> </w:t>
      </w:r>
      <w:r w:rsidR="00031CB9" w:rsidRPr="00031CB9">
        <w:rPr>
          <w:rFonts w:ascii="Book Antiqua" w:hAnsi="Book Antiqua" w:cs="Tahoma"/>
          <w:b/>
          <w:caps/>
          <w:color w:val="000000" w:themeColor="text1"/>
          <w:sz w:val="24"/>
          <w:szCs w:val="24"/>
          <w:shd w:val="clear" w:color="auto" w:fill="FFFFFF"/>
        </w:rPr>
        <w:t>Minireviews</w:t>
      </w:r>
    </w:p>
    <w:p w:rsidR="00AF16E6" w:rsidRPr="00031CB9" w:rsidRDefault="00AF16E6" w:rsidP="00445758">
      <w:pPr>
        <w:pStyle w:val="a"/>
        <w:kinsoku w:val="0"/>
        <w:wordWrap/>
        <w:overflowPunct w:val="0"/>
        <w:adjustRightInd w:val="0"/>
        <w:snapToGrid w:val="0"/>
        <w:spacing w:line="360" w:lineRule="auto"/>
        <w:rPr>
          <w:rFonts w:ascii="Book Antiqua" w:eastAsia="SimSun" w:hAnsi="Book Antiqua" w:cs="Times New Roman"/>
          <w:b/>
          <w:bCs/>
          <w:color w:val="000000" w:themeColor="text1"/>
          <w:sz w:val="24"/>
          <w:szCs w:val="24"/>
          <w:lang w:eastAsia="zh-CN"/>
        </w:rPr>
      </w:pPr>
    </w:p>
    <w:p w:rsidR="00D13C26" w:rsidRPr="00031CB9" w:rsidRDefault="00D13C26" w:rsidP="00445758">
      <w:pPr>
        <w:pStyle w:val="a"/>
        <w:kinsoku w:val="0"/>
        <w:wordWrap/>
        <w:overflowPunct w:val="0"/>
        <w:adjustRightInd w:val="0"/>
        <w:snapToGrid w:val="0"/>
        <w:spacing w:line="360" w:lineRule="auto"/>
        <w:rPr>
          <w:rFonts w:ascii="Book Antiqua" w:hAnsi="Book Antiqua" w:cs="Times New Roman"/>
          <w:color w:val="000000" w:themeColor="text1"/>
          <w:sz w:val="24"/>
          <w:szCs w:val="24"/>
        </w:rPr>
      </w:pPr>
      <w:r w:rsidRPr="00031CB9">
        <w:rPr>
          <w:rFonts w:ascii="Book Antiqua" w:eastAsia="함초롬바탕" w:hAnsi="Book Antiqua" w:cs="Times New Roman"/>
          <w:b/>
          <w:bCs/>
          <w:color w:val="000000" w:themeColor="text1"/>
          <w:sz w:val="24"/>
          <w:szCs w:val="24"/>
        </w:rPr>
        <w:t xml:space="preserve">Hepatolithiasis and intrahepatic cholangiocarcinoma: </w:t>
      </w:r>
      <w:r w:rsidR="00815792" w:rsidRPr="00031CB9">
        <w:rPr>
          <w:rFonts w:ascii="Book Antiqua" w:eastAsia="함초롬바탕" w:hAnsi="Book Antiqua" w:cs="Times New Roman"/>
          <w:b/>
          <w:bCs/>
          <w:color w:val="000000" w:themeColor="text1"/>
          <w:sz w:val="24"/>
          <w:szCs w:val="24"/>
        </w:rPr>
        <w:t>A</w:t>
      </w:r>
      <w:r w:rsidR="009725C3" w:rsidRPr="00031CB9">
        <w:rPr>
          <w:rFonts w:ascii="Book Antiqua" w:eastAsia="함초롬바탕" w:hAnsi="Book Antiqua" w:cs="Times New Roman"/>
          <w:b/>
          <w:bCs/>
          <w:color w:val="000000" w:themeColor="text1"/>
          <w:sz w:val="24"/>
          <w:szCs w:val="24"/>
        </w:rPr>
        <w:t xml:space="preserve"> </w:t>
      </w:r>
      <w:r w:rsidRPr="00031CB9">
        <w:rPr>
          <w:rFonts w:ascii="Book Antiqua" w:eastAsia="함초롬바탕" w:hAnsi="Book Antiqua" w:cs="Times New Roman"/>
          <w:b/>
          <w:bCs/>
          <w:color w:val="000000" w:themeColor="text1"/>
          <w:sz w:val="24"/>
          <w:szCs w:val="24"/>
        </w:rPr>
        <w:t>review</w:t>
      </w:r>
    </w:p>
    <w:p w:rsidR="00D61830" w:rsidRDefault="00D61830" w:rsidP="00445758">
      <w:pPr>
        <w:widowControl/>
        <w:kinsoku w:val="0"/>
        <w:wordWrap/>
        <w:overflowPunct w:val="0"/>
        <w:adjustRightInd w:val="0"/>
        <w:snapToGrid w:val="0"/>
        <w:spacing w:after="0" w:line="360" w:lineRule="auto"/>
        <w:rPr>
          <w:rFonts w:ascii="Book Antiqua" w:eastAsia="SimSun" w:hAnsi="Book Antiqua" w:cs="Times New Roman"/>
          <w:bCs/>
          <w:color w:val="000000" w:themeColor="text1"/>
          <w:kern w:val="0"/>
          <w:sz w:val="24"/>
          <w:szCs w:val="24"/>
          <w:lang w:eastAsia="zh-CN"/>
        </w:rPr>
      </w:pPr>
    </w:p>
    <w:p w:rsidR="00B565CE" w:rsidRPr="003B6C8F" w:rsidRDefault="003B6C8F" w:rsidP="00445758">
      <w:pPr>
        <w:widowControl/>
        <w:kinsoku w:val="0"/>
        <w:wordWrap/>
        <w:overflowPunct w:val="0"/>
        <w:adjustRightInd w:val="0"/>
        <w:snapToGrid w:val="0"/>
        <w:spacing w:after="0" w:line="360" w:lineRule="auto"/>
        <w:rPr>
          <w:rFonts w:ascii="Book Antiqua" w:eastAsia="SimSun" w:hAnsi="Book Antiqua" w:cs="Tahoma"/>
          <w:color w:val="231F20"/>
          <w:kern w:val="0"/>
          <w:sz w:val="24"/>
          <w:lang w:eastAsia="zh-CN"/>
        </w:rPr>
      </w:pPr>
      <w:r w:rsidRPr="003B6C8F">
        <w:rPr>
          <w:rFonts w:ascii="Book Antiqua" w:hAnsi="Book Antiqua" w:cs="Times New Roman"/>
          <w:color w:val="000000" w:themeColor="text1"/>
          <w:kern w:val="0"/>
          <w:sz w:val="24"/>
          <w:szCs w:val="24"/>
        </w:rPr>
        <w:t>Kim</w:t>
      </w:r>
      <w:r w:rsidRPr="003B6C8F">
        <w:rPr>
          <w:rFonts w:ascii="Book Antiqua" w:hAnsi="Book Antiqua" w:cs="Tahoma" w:hint="eastAsia"/>
          <w:color w:val="231F20"/>
          <w:kern w:val="0"/>
          <w:sz w:val="24"/>
        </w:rPr>
        <w:t xml:space="preserve"> </w:t>
      </w:r>
      <w:r w:rsidRPr="003B6C8F">
        <w:rPr>
          <w:rFonts w:ascii="Book Antiqua" w:eastAsia="SimSun" w:hAnsi="Book Antiqua" w:cs="Tahoma" w:hint="eastAsia"/>
          <w:color w:val="231F20"/>
          <w:kern w:val="0"/>
          <w:sz w:val="24"/>
          <w:lang w:eastAsia="zh-CN"/>
        </w:rPr>
        <w:t xml:space="preserve">HJ </w:t>
      </w:r>
      <w:r w:rsidRPr="003B6C8F">
        <w:rPr>
          <w:rFonts w:ascii="Book Antiqua" w:eastAsia="SimSun" w:hAnsi="Book Antiqua" w:cs="Tahoma" w:hint="eastAsia"/>
          <w:i/>
          <w:color w:val="231F20"/>
          <w:kern w:val="0"/>
          <w:sz w:val="24"/>
          <w:lang w:eastAsia="zh-CN"/>
        </w:rPr>
        <w:t>et al</w:t>
      </w:r>
      <w:r w:rsidRPr="003B6C8F">
        <w:rPr>
          <w:rFonts w:ascii="Book Antiqua" w:eastAsia="SimSun" w:hAnsi="Book Antiqua" w:cs="Tahoma" w:hint="eastAsia"/>
          <w:color w:val="231F20"/>
          <w:kern w:val="0"/>
          <w:sz w:val="24"/>
          <w:lang w:eastAsia="zh-CN"/>
        </w:rPr>
        <w:t xml:space="preserve">. </w:t>
      </w:r>
      <w:r w:rsidR="00E66C50" w:rsidRPr="003B6C8F">
        <w:rPr>
          <w:rFonts w:ascii="Book Antiqua" w:hAnsi="Book Antiqua" w:cs="Tahoma" w:hint="eastAsia"/>
          <w:color w:val="231F20"/>
          <w:kern w:val="0"/>
          <w:sz w:val="24"/>
        </w:rPr>
        <w:t>H</w:t>
      </w:r>
      <w:r w:rsidR="00E66C50" w:rsidRPr="003B6C8F">
        <w:rPr>
          <w:rStyle w:val="hui12181"/>
          <w:rFonts w:ascii="Book Antiqua" w:hAnsi="Book Antiqua"/>
          <w:color w:val="000000" w:themeColor="text1"/>
          <w:sz w:val="24"/>
          <w:szCs w:val="24"/>
        </w:rPr>
        <w:t>epatolithiasis-associated cholangiocarcinoma</w:t>
      </w:r>
    </w:p>
    <w:p w:rsidR="009D20D7" w:rsidRPr="00B565CE" w:rsidRDefault="009D20D7" w:rsidP="00445758">
      <w:pPr>
        <w:widowControl/>
        <w:kinsoku w:val="0"/>
        <w:wordWrap/>
        <w:overflowPunct w:val="0"/>
        <w:adjustRightInd w:val="0"/>
        <w:snapToGrid w:val="0"/>
        <w:spacing w:after="0" w:line="360" w:lineRule="auto"/>
        <w:rPr>
          <w:rFonts w:ascii="Book Antiqua" w:eastAsia="SimSun" w:hAnsi="Book Antiqua" w:cs="Times New Roman"/>
          <w:b/>
          <w:color w:val="000000" w:themeColor="text1"/>
          <w:kern w:val="0"/>
          <w:sz w:val="24"/>
          <w:szCs w:val="24"/>
          <w:lang w:eastAsia="zh-CN"/>
        </w:rPr>
      </w:pPr>
    </w:p>
    <w:p w:rsidR="00BF21F1" w:rsidRPr="003B6C8F" w:rsidRDefault="00B565CE" w:rsidP="00445758">
      <w:pPr>
        <w:widowControl/>
        <w:kinsoku w:val="0"/>
        <w:wordWrap/>
        <w:overflowPunct w:val="0"/>
        <w:adjustRightInd w:val="0"/>
        <w:snapToGrid w:val="0"/>
        <w:spacing w:after="0" w:line="360" w:lineRule="auto"/>
        <w:rPr>
          <w:rFonts w:ascii="Book Antiqua" w:hAnsi="Book Antiqua" w:cs="Times New Roman"/>
          <w:color w:val="000000" w:themeColor="text1"/>
          <w:kern w:val="0"/>
          <w:sz w:val="24"/>
          <w:szCs w:val="24"/>
        </w:rPr>
      </w:pPr>
      <w:r w:rsidRPr="003B6C8F">
        <w:rPr>
          <w:rFonts w:ascii="Book Antiqua" w:hAnsi="Book Antiqua" w:cs="Times New Roman"/>
          <w:color w:val="000000" w:themeColor="text1"/>
          <w:kern w:val="0"/>
          <w:sz w:val="24"/>
          <w:szCs w:val="24"/>
        </w:rPr>
        <w:t>Hyo Jung Kim, Jae Seon Kim, Moon Kyung Joo, Beom Jae Lee, Ji Hoon Kim, Jong Eun Yeon, Jong-Jae Park, Kwan Soo Byun, Young-Tae Bak</w:t>
      </w:r>
    </w:p>
    <w:p w:rsidR="002A054A" w:rsidRPr="003B6C8F" w:rsidRDefault="00B565CE" w:rsidP="00445758">
      <w:pPr>
        <w:widowControl/>
        <w:kinsoku w:val="0"/>
        <w:wordWrap/>
        <w:overflowPunct w:val="0"/>
        <w:adjustRightInd w:val="0"/>
        <w:snapToGrid w:val="0"/>
        <w:spacing w:after="0" w:line="360" w:lineRule="auto"/>
        <w:rPr>
          <w:rFonts w:ascii="Book Antiqua" w:hAnsi="Book Antiqua" w:cs="Times New Roman"/>
          <w:b/>
          <w:color w:val="000000" w:themeColor="text1"/>
          <w:kern w:val="0"/>
          <w:sz w:val="24"/>
          <w:szCs w:val="24"/>
        </w:rPr>
      </w:pPr>
      <w:r w:rsidRPr="003B6C8F">
        <w:rPr>
          <w:rFonts w:ascii="Book Antiqua" w:eastAsia="SimSun" w:hAnsi="Book Antiqua" w:cs="Times New Roman" w:hint="eastAsia"/>
          <w:b/>
          <w:color w:val="000000" w:themeColor="text1"/>
          <w:kern w:val="0"/>
          <w:sz w:val="24"/>
          <w:szCs w:val="24"/>
          <w:lang w:eastAsia="zh-CN"/>
        </w:rPr>
        <w:t xml:space="preserve"> </w:t>
      </w:r>
    </w:p>
    <w:p w:rsidR="00817335" w:rsidRPr="00031CB9" w:rsidRDefault="003B6C8F" w:rsidP="00445758">
      <w:pPr>
        <w:widowControl/>
        <w:kinsoku w:val="0"/>
        <w:wordWrap/>
        <w:overflowPunct w:val="0"/>
        <w:adjustRightInd w:val="0"/>
        <w:snapToGrid w:val="0"/>
        <w:spacing w:after="0" w:line="360" w:lineRule="auto"/>
        <w:rPr>
          <w:rFonts w:ascii="Book Antiqua" w:hAnsi="Book Antiqua" w:cs="Times New Roman"/>
          <w:color w:val="000000" w:themeColor="text1"/>
          <w:kern w:val="0"/>
          <w:sz w:val="24"/>
          <w:szCs w:val="24"/>
        </w:rPr>
      </w:pPr>
      <w:r w:rsidRPr="003B6C8F">
        <w:rPr>
          <w:rFonts w:ascii="Book Antiqua" w:hAnsi="Book Antiqua" w:cs="Times New Roman"/>
          <w:b/>
          <w:color w:val="000000" w:themeColor="text1"/>
          <w:kern w:val="0"/>
          <w:sz w:val="24"/>
          <w:szCs w:val="24"/>
        </w:rPr>
        <w:t>Hyo Jung Kim, Jae Seon Kim, Moon Kyung Joo, Beom Jae Lee, Ji Hoon Kim, Jong Eun Yeon, Jong-Jae Park, Kwan Soo Byun, Young-Tae Bak</w:t>
      </w:r>
      <w:r w:rsidRPr="003B6C8F">
        <w:rPr>
          <w:rFonts w:ascii="Book Antiqua" w:eastAsia="SimSun" w:hAnsi="Book Antiqua" w:cs="Times New Roman" w:hint="eastAsia"/>
          <w:b/>
          <w:color w:val="000000" w:themeColor="text1"/>
          <w:kern w:val="0"/>
          <w:sz w:val="24"/>
          <w:szCs w:val="24"/>
          <w:lang w:eastAsia="zh-CN"/>
        </w:rPr>
        <w:t>,</w:t>
      </w:r>
      <w:r>
        <w:rPr>
          <w:rFonts w:ascii="Book Antiqua" w:eastAsia="SimSun" w:hAnsi="Book Antiqua" w:cs="Times New Roman" w:hint="eastAsia"/>
          <w:color w:val="000000" w:themeColor="text1"/>
          <w:kern w:val="0"/>
          <w:sz w:val="24"/>
          <w:szCs w:val="24"/>
          <w:lang w:eastAsia="zh-CN"/>
        </w:rPr>
        <w:t xml:space="preserve"> </w:t>
      </w:r>
      <w:r w:rsidR="00817335" w:rsidRPr="00031CB9">
        <w:rPr>
          <w:rFonts w:ascii="Book Antiqua" w:hAnsi="Book Antiqua" w:cs="Times New Roman"/>
          <w:color w:val="000000" w:themeColor="text1"/>
          <w:kern w:val="0"/>
          <w:sz w:val="24"/>
          <w:szCs w:val="24"/>
        </w:rPr>
        <w:t>Department of Internal Medicine, Korea University college of Medicine</w:t>
      </w:r>
      <w:r w:rsidR="00CA17C1">
        <w:rPr>
          <w:rFonts w:ascii="Book Antiqua" w:hAnsi="Book Antiqua" w:cs="Times New Roman" w:hint="eastAsia"/>
          <w:color w:val="000000" w:themeColor="text1"/>
          <w:kern w:val="0"/>
          <w:sz w:val="24"/>
          <w:szCs w:val="24"/>
        </w:rPr>
        <w:t>,</w:t>
      </w:r>
      <w:r w:rsidR="00817335" w:rsidRPr="00031CB9">
        <w:rPr>
          <w:rFonts w:ascii="Book Antiqua" w:hAnsi="Book Antiqua" w:cs="Times New Roman"/>
          <w:color w:val="000000" w:themeColor="text1"/>
          <w:kern w:val="0"/>
          <w:sz w:val="24"/>
          <w:szCs w:val="24"/>
        </w:rPr>
        <w:t xml:space="preserve"> Guro Hospital, Seoul</w:t>
      </w:r>
      <w:r w:rsidR="00D61830" w:rsidRPr="00031CB9">
        <w:rPr>
          <w:rFonts w:ascii="Book Antiqua" w:eastAsia="SimSun" w:hAnsi="Book Antiqua" w:cs="Times New Roman"/>
          <w:color w:val="000000" w:themeColor="text1"/>
          <w:kern w:val="0"/>
          <w:sz w:val="24"/>
          <w:szCs w:val="24"/>
          <w:lang w:eastAsia="zh-CN"/>
        </w:rPr>
        <w:t xml:space="preserve"> </w:t>
      </w:r>
      <w:r w:rsidR="00D61830" w:rsidRPr="00031CB9">
        <w:rPr>
          <w:rFonts w:ascii="Book Antiqua" w:hAnsi="Book Antiqua" w:cs="Times New Roman"/>
          <w:color w:val="000000" w:themeColor="text1"/>
          <w:sz w:val="24"/>
          <w:szCs w:val="24"/>
        </w:rPr>
        <w:t>152-703</w:t>
      </w:r>
      <w:r w:rsidR="00817335" w:rsidRPr="00031CB9">
        <w:rPr>
          <w:rFonts w:ascii="Book Antiqua" w:hAnsi="Book Antiqua" w:cs="Times New Roman"/>
          <w:color w:val="000000" w:themeColor="text1"/>
          <w:kern w:val="0"/>
          <w:sz w:val="24"/>
          <w:szCs w:val="24"/>
        </w:rPr>
        <w:t xml:space="preserve">, </w:t>
      </w:r>
      <w:r w:rsidR="00B565CE">
        <w:rPr>
          <w:rFonts w:ascii="Book Antiqua" w:eastAsia="SimSun" w:hAnsi="Book Antiqua" w:cs="Times New Roman" w:hint="eastAsia"/>
          <w:color w:val="000000" w:themeColor="text1"/>
          <w:kern w:val="0"/>
          <w:sz w:val="24"/>
          <w:szCs w:val="24"/>
          <w:lang w:eastAsia="zh-CN"/>
        </w:rPr>
        <w:t xml:space="preserve">South </w:t>
      </w:r>
      <w:r w:rsidR="00817335" w:rsidRPr="00031CB9">
        <w:rPr>
          <w:rFonts w:ascii="Book Antiqua" w:hAnsi="Book Antiqua" w:cs="Times New Roman"/>
          <w:color w:val="000000" w:themeColor="text1"/>
          <w:kern w:val="0"/>
          <w:sz w:val="24"/>
          <w:szCs w:val="24"/>
        </w:rPr>
        <w:t>Korea</w:t>
      </w:r>
    </w:p>
    <w:p w:rsidR="00817335" w:rsidRPr="00031CB9" w:rsidRDefault="00817335" w:rsidP="00445758">
      <w:pPr>
        <w:widowControl/>
        <w:kinsoku w:val="0"/>
        <w:wordWrap/>
        <w:overflowPunct w:val="0"/>
        <w:adjustRightInd w:val="0"/>
        <w:snapToGrid w:val="0"/>
        <w:spacing w:after="0" w:line="360" w:lineRule="auto"/>
        <w:rPr>
          <w:rFonts w:ascii="Book Antiqua" w:hAnsi="Book Antiqua" w:cs="Times New Roman"/>
          <w:color w:val="000000" w:themeColor="text1"/>
          <w:kern w:val="0"/>
          <w:sz w:val="24"/>
          <w:szCs w:val="24"/>
        </w:rPr>
      </w:pPr>
    </w:p>
    <w:p w:rsidR="003F721F" w:rsidRPr="00031CB9" w:rsidRDefault="00B37C40" w:rsidP="00445758">
      <w:pPr>
        <w:kinsoku w:val="0"/>
        <w:wordWrap/>
        <w:overflowPunct w:val="0"/>
        <w:adjustRightInd w:val="0"/>
        <w:snapToGrid w:val="0"/>
        <w:spacing w:after="0" w:line="360" w:lineRule="auto"/>
        <w:rPr>
          <w:rFonts w:ascii="Book Antiqua" w:hAnsi="Book Antiqua" w:cs="Times New Roman"/>
          <w:color w:val="000000" w:themeColor="text1"/>
          <w:sz w:val="24"/>
          <w:szCs w:val="24"/>
        </w:rPr>
      </w:pPr>
      <w:r w:rsidRPr="00031CB9">
        <w:rPr>
          <w:rFonts w:ascii="Book Antiqua" w:hAnsi="Book Antiqua"/>
          <w:b/>
          <w:color w:val="000000" w:themeColor="text1"/>
          <w:sz w:val="24"/>
          <w:szCs w:val="24"/>
        </w:rPr>
        <w:t>Author contributions:</w:t>
      </w:r>
      <w:r w:rsidR="003F721F" w:rsidRPr="00031CB9">
        <w:rPr>
          <w:rFonts w:ascii="Book Antiqua" w:hAnsi="Book Antiqua"/>
          <w:b/>
          <w:color w:val="000000" w:themeColor="text1"/>
          <w:sz w:val="24"/>
          <w:szCs w:val="24"/>
        </w:rPr>
        <w:t xml:space="preserve"> </w:t>
      </w:r>
      <w:r w:rsidR="003F721F" w:rsidRPr="00031CB9">
        <w:rPr>
          <w:rFonts w:ascii="Book Antiqua" w:hAnsi="Book Antiqua" w:cs="Times New Roman"/>
          <w:color w:val="000000" w:themeColor="text1"/>
          <w:kern w:val="0"/>
          <w:sz w:val="24"/>
          <w:szCs w:val="24"/>
        </w:rPr>
        <w:t>Kim JS was involved with</w:t>
      </w:r>
      <w:r w:rsidR="003F721F" w:rsidRPr="00031CB9">
        <w:rPr>
          <w:rFonts w:ascii="Book Antiqua" w:hAnsi="Book Antiqua" w:cs="Times New Roman"/>
          <w:color w:val="000000" w:themeColor="text1"/>
          <w:sz w:val="24"/>
          <w:szCs w:val="24"/>
        </w:rPr>
        <w:t xml:space="preserve"> concept and design</w:t>
      </w:r>
      <w:r w:rsidR="003F721F" w:rsidRPr="00031CB9">
        <w:rPr>
          <w:rFonts w:ascii="Book Antiqua" w:eastAsia="Malgun Gothic" w:hAnsi="Book Antiqua" w:cs="Times New Roman"/>
          <w:color w:val="000000" w:themeColor="text1"/>
          <w:sz w:val="24"/>
          <w:szCs w:val="24"/>
        </w:rPr>
        <w:t xml:space="preserve"> </w:t>
      </w:r>
      <w:r w:rsidR="003F721F" w:rsidRPr="00031CB9">
        <w:rPr>
          <w:rFonts w:ascii="Book Antiqua" w:hAnsi="Book Antiqua" w:cs="Times New Roman"/>
          <w:color w:val="000000" w:themeColor="text1"/>
          <w:sz w:val="24"/>
          <w:szCs w:val="24"/>
        </w:rPr>
        <w:t xml:space="preserve">of this manuscript; </w:t>
      </w:r>
      <w:r w:rsidR="003F721F" w:rsidRPr="00031CB9">
        <w:rPr>
          <w:rFonts w:ascii="Book Antiqua" w:eastAsia="Malgun Gothic" w:hAnsi="Book Antiqua" w:cs="Times New Roman"/>
          <w:color w:val="000000" w:themeColor="text1"/>
          <w:sz w:val="24"/>
          <w:szCs w:val="24"/>
        </w:rPr>
        <w:t xml:space="preserve">Joo MK, Kim JH, Yeon JE, and Park JJ </w:t>
      </w:r>
      <w:r w:rsidR="003F721F" w:rsidRPr="00031CB9">
        <w:rPr>
          <w:rFonts w:ascii="Book Antiqua" w:hAnsi="Book Antiqua" w:cs="Times New Roman"/>
          <w:color w:val="000000" w:themeColor="text1"/>
          <w:kern w:val="0"/>
          <w:sz w:val="24"/>
          <w:szCs w:val="24"/>
        </w:rPr>
        <w:t>were involved with</w:t>
      </w:r>
      <w:r w:rsidR="003F721F" w:rsidRPr="00031CB9">
        <w:rPr>
          <w:rFonts w:ascii="Book Antiqua" w:eastAsia="Malgun Gothic" w:hAnsi="Book Antiqua" w:cs="Times New Roman"/>
          <w:color w:val="000000" w:themeColor="text1"/>
          <w:sz w:val="24"/>
          <w:szCs w:val="24"/>
        </w:rPr>
        <w:t xml:space="preserve"> a</w:t>
      </w:r>
      <w:r w:rsidR="003F721F" w:rsidRPr="00031CB9">
        <w:rPr>
          <w:rFonts w:ascii="Book Antiqua" w:hAnsi="Book Antiqua" w:cs="Times New Roman"/>
          <w:color w:val="000000" w:themeColor="text1"/>
          <w:sz w:val="24"/>
          <w:szCs w:val="24"/>
        </w:rPr>
        <w:t xml:space="preserve">cquisition of subjects and data; </w:t>
      </w:r>
      <w:r w:rsidR="003F721F" w:rsidRPr="00031CB9">
        <w:rPr>
          <w:rFonts w:ascii="Book Antiqua" w:eastAsia="Malgun Gothic" w:hAnsi="Book Antiqua" w:cs="Times New Roman"/>
          <w:color w:val="000000" w:themeColor="text1"/>
          <w:sz w:val="24"/>
          <w:szCs w:val="24"/>
        </w:rPr>
        <w:t xml:space="preserve">Byun KS and Bak YT </w:t>
      </w:r>
      <w:r w:rsidR="003F721F" w:rsidRPr="00031CB9">
        <w:rPr>
          <w:rFonts w:ascii="Book Antiqua" w:hAnsi="Book Antiqua" w:cs="Times New Roman"/>
          <w:color w:val="000000" w:themeColor="text1"/>
          <w:kern w:val="0"/>
          <w:sz w:val="24"/>
          <w:szCs w:val="24"/>
        </w:rPr>
        <w:t>were involved with</w:t>
      </w:r>
      <w:r w:rsidR="003F721F" w:rsidRPr="00031CB9">
        <w:rPr>
          <w:rFonts w:ascii="Book Antiqua" w:eastAsia="Malgun Gothic" w:hAnsi="Book Antiqua" w:cs="Times New Roman"/>
          <w:color w:val="000000" w:themeColor="text1"/>
          <w:sz w:val="24"/>
          <w:szCs w:val="24"/>
        </w:rPr>
        <w:t xml:space="preserve"> </w:t>
      </w:r>
      <w:r w:rsidR="003F721F" w:rsidRPr="00031CB9">
        <w:rPr>
          <w:rFonts w:ascii="Book Antiqua" w:hAnsi="Book Antiqua" w:cs="Times New Roman"/>
          <w:color w:val="000000" w:themeColor="text1"/>
          <w:sz w:val="24"/>
          <w:szCs w:val="24"/>
        </w:rPr>
        <w:t xml:space="preserve">interpretation of data; </w:t>
      </w:r>
      <w:r w:rsidR="003F721F" w:rsidRPr="00031CB9">
        <w:rPr>
          <w:rFonts w:ascii="Book Antiqua" w:eastAsia="Malgun Gothic" w:hAnsi="Book Antiqua" w:cs="Times New Roman"/>
          <w:color w:val="000000" w:themeColor="text1"/>
          <w:sz w:val="24"/>
          <w:szCs w:val="24"/>
        </w:rPr>
        <w:t>Kim</w:t>
      </w:r>
      <w:r w:rsidR="00067443" w:rsidRPr="00031CB9">
        <w:rPr>
          <w:rFonts w:ascii="Book Antiqua" w:eastAsia="Malgun Gothic" w:hAnsi="Book Antiqua" w:cs="Times New Roman"/>
          <w:color w:val="000000" w:themeColor="text1"/>
          <w:sz w:val="24"/>
          <w:szCs w:val="24"/>
        </w:rPr>
        <w:t xml:space="preserve"> HJ</w:t>
      </w:r>
      <w:r w:rsidR="003F721F" w:rsidRPr="00031CB9">
        <w:rPr>
          <w:rFonts w:ascii="Book Antiqua" w:eastAsia="Malgun Gothic" w:hAnsi="Book Antiqua" w:cs="Times New Roman"/>
          <w:color w:val="000000" w:themeColor="text1"/>
          <w:sz w:val="24"/>
          <w:szCs w:val="24"/>
        </w:rPr>
        <w:t xml:space="preserve"> and Kim </w:t>
      </w:r>
      <w:r w:rsidR="00067443" w:rsidRPr="00031CB9">
        <w:rPr>
          <w:rFonts w:ascii="Book Antiqua" w:eastAsia="Malgun Gothic" w:hAnsi="Book Antiqua" w:cs="Times New Roman"/>
          <w:color w:val="000000" w:themeColor="text1"/>
          <w:sz w:val="24"/>
          <w:szCs w:val="24"/>
        </w:rPr>
        <w:t xml:space="preserve">JS </w:t>
      </w:r>
      <w:r w:rsidR="003F721F" w:rsidRPr="00031CB9">
        <w:rPr>
          <w:rFonts w:ascii="Book Antiqua" w:hAnsi="Book Antiqua" w:cs="Times New Roman"/>
          <w:color w:val="000000" w:themeColor="text1"/>
          <w:kern w:val="0"/>
          <w:sz w:val="24"/>
          <w:szCs w:val="24"/>
        </w:rPr>
        <w:t>were involved with</w:t>
      </w:r>
      <w:r w:rsidR="003F721F" w:rsidRPr="00031CB9">
        <w:rPr>
          <w:rFonts w:ascii="Book Antiqua" w:eastAsia="Malgun Gothic" w:hAnsi="Book Antiqua" w:cs="Times New Roman"/>
          <w:color w:val="000000" w:themeColor="text1"/>
          <w:sz w:val="24"/>
          <w:szCs w:val="24"/>
        </w:rPr>
        <w:t xml:space="preserve"> p</w:t>
      </w:r>
      <w:r w:rsidR="003F721F" w:rsidRPr="00031CB9">
        <w:rPr>
          <w:rFonts w:ascii="Book Antiqua" w:hAnsi="Book Antiqua" w:cs="Times New Roman"/>
          <w:color w:val="000000" w:themeColor="text1"/>
          <w:sz w:val="24"/>
          <w:szCs w:val="24"/>
        </w:rPr>
        <w:t>reparation of manuscript.</w:t>
      </w:r>
    </w:p>
    <w:p w:rsidR="003119D2" w:rsidRDefault="003119D2" w:rsidP="00445758">
      <w:pPr>
        <w:kinsoku w:val="0"/>
        <w:wordWrap/>
        <w:overflowPunct w:val="0"/>
        <w:adjustRightInd w:val="0"/>
        <w:snapToGrid w:val="0"/>
        <w:spacing w:after="0" w:line="360" w:lineRule="auto"/>
        <w:rPr>
          <w:rFonts w:ascii="Book Antiqua" w:eastAsia="SimSun" w:hAnsi="Book Antiqua" w:cs="Book Antiqua"/>
          <w:b/>
          <w:color w:val="000000" w:themeColor="text1"/>
          <w:kern w:val="0"/>
          <w:sz w:val="24"/>
          <w:szCs w:val="24"/>
          <w:lang w:eastAsia="zh-CN"/>
        </w:rPr>
      </w:pPr>
    </w:p>
    <w:p w:rsidR="00B37C40" w:rsidRDefault="001C52E7" w:rsidP="00445758">
      <w:pPr>
        <w:kinsoku w:val="0"/>
        <w:wordWrap/>
        <w:overflowPunct w:val="0"/>
        <w:adjustRightInd w:val="0"/>
        <w:snapToGrid w:val="0"/>
        <w:spacing w:after="0" w:line="360" w:lineRule="auto"/>
        <w:rPr>
          <w:rFonts w:ascii="Book Antiqua" w:eastAsia="SimSun" w:hAnsi="Book Antiqua" w:cs="Book Antiqua"/>
          <w:color w:val="000000" w:themeColor="text1"/>
          <w:kern w:val="0"/>
          <w:sz w:val="24"/>
          <w:szCs w:val="24"/>
          <w:lang w:eastAsia="zh-CN"/>
        </w:rPr>
      </w:pPr>
      <w:r w:rsidRPr="00B565CE">
        <w:rPr>
          <w:rFonts w:ascii="Book Antiqua" w:hAnsi="Book Antiqua" w:cs="Book Antiqua"/>
          <w:b/>
          <w:color w:val="000000" w:themeColor="text1"/>
          <w:kern w:val="0"/>
          <w:sz w:val="24"/>
          <w:szCs w:val="24"/>
        </w:rPr>
        <w:t xml:space="preserve">Conflict-of-interest statement: </w:t>
      </w:r>
      <w:r w:rsidRPr="00031CB9">
        <w:rPr>
          <w:rFonts w:ascii="Book Antiqua" w:hAnsi="Book Antiqua" w:cs="Book Antiqua"/>
          <w:color w:val="000000" w:themeColor="text1"/>
          <w:kern w:val="0"/>
          <w:sz w:val="24"/>
          <w:szCs w:val="24"/>
        </w:rPr>
        <w:t>There is no conflict of interest associated with</w:t>
      </w:r>
      <w:r w:rsidR="003B6C8F">
        <w:rPr>
          <w:rFonts w:ascii="Book Antiqua" w:eastAsia="SimSun" w:hAnsi="Book Antiqua" w:cs="Book Antiqua" w:hint="eastAsia"/>
          <w:color w:val="000000" w:themeColor="text1"/>
          <w:kern w:val="0"/>
          <w:sz w:val="24"/>
          <w:szCs w:val="24"/>
          <w:lang w:eastAsia="zh-CN"/>
        </w:rPr>
        <w:t xml:space="preserve"> </w:t>
      </w:r>
      <w:r w:rsidRPr="00031CB9">
        <w:rPr>
          <w:rFonts w:ascii="Book Antiqua" w:hAnsi="Book Antiqua" w:cs="Book Antiqua"/>
          <w:color w:val="000000" w:themeColor="text1"/>
          <w:kern w:val="0"/>
          <w:sz w:val="24"/>
          <w:szCs w:val="24"/>
        </w:rPr>
        <w:t>any of the author or other coauthors contributed their efforts in this</w:t>
      </w:r>
      <w:r w:rsidR="003B6C8F">
        <w:rPr>
          <w:rFonts w:ascii="Book Antiqua" w:eastAsia="SimSun" w:hAnsi="Book Antiqua" w:cs="Book Antiqua" w:hint="eastAsia"/>
          <w:color w:val="000000" w:themeColor="text1"/>
          <w:kern w:val="0"/>
          <w:sz w:val="24"/>
          <w:szCs w:val="24"/>
          <w:lang w:eastAsia="zh-CN"/>
        </w:rPr>
        <w:t xml:space="preserve"> </w:t>
      </w:r>
      <w:r w:rsidRPr="00031CB9">
        <w:rPr>
          <w:rFonts w:ascii="Book Antiqua" w:hAnsi="Book Antiqua" w:cs="Book Antiqua"/>
          <w:color w:val="000000" w:themeColor="text1"/>
          <w:kern w:val="0"/>
          <w:sz w:val="24"/>
          <w:szCs w:val="24"/>
        </w:rPr>
        <w:t>manuscript.</w:t>
      </w:r>
    </w:p>
    <w:p w:rsidR="003B6C8F" w:rsidRDefault="003B6C8F" w:rsidP="00445758">
      <w:pPr>
        <w:kinsoku w:val="0"/>
        <w:wordWrap/>
        <w:overflowPunct w:val="0"/>
        <w:adjustRightInd w:val="0"/>
        <w:snapToGrid w:val="0"/>
        <w:spacing w:after="0" w:line="360" w:lineRule="auto"/>
        <w:rPr>
          <w:rFonts w:ascii="Book Antiqua" w:eastAsia="SimSun" w:hAnsi="Book Antiqua" w:cs="Book Antiqua"/>
          <w:color w:val="000000" w:themeColor="text1"/>
          <w:kern w:val="0"/>
          <w:sz w:val="24"/>
          <w:szCs w:val="24"/>
          <w:lang w:eastAsia="zh-CN"/>
        </w:rPr>
      </w:pPr>
    </w:p>
    <w:p w:rsidR="003B6C8F" w:rsidRPr="009652B7" w:rsidRDefault="003B6C8F" w:rsidP="00445758">
      <w:pPr>
        <w:kinsoku w:val="0"/>
        <w:wordWrap/>
        <w:overflowPunct w:val="0"/>
        <w:adjustRightInd w:val="0"/>
        <w:snapToGrid w:val="0"/>
        <w:spacing w:after="0" w:line="360" w:lineRule="auto"/>
        <w:rPr>
          <w:color w:val="000000"/>
          <w:sz w:val="24"/>
        </w:rPr>
      </w:pPr>
      <w:bookmarkStart w:id="0" w:name="OLE_LINK507"/>
      <w:bookmarkStart w:id="1" w:name="OLE_LINK506"/>
      <w:bookmarkStart w:id="2" w:name="OLE_LINK496"/>
      <w:bookmarkStart w:id="3"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3B6C8F" w:rsidRPr="003B6C8F" w:rsidRDefault="003B6C8F" w:rsidP="00445758">
      <w:pPr>
        <w:kinsoku w:val="0"/>
        <w:wordWrap/>
        <w:overflowPunct w:val="0"/>
        <w:adjustRightInd w:val="0"/>
        <w:snapToGrid w:val="0"/>
        <w:spacing w:after="0" w:line="360" w:lineRule="auto"/>
        <w:rPr>
          <w:rFonts w:ascii="Book Antiqua" w:eastAsia="SimSun" w:hAnsi="Book Antiqua" w:cs="Tahoma"/>
          <w:b/>
          <w:bCs/>
          <w:color w:val="000000" w:themeColor="text1"/>
          <w:kern w:val="0"/>
          <w:sz w:val="24"/>
          <w:szCs w:val="24"/>
          <w:lang w:eastAsia="zh-CN"/>
        </w:rPr>
      </w:pPr>
    </w:p>
    <w:p w:rsidR="00817335" w:rsidRPr="00B565CE" w:rsidRDefault="00817335" w:rsidP="00445758">
      <w:pPr>
        <w:widowControl/>
        <w:kinsoku w:val="0"/>
        <w:wordWrap/>
        <w:overflowPunct w:val="0"/>
        <w:adjustRightInd w:val="0"/>
        <w:snapToGrid w:val="0"/>
        <w:spacing w:after="0" w:line="360" w:lineRule="auto"/>
        <w:rPr>
          <w:rFonts w:ascii="Book Antiqua" w:eastAsia="SimSun" w:hAnsi="Book Antiqua" w:cs="Times New Roman"/>
          <w:color w:val="000000" w:themeColor="text1"/>
          <w:sz w:val="24"/>
          <w:szCs w:val="24"/>
          <w:lang w:eastAsia="zh-CN"/>
        </w:rPr>
      </w:pPr>
      <w:r w:rsidRPr="00031CB9">
        <w:rPr>
          <w:rFonts w:ascii="Book Antiqua" w:hAnsi="Book Antiqua" w:cs="Times New Roman"/>
          <w:b/>
          <w:color w:val="000000" w:themeColor="text1"/>
          <w:sz w:val="24"/>
          <w:szCs w:val="24"/>
        </w:rPr>
        <w:t>Correspondence to:</w:t>
      </w:r>
      <w:r w:rsidRPr="00B565CE">
        <w:rPr>
          <w:rFonts w:ascii="Book Antiqua" w:hAnsi="Book Antiqua" w:cs="Times New Roman"/>
          <w:b/>
          <w:bCs/>
          <w:color w:val="000000" w:themeColor="text1"/>
          <w:sz w:val="24"/>
          <w:szCs w:val="24"/>
        </w:rPr>
        <w:t xml:space="preserve"> </w:t>
      </w:r>
      <w:r w:rsidR="009D20D7" w:rsidRPr="00B565CE">
        <w:rPr>
          <w:rFonts w:ascii="Book Antiqua" w:hAnsi="Book Antiqua" w:cs="Times New Roman"/>
          <w:b/>
          <w:color w:val="000000" w:themeColor="text1"/>
          <w:kern w:val="0"/>
          <w:sz w:val="24"/>
          <w:szCs w:val="24"/>
        </w:rPr>
        <w:t xml:space="preserve">Jae Seon </w:t>
      </w:r>
      <w:r w:rsidRPr="00B565CE">
        <w:rPr>
          <w:rFonts w:ascii="Book Antiqua" w:hAnsi="Book Antiqua" w:cs="Times New Roman"/>
          <w:b/>
          <w:color w:val="000000" w:themeColor="text1"/>
          <w:sz w:val="24"/>
          <w:szCs w:val="24"/>
        </w:rPr>
        <w:t>Kim, MD</w:t>
      </w:r>
      <w:r w:rsidR="001D160F" w:rsidRPr="00B565CE">
        <w:rPr>
          <w:rFonts w:ascii="Book Antiqua" w:hAnsi="Book Antiqua" w:cs="Times New Roman"/>
          <w:b/>
          <w:color w:val="000000" w:themeColor="text1"/>
          <w:sz w:val="24"/>
          <w:szCs w:val="24"/>
        </w:rPr>
        <w:t>, PhD</w:t>
      </w:r>
      <w:r w:rsidR="00B565CE" w:rsidRPr="00B565CE">
        <w:rPr>
          <w:rFonts w:ascii="Book Antiqua" w:eastAsia="SimSun" w:hAnsi="Book Antiqua" w:cs="Times New Roman" w:hint="eastAsia"/>
          <w:b/>
          <w:color w:val="000000" w:themeColor="text1"/>
          <w:sz w:val="24"/>
          <w:szCs w:val="24"/>
          <w:lang w:eastAsia="zh-CN"/>
        </w:rPr>
        <w:t>,</w:t>
      </w:r>
      <w:r w:rsidR="00B565CE">
        <w:rPr>
          <w:rFonts w:ascii="Book Antiqua" w:eastAsia="SimSun" w:hAnsi="Book Antiqua" w:cs="Times New Roman" w:hint="eastAsia"/>
          <w:color w:val="000000" w:themeColor="text1"/>
          <w:sz w:val="24"/>
          <w:szCs w:val="24"/>
          <w:lang w:eastAsia="zh-CN"/>
        </w:rPr>
        <w:t xml:space="preserve"> </w:t>
      </w:r>
      <w:r w:rsidR="003B6C8F" w:rsidRPr="00031CB9">
        <w:rPr>
          <w:rFonts w:ascii="Book Antiqua" w:hAnsi="Book Antiqua" w:cs="Times New Roman"/>
          <w:color w:val="000000" w:themeColor="text1"/>
          <w:kern w:val="0"/>
          <w:sz w:val="24"/>
          <w:szCs w:val="24"/>
        </w:rPr>
        <w:t>Department of Internal Medicine, Korea University college of Medicine</w:t>
      </w:r>
      <w:r w:rsidR="003B6C8F">
        <w:rPr>
          <w:rFonts w:ascii="Book Antiqua" w:hAnsi="Book Antiqua" w:cs="Times New Roman" w:hint="eastAsia"/>
          <w:color w:val="000000" w:themeColor="text1"/>
          <w:kern w:val="0"/>
          <w:sz w:val="24"/>
          <w:szCs w:val="24"/>
        </w:rPr>
        <w:t>,</w:t>
      </w:r>
      <w:r w:rsidR="003B6C8F" w:rsidRPr="00031CB9">
        <w:rPr>
          <w:rFonts w:ascii="Book Antiqua" w:hAnsi="Book Antiqua" w:cs="Times New Roman"/>
          <w:color w:val="000000" w:themeColor="text1"/>
          <w:kern w:val="0"/>
          <w:sz w:val="24"/>
          <w:szCs w:val="24"/>
        </w:rPr>
        <w:t xml:space="preserve"> Guro Hospital,</w:t>
      </w:r>
      <w:r w:rsidR="00B565CE" w:rsidRPr="00031CB9">
        <w:rPr>
          <w:rFonts w:ascii="Book Antiqua" w:hAnsi="Book Antiqua" w:cs="Times New Roman"/>
          <w:color w:val="000000" w:themeColor="text1"/>
          <w:sz w:val="24"/>
          <w:szCs w:val="24"/>
        </w:rPr>
        <w:t xml:space="preserve"> </w:t>
      </w:r>
      <w:r w:rsidRPr="00031CB9">
        <w:rPr>
          <w:rFonts w:ascii="Book Antiqua" w:hAnsi="Book Antiqua" w:cs="Times New Roman"/>
          <w:color w:val="000000" w:themeColor="text1"/>
          <w:sz w:val="24"/>
          <w:szCs w:val="24"/>
        </w:rPr>
        <w:t xml:space="preserve">148 Gurodong-ro, Guro-gu, Seoul 152-703, </w:t>
      </w:r>
      <w:r w:rsidR="00B565CE">
        <w:rPr>
          <w:rFonts w:ascii="Book Antiqua" w:eastAsia="SimSun" w:hAnsi="Book Antiqua" w:cs="Times New Roman" w:hint="eastAsia"/>
          <w:color w:val="000000" w:themeColor="text1"/>
          <w:sz w:val="24"/>
          <w:szCs w:val="24"/>
          <w:lang w:eastAsia="zh-CN"/>
        </w:rPr>
        <w:t xml:space="preserve">South </w:t>
      </w:r>
      <w:r w:rsidRPr="00031CB9">
        <w:rPr>
          <w:rFonts w:ascii="Book Antiqua" w:hAnsi="Book Antiqua" w:cs="Times New Roman"/>
          <w:color w:val="000000" w:themeColor="text1"/>
          <w:sz w:val="24"/>
          <w:szCs w:val="24"/>
        </w:rPr>
        <w:t>Korea</w:t>
      </w:r>
      <w:r w:rsidR="00B565CE">
        <w:rPr>
          <w:rFonts w:ascii="Book Antiqua" w:eastAsia="SimSun" w:hAnsi="Book Antiqua" w:cs="Times New Roman" w:hint="eastAsia"/>
          <w:color w:val="000000" w:themeColor="text1"/>
          <w:sz w:val="24"/>
          <w:szCs w:val="24"/>
          <w:lang w:eastAsia="zh-CN"/>
        </w:rPr>
        <w:t xml:space="preserve">. </w:t>
      </w:r>
      <w:r w:rsidRPr="00031CB9">
        <w:rPr>
          <w:rFonts w:ascii="Book Antiqua" w:hAnsi="Book Antiqua" w:cs="Times New Roman"/>
          <w:color w:val="000000" w:themeColor="text1"/>
          <w:sz w:val="24"/>
          <w:szCs w:val="24"/>
        </w:rPr>
        <w:t>kim</w:t>
      </w:r>
      <w:r w:rsidR="009D20D7" w:rsidRPr="00031CB9">
        <w:rPr>
          <w:rFonts w:ascii="Book Antiqua" w:hAnsi="Book Antiqua" w:cs="Times New Roman"/>
          <w:color w:val="000000" w:themeColor="text1"/>
          <w:sz w:val="24"/>
          <w:szCs w:val="24"/>
        </w:rPr>
        <w:t>js</w:t>
      </w:r>
      <w:r w:rsidRPr="00031CB9">
        <w:rPr>
          <w:rFonts w:ascii="Book Antiqua" w:hAnsi="Book Antiqua" w:cs="Times New Roman"/>
          <w:color w:val="000000" w:themeColor="text1"/>
          <w:sz w:val="24"/>
          <w:szCs w:val="24"/>
        </w:rPr>
        <w:t>@k</w:t>
      </w:r>
      <w:r w:rsidR="009D20D7" w:rsidRPr="00031CB9">
        <w:rPr>
          <w:rFonts w:ascii="Book Antiqua" w:hAnsi="Book Antiqua" w:cs="Times New Roman"/>
          <w:color w:val="000000" w:themeColor="text1"/>
          <w:sz w:val="24"/>
          <w:szCs w:val="24"/>
        </w:rPr>
        <w:t>umc.or.</w:t>
      </w:r>
      <w:r w:rsidRPr="00031CB9">
        <w:rPr>
          <w:rFonts w:ascii="Book Antiqua" w:hAnsi="Book Antiqua" w:cs="Times New Roman"/>
          <w:color w:val="000000" w:themeColor="text1"/>
          <w:sz w:val="24"/>
          <w:szCs w:val="24"/>
        </w:rPr>
        <w:t>kr</w:t>
      </w:r>
    </w:p>
    <w:p w:rsidR="00B37C40" w:rsidRPr="00031CB9" w:rsidRDefault="00817335" w:rsidP="00445758">
      <w:pPr>
        <w:widowControl/>
        <w:kinsoku w:val="0"/>
        <w:wordWrap/>
        <w:overflowPunct w:val="0"/>
        <w:adjustRightInd w:val="0"/>
        <w:snapToGrid w:val="0"/>
        <w:spacing w:after="0" w:line="360" w:lineRule="auto"/>
        <w:rPr>
          <w:rFonts w:ascii="Book Antiqua" w:eastAsia="SimSun" w:hAnsi="Book Antiqua" w:cs="Times New Roman"/>
          <w:color w:val="000000" w:themeColor="text1"/>
          <w:sz w:val="24"/>
          <w:szCs w:val="24"/>
          <w:lang w:val="pt-BR" w:eastAsia="zh-CN"/>
        </w:rPr>
      </w:pPr>
      <w:r w:rsidRPr="00031CB9">
        <w:rPr>
          <w:rFonts w:ascii="Book Antiqua" w:hAnsi="Book Antiqua" w:cs="Times New Roman"/>
          <w:b/>
          <w:color w:val="000000" w:themeColor="text1"/>
          <w:sz w:val="24"/>
          <w:szCs w:val="24"/>
          <w:lang w:val="pt-BR"/>
        </w:rPr>
        <w:t>Telephone:</w:t>
      </w:r>
      <w:r w:rsidR="00B565CE">
        <w:rPr>
          <w:rFonts w:ascii="Book Antiqua" w:hAnsi="Book Antiqua" w:cs="Times New Roman"/>
          <w:color w:val="000000" w:themeColor="text1"/>
          <w:sz w:val="24"/>
          <w:szCs w:val="24"/>
          <w:lang w:val="pt-BR"/>
        </w:rPr>
        <w:t xml:space="preserve"> +82-2-2626</w:t>
      </w:r>
      <w:r w:rsidRPr="00031CB9">
        <w:rPr>
          <w:rFonts w:ascii="Book Antiqua" w:hAnsi="Book Antiqua" w:cs="Times New Roman"/>
          <w:color w:val="000000" w:themeColor="text1"/>
          <w:sz w:val="24"/>
          <w:szCs w:val="24"/>
          <w:lang w:val="pt-BR"/>
        </w:rPr>
        <w:t>1770</w:t>
      </w:r>
    </w:p>
    <w:p w:rsidR="00BF21F1" w:rsidRDefault="00817335" w:rsidP="00445758">
      <w:pPr>
        <w:widowControl/>
        <w:kinsoku w:val="0"/>
        <w:wordWrap/>
        <w:overflowPunct w:val="0"/>
        <w:adjustRightInd w:val="0"/>
        <w:snapToGrid w:val="0"/>
        <w:spacing w:after="0" w:line="360" w:lineRule="auto"/>
        <w:rPr>
          <w:rFonts w:ascii="Book Antiqua" w:eastAsia="SimSun" w:hAnsi="Book Antiqua" w:cs="Times New Roman"/>
          <w:color w:val="000000" w:themeColor="text1"/>
          <w:sz w:val="24"/>
          <w:szCs w:val="24"/>
          <w:lang w:val="pt-BR" w:eastAsia="zh-CN"/>
        </w:rPr>
      </w:pPr>
      <w:r w:rsidRPr="00031CB9">
        <w:rPr>
          <w:rFonts w:ascii="Book Antiqua" w:hAnsi="Book Antiqua" w:cs="Times New Roman"/>
          <w:b/>
          <w:color w:val="000000" w:themeColor="text1"/>
          <w:sz w:val="24"/>
          <w:szCs w:val="24"/>
          <w:lang w:val="pt-BR"/>
        </w:rPr>
        <w:t>Fax:</w:t>
      </w:r>
      <w:r w:rsidR="00B565CE">
        <w:rPr>
          <w:rFonts w:ascii="Book Antiqua" w:hAnsi="Book Antiqua" w:cs="Times New Roman"/>
          <w:color w:val="000000" w:themeColor="text1"/>
          <w:sz w:val="24"/>
          <w:szCs w:val="24"/>
          <w:lang w:val="pt-BR"/>
        </w:rPr>
        <w:t xml:space="preserve"> +82-505-115</w:t>
      </w:r>
      <w:r w:rsidRPr="00031CB9">
        <w:rPr>
          <w:rFonts w:ascii="Book Antiqua" w:hAnsi="Book Antiqua" w:cs="Times New Roman"/>
          <w:color w:val="000000" w:themeColor="text1"/>
          <w:sz w:val="24"/>
          <w:szCs w:val="24"/>
          <w:lang w:val="pt-BR"/>
        </w:rPr>
        <w:t>1778</w:t>
      </w:r>
    </w:p>
    <w:p w:rsidR="003B6C8F" w:rsidRDefault="003B6C8F" w:rsidP="00445758">
      <w:pPr>
        <w:widowControl/>
        <w:kinsoku w:val="0"/>
        <w:wordWrap/>
        <w:overflowPunct w:val="0"/>
        <w:adjustRightInd w:val="0"/>
        <w:snapToGrid w:val="0"/>
        <w:spacing w:after="0" w:line="360" w:lineRule="auto"/>
        <w:rPr>
          <w:rFonts w:ascii="Book Antiqua" w:eastAsia="SimSun" w:hAnsi="Book Antiqua" w:cs="Times New Roman"/>
          <w:color w:val="000000" w:themeColor="text1"/>
          <w:sz w:val="24"/>
          <w:szCs w:val="24"/>
          <w:lang w:val="pt-BR" w:eastAsia="zh-CN"/>
        </w:rPr>
      </w:pPr>
    </w:p>
    <w:p w:rsidR="003B6C8F" w:rsidRPr="004B384A" w:rsidRDefault="003B6C8F" w:rsidP="00445758">
      <w:pPr>
        <w:kinsoku w:val="0"/>
        <w:wordWrap/>
        <w:overflowPunct w:val="0"/>
        <w:adjustRightInd w:val="0"/>
        <w:snapToGrid w:val="0"/>
        <w:spacing w:after="0" w:line="360" w:lineRule="auto"/>
        <w:rPr>
          <w:rFonts w:ascii="Book Antiqua" w:eastAsia="SimSun" w:hAnsi="Book Antiqua"/>
          <w:b/>
          <w:sz w:val="24"/>
          <w:lang w:eastAsia="zh-CN"/>
        </w:rPr>
      </w:pPr>
      <w:r w:rsidRPr="00867A3A">
        <w:rPr>
          <w:rFonts w:ascii="Book Antiqua" w:hAnsi="Book Antiqua"/>
          <w:b/>
          <w:sz w:val="24"/>
        </w:rPr>
        <w:t xml:space="preserve">Received: </w:t>
      </w:r>
      <w:r w:rsidR="00215A84" w:rsidRPr="00A11C75">
        <w:rPr>
          <w:rFonts w:ascii="Book Antiqua" w:hAnsi="Book Antiqua"/>
          <w:sz w:val="24"/>
        </w:rPr>
        <w:t>June</w:t>
      </w:r>
      <w:r w:rsidR="00215A84">
        <w:rPr>
          <w:rFonts w:ascii="Book Antiqua" w:eastAsia="SimSun" w:hAnsi="Book Antiqua" w:hint="eastAsia"/>
          <w:sz w:val="24"/>
          <w:lang w:eastAsia="zh-CN"/>
        </w:rPr>
        <w:t xml:space="preserve"> 28, 2015</w:t>
      </w:r>
    </w:p>
    <w:p w:rsidR="003B6C8F" w:rsidRPr="00215A84" w:rsidRDefault="003B6C8F" w:rsidP="00445758">
      <w:pPr>
        <w:kinsoku w:val="0"/>
        <w:wordWrap/>
        <w:overflowPunct w:val="0"/>
        <w:adjustRightInd w:val="0"/>
        <w:snapToGrid w:val="0"/>
        <w:spacing w:after="0" w:line="360" w:lineRule="auto"/>
        <w:rPr>
          <w:rFonts w:ascii="Book Antiqua" w:eastAsia="SimSun" w:hAnsi="Book Antiqua"/>
          <w:b/>
          <w:sz w:val="24"/>
          <w:lang w:eastAsia="zh-CN"/>
        </w:rPr>
      </w:pPr>
      <w:r w:rsidRPr="00867A3A">
        <w:rPr>
          <w:rFonts w:ascii="Book Antiqua" w:hAnsi="Book Antiqua"/>
          <w:b/>
          <w:sz w:val="24"/>
        </w:rPr>
        <w:t>Peer-review started:</w:t>
      </w:r>
      <w:r w:rsidR="00215A84">
        <w:rPr>
          <w:rFonts w:ascii="Book Antiqua" w:eastAsia="SimSun" w:hAnsi="Book Antiqua" w:hint="eastAsia"/>
          <w:b/>
          <w:sz w:val="24"/>
          <w:lang w:eastAsia="zh-CN"/>
        </w:rPr>
        <w:t xml:space="preserve"> </w:t>
      </w:r>
      <w:r w:rsidR="00215A84" w:rsidRPr="00A11C75">
        <w:rPr>
          <w:rFonts w:ascii="Book Antiqua" w:hAnsi="Book Antiqua"/>
          <w:sz w:val="24"/>
        </w:rPr>
        <w:t>July</w:t>
      </w:r>
      <w:r w:rsidR="00215A84">
        <w:rPr>
          <w:rFonts w:ascii="Book Antiqua" w:eastAsia="SimSun" w:hAnsi="Book Antiqua" w:hint="eastAsia"/>
          <w:sz w:val="24"/>
          <w:lang w:eastAsia="zh-CN"/>
        </w:rPr>
        <w:t xml:space="preserve"> 2, 2015</w:t>
      </w:r>
    </w:p>
    <w:p w:rsidR="003B6C8F" w:rsidRPr="00215A84" w:rsidRDefault="003B6C8F" w:rsidP="00445758">
      <w:pPr>
        <w:kinsoku w:val="0"/>
        <w:wordWrap/>
        <w:overflowPunct w:val="0"/>
        <w:adjustRightInd w:val="0"/>
        <w:snapToGrid w:val="0"/>
        <w:spacing w:after="0" w:line="360" w:lineRule="auto"/>
        <w:rPr>
          <w:rFonts w:ascii="Book Antiqua" w:eastAsia="SimSun" w:hAnsi="Book Antiqua"/>
          <w:b/>
          <w:sz w:val="24"/>
          <w:lang w:eastAsia="zh-CN"/>
        </w:rPr>
      </w:pPr>
      <w:r w:rsidRPr="00867A3A">
        <w:rPr>
          <w:rFonts w:ascii="Book Antiqua" w:hAnsi="Book Antiqua"/>
          <w:b/>
          <w:sz w:val="24"/>
        </w:rPr>
        <w:t>First decision:</w:t>
      </w:r>
      <w:r w:rsidR="00215A84">
        <w:rPr>
          <w:rFonts w:ascii="Book Antiqua" w:eastAsia="SimSun" w:hAnsi="Book Antiqua" w:hint="eastAsia"/>
          <w:b/>
          <w:sz w:val="24"/>
          <w:lang w:eastAsia="zh-CN"/>
        </w:rPr>
        <w:t xml:space="preserve"> </w:t>
      </w:r>
      <w:r w:rsidR="00215A84" w:rsidRPr="00A11C75">
        <w:rPr>
          <w:rFonts w:ascii="Book Antiqua" w:hAnsi="Book Antiqua"/>
          <w:sz w:val="24"/>
        </w:rPr>
        <w:t>July</w:t>
      </w:r>
      <w:r w:rsidR="00215A84">
        <w:rPr>
          <w:rFonts w:ascii="Book Antiqua" w:eastAsia="SimSun" w:hAnsi="Book Antiqua" w:hint="eastAsia"/>
          <w:sz w:val="24"/>
          <w:lang w:eastAsia="zh-CN"/>
        </w:rPr>
        <w:t xml:space="preserve"> 20, 2015</w:t>
      </w:r>
    </w:p>
    <w:p w:rsidR="003B6C8F" w:rsidRPr="00867A3A" w:rsidRDefault="003B6C8F" w:rsidP="00445758">
      <w:pPr>
        <w:kinsoku w:val="0"/>
        <w:wordWrap/>
        <w:overflowPunct w:val="0"/>
        <w:adjustRightInd w:val="0"/>
        <w:snapToGrid w:val="0"/>
        <w:spacing w:after="0" w:line="360" w:lineRule="auto"/>
        <w:rPr>
          <w:rFonts w:ascii="Book Antiqua" w:hAnsi="Book Antiqua"/>
          <w:b/>
          <w:sz w:val="24"/>
        </w:rPr>
      </w:pPr>
      <w:r w:rsidRPr="00867A3A">
        <w:rPr>
          <w:rFonts w:ascii="Book Antiqua" w:hAnsi="Book Antiqua"/>
          <w:b/>
          <w:sz w:val="24"/>
        </w:rPr>
        <w:t xml:space="preserve">Revised: </w:t>
      </w:r>
      <w:bookmarkStart w:id="4" w:name="OLE_LINK12"/>
      <w:bookmarkStart w:id="5" w:name="OLE_LINK13"/>
      <w:r w:rsidR="00215A84" w:rsidRPr="00A11C75">
        <w:rPr>
          <w:rFonts w:ascii="Book Antiqua" w:hAnsi="Book Antiqua"/>
          <w:sz w:val="24"/>
        </w:rPr>
        <w:t>August</w:t>
      </w:r>
      <w:bookmarkEnd w:id="4"/>
      <w:bookmarkEnd w:id="5"/>
      <w:r w:rsidR="00215A84">
        <w:rPr>
          <w:rFonts w:ascii="Book Antiqua" w:eastAsia="SimSun" w:hAnsi="Book Antiqua" w:hint="eastAsia"/>
          <w:sz w:val="24"/>
          <w:lang w:eastAsia="zh-CN"/>
        </w:rPr>
        <w:t xml:space="preserve"> 11, 2015</w:t>
      </w:r>
      <w:r w:rsidRPr="00867A3A">
        <w:rPr>
          <w:rFonts w:ascii="Book Antiqua" w:hAnsi="Book Antiqua"/>
          <w:b/>
          <w:sz w:val="24"/>
        </w:rPr>
        <w:t xml:space="preserve"> </w:t>
      </w:r>
    </w:p>
    <w:p w:rsidR="003B6C8F" w:rsidRPr="00D36574" w:rsidRDefault="003B6C8F" w:rsidP="00D36574">
      <w:pPr>
        <w:spacing w:line="360" w:lineRule="auto"/>
        <w:rPr>
          <w:rFonts w:ascii="Book Antiqua" w:hAnsi="Book Antiqua"/>
          <w:color w:val="000000"/>
          <w:sz w:val="24"/>
        </w:rPr>
      </w:pPr>
      <w:r w:rsidRPr="00867A3A">
        <w:rPr>
          <w:rFonts w:ascii="Book Antiqua" w:hAnsi="Book Antiqua"/>
          <w:b/>
          <w:sz w:val="24"/>
        </w:rPr>
        <w:t>Accepted:</w:t>
      </w:r>
      <w:bookmarkStart w:id="6" w:name="OLE_LINK99"/>
      <w:bookmarkStart w:id="7" w:name="OLE_LINK104"/>
      <w:bookmarkStart w:id="8" w:name="OLE_LINK110"/>
      <w:bookmarkStart w:id="9" w:name="OLE_LINK111"/>
      <w:bookmarkStart w:id="10" w:name="OLE_LINK115"/>
      <w:bookmarkStart w:id="11" w:name="OLE_LINK116"/>
      <w:bookmarkStart w:id="12" w:name="OLE_LINK117"/>
      <w:bookmarkStart w:id="13" w:name="OLE_LINK118"/>
      <w:bookmarkStart w:id="14" w:name="OLE_LINK119"/>
      <w:bookmarkStart w:id="15" w:name="OLE_LINK120"/>
      <w:bookmarkStart w:id="16" w:name="OLE_LINK121"/>
      <w:bookmarkStart w:id="17" w:name="OLE_LINK122"/>
      <w:bookmarkStart w:id="18" w:name="OLE_LINK125"/>
      <w:bookmarkStart w:id="19" w:name="OLE_LINK126"/>
      <w:bookmarkStart w:id="20" w:name="OLE_LINK127"/>
      <w:bookmarkStart w:id="21" w:name="OLE_LINK129"/>
      <w:bookmarkStart w:id="22" w:name="OLE_LINK132"/>
      <w:bookmarkStart w:id="23" w:name="OLE_LINK134"/>
      <w:bookmarkStart w:id="24" w:name="OLE_LINK136"/>
      <w:bookmarkStart w:id="25" w:name="OLE_LINK137"/>
      <w:bookmarkStart w:id="26" w:name="OLE_LINK138"/>
      <w:bookmarkStart w:id="27" w:name="OLE_LINK139"/>
      <w:r w:rsidR="00D36574" w:rsidRPr="00D36574">
        <w:rPr>
          <w:rFonts w:ascii="Book Antiqua" w:hAnsi="Book Antiqua"/>
          <w:color w:val="000000"/>
          <w:sz w:val="24"/>
        </w:rPr>
        <w:t xml:space="preserve"> </w:t>
      </w:r>
      <w:r w:rsidR="00D36574">
        <w:rPr>
          <w:rFonts w:ascii="Book Antiqua" w:hAnsi="Book Antiqua"/>
          <w:color w:val="000000"/>
          <w:sz w:val="24"/>
        </w:rPr>
        <w:t>September 28</w:t>
      </w:r>
      <w:r w:rsidR="00D36574" w:rsidRPr="004B5E0D">
        <w:rPr>
          <w:rFonts w:ascii="Book Antiqua" w:hAnsi="Book Antiqua"/>
          <w:color w:val="000000"/>
          <w:sz w:val="24"/>
        </w:rPr>
        <w:t>, 2015</w:t>
      </w:r>
      <w:bookmarkStart w:id="28" w:name="_GoBack"/>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940531">
        <w:rPr>
          <w:rFonts w:ascii="Book Antiqua" w:hAnsi="Book Antiqua"/>
          <w:b/>
          <w:sz w:val="24"/>
        </w:rPr>
        <w:t xml:space="preserve"> </w:t>
      </w:r>
    </w:p>
    <w:p w:rsidR="003B6C8F" w:rsidRPr="00867A3A" w:rsidRDefault="003B6C8F" w:rsidP="00445758">
      <w:pPr>
        <w:kinsoku w:val="0"/>
        <w:wordWrap/>
        <w:overflowPunct w:val="0"/>
        <w:adjustRightInd w:val="0"/>
        <w:snapToGrid w:val="0"/>
        <w:spacing w:after="0" w:line="360" w:lineRule="auto"/>
        <w:rPr>
          <w:rFonts w:ascii="Book Antiqua" w:hAnsi="Book Antiqua"/>
          <w:b/>
          <w:sz w:val="24"/>
        </w:rPr>
      </w:pPr>
      <w:r w:rsidRPr="00867A3A">
        <w:rPr>
          <w:rFonts w:ascii="Book Antiqua" w:hAnsi="Book Antiqua"/>
          <w:b/>
          <w:sz w:val="24"/>
        </w:rPr>
        <w:t>Article in press:</w:t>
      </w:r>
    </w:p>
    <w:p w:rsidR="003B6C8F" w:rsidRPr="009E3692" w:rsidRDefault="003B6C8F" w:rsidP="00445758">
      <w:pPr>
        <w:kinsoku w:val="0"/>
        <w:wordWrap/>
        <w:overflowPunct w:val="0"/>
        <w:adjustRightInd w:val="0"/>
        <w:snapToGrid w:val="0"/>
        <w:spacing w:after="0" w:line="360" w:lineRule="auto"/>
        <w:rPr>
          <w:rFonts w:ascii="Book Antiqua" w:hAnsi="Book Antiqua"/>
          <w:sz w:val="24"/>
        </w:rPr>
      </w:pPr>
      <w:r w:rsidRPr="00867A3A">
        <w:rPr>
          <w:rFonts w:ascii="Book Antiqua" w:hAnsi="Book Antiqua"/>
          <w:b/>
          <w:sz w:val="24"/>
        </w:rPr>
        <w:t>Published online:</w:t>
      </w:r>
    </w:p>
    <w:p w:rsidR="003B6C8F" w:rsidRPr="003B6C8F" w:rsidRDefault="003B6C8F" w:rsidP="00445758">
      <w:pPr>
        <w:widowControl/>
        <w:kinsoku w:val="0"/>
        <w:wordWrap/>
        <w:overflowPunct w:val="0"/>
        <w:adjustRightInd w:val="0"/>
        <w:snapToGrid w:val="0"/>
        <w:spacing w:after="0" w:line="360" w:lineRule="auto"/>
        <w:rPr>
          <w:rFonts w:ascii="Book Antiqua" w:eastAsia="SimSun" w:hAnsi="Book Antiqua" w:cs="Times New Roman"/>
          <w:color w:val="000000" w:themeColor="text1"/>
          <w:sz w:val="24"/>
          <w:szCs w:val="24"/>
          <w:lang w:val="pt-BR" w:eastAsia="zh-CN"/>
        </w:rPr>
      </w:pPr>
    </w:p>
    <w:p w:rsidR="00BF21F1" w:rsidRDefault="00BF21F1" w:rsidP="00445758">
      <w:pPr>
        <w:widowControl/>
        <w:kinsoku w:val="0"/>
        <w:wordWrap/>
        <w:overflowPunct w:val="0"/>
        <w:adjustRightInd w:val="0"/>
        <w:snapToGrid w:val="0"/>
        <w:spacing w:after="0" w:line="360" w:lineRule="auto"/>
        <w:rPr>
          <w:rFonts w:ascii="Book Antiqua" w:hAnsi="Book Antiqua" w:cs="Times New Roman"/>
          <w:color w:val="000000" w:themeColor="text1"/>
          <w:sz w:val="24"/>
          <w:szCs w:val="24"/>
          <w:lang w:val="pt-BR"/>
        </w:rPr>
      </w:pPr>
      <w:r>
        <w:rPr>
          <w:rFonts w:ascii="Book Antiqua" w:hAnsi="Book Antiqua" w:cs="Times New Roman"/>
          <w:color w:val="000000" w:themeColor="text1"/>
          <w:sz w:val="24"/>
          <w:szCs w:val="24"/>
          <w:lang w:val="pt-BR"/>
        </w:rPr>
        <w:br w:type="page"/>
      </w:r>
    </w:p>
    <w:p w:rsidR="00B37C40" w:rsidRPr="00031CB9" w:rsidRDefault="00B37C40" w:rsidP="00445758">
      <w:pPr>
        <w:widowControl/>
        <w:kinsoku w:val="0"/>
        <w:wordWrap/>
        <w:overflowPunct w:val="0"/>
        <w:adjustRightInd w:val="0"/>
        <w:snapToGrid w:val="0"/>
        <w:spacing w:after="0" w:line="360" w:lineRule="auto"/>
        <w:rPr>
          <w:rFonts w:ascii="Book Antiqua" w:hAnsi="Book Antiqua"/>
          <w:color w:val="000000" w:themeColor="text1"/>
          <w:sz w:val="24"/>
          <w:szCs w:val="24"/>
          <w:lang w:val="en"/>
        </w:rPr>
      </w:pPr>
      <w:r w:rsidRPr="00031CB9">
        <w:rPr>
          <w:rFonts w:ascii="Book Antiqua" w:hAnsi="Book Antiqua"/>
          <w:b/>
          <w:color w:val="000000" w:themeColor="text1"/>
          <w:sz w:val="24"/>
          <w:szCs w:val="24"/>
        </w:rPr>
        <w:lastRenderedPageBreak/>
        <w:t xml:space="preserve">Abstract </w:t>
      </w:r>
      <w:bookmarkStart w:id="29" w:name="OLE_LINK24"/>
      <w:bookmarkStart w:id="30" w:name="OLE_LINK25"/>
    </w:p>
    <w:bookmarkEnd w:id="29"/>
    <w:bookmarkEnd w:id="30"/>
    <w:p w:rsidR="001C638F" w:rsidRPr="00031CB9" w:rsidRDefault="001C638F" w:rsidP="00445758">
      <w:pPr>
        <w:widowControl/>
        <w:kinsoku w:val="0"/>
        <w:wordWrap/>
        <w:overflowPunct w:val="0"/>
        <w:adjustRightInd w:val="0"/>
        <w:snapToGrid w:val="0"/>
        <w:spacing w:after="0" w:line="360" w:lineRule="auto"/>
        <w:rPr>
          <w:rStyle w:val="hui12181"/>
          <w:rFonts w:ascii="Book Antiqua" w:hAnsi="Book Antiqua"/>
          <w:color w:val="000000" w:themeColor="text1"/>
          <w:sz w:val="24"/>
          <w:szCs w:val="24"/>
        </w:rPr>
      </w:pPr>
      <w:r w:rsidRPr="00031CB9">
        <w:rPr>
          <w:rStyle w:val="hui12181"/>
          <w:rFonts w:ascii="Book Antiqua" w:hAnsi="Book Antiqua"/>
          <w:color w:val="000000" w:themeColor="text1"/>
          <w:sz w:val="24"/>
          <w:szCs w:val="24"/>
        </w:rPr>
        <w:t>Incidence of hepatolithiasis is decreasing as the pattern</w:t>
      </w:r>
      <w:r w:rsidRPr="00031CB9">
        <w:rPr>
          <w:rStyle w:val="hui12181"/>
          <w:rFonts w:ascii="Book Antiqua" w:hAnsi="Book Antiqua"/>
          <w:color w:val="000000" w:themeColor="text1"/>
          <w:sz w:val="24"/>
          <w:szCs w:val="24"/>
          <w:lang w:val="en"/>
        </w:rPr>
        <w:t xml:space="preserve"> </w:t>
      </w:r>
      <w:r w:rsidRPr="00031CB9">
        <w:rPr>
          <w:rStyle w:val="hui12181"/>
          <w:rFonts w:ascii="Book Antiqua" w:hAnsi="Book Antiqua"/>
          <w:color w:val="000000" w:themeColor="text1"/>
          <w:sz w:val="24"/>
          <w:szCs w:val="24"/>
        </w:rPr>
        <w:t>of gallstone disease are changing in Asia, but the prevalence of hepatolithiasis is persistently high, especially in Far Eastern countries. Hepatolithiasis is an established risk factor for cholangiocarcinoma (CCA), and chronic proliferative inflammation has been thought to be involved in biliary carcinogenesis and in inducing the up-regulation of cell-proliferating factors. There has been much improvement in the management of hepatolithiasis and also in the diagnosis of hepatolithiasis-associated cholangiocarcinoma (HL-CCA), through advanced imaging modalities. However, there are many problems in managing the strictures in hepatolithiasis and differentiating from</w:t>
      </w:r>
      <w:r w:rsidR="0014088D" w:rsidRPr="00031CB9">
        <w:rPr>
          <w:rStyle w:val="hui12181"/>
          <w:rFonts w:ascii="Book Antiqua" w:hAnsi="Book Antiqua"/>
          <w:color w:val="000000" w:themeColor="text1"/>
          <w:sz w:val="24"/>
          <w:szCs w:val="24"/>
        </w:rPr>
        <w:t xml:space="preserve"> </w:t>
      </w:r>
      <w:r w:rsidRPr="00031CB9">
        <w:rPr>
          <w:rStyle w:val="hui12181"/>
          <w:rFonts w:ascii="Book Antiqua" w:hAnsi="Book Antiqua"/>
          <w:color w:val="000000" w:themeColor="text1"/>
          <w:sz w:val="24"/>
          <w:szCs w:val="24"/>
        </w:rPr>
        <w:t>infiltrating types of CCA. Surgical resection is recommended in cases of single lobe hepatolithiasis with atrophy, uncontrolled stricture, symptom duration of more than 10 years, and long history of biliary-enteric anastomosis. Even after resection, patients should be followed with caution for development of HL-CCA, because HL-CCA is independent prognostic factor for survival. It is not yet clear whether hepatic resection can reduce the occurrence of subsequent HL-CCA. Furthermore, there are no consistent findings regarding prediction of subsequent HL-CCA in patients with hepatolithiasis. In management of hepatolithiasis, important factors are the reduction of recurrence of cholangitis and suspicion of unrecognized HL-CCA.</w:t>
      </w:r>
    </w:p>
    <w:p w:rsidR="001C638F" w:rsidRPr="00031CB9" w:rsidRDefault="001C638F" w:rsidP="00445758">
      <w:pPr>
        <w:widowControl/>
        <w:kinsoku w:val="0"/>
        <w:wordWrap/>
        <w:overflowPunct w:val="0"/>
        <w:adjustRightInd w:val="0"/>
        <w:snapToGrid w:val="0"/>
        <w:spacing w:after="0" w:line="360" w:lineRule="auto"/>
        <w:rPr>
          <w:rStyle w:val="hui12181"/>
          <w:rFonts w:ascii="Book Antiqua" w:hAnsi="Book Antiqua"/>
          <w:color w:val="000000" w:themeColor="text1"/>
          <w:sz w:val="24"/>
          <w:szCs w:val="24"/>
        </w:rPr>
      </w:pPr>
    </w:p>
    <w:p w:rsidR="00B37C40" w:rsidRDefault="00B37C40" w:rsidP="00445758">
      <w:pPr>
        <w:kinsoku w:val="0"/>
        <w:wordWrap/>
        <w:overflowPunct w:val="0"/>
        <w:adjustRightInd w:val="0"/>
        <w:snapToGrid w:val="0"/>
        <w:spacing w:after="0" w:line="360" w:lineRule="auto"/>
        <w:rPr>
          <w:rStyle w:val="hui12181"/>
          <w:rFonts w:ascii="Book Antiqua" w:eastAsia="SimSun" w:hAnsi="Book Antiqua"/>
          <w:color w:val="000000" w:themeColor="text1"/>
          <w:sz w:val="24"/>
          <w:szCs w:val="24"/>
          <w:lang w:eastAsia="zh-CN"/>
        </w:rPr>
      </w:pPr>
      <w:r w:rsidRPr="00031CB9">
        <w:rPr>
          <w:rFonts w:ascii="Book Antiqua" w:hAnsi="Book Antiqua" w:cs="Arial"/>
          <w:b/>
          <w:color w:val="000000" w:themeColor="text1"/>
          <w:sz w:val="24"/>
          <w:szCs w:val="24"/>
        </w:rPr>
        <w:t>Key words:</w:t>
      </w:r>
      <w:r w:rsidRPr="00031CB9">
        <w:rPr>
          <w:rFonts w:ascii="Book Antiqua" w:hAnsi="Book Antiqua" w:cs="Arial"/>
          <w:color w:val="000000" w:themeColor="text1"/>
          <w:sz w:val="24"/>
          <w:szCs w:val="24"/>
        </w:rPr>
        <w:t xml:space="preserve"> </w:t>
      </w:r>
      <w:r w:rsidR="00DB12E2" w:rsidRPr="00031CB9">
        <w:rPr>
          <w:rFonts w:ascii="Book Antiqua" w:hAnsi="Book Antiqua" w:cs="Arial"/>
          <w:color w:val="000000" w:themeColor="text1"/>
          <w:sz w:val="24"/>
          <w:szCs w:val="24"/>
        </w:rPr>
        <w:t>C</w:t>
      </w:r>
      <w:r w:rsidR="00DB12E2" w:rsidRPr="00031CB9">
        <w:rPr>
          <w:rStyle w:val="hui12181"/>
          <w:rFonts w:ascii="Book Antiqua" w:hAnsi="Book Antiqua"/>
          <w:color w:val="000000" w:themeColor="text1"/>
          <w:sz w:val="24"/>
          <w:szCs w:val="24"/>
        </w:rPr>
        <w:t>holangiocarcinoma;</w:t>
      </w:r>
      <w:r w:rsidR="00DB12E2" w:rsidRPr="00031CB9">
        <w:rPr>
          <w:rFonts w:ascii="Book Antiqua" w:hAnsi="Book Antiqua" w:cs="Arial"/>
          <w:color w:val="000000" w:themeColor="text1"/>
          <w:sz w:val="24"/>
          <w:szCs w:val="24"/>
        </w:rPr>
        <w:t xml:space="preserve"> </w:t>
      </w:r>
      <w:r w:rsidR="00620893" w:rsidRPr="00031CB9">
        <w:rPr>
          <w:rFonts w:ascii="Book Antiqua" w:hAnsi="Book Antiqua" w:cs="Arial"/>
          <w:color w:val="000000" w:themeColor="text1"/>
          <w:sz w:val="24"/>
          <w:szCs w:val="24"/>
        </w:rPr>
        <w:t>H</w:t>
      </w:r>
      <w:r w:rsidR="00DB12E2" w:rsidRPr="00031CB9">
        <w:rPr>
          <w:rStyle w:val="hui12181"/>
          <w:rFonts w:ascii="Book Antiqua" w:hAnsi="Book Antiqua"/>
          <w:color w:val="000000" w:themeColor="text1"/>
          <w:sz w:val="24"/>
          <w:szCs w:val="24"/>
        </w:rPr>
        <w:t>atolithiasis;</w:t>
      </w:r>
      <w:r w:rsidR="00213AA7" w:rsidRPr="00031CB9">
        <w:rPr>
          <w:rStyle w:val="hui12181"/>
          <w:rFonts w:ascii="Book Antiqua" w:hAnsi="Book Antiqua"/>
          <w:color w:val="000000" w:themeColor="text1"/>
          <w:sz w:val="24"/>
          <w:szCs w:val="24"/>
        </w:rPr>
        <w:t xml:space="preserve"> </w:t>
      </w:r>
      <w:r w:rsidR="00620893" w:rsidRPr="00031CB9">
        <w:rPr>
          <w:rStyle w:val="hui12181"/>
          <w:rFonts w:ascii="Book Antiqua" w:hAnsi="Book Antiqua"/>
          <w:color w:val="000000" w:themeColor="text1"/>
          <w:sz w:val="24"/>
          <w:szCs w:val="24"/>
        </w:rPr>
        <w:t>In</w:t>
      </w:r>
      <w:r w:rsidR="00213AA7" w:rsidRPr="00031CB9">
        <w:rPr>
          <w:rStyle w:val="hui12181"/>
          <w:rFonts w:ascii="Book Antiqua" w:hAnsi="Book Antiqua"/>
          <w:color w:val="000000" w:themeColor="text1"/>
          <w:sz w:val="24"/>
          <w:szCs w:val="24"/>
        </w:rPr>
        <w:t>rahepatic;</w:t>
      </w:r>
      <w:r w:rsidR="00DB12E2" w:rsidRPr="00031CB9">
        <w:rPr>
          <w:rStyle w:val="hui12181"/>
          <w:rFonts w:ascii="Book Antiqua" w:hAnsi="Book Antiqua"/>
          <w:color w:val="000000" w:themeColor="text1"/>
          <w:sz w:val="24"/>
          <w:szCs w:val="24"/>
        </w:rPr>
        <w:t xml:space="preserve"> </w:t>
      </w:r>
      <w:r w:rsidR="00620893" w:rsidRPr="00031CB9">
        <w:rPr>
          <w:rStyle w:val="hui12181"/>
          <w:rFonts w:ascii="Book Antiqua" w:hAnsi="Book Antiqua"/>
          <w:color w:val="000000" w:themeColor="text1"/>
          <w:sz w:val="24"/>
          <w:szCs w:val="24"/>
        </w:rPr>
        <w:t>M</w:t>
      </w:r>
      <w:r w:rsidR="00DB12E2" w:rsidRPr="00031CB9">
        <w:rPr>
          <w:rStyle w:val="hui12181"/>
          <w:rFonts w:ascii="Book Antiqua" w:hAnsi="Book Antiqua"/>
          <w:color w:val="000000" w:themeColor="text1"/>
          <w:sz w:val="24"/>
          <w:szCs w:val="24"/>
        </w:rPr>
        <w:t>agement</w:t>
      </w:r>
    </w:p>
    <w:p w:rsidR="00215A84" w:rsidRPr="00215A84" w:rsidRDefault="00215A84" w:rsidP="00445758">
      <w:pPr>
        <w:kinsoku w:val="0"/>
        <w:wordWrap/>
        <w:overflowPunct w:val="0"/>
        <w:adjustRightInd w:val="0"/>
        <w:snapToGrid w:val="0"/>
        <w:spacing w:after="0" w:line="360" w:lineRule="auto"/>
        <w:rPr>
          <w:rFonts w:ascii="Book Antiqua" w:eastAsia="SimSun" w:hAnsi="Book Antiqua" w:cs="Arial"/>
          <w:color w:val="000000" w:themeColor="text1"/>
          <w:sz w:val="24"/>
          <w:szCs w:val="24"/>
          <w:lang w:eastAsia="zh-CN"/>
        </w:rPr>
      </w:pPr>
    </w:p>
    <w:p w:rsidR="00B37C40" w:rsidRDefault="00B37C40" w:rsidP="00445758">
      <w:pPr>
        <w:kinsoku w:val="0"/>
        <w:wordWrap/>
        <w:overflowPunct w:val="0"/>
        <w:adjustRightInd w:val="0"/>
        <w:snapToGrid w:val="0"/>
        <w:spacing w:after="0" w:line="360" w:lineRule="auto"/>
        <w:rPr>
          <w:rFonts w:ascii="Book Antiqua" w:eastAsia="SimSun" w:hAnsi="Book Antiqua" w:cs="Arial Unicode MS"/>
          <w:color w:val="000000" w:themeColor="text1"/>
          <w:sz w:val="24"/>
          <w:szCs w:val="24"/>
          <w:lang w:eastAsia="zh-CN"/>
        </w:rPr>
      </w:pPr>
      <w:bookmarkStart w:id="31" w:name="OLE_LINK98"/>
      <w:bookmarkStart w:id="32" w:name="OLE_LINK156"/>
      <w:bookmarkStart w:id="33" w:name="OLE_LINK196"/>
      <w:bookmarkStart w:id="34" w:name="OLE_LINK217"/>
      <w:bookmarkStart w:id="35" w:name="OLE_LINK242"/>
      <w:bookmarkStart w:id="36" w:name="OLE_LINK247"/>
      <w:bookmarkStart w:id="37" w:name="OLE_LINK311"/>
      <w:bookmarkStart w:id="38" w:name="OLE_LINK312"/>
      <w:bookmarkStart w:id="39" w:name="OLE_LINK325"/>
      <w:bookmarkStart w:id="40" w:name="OLE_LINK330"/>
      <w:bookmarkStart w:id="41" w:name="OLE_LINK513"/>
      <w:bookmarkStart w:id="42" w:name="OLE_LINK514"/>
      <w:bookmarkStart w:id="43" w:name="OLE_LINK464"/>
      <w:bookmarkStart w:id="44" w:name="OLE_LINK465"/>
      <w:bookmarkStart w:id="45" w:name="OLE_LINK466"/>
      <w:bookmarkStart w:id="46" w:name="OLE_LINK470"/>
      <w:bookmarkStart w:id="47" w:name="OLE_LINK471"/>
      <w:bookmarkStart w:id="48" w:name="OLE_LINK472"/>
      <w:bookmarkStart w:id="49" w:name="OLE_LINK474"/>
      <w:bookmarkStart w:id="50" w:name="OLE_LINK512"/>
      <w:bookmarkStart w:id="51" w:name="OLE_LINK800"/>
      <w:bookmarkStart w:id="52" w:name="OLE_LINK982"/>
      <w:bookmarkStart w:id="53" w:name="OLE_LINK1027"/>
      <w:bookmarkStart w:id="54" w:name="OLE_LINK504"/>
      <w:bookmarkStart w:id="55" w:name="OLE_LINK546"/>
      <w:bookmarkStart w:id="56" w:name="OLE_LINK547"/>
      <w:bookmarkStart w:id="57" w:name="OLE_LINK575"/>
      <w:bookmarkStart w:id="58" w:name="OLE_LINK640"/>
      <w:bookmarkStart w:id="59" w:name="OLE_LINK672"/>
      <w:bookmarkStart w:id="60" w:name="OLE_LINK714"/>
      <w:bookmarkStart w:id="61" w:name="OLE_LINK651"/>
      <w:bookmarkStart w:id="62" w:name="OLE_LINK652"/>
      <w:bookmarkStart w:id="63" w:name="OLE_LINK744"/>
      <w:bookmarkStart w:id="64" w:name="OLE_LINK758"/>
      <w:bookmarkStart w:id="65" w:name="OLE_LINK787"/>
      <w:bookmarkStart w:id="66" w:name="OLE_LINK807"/>
      <w:bookmarkStart w:id="67" w:name="OLE_LINK820"/>
      <w:bookmarkStart w:id="68" w:name="OLE_LINK862"/>
      <w:bookmarkStart w:id="69" w:name="OLE_LINK879"/>
      <w:bookmarkStart w:id="70" w:name="OLE_LINK906"/>
      <w:bookmarkStart w:id="71" w:name="OLE_LINK928"/>
      <w:bookmarkStart w:id="72" w:name="OLE_LINK960"/>
      <w:bookmarkStart w:id="73" w:name="OLE_LINK861"/>
      <w:bookmarkStart w:id="74" w:name="OLE_LINK983"/>
      <w:bookmarkStart w:id="75" w:name="OLE_LINK1334"/>
      <w:bookmarkStart w:id="76" w:name="OLE_LINK1029"/>
      <w:bookmarkStart w:id="77" w:name="OLE_LINK1060"/>
      <w:bookmarkStart w:id="78" w:name="OLE_LINK1061"/>
      <w:bookmarkStart w:id="79" w:name="OLE_LINK1348"/>
      <w:bookmarkStart w:id="80" w:name="OLE_LINK1086"/>
      <w:bookmarkStart w:id="81" w:name="OLE_LINK1100"/>
      <w:bookmarkStart w:id="82" w:name="OLE_LINK1125"/>
      <w:bookmarkStart w:id="83" w:name="OLE_LINK1163"/>
      <w:bookmarkStart w:id="84" w:name="OLE_LINK1193"/>
      <w:bookmarkStart w:id="85" w:name="OLE_LINK1219"/>
      <w:bookmarkStart w:id="86" w:name="OLE_LINK1247"/>
      <w:bookmarkStart w:id="87" w:name="OLE_LINK1284"/>
      <w:bookmarkStart w:id="88" w:name="OLE_LINK1313"/>
      <w:bookmarkStart w:id="89" w:name="OLE_LINK1361"/>
      <w:bookmarkStart w:id="90" w:name="OLE_LINK1384"/>
      <w:bookmarkStart w:id="91" w:name="OLE_LINK1403"/>
      <w:bookmarkStart w:id="92" w:name="OLE_LINK1437"/>
      <w:bookmarkStart w:id="93" w:name="OLE_LINK1454"/>
      <w:bookmarkStart w:id="94" w:name="OLE_LINK1480"/>
      <w:bookmarkStart w:id="95" w:name="OLE_LINK1504"/>
      <w:bookmarkStart w:id="96" w:name="OLE_LINK1516"/>
      <w:bookmarkStart w:id="97" w:name="OLE_LINK135"/>
      <w:bookmarkStart w:id="98" w:name="OLE_LINK216"/>
      <w:bookmarkStart w:id="99" w:name="OLE_LINK259"/>
      <w:bookmarkStart w:id="100" w:name="OLE_LINK1186"/>
      <w:bookmarkStart w:id="101" w:name="OLE_LINK1265"/>
      <w:bookmarkStart w:id="102" w:name="OLE_LINK1373"/>
      <w:bookmarkStart w:id="103" w:name="OLE_LINK1478"/>
      <w:bookmarkStart w:id="104" w:name="OLE_LINK1644"/>
      <w:bookmarkStart w:id="105" w:name="OLE_LINK1884"/>
      <w:bookmarkStart w:id="106" w:name="OLE_LINK1885"/>
      <w:bookmarkStart w:id="107" w:name="OLE_LINK1538"/>
      <w:bookmarkStart w:id="108" w:name="OLE_LINK1539"/>
      <w:bookmarkStart w:id="109" w:name="OLE_LINK1543"/>
      <w:bookmarkStart w:id="110" w:name="OLE_LINK1549"/>
      <w:bookmarkStart w:id="111" w:name="OLE_LINK1778"/>
      <w:bookmarkStart w:id="112" w:name="OLE_LINK1756"/>
      <w:bookmarkStart w:id="113" w:name="OLE_LINK1776"/>
      <w:bookmarkStart w:id="114" w:name="OLE_LINK1777"/>
      <w:bookmarkStart w:id="115" w:name="OLE_LINK1868"/>
      <w:bookmarkStart w:id="116" w:name="OLE_LINK1744"/>
      <w:bookmarkStart w:id="117" w:name="OLE_LINK1817"/>
      <w:bookmarkStart w:id="118" w:name="OLE_LINK1835"/>
      <w:bookmarkStart w:id="119" w:name="OLE_LINK1866"/>
      <w:bookmarkStart w:id="120" w:name="OLE_LINK1882"/>
      <w:bookmarkStart w:id="121" w:name="OLE_LINK1901"/>
      <w:bookmarkStart w:id="122" w:name="OLE_LINK1902"/>
      <w:bookmarkStart w:id="123" w:name="OLE_LINK2013"/>
      <w:bookmarkStart w:id="124" w:name="OLE_LINK1894"/>
      <w:bookmarkStart w:id="125" w:name="OLE_LINK1929"/>
      <w:bookmarkStart w:id="126" w:name="OLE_LINK1941"/>
      <w:bookmarkStart w:id="127" w:name="OLE_LINK1995"/>
      <w:bookmarkStart w:id="128" w:name="OLE_LINK1938"/>
      <w:bookmarkStart w:id="129" w:name="OLE_LINK2081"/>
      <w:bookmarkStart w:id="130" w:name="OLE_LINK2082"/>
      <w:bookmarkStart w:id="131" w:name="OLE_LINK2292"/>
      <w:bookmarkStart w:id="132" w:name="OLE_LINK1931"/>
      <w:bookmarkStart w:id="133" w:name="OLE_LINK1964"/>
      <w:bookmarkStart w:id="134" w:name="OLE_LINK2020"/>
      <w:bookmarkStart w:id="135" w:name="OLE_LINK2071"/>
      <w:bookmarkStart w:id="136" w:name="OLE_LINK2134"/>
      <w:bookmarkStart w:id="137" w:name="OLE_LINK2265"/>
      <w:bookmarkStart w:id="138" w:name="OLE_LINK2562"/>
      <w:bookmarkStart w:id="139" w:name="OLE_LINK1923"/>
      <w:bookmarkStart w:id="140" w:name="OLE_LINK2192"/>
      <w:bookmarkStart w:id="141" w:name="OLE_LINK2110"/>
      <w:bookmarkStart w:id="142" w:name="OLE_LINK2445"/>
      <w:bookmarkStart w:id="143" w:name="OLE_LINK2446"/>
      <w:bookmarkStart w:id="144" w:name="OLE_LINK2169"/>
      <w:bookmarkStart w:id="145" w:name="OLE_LINK2190"/>
      <w:bookmarkStart w:id="146" w:name="OLE_LINK2331"/>
      <w:bookmarkStart w:id="147" w:name="OLE_LINK2345"/>
      <w:bookmarkStart w:id="148" w:name="OLE_LINK2467"/>
      <w:bookmarkStart w:id="149" w:name="OLE_LINK2484"/>
      <w:bookmarkStart w:id="150" w:name="OLE_LINK2157"/>
      <w:bookmarkStart w:id="151" w:name="OLE_LINK2221"/>
      <w:bookmarkStart w:id="152" w:name="OLE_LINK2252"/>
      <w:bookmarkStart w:id="153" w:name="OLE_LINK2348"/>
      <w:bookmarkStart w:id="154" w:name="OLE_LINK2451"/>
      <w:bookmarkStart w:id="155" w:name="OLE_LINK2627"/>
      <w:bookmarkStart w:id="156" w:name="OLE_LINK2482"/>
      <w:bookmarkStart w:id="157" w:name="OLE_LINK2663"/>
      <w:bookmarkStart w:id="158" w:name="OLE_LINK2761"/>
      <w:bookmarkStart w:id="159" w:name="OLE_LINK2856"/>
      <w:bookmarkStart w:id="160" w:name="OLE_LINK2993"/>
      <w:bookmarkStart w:id="161" w:name="OLE_LINK2643"/>
      <w:bookmarkStart w:id="162" w:name="OLE_LINK2583"/>
      <w:bookmarkStart w:id="163" w:name="OLE_LINK2762"/>
      <w:bookmarkStart w:id="164" w:name="OLE_LINK2962"/>
      <w:bookmarkStart w:id="165" w:name="OLE_LINK2582"/>
      <w:r w:rsidRPr="00031CB9">
        <w:rPr>
          <w:rFonts w:ascii="Book Antiqua" w:hAnsi="Book Antiqua"/>
          <w:b/>
          <w:color w:val="000000" w:themeColor="text1"/>
          <w:sz w:val="24"/>
          <w:szCs w:val="24"/>
          <w:lang w:val="en-GB"/>
        </w:rPr>
        <w:t xml:space="preserve">© </w:t>
      </w:r>
      <w:r w:rsidRPr="00031CB9">
        <w:rPr>
          <w:rFonts w:ascii="Book Antiqua" w:eastAsia="AdvTimes" w:hAnsi="Book Antiqua" w:cs="AdvTimes"/>
          <w:b/>
          <w:color w:val="000000" w:themeColor="text1"/>
          <w:sz w:val="24"/>
          <w:szCs w:val="24"/>
        </w:rPr>
        <w:t>The Author(s) 2015.</w:t>
      </w:r>
      <w:r w:rsidRPr="00031CB9">
        <w:rPr>
          <w:rFonts w:ascii="Book Antiqua" w:eastAsia="AdvTimes" w:hAnsi="Book Antiqua" w:cs="AdvTimes"/>
          <w:color w:val="000000" w:themeColor="text1"/>
          <w:sz w:val="24"/>
          <w:szCs w:val="24"/>
        </w:rPr>
        <w:t xml:space="preserve"> Published by </w:t>
      </w:r>
      <w:r w:rsidRPr="00031CB9">
        <w:rPr>
          <w:rFonts w:ascii="Book Antiqua" w:hAnsi="Book Antiqua" w:cs="Arial Unicode MS"/>
          <w:color w:val="000000" w:themeColor="text1"/>
          <w:sz w:val="24"/>
          <w:szCs w:val="24"/>
          <w:lang w:val="en-GB"/>
        </w:rPr>
        <w:t>Baishideng Publishing Group Inc.</w:t>
      </w:r>
      <w:r w:rsidRPr="00031CB9">
        <w:rPr>
          <w:rFonts w:ascii="Book Antiqua" w:hAnsi="Book Antiqua" w:cs="Arial Unicode MS"/>
          <w:color w:val="000000" w:themeColor="text1"/>
          <w:sz w:val="24"/>
          <w:szCs w:val="24"/>
        </w:rPr>
        <w:t xml:space="preserve"> All rights reserved.</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215A84" w:rsidRPr="00215A84" w:rsidRDefault="00215A84" w:rsidP="00445758">
      <w:pPr>
        <w:kinsoku w:val="0"/>
        <w:wordWrap/>
        <w:overflowPunct w:val="0"/>
        <w:adjustRightInd w:val="0"/>
        <w:snapToGrid w:val="0"/>
        <w:spacing w:after="0" w:line="360" w:lineRule="auto"/>
        <w:rPr>
          <w:rFonts w:ascii="Book Antiqua" w:eastAsia="SimSun" w:hAnsi="Book Antiqua" w:cs="Arial Unicode MS"/>
          <w:color w:val="000000" w:themeColor="text1"/>
          <w:sz w:val="24"/>
          <w:szCs w:val="24"/>
          <w:lang w:eastAsia="zh-CN"/>
        </w:rPr>
      </w:pPr>
    </w:p>
    <w:p w:rsidR="00215A84" w:rsidRDefault="00215A84" w:rsidP="00445758">
      <w:pPr>
        <w:kinsoku w:val="0"/>
        <w:wordWrap/>
        <w:overflowPunct w:val="0"/>
        <w:adjustRightInd w:val="0"/>
        <w:snapToGrid w:val="0"/>
        <w:spacing w:after="0" w:line="360" w:lineRule="auto"/>
        <w:rPr>
          <w:rFonts w:ascii="Book Antiqua" w:eastAsia="SimSun" w:hAnsi="Book Antiqua"/>
          <w:color w:val="000000" w:themeColor="text1"/>
          <w:sz w:val="24"/>
          <w:szCs w:val="24"/>
          <w:lang w:eastAsia="zh-CN"/>
        </w:rPr>
      </w:pPr>
      <w:r w:rsidRPr="00215A84">
        <w:rPr>
          <w:rFonts w:ascii="Book Antiqua" w:eastAsia="SimSun" w:hAnsi="Book Antiqua"/>
          <w:b/>
          <w:color w:val="000000" w:themeColor="text1"/>
          <w:sz w:val="24"/>
          <w:szCs w:val="24"/>
          <w:lang w:eastAsia="zh-CN"/>
        </w:rPr>
        <w:t xml:space="preserve">Core tip: </w:t>
      </w:r>
      <w:r w:rsidRPr="00215A84">
        <w:rPr>
          <w:rFonts w:ascii="Book Antiqua" w:eastAsia="SimSun" w:hAnsi="Book Antiqua"/>
          <w:color w:val="000000" w:themeColor="text1"/>
          <w:sz w:val="24"/>
          <w:szCs w:val="24"/>
          <w:lang w:eastAsia="zh-CN"/>
        </w:rPr>
        <w:t xml:space="preserve">In this study, we summarize recent studies of hepatolithiasis and provide an understanding of hepatolithiasis-associated cholangiocarcinoma (HL-CCA). Management of hepatolithiasis requires proper treatment to reduce recurrence and achieve early detection of HL-CCA. It is not clear whether hepatic resection can </w:t>
      </w:r>
      <w:r w:rsidRPr="00215A84">
        <w:rPr>
          <w:rFonts w:ascii="Book Antiqua" w:eastAsia="SimSun" w:hAnsi="Book Antiqua"/>
          <w:color w:val="000000" w:themeColor="text1"/>
          <w:sz w:val="24"/>
          <w:szCs w:val="24"/>
          <w:lang w:eastAsia="zh-CN"/>
        </w:rPr>
        <w:lastRenderedPageBreak/>
        <w:t>reduce the occurrence of HL-CCA, and there is no surveillance tool to predict subsequent occurrence. Patients should be followed after treatment because there are no effective measures to prevent HL-CCA and premalignant lesions.</w:t>
      </w:r>
    </w:p>
    <w:p w:rsidR="00215A84" w:rsidRPr="00215A84" w:rsidRDefault="00215A84" w:rsidP="00445758">
      <w:pPr>
        <w:kinsoku w:val="0"/>
        <w:wordWrap/>
        <w:overflowPunct w:val="0"/>
        <w:adjustRightInd w:val="0"/>
        <w:snapToGrid w:val="0"/>
        <w:spacing w:after="0" w:line="360" w:lineRule="auto"/>
        <w:rPr>
          <w:rFonts w:ascii="Book Antiqua" w:eastAsia="SimSun" w:hAnsi="Book Antiqua"/>
          <w:color w:val="000000" w:themeColor="text1"/>
          <w:sz w:val="24"/>
          <w:szCs w:val="24"/>
          <w:lang w:eastAsia="zh-CN"/>
        </w:rPr>
      </w:pPr>
    </w:p>
    <w:p w:rsidR="00215A84" w:rsidRPr="00215A84" w:rsidRDefault="00215A84" w:rsidP="00445758">
      <w:pPr>
        <w:widowControl/>
        <w:kinsoku w:val="0"/>
        <w:wordWrap/>
        <w:overflowPunct w:val="0"/>
        <w:adjustRightInd w:val="0"/>
        <w:snapToGrid w:val="0"/>
        <w:spacing w:after="0" w:line="360" w:lineRule="auto"/>
        <w:rPr>
          <w:rFonts w:ascii="Book Antiqua" w:eastAsia="SimSun" w:hAnsi="Book Antiqua" w:cs="Times New Roman"/>
          <w:bCs/>
          <w:color w:val="000000" w:themeColor="text1"/>
          <w:sz w:val="24"/>
          <w:szCs w:val="24"/>
          <w:lang w:eastAsia="zh-CN"/>
        </w:rPr>
      </w:pPr>
      <w:r w:rsidRPr="003B6C8F">
        <w:rPr>
          <w:rFonts w:ascii="Book Antiqua" w:hAnsi="Book Antiqua" w:cs="Times New Roman"/>
          <w:color w:val="000000" w:themeColor="text1"/>
          <w:kern w:val="0"/>
          <w:sz w:val="24"/>
          <w:szCs w:val="24"/>
        </w:rPr>
        <w:t>Kim</w:t>
      </w:r>
      <w:r>
        <w:rPr>
          <w:rFonts w:ascii="Book Antiqua" w:eastAsia="SimSun" w:hAnsi="Book Antiqua" w:cs="Times New Roman" w:hint="eastAsia"/>
          <w:color w:val="000000" w:themeColor="text1"/>
          <w:kern w:val="0"/>
          <w:sz w:val="24"/>
          <w:szCs w:val="24"/>
          <w:lang w:eastAsia="zh-CN"/>
        </w:rPr>
        <w:t xml:space="preserve"> HJ</w:t>
      </w:r>
      <w:r w:rsidRPr="003B6C8F">
        <w:rPr>
          <w:rFonts w:ascii="Book Antiqua" w:hAnsi="Book Antiqua" w:cs="Times New Roman"/>
          <w:color w:val="000000" w:themeColor="text1"/>
          <w:kern w:val="0"/>
          <w:sz w:val="24"/>
          <w:szCs w:val="24"/>
        </w:rPr>
        <w:t>, Kim</w:t>
      </w:r>
      <w:r>
        <w:rPr>
          <w:rFonts w:ascii="Book Antiqua" w:eastAsia="SimSun" w:hAnsi="Book Antiqua" w:cs="Times New Roman" w:hint="eastAsia"/>
          <w:color w:val="000000" w:themeColor="text1"/>
          <w:kern w:val="0"/>
          <w:sz w:val="24"/>
          <w:szCs w:val="24"/>
          <w:lang w:eastAsia="zh-CN"/>
        </w:rPr>
        <w:t xml:space="preserve"> JS</w:t>
      </w:r>
      <w:r w:rsidRPr="003B6C8F">
        <w:rPr>
          <w:rFonts w:ascii="Book Antiqua" w:hAnsi="Book Antiqua" w:cs="Times New Roman"/>
          <w:color w:val="000000" w:themeColor="text1"/>
          <w:kern w:val="0"/>
          <w:sz w:val="24"/>
          <w:szCs w:val="24"/>
        </w:rPr>
        <w:t>, Joo</w:t>
      </w:r>
      <w:r>
        <w:rPr>
          <w:rFonts w:ascii="Book Antiqua" w:eastAsia="SimSun" w:hAnsi="Book Antiqua" w:cs="Times New Roman" w:hint="eastAsia"/>
          <w:color w:val="000000" w:themeColor="text1"/>
          <w:kern w:val="0"/>
          <w:sz w:val="24"/>
          <w:szCs w:val="24"/>
          <w:lang w:eastAsia="zh-CN"/>
        </w:rPr>
        <w:t xml:space="preserve"> MK</w:t>
      </w:r>
      <w:r w:rsidRPr="003B6C8F">
        <w:rPr>
          <w:rFonts w:ascii="Book Antiqua" w:hAnsi="Book Antiqua" w:cs="Times New Roman"/>
          <w:color w:val="000000" w:themeColor="text1"/>
          <w:kern w:val="0"/>
          <w:sz w:val="24"/>
          <w:szCs w:val="24"/>
        </w:rPr>
        <w:t>, Lee</w:t>
      </w:r>
      <w:r>
        <w:rPr>
          <w:rFonts w:ascii="Book Antiqua" w:eastAsia="SimSun" w:hAnsi="Book Antiqua" w:cs="Times New Roman" w:hint="eastAsia"/>
          <w:color w:val="000000" w:themeColor="text1"/>
          <w:kern w:val="0"/>
          <w:sz w:val="24"/>
          <w:szCs w:val="24"/>
          <w:lang w:eastAsia="zh-CN"/>
        </w:rPr>
        <w:t xml:space="preserve"> BJ</w:t>
      </w:r>
      <w:r w:rsidRPr="003B6C8F">
        <w:rPr>
          <w:rFonts w:ascii="Book Antiqua" w:hAnsi="Book Antiqua" w:cs="Times New Roman"/>
          <w:color w:val="000000" w:themeColor="text1"/>
          <w:kern w:val="0"/>
          <w:sz w:val="24"/>
          <w:szCs w:val="24"/>
        </w:rPr>
        <w:t>, Kim</w:t>
      </w:r>
      <w:r>
        <w:rPr>
          <w:rFonts w:ascii="Book Antiqua" w:eastAsia="SimSun" w:hAnsi="Book Antiqua" w:cs="Times New Roman" w:hint="eastAsia"/>
          <w:color w:val="000000" w:themeColor="text1"/>
          <w:kern w:val="0"/>
          <w:sz w:val="24"/>
          <w:szCs w:val="24"/>
          <w:lang w:eastAsia="zh-CN"/>
        </w:rPr>
        <w:t xml:space="preserve"> JH</w:t>
      </w:r>
      <w:r w:rsidRPr="003B6C8F">
        <w:rPr>
          <w:rFonts w:ascii="Book Antiqua" w:hAnsi="Book Antiqua" w:cs="Times New Roman"/>
          <w:color w:val="000000" w:themeColor="text1"/>
          <w:kern w:val="0"/>
          <w:sz w:val="24"/>
          <w:szCs w:val="24"/>
        </w:rPr>
        <w:t>, Yeon</w:t>
      </w:r>
      <w:r>
        <w:rPr>
          <w:rFonts w:ascii="Book Antiqua" w:eastAsia="SimSun" w:hAnsi="Book Antiqua" w:cs="Times New Roman" w:hint="eastAsia"/>
          <w:color w:val="000000" w:themeColor="text1"/>
          <w:kern w:val="0"/>
          <w:sz w:val="24"/>
          <w:szCs w:val="24"/>
          <w:lang w:eastAsia="zh-CN"/>
        </w:rPr>
        <w:t xml:space="preserve"> JE</w:t>
      </w:r>
      <w:r w:rsidRPr="003B6C8F">
        <w:rPr>
          <w:rFonts w:ascii="Book Antiqua" w:hAnsi="Book Antiqua" w:cs="Times New Roman"/>
          <w:color w:val="000000" w:themeColor="text1"/>
          <w:kern w:val="0"/>
          <w:sz w:val="24"/>
          <w:szCs w:val="24"/>
        </w:rPr>
        <w:t>, Park</w:t>
      </w:r>
      <w:r>
        <w:rPr>
          <w:rFonts w:ascii="Book Antiqua" w:eastAsia="SimSun" w:hAnsi="Book Antiqua" w:cs="Times New Roman" w:hint="eastAsia"/>
          <w:color w:val="000000" w:themeColor="text1"/>
          <w:kern w:val="0"/>
          <w:sz w:val="24"/>
          <w:szCs w:val="24"/>
          <w:lang w:eastAsia="zh-CN"/>
        </w:rPr>
        <w:t xml:space="preserve"> JJ</w:t>
      </w:r>
      <w:r w:rsidRPr="003B6C8F">
        <w:rPr>
          <w:rFonts w:ascii="Book Antiqua" w:hAnsi="Book Antiqua" w:cs="Times New Roman"/>
          <w:color w:val="000000" w:themeColor="text1"/>
          <w:kern w:val="0"/>
          <w:sz w:val="24"/>
          <w:szCs w:val="24"/>
        </w:rPr>
        <w:t>, Byun</w:t>
      </w:r>
      <w:r>
        <w:rPr>
          <w:rFonts w:ascii="Book Antiqua" w:eastAsia="SimSun" w:hAnsi="Book Antiqua" w:cs="Times New Roman" w:hint="eastAsia"/>
          <w:color w:val="000000" w:themeColor="text1"/>
          <w:kern w:val="0"/>
          <w:sz w:val="24"/>
          <w:szCs w:val="24"/>
          <w:lang w:eastAsia="zh-CN"/>
        </w:rPr>
        <w:t xml:space="preserve"> KS</w:t>
      </w:r>
      <w:r w:rsidRPr="003B6C8F">
        <w:rPr>
          <w:rFonts w:ascii="Book Antiqua" w:hAnsi="Book Antiqua" w:cs="Times New Roman"/>
          <w:color w:val="000000" w:themeColor="text1"/>
          <w:kern w:val="0"/>
          <w:sz w:val="24"/>
          <w:szCs w:val="24"/>
        </w:rPr>
        <w:t>, Bak</w:t>
      </w:r>
      <w:r>
        <w:rPr>
          <w:rFonts w:ascii="Book Antiqua" w:eastAsia="SimSun" w:hAnsi="Book Antiqua" w:cs="Times New Roman" w:hint="eastAsia"/>
          <w:color w:val="000000" w:themeColor="text1"/>
          <w:kern w:val="0"/>
          <w:sz w:val="24"/>
          <w:szCs w:val="24"/>
          <w:lang w:eastAsia="zh-CN"/>
        </w:rPr>
        <w:t xml:space="preserve"> YT. </w:t>
      </w:r>
      <w:r w:rsidRPr="00215A84">
        <w:rPr>
          <w:rFonts w:ascii="Book Antiqua" w:eastAsia="함초롬바탕" w:hAnsi="Book Antiqua" w:cs="Times New Roman"/>
          <w:bCs/>
          <w:color w:val="000000" w:themeColor="text1"/>
          <w:sz w:val="24"/>
          <w:szCs w:val="24"/>
        </w:rPr>
        <w:t>Hepatolithiasis and intrahepatic cholangiocarcinoma: A review</w:t>
      </w:r>
      <w:r>
        <w:rPr>
          <w:rFonts w:ascii="Book Antiqua" w:eastAsia="SimSun" w:hAnsi="Book Antiqua" w:cs="Times New Roman" w:hint="eastAsia"/>
          <w:bCs/>
          <w:color w:val="000000" w:themeColor="text1"/>
          <w:sz w:val="24"/>
          <w:szCs w:val="24"/>
          <w:lang w:eastAsia="zh-CN"/>
        </w:rPr>
        <w:t xml:space="preserve">. </w:t>
      </w:r>
      <w:r w:rsidRPr="00215A84">
        <w:rPr>
          <w:rFonts w:ascii="Book Antiqua" w:eastAsia="SimSun" w:hAnsi="Book Antiqua" w:cs="Times New Roman"/>
          <w:bCs/>
          <w:i/>
          <w:color w:val="000000" w:themeColor="text1"/>
          <w:sz w:val="24"/>
          <w:szCs w:val="24"/>
          <w:lang w:eastAsia="zh-CN"/>
        </w:rPr>
        <w:t>World J Gastroenterol</w:t>
      </w:r>
      <w:r w:rsidRPr="00215A84">
        <w:rPr>
          <w:rFonts w:ascii="Book Antiqua" w:eastAsia="SimSun" w:hAnsi="Book Antiqua" w:cs="Times New Roman"/>
          <w:bCs/>
          <w:color w:val="000000" w:themeColor="text1"/>
          <w:sz w:val="24"/>
          <w:szCs w:val="24"/>
          <w:lang w:eastAsia="zh-CN"/>
        </w:rPr>
        <w:t xml:space="preserve"> 201</w:t>
      </w:r>
      <w:r w:rsidRPr="00215A84">
        <w:rPr>
          <w:rFonts w:ascii="Book Antiqua" w:eastAsia="SimSun" w:hAnsi="Book Antiqua" w:cs="Times New Roman" w:hint="eastAsia"/>
          <w:bCs/>
          <w:color w:val="000000" w:themeColor="text1"/>
          <w:sz w:val="24"/>
          <w:szCs w:val="24"/>
          <w:lang w:eastAsia="zh-CN"/>
        </w:rPr>
        <w:t>5</w:t>
      </w:r>
      <w:r w:rsidRPr="00215A84">
        <w:rPr>
          <w:rFonts w:ascii="Book Antiqua" w:eastAsia="SimSun" w:hAnsi="Book Antiqua" w:cs="Times New Roman"/>
          <w:bCs/>
          <w:color w:val="000000" w:themeColor="text1"/>
          <w:sz w:val="24"/>
          <w:szCs w:val="24"/>
          <w:lang w:eastAsia="zh-CN"/>
        </w:rPr>
        <w:t>; In press</w:t>
      </w:r>
    </w:p>
    <w:p w:rsidR="00B565CE" w:rsidRDefault="00B565CE" w:rsidP="00445758">
      <w:pPr>
        <w:pStyle w:val="a"/>
        <w:kinsoku w:val="0"/>
        <w:wordWrap/>
        <w:overflowPunct w:val="0"/>
        <w:adjustRightInd w:val="0"/>
        <w:snapToGrid w:val="0"/>
        <w:spacing w:line="360" w:lineRule="auto"/>
        <w:rPr>
          <w:rFonts w:ascii="Book Antiqua" w:eastAsia="SimSun" w:hAnsi="Book Antiqua" w:cs="Arial"/>
          <w:b/>
          <w:bCs/>
          <w:color w:val="000000" w:themeColor="text1"/>
          <w:sz w:val="24"/>
          <w:szCs w:val="24"/>
          <w:lang w:eastAsia="zh-CN"/>
        </w:rPr>
      </w:pPr>
      <w:r>
        <w:rPr>
          <w:rFonts w:ascii="Book Antiqua" w:eastAsia="SimSun" w:hAnsi="Book Antiqua" w:cs="Arial"/>
          <w:b/>
          <w:bCs/>
          <w:color w:val="000000" w:themeColor="text1"/>
          <w:sz w:val="24"/>
          <w:szCs w:val="24"/>
          <w:lang w:eastAsia="zh-CN"/>
        </w:rPr>
        <w:br w:type="page"/>
      </w:r>
    </w:p>
    <w:p w:rsidR="00D7591F" w:rsidRPr="007C5008" w:rsidRDefault="00D7591F" w:rsidP="00445758">
      <w:pPr>
        <w:pStyle w:val="a"/>
        <w:kinsoku w:val="0"/>
        <w:wordWrap/>
        <w:overflowPunct w:val="0"/>
        <w:adjustRightInd w:val="0"/>
        <w:snapToGrid w:val="0"/>
        <w:spacing w:line="360" w:lineRule="auto"/>
        <w:rPr>
          <w:rFonts w:ascii="Book Antiqua" w:eastAsia="함초롬바탕" w:hAnsi="Book Antiqua" w:cs="Arial"/>
          <w:b/>
          <w:bCs/>
          <w:caps/>
          <w:color w:val="000000" w:themeColor="text1"/>
          <w:sz w:val="24"/>
          <w:szCs w:val="24"/>
          <w:lang w:eastAsia="zh-CN"/>
        </w:rPr>
      </w:pPr>
      <w:r w:rsidRPr="007C5008">
        <w:rPr>
          <w:rFonts w:ascii="Book Antiqua" w:eastAsia="함초롬바탕" w:hAnsi="Book Antiqua" w:cs="Arial"/>
          <w:b/>
          <w:bCs/>
          <w:caps/>
          <w:color w:val="000000" w:themeColor="text1"/>
          <w:sz w:val="24"/>
          <w:szCs w:val="24"/>
        </w:rPr>
        <w:lastRenderedPageBreak/>
        <w:t>Introduction</w:t>
      </w:r>
    </w:p>
    <w:p w:rsidR="00D7591F" w:rsidRPr="00031CB9" w:rsidRDefault="00D7591F" w:rsidP="00445758">
      <w:pPr>
        <w:pStyle w:val="a"/>
        <w:kinsoku w:val="0"/>
        <w:wordWrap/>
        <w:overflowPunct w:val="0"/>
        <w:adjustRightInd w:val="0"/>
        <w:snapToGrid w:val="0"/>
        <w:spacing w:line="360" w:lineRule="auto"/>
        <w:rPr>
          <w:rFonts w:ascii="Book Antiqua"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Gallstone disease is common in </w:t>
      </w:r>
      <w:r w:rsidRPr="00031CB9">
        <w:rPr>
          <w:rFonts w:ascii="Book Antiqua" w:hAnsi="Book Antiqua" w:cs="Arial"/>
          <w:color w:val="000000" w:themeColor="text1"/>
          <w:sz w:val="24"/>
          <w:szCs w:val="24"/>
        </w:rPr>
        <w:t>Western and Asian countries</w:t>
      </w:r>
      <w:r w:rsidRPr="00031CB9">
        <w:rPr>
          <w:rFonts w:ascii="Book Antiqua" w:eastAsia="함초롬바탕" w:hAnsi="Book Antiqua" w:cs="Arial"/>
          <w:color w:val="000000" w:themeColor="text1"/>
          <w:sz w:val="24"/>
          <w:szCs w:val="24"/>
        </w:rPr>
        <w:t xml:space="preserve">. One type of gallstone disease, hepatolithiasis, is characterized by the presence of stones within the intrahepatic bile ducts proximal to the right and left hepatic ducts. Hepatolithiasis is rare in Western countries, but East Asian countries such as Taiwan, China, Hong Kong, </w:t>
      </w:r>
      <w:r w:rsidR="007C5008">
        <w:rPr>
          <w:rFonts w:ascii="Book Antiqua" w:eastAsia="SimSun" w:hAnsi="Book Antiqua" w:cs="Arial" w:hint="eastAsia"/>
          <w:color w:val="000000" w:themeColor="text1"/>
          <w:sz w:val="24"/>
          <w:szCs w:val="24"/>
          <w:lang w:eastAsia="zh-CN"/>
        </w:rPr>
        <w:t xml:space="preserve">South </w:t>
      </w:r>
      <w:r w:rsidRPr="00031CB9">
        <w:rPr>
          <w:rFonts w:ascii="Book Antiqua" w:eastAsia="함초롬바탕" w:hAnsi="Book Antiqua" w:cs="Arial"/>
          <w:color w:val="000000" w:themeColor="text1"/>
          <w:sz w:val="24"/>
          <w:szCs w:val="24"/>
        </w:rPr>
        <w:t>Korea, and Japan have higher incidences</w:t>
      </w:r>
      <w:r w:rsidRPr="00031CB9">
        <w:rPr>
          <w:rFonts w:ascii="Book Antiqua" w:eastAsia="함초롬바탕" w:hAnsi="Book Antiqua" w:cs="Arial"/>
          <w:color w:val="000000" w:themeColor="text1"/>
          <w:sz w:val="24"/>
          <w:szCs w:val="24"/>
          <w:vertAlign w:val="superscript"/>
        </w:rPr>
        <w:t>[1-4]</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Hepatolithiasis is benign in nature, but the prognosis is poor due to an association with </w:t>
      </w:r>
      <w:r w:rsidRPr="00031CB9">
        <w:rPr>
          <w:rFonts w:ascii="Book Antiqua" w:eastAsia="Batang" w:hAnsi="Book Antiqua" w:cs="Arial"/>
          <w:color w:val="000000" w:themeColor="text1"/>
          <w:sz w:val="24"/>
          <w:szCs w:val="24"/>
        </w:rPr>
        <w:t xml:space="preserve">recurrent cholangitis, biliary strictures, </w:t>
      </w:r>
      <w:r w:rsidRPr="00031CB9">
        <w:rPr>
          <w:rFonts w:ascii="Book Antiqua" w:eastAsia="함초롬바탕" w:hAnsi="Book Antiqua" w:cs="Arial"/>
          <w:color w:val="000000" w:themeColor="text1"/>
          <w:sz w:val="24"/>
          <w:szCs w:val="24"/>
        </w:rPr>
        <w:t>liver abscesses, and atrophy or cirrhosis of the affected liver; however,</w:t>
      </w:r>
      <w:r w:rsidRPr="00031CB9">
        <w:rPr>
          <w:rFonts w:ascii="Book Antiqua" w:eastAsia="Batang" w:hAnsi="Book Antiqua" w:cs="Arial"/>
          <w:color w:val="000000" w:themeColor="text1"/>
          <w:sz w:val="24"/>
          <w:szCs w:val="24"/>
        </w:rPr>
        <w:t xml:space="preserve"> there have been advances in the management of the stones associated with hepatolithiasis</w:t>
      </w:r>
      <w:r w:rsidRPr="00031CB9">
        <w:rPr>
          <w:rFonts w:ascii="Book Antiqua" w:eastAsia="Batang"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vertAlign w:val="superscript"/>
        </w:rPr>
        <w:t>5-7]</w:t>
      </w:r>
      <w:r w:rsidRPr="00031CB9">
        <w:rPr>
          <w:rFonts w:ascii="Book Antiqua" w:eastAsia="함초롬바탕" w:hAnsi="Book Antiqua" w:cs="Arial"/>
          <w:color w:val="000000" w:themeColor="text1"/>
          <w:sz w:val="24"/>
          <w:szCs w:val="24"/>
        </w:rPr>
        <w:t>. Hepatolithiasis is also a known risk factor for intrahepatic cholangiocarcinoma (CCA)</w:t>
      </w:r>
      <w:r w:rsidRPr="00031CB9">
        <w:rPr>
          <w:rFonts w:ascii="Book Antiqua" w:eastAsia="함초롬바탕" w:hAnsi="Book Antiqua" w:cs="Arial"/>
          <w:color w:val="000000" w:themeColor="text1"/>
          <w:sz w:val="24"/>
          <w:szCs w:val="24"/>
          <w:vertAlign w:val="superscript"/>
        </w:rPr>
        <w:t>[8,9]</w:t>
      </w:r>
      <w:r w:rsidRPr="00031CB9">
        <w:rPr>
          <w:rFonts w:ascii="Book Antiqua" w:eastAsia="함초롬바탕" w:hAnsi="Book Antiqua" w:cs="Arial"/>
          <w:color w:val="000000" w:themeColor="text1"/>
          <w:sz w:val="24"/>
          <w:szCs w:val="24"/>
        </w:rPr>
        <w:t>. Although mortality due to cholangitis from hepatolithiasis is very low, the occurrence of hepatolithiasis-associated CCA (HL-CCA) is a prognostic factor for poor outcome</w:t>
      </w:r>
      <w:r w:rsidRPr="00031CB9">
        <w:rPr>
          <w:rFonts w:ascii="Book Antiqua" w:eastAsia="함초롬바탕" w:hAnsi="Book Antiqua" w:cs="Arial"/>
          <w:color w:val="000000" w:themeColor="text1"/>
          <w:sz w:val="24"/>
          <w:szCs w:val="24"/>
          <w:vertAlign w:val="superscript"/>
        </w:rPr>
        <w:t>[10-12]</w:t>
      </w:r>
      <w:r w:rsidRPr="00031CB9">
        <w:rPr>
          <w:rFonts w:ascii="Book Antiqua" w:eastAsia="함초롬바탕" w:hAnsi="Book Antiqua" w:cs="Arial"/>
          <w:color w:val="000000" w:themeColor="text1"/>
          <w:sz w:val="24"/>
          <w:szCs w:val="24"/>
        </w:rPr>
        <w:t>. Early diagnosis of HL-CCA is still challenging even though there have been advances in diagnostic modalities and various efforts to identify it in early stages</w:t>
      </w:r>
      <w:r w:rsidRPr="00031CB9">
        <w:rPr>
          <w:rFonts w:ascii="Book Antiqua" w:eastAsia="함초롬바탕" w:hAnsi="Book Antiqua" w:cs="Arial"/>
          <w:color w:val="000000" w:themeColor="text1"/>
          <w:sz w:val="24"/>
          <w:szCs w:val="24"/>
          <w:vertAlign w:val="superscript"/>
        </w:rPr>
        <w:t>[13]</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hAnsi="Book Antiqua" w:cs="Arial"/>
          <w:color w:val="000000" w:themeColor="text1"/>
          <w:sz w:val="24"/>
          <w:szCs w:val="24"/>
        </w:rPr>
      </w:pPr>
      <w:r w:rsidRPr="00031CB9">
        <w:rPr>
          <w:rFonts w:ascii="Book Antiqua" w:eastAsia="함초롬바탕" w:hAnsi="Book Antiqua" w:cs="Arial"/>
          <w:color w:val="000000" w:themeColor="text1"/>
          <w:sz w:val="24"/>
          <w:szCs w:val="24"/>
        </w:rPr>
        <w:t>Here we review the epidemiology, pathogenesis, diagnosis, and management of hepatolithiasis and HL-CCA. This review also summarizes the predictive factors for HL-CCA.</w:t>
      </w:r>
    </w:p>
    <w:p w:rsidR="00D7591F" w:rsidRPr="00031CB9" w:rsidRDefault="00D7591F" w:rsidP="00445758">
      <w:pPr>
        <w:pStyle w:val="a"/>
        <w:kinsoku w:val="0"/>
        <w:wordWrap/>
        <w:overflowPunct w:val="0"/>
        <w:adjustRightInd w:val="0"/>
        <w:snapToGrid w:val="0"/>
        <w:spacing w:line="360" w:lineRule="auto"/>
        <w:rPr>
          <w:rFonts w:ascii="Book Antiqua" w:hAnsi="Book Antiqua" w:cs="Arial"/>
          <w:color w:val="000000" w:themeColor="text1"/>
          <w:sz w:val="24"/>
          <w:szCs w:val="24"/>
        </w:rPr>
      </w:pPr>
    </w:p>
    <w:p w:rsidR="00D7591F" w:rsidRPr="007C5008" w:rsidRDefault="00D7591F" w:rsidP="00445758">
      <w:pPr>
        <w:pStyle w:val="a"/>
        <w:kinsoku w:val="0"/>
        <w:wordWrap/>
        <w:overflowPunct w:val="0"/>
        <w:adjustRightInd w:val="0"/>
        <w:snapToGrid w:val="0"/>
        <w:spacing w:line="360" w:lineRule="auto"/>
        <w:rPr>
          <w:rFonts w:ascii="Book Antiqua" w:eastAsia="함초롬바탕" w:hAnsi="Book Antiqua" w:cs="Arial"/>
          <w:b/>
          <w:bCs/>
          <w:caps/>
          <w:color w:val="000000" w:themeColor="text1"/>
          <w:sz w:val="24"/>
          <w:szCs w:val="24"/>
        </w:rPr>
      </w:pPr>
      <w:r w:rsidRPr="007C5008">
        <w:rPr>
          <w:rFonts w:ascii="Book Antiqua" w:eastAsia="함초롬바탕" w:hAnsi="Book Antiqua" w:cs="Arial"/>
          <w:b/>
          <w:bCs/>
          <w:caps/>
          <w:color w:val="000000" w:themeColor="text1"/>
          <w:sz w:val="24"/>
          <w:szCs w:val="24"/>
        </w:rPr>
        <w:t>Epidemiology</w:t>
      </w:r>
    </w:p>
    <w:p w:rsidR="00D7591F" w:rsidRPr="007C5008" w:rsidRDefault="00D7591F" w:rsidP="00445758">
      <w:pPr>
        <w:pStyle w:val="a"/>
        <w:kinsoku w:val="0"/>
        <w:wordWrap/>
        <w:overflowPunct w:val="0"/>
        <w:adjustRightInd w:val="0"/>
        <w:snapToGrid w:val="0"/>
        <w:spacing w:line="360" w:lineRule="auto"/>
        <w:rPr>
          <w:rFonts w:ascii="Book Antiqua" w:eastAsia="SimSun" w:hAnsi="Book Antiqua" w:cs="Arial"/>
          <w:b/>
          <w:i/>
          <w:color w:val="000000" w:themeColor="text1"/>
          <w:sz w:val="24"/>
          <w:szCs w:val="24"/>
          <w:lang w:eastAsia="zh-CN"/>
        </w:rPr>
      </w:pPr>
      <w:r w:rsidRPr="007C5008">
        <w:rPr>
          <w:rFonts w:ascii="Book Antiqua" w:eastAsia="함초롬바탕" w:hAnsi="Book Antiqua" w:cs="Arial"/>
          <w:b/>
          <w:i/>
          <w:color w:val="000000" w:themeColor="text1"/>
          <w:sz w:val="24"/>
          <w:szCs w:val="24"/>
        </w:rPr>
        <w:t>Hepatolithiasis</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The incidence of hepatolithiasis varies, but it is fairly common in Asian countries such as China, Taiwan, Hong Kong, Korea, and Japan, with incidence rates ranging from 2% to 25%</w:t>
      </w:r>
      <w:r w:rsidRPr="00031CB9">
        <w:rPr>
          <w:rFonts w:ascii="Book Antiqua" w:eastAsia="함초롬바탕" w:hAnsi="Book Antiqua" w:cs="Arial"/>
          <w:color w:val="000000" w:themeColor="text1"/>
          <w:sz w:val="24"/>
          <w:szCs w:val="24"/>
          <w:vertAlign w:val="superscript"/>
        </w:rPr>
        <w:t>[1-4]</w:t>
      </w:r>
      <w:r w:rsidRPr="00031CB9">
        <w:rPr>
          <w:rFonts w:ascii="Book Antiqua" w:eastAsia="함초롬바탕" w:hAnsi="Book Antiqua" w:cs="Arial"/>
          <w:color w:val="000000" w:themeColor="text1"/>
          <w:sz w:val="24"/>
          <w:szCs w:val="24"/>
        </w:rPr>
        <w:t>. In Western countries hepatolithiasis is rare, with incidences reported between 0.6% and 1.3%</w:t>
      </w:r>
      <w:r w:rsidRPr="00031CB9">
        <w:rPr>
          <w:rFonts w:ascii="Book Antiqua" w:eastAsia="함초롬바탕" w:hAnsi="Book Antiqua" w:cs="Arial"/>
          <w:color w:val="000000" w:themeColor="text1"/>
          <w:sz w:val="24"/>
          <w:szCs w:val="24"/>
          <w:vertAlign w:val="superscript"/>
        </w:rPr>
        <w:t>[4,14]</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The mechanism of intrahepatic stone formation is not well known, but malnutrition and low socio-economic status are suggested to be </w:t>
      </w:r>
      <w:r w:rsidRPr="00031CB9">
        <w:rPr>
          <w:rFonts w:ascii="Book Antiqua" w:eastAsia="HY궁서" w:hAnsi="Book Antiqua" w:cs="Arial"/>
          <w:color w:val="000000" w:themeColor="text1"/>
          <w:sz w:val="24"/>
          <w:szCs w:val="24"/>
        </w:rPr>
        <w:t>causatively related to hepatolithiasis</w:t>
      </w:r>
      <w:r w:rsidRPr="00031CB9">
        <w:rPr>
          <w:rFonts w:ascii="Book Antiqua" w:eastAsia="함초롬바탕" w:hAnsi="Book Antiqua" w:cs="Arial"/>
          <w:color w:val="000000" w:themeColor="text1"/>
          <w:sz w:val="24"/>
          <w:szCs w:val="24"/>
        </w:rPr>
        <w:t xml:space="preserve">. According to epidemiologic surveys, the pattern of gallstone disease is changing, and the incidence of hepatolithiasis is decreasing as people in Eastern countries take up a Westernized diet. </w:t>
      </w:r>
      <w:r w:rsidRPr="00031CB9">
        <w:rPr>
          <w:rFonts w:ascii="Book Antiqua" w:eastAsia="HY궁서" w:hAnsi="Book Antiqua" w:cs="Arial"/>
          <w:color w:val="000000" w:themeColor="text1"/>
          <w:sz w:val="24"/>
          <w:szCs w:val="24"/>
        </w:rPr>
        <w:t xml:space="preserve">A national </w:t>
      </w:r>
      <w:r w:rsidRPr="00031CB9">
        <w:rPr>
          <w:rStyle w:val="nbapihighlight1"/>
          <w:rFonts w:ascii="Book Antiqua" w:eastAsia="HY궁서" w:hAnsi="Book Antiqua" w:cs="Arial"/>
          <w:color w:val="000000" w:themeColor="text1"/>
          <w:sz w:val="24"/>
          <w:szCs w:val="24"/>
        </w:rPr>
        <w:t>survey</w:t>
      </w:r>
      <w:r w:rsidRPr="00031CB9">
        <w:rPr>
          <w:rFonts w:ascii="Book Antiqua" w:eastAsia="HY궁서" w:hAnsi="Book Antiqua" w:cs="Arial"/>
          <w:color w:val="000000" w:themeColor="text1"/>
          <w:sz w:val="24"/>
          <w:szCs w:val="24"/>
        </w:rPr>
        <w:t xml:space="preserve"> conducted in </w:t>
      </w:r>
      <w:r w:rsidRPr="00031CB9">
        <w:rPr>
          <w:rStyle w:val="nbapihighlight1"/>
          <w:rFonts w:ascii="Book Antiqua" w:eastAsia="HY궁서" w:hAnsi="Book Antiqua" w:cs="Arial"/>
          <w:color w:val="000000" w:themeColor="text1"/>
          <w:sz w:val="24"/>
          <w:szCs w:val="24"/>
        </w:rPr>
        <w:t>Japan</w:t>
      </w:r>
      <w:r w:rsidRPr="00031CB9">
        <w:rPr>
          <w:rFonts w:ascii="Book Antiqua" w:eastAsia="HY궁서" w:hAnsi="Book Antiqua" w:cs="Arial"/>
          <w:color w:val="000000" w:themeColor="text1"/>
          <w:sz w:val="24"/>
          <w:szCs w:val="24"/>
        </w:rPr>
        <w:t xml:space="preserve"> reported that the relative proportion of hepatolithiasis was 4.1% in the years from 1970-1977, </w:t>
      </w:r>
      <w:r w:rsidRPr="00031CB9">
        <w:rPr>
          <w:rFonts w:ascii="Book Antiqua" w:eastAsia="HY궁서" w:hAnsi="Book Antiqua" w:cs="Arial"/>
          <w:color w:val="000000" w:themeColor="text1"/>
          <w:sz w:val="24"/>
          <w:szCs w:val="24"/>
        </w:rPr>
        <w:lastRenderedPageBreak/>
        <w:t>3.0% in the years from 1975-1984, 2.3% in the years from 1985-1988, 2.2% in the years from 1989-1992, and 1.7% in the years from 1993-1995</w:t>
      </w:r>
      <w:r w:rsidRPr="00031CB9">
        <w:rPr>
          <w:rFonts w:ascii="Book Antiqua" w:eastAsia="HY궁서" w:hAnsi="Book Antiqua" w:cs="Arial"/>
          <w:color w:val="000000" w:themeColor="text1"/>
          <w:sz w:val="24"/>
          <w:szCs w:val="24"/>
          <w:vertAlign w:val="superscript"/>
        </w:rPr>
        <w:t>[15]</w:t>
      </w:r>
      <w:r w:rsidRPr="00031CB9">
        <w:rPr>
          <w:rFonts w:ascii="Book Antiqua" w:eastAsia="HY궁서" w:hAnsi="Book Antiqua" w:cs="Arial"/>
          <w:color w:val="000000" w:themeColor="text1"/>
          <w:sz w:val="24"/>
          <w:szCs w:val="24"/>
        </w:rPr>
        <w:t xml:space="preserve">. </w:t>
      </w:r>
      <w:r w:rsidR="00EE22DA" w:rsidRPr="00031CB9">
        <w:rPr>
          <w:rFonts w:ascii="Book Antiqua" w:eastAsia="HY궁서" w:hAnsi="Book Antiqua" w:cs="Arial"/>
          <w:color w:val="000000" w:themeColor="text1"/>
          <w:sz w:val="24"/>
          <w:szCs w:val="24"/>
        </w:rPr>
        <w:t>T</w:t>
      </w:r>
      <w:r w:rsidR="00222F34" w:rsidRPr="00031CB9">
        <w:rPr>
          <w:rFonts w:ascii="Book Antiqua" w:eastAsia="HY궁서" w:hAnsi="Book Antiqua" w:cs="Arial"/>
          <w:color w:val="000000" w:themeColor="text1"/>
          <w:sz w:val="24"/>
          <w:szCs w:val="24"/>
        </w:rPr>
        <w:t xml:space="preserve">he apparent decrease in the </w:t>
      </w:r>
      <w:r w:rsidR="00EE22DA" w:rsidRPr="00031CB9">
        <w:rPr>
          <w:rFonts w:ascii="Book Antiqua" w:eastAsia="HY궁서" w:hAnsi="Book Antiqua" w:cs="Arial"/>
          <w:color w:val="000000" w:themeColor="text1"/>
          <w:sz w:val="24"/>
          <w:szCs w:val="24"/>
        </w:rPr>
        <w:t xml:space="preserve">incidence of </w:t>
      </w:r>
      <w:r w:rsidR="00222F34" w:rsidRPr="00031CB9">
        <w:rPr>
          <w:rFonts w:ascii="Book Antiqua" w:eastAsia="HY궁서" w:hAnsi="Book Antiqua" w:cs="Arial"/>
          <w:color w:val="000000" w:themeColor="text1"/>
          <w:sz w:val="24"/>
          <w:szCs w:val="24"/>
        </w:rPr>
        <w:t>hepatolithiasis</w:t>
      </w:r>
      <w:r w:rsidR="00EE22DA" w:rsidRPr="00031CB9">
        <w:rPr>
          <w:rFonts w:ascii="Book Antiqua" w:eastAsia="HY궁서" w:hAnsi="Book Antiqua" w:cs="Arial"/>
          <w:color w:val="000000" w:themeColor="text1"/>
          <w:sz w:val="24"/>
          <w:szCs w:val="24"/>
        </w:rPr>
        <w:t xml:space="preserve"> have contributed to</w:t>
      </w:r>
      <w:r w:rsidR="00222F34" w:rsidRPr="00031CB9">
        <w:rPr>
          <w:rFonts w:ascii="Book Antiqua" w:eastAsia="HY궁서" w:hAnsi="Book Antiqua" w:cs="Arial"/>
          <w:color w:val="000000" w:themeColor="text1"/>
          <w:sz w:val="24"/>
          <w:szCs w:val="24"/>
        </w:rPr>
        <w:t xml:space="preserve"> </w:t>
      </w:r>
      <w:r w:rsidR="00EE22DA" w:rsidRPr="00031CB9">
        <w:rPr>
          <w:rFonts w:ascii="Book Antiqua" w:eastAsia="HY궁서" w:hAnsi="Book Antiqua" w:cs="Arial"/>
          <w:color w:val="000000" w:themeColor="text1"/>
          <w:sz w:val="24"/>
          <w:szCs w:val="24"/>
        </w:rPr>
        <w:t xml:space="preserve">this chronological shift, </w:t>
      </w:r>
      <w:r w:rsidR="00EF310D" w:rsidRPr="00031CB9">
        <w:rPr>
          <w:rFonts w:ascii="Book Antiqua" w:eastAsia="HY궁서" w:hAnsi="Book Antiqua" w:cs="Arial"/>
          <w:color w:val="000000" w:themeColor="text1"/>
          <w:sz w:val="24"/>
          <w:szCs w:val="24"/>
        </w:rPr>
        <w:t xml:space="preserve">but </w:t>
      </w:r>
      <w:r w:rsidR="00EE22DA" w:rsidRPr="00031CB9">
        <w:rPr>
          <w:rFonts w:ascii="Book Antiqua" w:eastAsia="HY궁서" w:hAnsi="Book Antiqua" w:cs="Arial"/>
          <w:color w:val="000000" w:themeColor="text1"/>
          <w:sz w:val="24"/>
          <w:szCs w:val="24"/>
        </w:rPr>
        <w:t xml:space="preserve">it </w:t>
      </w:r>
      <w:r w:rsidRPr="00031CB9">
        <w:rPr>
          <w:rFonts w:ascii="Book Antiqua" w:eastAsia="HY궁서" w:hAnsi="Book Antiqua" w:cs="Arial"/>
          <w:color w:val="000000" w:themeColor="text1"/>
          <w:sz w:val="24"/>
          <w:szCs w:val="24"/>
        </w:rPr>
        <w:t xml:space="preserve">may </w:t>
      </w:r>
      <w:r w:rsidR="000C2DD2" w:rsidRPr="00031CB9">
        <w:rPr>
          <w:rFonts w:ascii="Book Antiqua" w:eastAsia="HY궁서" w:hAnsi="Book Antiqua" w:cs="Arial"/>
          <w:color w:val="000000" w:themeColor="text1"/>
          <w:sz w:val="24"/>
          <w:szCs w:val="24"/>
        </w:rPr>
        <w:t xml:space="preserve">be </w:t>
      </w:r>
      <w:r w:rsidR="00EE22DA" w:rsidRPr="00031CB9">
        <w:rPr>
          <w:rFonts w:ascii="Book Antiqua" w:eastAsia="HY궁서" w:hAnsi="Book Antiqua" w:cs="Arial"/>
          <w:color w:val="000000" w:themeColor="text1"/>
          <w:sz w:val="24"/>
          <w:szCs w:val="24"/>
        </w:rPr>
        <w:t xml:space="preserve">partly </w:t>
      </w:r>
      <w:r w:rsidR="000C2DD2" w:rsidRPr="00031CB9">
        <w:rPr>
          <w:rFonts w:ascii="Book Antiqua" w:eastAsia="HY궁서" w:hAnsi="Book Antiqua" w:cs="Arial"/>
          <w:color w:val="000000" w:themeColor="text1"/>
          <w:sz w:val="24"/>
          <w:szCs w:val="24"/>
        </w:rPr>
        <w:t xml:space="preserve">caused by </w:t>
      </w:r>
      <w:r w:rsidRPr="00031CB9">
        <w:rPr>
          <w:rFonts w:ascii="Book Antiqua" w:eastAsia="HY궁서" w:hAnsi="Book Antiqua" w:cs="Arial"/>
          <w:color w:val="000000" w:themeColor="text1"/>
          <w:sz w:val="24"/>
          <w:szCs w:val="24"/>
        </w:rPr>
        <w:t xml:space="preserve">the increase of </w:t>
      </w:r>
      <w:r w:rsidR="00EE22DA" w:rsidRPr="00031CB9">
        <w:rPr>
          <w:rFonts w:ascii="Book Antiqua" w:eastAsia="함초롬바탕" w:hAnsi="Book Antiqua" w:cs="Arial"/>
          <w:color w:val="000000" w:themeColor="text1"/>
          <w:sz w:val="24"/>
          <w:szCs w:val="24"/>
        </w:rPr>
        <w:t xml:space="preserve">gallbladder stones </w:t>
      </w:r>
      <w:r w:rsidR="00CA28F6" w:rsidRPr="00031CB9">
        <w:rPr>
          <w:rFonts w:ascii="Book Antiqua" w:eastAsia="HY궁서" w:hAnsi="Book Antiqua" w:cs="Arial"/>
          <w:color w:val="000000" w:themeColor="text1"/>
          <w:sz w:val="24"/>
          <w:szCs w:val="24"/>
        </w:rPr>
        <w:t>due to westernized diet</w:t>
      </w:r>
      <w:r w:rsidRPr="00031CB9">
        <w:rPr>
          <w:rFonts w:ascii="Book Antiqua" w:eastAsia="HY궁서" w:hAnsi="Book Antiqua" w:cs="Arial"/>
          <w:color w:val="000000" w:themeColor="text1"/>
          <w:sz w:val="24"/>
          <w:szCs w:val="24"/>
          <w:vertAlign w:val="superscript"/>
        </w:rPr>
        <w:t>[16]</w:t>
      </w:r>
      <w:r w:rsidRPr="00031CB9">
        <w:rPr>
          <w:rFonts w:ascii="Book Antiqua" w:eastAsia="HY궁서" w:hAnsi="Book Antiqua" w:cs="Arial"/>
          <w:color w:val="000000" w:themeColor="text1"/>
          <w:sz w:val="24"/>
          <w:szCs w:val="24"/>
        </w:rPr>
        <w:t xml:space="preserve">. </w:t>
      </w:r>
      <w:r w:rsidRPr="00031CB9">
        <w:rPr>
          <w:rFonts w:ascii="Book Antiqua" w:eastAsia="함초롬바탕" w:hAnsi="Book Antiqua" w:cs="Arial"/>
          <w:color w:val="000000" w:themeColor="text1"/>
          <w:sz w:val="24"/>
          <w:szCs w:val="24"/>
        </w:rPr>
        <w:t>In Taiwan</w:t>
      </w:r>
      <w:r w:rsidR="00A41FAE" w:rsidRPr="00031CB9">
        <w:rPr>
          <w:rFonts w:ascii="Book Antiqua" w:eastAsia="함초롬바탕" w:hAnsi="Book Antiqua" w:cs="Arial"/>
          <w:color w:val="000000" w:themeColor="text1"/>
          <w:sz w:val="24"/>
          <w:szCs w:val="24"/>
        </w:rPr>
        <w:t xml:space="preserve">, </w:t>
      </w:r>
      <w:r w:rsidRPr="00031CB9">
        <w:rPr>
          <w:rFonts w:ascii="Book Antiqua" w:eastAsia="함초롬바탕" w:hAnsi="Book Antiqua" w:cs="Arial"/>
          <w:color w:val="000000" w:themeColor="text1"/>
          <w:sz w:val="24"/>
          <w:szCs w:val="24"/>
        </w:rPr>
        <w:t xml:space="preserve">the </w:t>
      </w:r>
      <w:r w:rsidRPr="00031CB9">
        <w:rPr>
          <w:rFonts w:ascii="Book Antiqua" w:eastAsia="HY궁서" w:hAnsi="Book Antiqua" w:cs="Arial"/>
          <w:color w:val="000000" w:themeColor="text1"/>
          <w:sz w:val="24"/>
          <w:szCs w:val="24"/>
        </w:rPr>
        <w:t>relative proportion</w:t>
      </w:r>
      <w:r w:rsidRPr="00031CB9">
        <w:rPr>
          <w:rFonts w:ascii="Book Antiqua" w:eastAsia="함초롬바탕" w:hAnsi="Book Antiqua" w:cs="Arial"/>
          <w:color w:val="000000" w:themeColor="text1"/>
          <w:sz w:val="24"/>
          <w:szCs w:val="24"/>
        </w:rPr>
        <w:t xml:space="preserve"> of hepatolithiasis </w:t>
      </w:r>
      <w:r w:rsidR="001C547E" w:rsidRPr="00031CB9">
        <w:rPr>
          <w:rFonts w:ascii="Book Antiqua" w:eastAsia="함초롬바탕" w:hAnsi="Book Antiqua" w:cs="Arial"/>
          <w:color w:val="000000" w:themeColor="text1"/>
          <w:sz w:val="24"/>
          <w:szCs w:val="24"/>
        </w:rPr>
        <w:t xml:space="preserve">slightly </w:t>
      </w:r>
      <w:r w:rsidRPr="00031CB9">
        <w:rPr>
          <w:rFonts w:ascii="Book Antiqua" w:eastAsia="함초롬바탕" w:hAnsi="Book Antiqua" w:cs="Arial"/>
          <w:color w:val="000000" w:themeColor="text1"/>
          <w:sz w:val="24"/>
          <w:szCs w:val="24"/>
        </w:rPr>
        <w:t>decreased from 21.3% in 1981 to 18.7% in 1989</w:t>
      </w:r>
      <w:r w:rsidRPr="00031CB9">
        <w:rPr>
          <w:rFonts w:ascii="Book Antiqua" w:eastAsia="함초롬바탕" w:hAnsi="Book Antiqua" w:cs="Arial"/>
          <w:color w:val="000000" w:themeColor="text1"/>
          <w:sz w:val="24"/>
          <w:szCs w:val="24"/>
          <w:vertAlign w:val="superscript"/>
        </w:rPr>
        <w:t>[1]</w:t>
      </w:r>
      <w:r w:rsidRPr="00031CB9">
        <w:rPr>
          <w:rFonts w:ascii="Book Antiqua" w:eastAsia="함초롬바탕" w:hAnsi="Book Antiqua" w:cs="Arial"/>
          <w:color w:val="000000" w:themeColor="text1"/>
          <w:sz w:val="24"/>
          <w:szCs w:val="24"/>
        </w:rPr>
        <w:t xml:space="preserve">. In </w:t>
      </w:r>
      <w:r w:rsidR="007C5008">
        <w:rPr>
          <w:rFonts w:ascii="Book Antiqua" w:eastAsia="SimSun" w:hAnsi="Book Antiqua" w:cs="Arial" w:hint="eastAsia"/>
          <w:color w:val="000000" w:themeColor="text1"/>
          <w:sz w:val="24"/>
          <w:szCs w:val="24"/>
          <w:lang w:eastAsia="zh-CN"/>
        </w:rPr>
        <w:t xml:space="preserve">South </w:t>
      </w:r>
      <w:r w:rsidRPr="00031CB9">
        <w:rPr>
          <w:rFonts w:ascii="Book Antiqua" w:eastAsia="함초롬바탕" w:hAnsi="Book Antiqua" w:cs="Arial"/>
          <w:color w:val="000000" w:themeColor="text1"/>
          <w:sz w:val="24"/>
          <w:szCs w:val="24"/>
        </w:rPr>
        <w:t xml:space="preserve">Korea, the pattern of gallstone disease has become similar to that seen in Western countries except for a high prevalence of hepatolithiasis. The proportion of gallbladder stones has gradually increased from 80% to 85% and that of </w:t>
      </w:r>
      <w:r w:rsidR="00B10ABB" w:rsidRPr="00031CB9">
        <w:rPr>
          <w:rFonts w:ascii="Book Antiqua" w:eastAsia="함초롬바탕" w:hAnsi="Book Antiqua" w:cs="Arial"/>
          <w:color w:val="000000" w:themeColor="text1"/>
          <w:sz w:val="24"/>
          <w:szCs w:val="24"/>
        </w:rPr>
        <w:t xml:space="preserve">common bile duct </w:t>
      </w:r>
      <w:r w:rsidRPr="00031CB9">
        <w:rPr>
          <w:rFonts w:ascii="Book Antiqua" w:eastAsia="함초롬바탕" w:hAnsi="Book Antiqua" w:cs="Arial"/>
          <w:color w:val="000000" w:themeColor="text1"/>
          <w:sz w:val="24"/>
          <w:szCs w:val="24"/>
        </w:rPr>
        <w:t>stones has decreased from 34% to 19%; however, th</w:t>
      </w:r>
      <w:r w:rsidR="000A6F39" w:rsidRPr="00031CB9">
        <w:rPr>
          <w:rFonts w:ascii="Book Antiqua" w:eastAsia="함초롬바탕" w:hAnsi="Book Antiqua" w:cs="Arial"/>
          <w:color w:val="000000" w:themeColor="text1"/>
          <w:sz w:val="24"/>
          <w:szCs w:val="24"/>
        </w:rPr>
        <w:t xml:space="preserve">at </w:t>
      </w:r>
      <w:r w:rsidRPr="00031CB9">
        <w:rPr>
          <w:rFonts w:ascii="Book Antiqua" w:eastAsia="함초롬바탕" w:hAnsi="Book Antiqua" w:cs="Arial"/>
          <w:color w:val="000000" w:themeColor="text1"/>
          <w:sz w:val="24"/>
          <w:szCs w:val="24"/>
        </w:rPr>
        <w:t>of hepatolithiasis remains unchanged at 11</w:t>
      </w:r>
      <w:r w:rsidR="007C5008">
        <w:rPr>
          <w:rFonts w:ascii="Book Antiqua" w:eastAsia="SimSun" w:hAnsi="Book Antiqua" w:cs="Arial" w:hint="eastAsia"/>
          <w:color w:val="000000" w:themeColor="text1"/>
          <w:sz w:val="24"/>
          <w:szCs w:val="24"/>
          <w:lang w:eastAsia="zh-CN"/>
        </w:rPr>
        <w:t>%</w:t>
      </w:r>
      <w:r w:rsidRPr="00031CB9">
        <w:rPr>
          <w:rFonts w:ascii="Book Antiqua" w:eastAsia="함초롬바탕" w:hAnsi="Book Antiqua" w:cs="Arial"/>
          <w:color w:val="000000" w:themeColor="text1"/>
          <w:sz w:val="24"/>
          <w:szCs w:val="24"/>
        </w:rPr>
        <w:t>-15%</w:t>
      </w:r>
      <w:r w:rsidR="0034246C" w:rsidRPr="00031CB9">
        <w:rPr>
          <w:rFonts w:ascii="Book Antiqua" w:eastAsia="함초롬바탕" w:hAnsi="Book Antiqua" w:cs="Arial"/>
          <w:color w:val="000000" w:themeColor="text1"/>
          <w:sz w:val="24"/>
          <w:szCs w:val="24"/>
        </w:rPr>
        <w:t xml:space="preserve"> </w:t>
      </w:r>
      <w:r w:rsidR="00087F21" w:rsidRPr="00031CB9">
        <w:rPr>
          <w:rFonts w:ascii="Book Antiqua" w:eastAsia="함초롬바탕" w:hAnsi="Book Antiqua" w:cs="Arial"/>
          <w:color w:val="000000" w:themeColor="text1"/>
          <w:sz w:val="24"/>
          <w:szCs w:val="24"/>
        </w:rPr>
        <w:t xml:space="preserve">over a 20-year period </w:t>
      </w:r>
      <w:r w:rsidR="0034246C" w:rsidRPr="00031CB9">
        <w:rPr>
          <w:rFonts w:ascii="Book Antiqua" w:eastAsia="함초롬바탕" w:hAnsi="Book Antiqua" w:cs="Arial"/>
          <w:color w:val="000000" w:themeColor="text1"/>
          <w:sz w:val="24"/>
          <w:szCs w:val="24"/>
        </w:rPr>
        <w:t xml:space="preserve">from 1980 to </w:t>
      </w:r>
      <w:r w:rsidR="00087F21" w:rsidRPr="00031CB9">
        <w:rPr>
          <w:rFonts w:ascii="Book Antiqua" w:eastAsia="함초롬바탕" w:hAnsi="Book Antiqua" w:cs="Arial"/>
          <w:color w:val="000000" w:themeColor="text1"/>
          <w:sz w:val="24"/>
          <w:szCs w:val="24"/>
        </w:rPr>
        <w:t>200</w:t>
      </w:r>
      <w:r w:rsidR="0034246C" w:rsidRPr="00031CB9">
        <w:rPr>
          <w:rFonts w:ascii="Book Antiqua" w:eastAsia="함초롬바탕" w:hAnsi="Book Antiqua" w:cs="Arial"/>
          <w:color w:val="000000" w:themeColor="text1"/>
          <w:sz w:val="24"/>
          <w:szCs w:val="24"/>
        </w:rPr>
        <w:t>0</w:t>
      </w:r>
      <w:r w:rsidRPr="00031CB9">
        <w:rPr>
          <w:rFonts w:ascii="Book Antiqua" w:eastAsia="함초롬바탕" w:hAnsi="Book Antiqua" w:cs="Arial"/>
          <w:color w:val="000000" w:themeColor="text1"/>
          <w:sz w:val="24"/>
          <w:szCs w:val="24"/>
          <w:vertAlign w:val="superscript"/>
        </w:rPr>
        <w:t>[2</w:t>
      </w:r>
      <w:r w:rsidR="007C5008">
        <w:rPr>
          <w:rFonts w:ascii="Book Antiqua" w:eastAsia="SimSun" w:hAnsi="Book Antiqua" w:cs="Arial" w:hint="eastAsia"/>
          <w:color w:val="000000" w:themeColor="text1"/>
          <w:sz w:val="24"/>
          <w:szCs w:val="24"/>
          <w:vertAlign w:val="superscript"/>
          <w:lang w:eastAsia="zh-CN"/>
        </w:rPr>
        <w:t>,</w:t>
      </w:r>
      <w:r w:rsidRPr="00031CB9">
        <w:rPr>
          <w:rFonts w:ascii="Book Antiqua" w:eastAsia="함초롬바탕" w:hAnsi="Book Antiqua" w:cs="Arial"/>
          <w:color w:val="000000" w:themeColor="text1"/>
          <w:sz w:val="24"/>
          <w:szCs w:val="24"/>
          <w:vertAlign w:val="superscript"/>
        </w:rPr>
        <w:t>3]</w:t>
      </w:r>
      <w:r w:rsidRPr="00031CB9">
        <w:rPr>
          <w:rFonts w:ascii="Book Antiqua" w:eastAsia="함초롬바탕" w:hAnsi="Book Antiqua" w:cs="Arial"/>
          <w:color w:val="000000" w:themeColor="text1"/>
          <w:sz w:val="24"/>
          <w:szCs w:val="24"/>
        </w:rPr>
        <w:t>.</w:t>
      </w:r>
    </w:p>
    <w:p w:rsidR="00D7591F" w:rsidRPr="00031CB9" w:rsidRDefault="00D7591F" w:rsidP="00445758">
      <w:pPr>
        <w:kinsoku w:val="0"/>
        <w:wordWrap/>
        <w:overflowPunct w:val="0"/>
        <w:adjustRightInd w:val="0"/>
        <w:snapToGrid w:val="0"/>
        <w:spacing w:after="0" w:line="360" w:lineRule="auto"/>
        <w:ind w:firstLineChars="50" w:firstLine="120"/>
        <w:rPr>
          <w:rFonts w:ascii="Book Antiqua" w:eastAsia="함초롬바탕" w:hAnsi="Book Antiqua" w:cs="Arial"/>
          <w:color w:val="000000" w:themeColor="text1"/>
          <w:sz w:val="24"/>
          <w:szCs w:val="24"/>
        </w:rPr>
      </w:pPr>
      <w:r w:rsidRPr="00031CB9">
        <w:rPr>
          <w:rFonts w:ascii="Book Antiqua" w:eastAsia="HY궁서" w:hAnsi="Book Antiqua" w:cs="Arial"/>
          <w:color w:val="000000" w:themeColor="text1"/>
          <w:sz w:val="24"/>
          <w:szCs w:val="24"/>
        </w:rPr>
        <w:t xml:space="preserve">Parasitic </w:t>
      </w:r>
      <w:r w:rsidRPr="00031CB9">
        <w:rPr>
          <w:rStyle w:val="nbapihighlight1"/>
          <w:rFonts w:ascii="Book Antiqua" w:eastAsia="HY궁서" w:hAnsi="Book Antiqua" w:cs="Arial"/>
          <w:color w:val="000000" w:themeColor="text1"/>
          <w:sz w:val="24"/>
          <w:szCs w:val="24"/>
        </w:rPr>
        <w:t>infestation</w:t>
      </w:r>
      <w:r w:rsidRPr="00031CB9">
        <w:rPr>
          <w:rFonts w:ascii="Book Antiqua" w:eastAsia="HY궁서" w:hAnsi="Book Antiqua" w:cs="Arial"/>
          <w:color w:val="000000" w:themeColor="text1"/>
          <w:sz w:val="24"/>
          <w:szCs w:val="24"/>
        </w:rPr>
        <w:t xml:space="preserve"> has often been thought as a major cause of hepatolithiasis and </w:t>
      </w:r>
      <w:r w:rsidRPr="00031CB9">
        <w:rPr>
          <w:rFonts w:ascii="Book Antiqua" w:eastAsia="함초롬바탕" w:hAnsi="Book Antiqua" w:cs="Arial"/>
          <w:color w:val="000000" w:themeColor="text1"/>
          <w:sz w:val="24"/>
          <w:szCs w:val="24"/>
        </w:rPr>
        <w:t>infestation with parasites has been detected in up to 30% of patients with hepatolithiasis</w:t>
      </w:r>
      <w:r w:rsidRPr="00031CB9">
        <w:rPr>
          <w:rFonts w:ascii="Book Antiqua" w:eastAsia="함초롬바탕" w:hAnsi="Book Antiqua" w:cs="Arial"/>
          <w:color w:val="000000" w:themeColor="text1"/>
          <w:sz w:val="24"/>
          <w:szCs w:val="24"/>
          <w:vertAlign w:val="superscript"/>
        </w:rPr>
        <w:t>[</w:t>
      </w:r>
      <w:r w:rsidRPr="00031CB9">
        <w:rPr>
          <w:rFonts w:ascii="Book Antiqua" w:eastAsia="HY궁서" w:hAnsi="Book Antiqua" w:cs="Arial"/>
          <w:color w:val="000000" w:themeColor="text1"/>
          <w:sz w:val="24"/>
          <w:szCs w:val="24"/>
          <w:vertAlign w:val="superscript"/>
        </w:rPr>
        <w:t>17]</w:t>
      </w:r>
      <w:r w:rsidRPr="00031CB9">
        <w:rPr>
          <w:rFonts w:ascii="Book Antiqua" w:eastAsia="HY궁서" w:hAnsi="Book Antiqua" w:cs="Arial"/>
          <w:color w:val="000000" w:themeColor="text1"/>
          <w:sz w:val="24"/>
          <w:szCs w:val="24"/>
        </w:rPr>
        <w:t>.</w:t>
      </w:r>
      <w:r w:rsidRPr="00031CB9">
        <w:rPr>
          <w:rFonts w:ascii="Book Antiqua" w:eastAsia="함초롬바탕" w:hAnsi="Book Antiqua" w:cs="Arial"/>
          <w:color w:val="000000" w:themeColor="text1"/>
          <w:sz w:val="24"/>
          <w:szCs w:val="24"/>
        </w:rPr>
        <w:t xml:space="preserve"> Among eastern countries, persistent prevalence of hepatolithiasis in Korea and the relatively high prevalence in Taiwan may be due to cultural trends of ingesting raw freshwater fish infected with </w:t>
      </w:r>
      <w:r w:rsidRPr="00031CB9">
        <w:rPr>
          <w:rFonts w:ascii="Book Antiqua" w:eastAsia="함초롬바탕" w:hAnsi="Book Antiqua" w:cs="Arial"/>
          <w:i/>
          <w:color w:val="000000" w:themeColor="text1"/>
          <w:sz w:val="24"/>
          <w:szCs w:val="24"/>
        </w:rPr>
        <w:t>Clonorchis sinensis</w:t>
      </w:r>
      <w:r w:rsidR="007C5008">
        <w:rPr>
          <w:rFonts w:ascii="Book Antiqua" w:eastAsia="SimSun" w:hAnsi="Book Antiqua" w:cs="Arial" w:hint="eastAsia"/>
          <w:i/>
          <w:color w:val="000000" w:themeColor="text1"/>
          <w:sz w:val="24"/>
          <w:szCs w:val="24"/>
          <w:lang w:eastAsia="zh-CN"/>
        </w:rPr>
        <w:t xml:space="preserve"> </w:t>
      </w:r>
      <w:r w:rsidR="007C5008">
        <w:rPr>
          <w:rFonts w:ascii="Book Antiqua" w:eastAsia="SimSun" w:hAnsi="Book Antiqua" w:cs="Arial" w:hint="eastAsia"/>
          <w:color w:val="000000" w:themeColor="text1"/>
          <w:sz w:val="24"/>
          <w:szCs w:val="24"/>
          <w:lang w:eastAsia="zh-CN"/>
        </w:rPr>
        <w:t>(</w:t>
      </w:r>
      <w:r w:rsidR="007C5008" w:rsidRPr="00031CB9">
        <w:rPr>
          <w:rFonts w:ascii="Book Antiqua" w:hAnsi="Book Antiqua" w:cs="Arial"/>
          <w:i/>
          <w:color w:val="000000" w:themeColor="text1"/>
          <w:kern w:val="0"/>
          <w:sz w:val="24"/>
          <w:szCs w:val="24"/>
        </w:rPr>
        <w:t>C. sinensis</w:t>
      </w:r>
      <w:r w:rsidR="007C5008">
        <w:rPr>
          <w:rFonts w:ascii="Book Antiqua" w:eastAsia="SimSun" w:hAnsi="Book Antiqua" w:cs="Arial" w:hint="eastAsia"/>
          <w:color w:val="000000" w:themeColor="text1"/>
          <w:sz w:val="24"/>
          <w:szCs w:val="24"/>
          <w:lang w:eastAsia="zh-CN"/>
        </w:rPr>
        <w:t>)</w:t>
      </w:r>
      <w:r w:rsidRPr="00031CB9">
        <w:rPr>
          <w:rFonts w:ascii="Book Antiqua" w:eastAsia="함초롬바탕" w:hAnsi="Book Antiqua" w:cs="Arial"/>
          <w:color w:val="000000" w:themeColor="text1"/>
          <w:sz w:val="24"/>
          <w:szCs w:val="24"/>
        </w:rPr>
        <w:t>. Clonorchiasis is endemic in the Far East, but the heavily endemic area within individual countries is geographically distributed in parallel with the population of the snail that is an intermediate host for this parasite</w:t>
      </w:r>
      <w:r w:rsidRPr="00031CB9">
        <w:rPr>
          <w:rFonts w:ascii="Book Antiqua" w:eastAsia="함초롬바탕" w:hAnsi="Book Antiqua" w:cs="Arial"/>
          <w:color w:val="000000" w:themeColor="text1"/>
          <w:sz w:val="24"/>
          <w:szCs w:val="24"/>
          <w:vertAlign w:val="superscript"/>
        </w:rPr>
        <w:t>[18]</w:t>
      </w:r>
      <w:r w:rsidRPr="00031CB9">
        <w:rPr>
          <w:rFonts w:ascii="Book Antiqua" w:eastAsia="함초롬바탕" w:hAnsi="Book Antiqua" w:cs="Arial"/>
          <w:color w:val="000000" w:themeColor="text1"/>
          <w:sz w:val="24"/>
          <w:szCs w:val="24"/>
        </w:rPr>
        <w:t xml:space="preserve">. </w:t>
      </w:r>
      <w:r w:rsidRPr="00031CB9">
        <w:rPr>
          <w:rFonts w:ascii="Book Antiqua" w:hAnsi="Book Antiqua" w:cs="Arial"/>
          <w:color w:val="000000" w:themeColor="text1"/>
          <w:kern w:val="0"/>
          <w:sz w:val="24"/>
          <w:szCs w:val="24"/>
        </w:rPr>
        <w:t xml:space="preserve">Nationwide surveys of intestinal parasitic infections revealed no drop in the average prevalence of </w:t>
      </w:r>
      <w:r w:rsidRPr="00031CB9">
        <w:rPr>
          <w:rFonts w:ascii="Book Antiqua" w:hAnsi="Book Antiqua" w:cs="Arial"/>
          <w:i/>
          <w:color w:val="000000" w:themeColor="text1"/>
          <w:kern w:val="0"/>
          <w:sz w:val="24"/>
          <w:szCs w:val="24"/>
        </w:rPr>
        <w:t>C. sinensis</w:t>
      </w:r>
      <w:r w:rsidRPr="00031CB9">
        <w:rPr>
          <w:rFonts w:ascii="Book Antiqua" w:hAnsi="Book Antiqua" w:cs="Arial"/>
          <w:color w:val="000000" w:themeColor="text1"/>
          <w:kern w:val="0"/>
          <w:sz w:val="24"/>
          <w:szCs w:val="24"/>
        </w:rPr>
        <w:t xml:space="preserve"> infection (</w:t>
      </w:r>
      <w:r w:rsidRPr="007C5008">
        <w:rPr>
          <w:rFonts w:ascii="Book Antiqua" w:hAnsi="Book Antiqua" w:cs="Arial"/>
          <w:i/>
          <w:color w:val="000000" w:themeColor="text1"/>
          <w:kern w:val="0"/>
          <w:sz w:val="24"/>
          <w:szCs w:val="24"/>
        </w:rPr>
        <w:t>i.e.</w:t>
      </w:r>
      <w:r w:rsidRPr="00031CB9">
        <w:rPr>
          <w:rFonts w:ascii="Book Antiqua" w:hAnsi="Book Antiqua" w:cs="Arial"/>
          <w:color w:val="000000" w:themeColor="text1"/>
          <w:kern w:val="0"/>
          <w:sz w:val="24"/>
          <w:szCs w:val="24"/>
        </w:rPr>
        <w:t>, 2.6% in 1981 and 2.4% in 2004)</w:t>
      </w:r>
      <w:r w:rsidRPr="00031CB9">
        <w:rPr>
          <w:rFonts w:ascii="Book Antiqua" w:hAnsi="Book Antiqua" w:cs="Arial"/>
          <w:color w:val="000000" w:themeColor="text1"/>
          <w:kern w:val="0"/>
          <w:sz w:val="24"/>
          <w:szCs w:val="24"/>
          <w:vertAlign w:val="superscript"/>
        </w:rPr>
        <w:t>[</w:t>
      </w:r>
      <w:r w:rsidRPr="00031CB9">
        <w:rPr>
          <w:rFonts w:ascii="Book Antiqua" w:eastAsia="함초롬바탕" w:hAnsi="Book Antiqua" w:cs="Arial"/>
          <w:color w:val="000000" w:themeColor="text1"/>
          <w:sz w:val="24"/>
          <w:szCs w:val="24"/>
          <w:vertAlign w:val="superscript"/>
        </w:rPr>
        <w:t>19]</w:t>
      </w:r>
      <w:r w:rsidRPr="00031CB9">
        <w:rPr>
          <w:rFonts w:ascii="Book Antiqua" w:eastAsia="함초롬바탕" w:hAnsi="Book Antiqua" w:cs="Arial"/>
          <w:color w:val="000000" w:themeColor="text1"/>
          <w:sz w:val="24"/>
          <w:szCs w:val="24"/>
        </w:rPr>
        <w:t>.</w:t>
      </w:r>
      <w:r w:rsidRPr="00031CB9">
        <w:rPr>
          <w:rFonts w:ascii="Book Antiqua" w:hAnsi="Book Antiqua" w:cs="Arial"/>
          <w:color w:val="000000" w:themeColor="text1"/>
          <w:kern w:val="0"/>
          <w:sz w:val="24"/>
          <w:szCs w:val="24"/>
        </w:rPr>
        <w:t xml:space="preserve"> </w:t>
      </w:r>
      <w:r w:rsidRPr="00031CB9">
        <w:rPr>
          <w:rFonts w:ascii="Book Antiqua" w:hAnsi="Book Antiqua" w:cs="Arial"/>
          <w:i/>
          <w:color w:val="000000" w:themeColor="text1"/>
          <w:kern w:val="0"/>
          <w:sz w:val="24"/>
          <w:szCs w:val="24"/>
        </w:rPr>
        <w:t>C. sinensis</w:t>
      </w:r>
      <w:r w:rsidRPr="00031CB9">
        <w:rPr>
          <w:rFonts w:ascii="Book Antiqua" w:hAnsi="Book Antiqua" w:cs="Arial"/>
          <w:color w:val="000000" w:themeColor="text1"/>
          <w:kern w:val="0"/>
          <w:sz w:val="24"/>
          <w:szCs w:val="24"/>
        </w:rPr>
        <w:t xml:space="preserve"> infection remains common in Korea. In 1984, t</w:t>
      </w:r>
      <w:r w:rsidRPr="00031CB9">
        <w:rPr>
          <w:rFonts w:ascii="Book Antiqua" w:eastAsia="함초롬바탕" w:hAnsi="Book Antiqua" w:cs="Arial"/>
          <w:color w:val="000000" w:themeColor="text1"/>
          <w:sz w:val="24"/>
          <w:szCs w:val="24"/>
        </w:rPr>
        <w:t>he prevalence was reported to be 1.5% in Taiwan</w:t>
      </w:r>
      <w:r w:rsidRPr="00031CB9">
        <w:rPr>
          <w:rFonts w:ascii="Book Antiqua" w:eastAsia="함초롬바탕" w:hAnsi="Book Antiqua" w:cs="Arial"/>
          <w:color w:val="000000" w:themeColor="text1"/>
          <w:sz w:val="24"/>
          <w:szCs w:val="24"/>
          <w:vertAlign w:val="superscript"/>
        </w:rPr>
        <w:t>[20]</w:t>
      </w:r>
      <w:r w:rsidRPr="00031CB9">
        <w:rPr>
          <w:rFonts w:ascii="Book Antiqua" w:eastAsia="함초롬바탕" w:hAnsi="Book Antiqua" w:cs="Arial"/>
          <w:color w:val="000000" w:themeColor="text1"/>
          <w:sz w:val="24"/>
          <w:szCs w:val="24"/>
        </w:rPr>
        <w:t>. In Japan, the clonorchiasis rate has markedly decreased in parallel with the decreased numbers of the host snails due to various causes, including water pollution</w:t>
      </w:r>
      <w:r w:rsidRPr="00031CB9">
        <w:rPr>
          <w:rFonts w:ascii="Book Antiqua" w:eastAsia="함초롬바탕" w:hAnsi="Book Antiqua" w:cs="Arial"/>
          <w:color w:val="000000" w:themeColor="text1"/>
          <w:sz w:val="24"/>
          <w:szCs w:val="24"/>
          <w:vertAlign w:val="superscript"/>
        </w:rPr>
        <w:t>[18]</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p>
    <w:p w:rsidR="00D7591F" w:rsidRPr="007C5008" w:rsidRDefault="00D7591F" w:rsidP="00445758">
      <w:pPr>
        <w:pStyle w:val="a"/>
        <w:kinsoku w:val="0"/>
        <w:wordWrap/>
        <w:overflowPunct w:val="0"/>
        <w:adjustRightInd w:val="0"/>
        <w:snapToGrid w:val="0"/>
        <w:spacing w:line="360" w:lineRule="auto"/>
        <w:rPr>
          <w:rFonts w:ascii="Book Antiqua" w:eastAsia="SimSun" w:hAnsi="Book Antiqua" w:cs="Arial"/>
          <w:b/>
          <w:i/>
          <w:color w:val="000000" w:themeColor="text1"/>
          <w:sz w:val="24"/>
          <w:szCs w:val="24"/>
          <w:lang w:eastAsia="zh-CN"/>
        </w:rPr>
      </w:pPr>
      <w:r w:rsidRPr="007C5008">
        <w:rPr>
          <w:rFonts w:ascii="Book Antiqua" w:eastAsia="함초롬바탕" w:hAnsi="Book Antiqua" w:cs="Arial"/>
          <w:b/>
          <w:i/>
          <w:color w:val="000000" w:themeColor="text1"/>
          <w:sz w:val="24"/>
          <w:szCs w:val="24"/>
        </w:rPr>
        <w:t>Hepatolithiasis-associated cholangiocarcinoma</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Hepatolithiasis is an established risk factor for CCA, similar to clonorchiasis, especially in Asian countries</w:t>
      </w:r>
      <w:r w:rsidR="00273840">
        <w:rPr>
          <w:rFonts w:ascii="Book Antiqua" w:eastAsia="함초롬바탕" w:hAnsi="Book Antiqua" w:cs="Arial"/>
          <w:color w:val="000000" w:themeColor="text1"/>
          <w:sz w:val="24"/>
          <w:szCs w:val="24"/>
          <w:vertAlign w:val="superscript"/>
        </w:rPr>
        <w:t>[8,9,</w:t>
      </w:r>
      <w:r w:rsidRPr="00031CB9">
        <w:rPr>
          <w:rFonts w:ascii="Book Antiqua" w:eastAsia="함초롬바탕" w:hAnsi="Book Antiqua" w:cs="Arial"/>
          <w:color w:val="000000" w:themeColor="text1"/>
          <w:sz w:val="24"/>
          <w:szCs w:val="24"/>
          <w:vertAlign w:val="superscript"/>
        </w:rPr>
        <w:t>21-24]</w:t>
      </w:r>
      <w:r w:rsidRPr="00031CB9">
        <w:rPr>
          <w:rFonts w:ascii="Book Antiqua" w:eastAsia="함초롬바탕" w:hAnsi="Book Antiqua" w:cs="Arial"/>
          <w:color w:val="000000" w:themeColor="text1"/>
          <w:sz w:val="24"/>
          <w:szCs w:val="24"/>
        </w:rPr>
        <w:t xml:space="preserve">. The association between hepatolithiasis and CCA has been well-documented, and many studies have been published on </w:t>
      </w:r>
      <w:r w:rsidR="00940531">
        <w:rPr>
          <w:rFonts w:ascii="Book Antiqua" w:eastAsia="함초롬바탕" w:hAnsi="Book Antiqua" w:cs="Arial"/>
          <w:color w:val="000000" w:themeColor="text1"/>
          <w:sz w:val="24"/>
          <w:szCs w:val="24"/>
        </w:rPr>
        <w:t>HL-CCA</w:t>
      </w:r>
      <w:r w:rsidRPr="00031CB9">
        <w:rPr>
          <w:rFonts w:ascii="Book Antiqua" w:eastAsia="함초롬바탕" w:hAnsi="Book Antiqua" w:cs="Arial"/>
          <w:color w:val="000000" w:themeColor="text1"/>
          <w:sz w:val="24"/>
          <w:szCs w:val="24"/>
          <w:vertAlign w:val="superscript"/>
        </w:rPr>
        <w:t>[25-31]</w:t>
      </w:r>
      <w:r w:rsidRPr="00031CB9">
        <w:rPr>
          <w:rFonts w:ascii="Book Antiqua" w:eastAsia="함초롬바탕" w:hAnsi="Book Antiqua" w:cs="Arial"/>
          <w:color w:val="000000" w:themeColor="text1"/>
          <w:sz w:val="24"/>
          <w:szCs w:val="24"/>
        </w:rPr>
        <w:t xml:space="preserve">. Cases of HL-CCA are not rare, especially in areas with a high prevalence </w:t>
      </w:r>
      <w:r w:rsidRPr="00031CB9">
        <w:rPr>
          <w:rFonts w:ascii="Book Antiqua" w:eastAsia="함초롬바탕" w:hAnsi="Book Antiqua" w:cs="Arial"/>
          <w:color w:val="000000" w:themeColor="text1"/>
          <w:sz w:val="24"/>
          <w:szCs w:val="24"/>
        </w:rPr>
        <w:lastRenderedPageBreak/>
        <w:t>of hepatolithiasis. The overall incidence of HL-CCA was reported to be up to 5</w:t>
      </w:r>
      <w:r w:rsidR="007C5008">
        <w:rPr>
          <w:rFonts w:ascii="Book Antiqua" w:eastAsia="SimSun" w:hAnsi="Book Antiqua" w:cs="Arial" w:hint="eastAsia"/>
          <w:color w:val="000000" w:themeColor="text1"/>
          <w:sz w:val="24"/>
          <w:szCs w:val="24"/>
          <w:lang w:eastAsia="zh-CN"/>
        </w:rPr>
        <w:t>%</w:t>
      </w:r>
      <w:r w:rsidRPr="00031CB9">
        <w:rPr>
          <w:rFonts w:ascii="Book Antiqua" w:eastAsia="함초롬바탕" w:hAnsi="Book Antiqua" w:cs="Arial"/>
          <w:color w:val="000000" w:themeColor="text1"/>
          <w:sz w:val="24"/>
          <w:szCs w:val="24"/>
        </w:rPr>
        <w:t>-13%</w:t>
      </w:r>
      <w:r w:rsidRPr="00031CB9">
        <w:rPr>
          <w:rFonts w:ascii="Book Antiqua" w:eastAsia="함초롬바탕" w:hAnsi="Book Antiqua" w:cs="Arial"/>
          <w:color w:val="000000" w:themeColor="text1"/>
          <w:sz w:val="24"/>
          <w:szCs w:val="24"/>
          <w:vertAlign w:val="superscript"/>
        </w:rPr>
        <w:t>[12,32</w:t>
      </w:r>
      <w:r w:rsidR="00273840">
        <w:rPr>
          <w:rFonts w:ascii="Book Antiqua" w:eastAsia="SimSun" w:hAnsi="Book Antiqua" w:cs="Arial" w:hint="eastAsia"/>
          <w:color w:val="000000" w:themeColor="text1"/>
          <w:sz w:val="24"/>
          <w:szCs w:val="24"/>
          <w:vertAlign w:val="superscript"/>
          <w:lang w:eastAsia="zh-CN"/>
        </w:rPr>
        <w:t>,</w:t>
      </w:r>
      <w:r w:rsidRPr="00031CB9">
        <w:rPr>
          <w:rFonts w:ascii="Book Antiqua" w:eastAsia="함초롬바탕" w:hAnsi="Book Antiqua" w:cs="Arial"/>
          <w:color w:val="000000" w:themeColor="text1"/>
          <w:sz w:val="24"/>
          <w:szCs w:val="24"/>
          <w:vertAlign w:val="superscript"/>
        </w:rPr>
        <w:t>33]</w:t>
      </w:r>
      <w:r w:rsidRPr="00031CB9">
        <w:rPr>
          <w:rFonts w:ascii="Book Antiqua" w:eastAsia="함초롬바탕" w:hAnsi="Book Antiqua" w:cs="Arial"/>
          <w:color w:val="000000" w:themeColor="text1"/>
          <w:sz w:val="24"/>
          <w:szCs w:val="24"/>
        </w:rPr>
        <w:t xml:space="preserve">. HL-CCA can be detected at any stage, during evaluation, treatment or follow up of hepatolithiasis. Detection of concomitant HL-CCA during treatment of hepatolithiasis was reported in 12% of patients in Japan, 4.7% in Taiwan, 9% in </w:t>
      </w:r>
      <w:r w:rsidR="007C5008">
        <w:rPr>
          <w:rFonts w:ascii="Book Antiqua" w:eastAsia="SimSun" w:hAnsi="Book Antiqua" w:cs="Arial" w:hint="eastAsia"/>
          <w:color w:val="000000" w:themeColor="text1"/>
          <w:sz w:val="24"/>
          <w:szCs w:val="24"/>
          <w:lang w:eastAsia="zh-CN"/>
        </w:rPr>
        <w:t xml:space="preserve">South </w:t>
      </w:r>
      <w:r w:rsidRPr="00031CB9">
        <w:rPr>
          <w:rFonts w:ascii="Book Antiqua" w:eastAsia="함초롬바탕" w:hAnsi="Book Antiqua" w:cs="Arial"/>
          <w:color w:val="000000" w:themeColor="text1"/>
          <w:sz w:val="24"/>
          <w:szCs w:val="24"/>
        </w:rPr>
        <w:t>Korea, and 9.7% in Hong Kong</w:t>
      </w:r>
      <w:r w:rsidRPr="00031CB9">
        <w:rPr>
          <w:rFonts w:ascii="Book Antiqua" w:eastAsia="함초롬바탕" w:hAnsi="Book Antiqua" w:cs="Arial"/>
          <w:color w:val="000000" w:themeColor="text1"/>
          <w:sz w:val="24"/>
          <w:szCs w:val="24"/>
          <w:vertAlign w:val="superscript"/>
        </w:rPr>
        <w:t>[12,30,32,34-38]</w:t>
      </w:r>
      <w:r w:rsidRPr="00031CB9">
        <w:rPr>
          <w:rFonts w:ascii="Book Antiqua" w:eastAsia="함초롬바탕" w:hAnsi="Book Antiqua" w:cs="Arial"/>
          <w:color w:val="000000" w:themeColor="text1"/>
          <w:sz w:val="24"/>
          <w:szCs w:val="24"/>
        </w:rPr>
        <w:t xml:space="preserve"> (Table 1)</w:t>
      </w:r>
      <w:r w:rsidR="009403B3" w:rsidRPr="00031CB9">
        <w:rPr>
          <w:rFonts w:ascii="Book Antiqua" w:eastAsia="함초롬바탕" w:hAnsi="Book Antiqua" w:cs="Arial"/>
          <w:color w:val="000000" w:themeColor="text1"/>
          <w:sz w:val="24"/>
          <w:szCs w:val="24"/>
        </w:rPr>
        <w:t>.</w:t>
      </w:r>
      <w:r w:rsidRPr="00031CB9">
        <w:rPr>
          <w:rFonts w:ascii="Book Antiqua" w:eastAsia="함초롬바탕" w:hAnsi="Book Antiqua" w:cs="Arial"/>
          <w:color w:val="000000" w:themeColor="text1"/>
          <w:sz w:val="24"/>
          <w:szCs w:val="24"/>
        </w:rPr>
        <w:t xml:space="preserve"> HL-CCA can also develop during follow up for hepatolithiasis. </w:t>
      </w:r>
      <w:r w:rsidR="00350FAB" w:rsidRPr="00031CB9">
        <w:rPr>
          <w:rFonts w:ascii="Book Antiqua" w:eastAsia="함초롬바탕" w:hAnsi="Book Antiqua" w:cs="Arial"/>
          <w:color w:val="000000" w:themeColor="text1"/>
          <w:sz w:val="24"/>
          <w:szCs w:val="24"/>
        </w:rPr>
        <w:t xml:space="preserve">Subsequent </w:t>
      </w:r>
      <w:r w:rsidRPr="00031CB9">
        <w:rPr>
          <w:rFonts w:ascii="Book Antiqua" w:eastAsia="함초롬바탕" w:hAnsi="Book Antiqua" w:cs="Arial"/>
          <w:color w:val="000000" w:themeColor="text1"/>
          <w:sz w:val="24"/>
          <w:szCs w:val="24"/>
        </w:rPr>
        <w:t>HL-CCA following hepatolithiasis has been reported by 1.6</w:t>
      </w:r>
      <w:r w:rsidR="007C5008">
        <w:rPr>
          <w:rFonts w:ascii="Book Antiqua" w:eastAsia="SimSun" w:hAnsi="Book Antiqua" w:cs="Arial" w:hint="eastAsia"/>
          <w:color w:val="000000" w:themeColor="text1"/>
          <w:sz w:val="24"/>
          <w:szCs w:val="24"/>
          <w:lang w:eastAsia="zh-CN"/>
        </w:rPr>
        <w:t>%</w:t>
      </w:r>
      <w:r w:rsidRPr="00031CB9">
        <w:rPr>
          <w:rFonts w:ascii="Book Antiqua" w:eastAsia="함초롬바탕" w:hAnsi="Book Antiqua" w:cs="Arial"/>
          <w:color w:val="000000" w:themeColor="text1"/>
          <w:sz w:val="24"/>
          <w:szCs w:val="24"/>
        </w:rPr>
        <w:t>-9.9% in several studies</w:t>
      </w:r>
      <w:r w:rsidR="007C5008">
        <w:rPr>
          <w:rFonts w:ascii="Book Antiqua" w:eastAsia="함초롬바탕" w:hAnsi="Book Antiqua" w:cs="Arial"/>
          <w:color w:val="000000" w:themeColor="text1"/>
          <w:sz w:val="24"/>
          <w:szCs w:val="24"/>
          <w:vertAlign w:val="superscript"/>
        </w:rPr>
        <w:t>[6,12,30,32,33,</w:t>
      </w:r>
      <w:r w:rsidRPr="00031CB9">
        <w:rPr>
          <w:rFonts w:ascii="Book Antiqua" w:eastAsia="함초롬바탕" w:hAnsi="Book Antiqua" w:cs="Arial"/>
          <w:color w:val="000000" w:themeColor="text1"/>
          <w:sz w:val="24"/>
          <w:szCs w:val="24"/>
          <w:vertAlign w:val="superscript"/>
        </w:rPr>
        <w:t>36,38-40]</w:t>
      </w:r>
      <w:r w:rsidRPr="00031CB9">
        <w:rPr>
          <w:rFonts w:ascii="Book Antiqua" w:eastAsia="함초롬바탕" w:hAnsi="Book Antiqua" w:cs="Arial"/>
          <w:color w:val="000000" w:themeColor="text1"/>
          <w:sz w:val="24"/>
          <w:szCs w:val="24"/>
        </w:rPr>
        <w:t>. These studies are summarized in Table 2.</w:t>
      </w:r>
    </w:p>
    <w:p w:rsidR="0072077E" w:rsidRPr="00031CB9" w:rsidRDefault="0072077E" w:rsidP="00445758">
      <w:pPr>
        <w:pStyle w:val="a"/>
        <w:kinsoku w:val="0"/>
        <w:wordWrap/>
        <w:overflowPunct w:val="0"/>
        <w:adjustRightInd w:val="0"/>
        <w:snapToGrid w:val="0"/>
        <w:spacing w:line="360" w:lineRule="auto"/>
        <w:ind w:firstLineChars="50" w:firstLine="120"/>
        <w:rPr>
          <w:rFonts w:ascii="Book Antiqua" w:hAnsi="Book Antiqua" w:cs="Arial"/>
          <w:color w:val="000000" w:themeColor="text1"/>
          <w:sz w:val="24"/>
          <w:szCs w:val="24"/>
        </w:rPr>
      </w:pPr>
    </w:p>
    <w:p w:rsidR="00D7591F" w:rsidRPr="007C5008" w:rsidRDefault="00D7591F" w:rsidP="00445758">
      <w:pPr>
        <w:pStyle w:val="a"/>
        <w:kinsoku w:val="0"/>
        <w:wordWrap/>
        <w:overflowPunct w:val="0"/>
        <w:adjustRightInd w:val="0"/>
        <w:snapToGrid w:val="0"/>
        <w:spacing w:line="360" w:lineRule="auto"/>
        <w:rPr>
          <w:rFonts w:ascii="Book Antiqua" w:eastAsia="SimSun" w:hAnsi="Book Antiqua" w:cs="Arial"/>
          <w:b/>
          <w:bCs/>
          <w:caps/>
          <w:color w:val="000000" w:themeColor="text1"/>
          <w:sz w:val="24"/>
          <w:szCs w:val="24"/>
          <w:lang w:eastAsia="zh-CN"/>
        </w:rPr>
      </w:pPr>
      <w:r w:rsidRPr="007C5008">
        <w:rPr>
          <w:rFonts w:ascii="Book Antiqua" w:eastAsia="함초롬바탕" w:hAnsi="Book Antiqua" w:cs="Arial"/>
          <w:b/>
          <w:bCs/>
          <w:caps/>
          <w:color w:val="000000" w:themeColor="text1"/>
          <w:sz w:val="24"/>
          <w:szCs w:val="24"/>
        </w:rPr>
        <w:t xml:space="preserve">Pathogenesis </w:t>
      </w:r>
    </w:p>
    <w:p w:rsidR="00D7591F" w:rsidRPr="007C5008" w:rsidRDefault="00D7591F" w:rsidP="00445758">
      <w:pPr>
        <w:pStyle w:val="a"/>
        <w:kinsoku w:val="0"/>
        <w:wordWrap/>
        <w:overflowPunct w:val="0"/>
        <w:adjustRightInd w:val="0"/>
        <w:snapToGrid w:val="0"/>
        <w:spacing w:line="360" w:lineRule="auto"/>
        <w:rPr>
          <w:rFonts w:ascii="Book Antiqua" w:eastAsia="함초롬바탕" w:hAnsi="Book Antiqua" w:cs="Arial"/>
          <w:b/>
          <w:i/>
          <w:color w:val="000000" w:themeColor="text1"/>
          <w:sz w:val="24"/>
          <w:szCs w:val="24"/>
        </w:rPr>
      </w:pPr>
      <w:r w:rsidRPr="007C5008">
        <w:rPr>
          <w:rFonts w:ascii="Book Antiqua" w:eastAsia="함초롬바탕" w:hAnsi="Book Antiqua" w:cs="Arial"/>
          <w:b/>
          <w:i/>
          <w:color w:val="000000" w:themeColor="text1"/>
          <w:sz w:val="24"/>
          <w:szCs w:val="24"/>
        </w:rPr>
        <w:t>Hepatolithiasis</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The mechanism of intrahepatic stone formation </w:t>
      </w:r>
      <w:r w:rsidRPr="00031CB9">
        <w:rPr>
          <w:rFonts w:ascii="Book Antiqua" w:hAnsi="Book Antiqua" w:cs="Arial"/>
          <w:color w:val="000000" w:themeColor="text1"/>
          <w:sz w:val="24"/>
          <w:szCs w:val="24"/>
        </w:rPr>
        <w:t xml:space="preserve">has not yet been described; the presence of brown pigment stones as well as </w:t>
      </w:r>
      <w:r w:rsidRPr="00031CB9">
        <w:rPr>
          <w:rStyle w:val="nbapihighlight1"/>
          <w:rFonts w:ascii="Book Antiqua" w:hAnsi="Book Antiqua" w:cs="Arial"/>
          <w:color w:val="000000" w:themeColor="text1"/>
          <w:sz w:val="24"/>
          <w:szCs w:val="24"/>
        </w:rPr>
        <w:t>cholesterol</w:t>
      </w:r>
      <w:r w:rsidRPr="00031CB9">
        <w:rPr>
          <w:rFonts w:ascii="Book Antiqua" w:hAnsi="Book Antiqua" w:cs="Arial"/>
          <w:color w:val="000000" w:themeColor="text1"/>
          <w:sz w:val="24"/>
          <w:szCs w:val="24"/>
        </w:rPr>
        <w:t xml:space="preserve"> stones suggests a complex </w:t>
      </w:r>
      <w:r w:rsidRPr="00031CB9">
        <w:rPr>
          <w:rStyle w:val="nbapihighlight1"/>
          <w:rFonts w:ascii="Book Antiqua" w:hAnsi="Book Antiqua" w:cs="Arial"/>
          <w:color w:val="000000" w:themeColor="text1"/>
          <w:sz w:val="24"/>
          <w:szCs w:val="24"/>
        </w:rPr>
        <w:t>pathogenesis</w:t>
      </w:r>
      <w:r w:rsidR="007C5008">
        <w:rPr>
          <w:rStyle w:val="nbapihighlight1"/>
          <w:rFonts w:ascii="Book Antiqua" w:hAnsi="Book Antiqua" w:cs="Arial"/>
          <w:color w:val="000000" w:themeColor="text1"/>
          <w:sz w:val="24"/>
          <w:szCs w:val="24"/>
          <w:vertAlign w:val="superscript"/>
        </w:rPr>
        <w:t>[41-</w:t>
      </w:r>
      <w:r w:rsidRPr="00031CB9">
        <w:rPr>
          <w:rStyle w:val="nbapihighlight1"/>
          <w:rFonts w:ascii="Book Antiqua" w:hAnsi="Book Antiqua" w:cs="Arial"/>
          <w:color w:val="000000" w:themeColor="text1"/>
          <w:sz w:val="24"/>
          <w:szCs w:val="24"/>
          <w:vertAlign w:val="superscript"/>
        </w:rPr>
        <w:t>44]</w:t>
      </w:r>
      <w:r w:rsidRPr="00031CB9">
        <w:rPr>
          <w:rStyle w:val="nbapihighlight1"/>
          <w:rFonts w:ascii="Book Antiqua" w:hAnsi="Book Antiqua" w:cs="Arial"/>
          <w:color w:val="000000" w:themeColor="text1"/>
          <w:sz w:val="24"/>
          <w:szCs w:val="24"/>
        </w:rPr>
        <w:t xml:space="preserve">. Factors that may contribute to development of these stones may include </w:t>
      </w:r>
      <w:r w:rsidRPr="00031CB9">
        <w:rPr>
          <w:rFonts w:ascii="Book Antiqua" w:hAnsi="Book Antiqua" w:cs="Arial"/>
          <w:color w:val="000000" w:themeColor="text1"/>
          <w:sz w:val="24"/>
          <w:szCs w:val="24"/>
        </w:rPr>
        <w:t xml:space="preserve">the </w:t>
      </w:r>
      <w:r w:rsidRPr="00031CB9">
        <w:rPr>
          <w:rStyle w:val="nbapihighlight1"/>
          <w:rFonts w:ascii="Book Antiqua" w:hAnsi="Book Antiqua" w:cs="Arial"/>
          <w:color w:val="000000" w:themeColor="text1"/>
          <w:sz w:val="24"/>
          <w:szCs w:val="24"/>
        </w:rPr>
        <w:t>precipitation</w:t>
      </w:r>
      <w:r w:rsidRPr="00031CB9">
        <w:rPr>
          <w:rFonts w:ascii="Book Antiqua" w:hAnsi="Book Antiqua" w:cs="Arial"/>
          <w:color w:val="000000" w:themeColor="text1"/>
          <w:sz w:val="24"/>
          <w:szCs w:val="24"/>
        </w:rPr>
        <w:t xml:space="preserve"> of </w:t>
      </w:r>
      <w:r w:rsidRPr="00031CB9">
        <w:rPr>
          <w:rStyle w:val="nbapihighlight1"/>
          <w:rFonts w:ascii="Book Antiqua" w:hAnsi="Book Antiqua" w:cs="Arial"/>
          <w:color w:val="000000" w:themeColor="text1"/>
          <w:sz w:val="24"/>
          <w:szCs w:val="24"/>
        </w:rPr>
        <w:t>calcium</w:t>
      </w:r>
      <w:r w:rsidRPr="00031CB9">
        <w:rPr>
          <w:rFonts w:ascii="Book Antiqua" w:hAnsi="Book Antiqua" w:cs="Arial"/>
          <w:color w:val="000000" w:themeColor="text1"/>
          <w:sz w:val="24"/>
          <w:szCs w:val="24"/>
        </w:rPr>
        <w:t xml:space="preserve"> bilirubinate, the </w:t>
      </w:r>
      <w:r w:rsidRPr="00031CB9">
        <w:rPr>
          <w:rStyle w:val="nbapihighlight1"/>
          <w:rFonts w:ascii="Book Antiqua" w:hAnsi="Book Antiqua" w:cs="Arial"/>
          <w:color w:val="000000" w:themeColor="text1"/>
          <w:sz w:val="24"/>
          <w:szCs w:val="24"/>
        </w:rPr>
        <w:t>solubility</w:t>
      </w:r>
      <w:r w:rsidRPr="00031CB9">
        <w:rPr>
          <w:rFonts w:ascii="Book Antiqua" w:hAnsi="Book Antiqua" w:cs="Arial"/>
          <w:color w:val="000000" w:themeColor="text1"/>
          <w:sz w:val="24"/>
          <w:szCs w:val="24"/>
        </w:rPr>
        <w:t xml:space="preserve"> of </w:t>
      </w:r>
      <w:r w:rsidRPr="00031CB9">
        <w:rPr>
          <w:rStyle w:val="nbapihighlight1"/>
          <w:rFonts w:ascii="Book Antiqua" w:hAnsi="Book Antiqua" w:cs="Arial"/>
          <w:color w:val="000000" w:themeColor="text1"/>
          <w:sz w:val="24"/>
          <w:szCs w:val="24"/>
        </w:rPr>
        <w:t>cholesterol</w:t>
      </w:r>
      <w:r w:rsidRPr="00031CB9">
        <w:rPr>
          <w:rFonts w:ascii="Book Antiqua" w:hAnsi="Book Antiqua" w:cs="Arial"/>
          <w:color w:val="000000" w:themeColor="text1"/>
          <w:sz w:val="24"/>
          <w:szCs w:val="24"/>
        </w:rPr>
        <w:t xml:space="preserve"> in hepatic </w:t>
      </w:r>
      <w:r w:rsidRPr="00031CB9">
        <w:rPr>
          <w:rStyle w:val="nbapihighlight1"/>
          <w:rFonts w:ascii="Book Antiqua" w:hAnsi="Book Antiqua" w:cs="Arial"/>
          <w:color w:val="000000" w:themeColor="text1"/>
          <w:sz w:val="24"/>
          <w:szCs w:val="24"/>
        </w:rPr>
        <w:t>bile, gene</w:t>
      </w:r>
      <w:r w:rsidRPr="00031CB9">
        <w:rPr>
          <w:rFonts w:ascii="Book Antiqua" w:hAnsi="Book Antiqua" w:cs="Arial"/>
          <w:color w:val="000000" w:themeColor="text1"/>
          <w:sz w:val="24"/>
          <w:szCs w:val="24"/>
        </w:rPr>
        <w:t xml:space="preserve"> mutations, and </w:t>
      </w:r>
      <w:r w:rsidRPr="00031CB9">
        <w:rPr>
          <w:rFonts w:ascii="Book Antiqua" w:eastAsia="함초롬바탕" w:hAnsi="Book Antiqua" w:cs="Arial"/>
          <w:color w:val="000000" w:themeColor="text1"/>
          <w:sz w:val="24"/>
          <w:szCs w:val="24"/>
        </w:rPr>
        <w:t>ethnic differences</w:t>
      </w:r>
      <w:r w:rsidRPr="00031CB9">
        <w:rPr>
          <w:rFonts w:ascii="Book Antiqua" w:eastAsia="함초롬바탕" w:hAnsi="Book Antiqua" w:cs="Arial"/>
          <w:color w:val="000000" w:themeColor="text1"/>
          <w:sz w:val="24"/>
          <w:szCs w:val="24"/>
          <w:vertAlign w:val="superscript"/>
        </w:rPr>
        <w:t>[45-51]</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HY궁서" w:hAnsi="Book Antiqua" w:cs="Arial"/>
          <w:color w:val="000000" w:themeColor="text1"/>
          <w:sz w:val="24"/>
          <w:szCs w:val="24"/>
        </w:rPr>
      </w:pPr>
      <w:r w:rsidRPr="00031CB9">
        <w:rPr>
          <w:rFonts w:ascii="Book Antiqua" w:eastAsia="HY궁서" w:hAnsi="Book Antiqua" w:cs="Arial"/>
          <w:color w:val="000000" w:themeColor="text1"/>
          <w:sz w:val="24"/>
          <w:szCs w:val="24"/>
        </w:rPr>
        <w:t xml:space="preserve">A low fat and low protein </w:t>
      </w:r>
      <w:r w:rsidRPr="00031CB9">
        <w:rPr>
          <w:rStyle w:val="nbapihighlight1"/>
          <w:rFonts w:ascii="Book Antiqua" w:eastAsia="HY궁서" w:hAnsi="Book Antiqua" w:cs="Arial"/>
          <w:color w:val="000000" w:themeColor="text1"/>
          <w:sz w:val="24"/>
          <w:szCs w:val="24"/>
        </w:rPr>
        <w:t>diet</w:t>
      </w:r>
      <w:r w:rsidRPr="00031CB9">
        <w:rPr>
          <w:rFonts w:ascii="Book Antiqua" w:eastAsia="HY궁서" w:hAnsi="Book Antiqua" w:cs="Arial"/>
          <w:color w:val="000000" w:themeColor="text1"/>
          <w:sz w:val="24"/>
          <w:szCs w:val="24"/>
        </w:rPr>
        <w:t xml:space="preserve"> may increase </w:t>
      </w:r>
      <w:r w:rsidRPr="00031CB9">
        <w:rPr>
          <w:rStyle w:val="nbapihighlight1"/>
          <w:rFonts w:ascii="Book Antiqua" w:eastAsia="HY궁서" w:hAnsi="Book Antiqua" w:cs="Arial"/>
          <w:color w:val="000000" w:themeColor="text1"/>
          <w:sz w:val="24"/>
          <w:szCs w:val="24"/>
        </w:rPr>
        <w:t>bile stasis</w:t>
      </w:r>
      <w:r w:rsidRPr="00031CB9">
        <w:rPr>
          <w:rFonts w:ascii="Book Antiqua" w:eastAsia="HY궁서" w:hAnsi="Book Antiqua" w:cs="Arial"/>
          <w:color w:val="000000" w:themeColor="text1"/>
          <w:sz w:val="24"/>
          <w:szCs w:val="24"/>
        </w:rPr>
        <w:t xml:space="preserve"> and </w:t>
      </w:r>
      <w:r w:rsidRPr="00031CB9">
        <w:rPr>
          <w:rStyle w:val="nbapihighlight1"/>
          <w:rFonts w:ascii="Book Antiqua" w:eastAsia="HY궁서" w:hAnsi="Book Antiqua" w:cs="Arial"/>
          <w:color w:val="000000" w:themeColor="text1"/>
          <w:sz w:val="24"/>
          <w:szCs w:val="24"/>
        </w:rPr>
        <w:t>bacterial infection</w:t>
      </w:r>
      <w:r w:rsidRPr="00031CB9">
        <w:rPr>
          <w:rFonts w:ascii="Book Antiqua" w:eastAsia="HY궁서" w:hAnsi="Book Antiqua" w:cs="Arial"/>
          <w:color w:val="000000" w:themeColor="text1"/>
          <w:sz w:val="24"/>
          <w:szCs w:val="24"/>
        </w:rPr>
        <w:t xml:space="preserve"> through relaxation of the </w:t>
      </w:r>
      <w:r w:rsidRPr="00031CB9">
        <w:rPr>
          <w:rStyle w:val="nbapihighlight1"/>
          <w:rFonts w:ascii="Book Antiqua" w:eastAsia="HY궁서" w:hAnsi="Book Antiqua" w:cs="Arial"/>
          <w:color w:val="000000" w:themeColor="text1"/>
          <w:sz w:val="24"/>
          <w:szCs w:val="24"/>
        </w:rPr>
        <w:t>sphincter of Oddi</w:t>
      </w:r>
      <w:r w:rsidRPr="00031CB9">
        <w:rPr>
          <w:rFonts w:ascii="Book Antiqua" w:eastAsia="HY궁서" w:hAnsi="Book Antiqua" w:cs="Arial"/>
          <w:color w:val="000000" w:themeColor="text1"/>
          <w:sz w:val="24"/>
          <w:szCs w:val="24"/>
        </w:rPr>
        <w:t xml:space="preserve"> and decreased release</w:t>
      </w:r>
      <w:r w:rsidRPr="00031CB9">
        <w:rPr>
          <w:rStyle w:val="nbapihighlight1"/>
          <w:rFonts w:ascii="Book Antiqua" w:eastAsia="HY궁서" w:hAnsi="Book Antiqua" w:cs="Arial"/>
          <w:color w:val="000000" w:themeColor="text1"/>
          <w:sz w:val="24"/>
          <w:szCs w:val="24"/>
        </w:rPr>
        <w:t xml:space="preserve"> of cholecystokinin</w:t>
      </w:r>
      <w:r w:rsidRPr="00031CB9">
        <w:rPr>
          <w:rFonts w:ascii="Book Antiqua" w:eastAsia="HY궁서" w:hAnsi="Book Antiqua" w:cs="Arial"/>
          <w:color w:val="000000" w:themeColor="text1"/>
          <w:sz w:val="24"/>
          <w:szCs w:val="24"/>
          <w:vertAlign w:val="superscript"/>
        </w:rPr>
        <w:t>[52,53]</w:t>
      </w:r>
      <w:r w:rsidRPr="00031CB9">
        <w:rPr>
          <w:rFonts w:ascii="Book Antiqua" w:eastAsia="HY궁서" w:hAnsi="Book Antiqua" w:cs="Arial"/>
          <w:color w:val="000000" w:themeColor="text1"/>
          <w:sz w:val="24"/>
          <w:szCs w:val="24"/>
        </w:rPr>
        <w:t>. Association with bacterial infection has been implicated in stone</w:t>
      </w:r>
      <w:r w:rsidRPr="00031CB9">
        <w:rPr>
          <w:rFonts w:ascii="Book Antiqua" w:hAnsi="Book Antiqua" w:cs="Arial"/>
          <w:color w:val="000000" w:themeColor="text1"/>
          <w:sz w:val="24"/>
          <w:szCs w:val="24"/>
        </w:rPr>
        <w:t xml:space="preserve"> formation</w:t>
      </w:r>
      <w:r w:rsidRPr="00031CB9">
        <w:rPr>
          <w:rFonts w:ascii="Book Antiqua" w:eastAsia="HY궁서" w:hAnsi="Book Antiqua" w:cs="Arial"/>
          <w:color w:val="000000" w:themeColor="text1"/>
          <w:sz w:val="24"/>
          <w:szCs w:val="24"/>
        </w:rPr>
        <w:t>. B</w:t>
      </w:r>
      <w:r w:rsidRPr="00031CB9">
        <w:rPr>
          <w:rStyle w:val="nbapihighlight1"/>
          <w:rFonts w:ascii="Book Antiqua" w:eastAsia="HY궁서" w:hAnsi="Book Antiqua" w:cs="Arial"/>
          <w:color w:val="000000" w:themeColor="text1"/>
          <w:sz w:val="24"/>
          <w:szCs w:val="24"/>
        </w:rPr>
        <w:t>acteria</w:t>
      </w:r>
      <w:r w:rsidRPr="00031CB9">
        <w:rPr>
          <w:rFonts w:ascii="Book Antiqua" w:eastAsia="HY궁서" w:hAnsi="Book Antiqua" w:cs="Arial"/>
          <w:color w:val="000000" w:themeColor="text1"/>
          <w:sz w:val="24"/>
          <w:szCs w:val="24"/>
        </w:rPr>
        <w:t xml:space="preserve"> such as </w:t>
      </w:r>
      <w:r w:rsidR="00940531" w:rsidRPr="00940531">
        <w:rPr>
          <w:rStyle w:val="nbapihighlight1"/>
          <w:rFonts w:ascii="Book Antiqua" w:eastAsia="HY궁서" w:hAnsi="Book Antiqua" w:cs="Arial"/>
          <w:i/>
          <w:color w:val="000000" w:themeColor="text1"/>
          <w:sz w:val="24"/>
          <w:szCs w:val="24"/>
        </w:rPr>
        <w:t>Escherichia coli</w:t>
      </w:r>
      <w:r w:rsidRPr="00031CB9">
        <w:rPr>
          <w:rFonts w:ascii="Book Antiqua" w:eastAsia="HY궁서" w:hAnsi="Book Antiqua" w:cs="Arial"/>
          <w:i/>
          <w:color w:val="000000" w:themeColor="text1"/>
          <w:sz w:val="24"/>
          <w:szCs w:val="24"/>
        </w:rPr>
        <w:t xml:space="preserve"> </w:t>
      </w:r>
      <w:r w:rsidRPr="00031CB9">
        <w:rPr>
          <w:rFonts w:ascii="Book Antiqua" w:eastAsia="HY궁서" w:hAnsi="Book Antiqua" w:cs="Arial"/>
          <w:iCs/>
          <w:color w:val="000000" w:themeColor="text1"/>
          <w:sz w:val="24"/>
          <w:szCs w:val="24"/>
        </w:rPr>
        <w:t>and those belonging to the</w:t>
      </w:r>
      <w:r w:rsidRPr="00031CB9">
        <w:rPr>
          <w:rFonts w:ascii="Book Antiqua" w:eastAsia="HY궁서" w:hAnsi="Book Antiqua" w:cs="Arial"/>
          <w:i/>
          <w:color w:val="000000" w:themeColor="text1"/>
          <w:sz w:val="24"/>
          <w:szCs w:val="24"/>
        </w:rPr>
        <w:t xml:space="preserve"> </w:t>
      </w:r>
      <w:r w:rsidRPr="00031CB9">
        <w:rPr>
          <w:rStyle w:val="nbapihighlight1"/>
          <w:rFonts w:ascii="Book Antiqua" w:eastAsia="HY궁서" w:hAnsi="Book Antiqua" w:cs="Arial"/>
          <w:i/>
          <w:color w:val="000000" w:themeColor="text1"/>
          <w:sz w:val="24"/>
          <w:szCs w:val="24"/>
        </w:rPr>
        <w:t>Clostridium</w:t>
      </w:r>
      <w:r w:rsidRPr="00031CB9">
        <w:rPr>
          <w:rFonts w:ascii="Book Antiqua" w:eastAsia="HY궁서" w:hAnsi="Book Antiqua" w:cs="Arial"/>
          <w:color w:val="000000" w:themeColor="text1"/>
          <w:sz w:val="24"/>
          <w:szCs w:val="24"/>
        </w:rPr>
        <w:t xml:space="preserve"> and </w:t>
      </w:r>
      <w:r w:rsidRPr="00031CB9">
        <w:rPr>
          <w:rStyle w:val="nbapihighlight1"/>
          <w:rFonts w:ascii="Book Antiqua" w:eastAsia="HY궁서" w:hAnsi="Book Antiqua" w:cs="Arial"/>
          <w:i/>
          <w:color w:val="000000" w:themeColor="text1"/>
          <w:sz w:val="24"/>
          <w:szCs w:val="24"/>
        </w:rPr>
        <w:t>Bacteroides</w:t>
      </w:r>
      <w:r w:rsidRPr="00031CB9">
        <w:rPr>
          <w:rFonts w:ascii="Book Antiqua" w:eastAsia="HY궁서" w:hAnsi="Book Antiqua" w:cs="Arial"/>
          <w:color w:val="000000" w:themeColor="text1"/>
          <w:sz w:val="24"/>
          <w:szCs w:val="24"/>
        </w:rPr>
        <w:t xml:space="preserve"> genera are frequently isolated from the </w:t>
      </w:r>
      <w:r w:rsidRPr="00031CB9">
        <w:rPr>
          <w:rStyle w:val="nbapihighlight1"/>
          <w:rFonts w:ascii="Book Antiqua" w:eastAsia="HY궁서" w:hAnsi="Book Antiqua" w:cs="Arial"/>
          <w:color w:val="000000" w:themeColor="text1"/>
          <w:sz w:val="24"/>
          <w:szCs w:val="24"/>
        </w:rPr>
        <w:t>bile</w:t>
      </w:r>
      <w:r w:rsidRPr="00031CB9">
        <w:rPr>
          <w:rFonts w:ascii="Book Antiqua" w:eastAsia="HY궁서" w:hAnsi="Book Antiqua" w:cs="Arial"/>
          <w:color w:val="000000" w:themeColor="text1"/>
          <w:sz w:val="24"/>
          <w:szCs w:val="24"/>
        </w:rPr>
        <w:t xml:space="preserve"> of </w:t>
      </w:r>
      <w:r w:rsidRPr="00031CB9">
        <w:rPr>
          <w:rStyle w:val="nbapihighlight1"/>
          <w:rFonts w:ascii="Book Antiqua" w:eastAsia="HY궁서" w:hAnsi="Book Antiqua" w:cs="Arial"/>
          <w:color w:val="000000" w:themeColor="text1"/>
          <w:sz w:val="24"/>
          <w:szCs w:val="24"/>
        </w:rPr>
        <w:t>patients</w:t>
      </w:r>
      <w:r w:rsidRPr="00031CB9">
        <w:rPr>
          <w:rFonts w:ascii="Book Antiqua" w:eastAsia="HY궁서" w:hAnsi="Book Antiqua" w:cs="Arial"/>
          <w:color w:val="000000" w:themeColor="text1"/>
          <w:sz w:val="24"/>
          <w:szCs w:val="24"/>
        </w:rPr>
        <w:t xml:space="preserve"> with hepatolithiasis. The possible route is ascending infection through the </w:t>
      </w:r>
      <w:r w:rsidRPr="00031CB9">
        <w:rPr>
          <w:rStyle w:val="nbapihighlight1"/>
          <w:rFonts w:ascii="Book Antiqua" w:eastAsia="HY궁서" w:hAnsi="Book Antiqua" w:cs="Arial"/>
          <w:color w:val="000000" w:themeColor="text1"/>
          <w:sz w:val="24"/>
          <w:szCs w:val="24"/>
        </w:rPr>
        <w:t>sphincter of Oddi</w:t>
      </w:r>
      <w:r w:rsidRPr="00031CB9">
        <w:rPr>
          <w:rFonts w:ascii="Book Antiqua" w:eastAsia="HY궁서" w:hAnsi="Book Antiqua" w:cs="Arial"/>
          <w:color w:val="000000" w:themeColor="text1"/>
          <w:sz w:val="24"/>
          <w:szCs w:val="24"/>
        </w:rPr>
        <w:t xml:space="preserve">, bacteriobilia through the </w:t>
      </w:r>
      <w:r w:rsidRPr="00031CB9">
        <w:rPr>
          <w:rStyle w:val="nbapihighlight1"/>
          <w:rFonts w:ascii="Book Antiqua" w:eastAsia="HY궁서" w:hAnsi="Book Antiqua" w:cs="Arial"/>
          <w:color w:val="000000" w:themeColor="text1"/>
          <w:sz w:val="24"/>
          <w:szCs w:val="24"/>
        </w:rPr>
        <w:t>portal venous system</w:t>
      </w:r>
      <w:r w:rsidRPr="00031CB9">
        <w:rPr>
          <w:rFonts w:ascii="Book Antiqua" w:eastAsia="HY궁서" w:hAnsi="Book Antiqua" w:cs="Arial"/>
          <w:color w:val="000000" w:themeColor="text1"/>
          <w:sz w:val="24"/>
          <w:szCs w:val="24"/>
        </w:rPr>
        <w:t>, or transient infection with bile stasis</w:t>
      </w:r>
      <w:r w:rsidRPr="00031CB9">
        <w:rPr>
          <w:rFonts w:ascii="Book Antiqua" w:eastAsia="HY궁서" w:hAnsi="Book Antiqua" w:cs="Arial"/>
          <w:color w:val="000000" w:themeColor="text1"/>
          <w:sz w:val="24"/>
          <w:szCs w:val="24"/>
          <w:vertAlign w:val="superscript"/>
        </w:rPr>
        <w:t>[54,55]</w:t>
      </w:r>
      <w:r w:rsidRPr="00031CB9">
        <w:rPr>
          <w:rFonts w:ascii="Book Antiqua" w:eastAsia="HY궁서"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hAnsi="Book Antiqua" w:cs="Arial"/>
          <w:color w:val="000000" w:themeColor="text1"/>
          <w:sz w:val="24"/>
          <w:szCs w:val="24"/>
        </w:rPr>
      </w:pPr>
      <w:r w:rsidRPr="00031CB9">
        <w:rPr>
          <w:rFonts w:ascii="Book Antiqua" w:hAnsi="Book Antiqua" w:cs="Arial"/>
          <w:color w:val="000000" w:themeColor="text1"/>
          <w:sz w:val="24"/>
          <w:szCs w:val="24"/>
        </w:rPr>
        <w:t>Recent experiments suggest that enhanced inflammatory cytokine-induced phospholipase A</w:t>
      </w:r>
      <w:r w:rsidRPr="00031CB9">
        <w:rPr>
          <w:rFonts w:ascii="Book Antiqua" w:hAnsi="Book Antiqua" w:cs="Arial"/>
          <w:color w:val="000000" w:themeColor="text1"/>
          <w:sz w:val="24"/>
          <w:szCs w:val="24"/>
          <w:vertAlign w:val="subscript"/>
        </w:rPr>
        <w:t>2</w:t>
      </w:r>
      <w:r w:rsidRPr="00031CB9">
        <w:rPr>
          <w:rFonts w:ascii="Book Antiqua" w:hAnsi="Book Antiqua" w:cs="Arial"/>
          <w:color w:val="000000" w:themeColor="text1"/>
          <w:sz w:val="24"/>
          <w:szCs w:val="24"/>
        </w:rPr>
        <w:t xml:space="preserve">, cyclooxygenase-2 (COX-2) and COX-2-derived </w:t>
      </w:r>
      <w:r w:rsidRPr="00031CB9">
        <w:rPr>
          <w:rStyle w:val="nbapihighlight1"/>
          <w:rFonts w:ascii="Book Antiqua" w:hAnsi="Book Antiqua" w:cs="Arial"/>
          <w:color w:val="000000" w:themeColor="text1"/>
          <w:sz w:val="24"/>
          <w:szCs w:val="24"/>
        </w:rPr>
        <w:t>PGE</w:t>
      </w:r>
      <w:r w:rsidRPr="00031CB9">
        <w:rPr>
          <w:rFonts w:ascii="Book Antiqua" w:hAnsi="Book Antiqua" w:cs="Arial"/>
          <w:color w:val="000000" w:themeColor="text1"/>
          <w:sz w:val="24"/>
          <w:szCs w:val="24"/>
          <w:vertAlign w:val="subscript"/>
        </w:rPr>
        <w:t>2</w:t>
      </w:r>
      <w:r w:rsidRPr="00031CB9">
        <w:rPr>
          <w:rFonts w:ascii="Book Antiqua" w:hAnsi="Book Antiqua" w:cs="Arial"/>
          <w:color w:val="000000" w:themeColor="text1"/>
          <w:sz w:val="24"/>
          <w:szCs w:val="24"/>
        </w:rPr>
        <w:t xml:space="preserve"> synthesis in the </w:t>
      </w:r>
      <w:r w:rsidRPr="00031CB9">
        <w:rPr>
          <w:rStyle w:val="nbapihighlight1"/>
          <w:rFonts w:ascii="Book Antiqua" w:hAnsi="Book Antiqua" w:cs="Arial"/>
          <w:color w:val="000000" w:themeColor="text1"/>
          <w:sz w:val="24"/>
          <w:szCs w:val="24"/>
        </w:rPr>
        <w:t>bile ducts</w:t>
      </w:r>
      <w:r w:rsidRPr="00031CB9">
        <w:rPr>
          <w:rFonts w:ascii="Book Antiqua" w:hAnsi="Book Antiqua" w:cs="Arial"/>
          <w:color w:val="000000" w:themeColor="text1"/>
          <w:sz w:val="24"/>
          <w:szCs w:val="24"/>
        </w:rPr>
        <w:t xml:space="preserve"> are related to the initiation and propagation of inflammatory changes in hepatolithiasis</w:t>
      </w:r>
      <w:r w:rsidRPr="00031CB9">
        <w:rPr>
          <w:rFonts w:ascii="Book Antiqua" w:hAnsi="Book Antiqua" w:cs="Arial"/>
          <w:color w:val="000000" w:themeColor="text1"/>
          <w:sz w:val="24"/>
          <w:szCs w:val="24"/>
          <w:vertAlign w:val="superscript"/>
        </w:rPr>
        <w:t>[56,57]</w:t>
      </w:r>
      <w:r w:rsidRPr="00031CB9">
        <w:rPr>
          <w:rFonts w:ascii="Book Antiqua"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hAnsi="Book Antiqua" w:cs="Arial"/>
          <w:color w:val="000000" w:themeColor="text1"/>
          <w:sz w:val="24"/>
          <w:szCs w:val="24"/>
        </w:rPr>
      </w:pPr>
      <w:r w:rsidRPr="00031CB9">
        <w:rPr>
          <w:rFonts w:ascii="Book Antiqua" w:hAnsi="Book Antiqua" w:cs="Arial"/>
          <w:color w:val="000000" w:themeColor="text1"/>
          <w:sz w:val="24"/>
          <w:szCs w:val="24"/>
        </w:rPr>
        <w:t xml:space="preserve">In terms of the biliary </w:t>
      </w:r>
      <w:r w:rsidRPr="00031CB9">
        <w:rPr>
          <w:rStyle w:val="nbapihighlight1"/>
          <w:rFonts w:ascii="Book Antiqua" w:hAnsi="Book Antiqua" w:cs="Arial"/>
          <w:color w:val="000000" w:themeColor="text1"/>
          <w:sz w:val="24"/>
          <w:szCs w:val="24"/>
        </w:rPr>
        <w:t>mucin</w:t>
      </w:r>
      <w:r w:rsidRPr="00031CB9">
        <w:rPr>
          <w:rFonts w:ascii="Book Antiqua" w:hAnsi="Book Antiqua" w:cs="Arial"/>
          <w:color w:val="000000" w:themeColor="text1"/>
          <w:sz w:val="24"/>
          <w:szCs w:val="24"/>
        </w:rPr>
        <w:t xml:space="preserve"> molecules, an increase in acidic mucins such as sulfomucins and sialomucins in hepatolithiasis reduces pH in the </w:t>
      </w:r>
      <w:r w:rsidRPr="00031CB9">
        <w:rPr>
          <w:rStyle w:val="nbapihighlight1"/>
          <w:rFonts w:ascii="Book Antiqua" w:hAnsi="Book Antiqua" w:cs="Arial"/>
          <w:color w:val="000000" w:themeColor="text1"/>
          <w:sz w:val="24"/>
          <w:szCs w:val="24"/>
        </w:rPr>
        <w:t>bile</w:t>
      </w:r>
      <w:r w:rsidRPr="00031CB9">
        <w:rPr>
          <w:rFonts w:ascii="Book Antiqua" w:hAnsi="Book Antiqua" w:cs="Arial"/>
          <w:color w:val="000000" w:themeColor="text1"/>
          <w:sz w:val="24"/>
          <w:szCs w:val="24"/>
        </w:rPr>
        <w:t xml:space="preserve"> and leads to </w:t>
      </w:r>
      <w:r w:rsidRPr="00031CB9">
        <w:rPr>
          <w:rStyle w:val="nbapihighlight1"/>
          <w:rFonts w:ascii="Book Antiqua" w:eastAsia="HY궁서" w:hAnsi="Book Antiqua" w:cs="Arial"/>
          <w:color w:val="000000" w:themeColor="text1"/>
          <w:sz w:val="24"/>
          <w:szCs w:val="24"/>
        </w:rPr>
        <w:t>precipitation</w:t>
      </w:r>
      <w:r w:rsidRPr="00031CB9">
        <w:rPr>
          <w:rFonts w:ascii="Book Antiqua" w:eastAsia="HY궁서" w:hAnsi="Book Antiqua" w:cs="Arial"/>
          <w:color w:val="000000" w:themeColor="text1"/>
          <w:sz w:val="24"/>
          <w:szCs w:val="24"/>
        </w:rPr>
        <w:t xml:space="preserve"> of </w:t>
      </w:r>
      <w:r w:rsidRPr="00031CB9">
        <w:rPr>
          <w:rStyle w:val="nbapihighlight1"/>
          <w:rFonts w:ascii="Book Antiqua" w:eastAsia="HY궁서" w:hAnsi="Book Antiqua" w:cs="Arial"/>
          <w:color w:val="000000" w:themeColor="text1"/>
          <w:sz w:val="24"/>
          <w:szCs w:val="24"/>
        </w:rPr>
        <w:t>calcium</w:t>
      </w:r>
      <w:r w:rsidRPr="00031CB9">
        <w:rPr>
          <w:rFonts w:ascii="Book Antiqua" w:eastAsia="HY궁서" w:hAnsi="Book Antiqua" w:cs="Arial"/>
          <w:color w:val="000000" w:themeColor="text1"/>
          <w:sz w:val="24"/>
          <w:szCs w:val="24"/>
        </w:rPr>
        <w:t xml:space="preserve"> bilirubinate in the </w:t>
      </w:r>
      <w:r w:rsidRPr="00031CB9">
        <w:rPr>
          <w:rStyle w:val="nbapihighlight1"/>
          <w:rFonts w:ascii="Book Antiqua" w:eastAsia="HY궁서" w:hAnsi="Book Antiqua" w:cs="Arial"/>
          <w:color w:val="000000" w:themeColor="text1"/>
          <w:sz w:val="24"/>
          <w:szCs w:val="24"/>
        </w:rPr>
        <w:t>bile ducts</w:t>
      </w:r>
      <w:r w:rsidRPr="00031CB9">
        <w:rPr>
          <w:rStyle w:val="nbapihighlight1"/>
          <w:rFonts w:ascii="Book Antiqua" w:eastAsia="HY궁서" w:hAnsi="Book Antiqua" w:cs="Arial"/>
          <w:color w:val="000000" w:themeColor="text1"/>
          <w:sz w:val="24"/>
          <w:szCs w:val="24"/>
          <w:vertAlign w:val="superscript"/>
        </w:rPr>
        <w:t>[</w:t>
      </w:r>
      <w:r w:rsidRPr="00031CB9">
        <w:rPr>
          <w:rFonts w:ascii="Book Antiqua" w:hAnsi="Book Antiqua" w:cs="Arial"/>
          <w:color w:val="000000" w:themeColor="text1"/>
          <w:sz w:val="24"/>
          <w:szCs w:val="24"/>
          <w:vertAlign w:val="superscript"/>
        </w:rPr>
        <w:t>56]</w:t>
      </w:r>
      <w:r w:rsidRPr="00031CB9">
        <w:rPr>
          <w:rFonts w:ascii="Book Antiqua" w:hAnsi="Book Antiqua" w:cs="Arial"/>
          <w:color w:val="000000" w:themeColor="text1"/>
          <w:sz w:val="24"/>
          <w:szCs w:val="24"/>
        </w:rPr>
        <w:t>. The abundance of secretory-</w:t>
      </w:r>
      <w:r w:rsidRPr="00031CB9">
        <w:rPr>
          <w:rFonts w:ascii="Book Antiqua" w:hAnsi="Book Antiqua" w:cs="Arial"/>
          <w:color w:val="000000" w:themeColor="text1"/>
          <w:sz w:val="24"/>
          <w:szCs w:val="24"/>
        </w:rPr>
        <w:lastRenderedPageBreak/>
        <w:t>type mucins (</w:t>
      </w:r>
      <w:r w:rsidRPr="00031CB9">
        <w:rPr>
          <w:rStyle w:val="nbapihighlight1"/>
          <w:rFonts w:ascii="Book Antiqua" w:hAnsi="Book Antiqua" w:cs="Arial"/>
          <w:color w:val="000000" w:themeColor="text1"/>
          <w:sz w:val="24"/>
          <w:szCs w:val="24"/>
        </w:rPr>
        <w:t>MUC2</w:t>
      </w:r>
      <w:r w:rsidRPr="00031CB9">
        <w:rPr>
          <w:rFonts w:ascii="Book Antiqua" w:hAnsi="Book Antiqua" w:cs="Arial"/>
          <w:color w:val="000000" w:themeColor="text1"/>
          <w:sz w:val="24"/>
          <w:szCs w:val="24"/>
        </w:rPr>
        <w:t xml:space="preserve">, </w:t>
      </w:r>
      <w:r w:rsidRPr="00031CB9">
        <w:rPr>
          <w:rStyle w:val="nbapihighlight1"/>
          <w:rFonts w:ascii="Book Antiqua" w:hAnsi="Book Antiqua" w:cs="Arial"/>
          <w:color w:val="000000" w:themeColor="text1"/>
          <w:sz w:val="24"/>
          <w:szCs w:val="24"/>
        </w:rPr>
        <w:t>MUC3</w:t>
      </w:r>
      <w:r w:rsidRPr="00031CB9">
        <w:rPr>
          <w:rFonts w:ascii="Book Antiqua" w:hAnsi="Book Antiqua" w:cs="Arial"/>
          <w:color w:val="000000" w:themeColor="text1"/>
          <w:sz w:val="24"/>
          <w:szCs w:val="24"/>
        </w:rPr>
        <w:t xml:space="preserve">, </w:t>
      </w:r>
      <w:r w:rsidRPr="00031CB9">
        <w:rPr>
          <w:rStyle w:val="nbapihighlight1"/>
          <w:rFonts w:ascii="Book Antiqua" w:hAnsi="Book Antiqua" w:cs="Arial"/>
          <w:color w:val="000000" w:themeColor="text1"/>
          <w:sz w:val="24"/>
          <w:szCs w:val="24"/>
        </w:rPr>
        <w:t>MUC5AC</w:t>
      </w:r>
      <w:r w:rsidRPr="00031CB9">
        <w:rPr>
          <w:rFonts w:ascii="Book Antiqua" w:hAnsi="Book Antiqua" w:cs="Arial"/>
          <w:color w:val="000000" w:themeColor="text1"/>
          <w:sz w:val="24"/>
          <w:szCs w:val="24"/>
        </w:rPr>
        <w:t xml:space="preserve">, </w:t>
      </w:r>
      <w:r w:rsidRPr="00031CB9">
        <w:rPr>
          <w:rStyle w:val="nbapihighlight1"/>
          <w:rFonts w:ascii="Book Antiqua" w:hAnsi="Book Antiqua" w:cs="Arial"/>
          <w:color w:val="000000" w:themeColor="text1"/>
          <w:sz w:val="24"/>
          <w:szCs w:val="24"/>
        </w:rPr>
        <w:t>MUC5B</w:t>
      </w:r>
      <w:r w:rsidRPr="00031CB9">
        <w:rPr>
          <w:rFonts w:ascii="Book Antiqua" w:hAnsi="Book Antiqua" w:cs="Arial"/>
          <w:color w:val="000000" w:themeColor="text1"/>
          <w:sz w:val="24"/>
          <w:szCs w:val="24"/>
        </w:rPr>
        <w:t xml:space="preserve">, </w:t>
      </w:r>
      <w:r w:rsidRPr="00031CB9">
        <w:rPr>
          <w:rStyle w:val="nbapihighlight1"/>
          <w:rFonts w:ascii="Book Antiqua" w:hAnsi="Book Antiqua" w:cs="Arial"/>
          <w:color w:val="000000" w:themeColor="text1"/>
          <w:sz w:val="24"/>
          <w:szCs w:val="24"/>
        </w:rPr>
        <w:t>MUC6</w:t>
      </w:r>
      <w:r w:rsidRPr="00031CB9">
        <w:rPr>
          <w:rFonts w:ascii="Book Antiqua" w:hAnsi="Book Antiqua" w:cs="Arial"/>
          <w:color w:val="000000" w:themeColor="text1"/>
          <w:sz w:val="24"/>
          <w:szCs w:val="24"/>
        </w:rPr>
        <w:t xml:space="preserve">) was shown to be significantly higher in the </w:t>
      </w:r>
      <w:r w:rsidRPr="00031CB9">
        <w:rPr>
          <w:rStyle w:val="nbapihighlight1"/>
          <w:rFonts w:ascii="Book Antiqua" w:hAnsi="Book Antiqua" w:cs="Arial"/>
          <w:color w:val="000000" w:themeColor="text1"/>
          <w:sz w:val="24"/>
          <w:szCs w:val="24"/>
        </w:rPr>
        <w:t>bile ducts</w:t>
      </w:r>
      <w:r w:rsidRPr="00031CB9">
        <w:rPr>
          <w:rFonts w:ascii="Book Antiqua" w:hAnsi="Book Antiqua" w:cs="Arial"/>
          <w:color w:val="000000" w:themeColor="text1"/>
          <w:sz w:val="24"/>
          <w:szCs w:val="24"/>
        </w:rPr>
        <w:t xml:space="preserve"> of hepatolithiasis </w:t>
      </w:r>
      <w:r w:rsidRPr="00031CB9">
        <w:rPr>
          <w:rStyle w:val="nbapihighlight1"/>
          <w:rFonts w:ascii="Book Antiqua" w:hAnsi="Book Antiqua" w:cs="Arial"/>
          <w:color w:val="000000" w:themeColor="text1"/>
          <w:sz w:val="24"/>
          <w:szCs w:val="24"/>
        </w:rPr>
        <w:t>patients compared to controls,</w:t>
      </w:r>
      <w:r w:rsidRPr="00031CB9">
        <w:rPr>
          <w:rFonts w:ascii="Book Antiqua" w:hAnsi="Book Antiqua" w:cs="Arial"/>
          <w:color w:val="000000" w:themeColor="text1"/>
          <w:sz w:val="24"/>
          <w:szCs w:val="24"/>
        </w:rPr>
        <w:t xml:space="preserve"> and gel-forming mucins of </w:t>
      </w:r>
      <w:r w:rsidRPr="00031CB9">
        <w:rPr>
          <w:rStyle w:val="nbapihighlight1"/>
          <w:rFonts w:ascii="Book Antiqua" w:hAnsi="Book Antiqua" w:cs="Arial"/>
          <w:color w:val="000000" w:themeColor="text1"/>
          <w:sz w:val="24"/>
          <w:szCs w:val="24"/>
        </w:rPr>
        <w:t>MUC2</w:t>
      </w:r>
      <w:r w:rsidRPr="00031CB9">
        <w:rPr>
          <w:rFonts w:ascii="Book Antiqua" w:hAnsi="Book Antiqua" w:cs="Arial"/>
          <w:color w:val="000000" w:themeColor="text1"/>
          <w:sz w:val="24"/>
          <w:szCs w:val="24"/>
        </w:rPr>
        <w:t xml:space="preserve"> and 5AC were thought to be more important for the </w:t>
      </w:r>
      <w:r w:rsidRPr="00031CB9">
        <w:rPr>
          <w:rStyle w:val="nbapihighlight1"/>
          <w:rFonts w:ascii="Book Antiqua" w:hAnsi="Book Antiqua" w:cs="Arial"/>
          <w:color w:val="000000" w:themeColor="text1"/>
          <w:sz w:val="24"/>
          <w:szCs w:val="24"/>
        </w:rPr>
        <w:t>pathogenesis</w:t>
      </w:r>
      <w:r w:rsidRPr="00031CB9">
        <w:rPr>
          <w:rStyle w:val="nbapihighlight1"/>
          <w:rFonts w:ascii="Book Antiqua" w:hAnsi="Book Antiqua" w:cs="Arial"/>
          <w:color w:val="000000" w:themeColor="text1"/>
          <w:sz w:val="24"/>
          <w:szCs w:val="24"/>
          <w:vertAlign w:val="superscript"/>
        </w:rPr>
        <w:t>[58,</w:t>
      </w:r>
      <w:r w:rsidRPr="00031CB9">
        <w:rPr>
          <w:rFonts w:ascii="Book Antiqua" w:hAnsi="Book Antiqua" w:cs="Arial"/>
          <w:color w:val="000000" w:themeColor="text1"/>
          <w:sz w:val="24"/>
          <w:szCs w:val="24"/>
          <w:vertAlign w:val="superscript"/>
        </w:rPr>
        <w:t>59]</w:t>
      </w:r>
      <w:r w:rsidRPr="00031CB9">
        <w:rPr>
          <w:rFonts w:ascii="Book Antiqua" w:hAnsi="Book Antiqua" w:cs="Arial"/>
          <w:color w:val="000000" w:themeColor="text1"/>
          <w:sz w:val="24"/>
          <w:szCs w:val="24"/>
        </w:rPr>
        <w:t xml:space="preserve">. Excessive amounts of </w:t>
      </w:r>
      <w:r w:rsidRPr="00031CB9">
        <w:rPr>
          <w:rStyle w:val="nbapihighlight1"/>
          <w:rFonts w:ascii="Book Antiqua" w:hAnsi="Book Antiqua" w:cs="Arial"/>
          <w:color w:val="000000" w:themeColor="text1"/>
          <w:sz w:val="24"/>
          <w:szCs w:val="24"/>
        </w:rPr>
        <w:t>mucin</w:t>
      </w:r>
      <w:r w:rsidRPr="00031CB9">
        <w:rPr>
          <w:rFonts w:ascii="Book Antiqua" w:hAnsi="Book Antiqua" w:cs="Arial"/>
          <w:color w:val="000000" w:themeColor="text1"/>
          <w:sz w:val="24"/>
          <w:szCs w:val="24"/>
        </w:rPr>
        <w:t xml:space="preserve"> secreted into the ducts may provide a microenvironment that initiates a nidus for stones by trapping </w:t>
      </w:r>
      <w:r w:rsidRPr="00031CB9">
        <w:rPr>
          <w:rStyle w:val="nbapihighlight1"/>
          <w:rFonts w:ascii="Book Antiqua" w:hAnsi="Book Antiqua" w:cs="Arial"/>
          <w:color w:val="000000" w:themeColor="text1"/>
          <w:sz w:val="24"/>
          <w:szCs w:val="24"/>
        </w:rPr>
        <w:t>calcium</w:t>
      </w:r>
      <w:r w:rsidRPr="00031CB9">
        <w:rPr>
          <w:rFonts w:ascii="Book Antiqua" w:hAnsi="Book Antiqua" w:cs="Arial"/>
          <w:color w:val="000000" w:themeColor="text1"/>
          <w:sz w:val="24"/>
          <w:szCs w:val="24"/>
        </w:rPr>
        <w:t xml:space="preserve"> salts and </w:t>
      </w:r>
      <w:r w:rsidRPr="00031CB9">
        <w:rPr>
          <w:rStyle w:val="nbapihighlight1"/>
          <w:rFonts w:ascii="Book Antiqua" w:hAnsi="Book Antiqua" w:cs="Arial"/>
          <w:color w:val="000000" w:themeColor="text1"/>
          <w:sz w:val="24"/>
          <w:szCs w:val="24"/>
        </w:rPr>
        <w:t>lipids</w:t>
      </w:r>
      <w:r w:rsidRPr="00031CB9">
        <w:rPr>
          <w:rFonts w:ascii="Book Antiqua" w:hAnsi="Book Antiqua" w:cs="Arial"/>
          <w:color w:val="000000" w:themeColor="text1"/>
          <w:sz w:val="24"/>
          <w:szCs w:val="24"/>
        </w:rPr>
        <w:t xml:space="preserve">, and also cause stones to expand by altering biliary flow in the </w:t>
      </w:r>
      <w:r w:rsidRPr="00031CB9">
        <w:rPr>
          <w:rStyle w:val="nbapihighlight1"/>
          <w:rFonts w:ascii="Book Antiqua" w:hAnsi="Book Antiqua" w:cs="Arial"/>
          <w:color w:val="000000" w:themeColor="text1"/>
          <w:sz w:val="24"/>
          <w:szCs w:val="24"/>
        </w:rPr>
        <w:t>bile ducts</w:t>
      </w:r>
      <w:r w:rsidRPr="00031CB9">
        <w:rPr>
          <w:rStyle w:val="nbapihighlight1"/>
          <w:rFonts w:ascii="Book Antiqua" w:hAnsi="Book Antiqua" w:cs="Arial"/>
          <w:color w:val="000000" w:themeColor="text1"/>
          <w:sz w:val="24"/>
          <w:szCs w:val="24"/>
          <w:vertAlign w:val="superscript"/>
        </w:rPr>
        <w:t>[</w:t>
      </w:r>
      <w:r w:rsidRPr="00031CB9">
        <w:rPr>
          <w:rFonts w:ascii="Book Antiqua" w:hAnsi="Book Antiqua" w:cs="Arial"/>
          <w:color w:val="000000" w:themeColor="text1"/>
          <w:sz w:val="24"/>
          <w:szCs w:val="24"/>
          <w:vertAlign w:val="superscript"/>
        </w:rPr>
        <w:t>60</w:t>
      </w:r>
      <w:r w:rsidR="00273840">
        <w:rPr>
          <w:rFonts w:ascii="Book Antiqua" w:eastAsia="SimSun" w:hAnsi="Book Antiqua" w:cs="Arial" w:hint="eastAsia"/>
          <w:color w:val="000000" w:themeColor="text1"/>
          <w:sz w:val="24"/>
          <w:szCs w:val="24"/>
          <w:vertAlign w:val="superscript"/>
          <w:lang w:eastAsia="zh-CN"/>
        </w:rPr>
        <w:t>,</w:t>
      </w:r>
      <w:r w:rsidRPr="00031CB9">
        <w:rPr>
          <w:rFonts w:ascii="Book Antiqua" w:hAnsi="Book Antiqua" w:cs="Arial"/>
          <w:color w:val="000000" w:themeColor="text1"/>
          <w:sz w:val="24"/>
          <w:szCs w:val="24"/>
          <w:vertAlign w:val="superscript"/>
        </w:rPr>
        <w:t>61]</w:t>
      </w:r>
      <w:r w:rsidRPr="00031CB9">
        <w:rPr>
          <w:rFonts w:ascii="Book Antiqua"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rPr>
          <w:rFonts w:ascii="Book Antiqua" w:hAnsi="Book Antiqua" w:cs="Arial"/>
          <w:color w:val="000000" w:themeColor="text1"/>
          <w:sz w:val="24"/>
          <w:szCs w:val="24"/>
        </w:rPr>
      </w:pPr>
      <w:r w:rsidRPr="00031CB9">
        <w:rPr>
          <w:rFonts w:ascii="Book Antiqua" w:hAnsi="Book Antiqua" w:cs="Arial"/>
          <w:color w:val="000000" w:themeColor="text1"/>
          <w:sz w:val="24"/>
          <w:szCs w:val="24"/>
        </w:rPr>
        <w:t xml:space="preserve"> </w:t>
      </w:r>
    </w:p>
    <w:p w:rsidR="00D7591F" w:rsidRPr="00940531" w:rsidRDefault="00940531" w:rsidP="00445758">
      <w:pPr>
        <w:pStyle w:val="a"/>
        <w:kinsoku w:val="0"/>
        <w:wordWrap/>
        <w:overflowPunct w:val="0"/>
        <w:adjustRightInd w:val="0"/>
        <w:snapToGrid w:val="0"/>
        <w:spacing w:line="360" w:lineRule="auto"/>
        <w:rPr>
          <w:rFonts w:ascii="Book Antiqua" w:eastAsia="SimSun" w:hAnsi="Book Antiqua" w:cs="Arial"/>
          <w:b/>
          <w:i/>
          <w:color w:val="000000" w:themeColor="text1"/>
          <w:sz w:val="24"/>
          <w:szCs w:val="24"/>
          <w:lang w:eastAsia="zh-CN"/>
        </w:rPr>
      </w:pPr>
      <w:r w:rsidRPr="00940531">
        <w:rPr>
          <w:rFonts w:ascii="Book Antiqua" w:eastAsia="함초롬바탕" w:hAnsi="Book Antiqua" w:cs="Arial"/>
          <w:b/>
          <w:i/>
          <w:color w:val="000000" w:themeColor="text1"/>
          <w:sz w:val="24"/>
          <w:szCs w:val="24"/>
        </w:rPr>
        <w:t>HL-CCA</w:t>
      </w:r>
    </w:p>
    <w:p w:rsidR="00D7591F" w:rsidRPr="00031CB9" w:rsidRDefault="00D7591F" w:rsidP="00445758">
      <w:pPr>
        <w:pStyle w:val="a"/>
        <w:kinsoku w:val="0"/>
        <w:wordWrap/>
        <w:overflowPunct w:val="0"/>
        <w:adjustRightInd w:val="0"/>
        <w:snapToGrid w:val="0"/>
        <w:spacing w:line="360" w:lineRule="auto"/>
        <w:ind w:left="120" w:hangingChars="50" w:hanging="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Known risk factors for CCA are primary sclerosing cholangitis, Caroli's disease, congenital choledochal cysts, parasite infections (</w:t>
      </w:r>
      <w:r w:rsidR="00940531" w:rsidRPr="00031CB9">
        <w:rPr>
          <w:rFonts w:ascii="Book Antiqua" w:hAnsi="Book Antiqua" w:cs="Arial"/>
          <w:i/>
          <w:color w:val="000000" w:themeColor="text1"/>
          <w:sz w:val="24"/>
          <w:szCs w:val="24"/>
        </w:rPr>
        <w:t>C. sinensis</w:t>
      </w:r>
      <w:r w:rsidRPr="00031CB9">
        <w:rPr>
          <w:rFonts w:ascii="Book Antiqua" w:eastAsia="함초롬바탕" w:hAnsi="Book Antiqua" w:cs="Arial"/>
          <w:i/>
          <w:color w:val="000000" w:themeColor="text1"/>
          <w:sz w:val="24"/>
          <w:szCs w:val="24"/>
        </w:rPr>
        <w:t>, Opisthorchis viverrini</w:t>
      </w:r>
      <w:r w:rsidRPr="00031CB9">
        <w:rPr>
          <w:rFonts w:ascii="Book Antiqua" w:eastAsia="함초롬바탕" w:hAnsi="Book Antiqua" w:cs="Arial"/>
          <w:color w:val="000000" w:themeColor="text1"/>
          <w:sz w:val="24"/>
          <w:szCs w:val="24"/>
        </w:rPr>
        <w:t>), hepatolithiasis, and toxins</w:t>
      </w:r>
      <w:r w:rsidRPr="00031CB9">
        <w:rPr>
          <w:rFonts w:ascii="Book Antiqua" w:eastAsia="함초롬바탕" w:hAnsi="Book Antiqua" w:cs="Arial"/>
          <w:color w:val="000000" w:themeColor="text1"/>
          <w:sz w:val="24"/>
          <w:szCs w:val="24"/>
          <w:vertAlign w:val="superscript"/>
        </w:rPr>
        <w:t>[8,9,19]</w:t>
      </w:r>
      <w:r w:rsidRPr="00031CB9">
        <w:rPr>
          <w:rFonts w:ascii="Book Antiqua" w:eastAsia="함초롬바탕" w:hAnsi="Book Antiqua" w:cs="Arial"/>
          <w:color w:val="000000" w:themeColor="text1"/>
          <w:sz w:val="24"/>
          <w:szCs w:val="24"/>
        </w:rPr>
        <w:t>. Considerable progress has been made in understanding the pathogenesis of CCA</w:t>
      </w:r>
      <w:r w:rsidRPr="00031CB9">
        <w:rPr>
          <w:rFonts w:ascii="Book Antiqua" w:eastAsia="함초롬바탕" w:hAnsi="Book Antiqua" w:cs="Arial"/>
          <w:color w:val="000000" w:themeColor="text1"/>
          <w:sz w:val="24"/>
          <w:szCs w:val="24"/>
          <w:vertAlign w:val="superscript"/>
        </w:rPr>
        <w:t>[23,62]</w:t>
      </w:r>
      <w:r w:rsidRPr="00031CB9">
        <w:rPr>
          <w:rFonts w:ascii="Book Antiqua" w:eastAsia="함초롬바탕" w:hAnsi="Book Antiqua" w:cs="Arial"/>
          <w:color w:val="000000" w:themeColor="text1"/>
          <w:sz w:val="24"/>
          <w:szCs w:val="24"/>
        </w:rPr>
        <w:t>. It is suggested to be a multi-step process through hyperplasia, dysplasia, and adenocarcinoma in situ to invasive adenocarcinoma</w:t>
      </w:r>
      <w:r w:rsidRPr="00031CB9">
        <w:rPr>
          <w:rFonts w:ascii="Book Antiqua" w:eastAsia="함초롬바탕" w:hAnsi="Book Antiqua" w:cs="Arial"/>
          <w:color w:val="000000" w:themeColor="text1"/>
          <w:sz w:val="24"/>
          <w:szCs w:val="24"/>
          <w:vertAlign w:val="superscript"/>
        </w:rPr>
        <w:t>[63]</w:t>
      </w:r>
      <w:r w:rsidRPr="00031CB9">
        <w:rPr>
          <w:rFonts w:ascii="Book Antiqua" w:eastAsia="함초롬바탕" w:hAnsi="Book Antiqua" w:cs="Arial"/>
          <w:color w:val="000000" w:themeColor="text1"/>
          <w:sz w:val="24"/>
          <w:szCs w:val="24"/>
        </w:rPr>
        <w:t xml:space="preserve">. Although the process of carcinogenesis from hepatolithiasis is </w:t>
      </w:r>
      <w:r w:rsidRPr="00031CB9">
        <w:rPr>
          <w:rFonts w:ascii="Book Antiqua" w:hAnsi="Book Antiqua" w:cs="Arial"/>
          <w:color w:val="000000" w:themeColor="text1"/>
          <w:sz w:val="24"/>
          <w:szCs w:val="24"/>
        </w:rPr>
        <w:t xml:space="preserve">not fully understood, it is thought </w:t>
      </w:r>
      <w:r w:rsidRPr="00031CB9">
        <w:rPr>
          <w:rFonts w:ascii="Book Antiqua" w:eastAsia="함초롬바탕" w:hAnsi="Book Antiqua" w:cs="Arial"/>
          <w:color w:val="000000" w:themeColor="text1"/>
          <w:sz w:val="24"/>
          <w:szCs w:val="24"/>
        </w:rPr>
        <w:t xml:space="preserve">that </w:t>
      </w:r>
      <w:r w:rsidRPr="00031CB9">
        <w:rPr>
          <w:rStyle w:val="nbapihighlight1"/>
          <w:rFonts w:ascii="Book Antiqua" w:hAnsi="Book Antiqua" w:cs="Arial"/>
          <w:color w:val="000000" w:themeColor="text1"/>
          <w:sz w:val="24"/>
          <w:szCs w:val="24"/>
        </w:rPr>
        <w:t>chronic proliferative cholangitis</w:t>
      </w:r>
      <w:r w:rsidRPr="00031CB9">
        <w:rPr>
          <w:rFonts w:ascii="Book Antiqua" w:hAnsi="Book Antiqua" w:cs="Arial"/>
          <w:color w:val="000000" w:themeColor="text1"/>
          <w:sz w:val="24"/>
          <w:szCs w:val="24"/>
        </w:rPr>
        <w:t xml:space="preserve"> is involved in biliary carcinogenesis</w:t>
      </w:r>
      <w:r w:rsidRPr="00031CB9">
        <w:rPr>
          <w:rFonts w:ascii="Book Antiqua" w:hAnsi="Book Antiqua" w:cs="Arial"/>
          <w:color w:val="000000" w:themeColor="text1"/>
          <w:sz w:val="24"/>
          <w:szCs w:val="24"/>
          <w:vertAlign w:val="superscript"/>
        </w:rPr>
        <w:t>[</w:t>
      </w:r>
      <w:r w:rsidR="00BD3D8B">
        <w:rPr>
          <w:rFonts w:ascii="Book Antiqua" w:hAnsi="Book Antiqua" w:cs="Arial" w:hint="eastAsia"/>
          <w:color w:val="000000" w:themeColor="text1"/>
          <w:sz w:val="24"/>
          <w:szCs w:val="24"/>
          <w:vertAlign w:val="superscript"/>
        </w:rPr>
        <w:t>27</w:t>
      </w:r>
      <w:r w:rsidRPr="00031CB9">
        <w:rPr>
          <w:rFonts w:ascii="Book Antiqua" w:hAnsi="Book Antiqua" w:cs="Arial"/>
          <w:color w:val="000000" w:themeColor="text1"/>
          <w:sz w:val="24"/>
          <w:szCs w:val="24"/>
          <w:vertAlign w:val="superscript"/>
        </w:rPr>
        <w:t>]</w:t>
      </w:r>
      <w:r w:rsidRPr="00031CB9">
        <w:rPr>
          <w:rFonts w:ascii="Book Antiqua" w:hAnsi="Book Antiqua" w:cs="Arial"/>
          <w:color w:val="000000" w:themeColor="text1"/>
          <w:sz w:val="24"/>
          <w:szCs w:val="24"/>
        </w:rPr>
        <w:t xml:space="preserve">. </w:t>
      </w:r>
      <w:r w:rsidRPr="00031CB9">
        <w:rPr>
          <w:rFonts w:ascii="Book Antiqua" w:eastAsia="함초롬바탕" w:hAnsi="Book Antiqua" w:cs="Arial"/>
          <w:color w:val="000000" w:themeColor="text1"/>
          <w:sz w:val="24"/>
          <w:szCs w:val="24"/>
        </w:rPr>
        <w:t>Recurrent cholangitis, biliary stricture, bile stasis, and chronic bacterial infection are common problems in hepatolithiasis patients even after multimodal treatment. These recurrent or chronic inflammatory events cause prolonged inflammation of the bile duct epithelium and can lead to the development of CCA</w:t>
      </w:r>
      <w:r w:rsidRPr="00031CB9">
        <w:rPr>
          <w:rFonts w:ascii="Book Antiqua" w:eastAsia="함초롬바탕" w:hAnsi="Book Antiqua" w:cs="Arial"/>
          <w:color w:val="000000" w:themeColor="text1"/>
          <w:sz w:val="24"/>
          <w:szCs w:val="24"/>
          <w:vertAlign w:val="superscript"/>
        </w:rPr>
        <w:t>[</w:t>
      </w:r>
      <w:r w:rsidR="00BD3D8B">
        <w:rPr>
          <w:rFonts w:ascii="Book Antiqua" w:eastAsia="함초롬바탕" w:hAnsi="Book Antiqua" w:cs="Arial" w:hint="eastAsia"/>
          <w:color w:val="000000" w:themeColor="text1"/>
          <w:sz w:val="24"/>
          <w:szCs w:val="24"/>
          <w:vertAlign w:val="superscript"/>
        </w:rPr>
        <w:t>27,</w:t>
      </w:r>
      <w:r w:rsidRPr="00031CB9">
        <w:rPr>
          <w:rFonts w:ascii="Book Antiqua" w:eastAsia="함초롬바탕" w:hAnsi="Book Antiqua" w:cs="Arial"/>
          <w:color w:val="000000" w:themeColor="text1"/>
          <w:sz w:val="24"/>
          <w:szCs w:val="24"/>
          <w:vertAlign w:val="superscript"/>
        </w:rPr>
        <w:t>62]</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hAnsi="Book Antiqua" w:cs="Arial"/>
          <w:color w:val="000000" w:themeColor="text1"/>
          <w:sz w:val="24"/>
          <w:szCs w:val="24"/>
        </w:rPr>
        <w:t xml:space="preserve">The main morphologic feature of stone-containing </w:t>
      </w:r>
      <w:r w:rsidRPr="00031CB9">
        <w:rPr>
          <w:rStyle w:val="nbapihighlight1"/>
          <w:rFonts w:ascii="Book Antiqua" w:hAnsi="Book Antiqua" w:cs="Arial"/>
          <w:color w:val="000000" w:themeColor="text1"/>
          <w:sz w:val="24"/>
          <w:szCs w:val="24"/>
        </w:rPr>
        <w:t>bile ducts</w:t>
      </w:r>
      <w:r w:rsidRPr="00031CB9">
        <w:rPr>
          <w:rFonts w:ascii="Book Antiqua" w:hAnsi="Book Antiqua" w:cs="Arial"/>
          <w:color w:val="000000" w:themeColor="text1"/>
          <w:sz w:val="24"/>
          <w:szCs w:val="24"/>
        </w:rPr>
        <w:t xml:space="preserve"> in hepatolithiasis is </w:t>
      </w:r>
      <w:r w:rsidRPr="00031CB9">
        <w:rPr>
          <w:rStyle w:val="nbapihighlight1"/>
          <w:rFonts w:ascii="Book Antiqua" w:hAnsi="Book Antiqua" w:cs="Arial"/>
          <w:color w:val="000000" w:themeColor="text1"/>
          <w:sz w:val="24"/>
          <w:szCs w:val="24"/>
        </w:rPr>
        <w:t>chronic proliferative cholangitis</w:t>
      </w:r>
      <w:r w:rsidRPr="00031CB9">
        <w:rPr>
          <w:rFonts w:ascii="Book Antiqua" w:hAnsi="Book Antiqua" w:cs="Arial"/>
          <w:color w:val="000000" w:themeColor="text1"/>
          <w:sz w:val="24"/>
          <w:szCs w:val="24"/>
        </w:rPr>
        <w:t xml:space="preserve"> and peribiliary glands proliferation, in which the epithelial lining is hyperplastic</w:t>
      </w:r>
      <w:r w:rsidRPr="00031CB9">
        <w:rPr>
          <w:rFonts w:ascii="Book Antiqua" w:hAnsi="Book Antiqua" w:cs="Arial"/>
          <w:color w:val="000000" w:themeColor="text1"/>
          <w:sz w:val="24"/>
          <w:szCs w:val="24"/>
          <w:vertAlign w:val="superscript"/>
        </w:rPr>
        <w:t>[43]</w:t>
      </w:r>
      <w:r w:rsidRPr="00031CB9">
        <w:rPr>
          <w:rFonts w:ascii="Book Antiqua" w:hAnsi="Book Antiqua" w:cs="Arial"/>
          <w:color w:val="000000" w:themeColor="text1"/>
          <w:sz w:val="24"/>
          <w:szCs w:val="24"/>
        </w:rPr>
        <w:t xml:space="preserve">. Chronic inflammation can cause </w:t>
      </w:r>
      <w:r w:rsidRPr="00031CB9">
        <w:rPr>
          <w:rStyle w:val="nbapihighlight1"/>
          <w:rFonts w:ascii="Book Antiqua" w:hAnsi="Book Antiqua" w:cs="Arial"/>
          <w:color w:val="000000" w:themeColor="text1"/>
          <w:sz w:val="24"/>
          <w:szCs w:val="24"/>
        </w:rPr>
        <w:t>epithelial cell proliferation and</w:t>
      </w:r>
      <w:r w:rsidRPr="00031CB9">
        <w:rPr>
          <w:rFonts w:ascii="Book Antiqua" w:hAnsi="Book Antiqua" w:cs="Arial"/>
          <w:color w:val="000000" w:themeColor="text1"/>
          <w:sz w:val="24"/>
          <w:szCs w:val="24"/>
        </w:rPr>
        <w:t xml:space="preserve"> this may increase the rate of cellular </w:t>
      </w:r>
      <w:r w:rsidRPr="00031CB9">
        <w:rPr>
          <w:rStyle w:val="nbapihighlight1"/>
          <w:rFonts w:ascii="Book Antiqua" w:hAnsi="Book Antiqua" w:cs="Arial"/>
          <w:color w:val="000000" w:themeColor="text1"/>
          <w:sz w:val="24"/>
          <w:szCs w:val="24"/>
        </w:rPr>
        <w:t>DNA</w:t>
      </w:r>
      <w:r w:rsidRPr="00031CB9">
        <w:rPr>
          <w:rFonts w:ascii="Book Antiqua" w:hAnsi="Book Antiqua" w:cs="Arial"/>
          <w:color w:val="000000" w:themeColor="text1"/>
          <w:sz w:val="24"/>
          <w:szCs w:val="24"/>
        </w:rPr>
        <w:t xml:space="preserve"> synthesis and subsequent production of </w:t>
      </w:r>
      <w:r w:rsidRPr="00031CB9">
        <w:rPr>
          <w:rStyle w:val="nbapihighlight1"/>
          <w:rFonts w:ascii="Book Antiqua" w:hAnsi="Book Antiqua" w:cs="Arial"/>
          <w:color w:val="000000" w:themeColor="text1"/>
          <w:sz w:val="24"/>
          <w:szCs w:val="24"/>
        </w:rPr>
        <w:t>mutagens</w:t>
      </w:r>
      <w:r w:rsidRPr="00031CB9">
        <w:rPr>
          <w:rFonts w:ascii="Book Antiqua" w:hAnsi="Book Antiqua" w:cs="Arial"/>
          <w:color w:val="000000" w:themeColor="text1"/>
          <w:sz w:val="24"/>
          <w:szCs w:val="24"/>
        </w:rPr>
        <w:t xml:space="preserve"> coupled with a compromised cellular repair function</w:t>
      </w:r>
      <w:r w:rsidRPr="00031CB9">
        <w:rPr>
          <w:rFonts w:ascii="Book Antiqua" w:hAnsi="Book Antiqua" w:cs="Arial"/>
          <w:color w:val="000000" w:themeColor="text1"/>
          <w:sz w:val="24"/>
          <w:szCs w:val="24"/>
          <w:vertAlign w:val="superscript"/>
        </w:rPr>
        <w:t>[</w:t>
      </w:r>
      <w:r w:rsidR="007103DE" w:rsidRPr="00031CB9">
        <w:rPr>
          <w:rFonts w:ascii="Book Antiqua" w:hAnsi="Book Antiqua" w:cs="Arial"/>
          <w:color w:val="000000" w:themeColor="text1"/>
          <w:sz w:val="24"/>
          <w:szCs w:val="24"/>
          <w:vertAlign w:val="superscript"/>
        </w:rPr>
        <w:t>6</w:t>
      </w:r>
      <w:r w:rsidR="00BD3D8B">
        <w:rPr>
          <w:rFonts w:ascii="Book Antiqua" w:hAnsi="Book Antiqua" w:cs="Arial" w:hint="eastAsia"/>
          <w:color w:val="000000" w:themeColor="text1"/>
          <w:sz w:val="24"/>
          <w:szCs w:val="24"/>
          <w:vertAlign w:val="superscript"/>
        </w:rPr>
        <w:t>4</w:t>
      </w:r>
      <w:r w:rsidR="007103DE" w:rsidRPr="00031CB9">
        <w:rPr>
          <w:rFonts w:ascii="Book Antiqua" w:hAnsi="Book Antiqua" w:cs="Arial"/>
          <w:color w:val="000000" w:themeColor="text1"/>
          <w:sz w:val="24"/>
          <w:szCs w:val="24"/>
          <w:vertAlign w:val="superscript"/>
        </w:rPr>
        <w:t>-</w:t>
      </w:r>
      <w:r w:rsidRPr="00031CB9">
        <w:rPr>
          <w:rFonts w:ascii="Book Antiqua" w:hAnsi="Book Antiqua" w:cs="Arial"/>
          <w:color w:val="000000" w:themeColor="text1"/>
          <w:sz w:val="24"/>
          <w:szCs w:val="24"/>
          <w:vertAlign w:val="superscript"/>
        </w:rPr>
        <w:t>6</w:t>
      </w:r>
      <w:r w:rsidR="00BD3D8B">
        <w:rPr>
          <w:rFonts w:ascii="Book Antiqua" w:hAnsi="Book Antiqua" w:cs="Arial" w:hint="eastAsia"/>
          <w:color w:val="000000" w:themeColor="text1"/>
          <w:sz w:val="24"/>
          <w:szCs w:val="24"/>
          <w:vertAlign w:val="superscript"/>
        </w:rPr>
        <w:t>6</w:t>
      </w:r>
      <w:r w:rsidRPr="00031CB9">
        <w:rPr>
          <w:rFonts w:ascii="Book Antiqua" w:hAnsi="Book Antiqua" w:cs="Arial"/>
          <w:color w:val="000000" w:themeColor="text1"/>
          <w:sz w:val="24"/>
          <w:szCs w:val="24"/>
          <w:vertAlign w:val="superscript"/>
        </w:rPr>
        <w:t>]</w:t>
      </w:r>
      <w:r w:rsidRPr="00031CB9">
        <w:rPr>
          <w:rFonts w:ascii="Book Antiqua" w:hAnsi="Book Antiqua" w:cs="Arial"/>
          <w:color w:val="000000" w:themeColor="text1"/>
          <w:sz w:val="24"/>
          <w:szCs w:val="24"/>
        </w:rPr>
        <w:t xml:space="preserve">. If these processes are sustained for a long period of time, they may cause the multiple </w:t>
      </w:r>
      <w:r w:rsidR="00682466" w:rsidRPr="00031CB9">
        <w:rPr>
          <w:rFonts w:ascii="Book Antiqua" w:hAnsi="Book Antiqua" w:cs="Arial"/>
          <w:color w:val="000000" w:themeColor="text1"/>
          <w:sz w:val="24"/>
          <w:szCs w:val="24"/>
        </w:rPr>
        <w:t xml:space="preserve">molecular </w:t>
      </w:r>
      <w:r w:rsidRPr="00031CB9">
        <w:rPr>
          <w:rFonts w:ascii="Book Antiqua" w:hAnsi="Book Antiqua" w:cs="Arial"/>
          <w:color w:val="000000" w:themeColor="text1"/>
          <w:sz w:val="24"/>
          <w:szCs w:val="24"/>
        </w:rPr>
        <w:t xml:space="preserve">changes necessary to trigger the development of CCA. During histologic exam by choledochoscopy using </w:t>
      </w:r>
      <w:r w:rsidRPr="00031CB9">
        <w:rPr>
          <w:rFonts w:ascii="Book Antiqua" w:eastAsia="함초롬바탕" w:hAnsi="Book Antiqua" w:cs="Arial"/>
          <w:color w:val="000000" w:themeColor="text1"/>
          <w:sz w:val="24"/>
          <w:szCs w:val="24"/>
        </w:rPr>
        <w:t>percutaneous transhepatic cholangioscopic lithotripsy (</w:t>
      </w:r>
      <w:r w:rsidRPr="00031CB9">
        <w:rPr>
          <w:rFonts w:ascii="Book Antiqua" w:hAnsi="Book Antiqua" w:cs="Arial"/>
          <w:color w:val="000000" w:themeColor="text1"/>
          <w:sz w:val="24"/>
          <w:szCs w:val="24"/>
        </w:rPr>
        <w:t xml:space="preserve">PTCSL), atypical epithelial hyperplasia and dysplasia </w:t>
      </w:r>
      <w:r w:rsidRPr="00031CB9">
        <w:rPr>
          <w:rFonts w:ascii="Book Antiqua" w:hAnsi="Book Antiqua" w:cs="Arial"/>
          <w:color w:val="000000" w:themeColor="text1"/>
          <w:sz w:val="24"/>
          <w:szCs w:val="24"/>
        </w:rPr>
        <w:lastRenderedPageBreak/>
        <w:t>are frequently recognized</w:t>
      </w:r>
      <w:r w:rsidRPr="00031CB9">
        <w:rPr>
          <w:rFonts w:ascii="Book Antiqua" w:hAnsi="Book Antiqua" w:cs="Arial"/>
          <w:color w:val="000000" w:themeColor="text1"/>
          <w:sz w:val="24"/>
          <w:szCs w:val="24"/>
          <w:vertAlign w:val="superscript"/>
        </w:rPr>
        <w:t>[</w:t>
      </w:r>
      <w:r w:rsidR="00BD3D8B">
        <w:rPr>
          <w:rFonts w:ascii="Book Antiqua" w:hAnsi="Book Antiqua" w:cs="Arial" w:hint="eastAsia"/>
          <w:color w:val="000000" w:themeColor="text1"/>
          <w:sz w:val="24"/>
          <w:szCs w:val="24"/>
          <w:vertAlign w:val="superscript"/>
        </w:rPr>
        <w:t>27</w:t>
      </w:r>
      <w:r w:rsidRPr="00031CB9">
        <w:rPr>
          <w:rFonts w:ascii="Book Antiqua" w:hAnsi="Book Antiqua" w:cs="Arial"/>
          <w:color w:val="000000" w:themeColor="text1"/>
          <w:sz w:val="24"/>
          <w:szCs w:val="24"/>
          <w:vertAlign w:val="superscript"/>
        </w:rPr>
        <w:t>]</w:t>
      </w:r>
      <w:r w:rsidRPr="00031CB9">
        <w:rPr>
          <w:rFonts w:ascii="Book Antiqua" w:hAnsi="Book Antiqua" w:cs="Arial"/>
          <w:color w:val="000000" w:themeColor="text1"/>
          <w:sz w:val="24"/>
          <w:szCs w:val="24"/>
        </w:rPr>
        <w:t>.</w:t>
      </w:r>
      <w:r w:rsidR="00273840">
        <w:rPr>
          <w:rFonts w:ascii="Book Antiqua" w:eastAsia="함초롬바탕" w:hAnsi="Book Antiqua" w:cs="Arial"/>
          <w:color w:val="000000" w:themeColor="text1"/>
          <w:sz w:val="24"/>
          <w:szCs w:val="24"/>
        </w:rPr>
        <w:t xml:space="preserve"> Chen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[6</w:t>
      </w:r>
      <w:r w:rsidR="00BD3D8B">
        <w:rPr>
          <w:rFonts w:ascii="Book Antiqua" w:eastAsia="함초롬바탕" w:hAnsi="Book Antiqua" w:cs="Arial" w:hint="eastAsia"/>
          <w:color w:val="000000" w:themeColor="text1"/>
          <w:sz w:val="24"/>
          <w:szCs w:val="24"/>
          <w:vertAlign w:val="superscript"/>
        </w:rPr>
        <w:t>7</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intraductal papillary neoplasia was found in 30% of patients with hepatolithiasis and displayed a histologic spectrum from papillary growth with dysplasia to carcinoma. Biliary carcinogenesis associated with hepatolithiasis is thought to be present as precancerous lesions. Intraductal papillary neoplasm of the bile duct (IPNB) and biliary intraepithelial neoplasia (BilIN) are known as precancerous lesions of biliary tract carcinomas</w:t>
      </w:r>
      <w:r w:rsidRPr="00031CB9">
        <w:rPr>
          <w:rFonts w:ascii="Book Antiqua" w:eastAsia="함초롬바탕" w:hAnsi="Book Antiqua" w:cs="Arial"/>
          <w:color w:val="000000" w:themeColor="text1"/>
          <w:sz w:val="24"/>
          <w:szCs w:val="24"/>
          <w:vertAlign w:val="superscript"/>
        </w:rPr>
        <w:t>[6</w:t>
      </w:r>
      <w:r w:rsidR="00BD3D8B">
        <w:rPr>
          <w:rFonts w:ascii="Book Antiqua" w:eastAsia="함초롬바탕" w:hAnsi="Book Antiqua" w:cs="Arial" w:hint="eastAsia"/>
          <w:color w:val="000000" w:themeColor="text1"/>
          <w:sz w:val="24"/>
          <w:szCs w:val="24"/>
          <w:vertAlign w:val="superscript"/>
        </w:rPr>
        <w:t>8</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Similar to hepatolithiasis and clonorchiasis, IPNB has mainly been reported in Far Eastern countries. IPNB </w:t>
      </w:r>
      <w:r w:rsidR="00F2201D" w:rsidRPr="00031CB9">
        <w:rPr>
          <w:rFonts w:ascii="Book Antiqua" w:eastAsia="함초롬바탕" w:hAnsi="Book Antiqua" w:cs="Arial"/>
          <w:color w:val="000000" w:themeColor="text1"/>
          <w:sz w:val="24"/>
          <w:szCs w:val="24"/>
        </w:rPr>
        <w:t>includ</w:t>
      </w:r>
      <w:r w:rsidR="00F70E7A" w:rsidRPr="00031CB9">
        <w:rPr>
          <w:rFonts w:ascii="Book Antiqua" w:eastAsia="함초롬바탕" w:hAnsi="Book Antiqua" w:cs="Arial"/>
          <w:color w:val="000000" w:themeColor="text1"/>
          <w:sz w:val="24"/>
          <w:szCs w:val="24"/>
        </w:rPr>
        <w:t>ing</w:t>
      </w:r>
      <w:r w:rsidR="00F2201D" w:rsidRPr="00031CB9">
        <w:rPr>
          <w:rFonts w:ascii="Book Antiqua" w:eastAsia="함초롬바탕" w:hAnsi="Book Antiqua" w:cs="Arial"/>
          <w:color w:val="000000" w:themeColor="text1"/>
          <w:sz w:val="24"/>
          <w:szCs w:val="24"/>
        </w:rPr>
        <w:t xml:space="preserve"> carcinoma and precursor lesions</w:t>
      </w:r>
      <w:r w:rsidR="00F70E7A" w:rsidRPr="00031CB9">
        <w:rPr>
          <w:rFonts w:ascii="Book Antiqua" w:eastAsia="함초롬바탕" w:hAnsi="Book Antiqua" w:cs="Arial"/>
          <w:color w:val="000000" w:themeColor="text1"/>
          <w:sz w:val="24"/>
          <w:szCs w:val="24"/>
        </w:rPr>
        <w:t>,</w:t>
      </w:r>
      <w:r w:rsidR="00F2201D" w:rsidRPr="00031CB9">
        <w:rPr>
          <w:rFonts w:ascii="Book Antiqua" w:eastAsia="함초롬바탕" w:hAnsi="Book Antiqua" w:cs="Arial"/>
          <w:color w:val="000000" w:themeColor="text1"/>
          <w:sz w:val="24"/>
          <w:szCs w:val="24"/>
        </w:rPr>
        <w:t xml:space="preserve"> </w:t>
      </w:r>
      <w:r w:rsidRPr="00031CB9">
        <w:rPr>
          <w:rFonts w:ascii="Book Antiqua" w:eastAsia="함초롬바탕" w:hAnsi="Book Antiqua" w:cs="Arial"/>
          <w:color w:val="000000" w:themeColor="text1"/>
          <w:sz w:val="24"/>
          <w:szCs w:val="24"/>
        </w:rPr>
        <w:t xml:space="preserve">is known to transform from low-grade </w:t>
      </w:r>
      <w:r w:rsidR="00F2201D" w:rsidRPr="00031CB9">
        <w:rPr>
          <w:rFonts w:ascii="Book Antiqua" w:eastAsia="함초롬바탕" w:hAnsi="Book Antiqua" w:cs="Arial"/>
          <w:color w:val="000000" w:themeColor="text1"/>
          <w:sz w:val="24"/>
          <w:szCs w:val="24"/>
        </w:rPr>
        <w:t>dysplasia to invasive carcinoma</w:t>
      </w:r>
      <w:r w:rsidRPr="00031CB9">
        <w:rPr>
          <w:rFonts w:ascii="Book Antiqua" w:eastAsia="함초롬바탕" w:hAnsi="Book Antiqua" w:cs="Arial"/>
          <w:color w:val="000000" w:themeColor="text1"/>
          <w:sz w:val="24"/>
          <w:szCs w:val="24"/>
          <w:vertAlign w:val="superscript"/>
        </w:rPr>
        <w:t>[</w:t>
      </w:r>
      <w:r w:rsidR="00BD3D8B">
        <w:rPr>
          <w:rFonts w:ascii="Book Antiqua" w:eastAsia="함초롬바탕" w:hAnsi="Book Antiqua" w:cs="Arial" w:hint="eastAsia"/>
          <w:color w:val="000000" w:themeColor="text1"/>
          <w:sz w:val="24"/>
          <w:szCs w:val="24"/>
          <w:vertAlign w:val="superscript"/>
        </w:rPr>
        <w:t>69</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BilIN is a flat or micropapillary dysplastic epithelium in the bile duct, and classified as BilIN-1, BilIN-2, and BilIN-3</w:t>
      </w:r>
      <w:r w:rsidRPr="00031CB9">
        <w:rPr>
          <w:rFonts w:ascii="Book Antiqua" w:eastAsia="함초롬바탕" w:hAnsi="Book Antiqua" w:cs="Arial"/>
          <w:color w:val="000000" w:themeColor="text1"/>
          <w:sz w:val="24"/>
          <w:szCs w:val="24"/>
          <w:vertAlign w:val="superscript"/>
        </w:rPr>
        <w:t>[7</w:t>
      </w:r>
      <w:r w:rsidR="00BD3D8B">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It is </w:t>
      </w:r>
      <w:r w:rsidRPr="00031CB9">
        <w:rPr>
          <w:rFonts w:ascii="Book Antiqua" w:hAnsi="Book Antiqua" w:cs="Arial"/>
          <w:color w:val="000000" w:themeColor="text1"/>
          <w:sz w:val="24"/>
          <w:szCs w:val="24"/>
        </w:rPr>
        <w:t>frequently found in the surgical margin of resection specimens of CCA</w:t>
      </w:r>
      <w:r w:rsidRPr="00031CB9">
        <w:rPr>
          <w:rFonts w:ascii="Book Antiqua" w:eastAsia="함초롬바탕" w:hAnsi="Book Antiqua" w:cs="Arial"/>
          <w:color w:val="000000" w:themeColor="text1"/>
          <w:sz w:val="24"/>
          <w:szCs w:val="24"/>
        </w:rPr>
        <w:t xml:space="preserve"> and is also reported in patients with hepatolithiasis</w:t>
      </w:r>
      <w:r w:rsidRPr="00031CB9">
        <w:rPr>
          <w:rFonts w:ascii="Book Antiqua" w:eastAsia="함초롬바탕" w:hAnsi="Book Antiqua" w:cs="Arial"/>
          <w:color w:val="000000" w:themeColor="text1"/>
          <w:sz w:val="24"/>
          <w:szCs w:val="24"/>
          <w:vertAlign w:val="superscript"/>
        </w:rPr>
        <w:t>[7</w:t>
      </w:r>
      <w:r w:rsidR="00BD3D8B">
        <w:rPr>
          <w:rFonts w:ascii="Book Antiqua" w:eastAsia="함초롬바탕" w:hAnsi="Book Antiqua" w:cs="Arial" w:hint="eastAsia"/>
          <w:color w:val="000000" w:themeColor="text1"/>
          <w:sz w:val="24"/>
          <w:szCs w:val="24"/>
          <w:vertAlign w:val="superscript"/>
        </w:rPr>
        <w:t>1,7</w:t>
      </w:r>
      <w:r w:rsidRPr="00031CB9">
        <w:rPr>
          <w:rFonts w:ascii="Book Antiqua" w:eastAsia="함초롬바탕" w:hAnsi="Book Antiqua" w:cs="Arial"/>
          <w:color w:val="000000" w:themeColor="text1"/>
          <w:sz w:val="24"/>
          <w:szCs w:val="24"/>
          <w:vertAlign w:val="superscript"/>
        </w:rPr>
        <w:t>2]</w:t>
      </w:r>
      <w:r w:rsidRPr="00031CB9">
        <w:rPr>
          <w:rFonts w:ascii="Book Antiqua" w:eastAsia="함초롬바탕" w:hAnsi="Book Antiqua" w:cs="Arial"/>
          <w:color w:val="000000" w:themeColor="text1"/>
          <w:sz w:val="24"/>
          <w:szCs w:val="24"/>
        </w:rPr>
        <w:t>. Both BilIN and IPNB can be seen at the same time in patients with hepatolithiasis, unlike primary sclerosing cholangitis and parasitic infections which are only associated with BilIN</w:t>
      </w:r>
      <w:r w:rsidRPr="00031CB9">
        <w:rPr>
          <w:rFonts w:ascii="Book Antiqua" w:eastAsia="함초롬바탕" w:hAnsi="Book Antiqua" w:cs="Arial"/>
          <w:color w:val="000000" w:themeColor="text1"/>
          <w:sz w:val="24"/>
          <w:szCs w:val="24"/>
          <w:vertAlign w:val="superscript"/>
        </w:rPr>
        <w:t>[7</w:t>
      </w:r>
      <w:r w:rsidR="00BD3D8B">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,7</w:t>
      </w:r>
      <w:r w:rsidR="00BD3D8B">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r w:rsidR="00940531">
        <w:rPr>
          <w:rFonts w:ascii="Book Antiqua" w:eastAsia="함초롬바탕" w:hAnsi="Book Antiqua" w:cs="Arial"/>
          <w:bCs/>
          <w:color w:val="000000" w:themeColor="text1"/>
          <w:sz w:val="24"/>
          <w:szCs w:val="24"/>
        </w:rPr>
        <w:t>(Fig</w:t>
      </w:r>
      <w:r w:rsidR="00940531">
        <w:rPr>
          <w:rFonts w:ascii="Book Antiqua" w:eastAsia="SimSun" w:hAnsi="Book Antiqua" w:cs="Arial" w:hint="eastAsia"/>
          <w:bCs/>
          <w:color w:val="000000" w:themeColor="text1"/>
          <w:sz w:val="24"/>
          <w:szCs w:val="24"/>
          <w:lang w:eastAsia="zh-CN"/>
        </w:rPr>
        <w:t>ures</w:t>
      </w:r>
      <w:r w:rsidRPr="00031CB9">
        <w:rPr>
          <w:rFonts w:ascii="Book Antiqua" w:eastAsia="함초롬바탕" w:hAnsi="Book Antiqua" w:cs="Arial"/>
          <w:bCs/>
          <w:color w:val="000000" w:themeColor="text1"/>
          <w:sz w:val="24"/>
          <w:szCs w:val="24"/>
        </w:rPr>
        <w:t xml:space="preserve"> 1</w:t>
      </w:r>
      <w:r w:rsidR="00A86AFC">
        <w:rPr>
          <w:rFonts w:ascii="Book Antiqua" w:eastAsia="SimSun" w:hAnsi="Book Antiqua" w:cs="Arial" w:hint="eastAsia"/>
          <w:bCs/>
          <w:color w:val="000000" w:themeColor="text1"/>
          <w:sz w:val="24"/>
          <w:szCs w:val="24"/>
          <w:lang w:eastAsia="zh-CN"/>
        </w:rPr>
        <w:t xml:space="preserve"> and </w:t>
      </w:r>
      <w:r w:rsidRPr="00031CB9">
        <w:rPr>
          <w:rFonts w:ascii="Book Antiqua" w:eastAsia="함초롬바탕" w:hAnsi="Book Antiqua" w:cs="Arial"/>
          <w:bCs/>
          <w:color w:val="000000" w:themeColor="text1"/>
          <w:sz w:val="24"/>
          <w:szCs w:val="24"/>
        </w:rPr>
        <w:t>2).</w:t>
      </w:r>
      <w:r w:rsidRPr="00031CB9">
        <w:rPr>
          <w:rFonts w:ascii="Book Antiqua" w:eastAsia="함초롬바탕" w:hAnsi="Book Antiqua" w:cs="Arial"/>
          <w:color w:val="000000" w:themeColor="text1"/>
          <w:sz w:val="24"/>
          <w:szCs w:val="24"/>
        </w:rPr>
        <w:t xml:space="preserve"> A study of BilIN reported that metaplastic changes were more frequently observed in BilIN-2/3 than BilIN-1, and gastric type foveolar metaplasia was the most frequently observed change</w:t>
      </w:r>
      <w:r w:rsidRPr="00031CB9">
        <w:rPr>
          <w:rFonts w:ascii="Book Antiqua" w:eastAsia="함초롬바탕" w:hAnsi="Book Antiqua" w:cs="Arial"/>
          <w:color w:val="000000" w:themeColor="text1"/>
          <w:sz w:val="24"/>
          <w:szCs w:val="24"/>
          <w:vertAlign w:val="superscript"/>
        </w:rPr>
        <w:t>[7</w:t>
      </w:r>
      <w:r w:rsidR="00BD3D8B">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In immunohistochemical</w:t>
      </w:r>
      <w:r w:rsidR="00940531">
        <w:rPr>
          <w:rFonts w:ascii="Book Antiqua" w:eastAsia="함초롬바탕" w:hAnsi="Book Antiqua" w:cs="Arial"/>
          <w:color w:val="000000" w:themeColor="text1"/>
          <w:sz w:val="24"/>
          <w:szCs w:val="24"/>
        </w:rPr>
        <w:t xml:space="preserve"> studies of</w:t>
      </w:r>
      <w:r w:rsidRPr="00031CB9">
        <w:rPr>
          <w:rFonts w:ascii="Book Antiqua" w:eastAsia="함초롬바탕" w:hAnsi="Book Antiqua" w:cs="Arial"/>
          <w:color w:val="000000" w:themeColor="text1"/>
          <w:sz w:val="24"/>
          <w:szCs w:val="24"/>
        </w:rPr>
        <w:t xml:space="preserve"> </w:t>
      </w:r>
      <w:r w:rsidR="00452687" w:rsidRPr="00031CB9">
        <w:rPr>
          <w:rFonts w:ascii="Book Antiqua" w:eastAsia="함초롬바탕" w:hAnsi="Book Antiqua" w:cs="Arial"/>
          <w:color w:val="000000" w:themeColor="text1"/>
          <w:sz w:val="24"/>
          <w:szCs w:val="24"/>
        </w:rPr>
        <w:t>IPNB</w:t>
      </w:r>
      <w:r w:rsidRPr="00031CB9">
        <w:rPr>
          <w:rFonts w:ascii="Book Antiqua" w:eastAsia="함초롬바탕" w:hAnsi="Book Antiqua" w:cs="Arial"/>
          <w:color w:val="000000" w:themeColor="text1"/>
          <w:sz w:val="24"/>
          <w:szCs w:val="24"/>
        </w:rPr>
        <w:t xml:space="preserve">, aberrant expression of cytokeratin 20, MUC2, and MUC5AC </w:t>
      </w:r>
      <w:r w:rsidR="00BA311D" w:rsidRPr="00031CB9">
        <w:rPr>
          <w:rFonts w:ascii="Book Antiqua" w:eastAsia="함초롬바탕" w:hAnsi="Book Antiqua" w:cs="Arial"/>
          <w:color w:val="000000" w:themeColor="text1"/>
          <w:sz w:val="24"/>
          <w:szCs w:val="24"/>
        </w:rPr>
        <w:t>was</w:t>
      </w:r>
      <w:r w:rsidRPr="00031CB9">
        <w:rPr>
          <w:rFonts w:ascii="Book Antiqua" w:eastAsia="함초롬바탕" w:hAnsi="Book Antiqua" w:cs="Arial"/>
          <w:color w:val="000000" w:themeColor="text1"/>
          <w:sz w:val="24"/>
          <w:szCs w:val="24"/>
        </w:rPr>
        <w:t xml:space="preserve"> </w:t>
      </w:r>
      <w:r w:rsidR="00BA311D" w:rsidRPr="00031CB9">
        <w:rPr>
          <w:rFonts w:ascii="Book Antiqua" w:eastAsia="함초롬바탕" w:hAnsi="Book Antiqua" w:cs="Arial"/>
          <w:color w:val="000000" w:themeColor="text1"/>
          <w:sz w:val="24"/>
          <w:szCs w:val="24"/>
        </w:rPr>
        <w:t xml:space="preserve">frequently </w:t>
      </w:r>
      <w:r w:rsidRPr="00031CB9">
        <w:rPr>
          <w:rFonts w:ascii="Book Antiqua" w:eastAsia="함초롬바탕" w:hAnsi="Book Antiqua" w:cs="Arial"/>
          <w:color w:val="000000" w:themeColor="text1"/>
          <w:sz w:val="24"/>
          <w:szCs w:val="24"/>
        </w:rPr>
        <w:t>shown</w:t>
      </w:r>
      <w:r w:rsidRPr="00031CB9">
        <w:rPr>
          <w:rFonts w:ascii="Book Antiqua" w:eastAsia="함초롬바탕" w:hAnsi="Book Antiqua" w:cs="Arial"/>
          <w:color w:val="000000" w:themeColor="text1"/>
          <w:sz w:val="24"/>
          <w:szCs w:val="24"/>
          <w:vertAlign w:val="superscript"/>
        </w:rPr>
        <w:t>[7</w:t>
      </w:r>
      <w:r w:rsidR="00BD3D8B">
        <w:rPr>
          <w:rFonts w:ascii="Book Antiqua" w:eastAsia="함초롬바탕" w:hAnsi="Book Antiqua" w:cs="Arial" w:hint="eastAsia"/>
          <w:color w:val="000000" w:themeColor="text1"/>
          <w:sz w:val="24"/>
          <w:szCs w:val="24"/>
          <w:vertAlign w:val="superscript"/>
        </w:rPr>
        <w:t>3</w:t>
      </w:r>
      <w:r w:rsidRPr="00031CB9">
        <w:rPr>
          <w:rFonts w:ascii="Book Antiqua" w:eastAsia="함초롬바탕" w:hAnsi="Book Antiqua" w:cs="Arial"/>
          <w:color w:val="000000" w:themeColor="text1"/>
          <w:sz w:val="24"/>
          <w:szCs w:val="24"/>
          <w:vertAlign w:val="superscript"/>
        </w:rPr>
        <w:t>,7</w:t>
      </w:r>
      <w:r w:rsidR="00BD3D8B">
        <w:rPr>
          <w:rFonts w:ascii="Book Antiqua" w:eastAsia="함초롬바탕" w:hAnsi="Book Antiqua" w:cs="Arial" w:hint="eastAsia"/>
          <w:color w:val="000000" w:themeColor="text1"/>
          <w:sz w:val="24"/>
          <w:szCs w:val="24"/>
          <w:vertAlign w:val="superscript"/>
        </w:rPr>
        <w:t>4</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Another immunohistochemical study showed that decreased expression of b-catenin and E-cadherin occurred early in the carcinogenesis of both BilIN and IPNB</w:t>
      </w:r>
      <w:r w:rsidRPr="00031CB9">
        <w:rPr>
          <w:rFonts w:ascii="Book Antiqua" w:eastAsia="함초롬바탕" w:hAnsi="Book Antiqua" w:cs="Arial"/>
          <w:color w:val="000000" w:themeColor="text1"/>
          <w:sz w:val="24"/>
          <w:szCs w:val="24"/>
          <w:vertAlign w:val="superscript"/>
        </w:rPr>
        <w:t>[7</w:t>
      </w:r>
      <w:r w:rsidR="00BD3D8B">
        <w:rPr>
          <w:rFonts w:ascii="Book Antiqua" w:eastAsia="함초롬바탕" w:hAnsi="Book Antiqua" w:cs="Arial" w:hint="eastAsia"/>
          <w:color w:val="000000" w:themeColor="text1"/>
          <w:sz w:val="24"/>
          <w:szCs w:val="24"/>
          <w:vertAlign w:val="superscript"/>
        </w:rPr>
        <w:t>5</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Chars="100" w:firstLine="240"/>
        <w:rPr>
          <w:rFonts w:ascii="Book Antiqua" w:hAnsi="Book Antiqua" w:cs="Arial"/>
          <w:color w:val="000000" w:themeColor="text1"/>
          <w:sz w:val="24"/>
          <w:szCs w:val="24"/>
        </w:rPr>
      </w:pPr>
      <w:r w:rsidRPr="00031CB9">
        <w:rPr>
          <w:rFonts w:ascii="Book Antiqua" w:eastAsia="함초롬바탕" w:hAnsi="Book Antiqua" w:cs="Arial"/>
          <w:color w:val="000000" w:themeColor="text1"/>
          <w:sz w:val="24"/>
          <w:szCs w:val="24"/>
        </w:rPr>
        <w:t>Recent studies have elucidated the molecular mechanism of HL-CCA, which involves epidermal growth factor receptor (EGFR), nuclear factor kappa-B (NF-kB), COX-2, PGE</w:t>
      </w:r>
      <w:r w:rsidRPr="00031CB9">
        <w:rPr>
          <w:rFonts w:ascii="Book Antiqua" w:eastAsia="함초롬바탕" w:hAnsi="Book Antiqua" w:cs="Arial"/>
          <w:color w:val="000000" w:themeColor="text1"/>
          <w:sz w:val="24"/>
          <w:szCs w:val="24"/>
          <w:vertAlign w:val="subscript"/>
        </w:rPr>
        <w:t>2</w:t>
      </w:r>
      <w:r w:rsidRPr="00031CB9">
        <w:rPr>
          <w:rFonts w:ascii="Book Antiqua" w:eastAsia="함초롬바탕" w:hAnsi="Book Antiqua" w:cs="Arial"/>
          <w:color w:val="000000" w:themeColor="text1"/>
          <w:sz w:val="24"/>
          <w:szCs w:val="24"/>
        </w:rPr>
        <w:t>, p16, c-met and DPC4/Smad4</w:t>
      </w:r>
      <w:r w:rsidRPr="00031CB9">
        <w:rPr>
          <w:rFonts w:ascii="Book Antiqua" w:eastAsia="함초롬바탕" w:hAnsi="Book Antiqua" w:cs="Arial"/>
          <w:color w:val="000000" w:themeColor="text1"/>
          <w:sz w:val="24"/>
          <w:szCs w:val="24"/>
          <w:vertAlign w:val="superscript"/>
        </w:rPr>
        <w:t>[7</w:t>
      </w:r>
      <w:r w:rsidR="00BD3D8B">
        <w:rPr>
          <w:rFonts w:ascii="Book Antiqua" w:eastAsia="함초롬바탕" w:hAnsi="Book Antiqua" w:cs="Arial" w:hint="eastAsia"/>
          <w:color w:val="000000" w:themeColor="text1"/>
          <w:sz w:val="24"/>
          <w:szCs w:val="24"/>
          <w:vertAlign w:val="superscript"/>
        </w:rPr>
        <w:t>6,7</w:t>
      </w:r>
      <w:r w:rsidRPr="00031CB9">
        <w:rPr>
          <w:rFonts w:ascii="Book Antiqua" w:eastAsia="함초롬바탕" w:hAnsi="Book Antiqua" w:cs="Arial"/>
          <w:color w:val="000000" w:themeColor="text1"/>
          <w:sz w:val="24"/>
          <w:szCs w:val="24"/>
          <w:vertAlign w:val="superscript"/>
        </w:rPr>
        <w:t>7]</w:t>
      </w:r>
      <w:r w:rsidRPr="00031CB9">
        <w:rPr>
          <w:rFonts w:ascii="Book Antiqua" w:eastAsia="함초롬바탕" w:hAnsi="Book Antiqua" w:cs="Arial"/>
          <w:color w:val="000000" w:themeColor="text1"/>
          <w:sz w:val="24"/>
          <w:szCs w:val="24"/>
        </w:rPr>
        <w:t xml:space="preserve"> Increased expression of c-erbB2</w:t>
      </w:r>
      <w:r w:rsidR="0002175C" w:rsidRPr="00031CB9">
        <w:rPr>
          <w:rFonts w:ascii="Book Antiqua" w:eastAsia="함초롬바탕" w:hAnsi="Book Antiqua" w:cs="Arial"/>
          <w:color w:val="000000" w:themeColor="text1"/>
          <w:sz w:val="24"/>
          <w:szCs w:val="24"/>
        </w:rPr>
        <w:t xml:space="preserve"> and EGFR</w:t>
      </w:r>
      <w:r w:rsidRPr="00031CB9">
        <w:rPr>
          <w:rFonts w:ascii="Book Antiqua" w:eastAsia="함초롬바탕" w:hAnsi="Book Antiqua" w:cs="Arial"/>
          <w:color w:val="000000" w:themeColor="text1"/>
          <w:sz w:val="24"/>
          <w:szCs w:val="24"/>
        </w:rPr>
        <w:t xml:space="preserve"> in both hepatolithiasis and intrahepatic CCA has been reported</w:t>
      </w:r>
      <w:r w:rsidRPr="00031CB9">
        <w:rPr>
          <w:rFonts w:ascii="Book Antiqua" w:eastAsia="함초롬바탕" w:hAnsi="Book Antiqua" w:cs="Arial"/>
          <w:color w:val="000000" w:themeColor="text1"/>
          <w:sz w:val="24"/>
          <w:szCs w:val="24"/>
          <w:vertAlign w:val="superscript"/>
        </w:rPr>
        <w:t>[7</w:t>
      </w:r>
      <w:r w:rsidR="00BD3D8B">
        <w:rPr>
          <w:rFonts w:ascii="Book Antiqua" w:eastAsia="함초롬바탕" w:hAnsi="Book Antiqua" w:cs="Arial" w:hint="eastAsia"/>
          <w:color w:val="000000" w:themeColor="text1"/>
          <w:sz w:val="24"/>
          <w:szCs w:val="24"/>
          <w:vertAlign w:val="superscript"/>
        </w:rPr>
        <w:t>8,7</w:t>
      </w:r>
      <w:r w:rsidRPr="00031CB9">
        <w:rPr>
          <w:rFonts w:ascii="Book Antiqua" w:eastAsia="함초롬바탕" w:hAnsi="Book Antiqua" w:cs="Arial"/>
          <w:color w:val="000000" w:themeColor="text1"/>
          <w:sz w:val="24"/>
          <w:szCs w:val="24"/>
          <w:vertAlign w:val="superscript"/>
        </w:rPr>
        <w:t>9]</w:t>
      </w:r>
      <w:r w:rsidR="0002175C" w:rsidRPr="00031CB9">
        <w:rPr>
          <w:rFonts w:ascii="Book Antiqua" w:eastAsia="함초롬바탕" w:hAnsi="Book Antiqua" w:cs="Arial"/>
          <w:color w:val="000000" w:themeColor="text1"/>
          <w:sz w:val="24"/>
          <w:szCs w:val="24"/>
        </w:rPr>
        <w:t xml:space="preserve">. </w:t>
      </w:r>
      <w:r w:rsidRPr="00031CB9">
        <w:rPr>
          <w:rFonts w:ascii="Book Antiqua" w:eastAsia="함초롬바탕" w:hAnsi="Book Antiqua" w:cs="Arial"/>
          <w:color w:val="000000" w:themeColor="text1"/>
          <w:sz w:val="24"/>
          <w:szCs w:val="24"/>
        </w:rPr>
        <w:t xml:space="preserve">Zhou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[8</w:t>
      </w:r>
      <w:r w:rsidR="00BD3D8B">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NF-kB and EGFR were more highly expressed in HL-CCA than in patients with hepatolithiasis. These findings demonstrate that prolonged inflammation by the presence of stones could induce up-regulation of these cell-proliferating factors.</w:t>
      </w:r>
      <w:r w:rsidR="00940531">
        <w:rPr>
          <w:rFonts w:ascii="Book Antiqua" w:eastAsia="함초롬바탕"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i/>
          <w:iCs/>
          <w:color w:val="000000" w:themeColor="text1"/>
          <w:sz w:val="24"/>
          <w:szCs w:val="24"/>
        </w:rPr>
        <w:lastRenderedPageBreak/>
        <w:t>COX-2</w:t>
      </w:r>
      <w:r w:rsidRPr="00031CB9">
        <w:rPr>
          <w:rFonts w:ascii="Book Antiqua" w:eastAsia="함초롬바탕" w:hAnsi="Book Antiqua" w:cs="Arial"/>
          <w:color w:val="000000" w:themeColor="text1"/>
          <w:sz w:val="24"/>
          <w:szCs w:val="24"/>
        </w:rPr>
        <w:t xml:space="preserve"> overexpression correlates with carcinogenesis of intrahepatic CCA, and it occurs during the early stages of cholangiocarcinogenesis</w:t>
      </w:r>
      <w:r w:rsidRPr="00031CB9">
        <w:rPr>
          <w:rFonts w:ascii="Book Antiqua" w:eastAsia="함초롬바탕" w:hAnsi="Book Antiqua" w:cs="Arial"/>
          <w:color w:val="000000" w:themeColor="text1"/>
          <w:sz w:val="24"/>
          <w:szCs w:val="24"/>
          <w:vertAlign w:val="superscript"/>
        </w:rPr>
        <w:t>[8</w:t>
      </w:r>
      <w:r w:rsidR="00BD3D8B">
        <w:rPr>
          <w:rFonts w:ascii="Book Antiqua" w:eastAsia="함초롬바탕" w:hAnsi="Book Antiqua" w:cs="Arial" w:hint="eastAsia"/>
          <w:color w:val="000000" w:themeColor="text1"/>
          <w:sz w:val="24"/>
          <w:szCs w:val="24"/>
          <w:vertAlign w:val="superscript"/>
        </w:rPr>
        <w:t>1</w:t>
      </w:r>
      <w:r w:rsidRPr="00031CB9">
        <w:rPr>
          <w:rFonts w:ascii="Book Antiqua" w:eastAsia="함초롬바탕" w:hAnsi="Book Antiqua" w:cs="Arial"/>
          <w:color w:val="000000" w:themeColor="text1"/>
          <w:sz w:val="24"/>
          <w:szCs w:val="24"/>
          <w:vertAlign w:val="superscript"/>
        </w:rPr>
        <w:t>,8</w:t>
      </w:r>
      <w:r w:rsidR="00BD3D8B">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Endo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[8</w:t>
      </w:r>
      <w:r w:rsidR="00BD3D8B">
        <w:rPr>
          <w:rFonts w:ascii="Book Antiqua" w:eastAsia="함초롬바탕" w:hAnsi="Book Antiqua" w:cs="Arial" w:hint="eastAsia"/>
          <w:color w:val="000000" w:themeColor="text1"/>
          <w:sz w:val="24"/>
          <w:szCs w:val="24"/>
          <w:vertAlign w:val="superscript"/>
        </w:rPr>
        <w:t>3</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ErbB2 and COX-2 were overexpressed in the hyperplastic bile ducts of patients with hepatolithiasis.</w:t>
      </w:r>
    </w:p>
    <w:p w:rsidR="00D7591F" w:rsidRPr="00031CB9" w:rsidRDefault="00D7591F" w:rsidP="00445758">
      <w:pPr>
        <w:pStyle w:val="a"/>
        <w:kinsoku w:val="0"/>
        <w:wordWrap/>
        <w:overflowPunct w:val="0"/>
        <w:adjustRightInd w:val="0"/>
        <w:snapToGrid w:val="0"/>
        <w:spacing w:line="360" w:lineRule="auto"/>
        <w:ind w:firstLine="97"/>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PGE</w:t>
      </w:r>
      <w:r w:rsidRPr="00031CB9">
        <w:rPr>
          <w:rFonts w:ascii="Book Antiqua" w:eastAsia="함초롬바탕" w:hAnsi="Book Antiqua" w:cs="Arial"/>
          <w:color w:val="000000" w:themeColor="text1"/>
          <w:sz w:val="24"/>
          <w:szCs w:val="24"/>
          <w:vertAlign w:val="subscript"/>
        </w:rPr>
        <w:t>2</w:t>
      </w:r>
      <w:r w:rsidRPr="00031CB9">
        <w:rPr>
          <w:rFonts w:ascii="Book Antiqua" w:eastAsia="함초롬바탕" w:hAnsi="Book Antiqua" w:cs="Arial"/>
          <w:color w:val="000000" w:themeColor="text1"/>
          <w:sz w:val="24"/>
          <w:szCs w:val="24"/>
        </w:rPr>
        <w:t xml:space="preserve"> is known to be increased by upregulated COX activity in inflammatory sites. Shoda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[5</w:t>
      </w:r>
      <w:r w:rsidR="007B5FEA">
        <w:rPr>
          <w:rFonts w:ascii="Book Antiqua" w:eastAsia="함초롬바탕" w:hAnsi="Book Antiqua" w:cs="Arial" w:hint="eastAsia"/>
          <w:color w:val="000000" w:themeColor="text1"/>
          <w:sz w:val="24"/>
          <w:szCs w:val="24"/>
          <w:vertAlign w:val="superscript"/>
        </w:rPr>
        <w:t>7</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the synthesis of PGE</w:t>
      </w:r>
      <w:r w:rsidRPr="00031CB9">
        <w:rPr>
          <w:rFonts w:ascii="Book Antiqua" w:eastAsia="함초롬바탕" w:hAnsi="Book Antiqua" w:cs="Arial"/>
          <w:color w:val="000000" w:themeColor="text1"/>
          <w:sz w:val="24"/>
          <w:szCs w:val="24"/>
          <w:vertAlign w:val="subscript"/>
        </w:rPr>
        <w:t>2</w:t>
      </w:r>
      <w:r w:rsidRPr="00031CB9">
        <w:rPr>
          <w:rFonts w:ascii="Book Antiqua" w:eastAsia="함초롬바탕" w:hAnsi="Book Antiqua" w:cs="Arial"/>
          <w:color w:val="000000" w:themeColor="text1"/>
          <w:sz w:val="24"/>
          <w:szCs w:val="24"/>
        </w:rPr>
        <w:t xml:space="preserve"> is significantly higher in affected bile ducts with hepatolithiasis, and it can mediate morphologic changes of the intrahepatic bile duct such as dilatation, stricture, and periductal fibrosis. </w:t>
      </w:r>
    </w:p>
    <w:p w:rsidR="00D7591F" w:rsidRPr="00031CB9" w:rsidRDefault="00D7591F" w:rsidP="00445758">
      <w:pPr>
        <w:pStyle w:val="a"/>
        <w:kinsoku w:val="0"/>
        <w:wordWrap/>
        <w:overflowPunct w:val="0"/>
        <w:adjustRightInd w:val="0"/>
        <w:snapToGrid w:val="0"/>
        <w:spacing w:line="360" w:lineRule="auto"/>
        <w:ind w:firstLine="97"/>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It is well known that </w:t>
      </w:r>
      <w:r w:rsidRPr="00031CB9">
        <w:rPr>
          <w:rFonts w:ascii="Book Antiqua" w:eastAsia="함초롬바탕" w:hAnsi="Book Antiqua" w:cs="Arial"/>
          <w:i/>
          <w:iCs/>
          <w:color w:val="000000" w:themeColor="text1"/>
          <w:sz w:val="24"/>
          <w:szCs w:val="24"/>
        </w:rPr>
        <w:t>c-met</w:t>
      </w:r>
      <w:r w:rsidRPr="00031CB9">
        <w:rPr>
          <w:rFonts w:ascii="Book Antiqua" w:eastAsia="함초롬바탕" w:hAnsi="Book Antiqua" w:cs="Arial"/>
          <w:color w:val="000000" w:themeColor="text1"/>
          <w:sz w:val="24"/>
          <w:szCs w:val="24"/>
        </w:rPr>
        <w:t xml:space="preserve"> plays a role in the carcinogenesis of CCA. The c-met gene, a proto-oncogene, encodes the membranous tyrosine kinase receptor for hepatocyte growth factor</w:t>
      </w:r>
      <w:r w:rsidRPr="00031CB9">
        <w:rPr>
          <w:rFonts w:ascii="Book Antiqua" w:eastAsia="함초롬바탕" w:hAnsi="Book Antiqua" w:cs="Arial"/>
          <w:color w:val="000000" w:themeColor="text1"/>
          <w:sz w:val="24"/>
          <w:szCs w:val="24"/>
          <w:vertAlign w:val="superscript"/>
        </w:rPr>
        <w:t>[8</w:t>
      </w:r>
      <w:r w:rsidR="007B5FEA">
        <w:rPr>
          <w:rFonts w:ascii="Book Antiqua" w:eastAsia="함초롬바탕" w:hAnsi="Book Antiqua" w:cs="Arial" w:hint="eastAsia"/>
          <w:color w:val="000000" w:themeColor="text1"/>
          <w:sz w:val="24"/>
          <w:szCs w:val="24"/>
          <w:vertAlign w:val="superscript"/>
        </w:rPr>
        <w:t>4</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Terada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[8</w:t>
      </w:r>
      <w:r w:rsidR="007B5FEA">
        <w:rPr>
          <w:rFonts w:ascii="Book Antiqua" w:eastAsia="함초롬바탕" w:hAnsi="Book Antiqua" w:cs="Arial" w:hint="eastAsia"/>
          <w:color w:val="000000" w:themeColor="text1"/>
          <w:sz w:val="24"/>
          <w:szCs w:val="24"/>
          <w:vertAlign w:val="superscript"/>
        </w:rPr>
        <w:t>5</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the c-met protein was overexpressed in proliferated biliary cells of hepatolithiasis and in neoplastic biliary epithelium of intrahepatic CCA.</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hAnsi="Book Antiqua" w:cs="Arial"/>
          <w:color w:val="000000" w:themeColor="text1"/>
          <w:sz w:val="24"/>
          <w:szCs w:val="24"/>
        </w:rPr>
      </w:pPr>
      <w:r w:rsidRPr="00031CB9">
        <w:rPr>
          <w:rFonts w:ascii="Book Antiqua" w:eastAsia="함초롬바탕" w:hAnsi="Book Antiqua" w:cs="Arial"/>
          <w:color w:val="000000" w:themeColor="text1"/>
          <w:sz w:val="24"/>
          <w:szCs w:val="24"/>
        </w:rPr>
        <w:t>The cyclin-dependent kinase inhibitor p16 is known as a tumor suppressor gene, and p16 promoter hypermethylation is known to occur in various cancers, including CCA</w:t>
      </w:r>
      <w:r w:rsidRPr="00031CB9">
        <w:rPr>
          <w:rFonts w:ascii="Book Antiqua" w:eastAsia="함초롬바탕" w:hAnsi="Book Antiqua" w:cs="Arial"/>
          <w:color w:val="000000" w:themeColor="text1"/>
          <w:sz w:val="24"/>
          <w:szCs w:val="24"/>
          <w:vertAlign w:val="superscript"/>
        </w:rPr>
        <w:t>[8</w:t>
      </w:r>
      <w:r w:rsidR="007B5FEA">
        <w:rPr>
          <w:rFonts w:ascii="Book Antiqua" w:eastAsia="함초롬바탕" w:hAnsi="Book Antiqua" w:cs="Arial" w:hint="eastAsia"/>
          <w:color w:val="000000" w:themeColor="text1"/>
          <w:sz w:val="24"/>
          <w:szCs w:val="24"/>
          <w:vertAlign w:val="superscript"/>
        </w:rPr>
        <w:t>6</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r w:rsidRPr="00031CB9">
        <w:rPr>
          <w:rFonts w:ascii="Book Antiqua" w:eastAsia="함초롬바탕" w:hAnsi="Book Antiqua" w:cs="Arial"/>
          <w:iCs/>
          <w:color w:val="000000" w:themeColor="text1"/>
          <w:sz w:val="24"/>
          <w:szCs w:val="24"/>
        </w:rPr>
        <w:t xml:space="preserve">Ishikawa </w:t>
      </w:r>
      <w:r w:rsidR="00273840" w:rsidRPr="00273840">
        <w:rPr>
          <w:rFonts w:ascii="Book Antiqua" w:eastAsia="함초롬바탕" w:hAnsi="Book Antiqua" w:cs="Arial"/>
          <w:i/>
          <w:iCs/>
          <w:color w:val="000000" w:themeColor="text1"/>
          <w:sz w:val="24"/>
          <w:szCs w:val="24"/>
        </w:rPr>
        <w:t>et al</w:t>
      </w:r>
      <w:r w:rsidRPr="00031CB9">
        <w:rPr>
          <w:rFonts w:ascii="Book Antiqua" w:eastAsia="함초롬바탕" w:hAnsi="Book Antiqua" w:cs="Arial"/>
          <w:iCs/>
          <w:color w:val="000000" w:themeColor="text1"/>
          <w:sz w:val="24"/>
          <w:szCs w:val="24"/>
          <w:vertAlign w:val="superscript"/>
        </w:rPr>
        <w:t>[8</w:t>
      </w:r>
      <w:r w:rsidR="007B5FEA">
        <w:rPr>
          <w:rFonts w:ascii="Book Antiqua" w:eastAsia="함초롬바탕" w:hAnsi="Book Antiqua" w:cs="Arial" w:hint="eastAsia"/>
          <w:iCs/>
          <w:color w:val="000000" w:themeColor="text1"/>
          <w:sz w:val="24"/>
          <w:szCs w:val="24"/>
          <w:vertAlign w:val="superscript"/>
        </w:rPr>
        <w:t>7</w:t>
      </w:r>
      <w:r w:rsidRPr="00031CB9">
        <w:rPr>
          <w:rFonts w:ascii="Book Antiqua" w:eastAsia="함초롬바탕" w:hAnsi="Book Antiqua" w:cs="Arial"/>
          <w:iCs/>
          <w:color w:val="000000" w:themeColor="text1"/>
          <w:sz w:val="24"/>
          <w:szCs w:val="24"/>
          <w:vertAlign w:val="superscript"/>
        </w:rPr>
        <w:t>]</w:t>
      </w:r>
      <w:r w:rsidRPr="00031CB9">
        <w:rPr>
          <w:rFonts w:ascii="Book Antiqua" w:eastAsia="함초롬바탕" w:hAnsi="Book Antiqua" w:cs="Arial"/>
          <w:iCs/>
          <w:color w:val="000000" w:themeColor="text1"/>
          <w:sz w:val="24"/>
          <w:szCs w:val="24"/>
        </w:rPr>
        <w:t xml:space="preserve"> reported that </w:t>
      </w:r>
      <w:r w:rsidRPr="00031CB9">
        <w:rPr>
          <w:rFonts w:ascii="Book Antiqua" w:eastAsia="함초롬바탕" w:hAnsi="Book Antiqua" w:cs="Arial"/>
          <w:color w:val="000000" w:themeColor="text1"/>
          <w:sz w:val="24"/>
          <w:szCs w:val="24"/>
        </w:rPr>
        <w:t xml:space="preserve">inactivation of </w:t>
      </w:r>
      <w:r w:rsidRPr="00031CB9">
        <w:rPr>
          <w:rFonts w:ascii="Book Antiqua" w:eastAsia="함초롬바탕" w:hAnsi="Book Antiqua" w:cs="Arial"/>
          <w:iCs/>
          <w:color w:val="000000" w:themeColor="text1"/>
          <w:sz w:val="24"/>
          <w:szCs w:val="24"/>
        </w:rPr>
        <w:t>p16</w:t>
      </w:r>
      <w:r w:rsidRPr="00031CB9">
        <w:rPr>
          <w:rFonts w:ascii="Book Antiqua" w:eastAsia="함초롬바탕" w:hAnsi="Book Antiqua" w:cs="Arial"/>
          <w:color w:val="000000" w:themeColor="text1"/>
          <w:sz w:val="24"/>
          <w:szCs w:val="24"/>
        </w:rPr>
        <w:t xml:space="preserve"> occurs frequently and at an early stage of IPNB with hepatolithiasis. Sasaki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w:t>
      </w:r>
      <w:r w:rsidR="007B5FEA">
        <w:rPr>
          <w:rFonts w:ascii="Book Antiqua" w:eastAsia="함초롬바탕" w:hAnsi="Book Antiqua" w:cs="Arial" w:hint="eastAsia"/>
          <w:color w:val="000000" w:themeColor="text1"/>
          <w:sz w:val="24"/>
          <w:szCs w:val="24"/>
          <w:vertAlign w:val="superscript"/>
        </w:rPr>
        <w:t>88</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p16 expression is decreased from BilIN-2,3 to cholangiocarcinogenesis in patients with hepatolithiasis.</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In a study of the DPC4/Smad4 gene, ano</w:t>
      </w:r>
      <w:r w:rsidRPr="00031CB9">
        <w:rPr>
          <w:rFonts w:ascii="Book Antiqua" w:hAnsi="Book Antiqua" w:cs="Arial"/>
          <w:color w:val="000000" w:themeColor="text1"/>
          <w:sz w:val="24"/>
          <w:szCs w:val="24"/>
        </w:rPr>
        <w:t xml:space="preserve">ther </w:t>
      </w:r>
      <w:r w:rsidRPr="00031CB9">
        <w:rPr>
          <w:rFonts w:ascii="Book Antiqua" w:eastAsia="함초롬바탕" w:hAnsi="Book Antiqua" w:cs="Arial"/>
          <w:color w:val="000000" w:themeColor="text1"/>
          <w:sz w:val="24"/>
          <w:szCs w:val="24"/>
        </w:rPr>
        <w:t xml:space="preserve">tumor suppressor gene, Lee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w:t>
      </w:r>
      <w:r w:rsidR="007B5FEA">
        <w:rPr>
          <w:rFonts w:ascii="Book Antiqua" w:eastAsia="함초롬바탕" w:hAnsi="Book Antiqua" w:cs="Arial" w:hint="eastAsia"/>
          <w:color w:val="000000" w:themeColor="text1"/>
          <w:sz w:val="24"/>
          <w:szCs w:val="24"/>
          <w:vertAlign w:val="superscript"/>
        </w:rPr>
        <w:t>8</w:t>
      </w:r>
      <w:r w:rsidRPr="00031CB9">
        <w:rPr>
          <w:rFonts w:ascii="Book Antiqua" w:eastAsia="함초롬바탕" w:hAnsi="Book Antiqua" w:cs="Arial"/>
          <w:color w:val="000000" w:themeColor="text1"/>
          <w:sz w:val="24"/>
          <w:szCs w:val="24"/>
          <w:vertAlign w:val="superscript"/>
        </w:rPr>
        <w:t>9]</w:t>
      </w:r>
      <w:r w:rsidRPr="00031CB9">
        <w:rPr>
          <w:rFonts w:ascii="Book Antiqua" w:eastAsia="함초롬바탕" w:hAnsi="Book Antiqua" w:cs="Arial"/>
          <w:color w:val="000000" w:themeColor="text1"/>
          <w:sz w:val="24"/>
          <w:szCs w:val="24"/>
        </w:rPr>
        <w:t xml:space="preserve"> reported that inactivation of DPC4/Smad4 occurs in both CCA and stone-containing bile ducts, and it is especially </w:t>
      </w:r>
      <w:r w:rsidRPr="00031CB9">
        <w:rPr>
          <w:rFonts w:ascii="Book Antiqua" w:hAnsi="Book Antiqua" w:cs="Arial"/>
          <w:color w:val="000000" w:themeColor="text1"/>
          <w:sz w:val="24"/>
          <w:szCs w:val="24"/>
        </w:rPr>
        <w:t xml:space="preserve">pronounced </w:t>
      </w:r>
      <w:r w:rsidRPr="00031CB9">
        <w:rPr>
          <w:rFonts w:ascii="Book Antiqua" w:eastAsia="함초롬바탕" w:hAnsi="Book Antiqua" w:cs="Arial"/>
          <w:color w:val="000000" w:themeColor="text1"/>
          <w:sz w:val="24"/>
          <w:szCs w:val="24"/>
        </w:rPr>
        <w:t>in the dysplastic epithelium of stone-containing bile ducts.</w:t>
      </w:r>
    </w:p>
    <w:p w:rsidR="00D7591F" w:rsidRPr="00031CB9" w:rsidRDefault="00D7591F" w:rsidP="00445758">
      <w:pPr>
        <w:pStyle w:val="a"/>
        <w:kinsoku w:val="0"/>
        <w:wordWrap/>
        <w:overflowPunct w:val="0"/>
        <w:adjustRightInd w:val="0"/>
        <w:snapToGrid w:val="0"/>
        <w:spacing w:line="360" w:lineRule="auto"/>
        <w:rPr>
          <w:rFonts w:ascii="Book Antiqua" w:hAnsi="Book Antiqua" w:cs="Arial"/>
          <w:color w:val="000000" w:themeColor="text1"/>
          <w:sz w:val="24"/>
          <w:szCs w:val="24"/>
        </w:rPr>
      </w:pPr>
    </w:p>
    <w:p w:rsidR="00D7591F" w:rsidRPr="00940531" w:rsidRDefault="00D7591F" w:rsidP="00445758">
      <w:pPr>
        <w:pStyle w:val="a"/>
        <w:kinsoku w:val="0"/>
        <w:wordWrap/>
        <w:overflowPunct w:val="0"/>
        <w:adjustRightInd w:val="0"/>
        <w:snapToGrid w:val="0"/>
        <w:spacing w:line="360" w:lineRule="auto"/>
        <w:rPr>
          <w:rFonts w:ascii="Book Antiqua" w:eastAsia="함초롬바탕" w:hAnsi="Book Antiqua" w:cs="Arial"/>
          <w:b/>
          <w:bCs/>
          <w:caps/>
          <w:color w:val="000000" w:themeColor="text1"/>
          <w:sz w:val="24"/>
          <w:szCs w:val="24"/>
        </w:rPr>
      </w:pPr>
      <w:r w:rsidRPr="00940531">
        <w:rPr>
          <w:rFonts w:ascii="Book Antiqua" w:eastAsia="함초롬바탕" w:hAnsi="Book Antiqua" w:cs="Arial"/>
          <w:b/>
          <w:bCs/>
          <w:caps/>
          <w:color w:val="000000" w:themeColor="text1"/>
          <w:sz w:val="24"/>
          <w:szCs w:val="24"/>
        </w:rPr>
        <w:t xml:space="preserve">Diagnosis </w:t>
      </w:r>
    </w:p>
    <w:p w:rsidR="00D7591F" w:rsidRPr="00940531" w:rsidRDefault="00D7591F" w:rsidP="00445758">
      <w:pPr>
        <w:pStyle w:val="a"/>
        <w:kinsoku w:val="0"/>
        <w:wordWrap/>
        <w:overflowPunct w:val="0"/>
        <w:adjustRightInd w:val="0"/>
        <w:snapToGrid w:val="0"/>
        <w:spacing w:line="360" w:lineRule="auto"/>
        <w:rPr>
          <w:rFonts w:ascii="Book Antiqua" w:eastAsia="SimSun" w:hAnsi="Book Antiqua" w:cs="Arial"/>
          <w:b/>
          <w:i/>
          <w:color w:val="000000" w:themeColor="text1"/>
          <w:sz w:val="24"/>
          <w:szCs w:val="24"/>
          <w:lang w:eastAsia="zh-CN"/>
        </w:rPr>
      </w:pPr>
      <w:r w:rsidRPr="00940531">
        <w:rPr>
          <w:rFonts w:ascii="Book Antiqua" w:eastAsia="함초롬바탕" w:hAnsi="Book Antiqua" w:cs="Arial"/>
          <w:b/>
          <w:i/>
          <w:color w:val="000000" w:themeColor="text1"/>
          <w:sz w:val="24"/>
          <w:szCs w:val="24"/>
        </w:rPr>
        <w:t>Hepatolithiasis</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Diagnosis of hepatolithiasis is performed mainly through radiologic examinations, and often incidentally without symptoms or laboratory abnormalities. If symptoms occur, they may include fever, fatigue, abdominal pain, and jaundice. Laboratory tests can show leukocytosis, neutrophilia, and abnormal liver biochemistry of an obstructive pattern with raised serum alkaline phosphate and bilirubin.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hAnsi="Book Antiqua" w:cs="Arial"/>
          <w:color w:val="000000" w:themeColor="text1"/>
          <w:sz w:val="24"/>
          <w:szCs w:val="24"/>
        </w:rPr>
      </w:pPr>
      <w:r w:rsidRPr="00031CB9">
        <w:rPr>
          <w:rFonts w:ascii="Book Antiqua" w:eastAsia="함초롬바탕" w:hAnsi="Book Antiqua" w:cs="Arial"/>
          <w:color w:val="000000" w:themeColor="text1"/>
          <w:sz w:val="24"/>
          <w:szCs w:val="24"/>
        </w:rPr>
        <w:lastRenderedPageBreak/>
        <w:t>A hepatolithiasis research group in Japan classified the severity of hepatolithiasis with grade 1 as no symptoms, grade 2 as having abdominal pain, grade 3 as transient jaundice or cholangitis, and grade 4 as continuous jaundice, sepsis, or concurrent CCA. They reported that m</w:t>
      </w:r>
      <w:r w:rsidRPr="00031CB9">
        <w:rPr>
          <w:rFonts w:ascii="Book Antiqua" w:hAnsi="Book Antiqua" w:cs="Arial"/>
          <w:color w:val="000000" w:themeColor="text1"/>
          <w:sz w:val="24"/>
          <w:szCs w:val="24"/>
        </w:rPr>
        <w:t xml:space="preserve">ore than half of </w:t>
      </w:r>
      <w:r w:rsidRPr="00031CB9">
        <w:rPr>
          <w:rFonts w:ascii="Book Antiqua" w:eastAsia="함초롬바탕" w:hAnsi="Book Antiqua" w:cs="Arial"/>
          <w:color w:val="000000" w:themeColor="text1"/>
          <w:sz w:val="24"/>
          <w:szCs w:val="24"/>
        </w:rPr>
        <w:t>473</w:t>
      </w:r>
      <w:r w:rsidRPr="00031CB9">
        <w:rPr>
          <w:rFonts w:ascii="Book Antiqua" w:hAnsi="Book Antiqua" w:cs="Arial"/>
          <w:color w:val="000000" w:themeColor="text1"/>
          <w:sz w:val="24"/>
          <w:szCs w:val="24"/>
        </w:rPr>
        <w:t xml:space="preserve"> new hepatolithiasis cases were classified as grade 3 or 4</w:t>
      </w:r>
      <w:r w:rsidRPr="00031CB9">
        <w:rPr>
          <w:rFonts w:ascii="Book Antiqua"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vertAlign w:val="superscript"/>
        </w:rPr>
        <w:t>9</w:t>
      </w:r>
      <w:r w:rsidR="007B5FEA">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Another recent study of 68 hepatolithiasis patients using a new clinical classification, namely, type 1 primary type (no previous biliary tract surgery), type 2 inflammatory type (previous biliary tract surgery and cholangitis), type 3 mass-forming type (complicated by hepatic mass-forming lesion), and type 4 terminal type (with secondary biliary cirrhosis and resultant portal hypertension), reported that the incidence of new cases of types 1-4 was 50%, 36.8%, 10.3%, and 2.8%, respectively</w:t>
      </w:r>
      <w:r w:rsidRPr="00031CB9">
        <w:rPr>
          <w:rFonts w:ascii="Book Antiqua" w:eastAsia="함초롬바탕" w:hAnsi="Book Antiqua" w:cs="Arial"/>
          <w:color w:val="000000" w:themeColor="text1"/>
          <w:sz w:val="24"/>
          <w:szCs w:val="24"/>
          <w:vertAlign w:val="superscript"/>
        </w:rPr>
        <w:t>[9</w:t>
      </w:r>
      <w:r w:rsidR="007B5FEA">
        <w:rPr>
          <w:rFonts w:ascii="Book Antiqua" w:eastAsia="함초롬바탕" w:hAnsi="Book Antiqua" w:cs="Arial" w:hint="eastAsia"/>
          <w:color w:val="000000" w:themeColor="text1"/>
          <w:sz w:val="24"/>
          <w:szCs w:val="24"/>
          <w:vertAlign w:val="superscript"/>
        </w:rPr>
        <w:t>1</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hAnsi="Book Antiqua" w:cs="Arial"/>
          <w:color w:val="000000" w:themeColor="text1"/>
          <w:sz w:val="24"/>
          <w:szCs w:val="24"/>
        </w:rPr>
      </w:pPr>
      <w:r w:rsidRPr="00031CB9">
        <w:rPr>
          <w:rFonts w:ascii="Book Antiqua" w:eastAsia="함초롬바탕" w:hAnsi="Book Antiqua" w:cs="Arial"/>
          <w:color w:val="000000" w:themeColor="text1"/>
          <w:sz w:val="24"/>
          <w:szCs w:val="24"/>
        </w:rPr>
        <w:t>Abdominal ultrasound (US) and computed tomography (CT) are the primary imaging modalities for hepatolithiasis. US has the advantage of providing non-invasive, safe, easily available</w:t>
      </w:r>
      <w:r w:rsidR="00436864" w:rsidRPr="00031CB9">
        <w:rPr>
          <w:rFonts w:ascii="Book Antiqua" w:eastAsia="함초롬바탕" w:hAnsi="Book Antiqua" w:cs="Arial"/>
          <w:color w:val="000000" w:themeColor="text1"/>
          <w:sz w:val="24"/>
          <w:szCs w:val="24"/>
        </w:rPr>
        <w:t xml:space="preserve"> even bedside</w:t>
      </w:r>
      <w:r w:rsidRPr="00031CB9">
        <w:rPr>
          <w:rFonts w:ascii="Book Antiqua" w:eastAsia="함초롬바탕" w:hAnsi="Book Antiqua" w:cs="Arial"/>
          <w:color w:val="000000" w:themeColor="text1"/>
          <w:sz w:val="24"/>
          <w:szCs w:val="24"/>
        </w:rPr>
        <w:t>, and can detect dilatations of the biliary tract and stones as shown by echogenic spots with an acoustic shadow. However, the detectability of stones is dependent on the stone size, shadowing characteristics, echogenicity, and the location in the hepatic lobe</w:t>
      </w:r>
      <w:r w:rsidRPr="00031CB9">
        <w:rPr>
          <w:rFonts w:ascii="Book Antiqua" w:eastAsia="함초롬바탕" w:hAnsi="Book Antiqua" w:cs="Arial"/>
          <w:color w:val="000000" w:themeColor="text1"/>
          <w:sz w:val="24"/>
          <w:szCs w:val="24"/>
          <w:vertAlign w:val="superscript"/>
        </w:rPr>
        <w:t>[7,9</w:t>
      </w:r>
      <w:r w:rsidR="007B5FEA">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Multidetector CT (MDCT) has advanced the diagnosis of hepatolithiasis. MD-CT is very useful for detecting dilated bile ducts, stricture of the bile duct, and calcification stones in the bile duct</w:t>
      </w:r>
      <w:r w:rsidRPr="00031CB9">
        <w:rPr>
          <w:rFonts w:ascii="Book Antiqua" w:eastAsia="함초롬바탕" w:hAnsi="Book Antiqua" w:cs="Arial"/>
          <w:color w:val="000000" w:themeColor="text1"/>
          <w:sz w:val="24"/>
          <w:szCs w:val="24"/>
          <w:vertAlign w:val="superscript"/>
        </w:rPr>
        <w:t>[7,9</w:t>
      </w:r>
      <w:r w:rsidR="007B5FEA">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Therefore, recently, US and CT have become the first choice for examining patients suspected of having hepatolithiasis.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Magnetic resonance imaging (MRI) and magnetic resonance cholangiopancreatography (MRCP) can provide realistic bile duct images and can detect stones without exposing patients to radiation</w:t>
      </w:r>
      <w:r w:rsidRPr="00031CB9">
        <w:rPr>
          <w:rFonts w:ascii="Book Antiqua" w:eastAsia="함초롬바탕" w:hAnsi="Book Antiqua" w:cs="Arial"/>
          <w:color w:val="000000" w:themeColor="text1"/>
          <w:sz w:val="24"/>
          <w:szCs w:val="24"/>
          <w:vertAlign w:val="superscript"/>
        </w:rPr>
        <w:t>[9</w:t>
      </w:r>
      <w:r w:rsidR="007B5FEA">
        <w:rPr>
          <w:rFonts w:ascii="Book Antiqua" w:eastAsia="함초롬바탕" w:hAnsi="Book Antiqua" w:cs="Arial" w:hint="eastAsia"/>
          <w:color w:val="000000" w:themeColor="text1"/>
          <w:sz w:val="24"/>
          <w:szCs w:val="24"/>
          <w:vertAlign w:val="superscript"/>
        </w:rPr>
        <w:t>3</w:t>
      </w:r>
      <w:r w:rsidRPr="00031CB9">
        <w:rPr>
          <w:rFonts w:ascii="Book Antiqua" w:eastAsia="함초롬바탕" w:hAnsi="Book Antiqua" w:cs="Arial"/>
          <w:color w:val="000000" w:themeColor="text1"/>
          <w:sz w:val="24"/>
          <w:szCs w:val="24"/>
          <w:vertAlign w:val="superscript"/>
        </w:rPr>
        <w:t>,9</w:t>
      </w:r>
      <w:r w:rsidR="007B5FEA">
        <w:rPr>
          <w:rFonts w:ascii="Book Antiqua" w:eastAsia="함초롬바탕" w:hAnsi="Book Antiqua" w:cs="Arial" w:hint="eastAsia"/>
          <w:color w:val="000000" w:themeColor="text1"/>
          <w:sz w:val="24"/>
          <w:szCs w:val="24"/>
          <w:vertAlign w:val="superscript"/>
        </w:rPr>
        <w:t>4</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The T1W sequence is helpful for depicting stones and demonstrating parenchymal complications, such as </w:t>
      </w:r>
      <w:r w:rsidR="004A0B26" w:rsidRPr="00031CB9">
        <w:rPr>
          <w:rFonts w:ascii="Book Antiqua" w:eastAsia="함초롬바탕" w:hAnsi="Book Antiqua" w:cs="Arial"/>
          <w:color w:val="000000" w:themeColor="text1"/>
          <w:sz w:val="24"/>
          <w:szCs w:val="24"/>
        </w:rPr>
        <w:t xml:space="preserve">an </w:t>
      </w:r>
      <w:r w:rsidRPr="00031CB9">
        <w:rPr>
          <w:rFonts w:ascii="Book Antiqua" w:eastAsia="함초롬바탕" w:hAnsi="Book Antiqua" w:cs="Arial"/>
          <w:color w:val="000000" w:themeColor="text1"/>
          <w:sz w:val="24"/>
          <w:szCs w:val="24"/>
        </w:rPr>
        <w:t>abscess</w:t>
      </w:r>
      <w:r w:rsidRPr="00031CB9">
        <w:rPr>
          <w:rFonts w:ascii="Book Antiqua" w:eastAsia="함초롬바탕" w:hAnsi="Book Antiqua" w:cs="Arial"/>
          <w:color w:val="000000" w:themeColor="text1"/>
          <w:sz w:val="24"/>
          <w:szCs w:val="24"/>
          <w:vertAlign w:val="superscript"/>
        </w:rPr>
        <w:t>[9</w:t>
      </w:r>
      <w:r w:rsidR="007B5FEA">
        <w:rPr>
          <w:rFonts w:ascii="Book Antiqua" w:eastAsia="함초롬바탕" w:hAnsi="Book Antiqua" w:cs="Arial" w:hint="eastAsia"/>
          <w:color w:val="000000" w:themeColor="text1"/>
          <w:sz w:val="24"/>
          <w:szCs w:val="24"/>
          <w:vertAlign w:val="superscript"/>
        </w:rPr>
        <w:t>5</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However, the cost is high and its spatial resolution is not perfect. MRI and MRCP are usually performed as ancillary investigations to US and CT.</w:t>
      </w:r>
    </w:p>
    <w:p w:rsidR="00D7591F" w:rsidRPr="00031CB9" w:rsidRDefault="00D7591F" w:rsidP="00445758">
      <w:pPr>
        <w:pStyle w:val="a"/>
        <w:kinsoku w:val="0"/>
        <w:wordWrap/>
        <w:overflowPunct w:val="0"/>
        <w:adjustRightInd w:val="0"/>
        <w:snapToGrid w:val="0"/>
        <w:spacing w:line="360" w:lineRule="auto"/>
        <w:rPr>
          <w:rFonts w:ascii="Book Antiqua" w:hAnsi="Book Antiqua" w:cs="Arial"/>
          <w:color w:val="000000" w:themeColor="text1"/>
          <w:sz w:val="24"/>
          <w:szCs w:val="24"/>
        </w:rPr>
      </w:pPr>
    </w:p>
    <w:p w:rsidR="00940531" w:rsidRPr="00940531" w:rsidRDefault="00D7591F" w:rsidP="00445758">
      <w:pPr>
        <w:pStyle w:val="a"/>
        <w:kinsoku w:val="0"/>
        <w:wordWrap/>
        <w:overflowPunct w:val="0"/>
        <w:adjustRightInd w:val="0"/>
        <w:snapToGrid w:val="0"/>
        <w:spacing w:line="360" w:lineRule="auto"/>
        <w:rPr>
          <w:rFonts w:ascii="Book Antiqua" w:eastAsia="SimSun" w:hAnsi="Book Antiqua" w:cs="Arial"/>
          <w:b/>
          <w:i/>
          <w:color w:val="000000" w:themeColor="text1"/>
          <w:sz w:val="24"/>
          <w:szCs w:val="24"/>
          <w:lang w:eastAsia="zh-CN"/>
        </w:rPr>
      </w:pPr>
      <w:r w:rsidRPr="00940531">
        <w:rPr>
          <w:rFonts w:ascii="Book Antiqua" w:eastAsia="함초롬바탕" w:hAnsi="Book Antiqua" w:cs="Arial"/>
          <w:b/>
          <w:i/>
          <w:color w:val="000000" w:themeColor="text1"/>
          <w:sz w:val="24"/>
          <w:szCs w:val="24"/>
        </w:rPr>
        <w:t>CCA and HL-CCA</w:t>
      </w:r>
    </w:p>
    <w:p w:rsidR="00D7591F" w:rsidRPr="00940531" w:rsidRDefault="00D7591F" w:rsidP="00445758">
      <w:pPr>
        <w:pStyle w:val="a"/>
        <w:kinsoku w:val="0"/>
        <w:wordWrap/>
        <w:overflowPunct w:val="0"/>
        <w:adjustRightInd w:val="0"/>
        <w:snapToGrid w:val="0"/>
        <w:spacing w:line="360" w:lineRule="auto"/>
        <w:rPr>
          <w:rFonts w:ascii="Book Antiqua" w:hAnsi="Book Antiqua" w:cs="Arial"/>
          <w:b/>
          <w:color w:val="000000" w:themeColor="text1"/>
          <w:sz w:val="24"/>
          <w:szCs w:val="24"/>
        </w:rPr>
      </w:pPr>
      <w:r w:rsidRPr="00031CB9">
        <w:rPr>
          <w:rFonts w:ascii="Book Antiqua" w:eastAsia="함초롬바탕" w:hAnsi="Book Antiqua" w:cs="Arial"/>
          <w:color w:val="000000" w:themeColor="text1"/>
          <w:sz w:val="24"/>
          <w:szCs w:val="24"/>
        </w:rPr>
        <w:t xml:space="preserve">The clinical manifestations of intrahepatic CCA are nonspecific, although there may </w:t>
      </w:r>
      <w:r w:rsidRPr="00031CB9">
        <w:rPr>
          <w:rFonts w:ascii="Book Antiqua" w:eastAsia="함초롬바탕" w:hAnsi="Book Antiqua" w:cs="Arial"/>
          <w:color w:val="000000" w:themeColor="text1"/>
          <w:sz w:val="24"/>
          <w:szCs w:val="24"/>
        </w:rPr>
        <w:lastRenderedPageBreak/>
        <w:t>be abdominal pain, cachexia, fatigue, and night sweats</w:t>
      </w:r>
      <w:r w:rsidRPr="00031CB9">
        <w:rPr>
          <w:rFonts w:ascii="Book Antiqua" w:eastAsia="함초롬바탕" w:hAnsi="Book Antiqua" w:cs="Arial"/>
          <w:color w:val="000000" w:themeColor="text1"/>
          <w:sz w:val="24"/>
          <w:szCs w:val="24"/>
          <w:vertAlign w:val="superscript"/>
        </w:rPr>
        <w:t>[9</w:t>
      </w:r>
      <w:r w:rsidR="006870C5">
        <w:rPr>
          <w:rFonts w:ascii="Book Antiqua" w:eastAsia="함초롬바탕" w:hAnsi="Book Antiqua" w:cs="Arial" w:hint="eastAsia"/>
          <w:color w:val="000000" w:themeColor="text1"/>
          <w:sz w:val="24"/>
          <w:szCs w:val="24"/>
          <w:vertAlign w:val="superscript"/>
        </w:rPr>
        <w:t>6</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Serum CA 19-9 is known as a tumor biomarker for CCA, but it may be normal and increased in benign diseases such as bacterial cholangitis or choledocholithiasis</w:t>
      </w:r>
      <w:r w:rsidRPr="00031CB9">
        <w:rPr>
          <w:rFonts w:ascii="Book Antiqua" w:eastAsia="함초롬바탕" w:hAnsi="Book Antiqua" w:cs="Arial"/>
          <w:color w:val="000000" w:themeColor="text1"/>
          <w:sz w:val="24"/>
          <w:szCs w:val="24"/>
          <w:vertAlign w:val="superscript"/>
        </w:rPr>
        <w:t>[9</w:t>
      </w:r>
      <w:r w:rsidR="006870C5">
        <w:rPr>
          <w:rFonts w:ascii="Book Antiqua" w:eastAsia="함초롬바탕" w:hAnsi="Book Antiqua" w:cs="Arial" w:hint="eastAsia"/>
          <w:color w:val="000000" w:themeColor="text1"/>
          <w:sz w:val="24"/>
          <w:szCs w:val="24"/>
          <w:vertAlign w:val="superscript"/>
        </w:rPr>
        <w:t>6</w:t>
      </w:r>
      <w:r w:rsidRPr="00031CB9">
        <w:rPr>
          <w:rFonts w:ascii="Book Antiqua" w:eastAsia="함초롬바탕" w:hAnsi="Book Antiqua" w:cs="Arial"/>
          <w:color w:val="000000" w:themeColor="text1"/>
          <w:sz w:val="24"/>
          <w:szCs w:val="24"/>
          <w:vertAlign w:val="superscript"/>
        </w:rPr>
        <w:t>,9</w:t>
      </w:r>
      <w:r w:rsidR="006870C5">
        <w:rPr>
          <w:rFonts w:ascii="Book Antiqua" w:eastAsia="함초롬바탕" w:hAnsi="Book Antiqua" w:cs="Arial" w:hint="eastAsia"/>
          <w:color w:val="000000" w:themeColor="text1"/>
          <w:sz w:val="24"/>
          <w:szCs w:val="24"/>
          <w:vertAlign w:val="superscript"/>
        </w:rPr>
        <w:t>7</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Intrahepatic CCA is classified as a mass-forming, periductal-infiltrating, and intraductal-growing carcinoma by macroscopic characterization, and the mass-forming type is most common</w:t>
      </w:r>
      <w:r w:rsidRPr="00031CB9">
        <w:rPr>
          <w:rFonts w:ascii="Book Antiqua" w:eastAsia="함초롬바탕" w:hAnsi="Book Antiqua" w:cs="Arial"/>
          <w:color w:val="000000" w:themeColor="text1"/>
          <w:sz w:val="24"/>
          <w:szCs w:val="24"/>
          <w:vertAlign w:val="superscript"/>
        </w:rPr>
        <w:t>[</w:t>
      </w:r>
      <w:r w:rsidR="006870C5">
        <w:rPr>
          <w:rFonts w:ascii="Book Antiqua" w:eastAsia="함초롬바탕" w:hAnsi="Book Antiqua" w:cs="Arial" w:hint="eastAsia"/>
          <w:color w:val="000000" w:themeColor="text1"/>
          <w:sz w:val="24"/>
          <w:szCs w:val="24"/>
          <w:vertAlign w:val="superscript"/>
        </w:rPr>
        <w:t>98</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MDCT is used in evaluating the location of the tumor and its relationship with adjacent vascularity</w:t>
      </w:r>
      <w:r w:rsidRPr="00031CB9">
        <w:rPr>
          <w:rFonts w:ascii="Book Antiqua" w:eastAsia="함초롬바탕" w:hAnsi="Book Antiqua" w:cs="Arial"/>
          <w:color w:val="000000" w:themeColor="text1"/>
          <w:sz w:val="24"/>
          <w:szCs w:val="24"/>
          <w:vertAlign w:val="superscript"/>
        </w:rPr>
        <w:t>[</w:t>
      </w:r>
      <w:r w:rsidR="006870C5">
        <w:rPr>
          <w:rFonts w:ascii="Book Antiqua" w:eastAsia="함초롬바탕" w:hAnsi="Book Antiqua" w:cs="Arial" w:hint="eastAsia"/>
          <w:color w:val="000000" w:themeColor="text1"/>
          <w:sz w:val="24"/>
          <w:szCs w:val="24"/>
          <w:vertAlign w:val="superscript"/>
        </w:rPr>
        <w:t>99</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Pre-contrast and multiphase CT is useful for the detection and differentiation of an intraductal stone from an intraductal tumor because hypovascular tumors with abundant fibrous stroma show progressive uptake of contrast during the venous phase</w:t>
      </w:r>
      <w:r w:rsidRPr="00031CB9">
        <w:rPr>
          <w:rFonts w:ascii="Book Antiqua" w:eastAsia="함초롬바탕" w:hAnsi="Book Antiqua" w:cs="Arial"/>
          <w:color w:val="000000" w:themeColor="text1"/>
          <w:sz w:val="24"/>
          <w:szCs w:val="24"/>
          <w:vertAlign w:val="superscript"/>
        </w:rPr>
        <w:t>[10</w:t>
      </w:r>
      <w:r w:rsidR="006870C5">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Park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[10</w:t>
      </w:r>
      <w:r w:rsidR="006870C5">
        <w:rPr>
          <w:rFonts w:ascii="Book Antiqua" w:eastAsia="함초롬바탕" w:hAnsi="Book Antiqua" w:cs="Arial" w:hint="eastAsia"/>
          <w:color w:val="000000" w:themeColor="text1"/>
          <w:sz w:val="24"/>
          <w:szCs w:val="24"/>
          <w:vertAlign w:val="superscript"/>
        </w:rPr>
        <w:t>1</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suggested the following as specific CT findings for HL-CCA: the presence of periductal soft-tissue density, higher enhancement of the duct than the adjacent bile duct on portal venous phase images, ductal wall thickening or enhancement, portal vein obliteration, and lymph node enlargement.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On MRI scanning, CCA is visible as a hypointense mass on T1-weighted images, and a central hypointensity with irregular hyperintense areas on T2-weighted images</w:t>
      </w:r>
      <w:r w:rsidRPr="00031CB9">
        <w:rPr>
          <w:rFonts w:ascii="Book Antiqua" w:eastAsia="함초롬바탕" w:hAnsi="Book Antiqua" w:cs="Arial"/>
          <w:color w:val="000000" w:themeColor="text1"/>
          <w:sz w:val="24"/>
          <w:szCs w:val="24"/>
          <w:vertAlign w:val="superscript"/>
        </w:rPr>
        <w:t>[10</w:t>
      </w:r>
      <w:r w:rsidR="006870C5">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MR imaging with MR cholangiography is superior to CT for the assessment of intraductal lesions, intrahepatic metastasis, an</w:t>
      </w:r>
      <w:r w:rsidR="00273840">
        <w:rPr>
          <w:rFonts w:ascii="Book Antiqua" w:eastAsia="함초롬바탕" w:hAnsi="Book Antiqua" w:cs="Arial"/>
          <w:color w:val="000000" w:themeColor="text1"/>
          <w:sz w:val="24"/>
          <w:szCs w:val="24"/>
        </w:rPr>
        <w:t>d presence of satellite lesions</w:t>
      </w:r>
      <w:r w:rsidRPr="006870C5">
        <w:rPr>
          <w:rFonts w:ascii="Book Antiqua" w:eastAsia="함초롬바탕" w:hAnsi="Book Antiqua" w:cs="Arial"/>
          <w:color w:val="000000" w:themeColor="text1"/>
          <w:sz w:val="24"/>
          <w:szCs w:val="24"/>
          <w:vertAlign w:val="superscript"/>
        </w:rPr>
        <w:t>[10</w:t>
      </w:r>
      <w:r w:rsidR="006870C5" w:rsidRPr="006870C5">
        <w:rPr>
          <w:rFonts w:ascii="Book Antiqua" w:eastAsia="함초롬바탕" w:hAnsi="Book Antiqua" w:cs="Arial" w:hint="eastAsia"/>
          <w:color w:val="000000" w:themeColor="text1"/>
          <w:sz w:val="24"/>
          <w:szCs w:val="24"/>
          <w:vertAlign w:val="superscript"/>
        </w:rPr>
        <w:t>3</w:t>
      </w:r>
      <w:r w:rsidRPr="006870C5">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However, CT may be better for the assessment of vascular encasement, identification of extrahepatic metastasis, and determination of resectability</w:t>
      </w:r>
      <w:r w:rsidRPr="00031CB9">
        <w:rPr>
          <w:rFonts w:ascii="Book Antiqua" w:eastAsia="함초롬바탕" w:hAnsi="Book Antiqua" w:cs="Arial"/>
          <w:color w:val="000000" w:themeColor="text1"/>
          <w:sz w:val="24"/>
          <w:szCs w:val="24"/>
          <w:vertAlign w:val="superscript"/>
        </w:rPr>
        <w:t>[10</w:t>
      </w:r>
      <w:r w:rsidR="006870C5">
        <w:rPr>
          <w:rFonts w:ascii="Book Antiqua" w:eastAsia="함초롬바탕" w:hAnsi="Book Antiqua" w:cs="Arial" w:hint="eastAsia"/>
          <w:color w:val="000000" w:themeColor="text1"/>
          <w:sz w:val="24"/>
          <w:szCs w:val="24"/>
          <w:vertAlign w:val="superscript"/>
        </w:rPr>
        <w:t>4</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Positron emission tomography (PET) scan </w:t>
      </w:r>
      <w:r w:rsidR="00C5286C" w:rsidRPr="00031CB9">
        <w:rPr>
          <w:rFonts w:ascii="Book Antiqua" w:eastAsia="함초롬바탕" w:hAnsi="Book Antiqua" w:cs="Arial"/>
          <w:color w:val="000000" w:themeColor="text1"/>
          <w:sz w:val="24"/>
          <w:szCs w:val="24"/>
        </w:rPr>
        <w:t xml:space="preserve">is </w:t>
      </w:r>
      <w:r w:rsidRPr="00031CB9">
        <w:rPr>
          <w:rFonts w:ascii="Book Antiqua" w:eastAsia="함초롬바탕" w:hAnsi="Book Antiqua" w:cs="Arial"/>
          <w:color w:val="000000" w:themeColor="text1"/>
          <w:sz w:val="24"/>
          <w:szCs w:val="24"/>
        </w:rPr>
        <w:t>also a useful imaging modality, but the accuracy is variable according to morphologic type</w:t>
      </w:r>
      <w:r w:rsidRPr="00031CB9">
        <w:rPr>
          <w:rFonts w:ascii="Book Antiqua" w:eastAsia="함초롬바탕" w:hAnsi="Book Antiqua" w:cs="Arial"/>
          <w:color w:val="000000" w:themeColor="text1"/>
          <w:sz w:val="24"/>
          <w:szCs w:val="24"/>
          <w:vertAlign w:val="superscript"/>
        </w:rPr>
        <w:t>[10</w:t>
      </w:r>
      <w:r w:rsidR="006870C5">
        <w:rPr>
          <w:rFonts w:ascii="Book Antiqua" w:eastAsia="함초롬바탕" w:hAnsi="Book Antiqua" w:cs="Arial" w:hint="eastAsia"/>
          <w:color w:val="000000" w:themeColor="text1"/>
          <w:sz w:val="24"/>
          <w:szCs w:val="24"/>
          <w:vertAlign w:val="superscript"/>
        </w:rPr>
        <w:t>5</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The sensitivity of PET for detection is reported to be 85% for the mass-forming type, but 18% for the infiltrating type</w:t>
      </w:r>
      <w:r w:rsidRPr="00031CB9">
        <w:rPr>
          <w:rFonts w:ascii="Book Antiqua" w:eastAsia="함초롬바탕" w:hAnsi="Book Antiqua" w:cs="Arial"/>
          <w:color w:val="000000" w:themeColor="text1"/>
          <w:sz w:val="24"/>
          <w:szCs w:val="24"/>
          <w:vertAlign w:val="superscript"/>
        </w:rPr>
        <w:t>[10</w:t>
      </w:r>
      <w:r w:rsidR="006870C5">
        <w:rPr>
          <w:rFonts w:ascii="Book Antiqua" w:eastAsia="함초롬바탕" w:hAnsi="Book Antiqua" w:cs="Arial" w:hint="eastAsia"/>
          <w:color w:val="000000" w:themeColor="text1"/>
          <w:sz w:val="24"/>
          <w:szCs w:val="24"/>
          <w:vertAlign w:val="superscript"/>
        </w:rPr>
        <w:t>5</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Mass forming type intrahepatic CCA shows ring-shaped fluorodeoxyglucose uptake due to desmoplastic lesions within the tumor and neovascularity at the periphery, but this finding can be shown in any lesion with central necrosis</w:t>
      </w:r>
      <w:r w:rsidRPr="00031CB9">
        <w:rPr>
          <w:rFonts w:ascii="Book Antiqua" w:eastAsia="함초롬바탕" w:hAnsi="Book Antiqua" w:cs="Arial"/>
          <w:color w:val="000000" w:themeColor="text1"/>
          <w:sz w:val="24"/>
          <w:szCs w:val="24"/>
          <w:vertAlign w:val="superscript"/>
        </w:rPr>
        <w:t>[10</w:t>
      </w:r>
      <w:r w:rsidR="006870C5">
        <w:rPr>
          <w:rFonts w:ascii="Book Antiqua" w:eastAsia="함초롬바탕" w:hAnsi="Book Antiqua" w:cs="Arial" w:hint="eastAsia"/>
          <w:color w:val="000000" w:themeColor="text1"/>
          <w:sz w:val="24"/>
          <w:szCs w:val="24"/>
          <w:vertAlign w:val="superscript"/>
        </w:rPr>
        <w:t>3</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Thus, PET scanning is more helpful for detection of distant metastases</w:t>
      </w:r>
      <w:r w:rsidRPr="00031CB9">
        <w:rPr>
          <w:rFonts w:ascii="Book Antiqua" w:eastAsia="함초롬바탕" w:hAnsi="Book Antiqua" w:cs="Arial"/>
          <w:color w:val="000000" w:themeColor="text1"/>
          <w:sz w:val="24"/>
          <w:szCs w:val="24"/>
          <w:vertAlign w:val="superscript"/>
        </w:rPr>
        <w:t>[10</w:t>
      </w:r>
      <w:r w:rsidR="006870C5">
        <w:rPr>
          <w:rFonts w:ascii="Book Antiqua" w:eastAsia="함초롬바탕" w:hAnsi="Book Antiqua" w:cs="Arial" w:hint="eastAsia"/>
          <w:color w:val="000000" w:themeColor="text1"/>
          <w:sz w:val="24"/>
          <w:szCs w:val="24"/>
          <w:vertAlign w:val="superscript"/>
        </w:rPr>
        <w:t>6</w:t>
      </w:r>
      <w:r w:rsidRPr="00031CB9">
        <w:rPr>
          <w:rFonts w:ascii="Book Antiqua" w:eastAsia="함초롬바탕" w:hAnsi="Book Antiqua" w:cs="Arial"/>
          <w:color w:val="000000" w:themeColor="text1"/>
          <w:sz w:val="24"/>
          <w:szCs w:val="24"/>
          <w:vertAlign w:val="superscript"/>
        </w:rPr>
        <w:t>,1</w:t>
      </w:r>
      <w:r w:rsidR="006870C5">
        <w:rPr>
          <w:rFonts w:ascii="Book Antiqua" w:eastAsia="함초롬바탕" w:hAnsi="Book Antiqua" w:cs="Arial" w:hint="eastAsia"/>
          <w:color w:val="000000" w:themeColor="text1"/>
          <w:sz w:val="24"/>
          <w:szCs w:val="24"/>
          <w:vertAlign w:val="superscript"/>
        </w:rPr>
        <w:t>07</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p>
    <w:p w:rsidR="00D7591F" w:rsidRPr="00940531" w:rsidRDefault="00D7591F" w:rsidP="00445758">
      <w:pPr>
        <w:pStyle w:val="a"/>
        <w:kinsoku w:val="0"/>
        <w:wordWrap/>
        <w:overflowPunct w:val="0"/>
        <w:adjustRightInd w:val="0"/>
        <w:snapToGrid w:val="0"/>
        <w:spacing w:line="360" w:lineRule="auto"/>
        <w:rPr>
          <w:rFonts w:ascii="Book Antiqua" w:eastAsia="SimSun" w:hAnsi="Book Antiqua" w:cs="Arial"/>
          <w:b/>
          <w:i/>
          <w:color w:val="000000" w:themeColor="text1"/>
          <w:sz w:val="24"/>
          <w:szCs w:val="24"/>
          <w:lang w:eastAsia="zh-CN"/>
        </w:rPr>
      </w:pPr>
      <w:r w:rsidRPr="00940531">
        <w:rPr>
          <w:rFonts w:ascii="Book Antiqua" w:eastAsia="함초롬바탕" w:hAnsi="Book Antiqua" w:cs="Arial"/>
          <w:b/>
          <w:i/>
          <w:color w:val="000000" w:themeColor="text1"/>
          <w:sz w:val="24"/>
          <w:szCs w:val="24"/>
        </w:rPr>
        <w:t>Difficulty in diagnosis of concomitant CCA in hepatolithiasis</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lastRenderedPageBreak/>
        <w:t>In cases of HL-CCA, there are no specific symptoms other than the clinical manifestation of hepatolithiasis. Laboratory tests can show increased alkaline phosphatase</w:t>
      </w:r>
      <w:r w:rsidR="00C5107D" w:rsidRPr="00031CB9">
        <w:rPr>
          <w:rFonts w:ascii="Book Antiqua" w:eastAsia="함초롬바탕" w:hAnsi="Book Antiqua" w:cs="Arial"/>
          <w:color w:val="000000" w:themeColor="text1"/>
          <w:sz w:val="24"/>
          <w:szCs w:val="24"/>
        </w:rPr>
        <w:t xml:space="preserve">, </w:t>
      </w:r>
      <w:r w:rsidRPr="00031CB9">
        <w:rPr>
          <w:rFonts w:ascii="Book Antiqua" w:eastAsia="함초롬바탕" w:hAnsi="Book Antiqua" w:cs="Arial"/>
          <w:color w:val="000000" w:themeColor="text1"/>
          <w:sz w:val="24"/>
          <w:szCs w:val="24"/>
        </w:rPr>
        <w:t>bilirubin and CA 19-9</w:t>
      </w:r>
      <w:r w:rsidRPr="00031CB9">
        <w:rPr>
          <w:rFonts w:ascii="Book Antiqua" w:eastAsia="함초롬바탕" w:hAnsi="Book Antiqua" w:cs="Arial"/>
          <w:color w:val="000000" w:themeColor="text1"/>
          <w:sz w:val="24"/>
          <w:szCs w:val="24"/>
          <w:vertAlign w:val="superscript"/>
        </w:rPr>
        <w:t>[1</w:t>
      </w:r>
      <w:r w:rsidR="00A17086">
        <w:rPr>
          <w:rFonts w:ascii="Book Antiqua" w:eastAsia="함초롬바탕" w:hAnsi="Book Antiqua" w:cs="Arial" w:hint="eastAsia"/>
          <w:color w:val="000000" w:themeColor="text1"/>
          <w:sz w:val="24"/>
          <w:szCs w:val="24"/>
          <w:vertAlign w:val="superscript"/>
        </w:rPr>
        <w:t>08</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Therefore, detection of CCA in hepatolithiasis is dependent on imaging modalities such as US, CT and MRI. However, there are many limitations in differentiating CCA from fibrosis in hepatolithiasis. It is difficult to differentiate strictures, infiltrating types of CCA, mass-forming CCA, and inflammatory pseudo-tumor because prolonged affected liver segments often change to become fibrotic and scarred</w:t>
      </w:r>
      <w:r w:rsidRPr="00031CB9">
        <w:rPr>
          <w:rFonts w:ascii="Book Antiqua" w:eastAsia="함초롬바탕" w:hAnsi="Book Antiqua" w:cs="Arial"/>
          <w:color w:val="000000" w:themeColor="text1"/>
          <w:sz w:val="24"/>
          <w:szCs w:val="24"/>
          <w:vertAlign w:val="superscript"/>
        </w:rPr>
        <w:t>[9</w:t>
      </w:r>
      <w:r w:rsidR="00A17086">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,1</w:t>
      </w:r>
      <w:r w:rsidR="00A17086">
        <w:rPr>
          <w:rFonts w:ascii="Book Antiqua" w:eastAsia="함초롬바탕" w:hAnsi="Book Antiqua" w:cs="Arial" w:hint="eastAsia"/>
          <w:color w:val="000000" w:themeColor="text1"/>
          <w:sz w:val="24"/>
          <w:szCs w:val="24"/>
          <w:vertAlign w:val="superscript"/>
        </w:rPr>
        <w:t>09</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p>
    <w:p w:rsidR="00D7591F" w:rsidRPr="00940531" w:rsidRDefault="00D7591F" w:rsidP="00445758">
      <w:pPr>
        <w:pStyle w:val="a"/>
        <w:kinsoku w:val="0"/>
        <w:wordWrap/>
        <w:overflowPunct w:val="0"/>
        <w:adjustRightInd w:val="0"/>
        <w:snapToGrid w:val="0"/>
        <w:spacing w:line="360" w:lineRule="auto"/>
        <w:rPr>
          <w:rFonts w:ascii="Book Antiqua" w:eastAsia="함초롬바탕" w:hAnsi="Book Antiqua" w:cs="Arial"/>
          <w:b/>
          <w:bCs/>
          <w:caps/>
          <w:color w:val="000000" w:themeColor="text1"/>
          <w:sz w:val="24"/>
          <w:szCs w:val="24"/>
        </w:rPr>
      </w:pPr>
      <w:r w:rsidRPr="00940531">
        <w:rPr>
          <w:rFonts w:ascii="Book Antiqua" w:eastAsia="함초롬바탕" w:hAnsi="Book Antiqua" w:cs="Arial"/>
          <w:b/>
          <w:bCs/>
          <w:caps/>
          <w:color w:val="000000" w:themeColor="text1"/>
          <w:sz w:val="24"/>
          <w:szCs w:val="24"/>
        </w:rPr>
        <w:t>Management strategy for hepatolithiasis</w:t>
      </w:r>
    </w:p>
    <w:p w:rsidR="00D7591F" w:rsidRPr="00031CB9" w:rsidRDefault="00D7591F" w:rsidP="00445758">
      <w:pPr>
        <w:widowControl/>
        <w:kinsoku w:val="0"/>
        <w:wordWrap/>
        <w:overflowPunct w:val="0"/>
        <w:adjustRightInd w:val="0"/>
        <w:snapToGrid w:val="0"/>
        <w:spacing w:after="0" w:line="360" w:lineRule="auto"/>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The primary goals of treatment for hepatolithiasis are complete stone removal and the prevention of recurrent cholangitis. Current treatment methods are non-surgical treatments such as percutaneous transhepatic cholangioscopic lithotripsy (PTCSL) and surgical treatment such as hepatic resection. PTCSL has been frequently used with a fair success rate</w:t>
      </w:r>
      <w:r w:rsidRPr="00031CB9">
        <w:rPr>
          <w:rFonts w:ascii="Book Antiqua" w:eastAsia="함초롬바탕" w:hAnsi="Book Antiqua" w:cs="Arial"/>
          <w:color w:val="000000" w:themeColor="text1"/>
          <w:sz w:val="24"/>
          <w:szCs w:val="24"/>
          <w:vertAlign w:val="superscript"/>
        </w:rPr>
        <w:t>[11</w:t>
      </w:r>
      <w:r w:rsidR="00A17086">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-11</w:t>
      </w:r>
      <w:r w:rsidR="00A17086">
        <w:rPr>
          <w:rFonts w:ascii="Book Antiqua" w:eastAsia="함초롬바탕" w:hAnsi="Book Antiqua" w:cs="Arial" w:hint="eastAsia"/>
          <w:color w:val="000000" w:themeColor="text1"/>
          <w:sz w:val="24"/>
          <w:szCs w:val="24"/>
          <w:vertAlign w:val="superscript"/>
        </w:rPr>
        <w:t>3</w:t>
      </w:r>
      <w:r w:rsidRPr="00031CB9">
        <w:rPr>
          <w:rFonts w:ascii="Book Antiqua" w:eastAsia="함초롬바탕" w:hAnsi="Book Antiqua" w:cs="Arial"/>
          <w:color w:val="000000" w:themeColor="text1"/>
          <w:sz w:val="24"/>
          <w:szCs w:val="24"/>
          <w:vertAlign w:val="superscript"/>
        </w:rPr>
        <w:t>]</w:t>
      </w:r>
      <w:r w:rsidR="005F5E3F" w:rsidRPr="00031CB9">
        <w:rPr>
          <w:rFonts w:ascii="Book Antiqua" w:eastAsia="함초롬바탕" w:hAnsi="Book Antiqua" w:cs="Arial"/>
          <w:color w:val="000000" w:themeColor="text1"/>
          <w:sz w:val="24"/>
          <w:szCs w:val="24"/>
        </w:rPr>
        <w:t>.</w:t>
      </w:r>
      <w:r w:rsidRPr="00031CB9">
        <w:rPr>
          <w:rFonts w:ascii="Book Antiqua" w:eastAsia="함초롬바탕" w:hAnsi="Book Antiqua" w:cs="Arial"/>
          <w:color w:val="000000" w:themeColor="text1"/>
          <w:sz w:val="24"/>
          <w:szCs w:val="24"/>
        </w:rPr>
        <w:t xml:space="preserve"> </w:t>
      </w:r>
      <w:r w:rsidR="005F5E3F" w:rsidRPr="00031CB9">
        <w:rPr>
          <w:rFonts w:ascii="Book Antiqua" w:eastAsia="함초롬바탕" w:hAnsi="Book Antiqua" w:cs="Arial"/>
          <w:color w:val="000000" w:themeColor="text1"/>
          <w:sz w:val="24"/>
          <w:szCs w:val="24"/>
        </w:rPr>
        <w:t xml:space="preserve">The rate of complete stone removal was reported similarly high in both treatment </w:t>
      </w:r>
      <w:r w:rsidRPr="00031CB9">
        <w:rPr>
          <w:rFonts w:ascii="Book Antiqua" w:eastAsia="함초롬바탕" w:hAnsi="Book Antiqua" w:cs="Arial"/>
          <w:color w:val="000000" w:themeColor="text1"/>
          <w:sz w:val="24"/>
          <w:szCs w:val="24"/>
        </w:rPr>
        <w:t>but recurrent cholangitis is quite common</w:t>
      </w:r>
      <w:r w:rsidR="00263058" w:rsidRPr="00031CB9">
        <w:rPr>
          <w:rFonts w:ascii="Book Antiqua" w:eastAsia="함초롬바탕" w:hAnsi="Book Antiqua" w:cs="Arial"/>
          <w:color w:val="000000" w:themeColor="text1"/>
          <w:sz w:val="24"/>
          <w:szCs w:val="24"/>
        </w:rPr>
        <w:t xml:space="preserve"> in PTCSL</w:t>
      </w:r>
      <w:r w:rsidRPr="00031CB9">
        <w:rPr>
          <w:rFonts w:ascii="Book Antiqua" w:eastAsia="함초롬바탕" w:hAnsi="Book Antiqua" w:cs="Arial"/>
          <w:color w:val="000000" w:themeColor="text1"/>
          <w:sz w:val="24"/>
          <w:szCs w:val="24"/>
          <w:vertAlign w:val="superscript"/>
        </w:rPr>
        <w:t>[6,11</w:t>
      </w:r>
      <w:r w:rsidR="00273840">
        <w:rPr>
          <w:rFonts w:ascii="Book Antiqua" w:eastAsia="함초롬바탕" w:hAnsi="Book Antiqua" w:cs="Arial"/>
          <w:color w:val="000000" w:themeColor="text1"/>
          <w:sz w:val="24"/>
          <w:szCs w:val="24"/>
          <w:vertAlign w:val="superscript"/>
        </w:rPr>
        <w:t>,</w:t>
      </w:r>
      <w:r w:rsidR="009C00EE" w:rsidRPr="00031CB9">
        <w:rPr>
          <w:rFonts w:ascii="Book Antiqua" w:eastAsia="함초롬바탕" w:hAnsi="Book Antiqua" w:cs="Arial"/>
          <w:color w:val="000000" w:themeColor="text1"/>
          <w:sz w:val="24"/>
          <w:szCs w:val="24"/>
          <w:vertAlign w:val="superscript"/>
        </w:rPr>
        <w:t>11</w:t>
      </w:r>
      <w:r w:rsidR="00A17086">
        <w:rPr>
          <w:rFonts w:ascii="Book Antiqua" w:eastAsia="함초롬바탕" w:hAnsi="Book Antiqua" w:cs="Arial" w:hint="eastAsia"/>
          <w:color w:val="000000" w:themeColor="text1"/>
          <w:sz w:val="24"/>
          <w:szCs w:val="24"/>
          <w:vertAlign w:val="superscript"/>
        </w:rPr>
        <w:t>1</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Generally, hepatic resection has been considered as the definite treatment for hepatolithiasis, because it could effectively reduce recurrent cholangitis or stone formation</w:t>
      </w:r>
      <w:r w:rsidRPr="00031CB9">
        <w:rPr>
          <w:rFonts w:ascii="Book Antiqua" w:eastAsia="함초롬바탕" w:hAnsi="Book Antiqua" w:cs="Arial"/>
          <w:color w:val="000000" w:themeColor="text1"/>
          <w:sz w:val="24"/>
          <w:szCs w:val="24"/>
          <w:vertAlign w:val="superscript"/>
        </w:rPr>
        <w:t>[11</w:t>
      </w:r>
      <w:r w:rsidR="00A17086">
        <w:rPr>
          <w:rFonts w:ascii="Book Antiqua" w:eastAsia="함초롬바탕" w:hAnsi="Book Antiqua" w:cs="Arial" w:hint="eastAsia"/>
          <w:color w:val="000000" w:themeColor="text1"/>
          <w:sz w:val="24"/>
          <w:szCs w:val="24"/>
          <w:vertAlign w:val="superscript"/>
        </w:rPr>
        <w:t>4</w:t>
      </w:r>
      <w:r w:rsidRPr="00031CB9">
        <w:rPr>
          <w:rFonts w:ascii="Book Antiqua" w:eastAsia="함초롬바탕" w:hAnsi="Book Antiqua" w:cs="Arial"/>
          <w:color w:val="000000" w:themeColor="text1"/>
          <w:sz w:val="24"/>
          <w:szCs w:val="24"/>
          <w:vertAlign w:val="superscript"/>
        </w:rPr>
        <w:t>-11</w:t>
      </w:r>
      <w:r w:rsidR="00A17086">
        <w:rPr>
          <w:rFonts w:ascii="Book Antiqua" w:eastAsia="함초롬바탕" w:hAnsi="Book Antiqua" w:cs="Arial" w:hint="eastAsia"/>
          <w:color w:val="000000" w:themeColor="text1"/>
          <w:sz w:val="24"/>
          <w:szCs w:val="24"/>
          <w:vertAlign w:val="superscript"/>
        </w:rPr>
        <w:t>6</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The reported overall success rate of hepatic resection is 95%</w:t>
      </w:r>
      <w:r w:rsidR="00273840">
        <w:rPr>
          <w:rFonts w:ascii="Book Antiqua" w:eastAsia="SimSun" w:hAnsi="Book Antiqua" w:cs="Arial" w:hint="eastAsia"/>
          <w:color w:val="000000" w:themeColor="text1"/>
          <w:sz w:val="24"/>
          <w:szCs w:val="24"/>
          <w:lang w:eastAsia="zh-CN"/>
        </w:rPr>
        <w:t>-</w:t>
      </w:r>
      <w:r w:rsidRPr="00031CB9">
        <w:rPr>
          <w:rFonts w:ascii="Book Antiqua" w:eastAsia="함초롬바탕" w:hAnsi="Book Antiqua" w:cs="Arial"/>
          <w:color w:val="000000" w:themeColor="text1"/>
          <w:sz w:val="24"/>
          <w:szCs w:val="24"/>
        </w:rPr>
        <w:t>98%, and the rates of residual stone and stone recurrence are 15.6% and 7.8%</w:t>
      </w:r>
      <w:r w:rsidR="00273840">
        <w:rPr>
          <w:rFonts w:ascii="Book Antiqua" w:eastAsia="SimSun" w:hAnsi="Book Antiqua" w:cs="Arial" w:hint="eastAsia"/>
          <w:color w:val="000000" w:themeColor="text1"/>
          <w:sz w:val="24"/>
          <w:szCs w:val="24"/>
          <w:lang w:eastAsia="zh-CN"/>
        </w:rPr>
        <w:t>-</w:t>
      </w:r>
      <w:r w:rsidRPr="00031CB9">
        <w:rPr>
          <w:rFonts w:ascii="Book Antiqua" w:eastAsia="함초롬바탕" w:hAnsi="Book Antiqua" w:cs="Arial"/>
          <w:color w:val="000000" w:themeColor="text1"/>
          <w:sz w:val="24"/>
          <w:szCs w:val="24"/>
        </w:rPr>
        <w:t>13.9% upon long-term follow-up</w:t>
      </w:r>
      <w:r w:rsidRPr="00031CB9">
        <w:rPr>
          <w:rFonts w:ascii="Book Antiqua" w:eastAsia="함초롬바탕" w:hAnsi="Book Antiqua" w:cs="Arial"/>
          <w:color w:val="000000" w:themeColor="text1"/>
          <w:sz w:val="24"/>
          <w:szCs w:val="24"/>
          <w:vertAlign w:val="superscript"/>
        </w:rPr>
        <w:t>[5,12,11</w:t>
      </w:r>
      <w:r w:rsidR="00A17086">
        <w:rPr>
          <w:rFonts w:ascii="Book Antiqua" w:eastAsia="함초롬바탕" w:hAnsi="Book Antiqua" w:cs="Arial" w:hint="eastAsia"/>
          <w:color w:val="000000" w:themeColor="text1"/>
          <w:sz w:val="24"/>
          <w:szCs w:val="24"/>
          <w:vertAlign w:val="superscript"/>
        </w:rPr>
        <w:t>5</w:t>
      </w:r>
      <w:r w:rsidRPr="00031CB9">
        <w:rPr>
          <w:rFonts w:ascii="Book Antiqua" w:eastAsia="함초롬바탕" w:hAnsi="Book Antiqua" w:cs="Arial"/>
          <w:color w:val="000000" w:themeColor="text1"/>
          <w:sz w:val="24"/>
          <w:szCs w:val="24"/>
          <w:vertAlign w:val="superscript"/>
        </w:rPr>
        <w:t>,11</w:t>
      </w:r>
      <w:r w:rsidR="00A17086">
        <w:rPr>
          <w:rFonts w:ascii="Book Antiqua" w:eastAsia="함초롬바탕" w:hAnsi="Book Antiqua" w:cs="Arial" w:hint="eastAsia"/>
          <w:color w:val="000000" w:themeColor="text1"/>
          <w:sz w:val="24"/>
          <w:szCs w:val="24"/>
          <w:vertAlign w:val="superscript"/>
        </w:rPr>
        <w:t>6</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p>
    <w:p w:rsidR="00D7591F" w:rsidRPr="00031CB9" w:rsidRDefault="00D7591F" w:rsidP="00445758">
      <w:pPr>
        <w:widowControl/>
        <w:kinsoku w:val="0"/>
        <w:wordWrap/>
        <w:overflowPunct w:val="0"/>
        <w:adjustRightInd w:val="0"/>
        <w:snapToGrid w:val="0"/>
        <w:spacing w:after="0" w:line="360" w:lineRule="auto"/>
        <w:ind w:firstLineChars="50" w:firstLine="120"/>
        <w:rPr>
          <w:rFonts w:ascii="Book Antiqua" w:hAnsi="Book Antiqua" w:cs="Arial"/>
          <w:color w:val="000000" w:themeColor="text1"/>
          <w:sz w:val="24"/>
          <w:szCs w:val="24"/>
        </w:rPr>
      </w:pPr>
      <w:r w:rsidRPr="00031CB9">
        <w:rPr>
          <w:rFonts w:ascii="Book Antiqua" w:eastAsia="함초롬바탕" w:hAnsi="Book Antiqua" w:cs="Arial"/>
          <w:color w:val="000000" w:themeColor="text1"/>
          <w:sz w:val="24"/>
          <w:szCs w:val="24"/>
        </w:rPr>
        <w:t>However, t</w:t>
      </w:r>
      <w:r w:rsidRPr="00031CB9">
        <w:rPr>
          <w:rFonts w:ascii="Book Antiqua" w:hAnsi="Book Antiqua" w:cs="Arial"/>
          <w:color w:val="000000" w:themeColor="text1"/>
          <w:sz w:val="24"/>
          <w:szCs w:val="24"/>
        </w:rPr>
        <w:t>he incidence of post-hepatectomy infection was 23.8% higher in hepatolithiasis than in other hepatic malignancies</w:t>
      </w:r>
      <w:r w:rsidRPr="00031CB9">
        <w:rPr>
          <w:rFonts w:ascii="Book Antiqua" w:hAnsi="Book Antiqua" w:cs="Arial"/>
          <w:color w:val="000000" w:themeColor="text1"/>
          <w:sz w:val="24"/>
          <w:szCs w:val="24"/>
          <w:vertAlign w:val="superscript"/>
        </w:rPr>
        <w:t>[1</w:t>
      </w:r>
      <w:r w:rsidR="00A17086">
        <w:rPr>
          <w:rFonts w:ascii="Book Antiqua" w:hAnsi="Book Antiqua" w:cs="Arial" w:hint="eastAsia"/>
          <w:color w:val="000000" w:themeColor="text1"/>
          <w:sz w:val="24"/>
          <w:szCs w:val="24"/>
          <w:vertAlign w:val="superscript"/>
        </w:rPr>
        <w:t>17</w:t>
      </w:r>
      <w:r w:rsidRPr="00031CB9">
        <w:rPr>
          <w:rFonts w:ascii="Book Antiqua" w:hAnsi="Book Antiqua" w:cs="Arial"/>
          <w:color w:val="000000" w:themeColor="text1"/>
          <w:sz w:val="24"/>
          <w:szCs w:val="24"/>
          <w:vertAlign w:val="superscript"/>
        </w:rPr>
        <w:t>]</w:t>
      </w:r>
      <w:r w:rsidRPr="00031CB9">
        <w:rPr>
          <w:rFonts w:ascii="Book Antiqua" w:hAnsi="Book Antiqua" w:cs="Arial"/>
          <w:color w:val="000000" w:themeColor="text1"/>
          <w:sz w:val="24"/>
          <w:szCs w:val="24"/>
        </w:rPr>
        <w:t>.</w:t>
      </w:r>
      <w:r w:rsidRPr="00031CB9">
        <w:rPr>
          <w:rFonts w:ascii="Book Antiqua" w:eastAsia="함초롬바탕" w:hAnsi="Book Antiqua" w:cs="Arial"/>
          <w:color w:val="000000" w:themeColor="text1"/>
          <w:sz w:val="24"/>
          <w:szCs w:val="24"/>
        </w:rPr>
        <w:t xml:space="preserve"> Additionally, operative intervention is sometimes not acceptable for patients with risky co-morbidities or stones distributed in multiple segments of both hepatic lobes</w:t>
      </w:r>
      <w:r w:rsidRPr="00031CB9">
        <w:rPr>
          <w:rFonts w:ascii="Book Antiqua" w:eastAsia="함초롬바탕" w:hAnsi="Book Antiqua" w:cs="Arial"/>
          <w:color w:val="000000" w:themeColor="text1"/>
          <w:sz w:val="24"/>
          <w:szCs w:val="24"/>
          <w:vertAlign w:val="superscript"/>
        </w:rPr>
        <w:t>[1</w:t>
      </w:r>
      <w:r w:rsidR="00A17086">
        <w:rPr>
          <w:rFonts w:ascii="Book Antiqua" w:eastAsia="함초롬바탕" w:hAnsi="Book Antiqua" w:cs="Arial" w:hint="eastAsia"/>
          <w:color w:val="000000" w:themeColor="text1"/>
          <w:sz w:val="24"/>
          <w:szCs w:val="24"/>
          <w:vertAlign w:val="superscript"/>
        </w:rPr>
        <w:t>18</w:t>
      </w:r>
      <w:r w:rsidRPr="00031CB9">
        <w:rPr>
          <w:rFonts w:ascii="Book Antiqua" w:eastAsia="함초롬바탕" w:hAnsi="Book Antiqua" w:cs="Arial"/>
          <w:color w:val="000000" w:themeColor="text1"/>
          <w:sz w:val="24"/>
          <w:szCs w:val="24"/>
          <w:vertAlign w:val="superscript"/>
        </w:rPr>
        <w:t>,1</w:t>
      </w:r>
      <w:r w:rsidR="00A17086">
        <w:rPr>
          <w:rFonts w:ascii="Book Antiqua" w:eastAsia="함초롬바탕" w:hAnsi="Book Antiqua" w:cs="Arial" w:hint="eastAsia"/>
          <w:color w:val="000000" w:themeColor="text1"/>
          <w:sz w:val="24"/>
          <w:szCs w:val="24"/>
          <w:vertAlign w:val="superscript"/>
        </w:rPr>
        <w:t>19</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Thus, a tailored multidisciplinary approach combining both approaches is more reasonable.</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Meanwhile there are many hepatolithiasis cases with strictures that make it difficult to manage and differentiate CCA. Thus, patients should be screened for concomitant </w:t>
      </w:r>
      <w:r w:rsidRPr="00031CB9">
        <w:rPr>
          <w:rFonts w:ascii="Book Antiqua" w:eastAsia="함초롬바탕" w:hAnsi="Book Antiqua" w:cs="Arial"/>
          <w:color w:val="000000" w:themeColor="text1"/>
          <w:sz w:val="24"/>
          <w:szCs w:val="24"/>
        </w:rPr>
        <w:lastRenderedPageBreak/>
        <w:t xml:space="preserve">HL-CCA even though the incidence is low. Choledochoscopy may be indicated in these cases. </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p>
    <w:p w:rsidR="00D7591F" w:rsidRPr="00940531" w:rsidRDefault="00D7591F" w:rsidP="00445758">
      <w:pPr>
        <w:pStyle w:val="a"/>
        <w:kinsoku w:val="0"/>
        <w:wordWrap/>
        <w:overflowPunct w:val="0"/>
        <w:adjustRightInd w:val="0"/>
        <w:snapToGrid w:val="0"/>
        <w:spacing w:line="360" w:lineRule="auto"/>
        <w:rPr>
          <w:rFonts w:ascii="Book Antiqua" w:eastAsia="함초롬바탕" w:hAnsi="Book Antiqua" w:cs="Arial"/>
          <w:b/>
          <w:caps/>
          <w:color w:val="000000" w:themeColor="text1"/>
          <w:sz w:val="24"/>
          <w:szCs w:val="24"/>
        </w:rPr>
      </w:pPr>
      <w:r w:rsidRPr="00940531">
        <w:rPr>
          <w:rFonts w:ascii="Book Antiqua" w:eastAsia="함초롬바탕" w:hAnsi="Book Antiqua" w:cs="Arial"/>
          <w:b/>
          <w:caps/>
          <w:color w:val="000000" w:themeColor="text1"/>
          <w:sz w:val="24"/>
          <w:szCs w:val="24"/>
        </w:rPr>
        <w:t xml:space="preserve">Detection and predictive factors of concomitant HL-CCA </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Known risk factors for concomitant HL-CCA are older age, bile duct stenosis (stricture), liver atrophy, elevated CA 19-9, left side stone location, residual stone, recurrence of stone, and choledochoenterostomy</w:t>
      </w:r>
      <w:r w:rsidRPr="00031CB9">
        <w:rPr>
          <w:rFonts w:ascii="Book Antiqua" w:eastAsia="함초롬바탕" w:hAnsi="Book Antiqua" w:cs="Arial"/>
          <w:color w:val="000000" w:themeColor="text1"/>
          <w:sz w:val="24"/>
          <w:szCs w:val="24"/>
          <w:vertAlign w:val="superscript"/>
        </w:rPr>
        <w:t>[12</w:t>
      </w:r>
      <w:r w:rsidR="00A17086">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-12</w:t>
      </w:r>
      <w:r w:rsidR="00A17086">
        <w:rPr>
          <w:rFonts w:ascii="Book Antiqua" w:eastAsia="함초롬바탕" w:hAnsi="Book Antiqua" w:cs="Arial" w:hint="eastAsia"/>
          <w:color w:val="000000" w:themeColor="text1"/>
          <w:sz w:val="24"/>
          <w:szCs w:val="24"/>
          <w:vertAlign w:val="superscript"/>
        </w:rPr>
        <w:t>4</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Neither symptoms (abdominal pain, fever, jaundice, and nausea) nor the location of stones (intrahepatic duct only, both intra- and extra-hepatic ducts, right lobe, left lobe, both lobe</w:t>
      </w:r>
      <w:r w:rsidR="00273840">
        <w:rPr>
          <w:rFonts w:ascii="Book Antiqua" w:eastAsia="함초롬바탕" w:hAnsi="Book Antiqua" w:cs="Arial"/>
          <w:color w:val="000000" w:themeColor="text1"/>
          <w:sz w:val="24"/>
          <w:szCs w:val="24"/>
        </w:rPr>
        <w:t>s) is a significant risk factor</w:t>
      </w:r>
      <w:r w:rsidRPr="00031CB9">
        <w:rPr>
          <w:rFonts w:ascii="Book Antiqua" w:eastAsia="함초롬바탕" w:hAnsi="Book Antiqua" w:cs="Arial"/>
          <w:color w:val="000000" w:themeColor="text1"/>
          <w:sz w:val="24"/>
          <w:szCs w:val="24"/>
          <w:vertAlign w:val="superscript"/>
        </w:rPr>
        <w:t>[12</w:t>
      </w:r>
      <w:r w:rsidR="00A17086">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,12</w:t>
      </w:r>
      <w:r w:rsidR="00A17086">
        <w:rPr>
          <w:rFonts w:ascii="Book Antiqua" w:eastAsia="함초롬바탕" w:hAnsi="Book Antiqua" w:cs="Arial" w:hint="eastAsia"/>
          <w:color w:val="000000" w:themeColor="text1"/>
          <w:sz w:val="24"/>
          <w:szCs w:val="24"/>
          <w:vertAlign w:val="superscript"/>
        </w:rPr>
        <w:t>5</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In a comparative study of concomitant HL-CCA and hepatolithiasis only, Kim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[12</w:t>
      </w:r>
      <w:r w:rsidR="00A17086">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concomitant HL-CCA should be suspected in patients with a longstanding duration of hepatolithiasis accompanied by weight loss, high levels of serum alkaline phosphatase, low levels of serum albumin, high levels of serum CEA, hepatolithiasis located in either the right or both lobes of the liver, and age &gt;</w:t>
      </w:r>
      <w:r w:rsidR="00940531">
        <w:rPr>
          <w:rFonts w:ascii="Book Antiqua" w:eastAsia="SimSun" w:hAnsi="Book Antiqua" w:cs="Arial" w:hint="eastAsia"/>
          <w:color w:val="000000" w:themeColor="text1"/>
          <w:sz w:val="24"/>
          <w:szCs w:val="24"/>
          <w:lang w:eastAsia="zh-CN"/>
        </w:rPr>
        <w:t xml:space="preserve"> </w:t>
      </w:r>
      <w:r w:rsidRPr="00031CB9">
        <w:rPr>
          <w:rFonts w:ascii="Book Antiqua" w:eastAsia="함초롬바탕" w:hAnsi="Book Antiqua" w:cs="Arial"/>
          <w:color w:val="000000" w:themeColor="text1"/>
          <w:sz w:val="24"/>
          <w:szCs w:val="24"/>
        </w:rPr>
        <w:t xml:space="preserve">40 years. Liu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[12</w:t>
      </w:r>
      <w:r w:rsidR="00C8732E">
        <w:rPr>
          <w:rFonts w:ascii="Book Antiqua" w:eastAsia="함초롬바탕" w:hAnsi="Book Antiqua" w:cs="Arial" w:hint="eastAsia"/>
          <w:color w:val="000000" w:themeColor="text1"/>
          <w:sz w:val="24"/>
          <w:szCs w:val="24"/>
          <w:vertAlign w:val="superscript"/>
        </w:rPr>
        <w:t>1</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symptom duration of more than 10 years is the most powerful risk factor for ICC in patients with hepatolithiasis, and Lee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[12</w:t>
      </w:r>
      <w:r w:rsidR="00C8732E">
        <w:rPr>
          <w:rFonts w:ascii="Book Antiqua" w:eastAsia="함초롬바탕" w:hAnsi="Book Antiqua" w:cs="Arial" w:hint="eastAsia"/>
          <w:color w:val="000000" w:themeColor="text1"/>
          <w:sz w:val="24"/>
          <w:szCs w:val="24"/>
          <w:vertAlign w:val="superscript"/>
        </w:rPr>
        <w:t>6</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an association between localized stricture and long-term history (over 10 years) of hepatolithiasis. Additionally, it is suggested that HL-CCA may occur in cases of atypical clinical manifestation of liver abscess, biliary tract infection that is difficult to control, relapsing infection, and abscesses in a more consolidated area</w:t>
      </w:r>
      <w:r w:rsidRPr="00031CB9">
        <w:rPr>
          <w:rFonts w:ascii="Book Antiqua" w:eastAsia="함초롬바탕" w:hAnsi="Book Antiqua" w:cs="Arial"/>
          <w:color w:val="000000" w:themeColor="text1"/>
          <w:sz w:val="24"/>
          <w:szCs w:val="24"/>
          <w:vertAlign w:val="superscript"/>
        </w:rPr>
        <w:t>[34]</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In a Japanese multicenter study, Suzuki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[12</w:t>
      </w:r>
      <w:r w:rsidR="00C8732E">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the predictive risk factors were a history of choledocoenterostomy (</w:t>
      </w:r>
      <w:r w:rsidR="00940531">
        <w:rPr>
          <w:rFonts w:ascii="Book Antiqua" w:eastAsia="SimSun" w:hAnsi="Book Antiqua" w:cs="Arial" w:hint="eastAsia"/>
          <w:color w:val="000000" w:themeColor="text1"/>
          <w:sz w:val="24"/>
          <w:szCs w:val="24"/>
          <w:lang w:eastAsia="zh-CN"/>
        </w:rPr>
        <w:t>OR =</w:t>
      </w:r>
      <w:r w:rsidRPr="00031CB9">
        <w:rPr>
          <w:rFonts w:ascii="Book Antiqua" w:eastAsia="함초롬바탕" w:hAnsi="Book Antiqua" w:cs="Arial"/>
          <w:color w:val="000000" w:themeColor="text1"/>
          <w:sz w:val="24"/>
          <w:szCs w:val="24"/>
        </w:rPr>
        <w:t xml:space="preserve"> 3.718) and liver atrophy (</w:t>
      </w:r>
      <w:r w:rsidR="00940531">
        <w:rPr>
          <w:rFonts w:ascii="Book Antiqua" w:eastAsia="SimSun" w:hAnsi="Book Antiqua" w:cs="Arial" w:hint="eastAsia"/>
          <w:color w:val="000000" w:themeColor="text1"/>
          <w:sz w:val="24"/>
          <w:szCs w:val="24"/>
          <w:lang w:eastAsia="zh-CN"/>
        </w:rPr>
        <w:t>OR =</w:t>
      </w:r>
      <w:r w:rsidRPr="00031CB9">
        <w:rPr>
          <w:rFonts w:ascii="Book Antiqua" w:eastAsia="함초롬바탕" w:hAnsi="Book Antiqua" w:cs="Arial"/>
          <w:color w:val="000000" w:themeColor="text1"/>
          <w:sz w:val="24"/>
          <w:szCs w:val="24"/>
        </w:rPr>
        <w:t xml:space="preserve"> 4.424). Association of CCA occurrence with previous surgical biliary-enteric anastomosis may be due to chronic inflammation caused by reflux of bowel contents late after choledocoenterostomy</w:t>
      </w:r>
      <w:r w:rsidRPr="00031CB9">
        <w:rPr>
          <w:rFonts w:ascii="Book Antiqua" w:eastAsia="함초롬바탕" w:hAnsi="Book Antiqua" w:cs="Arial"/>
          <w:color w:val="000000" w:themeColor="text1"/>
          <w:sz w:val="24"/>
          <w:szCs w:val="24"/>
          <w:vertAlign w:val="superscript"/>
        </w:rPr>
        <w:t>[12</w:t>
      </w:r>
      <w:r w:rsidR="00C8732E">
        <w:rPr>
          <w:rFonts w:ascii="Book Antiqua" w:eastAsia="함초롬바탕" w:hAnsi="Book Antiqua" w:cs="Arial" w:hint="eastAsia"/>
          <w:color w:val="000000" w:themeColor="text1"/>
          <w:sz w:val="24"/>
          <w:szCs w:val="24"/>
          <w:vertAlign w:val="superscript"/>
        </w:rPr>
        <w:t>3</w:t>
      </w:r>
      <w:r w:rsidRPr="00031CB9">
        <w:rPr>
          <w:rFonts w:ascii="Book Antiqua" w:eastAsia="함초롬바탕" w:hAnsi="Book Antiqua" w:cs="Arial"/>
          <w:color w:val="000000" w:themeColor="text1"/>
          <w:sz w:val="24"/>
          <w:szCs w:val="24"/>
          <w:vertAlign w:val="superscript"/>
        </w:rPr>
        <w:t>,12</w:t>
      </w:r>
      <w:r w:rsidR="00C8732E">
        <w:rPr>
          <w:rFonts w:ascii="Book Antiqua" w:eastAsia="함초롬바탕" w:hAnsi="Book Antiqua" w:cs="Arial" w:hint="eastAsia"/>
          <w:color w:val="000000" w:themeColor="text1"/>
          <w:sz w:val="24"/>
          <w:szCs w:val="24"/>
          <w:vertAlign w:val="superscript"/>
        </w:rPr>
        <w:t>4</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rPr>
          <w:rFonts w:ascii="Book Antiqua" w:hAnsi="Book Antiqua" w:cs="Arial"/>
          <w:color w:val="000000" w:themeColor="text1"/>
          <w:sz w:val="24"/>
          <w:szCs w:val="24"/>
        </w:rPr>
      </w:pPr>
    </w:p>
    <w:p w:rsidR="00D7591F" w:rsidRPr="00940531" w:rsidRDefault="00D7591F" w:rsidP="00445758">
      <w:pPr>
        <w:pStyle w:val="a"/>
        <w:kinsoku w:val="0"/>
        <w:wordWrap/>
        <w:overflowPunct w:val="0"/>
        <w:adjustRightInd w:val="0"/>
        <w:snapToGrid w:val="0"/>
        <w:spacing w:line="360" w:lineRule="auto"/>
        <w:rPr>
          <w:rFonts w:ascii="Book Antiqua" w:eastAsia="SimSun" w:hAnsi="Book Antiqua" w:cs="Arial"/>
          <w:b/>
          <w:bCs/>
          <w:caps/>
          <w:color w:val="000000" w:themeColor="text1"/>
          <w:sz w:val="24"/>
          <w:szCs w:val="24"/>
          <w:lang w:eastAsia="zh-CN"/>
        </w:rPr>
      </w:pPr>
      <w:r w:rsidRPr="00940531">
        <w:rPr>
          <w:rFonts w:ascii="Book Antiqua" w:eastAsia="함초롬바탕" w:hAnsi="Book Antiqua" w:cs="Arial"/>
          <w:b/>
          <w:bCs/>
          <w:caps/>
          <w:color w:val="000000" w:themeColor="text1"/>
          <w:sz w:val="24"/>
          <w:szCs w:val="24"/>
        </w:rPr>
        <w:t>When is hepatic resection ad</w:t>
      </w:r>
      <w:r w:rsidR="00940531">
        <w:rPr>
          <w:rFonts w:ascii="Book Antiqua" w:eastAsia="함초롬바탕" w:hAnsi="Book Antiqua" w:cs="Arial"/>
          <w:b/>
          <w:bCs/>
          <w:caps/>
          <w:color w:val="000000" w:themeColor="text1"/>
          <w:sz w:val="24"/>
          <w:szCs w:val="24"/>
        </w:rPr>
        <w:t>visable for improving prognosis</w:t>
      </w:r>
      <w:r w:rsidRPr="00940531">
        <w:rPr>
          <w:rFonts w:ascii="Book Antiqua" w:eastAsia="함초롬바탕" w:hAnsi="Book Antiqua" w:cs="Arial"/>
          <w:b/>
          <w:bCs/>
          <w:caps/>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b/>
          <w:bCs/>
          <w:color w:val="000000" w:themeColor="text1"/>
          <w:sz w:val="24"/>
          <w:szCs w:val="24"/>
        </w:rPr>
      </w:pPr>
      <w:r w:rsidRPr="00031CB9">
        <w:rPr>
          <w:rFonts w:ascii="Book Antiqua" w:eastAsia="함초롬바탕" w:hAnsi="Book Antiqua" w:cs="Arial"/>
          <w:color w:val="000000" w:themeColor="text1"/>
          <w:sz w:val="24"/>
          <w:szCs w:val="24"/>
        </w:rPr>
        <w:t xml:space="preserve">Hepatic resection can eliminate both stones and surrounding ductal changes such as strictures, fibrosis, and micro abscesses. In a long-term follow-up study, operative </w:t>
      </w:r>
      <w:r w:rsidRPr="00031CB9">
        <w:rPr>
          <w:rFonts w:ascii="Book Antiqua" w:eastAsia="함초롬바탕" w:hAnsi="Book Antiqua" w:cs="Arial"/>
          <w:color w:val="000000" w:themeColor="text1"/>
          <w:sz w:val="24"/>
          <w:szCs w:val="24"/>
        </w:rPr>
        <w:lastRenderedPageBreak/>
        <w:t>treatment was reported to reduce recurrence</w:t>
      </w:r>
      <w:r w:rsidRPr="00031CB9">
        <w:rPr>
          <w:rFonts w:ascii="Book Antiqua" w:eastAsia="함초롬바탕" w:hAnsi="Book Antiqua" w:cs="Arial"/>
          <w:color w:val="000000" w:themeColor="text1"/>
          <w:sz w:val="24"/>
          <w:szCs w:val="24"/>
          <w:vertAlign w:val="superscript"/>
        </w:rPr>
        <w:t>[30,36]</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In patients with hepatolithiasis, treatment-related difficulties include the high rates of residual stones and a high recurrence rate even after complete stone removal, especially in patients with biliary strictures</w:t>
      </w:r>
      <w:r w:rsidRPr="00031CB9">
        <w:rPr>
          <w:rFonts w:ascii="Book Antiqua" w:eastAsia="함초롬바탕" w:hAnsi="Book Antiqua" w:cs="Arial"/>
          <w:color w:val="000000" w:themeColor="text1"/>
          <w:sz w:val="24"/>
          <w:szCs w:val="24"/>
          <w:vertAlign w:val="superscript"/>
        </w:rPr>
        <w:t>[11</w:t>
      </w:r>
      <w:r w:rsidR="00725C2E">
        <w:rPr>
          <w:rFonts w:ascii="Book Antiqua" w:eastAsia="함초롬바탕" w:hAnsi="Book Antiqua" w:cs="Arial" w:hint="eastAsia"/>
          <w:color w:val="000000" w:themeColor="text1"/>
          <w:sz w:val="24"/>
          <w:szCs w:val="24"/>
          <w:vertAlign w:val="superscript"/>
        </w:rPr>
        <w:t>1</w:t>
      </w:r>
      <w:r w:rsidRPr="00031CB9">
        <w:rPr>
          <w:rFonts w:ascii="Book Antiqua" w:eastAsia="함초롬바탕" w:hAnsi="Book Antiqua" w:cs="Arial"/>
          <w:color w:val="000000" w:themeColor="text1"/>
          <w:sz w:val="24"/>
          <w:szCs w:val="24"/>
          <w:vertAlign w:val="superscript"/>
        </w:rPr>
        <w:t>,11</w:t>
      </w:r>
      <w:r w:rsidR="00725C2E">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Biliary strictures often lead to bile stasis, cholangitis, and stone formation, thus causing stone recurrence. A multivariate logistic regression analysis study reported that risk factors for incomplete stone removal are intrahepatic strictures, nonoperative treatment, and bilateral stones</w:t>
      </w:r>
      <w:r w:rsidRPr="00031CB9">
        <w:rPr>
          <w:rFonts w:ascii="Book Antiqua" w:eastAsia="함초롬바탕" w:hAnsi="Book Antiqua" w:cs="Arial"/>
          <w:color w:val="000000" w:themeColor="text1"/>
          <w:sz w:val="24"/>
          <w:szCs w:val="24"/>
          <w:vertAlign w:val="superscript"/>
        </w:rPr>
        <w:t>[11</w:t>
      </w:r>
      <w:r w:rsidR="00725C2E">
        <w:rPr>
          <w:rFonts w:ascii="Book Antiqua" w:eastAsia="함초롬바탕" w:hAnsi="Book Antiqua" w:cs="Arial" w:hint="eastAsia"/>
          <w:color w:val="000000" w:themeColor="text1"/>
          <w:sz w:val="24"/>
          <w:szCs w:val="24"/>
          <w:vertAlign w:val="superscript"/>
        </w:rPr>
        <w:t>3</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Thus, hepatectomy is recommended in cases of single lobe hepatolithiasis, atrophy of the affected liver, and stricture</w:t>
      </w:r>
      <w:r w:rsidRPr="00031CB9">
        <w:rPr>
          <w:rFonts w:ascii="Book Antiqua" w:eastAsia="함초롬바탕" w:hAnsi="Book Antiqua" w:cs="Arial"/>
          <w:color w:val="000000" w:themeColor="text1"/>
          <w:sz w:val="24"/>
          <w:szCs w:val="24"/>
          <w:vertAlign w:val="superscript"/>
        </w:rPr>
        <w:t>[37,1</w:t>
      </w:r>
      <w:r w:rsidR="00725C2E">
        <w:rPr>
          <w:rFonts w:ascii="Book Antiqua" w:eastAsia="함초롬바탕" w:hAnsi="Book Antiqua" w:cs="Arial" w:hint="eastAsia"/>
          <w:color w:val="000000" w:themeColor="text1"/>
          <w:sz w:val="24"/>
          <w:szCs w:val="24"/>
          <w:vertAlign w:val="superscript"/>
        </w:rPr>
        <w:t>18</w:t>
      </w:r>
      <w:r w:rsidRPr="00031CB9">
        <w:rPr>
          <w:rFonts w:ascii="Book Antiqua" w:eastAsia="함초롬바탕" w:hAnsi="Book Antiqua" w:cs="Arial"/>
          <w:color w:val="000000" w:themeColor="text1"/>
          <w:sz w:val="24"/>
          <w:szCs w:val="24"/>
          <w:vertAlign w:val="superscript"/>
        </w:rPr>
        <w:t>,1</w:t>
      </w:r>
      <w:r w:rsidR="00725C2E">
        <w:rPr>
          <w:rFonts w:ascii="Book Antiqua" w:eastAsia="함초롬바탕" w:hAnsi="Book Antiqua" w:cs="Arial" w:hint="eastAsia"/>
          <w:color w:val="000000" w:themeColor="text1"/>
          <w:sz w:val="24"/>
          <w:szCs w:val="24"/>
          <w:vertAlign w:val="superscript"/>
        </w:rPr>
        <w:t>19</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hAnsi="Book Antiqua" w:cs="Arial"/>
          <w:color w:val="000000" w:themeColor="text1"/>
          <w:sz w:val="24"/>
          <w:szCs w:val="24"/>
        </w:rPr>
      </w:pPr>
      <w:r w:rsidRPr="00031CB9">
        <w:rPr>
          <w:rFonts w:ascii="Book Antiqua" w:hAnsi="Book Antiqua" w:cs="Arial"/>
          <w:color w:val="000000" w:themeColor="text1"/>
          <w:sz w:val="24"/>
          <w:szCs w:val="24"/>
        </w:rPr>
        <w:t xml:space="preserve">Furthermore, resection is considered when differential diagnosis is difficult, because </w:t>
      </w:r>
      <w:r w:rsidRPr="00031CB9">
        <w:rPr>
          <w:rFonts w:ascii="Book Antiqua" w:eastAsia="함초롬바탕" w:hAnsi="Book Antiqua" w:cs="Arial"/>
          <w:color w:val="000000" w:themeColor="text1"/>
          <w:sz w:val="24"/>
          <w:szCs w:val="24"/>
        </w:rPr>
        <w:t xml:space="preserve">detection of HL-CCA is very difficult even during surgical operations, and accurate diagnosis can be </w:t>
      </w:r>
      <w:r w:rsidRPr="00031CB9">
        <w:rPr>
          <w:rFonts w:ascii="Book Antiqua" w:hAnsi="Book Antiqua" w:cs="Arial"/>
          <w:color w:val="000000" w:themeColor="text1"/>
          <w:sz w:val="24"/>
          <w:szCs w:val="24"/>
        </w:rPr>
        <w:t>proven only through resection.</w:t>
      </w:r>
      <w:r w:rsidRPr="00031CB9">
        <w:rPr>
          <w:rFonts w:ascii="Book Antiqua" w:eastAsia="함초롬바탕" w:hAnsi="Book Antiqua" w:cs="Arial"/>
          <w:color w:val="000000" w:themeColor="text1"/>
          <w:sz w:val="24"/>
          <w:szCs w:val="24"/>
        </w:rPr>
        <w:t xml:space="preserve"> Catena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w:t>
      </w:r>
      <w:r w:rsidRPr="00031CB9">
        <w:rPr>
          <w:rFonts w:ascii="Book Antiqua" w:hAnsi="Book Antiqua" w:cs="Arial"/>
          <w:color w:val="000000" w:themeColor="text1"/>
          <w:sz w:val="24"/>
          <w:szCs w:val="24"/>
          <w:vertAlign w:val="superscript"/>
        </w:rPr>
        <w:t>37]</w:t>
      </w:r>
      <w:r w:rsidRPr="00031CB9">
        <w:rPr>
          <w:rFonts w:ascii="Book Antiqua" w:hAnsi="Book Antiqua" w:cs="Arial"/>
          <w:color w:val="000000" w:themeColor="text1"/>
          <w:sz w:val="24"/>
          <w:szCs w:val="24"/>
        </w:rPr>
        <w:t xml:space="preserve"> </w:t>
      </w:r>
      <w:r w:rsidRPr="00031CB9">
        <w:rPr>
          <w:rFonts w:ascii="Book Antiqua" w:eastAsia="함초롬바탕" w:hAnsi="Book Antiqua" w:cs="Arial"/>
          <w:color w:val="000000" w:themeColor="text1"/>
          <w:sz w:val="24"/>
          <w:szCs w:val="24"/>
        </w:rPr>
        <w:t>reported that t</w:t>
      </w:r>
      <w:r w:rsidRPr="00031CB9">
        <w:rPr>
          <w:rFonts w:ascii="Book Antiqua" w:hAnsi="Book Antiqua" w:cs="Arial"/>
          <w:color w:val="000000" w:themeColor="text1"/>
          <w:sz w:val="24"/>
          <w:szCs w:val="24"/>
        </w:rPr>
        <w:t>he rate of unrecognized CCA was quite high at 11.7%, and it might be underestimated.</w:t>
      </w:r>
    </w:p>
    <w:p w:rsidR="00D7591F" w:rsidRPr="00031CB9" w:rsidRDefault="00D7591F" w:rsidP="00445758">
      <w:pPr>
        <w:pStyle w:val="a"/>
        <w:kinsoku w:val="0"/>
        <w:wordWrap/>
        <w:overflowPunct w:val="0"/>
        <w:adjustRightInd w:val="0"/>
        <w:snapToGrid w:val="0"/>
        <w:spacing w:line="360" w:lineRule="auto"/>
        <w:rPr>
          <w:rFonts w:ascii="Book Antiqua" w:hAnsi="Book Antiqua" w:cs="Arial"/>
          <w:color w:val="000000" w:themeColor="text1"/>
          <w:sz w:val="24"/>
          <w:szCs w:val="24"/>
        </w:rPr>
      </w:pPr>
    </w:p>
    <w:p w:rsidR="00D7591F" w:rsidRPr="00940531" w:rsidRDefault="00D7591F" w:rsidP="00445758">
      <w:pPr>
        <w:pStyle w:val="a"/>
        <w:kinsoku w:val="0"/>
        <w:wordWrap/>
        <w:overflowPunct w:val="0"/>
        <w:adjustRightInd w:val="0"/>
        <w:snapToGrid w:val="0"/>
        <w:spacing w:line="360" w:lineRule="auto"/>
        <w:rPr>
          <w:rFonts w:ascii="Book Antiqua" w:hAnsi="Book Antiqua" w:cs="Arial"/>
          <w:b/>
          <w:caps/>
          <w:color w:val="000000" w:themeColor="text1"/>
          <w:sz w:val="24"/>
          <w:szCs w:val="24"/>
        </w:rPr>
      </w:pPr>
      <w:r w:rsidRPr="00940531">
        <w:rPr>
          <w:rFonts w:ascii="Book Antiqua" w:eastAsia="함초롬바탕" w:hAnsi="Book Antiqua" w:cs="Arial"/>
          <w:b/>
          <w:bCs/>
          <w:caps/>
          <w:color w:val="000000" w:themeColor="text1"/>
          <w:sz w:val="24"/>
          <w:szCs w:val="24"/>
        </w:rPr>
        <w:t>Can hepatic resection p</w:t>
      </w:r>
      <w:r w:rsidRPr="00940531">
        <w:rPr>
          <w:rFonts w:ascii="Book Antiqua" w:hAnsi="Book Antiqua" w:cs="Arial"/>
          <w:b/>
          <w:caps/>
          <w:color w:val="000000" w:themeColor="text1"/>
          <w:sz w:val="24"/>
          <w:szCs w:val="24"/>
        </w:rPr>
        <w:t xml:space="preserve">revent </w:t>
      </w:r>
      <w:r w:rsidR="00273840" w:rsidRPr="00940531">
        <w:rPr>
          <w:rFonts w:ascii="Book Antiqua" w:eastAsia="함초롬바탕" w:hAnsi="Book Antiqua" w:cs="Arial"/>
          <w:b/>
          <w:caps/>
          <w:color w:val="000000" w:themeColor="text1"/>
          <w:sz w:val="24"/>
          <w:szCs w:val="24"/>
        </w:rPr>
        <w:t>subsequent HL-CCA</w:t>
      </w:r>
      <w:r w:rsidRPr="00940531">
        <w:rPr>
          <w:rFonts w:ascii="Book Antiqua" w:eastAsia="함초롬바탕" w:hAnsi="Book Antiqua" w:cs="Arial"/>
          <w:b/>
          <w:caps/>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Although mortality due to cholangitis is low, the development of HL-CCA is known to be an independent prognostic factor for survival</w:t>
      </w:r>
      <w:r w:rsidRPr="00031CB9">
        <w:rPr>
          <w:rFonts w:ascii="Book Antiqua" w:eastAsia="함초롬바탕" w:hAnsi="Book Antiqua" w:cs="Arial"/>
          <w:color w:val="000000" w:themeColor="text1"/>
          <w:sz w:val="24"/>
          <w:szCs w:val="24"/>
          <w:vertAlign w:val="superscript"/>
        </w:rPr>
        <w:t>[34,1</w:t>
      </w:r>
      <w:r w:rsidR="00490FAE">
        <w:rPr>
          <w:rFonts w:ascii="Book Antiqua" w:eastAsia="함초롬바탕" w:hAnsi="Book Antiqua" w:cs="Arial" w:hint="eastAsia"/>
          <w:color w:val="000000" w:themeColor="text1"/>
          <w:sz w:val="24"/>
          <w:szCs w:val="24"/>
          <w:vertAlign w:val="superscript"/>
        </w:rPr>
        <w:t>27</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r w:rsidRPr="00031CB9">
        <w:rPr>
          <w:rFonts w:ascii="Book Antiqua" w:hAnsi="Book Antiqua" w:cs="Arial"/>
          <w:color w:val="000000" w:themeColor="text1"/>
          <w:sz w:val="24"/>
          <w:szCs w:val="24"/>
        </w:rPr>
        <w:t>Hepatolithiasis is a significant risk factor for CCA, and the odds ratio was 40 in a Korean report</w:t>
      </w:r>
      <w:r w:rsidRPr="00031CB9">
        <w:rPr>
          <w:rFonts w:ascii="Book Antiqua" w:hAnsi="Book Antiqua" w:cs="Arial"/>
          <w:color w:val="000000" w:themeColor="text1"/>
          <w:sz w:val="24"/>
          <w:szCs w:val="24"/>
          <w:vertAlign w:val="superscript"/>
        </w:rPr>
        <w:t>[1</w:t>
      </w:r>
      <w:r w:rsidR="00490FAE">
        <w:rPr>
          <w:rFonts w:ascii="Book Antiqua" w:hAnsi="Book Antiqua" w:cs="Arial" w:hint="eastAsia"/>
          <w:color w:val="000000" w:themeColor="text1"/>
          <w:sz w:val="24"/>
          <w:szCs w:val="24"/>
          <w:vertAlign w:val="superscript"/>
        </w:rPr>
        <w:t>28</w:t>
      </w:r>
      <w:r w:rsidRPr="00031CB9">
        <w:rPr>
          <w:rFonts w:ascii="Book Antiqua" w:hAnsi="Book Antiqua" w:cs="Arial"/>
          <w:color w:val="000000" w:themeColor="text1"/>
          <w:sz w:val="24"/>
          <w:szCs w:val="24"/>
          <w:vertAlign w:val="superscript"/>
        </w:rPr>
        <w:t>]</w:t>
      </w:r>
      <w:r w:rsidRPr="00031CB9">
        <w:rPr>
          <w:rFonts w:ascii="Book Antiqua"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Chars="100" w:firstLine="24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Theoretically, hepatectomy for treatment of hepatolithiasis has another advantage in eliminating the risk of the development of HL-CCA in addition to complete removal of stones. In general, hepatectomy seems to reduce the risk of development of CCA. A cohort study in Japan reported that hepatectomy reduced the risk of the development of CCA significantly</w:t>
      </w:r>
      <w:r w:rsidRPr="00031CB9">
        <w:rPr>
          <w:rFonts w:ascii="Book Antiqua" w:eastAsia="함초롬바탕" w:hAnsi="Book Antiqua" w:cs="Arial"/>
          <w:color w:val="000000" w:themeColor="text1"/>
          <w:sz w:val="24"/>
          <w:szCs w:val="24"/>
          <w:vertAlign w:val="superscript"/>
        </w:rPr>
        <w:t>[15]</w:t>
      </w:r>
      <w:r w:rsidRPr="00031CB9">
        <w:rPr>
          <w:rFonts w:ascii="Book Antiqua" w:eastAsia="함초롬바탕" w:hAnsi="Book Antiqua" w:cs="Arial"/>
          <w:color w:val="000000" w:themeColor="text1"/>
          <w:sz w:val="24"/>
          <w:szCs w:val="24"/>
        </w:rPr>
        <w:t xml:space="preserve">. A Western study by Tabrizian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[35]</w:t>
      </w:r>
      <w:r w:rsidRPr="00031CB9">
        <w:rPr>
          <w:rFonts w:ascii="Book Antiqua" w:eastAsia="함초롬바탕" w:hAnsi="Book Antiqua" w:cs="Arial"/>
          <w:color w:val="000000" w:themeColor="text1"/>
          <w:sz w:val="24"/>
          <w:szCs w:val="24"/>
        </w:rPr>
        <w:t xml:space="preserve"> reported a high rate (23.3%) of concomitant HL-CCA and excellent long-term results with hepatectomy. </w:t>
      </w:r>
    </w:p>
    <w:p w:rsidR="00D7591F" w:rsidRPr="00031CB9" w:rsidRDefault="00D7591F" w:rsidP="00445758">
      <w:pPr>
        <w:pStyle w:val="a"/>
        <w:kinsoku w:val="0"/>
        <w:wordWrap/>
        <w:overflowPunct w:val="0"/>
        <w:adjustRightInd w:val="0"/>
        <w:snapToGrid w:val="0"/>
        <w:spacing w:line="360" w:lineRule="auto"/>
        <w:ind w:firstLineChars="100" w:firstLine="24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It is not clear whether hepatic resection can reduce the occurrence of HL-CCA. During follow-up period, the incidence of HL-CCA showed no significant difference between patients with hepatolithiasis with or without previous hepatic resection</w:t>
      </w:r>
      <w:r w:rsidRPr="00031CB9">
        <w:rPr>
          <w:rFonts w:ascii="Book Antiqua" w:eastAsia="함초롬바탕" w:hAnsi="Book Antiqua" w:cs="Arial"/>
          <w:color w:val="000000" w:themeColor="text1"/>
          <w:sz w:val="24"/>
          <w:szCs w:val="24"/>
          <w:vertAlign w:val="superscript"/>
        </w:rPr>
        <w:t>[30,33]</w:t>
      </w:r>
      <w:r w:rsidRPr="00031CB9">
        <w:rPr>
          <w:rFonts w:ascii="Book Antiqua" w:eastAsia="함초롬바탕" w:hAnsi="Book Antiqua" w:cs="Arial"/>
          <w:color w:val="000000" w:themeColor="text1"/>
          <w:sz w:val="24"/>
          <w:szCs w:val="24"/>
        </w:rPr>
        <w:t xml:space="preserve">. It is difficult to conclude that hepatic resection definitely prevents the </w:t>
      </w:r>
      <w:r w:rsidRPr="00031CB9">
        <w:rPr>
          <w:rFonts w:ascii="Book Antiqua" w:eastAsia="함초롬바탕" w:hAnsi="Book Antiqua" w:cs="Arial"/>
          <w:color w:val="000000" w:themeColor="text1"/>
          <w:sz w:val="24"/>
          <w:szCs w:val="24"/>
        </w:rPr>
        <w:lastRenderedPageBreak/>
        <w:t xml:space="preserve">development of HL-CCA in patients with hepatolithiasis.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hAnsi="Book Antiqua" w:cs="Arial"/>
          <w:color w:val="000000" w:themeColor="text1"/>
          <w:sz w:val="24"/>
          <w:szCs w:val="24"/>
        </w:rPr>
      </w:pPr>
      <w:r w:rsidRPr="00031CB9">
        <w:rPr>
          <w:rFonts w:ascii="Book Antiqua" w:eastAsia="함초롬바탕" w:hAnsi="Book Antiqua" w:cs="Arial"/>
          <w:color w:val="000000" w:themeColor="text1"/>
          <w:sz w:val="24"/>
          <w:szCs w:val="24"/>
        </w:rPr>
        <w:t>Meanwhile, incomplete resection is also a problem. Survival outcomes are good only in cases with safe surgical margins, even in incidental HL-CCA found in post-operative pathology</w:t>
      </w:r>
      <w:r w:rsidRPr="00031CB9">
        <w:rPr>
          <w:rFonts w:ascii="Book Antiqua" w:eastAsia="함초롬바탕" w:hAnsi="Book Antiqua" w:cs="Arial"/>
          <w:color w:val="000000" w:themeColor="text1"/>
          <w:sz w:val="24"/>
          <w:szCs w:val="24"/>
          <w:vertAlign w:val="superscript"/>
        </w:rPr>
        <w:t>[32]</w:t>
      </w:r>
      <w:r w:rsidRPr="00031CB9">
        <w:rPr>
          <w:rFonts w:ascii="Book Antiqua" w:eastAsia="함초롬바탕" w:hAnsi="Book Antiqua" w:cs="Arial"/>
          <w:color w:val="000000" w:themeColor="text1"/>
          <w:sz w:val="24"/>
          <w:szCs w:val="24"/>
        </w:rPr>
        <w:t xml:space="preserve">. In addition, HL-CCA could develop in the hepatic lobe adjacent to the resection margin </w:t>
      </w:r>
      <w:r w:rsidRPr="00031CB9">
        <w:rPr>
          <w:rFonts w:ascii="Book Antiqua" w:eastAsia="함초롬바탕" w:hAnsi="Book Antiqua" w:cs="Arial"/>
          <w:bCs/>
          <w:color w:val="000000" w:themeColor="text1"/>
          <w:sz w:val="24"/>
          <w:szCs w:val="24"/>
        </w:rPr>
        <w:t>(Fig</w:t>
      </w:r>
      <w:r w:rsidR="00940531">
        <w:rPr>
          <w:rFonts w:ascii="Book Antiqua" w:eastAsia="SimSun" w:hAnsi="Book Antiqua" w:cs="Arial" w:hint="eastAsia"/>
          <w:bCs/>
          <w:color w:val="000000" w:themeColor="text1"/>
          <w:sz w:val="24"/>
          <w:szCs w:val="24"/>
          <w:lang w:eastAsia="zh-CN"/>
        </w:rPr>
        <w:t>ure</w:t>
      </w:r>
      <w:r w:rsidR="00A86AFC">
        <w:rPr>
          <w:rFonts w:ascii="Book Antiqua" w:eastAsia="SimSun" w:hAnsi="Book Antiqua" w:cs="Arial" w:hint="eastAsia"/>
          <w:bCs/>
          <w:color w:val="000000" w:themeColor="text1"/>
          <w:sz w:val="24"/>
          <w:szCs w:val="24"/>
          <w:lang w:eastAsia="zh-CN"/>
        </w:rPr>
        <w:t>s</w:t>
      </w:r>
      <w:r w:rsidRPr="00031CB9">
        <w:rPr>
          <w:rFonts w:ascii="Book Antiqua" w:eastAsia="함초롬바탕" w:hAnsi="Book Antiqua" w:cs="Arial"/>
          <w:bCs/>
          <w:color w:val="000000" w:themeColor="text1"/>
          <w:sz w:val="24"/>
          <w:szCs w:val="24"/>
        </w:rPr>
        <w:t xml:space="preserve"> </w:t>
      </w:r>
      <w:r w:rsidR="00A86AFC">
        <w:rPr>
          <w:rFonts w:ascii="Book Antiqua" w:eastAsia="SimSun" w:hAnsi="Book Antiqua" w:cs="Arial" w:hint="eastAsia"/>
          <w:bCs/>
          <w:color w:val="000000" w:themeColor="text1"/>
          <w:sz w:val="24"/>
          <w:szCs w:val="24"/>
          <w:lang w:eastAsia="zh-CN"/>
        </w:rPr>
        <w:t xml:space="preserve">3 and </w:t>
      </w:r>
      <w:r w:rsidR="009B7551">
        <w:rPr>
          <w:rFonts w:ascii="Book Antiqua" w:eastAsia="함초롬바탕" w:hAnsi="Book Antiqua" w:cs="Arial" w:hint="eastAsia"/>
          <w:bCs/>
          <w:color w:val="000000" w:themeColor="text1"/>
          <w:sz w:val="24"/>
          <w:szCs w:val="24"/>
        </w:rPr>
        <w:t>4</w:t>
      </w:r>
      <w:r w:rsidRPr="00031CB9">
        <w:rPr>
          <w:rFonts w:ascii="Book Antiqua" w:eastAsia="함초롬바탕" w:hAnsi="Book Antiqua" w:cs="Arial"/>
          <w:bCs/>
          <w:color w:val="000000" w:themeColor="text1"/>
          <w:sz w:val="24"/>
          <w:szCs w:val="24"/>
        </w:rPr>
        <w:t>).</w:t>
      </w:r>
      <w:r w:rsidRPr="00031CB9">
        <w:rPr>
          <w:rFonts w:ascii="Book Antiqua" w:eastAsia="함초롬바탕" w:hAnsi="Book Antiqua" w:cs="Arial"/>
          <w:color w:val="000000" w:themeColor="text1"/>
          <w:sz w:val="24"/>
          <w:szCs w:val="24"/>
        </w:rPr>
        <w:t xml:space="preserve"> It is possible that the undetected CCA was present in the remnant liver</w:t>
      </w:r>
      <w:r w:rsidRPr="00031CB9">
        <w:rPr>
          <w:rFonts w:ascii="Book Antiqua" w:eastAsia="함초롬바탕" w:hAnsi="Book Antiqua" w:cs="Arial"/>
          <w:color w:val="000000" w:themeColor="text1"/>
          <w:sz w:val="24"/>
          <w:szCs w:val="24"/>
          <w:vertAlign w:val="superscript"/>
        </w:rPr>
        <w:t>[32,33]</w:t>
      </w:r>
      <w:r w:rsidRPr="00031CB9">
        <w:rPr>
          <w:rFonts w:ascii="Book Antiqua" w:eastAsia="함초롬바탕" w:hAnsi="Book Antiqua" w:cs="Arial"/>
          <w:color w:val="000000" w:themeColor="text1"/>
          <w:sz w:val="24"/>
          <w:szCs w:val="24"/>
        </w:rPr>
        <w:t>. Therefore, aggressive resection is crucial to achieve sufficient hepatic volume including neighboring segments.</w:t>
      </w:r>
    </w:p>
    <w:p w:rsidR="00D7591F" w:rsidRPr="00940531" w:rsidRDefault="00D7591F" w:rsidP="00445758">
      <w:pPr>
        <w:pStyle w:val="a"/>
        <w:kinsoku w:val="0"/>
        <w:wordWrap/>
        <w:overflowPunct w:val="0"/>
        <w:adjustRightInd w:val="0"/>
        <w:snapToGrid w:val="0"/>
        <w:spacing w:line="360" w:lineRule="auto"/>
        <w:rPr>
          <w:rFonts w:ascii="Book Antiqua" w:eastAsia="SimSun" w:hAnsi="Book Antiqua" w:cs="Arial"/>
          <w:color w:val="000000" w:themeColor="text1"/>
          <w:sz w:val="24"/>
          <w:szCs w:val="24"/>
          <w:lang w:eastAsia="zh-CN"/>
        </w:rPr>
      </w:pPr>
    </w:p>
    <w:p w:rsidR="00D7591F" w:rsidRPr="00940531" w:rsidRDefault="00D7591F" w:rsidP="00445758">
      <w:pPr>
        <w:pStyle w:val="a"/>
        <w:kinsoku w:val="0"/>
        <w:wordWrap/>
        <w:overflowPunct w:val="0"/>
        <w:adjustRightInd w:val="0"/>
        <w:snapToGrid w:val="0"/>
        <w:spacing w:line="360" w:lineRule="auto"/>
        <w:rPr>
          <w:rFonts w:ascii="Book Antiqua" w:eastAsia="SimSun" w:hAnsi="Book Antiqua" w:cs="Arial"/>
          <w:b/>
          <w:bCs/>
          <w:caps/>
          <w:color w:val="000000" w:themeColor="text1"/>
          <w:sz w:val="24"/>
          <w:szCs w:val="24"/>
          <w:lang w:eastAsia="zh-CN"/>
        </w:rPr>
      </w:pPr>
      <w:r w:rsidRPr="00940531">
        <w:rPr>
          <w:rFonts w:ascii="Book Antiqua" w:eastAsia="함초롬바탕" w:hAnsi="Book Antiqua" w:cs="Arial"/>
          <w:b/>
          <w:bCs/>
          <w:caps/>
          <w:color w:val="000000" w:themeColor="text1"/>
          <w:sz w:val="24"/>
          <w:szCs w:val="24"/>
        </w:rPr>
        <w:t>Management strategy for h</w:t>
      </w:r>
      <w:r w:rsidRPr="00940531">
        <w:rPr>
          <w:rFonts w:ascii="Book Antiqua" w:eastAsia="함초롬바탕" w:hAnsi="Book Antiqua" w:cs="Arial"/>
          <w:b/>
          <w:caps/>
          <w:color w:val="000000" w:themeColor="text1"/>
          <w:sz w:val="24"/>
          <w:szCs w:val="24"/>
        </w:rPr>
        <w:t>epatolithiasis</w:t>
      </w:r>
      <w:r w:rsidRPr="00940531">
        <w:rPr>
          <w:rFonts w:ascii="Book Antiqua" w:eastAsia="함초롬바탕" w:hAnsi="Book Antiqua" w:cs="Arial"/>
          <w:b/>
          <w:bCs/>
          <w:caps/>
          <w:color w:val="000000" w:themeColor="text1"/>
          <w:sz w:val="24"/>
          <w:szCs w:val="24"/>
        </w:rPr>
        <w:t>-associated intra</w:t>
      </w:r>
      <w:r w:rsidR="00940531" w:rsidRPr="00940531">
        <w:rPr>
          <w:rFonts w:ascii="Book Antiqua" w:eastAsia="함초롬바탕" w:hAnsi="Book Antiqua" w:cs="Arial"/>
          <w:b/>
          <w:bCs/>
          <w:caps/>
          <w:color w:val="000000" w:themeColor="text1"/>
          <w:sz w:val="24"/>
          <w:szCs w:val="24"/>
        </w:rPr>
        <w:t>hepatic CCA</w:t>
      </w:r>
    </w:p>
    <w:p w:rsidR="00D7591F" w:rsidRPr="00031CB9" w:rsidRDefault="00D7591F" w:rsidP="00445758">
      <w:pPr>
        <w:pStyle w:val="a"/>
        <w:kinsoku w:val="0"/>
        <w:wordWrap/>
        <w:overflowPunct w:val="0"/>
        <w:adjustRightInd w:val="0"/>
        <w:snapToGrid w:val="0"/>
        <w:spacing w:line="360" w:lineRule="auto"/>
        <w:rPr>
          <w:rFonts w:ascii="Book Antiqua" w:hAnsi="Book Antiqua" w:cs="Arial"/>
          <w:color w:val="000000" w:themeColor="text1"/>
          <w:sz w:val="24"/>
          <w:szCs w:val="24"/>
        </w:rPr>
      </w:pPr>
      <w:r w:rsidRPr="00031CB9">
        <w:rPr>
          <w:rFonts w:ascii="Book Antiqua" w:eastAsia="함초롬바탕" w:hAnsi="Book Antiqua" w:cs="Arial"/>
          <w:color w:val="000000" w:themeColor="text1"/>
          <w:sz w:val="24"/>
          <w:szCs w:val="24"/>
        </w:rPr>
        <w:t>The secondary goal of treatment for hepatolithiasis is to prevent the progression of the disease to cirrhosis or cancer. HL-CCA can develop even after complete stone removal through PTCSL or initial hepatectomy</w:t>
      </w:r>
      <w:r w:rsidRPr="00031CB9">
        <w:rPr>
          <w:rFonts w:ascii="Book Antiqua" w:eastAsia="함초롬바탕" w:hAnsi="Book Antiqua" w:cs="Arial"/>
          <w:color w:val="000000" w:themeColor="text1"/>
          <w:sz w:val="24"/>
          <w:szCs w:val="24"/>
          <w:vertAlign w:val="superscript"/>
        </w:rPr>
        <w:t>[33,1</w:t>
      </w:r>
      <w:r w:rsidR="00490FAE">
        <w:rPr>
          <w:rFonts w:ascii="Book Antiqua" w:eastAsia="함초롬바탕" w:hAnsi="Book Antiqua" w:cs="Arial" w:hint="eastAsia"/>
          <w:color w:val="000000" w:themeColor="text1"/>
          <w:sz w:val="24"/>
          <w:szCs w:val="24"/>
          <w:vertAlign w:val="superscript"/>
        </w:rPr>
        <w:t>29</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Development of HL-CCA is an independent predictor for survival in patients who have undergone hepatic resection with hepatolithiasis</w:t>
      </w:r>
      <w:r w:rsidRPr="00031CB9">
        <w:rPr>
          <w:rFonts w:ascii="Book Antiqua" w:eastAsia="함초롬바탕" w:hAnsi="Book Antiqua" w:cs="Arial"/>
          <w:color w:val="000000" w:themeColor="text1"/>
          <w:sz w:val="24"/>
          <w:szCs w:val="24"/>
          <w:vertAlign w:val="superscript"/>
        </w:rPr>
        <w:t>[12,38]</w:t>
      </w:r>
      <w:r w:rsidRPr="00031CB9">
        <w:rPr>
          <w:rFonts w:ascii="Book Antiqua" w:eastAsia="함초롬바탕" w:hAnsi="Book Antiqua" w:cs="Arial"/>
          <w:color w:val="000000" w:themeColor="text1"/>
          <w:sz w:val="24"/>
          <w:szCs w:val="24"/>
        </w:rPr>
        <w:t xml:space="preserve">. Early detection of HL-CCA is very important in follow-up after treatment of hepatolithiasis. However, to date, there is no effective measure to predict subsequent HL-CCA in patients with hepatolithiasis. </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p>
    <w:p w:rsidR="00D7591F" w:rsidRPr="00940531" w:rsidRDefault="00D7591F" w:rsidP="00445758">
      <w:pPr>
        <w:pStyle w:val="a"/>
        <w:kinsoku w:val="0"/>
        <w:wordWrap/>
        <w:overflowPunct w:val="0"/>
        <w:adjustRightInd w:val="0"/>
        <w:snapToGrid w:val="0"/>
        <w:spacing w:line="360" w:lineRule="auto"/>
        <w:rPr>
          <w:rFonts w:ascii="Book Antiqua" w:eastAsia="함초롬바탕" w:hAnsi="Book Antiqua" w:cs="Arial"/>
          <w:b/>
          <w:caps/>
          <w:color w:val="000000" w:themeColor="text1"/>
          <w:sz w:val="24"/>
          <w:szCs w:val="24"/>
        </w:rPr>
      </w:pPr>
      <w:r w:rsidRPr="00940531">
        <w:rPr>
          <w:rFonts w:ascii="Book Antiqua" w:eastAsia="함초롬바탕" w:hAnsi="Book Antiqua" w:cs="Arial"/>
          <w:b/>
          <w:caps/>
          <w:color w:val="000000" w:themeColor="text1"/>
          <w:sz w:val="24"/>
          <w:szCs w:val="24"/>
        </w:rPr>
        <w:t xml:space="preserve">Follow-up for early detection of subsequent HL-CCA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Known predictive factors for subsequent HL-CCA after treatment</w:t>
      </w:r>
      <w:r w:rsidRPr="00031CB9">
        <w:rPr>
          <w:rFonts w:ascii="Book Antiqua" w:eastAsia="함초롬바탕" w:hAnsi="Book Antiqua" w:cs="Arial"/>
          <w:b/>
          <w:color w:val="000000" w:themeColor="text1"/>
          <w:sz w:val="24"/>
          <w:szCs w:val="24"/>
        </w:rPr>
        <w:t xml:space="preserve"> </w:t>
      </w:r>
      <w:r w:rsidRPr="00031CB9">
        <w:rPr>
          <w:rFonts w:ascii="Book Antiqua" w:eastAsia="함초롬바탕" w:hAnsi="Book Antiqua" w:cs="Arial"/>
          <w:color w:val="000000" w:themeColor="text1"/>
          <w:sz w:val="24"/>
          <w:szCs w:val="24"/>
        </w:rPr>
        <w:t>are old age, bile duct stricture, bilioenteric anastomosis, stone recurrence, stones in both hepatic lobes, and no hepatic resection</w:t>
      </w:r>
      <w:r w:rsidRPr="00031CB9">
        <w:rPr>
          <w:rFonts w:ascii="Book Antiqua" w:eastAsia="함초롬바탕" w:hAnsi="Book Antiqua" w:cs="Arial"/>
          <w:color w:val="000000" w:themeColor="text1"/>
          <w:sz w:val="24"/>
          <w:szCs w:val="24"/>
          <w:vertAlign w:val="superscript"/>
        </w:rPr>
        <w:t>[33,42,12</w:t>
      </w:r>
      <w:r w:rsidR="00490FAE">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97"/>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Kim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[33]</w:t>
      </w:r>
      <w:r w:rsidRPr="00031CB9">
        <w:rPr>
          <w:rFonts w:ascii="Book Antiqua" w:eastAsia="함초롬바탕" w:hAnsi="Book Antiqua" w:cs="Arial"/>
          <w:color w:val="000000" w:themeColor="text1"/>
          <w:sz w:val="24"/>
          <w:szCs w:val="24"/>
        </w:rPr>
        <w:t xml:space="preserve"> reported that age, gender, CA 19-9, stone location, bile duct stenosis, liver atrophy, stone recurrence, residual stone, and hepatic resection were not significant predictive factors by multivariate analysis. Cheon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[30]</w:t>
      </w:r>
      <w:r w:rsidRPr="00031CB9">
        <w:rPr>
          <w:rFonts w:ascii="Book Antiqua" w:eastAsia="함초롬바탕" w:hAnsi="Book Antiqua" w:cs="Arial"/>
          <w:color w:val="000000" w:themeColor="text1"/>
          <w:sz w:val="24"/>
          <w:szCs w:val="24"/>
        </w:rPr>
        <w:t xml:space="preserve"> reported that there was no significant risk factor for CCA during the follow-up period. </w:t>
      </w:r>
    </w:p>
    <w:p w:rsidR="00D7591F" w:rsidRPr="00031CB9" w:rsidRDefault="00D7591F" w:rsidP="00445758">
      <w:pPr>
        <w:pStyle w:val="a"/>
        <w:kinsoku w:val="0"/>
        <w:wordWrap/>
        <w:overflowPunct w:val="0"/>
        <w:adjustRightInd w:val="0"/>
        <w:snapToGrid w:val="0"/>
        <w:spacing w:line="360" w:lineRule="auto"/>
        <w:ind w:firstLine="97"/>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Huang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[42]</w:t>
      </w:r>
      <w:r w:rsidRPr="00031CB9">
        <w:rPr>
          <w:rFonts w:ascii="Book Antiqua" w:eastAsia="함초롬바탕" w:hAnsi="Book Antiqua" w:cs="Arial"/>
          <w:color w:val="000000" w:themeColor="text1"/>
          <w:sz w:val="24"/>
          <w:szCs w:val="24"/>
        </w:rPr>
        <w:t xml:space="preserve"> and Lin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[32]</w:t>
      </w:r>
      <w:r w:rsidRPr="00031CB9">
        <w:rPr>
          <w:rFonts w:ascii="Book Antiqua" w:eastAsia="함초롬바탕" w:hAnsi="Book Antiqua" w:cs="Arial"/>
          <w:color w:val="000000" w:themeColor="text1"/>
          <w:sz w:val="24"/>
          <w:szCs w:val="24"/>
        </w:rPr>
        <w:t xml:space="preserve"> reported that the subsequent HL-CCA incidence was significantly lower after complete stone removal than in cases of residual stones (0.7% </w:t>
      </w:r>
      <w:r w:rsidR="00273840" w:rsidRPr="00273840">
        <w:rPr>
          <w:rFonts w:ascii="Book Antiqua" w:eastAsia="함초롬바탕" w:hAnsi="Book Antiqua" w:cs="Arial"/>
          <w:i/>
          <w:color w:val="000000" w:themeColor="text1"/>
          <w:sz w:val="24"/>
          <w:szCs w:val="24"/>
        </w:rPr>
        <w:t>vs</w:t>
      </w:r>
      <w:r w:rsidRPr="00031CB9">
        <w:rPr>
          <w:rFonts w:ascii="Book Antiqua" w:eastAsia="함초롬바탕" w:hAnsi="Book Antiqua" w:cs="Arial"/>
          <w:color w:val="000000" w:themeColor="text1"/>
          <w:sz w:val="24"/>
          <w:szCs w:val="24"/>
        </w:rPr>
        <w:t xml:space="preserve"> 6.6%, and 4.9% </w:t>
      </w:r>
      <w:r w:rsidR="00273840" w:rsidRPr="00273840">
        <w:rPr>
          <w:rFonts w:ascii="Book Antiqua" w:eastAsia="함초롬바탕" w:hAnsi="Book Antiqua" w:cs="Arial"/>
          <w:i/>
          <w:color w:val="000000" w:themeColor="text1"/>
          <w:sz w:val="24"/>
          <w:szCs w:val="24"/>
        </w:rPr>
        <w:t>vs</w:t>
      </w:r>
      <w:r w:rsidRPr="00031CB9">
        <w:rPr>
          <w:rFonts w:ascii="Book Antiqua" w:eastAsia="함초롬바탕" w:hAnsi="Book Antiqua" w:cs="Arial"/>
          <w:color w:val="000000" w:themeColor="text1"/>
          <w:sz w:val="24"/>
          <w:szCs w:val="24"/>
        </w:rPr>
        <w:t xml:space="preserve"> 11.8%, respectively). Jo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w:t>
      </w:r>
      <w:r w:rsidR="00490FAE">
        <w:rPr>
          <w:rFonts w:ascii="Book Antiqua" w:eastAsia="함초롬바탕" w:hAnsi="Book Antiqua" w:cs="Arial" w:hint="eastAsia"/>
          <w:color w:val="000000" w:themeColor="text1"/>
          <w:sz w:val="24"/>
          <w:szCs w:val="24"/>
          <w:vertAlign w:val="superscript"/>
        </w:rPr>
        <w:t>08</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incomplete removal of stones was a risk factor for subsequent HL-CCA, but complete stone removal was not significant as a good prognostic factor. Furthermore, there are </w:t>
      </w:r>
      <w:r w:rsidRPr="00031CB9">
        <w:rPr>
          <w:rFonts w:ascii="Book Antiqua" w:eastAsia="함초롬바탕" w:hAnsi="Book Antiqua" w:cs="Arial"/>
          <w:color w:val="000000" w:themeColor="text1"/>
          <w:sz w:val="24"/>
          <w:szCs w:val="24"/>
        </w:rPr>
        <w:lastRenderedPageBreak/>
        <w:t xml:space="preserve">reports that the incidence of subsequent HL-CCA is not significantly different between groups. Kim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[33]</w:t>
      </w:r>
      <w:r w:rsidRPr="00031CB9">
        <w:rPr>
          <w:rFonts w:ascii="Book Antiqua" w:eastAsia="함초롬바탕" w:hAnsi="Book Antiqua" w:cs="Arial"/>
          <w:color w:val="000000" w:themeColor="text1"/>
          <w:sz w:val="24"/>
          <w:szCs w:val="24"/>
        </w:rPr>
        <w:t xml:space="preserve"> reported 3.3% </w:t>
      </w:r>
      <w:r w:rsidR="00273840" w:rsidRPr="00273840">
        <w:rPr>
          <w:rFonts w:ascii="Book Antiqua" w:eastAsia="함초롬바탕" w:hAnsi="Book Antiqua" w:cs="Arial"/>
          <w:i/>
          <w:color w:val="000000" w:themeColor="text1"/>
          <w:sz w:val="24"/>
          <w:szCs w:val="24"/>
        </w:rPr>
        <w:t>vs</w:t>
      </w:r>
      <w:r w:rsidRPr="00031CB9">
        <w:rPr>
          <w:rFonts w:ascii="Book Antiqua" w:eastAsia="함초롬바탕" w:hAnsi="Book Antiqua" w:cs="Arial"/>
          <w:color w:val="000000" w:themeColor="text1"/>
          <w:sz w:val="24"/>
          <w:szCs w:val="24"/>
        </w:rPr>
        <w:t xml:space="preserve"> 10.4% (</w:t>
      </w:r>
      <w:r w:rsidR="00273840" w:rsidRPr="00273840">
        <w:rPr>
          <w:rFonts w:ascii="Book Antiqua" w:eastAsia="함초롬바탕" w:hAnsi="Book Antiqua" w:cs="Arial"/>
          <w:i/>
          <w:caps/>
          <w:color w:val="000000" w:themeColor="text1"/>
          <w:sz w:val="24"/>
          <w:szCs w:val="24"/>
        </w:rPr>
        <w:t xml:space="preserve">p = </w:t>
      </w:r>
      <w:r w:rsidRPr="00031CB9">
        <w:rPr>
          <w:rFonts w:ascii="Book Antiqua" w:eastAsia="함초롬바탕" w:hAnsi="Book Antiqua" w:cs="Arial"/>
          <w:color w:val="000000" w:themeColor="text1"/>
          <w:sz w:val="24"/>
          <w:szCs w:val="24"/>
        </w:rPr>
        <w:t xml:space="preserve">0.263), Tsuyuguchi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[39]</w:t>
      </w:r>
      <w:r w:rsidRPr="00031CB9">
        <w:rPr>
          <w:rFonts w:ascii="Book Antiqua" w:eastAsia="함초롬바탕" w:hAnsi="Book Antiqua" w:cs="Arial"/>
          <w:color w:val="000000" w:themeColor="text1"/>
          <w:sz w:val="24"/>
          <w:szCs w:val="24"/>
        </w:rPr>
        <w:t xml:space="preserve"> reported 9.1% </w:t>
      </w:r>
      <w:r w:rsidR="00273840" w:rsidRPr="00273840">
        <w:rPr>
          <w:rFonts w:ascii="Book Antiqua" w:eastAsia="함초롬바탕" w:hAnsi="Book Antiqua" w:cs="Arial"/>
          <w:i/>
          <w:color w:val="000000" w:themeColor="text1"/>
          <w:sz w:val="24"/>
          <w:szCs w:val="24"/>
        </w:rPr>
        <w:t>vs</w:t>
      </w:r>
      <w:r w:rsidRPr="00031CB9">
        <w:rPr>
          <w:rFonts w:ascii="Book Antiqua" w:eastAsia="함초롬바탕" w:hAnsi="Book Antiqua" w:cs="Arial"/>
          <w:color w:val="000000" w:themeColor="text1"/>
          <w:sz w:val="24"/>
          <w:szCs w:val="24"/>
        </w:rPr>
        <w:t xml:space="preserve"> 10.4% (</w:t>
      </w:r>
      <w:r w:rsidR="00273840" w:rsidRPr="00273840">
        <w:rPr>
          <w:rFonts w:ascii="Book Antiqua" w:eastAsia="함초롬바탕" w:hAnsi="Book Antiqua" w:cs="Arial"/>
          <w:i/>
          <w:caps/>
          <w:color w:val="000000" w:themeColor="text1"/>
          <w:sz w:val="24"/>
          <w:szCs w:val="24"/>
        </w:rPr>
        <w:t xml:space="preserve">p = </w:t>
      </w:r>
      <w:r w:rsidRPr="00031CB9">
        <w:rPr>
          <w:rFonts w:ascii="Book Antiqua" w:eastAsia="함초롬바탕" w:hAnsi="Book Antiqua" w:cs="Arial"/>
          <w:color w:val="000000" w:themeColor="text1"/>
          <w:sz w:val="24"/>
          <w:szCs w:val="24"/>
        </w:rPr>
        <w:t xml:space="preserve">0.554), and Cheon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[30]</w:t>
      </w:r>
      <w:r w:rsidRPr="00031CB9">
        <w:rPr>
          <w:rFonts w:ascii="Book Antiqua" w:eastAsia="함초롬바탕" w:hAnsi="Book Antiqua" w:cs="Arial"/>
          <w:color w:val="000000" w:themeColor="text1"/>
          <w:sz w:val="24"/>
          <w:szCs w:val="24"/>
        </w:rPr>
        <w:t xml:space="preserve"> reported 4% </w:t>
      </w:r>
      <w:r w:rsidR="00273840" w:rsidRPr="00273840">
        <w:rPr>
          <w:rFonts w:ascii="Book Antiqua" w:eastAsia="함초롬바탕" w:hAnsi="Book Antiqua" w:cs="Arial"/>
          <w:i/>
          <w:color w:val="000000" w:themeColor="text1"/>
          <w:sz w:val="24"/>
          <w:szCs w:val="24"/>
        </w:rPr>
        <w:t>vs</w:t>
      </w:r>
      <w:r w:rsidRPr="00031CB9">
        <w:rPr>
          <w:rFonts w:ascii="Book Antiqua" w:eastAsia="함초롬바탕" w:hAnsi="Book Antiqua" w:cs="Arial"/>
          <w:color w:val="000000" w:themeColor="text1"/>
          <w:sz w:val="24"/>
          <w:szCs w:val="24"/>
        </w:rPr>
        <w:t xml:space="preserve"> 8% (</w:t>
      </w:r>
      <w:r w:rsidR="00273840" w:rsidRPr="00273840">
        <w:rPr>
          <w:rFonts w:ascii="Book Antiqua" w:eastAsia="함초롬바탕" w:hAnsi="Book Antiqua" w:cs="Arial"/>
          <w:i/>
          <w:caps/>
          <w:color w:val="000000" w:themeColor="text1"/>
          <w:sz w:val="24"/>
          <w:szCs w:val="24"/>
        </w:rPr>
        <w:t xml:space="preserve">p = </w:t>
      </w:r>
      <w:r w:rsidRPr="00031CB9">
        <w:rPr>
          <w:rFonts w:ascii="Book Antiqua" w:eastAsia="함초롬바탕" w:hAnsi="Book Antiqua" w:cs="Arial"/>
          <w:color w:val="000000" w:themeColor="text1"/>
          <w:sz w:val="24"/>
          <w:szCs w:val="24"/>
        </w:rPr>
        <w:t xml:space="preserve">0.06).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The risk of subsequent HL-CCA was increased in bilateral hepatolithiasis</w:t>
      </w:r>
      <w:r w:rsidRPr="00031CB9">
        <w:rPr>
          <w:rFonts w:ascii="Book Antiqua" w:eastAsia="함초롬바탕" w:hAnsi="Book Antiqua" w:cs="Arial"/>
          <w:color w:val="000000" w:themeColor="text1"/>
          <w:sz w:val="24"/>
          <w:szCs w:val="24"/>
          <w:vertAlign w:val="superscript"/>
        </w:rPr>
        <w:t>[1</w:t>
      </w:r>
      <w:r w:rsidR="00490FAE">
        <w:rPr>
          <w:rFonts w:ascii="Book Antiqua" w:eastAsia="함초롬바탕" w:hAnsi="Book Antiqua" w:cs="Arial" w:hint="eastAsia"/>
          <w:color w:val="000000" w:themeColor="text1"/>
          <w:sz w:val="24"/>
          <w:szCs w:val="24"/>
          <w:vertAlign w:val="superscript"/>
        </w:rPr>
        <w:t>18</w:t>
      </w:r>
      <w:r w:rsidRPr="00031CB9">
        <w:rPr>
          <w:rFonts w:ascii="Book Antiqua" w:eastAsia="함초롬바탕" w:hAnsi="Book Antiqua" w:cs="Arial"/>
          <w:color w:val="000000" w:themeColor="text1"/>
          <w:sz w:val="24"/>
          <w:szCs w:val="24"/>
          <w:vertAlign w:val="superscript"/>
        </w:rPr>
        <w:t>,1</w:t>
      </w:r>
      <w:r w:rsidR="00490FAE">
        <w:rPr>
          <w:rFonts w:ascii="Book Antiqua" w:eastAsia="함초롬바탕" w:hAnsi="Book Antiqua" w:cs="Arial" w:hint="eastAsia"/>
          <w:color w:val="000000" w:themeColor="text1"/>
          <w:sz w:val="24"/>
          <w:szCs w:val="24"/>
          <w:vertAlign w:val="superscript"/>
        </w:rPr>
        <w:t>19</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Lin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[32]</w:t>
      </w:r>
      <w:r w:rsidRPr="00031CB9">
        <w:rPr>
          <w:rFonts w:ascii="Book Antiqua" w:eastAsia="함초롬바탕" w:hAnsi="Book Antiqua" w:cs="Arial"/>
          <w:color w:val="000000" w:themeColor="text1"/>
          <w:sz w:val="24"/>
          <w:szCs w:val="24"/>
        </w:rPr>
        <w:t xml:space="preserve"> reported that the incidence of concomitant HL-CCA and subsequent HL-CCA was similar in patients with unilateral hepatolithiasis (4.8% and 4.5%, respectively) but the incidence of subsequent HL-CCA (12.2%) was higher than concomitant HL-CCA (4.7%) in patients with bilateral hepatolithiasis.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Most subsequent HL-CCA has been reported to occur within the same hepatic lobe where treatment was performed</w:t>
      </w:r>
      <w:r w:rsidRPr="00031CB9">
        <w:rPr>
          <w:rFonts w:ascii="Book Antiqua" w:eastAsia="함초롬바탕" w:hAnsi="Book Antiqua" w:cs="Arial"/>
          <w:color w:val="000000" w:themeColor="text1"/>
          <w:sz w:val="24"/>
          <w:szCs w:val="24"/>
          <w:vertAlign w:val="superscript"/>
        </w:rPr>
        <w:t>[13</w:t>
      </w:r>
      <w:r w:rsidR="00490FAE">
        <w:rPr>
          <w:rFonts w:ascii="Book Antiqua" w:eastAsia="함초롬바탕" w:hAnsi="Book Antiqua" w:cs="Arial" w:hint="eastAsia"/>
          <w:color w:val="000000" w:themeColor="text1"/>
          <w:sz w:val="24"/>
          <w:szCs w:val="24"/>
          <w:vertAlign w:val="superscript"/>
        </w:rPr>
        <w:t>0</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However Cheon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[30]</w:t>
      </w:r>
      <w:r w:rsidRPr="00031CB9">
        <w:rPr>
          <w:rFonts w:ascii="Book Antiqua" w:eastAsia="함초롬바탕" w:hAnsi="Book Antiqua" w:cs="Arial"/>
          <w:color w:val="000000" w:themeColor="text1"/>
          <w:sz w:val="24"/>
          <w:szCs w:val="24"/>
        </w:rPr>
        <w:t xml:space="preserve"> reported the tumor occurrence in the contralateral hepatic lobe in six out of eleven cases, and Kim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[33]</w:t>
      </w:r>
      <w:r w:rsidRPr="00031CB9">
        <w:rPr>
          <w:rFonts w:ascii="Book Antiqua" w:eastAsia="함초롬바탕" w:hAnsi="Book Antiqua" w:cs="Arial"/>
          <w:color w:val="000000" w:themeColor="text1"/>
          <w:sz w:val="24"/>
          <w:szCs w:val="24"/>
        </w:rPr>
        <w:t xml:space="preserve"> reported it in three out of twelve cases. It is possible that chronic inflammatory conditions play a role in the development of CCA arising from the bile duct without stones</w:t>
      </w:r>
      <w:r w:rsidRPr="00031CB9">
        <w:rPr>
          <w:rFonts w:ascii="Book Antiqua" w:eastAsia="함초롬바탕" w:hAnsi="Book Antiqua" w:cs="Arial"/>
          <w:color w:val="000000" w:themeColor="text1"/>
          <w:sz w:val="24"/>
          <w:szCs w:val="24"/>
          <w:vertAlign w:val="superscript"/>
        </w:rPr>
        <w:t>[</w:t>
      </w:r>
      <w:r w:rsidR="00490FAE">
        <w:rPr>
          <w:rFonts w:ascii="Book Antiqua" w:eastAsia="함초롬바탕" w:hAnsi="Book Antiqua" w:cs="Arial" w:hint="eastAsia"/>
          <w:color w:val="000000" w:themeColor="text1"/>
          <w:sz w:val="24"/>
          <w:szCs w:val="24"/>
          <w:vertAlign w:val="superscript"/>
        </w:rPr>
        <w:t>77</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Suzuki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[12</w:t>
      </w:r>
      <w:r w:rsidR="008050F8">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risk factors for HL-CCA were choledochoenterostomy (</w:t>
      </w:r>
      <w:r w:rsidR="00273840">
        <w:rPr>
          <w:rFonts w:ascii="Book Antiqua" w:eastAsia="SimSun" w:hAnsi="Book Antiqua" w:cs="Arial" w:hint="eastAsia"/>
          <w:color w:val="000000" w:themeColor="text1"/>
          <w:sz w:val="24"/>
          <w:szCs w:val="24"/>
          <w:lang w:eastAsia="zh-CN"/>
        </w:rPr>
        <w:t>OR =</w:t>
      </w:r>
      <w:r w:rsidRPr="00031CB9">
        <w:rPr>
          <w:rFonts w:ascii="Book Antiqua" w:eastAsia="함초롬바탕" w:hAnsi="Book Antiqua" w:cs="Arial"/>
          <w:color w:val="000000" w:themeColor="text1"/>
          <w:sz w:val="24"/>
          <w:szCs w:val="24"/>
        </w:rPr>
        <w:t xml:space="preserve"> 3.718), biliary stricture (</w:t>
      </w:r>
      <w:r w:rsidR="00273840">
        <w:rPr>
          <w:rFonts w:ascii="Book Antiqua" w:eastAsia="SimSun" w:hAnsi="Book Antiqua" w:cs="Arial" w:hint="eastAsia"/>
          <w:color w:val="000000" w:themeColor="text1"/>
          <w:sz w:val="24"/>
          <w:szCs w:val="24"/>
          <w:lang w:eastAsia="zh-CN"/>
        </w:rPr>
        <w:t>HR =</w:t>
      </w:r>
      <w:r w:rsidRPr="00031CB9">
        <w:rPr>
          <w:rFonts w:ascii="Book Antiqua" w:eastAsia="함초롬바탕" w:hAnsi="Book Antiqua" w:cs="Arial"/>
          <w:color w:val="000000" w:themeColor="text1"/>
          <w:sz w:val="24"/>
          <w:szCs w:val="24"/>
        </w:rPr>
        <w:t xml:space="preserve"> 4.615), and stone r</w:t>
      </w:r>
      <w:r w:rsidR="00273840">
        <w:rPr>
          <w:rFonts w:ascii="Book Antiqua" w:eastAsia="함초롬바탕" w:hAnsi="Book Antiqua" w:cs="Arial"/>
          <w:color w:val="000000" w:themeColor="text1"/>
          <w:sz w:val="24"/>
          <w:szCs w:val="24"/>
        </w:rPr>
        <w:t>ecurrence (</w:t>
      </w:r>
      <w:r w:rsidR="00273840">
        <w:rPr>
          <w:rFonts w:ascii="Book Antiqua" w:eastAsia="SimSun" w:hAnsi="Book Antiqua" w:cs="Arial" w:hint="eastAsia"/>
          <w:color w:val="000000" w:themeColor="text1"/>
          <w:sz w:val="24"/>
          <w:szCs w:val="24"/>
          <w:lang w:eastAsia="zh-CN"/>
        </w:rPr>
        <w:t>HR =</w:t>
      </w:r>
      <w:r w:rsidR="00273840">
        <w:rPr>
          <w:rFonts w:ascii="Book Antiqua" w:eastAsia="함초롬바탕" w:hAnsi="Book Antiqua" w:cs="Arial"/>
          <w:color w:val="000000" w:themeColor="text1"/>
          <w:sz w:val="24"/>
          <w:szCs w:val="24"/>
        </w:rPr>
        <w:t xml:space="preserve"> 6.264)</w:t>
      </w:r>
      <w:r w:rsidRPr="00031CB9">
        <w:rPr>
          <w:rFonts w:ascii="Book Antiqua" w:eastAsia="함초롬바탕" w:hAnsi="Book Antiqua" w:cs="Arial"/>
          <w:color w:val="000000" w:themeColor="text1"/>
          <w:sz w:val="24"/>
          <w:szCs w:val="24"/>
          <w:vertAlign w:val="superscript"/>
        </w:rPr>
        <w:t>[12</w:t>
      </w:r>
      <w:r w:rsidR="008050F8">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Bettschart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[12</w:t>
      </w:r>
      <w:r w:rsidR="008050F8">
        <w:rPr>
          <w:rFonts w:ascii="Book Antiqua" w:eastAsia="함초롬바탕" w:hAnsi="Book Antiqua" w:cs="Arial" w:hint="eastAsia"/>
          <w:color w:val="000000" w:themeColor="text1"/>
          <w:sz w:val="24"/>
          <w:szCs w:val="24"/>
          <w:vertAlign w:val="superscript"/>
        </w:rPr>
        <w:t>3</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patient who underwent bilioenteric anastomosis due to hepatolithiasis should be followed.</w:t>
      </w:r>
    </w:p>
    <w:p w:rsidR="00D7591F" w:rsidRPr="00940531" w:rsidRDefault="00D7591F" w:rsidP="00445758">
      <w:pPr>
        <w:pStyle w:val="a"/>
        <w:kinsoku w:val="0"/>
        <w:wordWrap/>
        <w:overflowPunct w:val="0"/>
        <w:adjustRightInd w:val="0"/>
        <w:snapToGrid w:val="0"/>
        <w:spacing w:line="360" w:lineRule="auto"/>
        <w:rPr>
          <w:rFonts w:ascii="Book Antiqua" w:eastAsia="SimSun" w:hAnsi="Book Antiqua" w:cs="Arial"/>
          <w:color w:val="000000" w:themeColor="text1"/>
          <w:sz w:val="24"/>
          <w:szCs w:val="24"/>
          <w:lang w:eastAsia="zh-CN"/>
        </w:rPr>
      </w:pPr>
    </w:p>
    <w:p w:rsidR="00D7591F" w:rsidRPr="00940531" w:rsidRDefault="00D7591F" w:rsidP="00445758">
      <w:pPr>
        <w:pStyle w:val="a"/>
        <w:kinsoku w:val="0"/>
        <w:wordWrap/>
        <w:overflowPunct w:val="0"/>
        <w:adjustRightInd w:val="0"/>
        <w:snapToGrid w:val="0"/>
        <w:spacing w:line="360" w:lineRule="auto"/>
        <w:rPr>
          <w:rFonts w:ascii="Book Antiqua" w:eastAsia="함초롬바탕" w:hAnsi="Book Antiqua" w:cs="Arial"/>
          <w:b/>
          <w:bCs/>
          <w:caps/>
          <w:color w:val="000000" w:themeColor="text1"/>
          <w:sz w:val="24"/>
          <w:szCs w:val="24"/>
        </w:rPr>
      </w:pPr>
      <w:r w:rsidRPr="00940531">
        <w:rPr>
          <w:rFonts w:ascii="Book Antiqua" w:eastAsia="함초롬바탕" w:hAnsi="Book Antiqua" w:cs="Arial"/>
          <w:b/>
          <w:bCs/>
          <w:caps/>
          <w:color w:val="000000" w:themeColor="text1"/>
          <w:sz w:val="24"/>
          <w:szCs w:val="24"/>
        </w:rPr>
        <w:t xml:space="preserve">Is the prognosis of </w:t>
      </w:r>
      <w:r w:rsidRPr="00940531">
        <w:rPr>
          <w:rFonts w:ascii="Book Antiqua" w:eastAsia="함초롬바탕" w:hAnsi="Book Antiqua" w:cs="Arial"/>
          <w:b/>
          <w:caps/>
          <w:color w:val="000000" w:themeColor="text1"/>
          <w:sz w:val="24"/>
          <w:szCs w:val="24"/>
        </w:rPr>
        <w:t>HL-CCA</w:t>
      </w:r>
      <w:r w:rsidRPr="00940531">
        <w:rPr>
          <w:rFonts w:ascii="Book Antiqua" w:eastAsia="함초롬바탕" w:hAnsi="Book Antiqua" w:cs="Arial"/>
          <w:b/>
          <w:bCs/>
          <w:caps/>
          <w:color w:val="000000" w:themeColor="text1"/>
          <w:sz w:val="24"/>
          <w:szCs w:val="24"/>
        </w:rPr>
        <w:t xml:space="preserve"> worse than CCC alone?</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Su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[11]</w:t>
      </w:r>
      <w:r w:rsidRPr="00031CB9">
        <w:rPr>
          <w:rFonts w:ascii="Book Antiqua" w:eastAsia="함초롬바탕" w:hAnsi="Book Antiqua" w:cs="Arial"/>
          <w:color w:val="000000" w:themeColor="text1"/>
          <w:sz w:val="24"/>
          <w:szCs w:val="24"/>
        </w:rPr>
        <w:t xml:space="preserve"> reported that the survival of patients with HL-CCA is worse than that of patients with only CCA. In a study of 66 patients with HL-CCA, radical resection was possible in only 38 patients</w:t>
      </w:r>
      <w:r w:rsidRPr="00031CB9">
        <w:rPr>
          <w:rFonts w:ascii="Book Antiqua" w:eastAsia="함초롬바탕" w:hAnsi="Book Antiqua" w:cs="Arial"/>
          <w:color w:val="000000" w:themeColor="text1"/>
          <w:sz w:val="24"/>
          <w:szCs w:val="24"/>
          <w:vertAlign w:val="superscript"/>
        </w:rPr>
        <w:t>[13</w:t>
      </w:r>
      <w:r w:rsidR="000872F3">
        <w:rPr>
          <w:rFonts w:ascii="Book Antiqua" w:eastAsia="함초롬바탕" w:hAnsi="Book Antiqua" w:cs="Arial" w:hint="eastAsia"/>
          <w:color w:val="000000" w:themeColor="text1"/>
          <w:sz w:val="24"/>
          <w:szCs w:val="24"/>
          <w:vertAlign w:val="superscript"/>
        </w:rPr>
        <w:t>1</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w:t>
      </w:r>
    </w:p>
    <w:p w:rsidR="00D7591F" w:rsidRPr="00031CB9" w:rsidRDefault="00D7591F" w:rsidP="00445758">
      <w:pPr>
        <w:pStyle w:val="a"/>
        <w:kinsoku w:val="0"/>
        <w:wordWrap/>
        <w:overflowPunct w:val="0"/>
        <w:adjustRightInd w:val="0"/>
        <w:snapToGrid w:val="0"/>
        <w:spacing w:line="360" w:lineRule="auto"/>
        <w:ind w:firstLineChars="50" w:firstLine="12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In contrast, there are studies that HL-CCA is not inferior in resectability and survival. Chen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[13</w:t>
      </w:r>
      <w:r w:rsidR="000872F3">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showed a higher rate of resectability for HL-CCA than for CCC without HL (31.1% </w:t>
      </w:r>
      <w:r w:rsidR="00273840" w:rsidRPr="00273840">
        <w:rPr>
          <w:rFonts w:ascii="Book Antiqua" w:eastAsia="함초롬바탕" w:hAnsi="Book Antiqua" w:cs="Arial"/>
          <w:i/>
          <w:color w:val="000000" w:themeColor="text1"/>
          <w:sz w:val="24"/>
          <w:szCs w:val="24"/>
        </w:rPr>
        <w:t>vs</w:t>
      </w:r>
      <w:r w:rsidRPr="00031CB9">
        <w:rPr>
          <w:rFonts w:ascii="Book Antiqua" w:eastAsia="함초롬바탕" w:hAnsi="Book Antiqua" w:cs="Arial"/>
          <w:color w:val="000000" w:themeColor="text1"/>
          <w:sz w:val="24"/>
          <w:szCs w:val="24"/>
        </w:rPr>
        <w:t xml:space="preserve"> 26.8%). Lee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[13</w:t>
      </w:r>
      <w:r w:rsidR="000872F3">
        <w:rPr>
          <w:rFonts w:ascii="Book Antiqua" w:eastAsia="함초롬바탕" w:hAnsi="Book Antiqua" w:cs="Arial" w:hint="eastAsia"/>
          <w:color w:val="000000" w:themeColor="text1"/>
          <w:sz w:val="24"/>
          <w:szCs w:val="24"/>
          <w:vertAlign w:val="superscript"/>
        </w:rPr>
        <w:t>3</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showed a resectability rate of 52.6% in HL-CCA and 39.2% in CCC only, and Gulielmi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[13</w:t>
      </w:r>
      <w:r w:rsidR="000872F3">
        <w:rPr>
          <w:rFonts w:ascii="Book Antiqua" w:eastAsia="함초롬바탕" w:hAnsi="Book Antiqua" w:cs="Arial" w:hint="eastAsia"/>
          <w:color w:val="000000" w:themeColor="text1"/>
          <w:sz w:val="24"/>
          <w:szCs w:val="24"/>
          <w:vertAlign w:val="superscript"/>
        </w:rPr>
        <w:t>4</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also reported a higher rate of resectability in HL-CCA than CCC alone (91.3% </w:t>
      </w:r>
      <w:r w:rsidR="00273840" w:rsidRPr="00273840">
        <w:rPr>
          <w:rFonts w:ascii="Book Antiqua" w:eastAsia="함초롬바탕" w:hAnsi="Book Antiqua" w:cs="Arial"/>
          <w:i/>
          <w:color w:val="000000" w:themeColor="text1"/>
          <w:sz w:val="24"/>
          <w:szCs w:val="24"/>
        </w:rPr>
        <w:t>vs</w:t>
      </w:r>
      <w:r w:rsidRPr="00031CB9">
        <w:rPr>
          <w:rFonts w:ascii="Book Antiqua" w:eastAsia="함초롬바탕" w:hAnsi="Book Antiqua" w:cs="Arial"/>
          <w:color w:val="000000" w:themeColor="text1"/>
          <w:sz w:val="24"/>
          <w:szCs w:val="24"/>
        </w:rPr>
        <w:t xml:space="preserve"> 68.8%). A possible explanation is that the presence of symptoms due to hepatolithiasis could lead to an earlier diagnosis of CCA</w:t>
      </w:r>
      <w:r w:rsidRPr="00031CB9">
        <w:rPr>
          <w:rFonts w:ascii="Book Antiqua" w:eastAsia="함초롬바탕" w:hAnsi="Book Antiqua" w:cs="Arial"/>
          <w:color w:val="000000" w:themeColor="text1"/>
          <w:sz w:val="24"/>
          <w:szCs w:val="24"/>
          <w:vertAlign w:val="superscript"/>
        </w:rPr>
        <w:t>[13</w:t>
      </w:r>
      <w:r w:rsidR="000872F3">
        <w:rPr>
          <w:rFonts w:ascii="Book Antiqua" w:eastAsia="함초롬바탕" w:hAnsi="Book Antiqua" w:cs="Arial" w:hint="eastAsia"/>
          <w:color w:val="000000" w:themeColor="text1"/>
          <w:sz w:val="24"/>
          <w:szCs w:val="24"/>
          <w:vertAlign w:val="superscript"/>
        </w:rPr>
        <w:t>2</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ind w:firstLineChars="100" w:firstLine="24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lastRenderedPageBreak/>
        <w:t>However, despite a higher rate of resectability, there were no differences in overall survival between patients with HL-CCA and patients with CCC alone</w:t>
      </w:r>
      <w:r w:rsidRPr="00031CB9">
        <w:rPr>
          <w:rFonts w:ascii="Book Antiqua" w:eastAsia="함초롬바탕" w:hAnsi="Book Antiqua" w:cs="Arial"/>
          <w:color w:val="000000" w:themeColor="text1"/>
          <w:sz w:val="24"/>
          <w:szCs w:val="24"/>
          <w:vertAlign w:val="superscript"/>
        </w:rPr>
        <w:t>[13</w:t>
      </w:r>
      <w:r w:rsidR="000872F3">
        <w:rPr>
          <w:rFonts w:ascii="Book Antiqua" w:eastAsia="함초롬바탕" w:hAnsi="Book Antiqua" w:cs="Arial" w:hint="eastAsia"/>
          <w:color w:val="000000" w:themeColor="text1"/>
          <w:sz w:val="24"/>
          <w:szCs w:val="24"/>
          <w:vertAlign w:val="superscript"/>
        </w:rPr>
        <w:t>3</w:t>
      </w:r>
      <w:r w:rsidR="003B6C8F">
        <w:rPr>
          <w:rFonts w:ascii="Book Antiqua" w:eastAsia="SimSun" w:hAnsi="Book Antiqua" w:cs="Arial" w:hint="eastAsia"/>
          <w:color w:val="000000" w:themeColor="text1"/>
          <w:sz w:val="24"/>
          <w:szCs w:val="24"/>
          <w:vertAlign w:val="superscript"/>
          <w:lang w:eastAsia="zh-CN"/>
        </w:rPr>
        <w:t>,</w:t>
      </w:r>
      <w:r w:rsidRPr="00031CB9">
        <w:rPr>
          <w:rFonts w:ascii="Book Antiqua" w:eastAsia="함초롬바탕" w:hAnsi="Book Antiqua" w:cs="Arial"/>
          <w:color w:val="000000" w:themeColor="text1"/>
          <w:sz w:val="24"/>
          <w:szCs w:val="24"/>
          <w:vertAlign w:val="superscript"/>
        </w:rPr>
        <w:t>13</w:t>
      </w:r>
      <w:r w:rsidR="000872F3">
        <w:rPr>
          <w:rFonts w:ascii="Book Antiqua" w:eastAsia="함초롬바탕" w:hAnsi="Book Antiqua" w:cs="Arial" w:hint="eastAsia"/>
          <w:color w:val="000000" w:themeColor="text1"/>
          <w:sz w:val="24"/>
          <w:szCs w:val="24"/>
          <w:vertAlign w:val="superscript"/>
        </w:rPr>
        <w:t>4</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In 23 patients who underwent resection for HL-CCC, Han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[13</w:t>
      </w:r>
      <w:r w:rsidR="000872F3">
        <w:rPr>
          <w:rFonts w:ascii="Book Antiqua" w:eastAsia="함초롬바탕" w:hAnsi="Book Antiqua" w:cs="Arial" w:hint="eastAsia"/>
          <w:color w:val="000000" w:themeColor="text1"/>
          <w:sz w:val="24"/>
          <w:szCs w:val="24"/>
          <w:vertAlign w:val="superscript"/>
        </w:rPr>
        <w:t>5</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reported that the overall cumulative survival rates were 43.8%, 13.0%, and 4.3% at 1, 3, and 5 years, respectively, even though it was higher at 88.9%, 33.3%, and 11.1% in patients with curative resection, respectively. </w:t>
      </w:r>
    </w:p>
    <w:p w:rsidR="00D7591F" w:rsidRPr="00031CB9" w:rsidRDefault="00D7591F" w:rsidP="00445758">
      <w:pPr>
        <w:pStyle w:val="a"/>
        <w:kinsoku w:val="0"/>
        <w:wordWrap/>
        <w:overflowPunct w:val="0"/>
        <w:adjustRightInd w:val="0"/>
        <w:snapToGrid w:val="0"/>
        <w:spacing w:line="360" w:lineRule="auto"/>
        <w:ind w:firstLineChars="100" w:firstLine="240"/>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A recent interesting study showed that palliative surgery resulted in a gain in survival. Li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[38]</w:t>
      </w:r>
      <w:r w:rsidRPr="00031CB9">
        <w:rPr>
          <w:rFonts w:ascii="Book Antiqua" w:eastAsia="함초롬바탕" w:hAnsi="Book Antiqua" w:cs="Arial"/>
          <w:color w:val="000000" w:themeColor="text1"/>
          <w:sz w:val="24"/>
          <w:szCs w:val="24"/>
        </w:rPr>
        <w:t xml:space="preserve"> reported that the overall survival rates were 58.3%, 31.7%, and 11.7% at 1, 3, and 5 years, respectively. In the radical resection group, survival rates 71.1%, 39.4% and 15.8%, 42.9%, 28.6% and 7.1% in the palliative resection group, and 25%, 0%, and 0% in the group of abdominal exploration, respectively (</w:t>
      </w:r>
      <w:r w:rsidRPr="003B6C8F">
        <w:rPr>
          <w:rFonts w:ascii="Book Antiqua" w:eastAsia="함초롬바탕" w:hAnsi="Book Antiqua" w:cs="Arial"/>
          <w:i/>
          <w:caps/>
          <w:color w:val="000000" w:themeColor="text1"/>
          <w:sz w:val="24"/>
          <w:szCs w:val="24"/>
        </w:rPr>
        <w:t>p</w:t>
      </w:r>
      <w:r w:rsidRPr="00031CB9">
        <w:rPr>
          <w:rFonts w:ascii="Book Antiqua" w:eastAsia="함초롬바탕" w:hAnsi="Book Antiqua" w:cs="Arial"/>
          <w:color w:val="000000" w:themeColor="text1"/>
          <w:sz w:val="24"/>
          <w:szCs w:val="24"/>
        </w:rPr>
        <w:t xml:space="preserve"> &lt; 0.001). Zhang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[1</w:t>
      </w:r>
      <w:r w:rsidR="000872F3">
        <w:rPr>
          <w:rFonts w:ascii="Book Antiqua" w:eastAsia="함초롬바탕" w:hAnsi="Book Antiqua" w:cs="Arial" w:hint="eastAsia"/>
          <w:color w:val="000000" w:themeColor="text1"/>
          <w:sz w:val="24"/>
          <w:szCs w:val="24"/>
          <w:vertAlign w:val="superscript"/>
        </w:rPr>
        <w:t>36</w:t>
      </w:r>
      <w:r w:rsidRPr="00031CB9">
        <w:rPr>
          <w:rFonts w:ascii="Book Antiqua" w:eastAsia="함초롬바탕" w:hAnsi="Book Antiqua" w:cs="Arial"/>
          <w:color w:val="000000" w:themeColor="text1"/>
          <w:sz w:val="24"/>
          <w:szCs w:val="24"/>
          <w:vertAlign w:val="superscript"/>
        </w:rPr>
        <w:t>]</w:t>
      </w:r>
      <w:r w:rsidRPr="00031CB9">
        <w:rPr>
          <w:rFonts w:ascii="Book Antiqua" w:eastAsia="함초롬바탕" w:hAnsi="Book Antiqua" w:cs="Arial"/>
          <w:color w:val="000000" w:themeColor="text1"/>
          <w:sz w:val="24"/>
          <w:szCs w:val="24"/>
        </w:rPr>
        <w:t xml:space="preserve"> suggested three reasons for performing palliative resection even in patients classified as Stage IV. First, the indication for operation was not only due to the tumor, but also due to hepatolithiasis, which frequently causes biliary tract infections. Second, significant differences in the median overall survival were found between R1, R2, and non-resection-treated patients (18.2, 14.2, and 9.1 mo, respectively). Third, adjuvant therapy did not significantly prolong the survival. Considering these results, aggressive resection should be performed in practice to prolong survival even when curative treatment cannot be accomplished for patients with advanced HL-CCA. </w:t>
      </w:r>
    </w:p>
    <w:p w:rsidR="00D7591F" w:rsidRPr="00031CB9" w:rsidRDefault="00D7591F" w:rsidP="00445758">
      <w:pPr>
        <w:pStyle w:val="a"/>
        <w:kinsoku w:val="0"/>
        <w:wordWrap/>
        <w:overflowPunct w:val="0"/>
        <w:adjustRightInd w:val="0"/>
        <w:snapToGrid w:val="0"/>
        <w:spacing w:line="360" w:lineRule="auto"/>
        <w:ind w:firstLineChars="100" w:firstLine="240"/>
        <w:rPr>
          <w:rFonts w:ascii="Book Antiqua" w:eastAsia="함초롬바탕" w:hAnsi="Book Antiqua" w:cs="Arial"/>
          <w:color w:val="000000" w:themeColor="text1"/>
          <w:sz w:val="24"/>
          <w:szCs w:val="24"/>
        </w:rPr>
      </w:pPr>
    </w:p>
    <w:p w:rsidR="00D7591F" w:rsidRPr="00940531" w:rsidRDefault="00D7591F" w:rsidP="00445758">
      <w:pPr>
        <w:pStyle w:val="a"/>
        <w:kinsoku w:val="0"/>
        <w:wordWrap/>
        <w:overflowPunct w:val="0"/>
        <w:adjustRightInd w:val="0"/>
        <w:snapToGrid w:val="0"/>
        <w:spacing w:line="360" w:lineRule="auto"/>
        <w:rPr>
          <w:rFonts w:ascii="Book Antiqua" w:eastAsia="함초롬바탕" w:hAnsi="Book Antiqua" w:cs="Arial"/>
          <w:b/>
          <w:caps/>
          <w:color w:val="000000" w:themeColor="text1"/>
          <w:sz w:val="24"/>
          <w:szCs w:val="24"/>
        </w:rPr>
      </w:pPr>
      <w:r w:rsidRPr="00940531">
        <w:rPr>
          <w:rFonts w:ascii="Book Antiqua" w:eastAsia="함초롬바탕" w:hAnsi="Book Antiqua" w:cs="Arial"/>
          <w:b/>
          <w:bCs/>
          <w:caps/>
          <w:color w:val="000000" w:themeColor="text1"/>
          <w:sz w:val="24"/>
          <w:szCs w:val="24"/>
        </w:rPr>
        <w:t xml:space="preserve">Subsequent </w:t>
      </w:r>
      <w:r w:rsidRPr="00940531">
        <w:rPr>
          <w:rFonts w:ascii="Book Antiqua" w:eastAsia="함초롬바탕" w:hAnsi="Book Antiqua" w:cs="Arial"/>
          <w:b/>
          <w:caps/>
          <w:color w:val="000000" w:themeColor="text1"/>
          <w:sz w:val="24"/>
          <w:szCs w:val="24"/>
        </w:rPr>
        <w:t>HL-CCA</w:t>
      </w:r>
      <w:r w:rsidRPr="00940531">
        <w:rPr>
          <w:rFonts w:ascii="Book Antiqua" w:eastAsia="함초롬바탕" w:hAnsi="Book Antiqua" w:cs="Arial"/>
          <w:b/>
          <w:bCs/>
          <w:caps/>
          <w:color w:val="000000" w:themeColor="text1"/>
          <w:sz w:val="24"/>
          <w:szCs w:val="24"/>
        </w:rPr>
        <w:t xml:space="preserve"> leads to worse survival than </w:t>
      </w:r>
      <w:r w:rsidRPr="00940531">
        <w:rPr>
          <w:rFonts w:ascii="Book Antiqua" w:eastAsia="함초롬바탕" w:hAnsi="Book Antiqua" w:cs="Arial"/>
          <w:b/>
          <w:caps/>
          <w:color w:val="000000" w:themeColor="text1"/>
          <w:sz w:val="24"/>
          <w:szCs w:val="24"/>
        </w:rPr>
        <w:t xml:space="preserve">concomitant HL-CCA </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Subsequent HL-CCA diagnosed after treatment of hepatolithiasis has been thought to have a worse prognosis than concomitant HL-CCA. Lin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[32]</w:t>
      </w:r>
      <w:r w:rsidRPr="00031CB9">
        <w:rPr>
          <w:rFonts w:ascii="Book Antiqua" w:eastAsia="함초롬바탕" w:hAnsi="Book Antiqua" w:cs="Arial"/>
          <w:color w:val="000000" w:themeColor="text1"/>
          <w:sz w:val="24"/>
          <w:szCs w:val="24"/>
        </w:rPr>
        <w:t xml:space="preserve"> reported that most patients who developed subsequent HL-CCA after hepatectomy were not eligible for a second hepatectomy due to its locally advanced state, peritoneal seeding, distant metastasis, or insufficient remnant liver volume. Overall, mortality and disease-related mortality of subsequent HL-CCA is significantly higher than for concomitant HL-CCA. Recently, Tsuyuguchi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w:t>
      </w:r>
      <w:r w:rsidR="000872F3">
        <w:rPr>
          <w:rFonts w:ascii="Book Antiqua" w:eastAsia="함초롬바탕" w:hAnsi="Book Antiqua" w:cs="Arial" w:hint="eastAsia"/>
          <w:color w:val="000000" w:themeColor="text1"/>
          <w:sz w:val="24"/>
          <w:szCs w:val="24"/>
          <w:vertAlign w:val="superscript"/>
        </w:rPr>
        <w:t>9</w:t>
      </w:r>
      <w:r w:rsidRPr="00031CB9">
        <w:rPr>
          <w:rFonts w:ascii="Book Antiqua" w:eastAsia="함초롬바탕" w:hAnsi="Book Antiqua" w:cs="Arial"/>
          <w:color w:val="000000" w:themeColor="text1"/>
          <w:sz w:val="24"/>
          <w:szCs w:val="24"/>
          <w:vertAlign w:val="superscript"/>
        </w:rPr>
        <w:t xml:space="preserve">] </w:t>
      </w:r>
      <w:r w:rsidRPr="00031CB9">
        <w:rPr>
          <w:rFonts w:ascii="Book Antiqua" w:eastAsia="함초롬바탕" w:hAnsi="Book Antiqua" w:cs="Arial"/>
          <w:color w:val="000000" w:themeColor="text1"/>
          <w:sz w:val="24"/>
          <w:szCs w:val="24"/>
        </w:rPr>
        <w:t xml:space="preserve">and Kim </w:t>
      </w:r>
      <w:r w:rsidR="00273840" w:rsidRPr="00273840">
        <w:rPr>
          <w:rFonts w:ascii="Book Antiqua" w:eastAsia="함초롬바탕" w:hAnsi="Book Antiqua" w:cs="Arial"/>
          <w:i/>
          <w:color w:val="000000" w:themeColor="text1"/>
          <w:sz w:val="24"/>
          <w:szCs w:val="24"/>
        </w:rPr>
        <w:t>et al</w:t>
      </w:r>
      <w:r w:rsidRPr="00031CB9">
        <w:rPr>
          <w:rFonts w:ascii="Book Antiqua" w:eastAsia="함초롬바탕" w:hAnsi="Book Antiqua" w:cs="Arial"/>
          <w:color w:val="000000" w:themeColor="text1"/>
          <w:sz w:val="24"/>
          <w:szCs w:val="24"/>
          <w:vertAlign w:val="superscript"/>
        </w:rPr>
        <w:t>[33]</w:t>
      </w:r>
      <w:r w:rsidRPr="00031CB9">
        <w:rPr>
          <w:rFonts w:ascii="Book Antiqua" w:eastAsia="함초롬바탕" w:hAnsi="Book Antiqua" w:cs="Arial"/>
          <w:color w:val="000000" w:themeColor="text1"/>
          <w:sz w:val="24"/>
          <w:szCs w:val="24"/>
        </w:rPr>
        <w:t xml:space="preserve"> r</w:t>
      </w:r>
      <w:r w:rsidR="00E46C3E" w:rsidRPr="00031CB9">
        <w:rPr>
          <w:rFonts w:ascii="Book Antiqua" w:eastAsia="함초롬바탕" w:hAnsi="Book Antiqua" w:cs="Arial"/>
          <w:color w:val="000000" w:themeColor="text1"/>
          <w:sz w:val="24"/>
          <w:szCs w:val="24"/>
        </w:rPr>
        <w:t xml:space="preserve">eported similarly poor results </w:t>
      </w:r>
      <w:r w:rsidRPr="00031CB9">
        <w:rPr>
          <w:rFonts w:ascii="Book Antiqua" w:eastAsia="함초롬바탕" w:hAnsi="Book Antiqua" w:cs="Arial"/>
          <w:color w:val="000000" w:themeColor="text1"/>
          <w:sz w:val="24"/>
          <w:szCs w:val="24"/>
        </w:rPr>
        <w:t>(Table 3)</w:t>
      </w:r>
      <w:r w:rsidR="00E46C3E" w:rsidRPr="00031CB9">
        <w:rPr>
          <w:rFonts w:ascii="Book Antiqua" w:eastAsia="함초롬바탕" w:hAnsi="Book Antiqua" w:cs="Arial"/>
          <w:color w:val="000000" w:themeColor="text1"/>
          <w:sz w:val="24"/>
          <w:szCs w:val="24"/>
        </w:rPr>
        <w:t>.</w:t>
      </w:r>
    </w:p>
    <w:p w:rsidR="00D7591F" w:rsidRPr="00031CB9" w:rsidRDefault="00D7591F" w:rsidP="00445758">
      <w:pPr>
        <w:pStyle w:val="a"/>
        <w:kinsoku w:val="0"/>
        <w:wordWrap/>
        <w:overflowPunct w:val="0"/>
        <w:adjustRightInd w:val="0"/>
        <w:snapToGrid w:val="0"/>
        <w:spacing w:line="360" w:lineRule="auto"/>
        <w:rPr>
          <w:rFonts w:ascii="Book Antiqua" w:eastAsia="함초롬바탕" w:hAnsi="Book Antiqua" w:cs="Arial"/>
          <w:color w:val="000000" w:themeColor="text1"/>
          <w:sz w:val="24"/>
          <w:szCs w:val="24"/>
        </w:rPr>
      </w:pPr>
    </w:p>
    <w:p w:rsidR="00D7591F" w:rsidRPr="003B6C8F" w:rsidRDefault="003B6C8F" w:rsidP="00445758">
      <w:pPr>
        <w:pStyle w:val="a"/>
        <w:kinsoku w:val="0"/>
        <w:wordWrap/>
        <w:overflowPunct w:val="0"/>
        <w:adjustRightInd w:val="0"/>
        <w:snapToGrid w:val="0"/>
        <w:spacing w:line="360" w:lineRule="auto"/>
        <w:rPr>
          <w:rFonts w:ascii="Book Antiqua" w:eastAsia="SimSun" w:hAnsi="Book Antiqua" w:cs="Arial"/>
          <w:b/>
          <w:caps/>
          <w:color w:val="000000" w:themeColor="text1"/>
          <w:sz w:val="24"/>
          <w:szCs w:val="24"/>
          <w:lang w:eastAsia="zh-CN"/>
        </w:rPr>
      </w:pPr>
      <w:r w:rsidRPr="003B6C8F">
        <w:rPr>
          <w:rFonts w:ascii="Book Antiqua" w:eastAsia="함초롬바탕" w:hAnsi="Book Antiqua" w:cs="Arial"/>
          <w:b/>
          <w:caps/>
          <w:color w:val="000000" w:themeColor="text1"/>
          <w:sz w:val="24"/>
          <w:szCs w:val="24"/>
        </w:rPr>
        <w:t>Conclusion</w:t>
      </w:r>
    </w:p>
    <w:p w:rsidR="00D7591F" w:rsidRPr="00031CB9" w:rsidRDefault="00D7591F" w:rsidP="00445758">
      <w:pPr>
        <w:pStyle w:val="a"/>
        <w:kinsoku w:val="0"/>
        <w:wordWrap/>
        <w:overflowPunct w:val="0"/>
        <w:adjustRightInd w:val="0"/>
        <w:snapToGrid w:val="0"/>
        <w:spacing w:line="360" w:lineRule="auto"/>
        <w:rPr>
          <w:rFonts w:ascii="Book Antiqua" w:hAnsi="Book Antiqua" w:cs="Arial"/>
          <w:color w:val="000000" w:themeColor="text1"/>
          <w:sz w:val="24"/>
          <w:szCs w:val="24"/>
        </w:rPr>
      </w:pPr>
      <w:r w:rsidRPr="00031CB9">
        <w:rPr>
          <w:rFonts w:ascii="Book Antiqua" w:eastAsia="함초롬바탕" w:hAnsi="Book Antiqua" w:cs="Arial"/>
          <w:color w:val="000000" w:themeColor="text1"/>
          <w:sz w:val="24"/>
          <w:szCs w:val="24"/>
        </w:rPr>
        <w:t xml:space="preserve">Although there have been many advances in the management the hepatolithiasis, there are no consistent results regarding HL-CCA until now. Important factors to consider are the proper treatment to reduce recurrence and early detection of HL-CCA. Patients should be followed after treatment because there is no effective prevention of HL-CCA or premalignant lesions. </w:t>
      </w:r>
    </w:p>
    <w:p w:rsidR="00A45DD8" w:rsidRPr="00031CB9" w:rsidRDefault="00A45DD8" w:rsidP="00445758">
      <w:pPr>
        <w:widowControl/>
        <w:kinsoku w:val="0"/>
        <w:wordWrap/>
        <w:overflowPunct w:val="0"/>
        <w:adjustRightInd w:val="0"/>
        <w:snapToGrid w:val="0"/>
        <w:spacing w:after="0" w:line="360" w:lineRule="auto"/>
        <w:rPr>
          <w:rFonts w:ascii="Book Antiqua" w:hAnsi="Book Antiqua" w:cs="Times New Roman"/>
          <w:color w:val="000000" w:themeColor="text1"/>
          <w:sz w:val="24"/>
          <w:szCs w:val="24"/>
        </w:rPr>
      </w:pPr>
      <w:r w:rsidRPr="00031CB9">
        <w:rPr>
          <w:rFonts w:ascii="Book Antiqua" w:hAnsi="Book Antiqua" w:cs="Times New Roman"/>
          <w:color w:val="000000" w:themeColor="text1"/>
          <w:sz w:val="24"/>
          <w:szCs w:val="24"/>
        </w:rPr>
        <w:br w:type="page"/>
      </w:r>
    </w:p>
    <w:p w:rsidR="00B37C40" w:rsidRPr="00B565CE" w:rsidRDefault="00B37C40" w:rsidP="00445758">
      <w:pPr>
        <w:kinsoku w:val="0"/>
        <w:wordWrap/>
        <w:overflowPunct w:val="0"/>
        <w:adjustRightInd w:val="0"/>
        <w:snapToGrid w:val="0"/>
        <w:spacing w:after="0" w:line="360" w:lineRule="auto"/>
        <w:rPr>
          <w:rFonts w:ascii="Book Antiqua" w:hAnsi="Book Antiqua" w:cs="Arial"/>
          <w:b/>
          <w:color w:val="000000" w:themeColor="text1"/>
          <w:sz w:val="24"/>
          <w:szCs w:val="24"/>
        </w:rPr>
      </w:pPr>
      <w:r w:rsidRPr="00B565CE">
        <w:rPr>
          <w:rFonts w:ascii="Book Antiqua" w:hAnsi="Book Antiqua" w:cs="Arial"/>
          <w:b/>
          <w:color w:val="000000" w:themeColor="text1"/>
          <w:sz w:val="24"/>
          <w:szCs w:val="24"/>
        </w:rPr>
        <w:lastRenderedPageBreak/>
        <w:t xml:space="preserve">REFERENCES </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1 </w:t>
      </w:r>
      <w:r w:rsidRPr="00E1636B">
        <w:rPr>
          <w:rFonts w:ascii="Book Antiqua" w:eastAsia="SimSun" w:hAnsi="Book Antiqua" w:cs="SimSun"/>
          <w:b/>
          <w:bCs/>
          <w:color w:val="000000"/>
          <w:sz w:val="24"/>
          <w:szCs w:val="24"/>
          <w:lang w:eastAsia="zh-CN"/>
        </w:rPr>
        <w:t>Su CH</w:t>
      </w:r>
      <w:r w:rsidRPr="00E1636B">
        <w:rPr>
          <w:rFonts w:ascii="Book Antiqua" w:eastAsia="SimSun" w:hAnsi="Book Antiqua" w:cs="SimSun"/>
          <w:color w:val="000000"/>
          <w:sz w:val="24"/>
          <w:szCs w:val="24"/>
          <w:lang w:eastAsia="zh-CN"/>
        </w:rPr>
        <w:t>, Lui WY, P'eng FK. Relative prevalence of gallstone diseases in Taiwan. A nationwide cooperative study. </w:t>
      </w:r>
      <w:r w:rsidRPr="00E1636B">
        <w:rPr>
          <w:rFonts w:ascii="Book Antiqua" w:eastAsia="SimSun" w:hAnsi="Book Antiqua" w:cs="SimSun"/>
          <w:i/>
          <w:iCs/>
          <w:color w:val="000000"/>
          <w:sz w:val="24"/>
          <w:szCs w:val="24"/>
          <w:lang w:eastAsia="zh-CN"/>
        </w:rPr>
        <w:t>Dig Dis Sci</w:t>
      </w:r>
      <w:r w:rsidRPr="00E1636B">
        <w:rPr>
          <w:rFonts w:ascii="Book Antiqua" w:eastAsia="SimSun" w:hAnsi="Book Antiqua" w:cs="SimSun"/>
          <w:color w:val="000000"/>
          <w:sz w:val="24"/>
          <w:szCs w:val="24"/>
          <w:lang w:eastAsia="zh-CN"/>
        </w:rPr>
        <w:t> 1992; </w:t>
      </w:r>
      <w:r w:rsidRPr="00E1636B">
        <w:rPr>
          <w:rFonts w:ascii="Book Antiqua" w:eastAsia="SimSun" w:hAnsi="Book Antiqua" w:cs="SimSun"/>
          <w:b/>
          <w:bCs/>
          <w:color w:val="000000"/>
          <w:sz w:val="24"/>
          <w:szCs w:val="24"/>
          <w:lang w:eastAsia="zh-CN"/>
        </w:rPr>
        <w:t>37</w:t>
      </w:r>
      <w:r w:rsidRPr="00E1636B">
        <w:rPr>
          <w:rFonts w:ascii="Book Antiqua" w:eastAsia="SimSun" w:hAnsi="Book Antiqua" w:cs="SimSun"/>
          <w:color w:val="000000"/>
          <w:sz w:val="24"/>
          <w:szCs w:val="24"/>
          <w:lang w:eastAsia="zh-CN"/>
        </w:rPr>
        <w:t>: 764-768 [PMID: 1563321 DOI: 10.1007/BF01296436]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2 </w:t>
      </w:r>
      <w:r w:rsidRPr="00E1636B">
        <w:rPr>
          <w:rFonts w:ascii="Book Antiqua" w:eastAsia="SimSun" w:hAnsi="Book Antiqua" w:cs="SimSun"/>
          <w:b/>
          <w:bCs/>
          <w:color w:val="000000"/>
          <w:sz w:val="24"/>
          <w:szCs w:val="24"/>
          <w:lang w:eastAsia="zh-CN"/>
        </w:rPr>
        <w:t>Kim MH</w:t>
      </w:r>
      <w:r w:rsidRPr="00E1636B">
        <w:rPr>
          <w:rFonts w:ascii="Book Antiqua" w:eastAsia="SimSun" w:hAnsi="Book Antiqua" w:cs="SimSun"/>
          <w:color w:val="000000"/>
          <w:sz w:val="24"/>
          <w:szCs w:val="24"/>
          <w:lang w:eastAsia="zh-CN"/>
        </w:rPr>
        <w:t>, Lim BC, Myung SJ, Lee SK, Ohrr HC, Kim YT, Roe IH, Kim JH, Chung JB, Kim CD, Shim CS, Yun YB, Min YI, Yang US, Kang JK. Epidemiological study on Korean gallstone disease: a nationwide cooperative study. </w:t>
      </w:r>
      <w:r w:rsidRPr="00E1636B">
        <w:rPr>
          <w:rFonts w:ascii="Book Antiqua" w:eastAsia="SimSun" w:hAnsi="Book Antiqua" w:cs="SimSun"/>
          <w:i/>
          <w:iCs/>
          <w:color w:val="000000"/>
          <w:sz w:val="24"/>
          <w:szCs w:val="24"/>
          <w:lang w:eastAsia="zh-CN"/>
        </w:rPr>
        <w:t>Dig Dis Sci</w:t>
      </w:r>
      <w:r w:rsidRPr="00E1636B">
        <w:rPr>
          <w:rFonts w:ascii="Book Antiqua" w:eastAsia="SimSun" w:hAnsi="Book Antiqua" w:cs="SimSun"/>
          <w:color w:val="000000"/>
          <w:sz w:val="24"/>
          <w:szCs w:val="24"/>
          <w:lang w:eastAsia="zh-CN"/>
        </w:rPr>
        <w:t> 1999; </w:t>
      </w:r>
      <w:r w:rsidRPr="00E1636B">
        <w:rPr>
          <w:rFonts w:ascii="Book Antiqua" w:eastAsia="SimSun" w:hAnsi="Book Antiqua" w:cs="SimSun"/>
          <w:b/>
          <w:bCs/>
          <w:color w:val="000000"/>
          <w:sz w:val="24"/>
          <w:szCs w:val="24"/>
          <w:lang w:eastAsia="zh-CN"/>
        </w:rPr>
        <w:t>44</w:t>
      </w:r>
      <w:r w:rsidRPr="00E1636B">
        <w:rPr>
          <w:rFonts w:ascii="Book Antiqua" w:eastAsia="SimSun" w:hAnsi="Book Antiqua" w:cs="SimSun"/>
          <w:color w:val="000000"/>
          <w:sz w:val="24"/>
          <w:szCs w:val="24"/>
          <w:lang w:eastAsia="zh-CN"/>
        </w:rPr>
        <w:t>: 1674-1683 [PMID: 10492152 DOI: 10.1023/A: 1026643817349]</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3 </w:t>
      </w:r>
      <w:r w:rsidRPr="00E1636B">
        <w:rPr>
          <w:rFonts w:ascii="Book Antiqua" w:eastAsia="SimSun" w:hAnsi="Book Antiqua" w:cs="SimSun"/>
          <w:b/>
          <w:bCs/>
          <w:color w:val="000000"/>
          <w:sz w:val="24"/>
          <w:szCs w:val="24"/>
          <w:lang w:eastAsia="zh-CN"/>
        </w:rPr>
        <w:t>Park YH</w:t>
      </w:r>
      <w:r w:rsidRPr="00E1636B">
        <w:rPr>
          <w:rFonts w:ascii="Book Antiqua" w:eastAsia="SimSun" w:hAnsi="Book Antiqua" w:cs="SimSun"/>
          <w:color w:val="000000"/>
          <w:sz w:val="24"/>
          <w:szCs w:val="24"/>
          <w:lang w:eastAsia="zh-CN"/>
        </w:rPr>
        <w:t>, Park SJ, Jang JY, Ahn YJ, Park YC, Yoon YB, Kim SW. Changing patterns of gallstone disease in Korea. </w:t>
      </w:r>
      <w:r w:rsidRPr="00E1636B">
        <w:rPr>
          <w:rFonts w:ascii="Book Antiqua" w:eastAsia="SimSun" w:hAnsi="Book Antiqua" w:cs="SimSun"/>
          <w:i/>
          <w:iCs/>
          <w:color w:val="000000"/>
          <w:sz w:val="24"/>
          <w:szCs w:val="24"/>
          <w:lang w:eastAsia="zh-CN"/>
        </w:rPr>
        <w:t>World J Surg</w:t>
      </w:r>
      <w:r w:rsidRPr="00E1636B">
        <w:rPr>
          <w:rFonts w:ascii="Book Antiqua" w:eastAsia="SimSun" w:hAnsi="Book Antiqua" w:cs="SimSun"/>
          <w:color w:val="000000"/>
          <w:sz w:val="24"/>
          <w:szCs w:val="24"/>
          <w:lang w:eastAsia="zh-CN"/>
        </w:rPr>
        <w:t> 2004; </w:t>
      </w:r>
      <w:r w:rsidRPr="00E1636B">
        <w:rPr>
          <w:rFonts w:ascii="Book Antiqua" w:eastAsia="SimSun" w:hAnsi="Book Antiqua" w:cs="SimSun"/>
          <w:b/>
          <w:bCs/>
          <w:color w:val="000000"/>
          <w:sz w:val="24"/>
          <w:szCs w:val="24"/>
          <w:lang w:eastAsia="zh-CN"/>
        </w:rPr>
        <w:t>28</w:t>
      </w:r>
      <w:r w:rsidRPr="00E1636B">
        <w:rPr>
          <w:rFonts w:ascii="Book Antiqua" w:eastAsia="SimSun" w:hAnsi="Book Antiqua" w:cs="SimSun"/>
          <w:color w:val="000000"/>
          <w:sz w:val="24"/>
          <w:szCs w:val="24"/>
          <w:lang w:eastAsia="zh-CN"/>
        </w:rPr>
        <w:t>: 206-210 [PMID: 14708060 DOI: 10.1007/s00268-003-6879-x]</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4 </w:t>
      </w:r>
      <w:r w:rsidRPr="00E1636B">
        <w:rPr>
          <w:rFonts w:ascii="Book Antiqua" w:eastAsia="SimSun" w:hAnsi="Book Antiqua" w:cs="SimSun"/>
          <w:b/>
          <w:bCs/>
          <w:color w:val="000000"/>
          <w:sz w:val="24"/>
          <w:szCs w:val="24"/>
          <w:lang w:eastAsia="zh-CN"/>
        </w:rPr>
        <w:t>Tazuma S</w:t>
      </w:r>
      <w:r w:rsidRPr="00E1636B">
        <w:rPr>
          <w:rFonts w:ascii="Book Antiqua" w:eastAsia="SimSun" w:hAnsi="Book Antiqua" w:cs="SimSun"/>
          <w:color w:val="000000"/>
          <w:sz w:val="24"/>
          <w:szCs w:val="24"/>
          <w:lang w:eastAsia="zh-CN"/>
        </w:rPr>
        <w:t>. Gallstone disease: Epidemiology, pathogenesis, and classification of biliary stones (common bile duct and intrahepatic). </w:t>
      </w:r>
      <w:r w:rsidRPr="00E1636B">
        <w:rPr>
          <w:rFonts w:ascii="Book Antiqua" w:eastAsia="SimSun" w:hAnsi="Book Antiqua" w:cs="SimSun"/>
          <w:i/>
          <w:iCs/>
          <w:color w:val="000000"/>
          <w:sz w:val="24"/>
          <w:szCs w:val="24"/>
          <w:lang w:eastAsia="zh-CN"/>
        </w:rPr>
        <w:t>Best Pract Res Clin Gastroenterol</w:t>
      </w:r>
      <w:r w:rsidRPr="00E1636B">
        <w:rPr>
          <w:rFonts w:ascii="Book Antiqua" w:eastAsia="SimSun" w:hAnsi="Book Antiqua" w:cs="SimSun"/>
          <w:color w:val="000000"/>
          <w:sz w:val="24"/>
          <w:szCs w:val="24"/>
          <w:lang w:eastAsia="zh-CN"/>
        </w:rPr>
        <w:t> 2006; </w:t>
      </w:r>
      <w:r w:rsidRPr="00E1636B">
        <w:rPr>
          <w:rFonts w:ascii="Book Antiqua" w:eastAsia="SimSun" w:hAnsi="Book Antiqua" w:cs="SimSun"/>
          <w:b/>
          <w:bCs/>
          <w:color w:val="000000"/>
          <w:sz w:val="24"/>
          <w:szCs w:val="24"/>
          <w:lang w:eastAsia="zh-CN"/>
        </w:rPr>
        <w:t>20</w:t>
      </w:r>
      <w:r w:rsidRPr="00E1636B">
        <w:rPr>
          <w:rFonts w:ascii="Book Antiqua" w:eastAsia="SimSun" w:hAnsi="Book Antiqua" w:cs="SimSun"/>
          <w:color w:val="000000"/>
          <w:sz w:val="24"/>
          <w:szCs w:val="24"/>
          <w:lang w:eastAsia="zh-CN"/>
        </w:rPr>
        <w:t>: 1075-1083 [PMID: 17127189 DOI: 10.1016/j.bpg.2006.05.009]</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5 </w:t>
      </w:r>
      <w:r w:rsidRPr="00E1636B">
        <w:rPr>
          <w:rFonts w:ascii="Book Antiqua" w:eastAsia="SimSun" w:hAnsi="Book Antiqua" w:cs="SimSun"/>
          <w:b/>
          <w:bCs/>
          <w:color w:val="000000"/>
          <w:sz w:val="24"/>
          <w:szCs w:val="24"/>
          <w:lang w:eastAsia="zh-CN"/>
        </w:rPr>
        <w:t>Uchiyama K</w:t>
      </w:r>
      <w:r w:rsidRPr="00E1636B">
        <w:rPr>
          <w:rFonts w:ascii="Book Antiqua" w:eastAsia="SimSun" w:hAnsi="Book Antiqua" w:cs="SimSun"/>
          <w:color w:val="000000"/>
          <w:sz w:val="24"/>
          <w:szCs w:val="24"/>
          <w:lang w:eastAsia="zh-CN"/>
        </w:rPr>
        <w:t>, Kawai M, Ueno M, Ozawa S, Tani M, Yamaue H. Reducing residual and recurrent stones by hepatectomy for hepatolithiasis. </w:t>
      </w:r>
      <w:r w:rsidRPr="00E1636B">
        <w:rPr>
          <w:rFonts w:ascii="Book Antiqua" w:eastAsia="SimSun" w:hAnsi="Book Antiqua" w:cs="SimSun"/>
          <w:i/>
          <w:iCs/>
          <w:color w:val="000000"/>
          <w:sz w:val="24"/>
          <w:szCs w:val="24"/>
          <w:lang w:eastAsia="zh-CN"/>
        </w:rPr>
        <w:t>J Gastrointest Surg</w:t>
      </w:r>
      <w:r w:rsidRPr="00E1636B">
        <w:rPr>
          <w:rFonts w:ascii="Book Antiqua" w:eastAsia="SimSun" w:hAnsi="Book Antiqua" w:cs="SimSun"/>
          <w:color w:val="000000"/>
          <w:sz w:val="24"/>
          <w:szCs w:val="24"/>
          <w:lang w:eastAsia="zh-CN"/>
        </w:rPr>
        <w:t> 2007; </w:t>
      </w:r>
      <w:r w:rsidRPr="00E1636B">
        <w:rPr>
          <w:rFonts w:ascii="Book Antiqua" w:eastAsia="SimSun" w:hAnsi="Book Antiqua" w:cs="SimSun"/>
          <w:b/>
          <w:bCs/>
          <w:color w:val="000000"/>
          <w:sz w:val="24"/>
          <w:szCs w:val="24"/>
          <w:lang w:eastAsia="zh-CN"/>
        </w:rPr>
        <w:t>11</w:t>
      </w:r>
      <w:r w:rsidRPr="00E1636B">
        <w:rPr>
          <w:rFonts w:ascii="Book Antiqua" w:eastAsia="SimSun" w:hAnsi="Book Antiqua" w:cs="SimSun"/>
          <w:color w:val="000000"/>
          <w:sz w:val="24"/>
          <w:szCs w:val="24"/>
          <w:lang w:eastAsia="zh-CN"/>
        </w:rPr>
        <w:t>: 626-630 [PMID: 17468921 DOI: 10.1007/s11605-006-0024-8]</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6 </w:t>
      </w:r>
      <w:r w:rsidRPr="00E1636B">
        <w:rPr>
          <w:rFonts w:ascii="Book Antiqua" w:eastAsia="SimSun" w:hAnsi="Book Antiqua" w:cs="SimSun"/>
          <w:b/>
          <w:bCs/>
          <w:color w:val="000000"/>
          <w:sz w:val="24"/>
          <w:szCs w:val="24"/>
          <w:lang w:eastAsia="zh-CN"/>
        </w:rPr>
        <w:t>Park JS</w:t>
      </w:r>
      <w:r w:rsidRPr="00E1636B">
        <w:rPr>
          <w:rFonts w:ascii="Book Antiqua" w:eastAsia="SimSun" w:hAnsi="Book Antiqua" w:cs="SimSun"/>
          <w:color w:val="000000"/>
          <w:sz w:val="24"/>
          <w:szCs w:val="24"/>
          <w:lang w:eastAsia="zh-CN"/>
        </w:rPr>
        <w:t>, Jeong S, Lee DH, Bang BW, Lee JI, Lee JW, Kwon KS, Kim HK, Shin YW, Kim YS, Park SG. Risk factors for long-term outcomes after initial treatment in hepatolithiasis. </w:t>
      </w:r>
      <w:r w:rsidRPr="00E1636B">
        <w:rPr>
          <w:rFonts w:ascii="Book Antiqua" w:eastAsia="SimSun" w:hAnsi="Book Antiqua" w:cs="SimSun"/>
          <w:i/>
          <w:iCs/>
          <w:color w:val="000000"/>
          <w:sz w:val="24"/>
          <w:szCs w:val="24"/>
          <w:lang w:eastAsia="zh-CN"/>
        </w:rPr>
        <w:t>J Korean Med Sci</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28</w:t>
      </w:r>
      <w:r w:rsidRPr="00E1636B">
        <w:rPr>
          <w:rFonts w:ascii="Book Antiqua" w:eastAsia="SimSun" w:hAnsi="Book Antiqua" w:cs="SimSun"/>
          <w:color w:val="000000"/>
          <w:sz w:val="24"/>
          <w:szCs w:val="24"/>
          <w:lang w:eastAsia="zh-CN"/>
        </w:rPr>
        <w:t>: 1627-1631 [PMID: 24265526 DOI: 10.3346/jkms.2013.28.11.1627]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7 </w:t>
      </w:r>
      <w:r w:rsidRPr="00E1636B">
        <w:rPr>
          <w:rFonts w:ascii="Book Antiqua" w:eastAsia="SimSun" w:hAnsi="Book Antiqua" w:cs="SimSun"/>
          <w:b/>
          <w:bCs/>
          <w:color w:val="000000"/>
          <w:sz w:val="24"/>
          <w:szCs w:val="24"/>
          <w:lang w:eastAsia="zh-CN"/>
        </w:rPr>
        <w:t>Tsui WM</w:t>
      </w:r>
      <w:r w:rsidRPr="00E1636B">
        <w:rPr>
          <w:rFonts w:ascii="Book Antiqua" w:eastAsia="SimSun" w:hAnsi="Book Antiqua" w:cs="SimSun"/>
          <w:color w:val="000000"/>
          <w:sz w:val="24"/>
          <w:szCs w:val="24"/>
          <w:lang w:eastAsia="zh-CN"/>
        </w:rPr>
        <w:t>, Chan YK, Wong CT, Lo YF, Yeung YW, Lee YW. Hepatolithiasis and the syndrome of recurrent pyogenic cholangitis: clinical, radiologic, and pathologic features. </w:t>
      </w:r>
      <w:r w:rsidRPr="00E1636B">
        <w:rPr>
          <w:rFonts w:ascii="Book Antiqua" w:eastAsia="SimSun" w:hAnsi="Book Antiqua" w:cs="SimSun"/>
          <w:i/>
          <w:iCs/>
          <w:color w:val="000000"/>
          <w:sz w:val="24"/>
          <w:szCs w:val="24"/>
          <w:lang w:eastAsia="zh-CN"/>
        </w:rPr>
        <w:t>Semin Liver Dis</w:t>
      </w:r>
      <w:r w:rsidRPr="00E1636B">
        <w:rPr>
          <w:rFonts w:ascii="Book Antiqua" w:eastAsia="SimSun" w:hAnsi="Book Antiqua" w:cs="SimSun"/>
          <w:color w:val="000000"/>
          <w:sz w:val="24"/>
          <w:szCs w:val="24"/>
          <w:lang w:eastAsia="zh-CN"/>
        </w:rPr>
        <w:t> 2011; </w:t>
      </w:r>
      <w:r w:rsidRPr="00E1636B">
        <w:rPr>
          <w:rFonts w:ascii="Book Antiqua" w:eastAsia="SimSun" w:hAnsi="Book Antiqua" w:cs="SimSun"/>
          <w:b/>
          <w:bCs/>
          <w:color w:val="000000"/>
          <w:sz w:val="24"/>
          <w:szCs w:val="24"/>
          <w:lang w:eastAsia="zh-CN"/>
        </w:rPr>
        <w:t>31</w:t>
      </w:r>
      <w:r w:rsidRPr="00E1636B">
        <w:rPr>
          <w:rFonts w:ascii="Book Antiqua" w:eastAsia="SimSun" w:hAnsi="Book Antiqua" w:cs="SimSun"/>
          <w:color w:val="000000"/>
          <w:sz w:val="24"/>
          <w:szCs w:val="24"/>
          <w:lang w:eastAsia="zh-CN"/>
        </w:rPr>
        <w:t>: 33-48 [PMID: 21344349 DOI: 10.1055/s-0031-1272833]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8 </w:t>
      </w:r>
      <w:r w:rsidRPr="00E1636B">
        <w:rPr>
          <w:rFonts w:ascii="Book Antiqua" w:eastAsia="SimSun" w:hAnsi="Book Antiqua" w:cs="SimSun"/>
          <w:b/>
          <w:bCs/>
          <w:color w:val="000000"/>
          <w:sz w:val="24"/>
          <w:szCs w:val="24"/>
          <w:lang w:eastAsia="zh-CN"/>
        </w:rPr>
        <w:t>Blechacz B</w:t>
      </w:r>
      <w:r w:rsidRPr="00E1636B">
        <w:rPr>
          <w:rFonts w:ascii="Book Antiqua" w:eastAsia="SimSun" w:hAnsi="Book Antiqua" w:cs="SimSun"/>
          <w:color w:val="000000"/>
          <w:sz w:val="24"/>
          <w:szCs w:val="24"/>
          <w:lang w:eastAsia="zh-CN"/>
        </w:rPr>
        <w:t>, Komuta M, Roskams T, Gores GJ. Clinical diagnosis and staging of cholangiocarcinoma. </w:t>
      </w:r>
      <w:r w:rsidRPr="00E1636B">
        <w:rPr>
          <w:rFonts w:ascii="Book Antiqua" w:eastAsia="SimSun" w:hAnsi="Book Antiqua" w:cs="SimSun"/>
          <w:i/>
          <w:iCs/>
          <w:color w:val="000000"/>
          <w:sz w:val="24"/>
          <w:szCs w:val="24"/>
          <w:lang w:eastAsia="zh-CN"/>
        </w:rPr>
        <w:t>Nat Rev Gastroenterol Hepatol</w:t>
      </w:r>
      <w:r w:rsidRPr="00E1636B">
        <w:rPr>
          <w:rFonts w:ascii="Book Antiqua" w:eastAsia="SimSun" w:hAnsi="Book Antiqua" w:cs="SimSun"/>
          <w:color w:val="000000"/>
          <w:sz w:val="24"/>
          <w:szCs w:val="24"/>
          <w:lang w:eastAsia="zh-CN"/>
        </w:rPr>
        <w:t> 2011; </w:t>
      </w:r>
      <w:r w:rsidRPr="00E1636B">
        <w:rPr>
          <w:rFonts w:ascii="Book Antiqua" w:eastAsia="SimSun" w:hAnsi="Book Antiqua" w:cs="SimSun"/>
          <w:b/>
          <w:bCs/>
          <w:color w:val="000000"/>
          <w:sz w:val="24"/>
          <w:szCs w:val="24"/>
          <w:lang w:eastAsia="zh-CN"/>
        </w:rPr>
        <w:t>8</w:t>
      </w:r>
      <w:r w:rsidRPr="00E1636B">
        <w:rPr>
          <w:rFonts w:ascii="Book Antiqua" w:eastAsia="SimSun" w:hAnsi="Book Antiqua" w:cs="SimSun"/>
          <w:color w:val="000000"/>
          <w:sz w:val="24"/>
          <w:szCs w:val="24"/>
          <w:lang w:eastAsia="zh-CN"/>
        </w:rPr>
        <w:t>: 512-522 [PMID: 21808282 DOI: 10.1038/nrgastro.2011.131]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9 </w:t>
      </w:r>
      <w:r w:rsidRPr="00E1636B">
        <w:rPr>
          <w:rFonts w:ascii="Book Antiqua" w:eastAsia="SimSun" w:hAnsi="Book Antiqua" w:cs="SimSun"/>
          <w:b/>
          <w:bCs/>
          <w:color w:val="000000"/>
          <w:sz w:val="24"/>
          <w:szCs w:val="24"/>
          <w:lang w:eastAsia="zh-CN"/>
        </w:rPr>
        <w:t>Tyson GL</w:t>
      </w:r>
      <w:r w:rsidRPr="00E1636B">
        <w:rPr>
          <w:rFonts w:ascii="Book Antiqua" w:eastAsia="SimSun" w:hAnsi="Book Antiqua" w:cs="SimSun"/>
          <w:color w:val="000000"/>
          <w:sz w:val="24"/>
          <w:szCs w:val="24"/>
          <w:lang w:eastAsia="zh-CN"/>
        </w:rPr>
        <w:t>, El-Serag HB. Risk factors for cholangiocarcinoma. </w:t>
      </w:r>
      <w:r w:rsidRPr="00E1636B">
        <w:rPr>
          <w:rFonts w:ascii="Book Antiqua" w:eastAsia="SimSun" w:hAnsi="Book Antiqua" w:cs="SimSun"/>
          <w:i/>
          <w:iCs/>
          <w:color w:val="000000"/>
          <w:sz w:val="24"/>
          <w:szCs w:val="24"/>
          <w:lang w:eastAsia="zh-CN"/>
        </w:rPr>
        <w:t>Hepatology</w:t>
      </w:r>
      <w:r w:rsidRPr="00E1636B">
        <w:rPr>
          <w:rFonts w:ascii="Book Antiqua" w:eastAsia="SimSun" w:hAnsi="Book Antiqua" w:cs="SimSun"/>
          <w:color w:val="000000"/>
          <w:sz w:val="24"/>
          <w:szCs w:val="24"/>
          <w:lang w:eastAsia="zh-CN"/>
        </w:rPr>
        <w:t> 2011; </w:t>
      </w:r>
      <w:r w:rsidRPr="00E1636B">
        <w:rPr>
          <w:rFonts w:ascii="Book Antiqua" w:eastAsia="SimSun" w:hAnsi="Book Antiqua" w:cs="SimSun"/>
          <w:b/>
          <w:bCs/>
          <w:color w:val="000000"/>
          <w:sz w:val="24"/>
          <w:szCs w:val="24"/>
          <w:lang w:eastAsia="zh-CN"/>
        </w:rPr>
        <w:t>54</w:t>
      </w:r>
      <w:r w:rsidRPr="00E1636B">
        <w:rPr>
          <w:rFonts w:ascii="Book Antiqua" w:eastAsia="SimSun" w:hAnsi="Book Antiqua" w:cs="SimSun"/>
          <w:color w:val="000000"/>
          <w:sz w:val="24"/>
          <w:szCs w:val="24"/>
          <w:lang w:eastAsia="zh-CN"/>
        </w:rPr>
        <w:t>: 173-184 [PMID: 21488076 DOI: 10.1002/hep.24351]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lastRenderedPageBreak/>
        <w:t>10 </w:t>
      </w:r>
      <w:r w:rsidRPr="00E1636B">
        <w:rPr>
          <w:rFonts w:ascii="Book Antiqua" w:eastAsia="SimSun" w:hAnsi="Book Antiqua" w:cs="SimSun"/>
          <w:b/>
          <w:bCs/>
          <w:color w:val="000000"/>
          <w:sz w:val="24"/>
          <w:szCs w:val="24"/>
          <w:lang w:eastAsia="zh-CN"/>
        </w:rPr>
        <w:t>Liu CL</w:t>
      </w:r>
      <w:r w:rsidRPr="00E1636B">
        <w:rPr>
          <w:rFonts w:ascii="Book Antiqua" w:eastAsia="SimSun" w:hAnsi="Book Antiqua" w:cs="SimSun"/>
          <w:color w:val="000000"/>
          <w:sz w:val="24"/>
          <w:szCs w:val="24"/>
          <w:lang w:eastAsia="zh-CN"/>
        </w:rPr>
        <w:t>, Fan ST, Wong J. Primary biliary stones: diagnosis and management. </w:t>
      </w:r>
      <w:r w:rsidRPr="00E1636B">
        <w:rPr>
          <w:rFonts w:ascii="Book Antiqua" w:eastAsia="SimSun" w:hAnsi="Book Antiqua" w:cs="SimSun"/>
          <w:i/>
          <w:iCs/>
          <w:color w:val="000000"/>
          <w:sz w:val="24"/>
          <w:szCs w:val="24"/>
          <w:lang w:eastAsia="zh-CN"/>
        </w:rPr>
        <w:t>World J Surg</w:t>
      </w:r>
      <w:r w:rsidRPr="00E1636B">
        <w:rPr>
          <w:rFonts w:ascii="Book Antiqua" w:eastAsia="SimSun" w:hAnsi="Book Antiqua" w:cs="SimSun"/>
          <w:color w:val="000000"/>
          <w:sz w:val="24"/>
          <w:szCs w:val="24"/>
          <w:lang w:eastAsia="zh-CN"/>
        </w:rPr>
        <w:t> 1998; </w:t>
      </w:r>
      <w:r w:rsidRPr="00E1636B">
        <w:rPr>
          <w:rFonts w:ascii="Book Antiqua" w:eastAsia="SimSun" w:hAnsi="Book Antiqua" w:cs="SimSun"/>
          <w:b/>
          <w:bCs/>
          <w:color w:val="000000"/>
          <w:sz w:val="24"/>
          <w:szCs w:val="24"/>
          <w:lang w:eastAsia="zh-CN"/>
        </w:rPr>
        <w:t>22</w:t>
      </w:r>
      <w:r w:rsidRPr="00E1636B">
        <w:rPr>
          <w:rFonts w:ascii="Book Antiqua" w:eastAsia="SimSun" w:hAnsi="Book Antiqua" w:cs="SimSun"/>
          <w:color w:val="000000"/>
          <w:sz w:val="24"/>
          <w:szCs w:val="24"/>
          <w:lang w:eastAsia="zh-CN"/>
        </w:rPr>
        <w:t>: 1162-1166 [PMID: 9828725 DOI: 10.1007/s002689900536]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11 </w:t>
      </w:r>
      <w:r w:rsidRPr="00E1636B">
        <w:rPr>
          <w:rFonts w:ascii="Book Antiqua" w:eastAsia="SimSun" w:hAnsi="Book Antiqua" w:cs="SimSun"/>
          <w:b/>
          <w:bCs/>
          <w:color w:val="000000"/>
          <w:sz w:val="24"/>
          <w:szCs w:val="24"/>
          <w:lang w:eastAsia="zh-CN"/>
        </w:rPr>
        <w:t>Su CH</w:t>
      </w:r>
      <w:r w:rsidRPr="00E1636B">
        <w:rPr>
          <w:rFonts w:ascii="Book Antiqua" w:eastAsia="SimSun" w:hAnsi="Book Antiqua" w:cs="SimSun"/>
          <w:color w:val="000000"/>
          <w:sz w:val="24"/>
          <w:szCs w:val="24"/>
          <w:lang w:eastAsia="zh-CN"/>
        </w:rPr>
        <w:t>, Shyr YM, Lui WY, P'Eng FK. Hepatolithiasis associated with cholangiocarcinoma. </w:t>
      </w:r>
      <w:r w:rsidRPr="00E1636B">
        <w:rPr>
          <w:rFonts w:ascii="Book Antiqua" w:eastAsia="SimSun" w:hAnsi="Book Antiqua" w:cs="SimSun"/>
          <w:i/>
          <w:iCs/>
          <w:color w:val="000000"/>
          <w:sz w:val="24"/>
          <w:szCs w:val="24"/>
          <w:lang w:eastAsia="zh-CN"/>
        </w:rPr>
        <w:t>Br J Surg</w:t>
      </w:r>
      <w:r w:rsidRPr="00E1636B">
        <w:rPr>
          <w:rFonts w:ascii="Book Antiqua" w:eastAsia="SimSun" w:hAnsi="Book Antiqua" w:cs="SimSun"/>
          <w:color w:val="000000"/>
          <w:sz w:val="24"/>
          <w:szCs w:val="24"/>
          <w:lang w:eastAsia="zh-CN"/>
        </w:rPr>
        <w:t> 1997; </w:t>
      </w:r>
      <w:r w:rsidRPr="00E1636B">
        <w:rPr>
          <w:rFonts w:ascii="Book Antiqua" w:eastAsia="SimSun" w:hAnsi="Book Antiqua" w:cs="SimSun"/>
          <w:b/>
          <w:bCs/>
          <w:color w:val="000000"/>
          <w:sz w:val="24"/>
          <w:szCs w:val="24"/>
          <w:lang w:eastAsia="zh-CN"/>
        </w:rPr>
        <w:t>84</w:t>
      </w:r>
      <w:r w:rsidRPr="00E1636B">
        <w:rPr>
          <w:rFonts w:ascii="Book Antiqua" w:eastAsia="SimSun" w:hAnsi="Book Antiqua" w:cs="SimSun"/>
          <w:color w:val="000000"/>
          <w:sz w:val="24"/>
          <w:szCs w:val="24"/>
          <w:lang w:eastAsia="zh-CN"/>
        </w:rPr>
        <w:t>: 969-973 [PMID: 9240138 DOI: 10.1002/bjs.1800840717]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12 </w:t>
      </w:r>
      <w:r w:rsidRPr="00E1636B">
        <w:rPr>
          <w:rFonts w:ascii="Book Antiqua" w:eastAsia="SimSun" w:hAnsi="Book Antiqua" w:cs="SimSun"/>
          <w:b/>
          <w:bCs/>
          <w:color w:val="000000"/>
          <w:sz w:val="24"/>
          <w:szCs w:val="24"/>
          <w:lang w:eastAsia="zh-CN"/>
        </w:rPr>
        <w:t>Uenishi T</w:t>
      </w:r>
      <w:r w:rsidRPr="00E1636B">
        <w:rPr>
          <w:rFonts w:ascii="Book Antiqua" w:eastAsia="SimSun" w:hAnsi="Book Antiqua" w:cs="SimSun"/>
          <w:color w:val="000000"/>
          <w:sz w:val="24"/>
          <w:szCs w:val="24"/>
          <w:lang w:eastAsia="zh-CN"/>
        </w:rPr>
        <w:t>, Hamba H, Takemura S, Oba K, Ogawa M, Yamamoto T, Tanaka S, Kubo S. Outcomes of hepatic resection for hepatolithiasis. </w:t>
      </w:r>
      <w:r w:rsidRPr="00E1636B">
        <w:rPr>
          <w:rFonts w:ascii="Book Antiqua" w:eastAsia="SimSun" w:hAnsi="Book Antiqua" w:cs="SimSun"/>
          <w:i/>
          <w:iCs/>
          <w:color w:val="000000"/>
          <w:sz w:val="24"/>
          <w:szCs w:val="24"/>
          <w:lang w:eastAsia="zh-CN"/>
        </w:rPr>
        <w:t>Am J Surg</w:t>
      </w:r>
      <w:r w:rsidRPr="00E1636B">
        <w:rPr>
          <w:rFonts w:ascii="Book Antiqua" w:eastAsia="SimSun" w:hAnsi="Book Antiqua" w:cs="SimSun"/>
          <w:color w:val="000000"/>
          <w:sz w:val="24"/>
          <w:szCs w:val="24"/>
          <w:lang w:eastAsia="zh-CN"/>
        </w:rPr>
        <w:t> 2009; </w:t>
      </w:r>
      <w:r w:rsidRPr="00E1636B">
        <w:rPr>
          <w:rFonts w:ascii="Book Antiqua" w:eastAsia="SimSun" w:hAnsi="Book Antiqua" w:cs="SimSun"/>
          <w:b/>
          <w:bCs/>
          <w:color w:val="000000"/>
          <w:sz w:val="24"/>
          <w:szCs w:val="24"/>
          <w:lang w:eastAsia="zh-CN"/>
        </w:rPr>
        <w:t>198</w:t>
      </w:r>
      <w:r w:rsidRPr="00E1636B">
        <w:rPr>
          <w:rFonts w:ascii="Book Antiqua" w:eastAsia="SimSun" w:hAnsi="Book Antiqua" w:cs="SimSun"/>
          <w:color w:val="000000"/>
          <w:sz w:val="24"/>
          <w:szCs w:val="24"/>
          <w:lang w:eastAsia="zh-CN"/>
        </w:rPr>
        <w:t>: 199-202 [PMID: 19249730 DOI: 10.1016/j.amjsurg.2008.08.020]</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13 </w:t>
      </w:r>
      <w:r w:rsidRPr="00E1636B">
        <w:rPr>
          <w:rFonts w:ascii="Book Antiqua" w:eastAsia="SimSun" w:hAnsi="Book Antiqua" w:cs="SimSun"/>
          <w:b/>
          <w:bCs/>
          <w:color w:val="000000"/>
          <w:sz w:val="24"/>
          <w:szCs w:val="24"/>
          <w:lang w:eastAsia="zh-CN"/>
        </w:rPr>
        <w:t>Joo I</w:t>
      </w:r>
      <w:r w:rsidRPr="00E1636B">
        <w:rPr>
          <w:rFonts w:ascii="Book Antiqua" w:eastAsia="SimSun" w:hAnsi="Book Antiqua" w:cs="SimSun"/>
          <w:color w:val="000000"/>
          <w:sz w:val="24"/>
          <w:szCs w:val="24"/>
          <w:lang w:eastAsia="zh-CN"/>
        </w:rPr>
        <w:t>, Lee JM. Imaging bile duct tumors: pathologic concepts, classification, and early tumor detection. </w:t>
      </w:r>
      <w:r w:rsidRPr="00E1636B">
        <w:rPr>
          <w:rFonts w:ascii="Book Antiqua" w:eastAsia="SimSun" w:hAnsi="Book Antiqua" w:cs="SimSun"/>
          <w:i/>
          <w:iCs/>
          <w:color w:val="000000"/>
          <w:sz w:val="24"/>
          <w:szCs w:val="24"/>
          <w:lang w:eastAsia="zh-CN"/>
        </w:rPr>
        <w:t>Abdom Imaging</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38</w:t>
      </w:r>
      <w:r w:rsidRPr="00E1636B">
        <w:rPr>
          <w:rFonts w:ascii="Book Antiqua" w:eastAsia="SimSun" w:hAnsi="Book Antiqua" w:cs="SimSun"/>
          <w:color w:val="000000"/>
          <w:sz w:val="24"/>
          <w:szCs w:val="24"/>
          <w:lang w:eastAsia="zh-CN"/>
        </w:rPr>
        <w:t>: 1334-1350 [PMID: 23925840 DOI: 10.1007/s00261-013-0027-3]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14 </w:t>
      </w:r>
      <w:r w:rsidRPr="00E1636B">
        <w:rPr>
          <w:rFonts w:ascii="Book Antiqua" w:eastAsia="SimSun" w:hAnsi="Book Antiqua" w:cs="SimSun"/>
          <w:b/>
          <w:bCs/>
          <w:color w:val="000000"/>
          <w:sz w:val="24"/>
          <w:szCs w:val="24"/>
          <w:lang w:eastAsia="zh-CN"/>
        </w:rPr>
        <w:t>Pausawasdi A</w:t>
      </w:r>
      <w:r w:rsidRPr="00E1636B">
        <w:rPr>
          <w:rFonts w:ascii="Book Antiqua" w:eastAsia="SimSun" w:hAnsi="Book Antiqua" w:cs="SimSun"/>
          <w:color w:val="000000"/>
          <w:sz w:val="24"/>
          <w:szCs w:val="24"/>
          <w:lang w:eastAsia="zh-CN"/>
        </w:rPr>
        <w:t>, Watanapa P. Hepatolithiasis: epidemiology and classification. </w:t>
      </w:r>
      <w:r w:rsidRPr="00E1636B">
        <w:rPr>
          <w:rFonts w:ascii="Book Antiqua" w:eastAsia="SimSun" w:hAnsi="Book Antiqua" w:cs="SimSun"/>
          <w:i/>
          <w:iCs/>
          <w:color w:val="000000"/>
          <w:sz w:val="24"/>
          <w:szCs w:val="24"/>
          <w:lang w:eastAsia="zh-CN"/>
        </w:rPr>
        <w:t>Hepatogastroenterology</w:t>
      </w:r>
      <w:r w:rsidRPr="00E1636B">
        <w:rPr>
          <w:rFonts w:ascii="Book Antiqua" w:eastAsia="SimSun" w:hAnsi="Book Antiqua" w:cs="SimSun"/>
          <w:color w:val="000000"/>
          <w:sz w:val="24"/>
          <w:szCs w:val="24"/>
          <w:lang w:eastAsia="zh-CN"/>
        </w:rPr>
        <w:t> 1997; </w:t>
      </w:r>
      <w:r w:rsidRPr="00E1636B">
        <w:rPr>
          <w:rFonts w:ascii="Book Antiqua" w:eastAsia="SimSun" w:hAnsi="Book Antiqua" w:cs="SimSun"/>
          <w:b/>
          <w:bCs/>
          <w:color w:val="000000"/>
          <w:sz w:val="24"/>
          <w:szCs w:val="24"/>
          <w:lang w:eastAsia="zh-CN"/>
        </w:rPr>
        <w:t>44</w:t>
      </w:r>
      <w:r w:rsidRPr="00E1636B">
        <w:rPr>
          <w:rFonts w:ascii="Book Antiqua" w:eastAsia="SimSun" w:hAnsi="Book Antiqua" w:cs="SimSun"/>
          <w:color w:val="000000"/>
          <w:sz w:val="24"/>
          <w:szCs w:val="24"/>
          <w:lang w:eastAsia="zh-CN"/>
        </w:rPr>
        <w:t>: 314-316 [PMID: 9164496]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15 </w:t>
      </w:r>
      <w:r w:rsidRPr="00E1636B">
        <w:rPr>
          <w:rFonts w:ascii="Book Antiqua" w:eastAsia="SimSun" w:hAnsi="Book Antiqua" w:cs="SimSun"/>
          <w:b/>
          <w:bCs/>
          <w:color w:val="000000"/>
          <w:sz w:val="24"/>
          <w:szCs w:val="24"/>
          <w:lang w:eastAsia="zh-CN"/>
        </w:rPr>
        <w:t>Suzuki Y</w:t>
      </w:r>
      <w:r w:rsidRPr="00E1636B">
        <w:rPr>
          <w:rFonts w:ascii="Book Antiqua" w:eastAsia="SimSun" w:hAnsi="Book Antiqua" w:cs="SimSun"/>
          <w:color w:val="000000"/>
          <w:sz w:val="24"/>
          <w:szCs w:val="24"/>
          <w:lang w:eastAsia="zh-CN"/>
        </w:rPr>
        <w:t>, Mori T, Yokoyama M, Nakazato T, Abe N, Nakanuma Y, Tsubouchi H, Sugiyama M. Hepatolithiasis: analysis of Japanese nationwide surveys over a period of 40 years. </w:t>
      </w:r>
      <w:r w:rsidRPr="00E1636B">
        <w:rPr>
          <w:rFonts w:ascii="Book Antiqua" w:eastAsia="SimSun" w:hAnsi="Book Antiqua" w:cs="SimSun"/>
          <w:i/>
          <w:iCs/>
          <w:color w:val="000000"/>
          <w:sz w:val="24"/>
          <w:szCs w:val="24"/>
          <w:lang w:eastAsia="zh-CN"/>
        </w:rPr>
        <w:t>J Hepatobiliary Pancreat Sci</w:t>
      </w:r>
      <w:r w:rsidRPr="00E1636B">
        <w:rPr>
          <w:rFonts w:ascii="Book Antiqua" w:eastAsia="SimSun" w:hAnsi="Book Antiqua" w:cs="SimSun"/>
          <w:color w:val="000000"/>
          <w:sz w:val="24"/>
          <w:szCs w:val="24"/>
          <w:lang w:eastAsia="zh-CN"/>
        </w:rPr>
        <w:t> 2014; </w:t>
      </w:r>
      <w:r w:rsidRPr="00E1636B">
        <w:rPr>
          <w:rFonts w:ascii="Book Antiqua" w:eastAsia="SimSun" w:hAnsi="Book Antiqua" w:cs="SimSun"/>
          <w:b/>
          <w:bCs/>
          <w:color w:val="000000"/>
          <w:sz w:val="24"/>
          <w:szCs w:val="24"/>
          <w:lang w:eastAsia="zh-CN"/>
        </w:rPr>
        <w:t>21</w:t>
      </w:r>
      <w:r w:rsidRPr="00E1636B">
        <w:rPr>
          <w:rFonts w:ascii="Book Antiqua" w:eastAsia="SimSun" w:hAnsi="Book Antiqua" w:cs="SimSun"/>
          <w:color w:val="000000"/>
          <w:sz w:val="24"/>
          <w:szCs w:val="24"/>
          <w:lang w:eastAsia="zh-CN"/>
        </w:rPr>
        <w:t>: 617-622 [PMID: 24824191 DOI: 10.1002/jhbp.116]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16 </w:t>
      </w:r>
      <w:r w:rsidRPr="00E1636B">
        <w:rPr>
          <w:rFonts w:ascii="Book Antiqua" w:eastAsia="SimSun" w:hAnsi="Book Antiqua" w:cs="SimSun"/>
          <w:b/>
          <w:bCs/>
          <w:color w:val="000000"/>
          <w:sz w:val="24"/>
          <w:szCs w:val="24"/>
          <w:lang w:eastAsia="zh-CN"/>
        </w:rPr>
        <w:t>Nakayama F</w:t>
      </w:r>
      <w:r w:rsidRPr="00E1636B">
        <w:rPr>
          <w:rFonts w:ascii="Book Antiqua" w:eastAsia="SimSun" w:hAnsi="Book Antiqua" w:cs="SimSun"/>
          <w:color w:val="000000"/>
          <w:sz w:val="24"/>
          <w:szCs w:val="24"/>
          <w:lang w:eastAsia="zh-CN"/>
        </w:rPr>
        <w:t>, Koga A, Ichimiya H, Todo S, Shen K, Guo RX, Zeng XJ, Zhang ZH. Hepatolithiasis in East Asia: comparison between Japan and China. </w:t>
      </w:r>
      <w:r w:rsidRPr="00E1636B">
        <w:rPr>
          <w:rFonts w:ascii="Book Antiqua" w:eastAsia="SimSun" w:hAnsi="Book Antiqua" w:cs="SimSun"/>
          <w:i/>
          <w:iCs/>
          <w:color w:val="000000"/>
          <w:sz w:val="24"/>
          <w:szCs w:val="24"/>
          <w:lang w:eastAsia="zh-CN"/>
        </w:rPr>
        <w:t>J Gastroenterol Hepatol</w:t>
      </w:r>
      <w:r w:rsidRPr="00E1636B">
        <w:rPr>
          <w:rFonts w:ascii="Book Antiqua" w:eastAsia="SimSun" w:hAnsi="Book Antiqua" w:cs="SimSun"/>
          <w:color w:val="000000"/>
          <w:sz w:val="24"/>
          <w:szCs w:val="24"/>
          <w:lang w:eastAsia="zh-CN"/>
        </w:rPr>
        <w:t> 1991; </w:t>
      </w:r>
      <w:r w:rsidRPr="00E1636B">
        <w:rPr>
          <w:rFonts w:ascii="Book Antiqua" w:eastAsia="SimSun" w:hAnsi="Book Antiqua" w:cs="SimSun"/>
          <w:b/>
          <w:bCs/>
          <w:color w:val="000000"/>
          <w:sz w:val="24"/>
          <w:szCs w:val="24"/>
          <w:lang w:eastAsia="zh-CN"/>
        </w:rPr>
        <w:t>6</w:t>
      </w:r>
      <w:r w:rsidRPr="00E1636B">
        <w:rPr>
          <w:rFonts w:ascii="Book Antiqua" w:eastAsia="SimSun" w:hAnsi="Book Antiqua" w:cs="SimSun"/>
          <w:color w:val="000000"/>
          <w:sz w:val="24"/>
          <w:szCs w:val="24"/>
          <w:lang w:eastAsia="zh-CN"/>
        </w:rPr>
        <w:t>: 155-158 [PMID: 1912423 DOI: 10.1111/j.1440-1746.1991.tb01457.x]</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17 </w:t>
      </w:r>
      <w:r w:rsidRPr="00E1636B">
        <w:rPr>
          <w:rFonts w:ascii="Book Antiqua" w:eastAsia="SimSun" w:hAnsi="Book Antiqua" w:cs="SimSun"/>
          <w:b/>
          <w:bCs/>
          <w:color w:val="000000"/>
          <w:sz w:val="24"/>
          <w:szCs w:val="24"/>
          <w:lang w:eastAsia="zh-CN"/>
        </w:rPr>
        <w:t>Fung J</w:t>
      </w:r>
      <w:r w:rsidRPr="00E1636B">
        <w:rPr>
          <w:rFonts w:ascii="Book Antiqua" w:eastAsia="SimSun" w:hAnsi="Book Antiqua" w:cs="SimSun"/>
          <w:color w:val="000000"/>
          <w:sz w:val="24"/>
          <w:szCs w:val="24"/>
          <w:lang w:eastAsia="zh-CN"/>
        </w:rPr>
        <w:t>. Liver fluke infestation and cholangio-hepatitis. </w:t>
      </w:r>
      <w:r w:rsidRPr="00E1636B">
        <w:rPr>
          <w:rFonts w:ascii="Book Antiqua" w:eastAsia="SimSun" w:hAnsi="Book Antiqua" w:cs="SimSun"/>
          <w:i/>
          <w:iCs/>
          <w:color w:val="000000"/>
          <w:sz w:val="24"/>
          <w:szCs w:val="24"/>
          <w:lang w:eastAsia="zh-CN"/>
        </w:rPr>
        <w:t>Br J Surg</w:t>
      </w:r>
      <w:r w:rsidRPr="00E1636B">
        <w:rPr>
          <w:rFonts w:ascii="Book Antiqua" w:eastAsia="SimSun" w:hAnsi="Book Antiqua" w:cs="SimSun"/>
          <w:color w:val="000000"/>
          <w:sz w:val="24"/>
          <w:szCs w:val="24"/>
          <w:lang w:eastAsia="zh-CN"/>
        </w:rPr>
        <w:t> 1961; </w:t>
      </w:r>
      <w:r w:rsidRPr="00E1636B">
        <w:rPr>
          <w:rFonts w:ascii="Book Antiqua" w:eastAsia="SimSun" w:hAnsi="Book Antiqua" w:cs="SimSun"/>
          <w:b/>
          <w:bCs/>
          <w:color w:val="000000"/>
          <w:sz w:val="24"/>
          <w:szCs w:val="24"/>
          <w:lang w:eastAsia="zh-CN"/>
        </w:rPr>
        <w:t>48</w:t>
      </w:r>
      <w:r w:rsidRPr="00E1636B">
        <w:rPr>
          <w:rFonts w:ascii="Book Antiqua" w:eastAsia="SimSun" w:hAnsi="Book Antiqua" w:cs="SimSun"/>
          <w:color w:val="000000"/>
          <w:sz w:val="24"/>
          <w:szCs w:val="24"/>
          <w:lang w:eastAsia="zh-CN"/>
        </w:rPr>
        <w:t>: 404-415 [PMID: 13702621 DOI: 10.1002/bjs.18004821009]</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18 </w:t>
      </w:r>
      <w:r w:rsidRPr="00E1636B">
        <w:rPr>
          <w:rFonts w:ascii="Book Antiqua" w:eastAsia="SimSun" w:hAnsi="Book Antiqua" w:cs="SimSun"/>
          <w:b/>
          <w:bCs/>
          <w:color w:val="000000"/>
          <w:sz w:val="24"/>
          <w:szCs w:val="24"/>
          <w:lang w:eastAsia="zh-CN"/>
        </w:rPr>
        <w:t>Rim HJ</w:t>
      </w:r>
      <w:r w:rsidRPr="00E1636B">
        <w:rPr>
          <w:rFonts w:ascii="Book Antiqua" w:eastAsia="SimSun" w:hAnsi="Book Antiqua" w:cs="SimSun"/>
          <w:color w:val="000000"/>
          <w:sz w:val="24"/>
          <w:szCs w:val="24"/>
          <w:lang w:eastAsia="zh-CN"/>
        </w:rPr>
        <w:t>. Clonorchiasis: an update. </w:t>
      </w:r>
      <w:r w:rsidRPr="00E1636B">
        <w:rPr>
          <w:rFonts w:ascii="Book Antiqua" w:eastAsia="SimSun" w:hAnsi="Book Antiqua" w:cs="SimSun"/>
          <w:i/>
          <w:iCs/>
          <w:color w:val="000000"/>
          <w:sz w:val="24"/>
          <w:szCs w:val="24"/>
          <w:lang w:eastAsia="zh-CN"/>
        </w:rPr>
        <w:t>J Helminthol</w:t>
      </w:r>
      <w:r w:rsidRPr="00E1636B">
        <w:rPr>
          <w:rFonts w:ascii="Book Antiqua" w:eastAsia="SimSun" w:hAnsi="Book Antiqua" w:cs="SimSun"/>
          <w:color w:val="000000"/>
          <w:sz w:val="24"/>
          <w:szCs w:val="24"/>
          <w:lang w:eastAsia="zh-CN"/>
        </w:rPr>
        <w:t> 2005; </w:t>
      </w:r>
      <w:r w:rsidRPr="00E1636B">
        <w:rPr>
          <w:rFonts w:ascii="Book Antiqua" w:eastAsia="SimSun" w:hAnsi="Book Antiqua" w:cs="SimSun"/>
          <w:b/>
          <w:bCs/>
          <w:color w:val="000000"/>
          <w:sz w:val="24"/>
          <w:szCs w:val="24"/>
          <w:lang w:eastAsia="zh-CN"/>
        </w:rPr>
        <w:t>79</w:t>
      </w:r>
      <w:r w:rsidRPr="00E1636B">
        <w:rPr>
          <w:rFonts w:ascii="Book Antiqua" w:eastAsia="SimSun" w:hAnsi="Book Antiqua" w:cs="SimSun"/>
          <w:color w:val="000000"/>
          <w:sz w:val="24"/>
          <w:szCs w:val="24"/>
          <w:lang w:eastAsia="zh-CN"/>
        </w:rPr>
        <w:t>: 269-281 [PMID: 16153321 DOI: 10.1079/JOH2005300]</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19 </w:t>
      </w:r>
      <w:r w:rsidRPr="00E1636B">
        <w:rPr>
          <w:rFonts w:ascii="Book Antiqua" w:eastAsia="SimSun" w:hAnsi="Book Antiqua" w:cs="SimSun"/>
          <w:b/>
          <w:bCs/>
          <w:color w:val="000000"/>
          <w:sz w:val="24"/>
          <w:szCs w:val="24"/>
          <w:lang w:eastAsia="zh-CN"/>
        </w:rPr>
        <w:t>Oh JK</w:t>
      </w:r>
      <w:r w:rsidRPr="00E1636B">
        <w:rPr>
          <w:rFonts w:ascii="Book Antiqua" w:eastAsia="SimSun" w:hAnsi="Book Antiqua" w:cs="SimSun"/>
          <w:color w:val="000000"/>
          <w:sz w:val="24"/>
          <w:szCs w:val="24"/>
          <w:lang w:eastAsia="zh-CN"/>
        </w:rPr>
        <w:t>, Lim MK, Yun EH, Cho H, Park EY, Choi MH, Shin HR, Hong ST. Control of clonorchiasis in Korea: effectiveness of health education for community leaders and individuals in an endemic area. </w:t>
      </w:r>
      <w:r w:rsidRPr="00E1636B">
        <w:rPr>
          <w:rFonts w:ascii="Book Antiqua" w:eastAsia="SimSun" w:hAnsi="Book Antiqua" w:cs="SimSun"/>
          <w:i/>
          <w:iCs/>
          <w:color w:val="000000"/>
          <w:sz w:val="24"/>
          <w:szCs w:val="24"/>
          <w:lang w:eastAsia="zh-CN"/>
        </w:rPr>
        <w:t>Trop Med Int Health</w:t>
      </w:r>
      <w:r w:rsidRPr="00E1636B">
        <w:rPr>
          <w:rFonts w:ascii="Book Antiqua" w:eastAsia="SimSun" w:hAnsi="Book Antiqua" w:cs="SimSun"/>
          <w:color w:val="000000"/>
          <w:sz w:val="24"/>
          <w:szCs w:val="24"/>
          <w:lang w:eastAsia="zh-CN"/>
        </w:rPr>
        <w:t> 2014; </w:t>
      </w:r>
      <w:r w:rsidRPr="00E1636B">
        <w:rPr>
          <w:rFonts w:ascii="Book Antiqua" w:eastAsia="SimSun" w:hAnsi="Book Antiqua" w:cs="SimSun"/>
          <w:b/>
          <w:bCs/>
          <w:color w:val="000000"/>
          <w:sz w:val="24"/>
          <w:szCs w:val="24"/>
          <w:lang w:eastAsia="zh-CN"/>
        </w:rPr>
        <w:t>19</w:t>
      </w:r>
      <w:r w:rsidRPr="00E1636B">
        <w:rPr>
          <w:rFonts w:ascii="Book Antiqua" w:eastAsia="SimSun" w:hAnsi="Book Antiqua" w:cs="SimSun"/>
          <w:color w:val="000000"/>
          <w:sz w:val="24"/>
          <w:szCs w:val="24"/>
          <w:lang w:eastAsia="zh-CN"/>
        </w:rPr>
        <w:t>: 1096-1104 [PMID: 24862476 DOI: 10.1111/tmi.12338]</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20 </w:t>
      </w:r>
      <w:r w:rsidRPr="00E1636B">
        <w:rPr>
          <w:rFonts w:ascii="Book Antiqua" w:eastAsia="SimSun" w:hAnsi="Book Antiqua" w:cs="SimSun"/>
          <w:b/>
          <w:bCs/>
          <w:color w:val="000000"/>
          <w:sz w:val="24"/>
          <w:szCs w:val="24"/>
          <w:lang w:eastAsia="zh-CN"/>
        </w:rPr>
        <w:t>Cross JH</w:t>
      </w:r>
      <w:r w:rsidRPr="00E1636B">
        <w:rPr>
          <w:rFonts w:ascii="Book Antiqua" w:eastAsia="SimSun" w:hAnsi="Book Antiqua" w:cs="SimSun"/>
          <w:color w:val="000000"/>
          <w:sz w:val="24"/>
          <w:szCs w:val="24"/>
          <w:lang w:eastAsia="zh-CN"/>
        </w:rPr>
        <w:t xml:space="preserve">. Changing patterns of some trematode infections in </w:t>
      </w:r>
      <w:r w:rsidRPr="00E1636B">
        <w:rPr>
          <w:rFonts w:ascii="Book Antiqua" w:eastAsia="SimSun" w:hAnsi="Book Antiqua" w:cs="SimSun"/>
          <w:color w:val="000000"/>
          <w:sz w:val="24"/>
          <w:szCs w:val="24"/>
          <w:lang w:eastAsia="zh-CN"/>
        </w:rPr>
        <w:lastRenderedPageBreak/>
        <w:t>Asia. </w:t>
      </w:r>
      <w:r w:rsidRPr="00E1636B">
        <w:rPr>
          <w:rFonts w:ascii="Book Antiqua" w:eastAsia="SimSun" w:hAnsi="Book Antiqua" w:cs="SimSun"/>
          <w:i/>
          <w:iCs/>
          <w:color w:val="000000"/>
          <w:sz w:val="24"/>
          <w:szCs w:val="24"/>
          <w:lang w:eastAsia="zh-CN"/>
        </w:rPr>
        <w:t>Arzneimittelforschung</w:t>
      </w:r>
      <w:r w:rsidRPr="00E1636B">
        <w:rPr>
          <w:rFonts w:ascii="Book Antiqua" w:eastAsia="SimSun" w:hAnsi="Book Antiqua" w:cs="SimSun"/>
          <w:color w:val="000000"/>
          <w:sz w:val="24"/>
          <w:szCs w:val="24"/>
          <w:lang w:eastAsia="zh-CN"/>
        </w:rPr>
        <w:t> 1984; </w:t>
      </w:r>
      <w:r w:rsidRPr="00E1636B">
        <w:rPr>
          <w:rFonts w:ascii="Book Antiqua" w:eastAsia="SimSun" w:hAnsi="Book Antiqua" w:cs="SimSun"/>
          <w:b/>
          <w:bCs/>
          <w:color w:val="000000"/>
          <w:sz w:val="24"/>
          <w:szCs w:val="24"/>
          <w:lang w:eastAsia="zh-CN"/>
        </w:rPr>
        <w:t>34</w:t>
      </w:r>
      <w:r w:rsidRPr="00E1636B">
        <w:rPr>
          <w:rFonts w:ascii="Book Antiqua" w:eastAsia="SimSun" w:hAnsi="Book Antiqua" w:cs="SimSun"/>
          <w:color w:val="000000"/>
          <w:sz w:val="24"/>
          <w:szCs w:val="24"/>
          <w:lang w:eastAsia="zh-CN"/>
        </w:rPr>
        <w:t>: 1224-1226 [PMID: 6542400]</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21 </w:t>
      </w:r>
      <w:r w:rsidRPr="00E1636B">
        <w:rPr>
          <w:rFonts w:ascii="Book Antiqua" w:eastAsia="SimSun" w:hAnsi="Book Antiqua" w:cs="SimSun"/>
          <w:b/>
          <w:bCs/>
          <w:color w:val="000000"/>
          <w:sz w:val="24"/>
          <w:szCs w:val="24"/>
          <w:lang w:eastAsia="zh-CN"/>
        </w:rPr>
        <w:t>Zhang GW</w:t>
      </w:r>
      <w:r w:rsidRPr="00E1636B">
        <w:rPr>
          <w:rFonts w:ascii="Book Antiqua" w:eastAsia="SimSun" w:hAnsi="Book Antiqua" w:cs="SimSun"/>
          <w:color w:val="000000"/>
          <w:sz w:val="24"/>
          <w:szCs w:val="24"/>
          <w:lang w:eastAsia="zh-CN"/>
        </w:rPr>
        <w:t>, Lin JH, Qian JP, Zhou J. Identification of risk and prognostic factors for patients with clonorchiasis-associated intrahepatic cholangiocarcinoma. </w:t>
      </w:r>
      <w:r w:rsidRPr="00E1636B">
        <w:rPr>
          <w:rFonts w:ascii="Book Antiqua" w:eastAsia="SimSun" w:hAnsi="Book Antiqua" w:cs="SimSun"/>
          <w:i/>
          <w:iCs/>
          <w:color w:val="000000"/>
          <w:sz w:val="24"/>
          <w:szCs w:val="24"/>
          <w:lang w:eastAsia="zh-CN"/>
        </w:rPr>
        <w:t>Ann Surg Oncol</w:t>
      </w:r>
      <w:r w:rsidRPr="00E1636B">
        <w:rPr>
          <w:rFonts w:ascii="Book Antiqua" w:eastAsia="SimSun" w:hAnsi="Book Antiqua" w:cs="SimSun"/>
          <w:color w:val="000000"/>
          <w:sz w:val="24"/>
          <w:szCs w:val="24"/>
          <w:lang w:eastAsia="zh-CN"/>
        </w:rPr>
        <w:t> 2014; </w:t>
      </w:r>
      <w:r w:rsidRPr="00E1636B">
        <w:rPr>
          <w:rFonts w:ascii="Book Antiqua" w:eastAsia="SimSun" w:hAnsi="Book Antiqua" w:cs="SimSun"/>
          <w:b/>
          <w:bCs/>
          <w:color w:val="000000"/>
          <w:sz w:val="24"/>
          <w:szCs w:val="24"/>
          <w:lang w:eastAsia="zh-CN"/>
        </w:rPr>
        <w:t>21</w:t>
      </w:r>
      <w:r w:rsidRPr="00E1636B">
        <w:rPr>
          <w:rFonts w:ascii="Book Antiqua" w:eastAsia="SimSun" w:hAnsi="Book Antiqua" w:cs="SimSun"/>
          <w:color w:val="000000"/>
          <w:sz w:val="24"/>
          <w:szCs w:val="24"/>
          <w:lang w:eastAsia="zh-CN"/>
        </w:rPr>
        <w:t>: 3628-3637 [PMID: 24781504 DOI: 10.1245/s10434-014-3710-x]</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22 </w:t>
      </w:r>
      <w:r w:rsidRPr="00E1636B">
        <w:rPr>
          <w:rFonts w:ascii="Book Antiqua" w:eastAsia="SimSun" w:hAnsi="Book Antiqua" w:cs="SimSun"/>
          <w:b/>
          <w:bCs/>
          <w:color w:val="000000"/>
          <w:sz w:val="24"/>
          <w:szCs w:val="24"/>
          <w:lang w:eastAsia="zh-CN"/>
        </w:rPr>
        <w:t>Choi BI</w:t>
      </w:r>
      <w:r w:rsidRPr="00E1636B">
        <w:rPr>
          <w:rFonts w:ascii="Book Antiqua" w:eastAsia="SimSun" w:hAnsi="Book Antiqua" w:cs="SimSun"/>
          <w:color w:val="000000"/>
          <w:sz w:val="24"/>
          <w:szCs w:val="24"/>
          <w:lang w:eastAsia="zh-CN"/>
        </w:rPr>
        <w:t>, Han JK, Hong ST, Lee KH. Clonorchiasis and cholangiocarcinoma: etiologic relationship and imaging diagnosis. </w:t>
      </w:r>
      <w:r w:rsidRPr="00E1636B">
        <w:rPr>
          <w:rFonts w:ascii="Book Antiqua" w:eastAsia="SimSun" w:hAnsi="Book Antiqua" w:cs="SimSun"/>
          <w:i/>
          <w:iCs/>
          <w:color w:val="000000"/>
          <w:sz w:val="24"/>
          <w:szCs w:val="24"/>
          <w:lang w:eastAsia="zh-CN"/>
        </w:rPr>
        <w:t>Clin Microbiol Rev</w:t>
      </w:r>
      <w:r w:rsidRPr="00E1636B">
        <w:rPr>
          <w:rFonts w:ascii="Book Antiqua" w:eastAsia="SimSun" w:hAnsi="Book Antiqua" w:cs="SimSun"/>
          <w:color w:val="000000"/>
          <w:sz w:val="24"/>
          <w:szCs w:val="24"/>
          <w:lang w:eastAsia="zh-CN"/>
        </w:rPr>
        <w:t> 2004; </w:t>
      </w:r>
      <w:r w:rsidRPr="00E1636B">
        <w:rPr>
          <w:rFonts w:ascii="Book Antiqua" w:eastAsia="SimSun" w:hAnsi="Book Antiqua" w:cs="SimSun"/>
          <w:b/>
          <w:bCs/>
          <w:color w:val="000000"/>
          <w:sz w:val="24"/>
          <w:szCs w:val="24"/>
          <w:lang w:eastAsia="zh-CN"/>
        </w:rPr>
        <w:t>17</w:t>
      </w:r>
      <w:r w:rsidRPr="00E1636B">
        <w:rPr>
          <w:rFonts w:ascii="Book Antiqua" w:eastAsia="SimSun" w:hAnsi="Book Antiqua" w:cs="SimSun"/>
          <w:color w:val="000000"/>
          <w:sz w:val="24"/>
          <w:szCs w:val="24"/>
          <w:lang w:eastAsia="zh-CN"/>
        </w:rPr>
        <w:t>: 540-52, table of contents [PMID: 15258092 DOI: 10.1128/CMR.17.3.540-552.2004]</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23 </w:t>
      </w:r>
      <w:r w:rsidRPr="00E1636B">
        <w:rPr>
          <w:rFonts w:ascii="Book Antiqua" w:eastAsia="SimSun" w:hAnsi="Book Antiqua" w:cs="SimSun"/>
          <w:b/>
          <w:bCs/>
          <w:color w:val="000000"/>
          <w:sz w:val="24"/>
          <w:szCs w:val="24"/>
          <w:lang w:eastAsia="zh-CN"/>
        </w:rPr>
        <w:t>Khan SA</w:t>
      </w:r>
      <w:r w:rsidRPr="00E1636B">
        <w:rPr>
          <w:rFonts w:ascii="Book Antiqua" w:eastAsia="SimSun" w:hAnsi="Book Antiqua" w:cs="SimSun"/>
          <w:color w:val="000000"/>
          <w:sz w:val="24"/>
          <w:szCs w:val="24"/>
          <w:lang w:eastAsia="zh-CN"/>
        </w:rPr>
        <w:t>, Toledano MB, Taylor-Robinson SD. Epidemiology, risk factors, and pathogenesis of cholangiocarcinoma. </w:t>
      </w:r>
      <w:r w:rsidRPr="00E1636B">
        <w:rPr>
          <w:rFonts w:ascii="Book Antiqua" w:eastAsia="SimSun" w:hAnsi="Book Antiqua" w:cs="SimSun"/>
          <w:i/>
          <w:iCs/>
          <w:color w:val="000000"/>
          <w:sz w:val="24"/>
          <w:szCs w:val="24"/>
          <w:lang w:eastAsia="zh-CN"/>
        </w:rPr>
        <w:t>HPB (Oxford)</w:t>
      </w:r>
      <w:r w:rsidRPr="00E1636B">
        <w:rPr>
          <w:rFonts w:ascii="Book Antiqua" w:eastAsia="SimSun" w:hAnsi="Book Antiqua" w:cs="SimSun"/>
          <w:color w:val="000000"/>
          <w:sz w:val="24"/>
          <w:szCs w:val="24"/>
          <w:lang w:eastAsia="zh-CN"/>
        </w:rPr>
        <w:t> 2008; </w:t>
      </w:r>
      <w:r w:rsidRPr="00E1636B">
        <w:rPr>
          <w:rFonts w:ascii="Book Antiqua" w:eastAsia="SimSun" w:hAnsi="Book Antiqua" w:cs="SimSun"/>
          <w:b/>
          <w:bCs/>
          <w:color w:val="000000"/>
          <w:sz w:val="24"/>
          <w:szCs w:val="24"/>
          <w:lang w:eastAsia="zh-CN"/>
        </w:rPr>
        <w:t>10</w:t>
      </w:r>
      <w:r w:rsidRPr="00E1636B">
        <w:rPr>
          <w:rFonts w:ascii="Book Antiqua" w:eastAsia="SimSun" w:hAnsi="Book Antiqua" w:cs="SimSun"/>
          <w:color w:val="000000"/>
          <w:sz w:val="24"/>
          <w:szCs w:val="24"/>
          <w:lang w:eastAsia="zh-CN"/>
        </w:rPr>
        <w:t>: 77-82 [PMID: 18773060 DOI: 10.1080/13651820801992641]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24 </w:t>
      </w:r>
      <w:r w:rsidRPr="00E1636B">
        <w:rPr>
          <w:rFonts w:ascii="Book Antiqua" w:eastAsia="SimSun" w:hAnsi="Book Antiqua" w:cs="SimSun"/>
          <w:b/>
          <w:bCs/>
          <w:color w:val="000000"/>
          <w:sz w:val="24"/>
          <w:szCs w:val="24"/>
          <w:lang w:eastAsia="zh-CN"/>
        </w:rPr>
        <w:t>Plentz RR</w:t>
      </w:r>
      <w:r w:rsidRPr="00E1636B">
        <w:rPr>
          <w:rFonts w:ascii="Book Antiqua" w:eastAsia="SimSun" w:hAnsi="Book Antiqua" w:cs="SimSun"/>
          <w:color w:val="000000"/>
          <w:sz w:val="24"/>
          <w:szCs w:val="24"/>
          <w:lang w:eastAsia="zh-CN"/>
        </w:rPr>
        <w:t>, Malek NP. Clinical presentation, risk factors and staging systems of cholangiocarcinoma. </w:t>
      </w:r>
      <w:r w:rsidRPr="00E1636B">
        <w:rPr>
          <w:rFonts w:ascii="Book Antiqua" w:eastAsia="SimSun" w:hAnsi="Book Antiqua" w:cs="SimSun"/>
          <w:i/>
          <w:iCs/>
          <w:color w:val="000000"/>
          <w:sz w:val="24"/>
          <w:szCs w:val="24"/>
          <w:lang w:eastAsia="zh-CN"/>
        </w:rPr>
        <w:t>Best Pract Res Clin Gastroenterol</w:t>
      </w:r>
      <w:r w:rsidRPr="00E1636B">
        <w:rPr>
          <w:rFonts w:ascii="Book Antiqua" w:eastAsia="SimSun" w:hAnsi="Book Antiqua" w:cs="SimSun"/>
          <w:color w:val="000000"/>
          <w:sz w:val="24"/>
          <w:szCs w:val="24"/>
          <w:lang w:eastAsia="zh-CN"/>
        </w:rPr>
        <w:t> 2015; </w:t>
      </w:r>
      <w:r w:rsidRPr="00E1636B">
        <w:rPr>
          <w:rFonts w:ascii="Book Antiqua" w:eastAsia="SimSun" w:hAnsi="Book Antiqua" w:cs="SimSun"/>
          <w:b/>
          <w:bCs/>
          <w:color w:val="000000"/>
          <w:sz w:val="24"/>
          <w:szCs w:val="24"/>
          <w:lang w:eastAsia="zh-CN"/>
        </w:rPr>
        <w:t>29</w:t>
      </w:r>
      <w:r w:rsidRPr="00E1636B">
        <w:rPr>
          <w:rFonts w:ascii="Book Antiqua" w:eastAsia="SimSun" w:hAnsi="Book Antiqua" w:cs="SimSun"/>
          <w:color w:val="000000"/>
          <w:sz w:val="24"/>
          <w:szCs w:val="24"/>
          <w:lang w:eastAsia="zh-CN"/>
        </w:rPr>
        <w:t>: 245-252 [PMID: 25966425 DOI: 10.1016/j.bpg.2015.02.001]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25 </w:t>
      </w:r>
      <w:r w:rsidRPr="00E1636B">
        <w:rPr>
          <w:rFonts w:ascii="Book Antiqua" w:eastAsia="SimSun" w:hAnsi="Book Antiqua" w:cs="SimSun"/>
          <w:b/>
          <w:bCs/>
          <w:color w:val="000000"/>
          <w:sz w:val="24"/>
          <w:szCs w:val="24"/>
          <w:lang w:eastAsia="zh-CN"/>
        </w:rPr>
        <w:t>Chen MF</w:t>
      </w:r>
      <w:r w:rsidRPr="00E1636B">
        <w:rPr>
          <w:rFonts w:ascii="Book Antiqua" w:eastAsia="SimSun" w:hAnsi="Book Antiqua" w:cs="SimSun"/>
          <w:color w:val="000000"/>
          <w:sz w:val="24"/>
          <w:szCs w:val="24"/>
          <w:lang w:eastAsia="zh-CN"/>
        </w:rPr>
        <w:t>, Jan YY, Wang CS, Hwang TL, Jeng LB, Chen SC, Chen TJ. A reappraisal of cholangiocarcinoma in patient with hepatolithiasis. </w:t>
      </w:r>
      <w:r w:rsidRPr="00E1636B">
        <w:rPr>
          <w:rFonts w:ascii="Book Antiqua" w:eastAsia="SimSun" w:hAnsi="Book Antiqua" w:cs="SimSun"/>
          <w:i/>
          <w:iCs/>
          <w:color w:val="000000"/>
          <w:sz w:val="24"/>
          <w:szCs w:val="24"/>
          <w:lang w:eastAsia="zh-CN"/>
        </w:rPr>
        <w:t>Cancer</w:t>
      </w:r>
      <w:r w:rsidRPr="00E1636B">
        <w:rPr>
          <w:rFonts w:ascii="Book Antiqua" w:eastAsia="SimSun" w:hAnsi="Book Antiqua" w:cs="SimSun"/>
          <w:color w:val="000000"/>
          <w:sz w:val="24"/>
          <w:szCs w:val="24"/>
          <w:lang w:eastAsia="zh-CN"/>
        </w:rPr>
        <w:t> 1993; </w:t>
      </w:r>
      <w:r w:rsidRPr="00E1636B">
        <w:rPr>
          <w:rFonts w:ascii="Book Antiqua" w:eastAsia="SimSun" w:hAnsi="Book Antiqua" w:cs="SimSun"/>
          <w:b/>
          <w:bCs/>
          <w:color w:val="000000"/>
          <w:sz w:val="24"/>
          <w:szCs w:val="24"/>
          <w:lang w:eastAsia="zh-CN"/>
        </w:rPr>
        <w:t>71</w:t>
      </w:r>
      <w:r w:rsidRPr="00E1636B">
        <w:rPr>
          <w:rFonts w:ascii="Book Antiqua" w:eastAsia="SimSun" w:hAnsi="Book Antiqua" w:cs="SimSun"/>
          <w:color w:val="000000"/>
          <w:sz w:val="24"/>
          <w:szCs w:val="24"/>
          <w:lang w:eastAsia="zh-CN"/>
        </w:rPr>
        <w:t>: 2461-2465 [PMID: 8384069 DOI: 10.1002/1097-0142(19930415)71: 8&lt;2461: : AID-CNCR2820710806&gt;3.0.CO; 2-7]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26 </w:t>
      </w:r>
      <w:r w:rsidRPr="00E1636B">
        <w:rPr>
          <w:rFonts w:ascii="Book Antiqua" w:eastAsia="SimSun" w:hAnsi="Book Antiqua" w:cs="SimSun"/>
          <w:b/>
          <w:bCs/>
          <w:color w:val="000000"/>
          <w:sz w:val="24"/>
          <w:szCs w:val="24"/>
          <w:lang w:eastAsia="zh-CN"/>
        </w:rPr>
        <w:t>Koga A</w:t>
      </w:r>
      <w:r w:rsidRPr="00E1636B">
        <w:rPr>
          <w:rFonts w:ascii="Book Antiqua" w:eastAsia="SimSun" w:hAnsi="Book Antiqua" w:cs="SimSun"/>
          <w:color w:val="000000"/>
          <w:sz w:val="24"/>
          <w:szCs w:val="24"/>
          <w:lang w:eastAsia="zh-CN"/>
        </w:rPr>
        <w:t>, Ichimiya H, Yamaguchi K, Miyazaki K, Nakayama F. Hepatolithiasis associated with cholangiocarcinoma. Possible etiologic significance. </w:t>
      </w:r>
      <w:r w:rsidRPr="00E1636B">
        <w:rPr>
          <w:rFonts w:ascii="Book Antiqua" w:eastAsia="SimSun" w:hAnsi="Book Antiqua" w:cs="SimSun"/>
          <w:i/>
          <w:iCs/>
          <w:color w:val="000000"/>
          <w:sz w:val="24"/>
          <w:szCs w:val="24"/>
          <w:lang w:eastAsia="zh-CN"/>
        </w:rPr>
        <w:t>Cancer</w:t>
      </w:r>
      <w:r w:rsidRPr="00E1636B">
        <w:rPr>
          <w:rFonts w:ascii="Book Antiqua" w:eastAsia="SimSun" w:hAnsi="Book Antiqua" w:cs="SimSun"/>
          <w:color w:val="000000"/>
          <w:sz w:val="24"/>
          <w:szCs w:val="24"/>
          <w:lang w:eastAsia="zh-CN"/>
        </w:rPr>
        <w:t> 1985; </w:t>
      </w:r>
      <w:r w:rsidRPr="00E1636B">
        <w:rPr>
          <w:rFonts w:ascii="Book Antiqua" w:eastAsia="SimSun" w:hAnsi="Book Antiqua" w:cs="SimSun"/>
          <w:b/>
          <w:bCs/>
          <w:color w:val="000000"/>
          <w:sz w:val="24"/>
          <w:szCs w:val="24"/>
          <w:lang w:eastAsia="zh-CN"/>
        </w:rPr>
        <w:t>55</w:t>
      </w:r>
      <w:r w:rsidRPr="00E1636B">
        <w:rPr>
          <w:rFonts w:ascii="Book Antiqua" w:eastAsia="SimSun" w:hAnsi="Book Antiqua" w:cs="SimSun"/>
          <w:color w:val="000000"/>
          <w:sz w:val="24"/>
          <w:szCs w:val="24"/>
          <w:lang w:eastAsia="zh-CN"/>
        </w:rPr>
        <w:t>: 2826-2829 [PMID: 2986827 DOI: 10.1002/1097-0142(19850615)55: 12&lt;2826: : AID-CNCR2820551219&gt;3.0.CO; 2-1]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27 </w:t>
      </w:r>
      <w:r w:rsidRPr="00E1636B">
        <w:rPr>
          <w:rFonts w:ascii="Book Antiqua" w:eastAsia="SimSun" w:hAnsi="Book Antiqua" w:cs="SimSun"/>
          <w:b/>
          <w:bCs/>
          <w:color w:val="000000"/>
          <w:sz w:val="24"/>
          <w:szCs w:val="24"/>
          <w:lang w:eastAsia="zh-CN"/>
        </w:rPr>
        <w:t>Nakanuma Y</w:t>
      </w:r>
      <w:r w:rsidRPr="00E1636B">
        <w:rPr>
          <w:rFonts w:ascii="Book Antiqua" w:eastAsia="SimSun" w:hAnsi="Book Antiqua" w:cs="SimSun"/>
          <w:color w:val="000000"/>
          <w:sz w:val="24"/>
          <w:szCs w:val="24"/>
          <w:lang w:eastAsia="zh-CN"/>
        </w:rPr>
        <w:t>, Terada T, Tanaka Y, Ohta G. Are hepatolithiasis and cholangiocarcinoma aetiologically related? A morphological study of 12 cases of hepatolithiasis associated with cholangiocarcinoma. </w:t>
      </w:r>
      <w:r w:rsidRPr="00E1636B">
        <w:rPr>
          <w:rFonts w:ascii="Book Antiqua" w:eastAsia="SimSun" w:hAnsi="Book Antiqua" w:cs="SimSun"/>
          <w:i/>
          <w:iCs/>
          <w:color w:val="000000"/>
          <w:sz w:val="24"/>
          <w:szCs w:val="24"/>
          <w:lang w:eastAsia="zh-CN"/>
        </w:rPr>
        <w:t>Virchows Arch A Pathol Anat Histopathol</w:t>
      </w:r>
      <w:r w:rsidRPr="00E1636B">
        <w:rPr>
          <w:rFonts w:ascii="Book Antiqua" w:eastAsia="SimSun" w:hAnsi="Book Antiqua" w:cs="SimSun"/>
          <w:color w:val="000000"/>
          <w:sz w:val="24"/>
          <w:szCs w:val="24"/>
          <w:lang w:eastAsia="zh-CN"/>
        </w:rPr>
        <w:t> 1985; </w:t>
      </w:r>
      <w:r w:rsidRPr="00E1636B">
        <w:rPr>
          <w:rFonts w:ascii="Book Antiqua" w:eastAsia="SimSun" w:hAnsi="Book Antiqua" w:cs="SimSun"/>
          <w:b/>
          <w:bCs/>
          <w:color w:val="000000"/>
          <w:sz w:val="24"/>
          <w:szCs w:val="24"/>
          <w:lang w:eastAsia="zh-CN"/>
        </w:rPr>
        <w:t>406</w:t>
      </w:r>
      <w:r w:rsidRPr="00E1636B">
        <w:rPr>
          <w:rFonts w:ascii="Book Antiqua" w:eastAsia="SimSun" w:hAnsi="Book Antiqua" w:cs="SimSun"/>
          <w:color w:val="000000"/>
          <w:sz w:val="24"/>
          <w:szCs w:val="24"/>
          <w:lang w:eastAsia="zh-CN"/>
        </w:rPr>
        <w:t>: 45-58 [PMID: 2986349 DOI: 10.1007/BF00710556]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28 </w:t>
      </w:r>
      <w:r w:rsidRPr="00E1636B">
        <w:rPr>
          <w:rFonts w:ascii="Book Antiqua" w:eastAsia="SimSun" w:hAnsi="Book Antiqua" w:cs="SimSun"/>
          <w:b/>
          <w:bCs/>
          <w:color w:val="000000"/>
          <w:sz w:val="24"/>
          <w:szCs w:val="24"/>
          <w:lang w:eastAsia="zh-CN"/>
        </w:rPr>
        <w:t>Chen MF</w:t>
      </w:r>
      <w:r w:rsidRPr="00E1636B">
        <w:rPr>
          <w:rFonts w:ascii="Book Antiqua" w:eastAsia="SimSun" w:hAnsi="Book Antiqua" w:cs="SimSun"/>
          <w:color w:val="000000"/>
          <w:sz w:val="24"/>
          <w:szCs w:val="24"/>
          <w:lang w:eastAsia="zh-CN"/>
        </w:rPr>
        <w:t>, Jan YY, Wang CS, Jeng LB, Hwang TL, Chen SC. Intrahepatic stones associated with cholangiocarcinoma. </w:t>
      </w:r>
      <w:r w:rsidRPr="00E1636B">
        <w:rPr>
          <w:rFonts w:ascii="Book Antiqua" w:eastAsia="SimSun" w:hAnsi="Book Antiqua" w:cs="SimSun"/>
          <w:i/>
          <w:iCs/>
          <w:color w:val="000000"/>
          <w:sz w:val="24"/>
          <w:szCs w:val="24"/>
          <w:lang w:eastAsia="zh-CN"/>
        </w:rPr>
        <w:t>Am J Gastroenterol</w:t>
      </w:r>
      <w:r w:rsidRPr="00E1636B">
        <w:rPr>
          <w:rFonts w:ascii="Book Antiqua" w:eastAsia="SimSun" w:hAnsi="Book Antiqua" w:cs="SimSun"/>
          <w:color w:val="000000"/>
          <w:sz w:val="24"/>
          <w:szCs w:val="24"/>
          <w:lang w:eastAsia="zh-CN"/>
        </w:rPr>
        <w:t> 1989; </w:t>
      </w:r>
      <w:r w:rsidRPr="00E1636B">
        <w:rPr>
          <w:rFonts w:ascii="Book Antiqua" w:eastAsia="SimSun" w:hAnsi="Book Antiqua" w:cs="SimSun"/>
          <w:b/>
          <w:bCs/>
          <w:color w:val="000000"/>
          <w:sz w:val="24"/>
          <w:szCs w:val="24"/>
          <w:lang w:eastAsia="zh-CN"/>
        </w:rPr>
        <w:t>84</w:t>
      </w:r>
      <w:r w:rsidRPr="00E1636B">
        <w:rPr>
          <w:rFonts w:ascii="Book Antiqua" w:eastAsia="SimSun" w:hAnsi="Book Antiqua" w:cs="SimSun"/>
          <w:color w:val="000000"/>
          <w:sz w:val="24"/>
          <w:szCs w:val="24"/>
          <w:lang w:eastAsia="zh-CN"/>
        </w:rPr>
        <w:t>: 391-395 [PMID: 2539010]</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29 </w:t>
      </w:r>
      <w:r w:rsidRPr="00E1636B">
        <w:rPr>
          <w:rFonts w:ascii="Book Antiqua" w:eastAsia="SimSun" w:hAnsi="Book Antiqua" w:cs="SimSun"/>
          <w:b/>
          <w:bCs/>
          <w:color w:val="000000"/>
          <w:sz w:val="24"/>
          <w:szCs w:val="24"/>
          <w:lang w:eastAsia="zh-CN"/>
        </w:rPr>
        <w:t>Sheen-Chen SM</w:t>
      </w:r>
      <w:r w:rsidRPr="00E1636B">
        <w:rPr>
          <w:rFonts w:ascii="Book Antiqua" w:eastAsia="SimSun" w:hAnsi="Book Antiqua" w:cs="SimSun"/>
          <w:color w:val="000000"/>
          <w:sz w:val="24"/>
          <w:szCs w:val="24"/>
          <w:lang w:eastAsia="zh-CN"/>
        </w:rPr>
        <w:t>, Chou FF, Eng HL. Intrahepatic cholangiocarcinoma in hepatolithiasis: A frequently overlooked disease. </w:t>
      </w:r>
      <w:r w:rsidRPr="00E1636B">
        <w:rPr>
          <w:rFonts w:ascii="Book Antiqua" w:eastAsia="SimSun" w:hAnsi="Book Antiqua" w:cs="SimSun"/>
          <w:i/>
          <w:iCs/>
          <w:color w:val="000000"/>
          <w:sz w:val="24"/>
          <w:szCs w:val="24"/>
          <w:lang w:eastAsia="zh-CN"/>
        </w:rPr>
        <w:t>J Surg Oncol</w:t>
      </w:r>
      <w:r w:rsidRPr="00E1636B">
        <w:rPr>
          <w:rFonts w:ascii="Book Antiqua" w:eastAsia="SimSun" w:hAnsi="Book Antiqua" w:cs="SimSun"/>
          <w:color w:val="000000"/>
          <w:sz w:val="24"/>
          <w:szCs w:val="24"/>
          <w:lang w:eastAsia="zh-CN"/>
        </w:rPr>
        <w:t> 1991; </w:t>
      </w:r>
      <w:r w:rsidRPr="00E1636B">
        <w:rPr>
          <w:rFonts w:ascii="Book Antiqua" w:eastAsia="SimSun" w:hAnsi="Book Antiqua" w:cs="SimSun"/>
          <w:b/>
          <w:bCs/>
          <w:color w:val="000000"/>
          <w:sz w:val="24"/>
          <w:szCs w:val="24"/>
          <w:lang w:eastAsia="zh-CN"/>
        </w:rPr>
        <w:t>47</w:t>
      </w:r>
      <w:r w:rsidRPr="00E1636B">
        <w:rPr>
          <w:rFonts w:ascii="Book Antiqua" w:eastAsia="SimSun" w:hAnsi="Book Antiqua" w:cs="SimSun"/>
          <w:color w:val="000000"/>
          <w:sz w:val="24"/>
          <w:szCs w:val="24"/>
          <w:lang w:eastAsia="zh-CN"/>
        </w:rPr>
        <w:t xml:space="preserve">: 131-135 </w:t>
      </w:r>
      <w:r w:rsidRPr="00E1636B">
        <w:rPr>
          <w:rFonts w:ascii="Book Antiqua" w:eastAsia="SimSun" w:hAnsi="Book Antiqua" w:cs="SimSun"/>
          <w:color w:val="000000"/>
          <w:sz w:val="24"/>
          <w:szCs w:val="24"/>
          <w:lang w:eastAsia="zh-CN"/>
        </w:rPr>
        <w:lastRenderedPageBreak/>
        <w:t>[PMID: 1648151 DOI: 10.1002/jso.2930470213]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30 </w:t>
      </w:r>
      <w:r w:rsidRPr="00E1636B">
        <w:rPr>
          <w:rFonts w:ascii="Book Antiqua" w:eastAsia="SimSun" w:hAnsi="Book Antiqua" w:cs="SimSun"/>
          <w:b/>
          <w:bCs/>
          <w:color w:val="000000"/>
          <w:sz w:val="24"/>
          <w:szCs w:val="24"/>
          <w:lang w:eastAsia="zh-CN"/>
        </w:rPr>
        <w:t>Cheon YK</w:t>
      </w:r>
      <w:r w:rsidRPr="00E1636B">
        <w:rPr>
          <w:rFonts w:ascii="Book Antiqua" w:eastAsia="SimSun" w:hAnsi="Book Antiqua" w:cs="SimSun"/>
          <w:color w:val="000000"/>
          <w:sz w:val="24"/>
          <w:szCs w:val="24"/>
          <w:lang w:eastAsia="zh-CN"/>
        </w:rPr>
        <w:t>, Cho YD, Moon JH, Lee JS, Shim CS. Evaluation of long-term results and recurrent factors after operative and nonoperative treatment for hepatolithiasis. </w:t>
      </w:r>
      <w:r w:rsidRPr="00E1636B">
        <w:rPr>
          <w:rFonts w:ascii="Book Antiqua" w:eastAsia="SimSun" w:hAnsi="Book Antiqua" w:cs="SimSun"/>
          <w:i/>
          <w:iCs/>
          <w:color w:val="000000"/>
          <w:sz w:val="24"/>
          <w:szCs w:val="24"/>
          <w:lang w:eastAsia="zh-CN"/>
        </w:rPr>
        <w:t>Surgery</w:t>
      </w:r>
      <w:r w:rsidRPr="00E1636B">
        <w:rPr>
          <w:rFonts w:ascii="Book Antiqua" w:eastAsia="SimSun" w:hAnsi="Book Antiqua" w:cs="SimSun"/>
          <w:color w:val="000000"/>
          <w:sz w:val="24"/>
          <w:szCs w:val="24"/>
          <w:lang w:eastAsia="zh-CN"/>
        </w:rPr>
        <w:t> 2009; </w:t>
      </w:r>
      <w:r w:rsidRPr="00E1636B">
        <w:rPr>
          <w:rFonts w:ascii="Book Antiqua" w:eastAsia="SimSun" w:hAnsi="Book Antiqua" w:cs="SimSun"/>
          <w:b/>
          <w:bCs/>
          <w:color w:val="000000"/>
          <w:sz w:val="24"/>
          <w:szCs w:val="24"/>
          <w:lang w:eastAsia="zh-CN"/>
        </w:rPr>
        <w:t>146</w:t>
      </w:r>
      <w:r w:rsidRPr="00E1636B">
        <w:rPr>
          <w:rFonts w:ascii="Book Antiqua" w:eastAsia="SimSun" w:hAnsi="Book Antiqua" w:cs="SimSun"/>
          <w:color w:val="000000"/>
          <w:sz w:val="24"/>
          <w:szCs w:val="24"/>
          <w:lang w:eastAsia="zh-CN"/>
        </w:rPr>
        <w:t>: 843-853 [PMID: 19744434 DOI: 10.1016/j.surg.2009.04.009]</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31 </w:t>
      </w:r>
      <w:r w:rsidRPr="00E1636B">
        <w:rPr>
          <w:rFonts w:ascii="Book Antiqua" w:eastAsia="SimSun" w:hAnsi="Book Antiqua" w:cs="SimSun"/>
          <w:b/>
          <w:bCs/>
          <w:color w:val="000000"/>
          <w:sz w:val="24"/>
          <w:szCs w:val="24"/>
          <w:lang w:eastAsia="zh-CN"/>
        </w:rPr>
        <w:t>Falchuk KR</w:t>
      </w:r>
      <w:r w:rsidRPr="00E1636B">
        <w:rPr>
          <w:rFonts w:ascii="Book Antiqua" w:eastAsia="SimSun" w:hAnsi="Book Antiqua" w:cs="SimSun"/>
          <w:color w:val="000000"/>
          <w:sz w:val="24"/>
          <w:szCs w:val="24"/>
          <w:lang w:eastAsia="zh-CN"/>
        </w:rPr>
        <w:t>, Lesser PB, Galdabini JJ, Isselbacher KJ. Cholangiocarcinoma as related to chronic intrahepatic cholangitis and hepatolithiasis. Case report and review of the literature. </w:t>
      </w:r>
      <w:r w:rsidRPr="00E1636B">
        <w:rPr>
          <w:rFonts w:ascii="Book Antiqua" w:eastAsia="SimSun" w:hAnsi="Book Antiqua" w:cs="SimSun"/>
          <w:i/>
          <w:iCs/>
          <w:color w:val="000000"/>
          <w:sz w:val="24"/>
          <w:szCs w:val="24"/>
          <w:lang w:eastAsia="zh-CN"/>
        </w:rPr>
        <w:t>Am J Gastroenterol</w:t>
      </w:r>
      <w:r w:rsidRPr="00E1636B">
        <w:rPr>
          <w:rFonts w:ascii="Book Antiqua" w:eastAsia="SimSun" w:hAnsi="Book Antiqua" w:cs="SimSun"/>
          <w:color w:val="000000"/>
          <w:sz w:val="24"/>
          <w:szCs w:val="24"/>
          <w:lang w:eastAsia="zh-CN"/>
        </w:rPr>
        <w:t> 1976; </w:t>
      </w:r>
      <w:r w:rsidRPr="00E1636B">
        <w:rPr>
          <w:rFonts w:ascii="Book Antiqua" w:eastAsia="SimSun" w:hAnsi="Book Antiqua" w:cs="SimSun"/>
          <w:b/>
          <w:bCs/>
          <w:color w:val="000000"/>
          <w:sz w:val="24"/>
          <w:szCs w:val="24"/>
          <w:lang w:eastAsia="zh-CN"/>
        </w:rPr>
        <w:t>66</w:t>
      </w:r>
      <w:r w:rsidRPr="00E1636B">
        <w:rPr>
          <w:rFonts w:ascii="Book Antiqua" w:eastAsia="SimSun" w:hAnsi="Book Antiqua" w:cs="SimSun"/>
          <w:color w:val="000000"/>
          <w:sz w:val="24"/>
          <w:szCs w:val="24"/>
          <w:lang w:eastAsia="zh-CN"/>
        </w:rPr>
        <w:t>: 57-61 [PMID: 184709]</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32 </w:t>
      </w:r>
      <w:r w:rsidRPr="00E1636B">
        <w:rPr>
          <w:rFonts w:ascii="Book Antiqua" w:eastAsia="SimSun" w:hAnsi="Book Antiqua" w:cs="SimSun"/>
          <w:b/>
          <w:bCs/>
          <w:color w:val="000000"/>
          <w:sz w:val="24"/>
          <w:szCs w:val="24"/>
          <w:lang w:eastAsia="zh-CN"/>
        </w:rPr>
        <w:t>Lin CC</w:t>
      </w:r>
      <w:r w:rsidRPr="00E1636B">
        <w:rPr>
          <w:rFonts w:ascii="Book Antiqua" w:eastAsia="SimSun" w:hAnsi="Book Antiqua" w:cs="SimSun"/>
          <w:color w:val="000000"/>
          <w:sz w:val="24"/>
          <w:szCs w:val="24"/>
          <w:lang w:eastAsia="zh-CN"/>
        </w:rPr>
        <w:t>, Lin PY, Chen YL. Comparison of concomitant and subsequent cholangiocarcinomas associated with hepatolithiasis: Clinical implications. </w:t>
      </w:r>
      <w:r w:rsidRPr="00E1636B">
        <w:rPr>
          <w:rFonts w:ascii="Book Antiqua" w:eastAsia="SimSun" w:hAnsi="Book Antiqua" w:cs="SimSun"/>
          <w:i/>
          <w:iCs/>
          <w:color w:val="000000"/>
          <w:sz w:val="24"/>
          <w:szCs w:val="24"/>
          <w:lang w:eastAsia="zh-CN"/>
        </w:rPr>
        <w:t>World J Gastroenterol</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19</w:t>
      </w:r>
      <w:r w:rsidRPr="00E1636B">
        <w:rPr>
          <w:rFonts w:ascii="Book Antiqua" w:eastAsia="SimSun" w:hAnsi="Book Antiqua" w:cs="SimSun"/>
          <w:color w:val="000000"/>
          <w:sz w:val="24"/>
          <w:szCs w:val="24"/>
          <w:lang w:eastAsia="zh-CN"/>
        </w:rPr>
        <w:t>: 375-380 [PMID: 23372360 DOI: 10.3748/wjg.v19.i3.375]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33 </w:t>
      </w:r>
      <w:r w:rsidRPr="00E1636B">
        <w:rPr>
          <w:rFonts w:ascii="Book Antiqua" w:eastAsia="SimSun" w:hAnsi="Book Antiqua" w:cs="SimSun"/>
          <w:b/>
          <w:bCs/>
          <w:color w:val="000000"/>
          <w:sz w:val="24"/>
          <w:szCs w:val="24"/>
          <w:lang w:eastAsia="zh-CN"/>
        </w:rPr>
        <w:t>Kim HJ</w:t>
      </w:r>
      <w:r w:rsidRPr="00E1636B">
        <w:rPr>
          <w:rFonts w:ascii="Book Antiqua" w:eastAsia="SimSun" w:hAnsi="Book Antiqua" w:cs="SimSun"/>
          <w:color w:val="000000"/>
          <w:sz w:val="24"/>
          <w:szCs w:val="24"/>
          <w:lang w:eastAsia="zh-CN"/>
        </w:rPr>
        <w:t>, Kim JS, Suh SJ, Lee BJ, Park JJ, Lee HS, Kim CD, Bak YT. Cholangiocarcinoma Risk as Long-term Outcome After Hepatic Resection in the Hepatolithiasis Patients. </w:t>
      </w:r>
      <w:r w:rsidRPr="00E1636B">
        <w:rPr>
          <w:rFonts w:ascii="Book Antiqua" w:eastAsia="SimSun" w:hAnsi="Book Antiqua" w:cs="SimSun"/>
          <w:i/>
          <w:iCs/>
          <w:color w:val="000000"/>
          <w:sz w:val="24"/>
          <w:szCs w:val="24"/>
          <w:lang w:eastAsia="zh-CN"/>
        </w:rPr>
        <w:t>World J Surg</w:t>
      </w:r>
      <w:r w:rsidRPr="00E1636B">
        <w:rPr>
          <w:rFonts w:ascii="Book Antiqua" w:eastAsia="SimSun" w:hAnsi="Book Antiqua" w:cs="SimSun"/>
          <w:color w:val="000000"/>
          <w:sz w:val="24"/>
          <w:szCs w:val="24"/>
          <w:lang w:eastAsia="zh-CN"/>
        </w:rPr>
        <w:t> 2015; </w:t>
      </w:r>
      <w:r w:rsidRPr="00E1636B">
        <w:rPr>
          <w:rFonts w:ascii="Book Antiqua" w:eastAsia="SimSun" w:hAnsi="Book Antiqua" w:cs="SimSun"/>
          <w:b/>
          <w:bCs/>
          <w:color w:val="000000"/>
          <w:sz w:val="24"/>
          <w:szCs w:val="24"/>
          <w:lang w:eastAsia="zh-CN"/>
        </w:rPr>
        <w:t>39</w:t>
      </w:r>
      <w:r w:rsidRPr="00E1636B">
        <w:rPr>
          <w:rFonts w:ascii="Book Antiqua" w:eastAsia="SimSun" w:hAnsi="Book Antiqua" w:cs="SimSun"/>
          <w:color w:val="000000"/>
          <w:sz w:val="24"/>
          <w:szCs w:val="24"/>
          <w:lang w:eastAsia="zh-CN"/>
        </w:rPr>
        <w:t>: 1537-1542 [PMID: 25648078 DOI: 10.1007/s00268-015-2965-0]</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34 </w:t>
      </w:r>
      <w:r w:rsidRPr="00E1636B">
        <w:rPr>
          <w:rFonts w:ascii="Book Antiqua" w:eastAsia="SimSun" w:hAnsi="Book Antiqua" w:cs="SimSun"/>
          <w:b/>
          <w:bCs/>
          <w:color w:val="000000"/>
          <w:sz w:val="24"/>
          <w:szCs w:val="24"/>
          <w:lang w:eastAsia="zh-CN"/>
        </w:rPr>
        <w:t>Zhu QD</w:t>
      </w:r>
      <w:r w:rsidRPr="00E1636B">
        <w:rPr>
          <w:rFonts w:ascii="Book Antiqua" w:eastAsia="SimSun" w:hAnsi="Book Antiqua" w:cs="SimSun"/>
          <w:color w:val="000000"/>
          <w:sz w:val="24"/>
          <w:szCs w:val="24"/>
          <w:lang w:eastAsia="zh-CN"/>
        </w:rPr>
        <w:t>, Zhou MT, Zhou QQ, Shi HQ, Zhang QY, Yu ZP. Diagnosis and surgical treatment of intrahepatic hepatolithiasis combined with cholangiocarcinoma. </w:t>
      </w:r>
      <w:r w:rsidRPr="00E1636B">
        <w:rPr>
          <w:rFonts w:ascii="Book Antiqua" w:eastAsia="SimSun" w:hAnsi="Book Antiqua" w:cs="SimSun"/>
          <w:i/>
          <w:iCs/>
          <w:color w:val="000000"/>
          <w:sz w:val="24"/>
          <w:szCs w:val="24"/>
          <w:lang w:eastAsia="zh-CN"/>
        </w:rPr>
        <w:t>World J Surg</w:t>
      </w:r>
      <w:r w:rsidRPr="00E1636B">
        <w:rPr>
          <w:rFonts w:ascii="Book Antiqua" w:eastAsia="SimSun" w:hAnsi="Book Antiqua" w:cs="SimSun"/>
          <w:color w:val="000000"/>
          <w:sz w:val="24"/>
          <w:szCs w:val="24"/>
          <w:lang w:eastAsia="zh-CN"/>
        </w:rPr>
        <w:t> 2014; </w:t>
      </w:r>
      <w:r w:rsidRPr="00E1636B">
        <w:rPr>
          <w:rFonts w:ascii="Book Antiqua" w:eastAsia="SimSun" w:hAnsi="Book Antiqua" w:cs="SimSun"/>
          <w:b/>
          <w:bCs/>
          <w:color w:val="000000"/>
          <w:sz w:val="24"/>
          <w:szCs w:val="24"/>
          <w:lang w:eastAsia="zh-CN"/>
        </w:rPr>
        <w:t>38</w:t>
      </w:r>
      <w:r w:rsidRPr="00E1636B">
        <w:rPr>
          <w:rFonts w:ascii="Book Antiqua" w:eastAsia="SimSun" w:hAnsi="Book Antiqua" w:cs="SimSun"/>
          <w:color w:val="000000"/>
          <w:sz w:val="24"/>
          <w:szCs w:val="24"/>
          <w:lang w:eastAsia="zh-CN"/>
        </w:rPr>
        <w:t>: 2097-2104 [PMID: 24519588 DOI: 10.1007/s00268-014-2476-4]</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35 </w:t>
      </w:r>
      <w:r w:rsidRPr="00E1636B">
        <w:rPr>
          <w:rFonts w:ascii="Book Antiqua" w:eastAsia="SimSun" w:hAnsi="Book Antiqua" w:cs="SimSun"/>
          <w:b/>
          <w:bCs/>
          <w:color w:val="000000"/>
          <w:sz w:val="24"/>
          <w:szCs w:val="24"/>
          <w:lang w:eastAsia="zh-CN"/>
        </w:rPr>
        <w:t>Tabrizian P</w:t>
      </w:r>
      <w:r w:rsidRPr="00E1636B">
        <w:rPr>
          <w:rFonts w:ascii="Book Antiqua" w:eastAsia="SimSun" w:hAnsi="Book Antiqua" w:cs="SimSun"/>
          <w:color w:val="000000"/>
          <w:sz w:val="24"/>
          <w:szCs w:val="24"/>
          <w:lang w:eastAsia="zh-CN"/>
        </w:rPr>
        <w:t>, Jibara G, Shrager B, Schwartz ME, Roayaie S. Hepatic resection for primary hepatolithiasis: a single-center Western experience. </w:t>
      </w:r>
      <w:r w:rsidRPr="00E1636B">
        <w:rPr>
          <w:rFonts w:ascii="Book Antiqua" w:eastAsia="SimSun" w:hAnsi="Book Antiqua" w:cs="SimSun"/>
          <w:i/>
          <w:iCs/>
          <w:color w:val="000000"/>
          <w:sz w:val="24"/>
          <w:szCs w:val="24"/>
          <w:lang w:eastAsia="zh-CN"/>
        </w:rPr>
        <w:t>J Am Coll Surg</w:t>
      </w:r>
      <w:r w:rsidRPr="00E1636B">
        <w:rPr>
          <w:rFonts w:ascii="Book Antiqua" w:eastAsia="SimSun" w:hAnsi="Book Antiqua" w:cs="SimSun"/>
          <w:color w:val="000000"/>
          <w:sz w:val="24"/>
          <w:szCs w:val="24"/>
          <w:lang w:eastAsia="zh-CN"/>
        </w:rPr>
        <w:t> 2012; </w:t>
      </w:r>
      <w:r w:rsidRPr="00E1636B">
        <w:rPr>
          <w:rFonts w:ascii="Book Antiqua" w:eastAsia="SimSun" w:hAnsi="Book Antiqua" w:cs="SimSun"/>
          <w:b/>
          <w:bCs/>
          <w:color w:val="000000"/>
          <w:sz w:val="24"/>
          <w:szCs w:val="24"/>
          <w:lang w:eastAsia="zh-CN"/>
        </w:rPr>
        <w:t>215</w:t>
      </w:r>
      <w:r w:rsidRPr="00E1636B">
        <w:rPr>
          <w:rFonts w:ascii="Book Antiqua" w:eastAsia="SimSun" w:hAnsi="Book Antiqua" w:cs="SimSun"/>
          <w:color w:val="000000"/>
          <w:sz w:val="24"/>
          <w:szCs w:val="24"/>
          <w:lang w:eastAsia="zh-CN"/>
        </w:rPr>
        <w:t>: 622-626 [PMID: 22921329 DOI: 10.1016/j.jamcollsurg.2012.07.005]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36 </w:t>
      </w:r>
      <w:r w:rsidRPr="00E1636B">
        <w:rPr>
          <w:rFonts w:ascii="Book Antiqua" w:eastAsia="SimSun" w:hAnsi="Book Antiqua" w:cs="SimSun"/>
          <w:b/>
          <w:bCs/>
          <w:color w:val="000000"/>
          <w:sz w:val="24"/>
          <w:szCs w:val="24"/>
          <w:lang w:eastAsia="zh-CN"/>
        </w:rPr>
        <w:t>Lee TY</w:t>
      </w:r>
      <w:r w:rsidRPr="00E1636B">
        <w:rPr>
          <w:rFonts w:ascii="Book Antiqua" w:eastAsia="SimSun" w:hAnsi="Book Antiqua" w:cs="SimSun"/>
          <w:color w:val="000000"/>
          <w:sz w:val="24"/>
          <w:szCs w:val="24"/>
          <w:lang w:eastAsia="zh-CN"/>
        </w:rPr>
        <w:t>, Chen YL, Chang HC, Chan CP, Kuo SJ. Outcomes of hepatectomy for hepatolithiasis. </w:t>
      </w:r>
      <w:r w:rsidRPr="00E1636B">
        <w:rPr>
          <w:rFonts w:ascii="Book Antiqua" w:eastAsia="SimSun" w:hAnsi="Book Antiqua" w:cs="SimSun"/>
          <w:i/>
          <w:iCs/>
          <w:color w:val="000000"/>
          <w:sz w:val="24"/>
          <w:szCs w:val="24"/>
          <w:lang w:eastAsia="zh-CN"/>
        </w:rPr>
        <w:t>World J Surg</w:t>
      </w:r>
      <w:r w:rsidRPr="00E1636B">
        <w:rPr>
          <w:rFonts w:ascii="Book Antiqua" w:eastAsia="SimSun" w:hAnsi="Book Antiqua" w:cs="SimSun"/>
          <w:color w:val="000000"/>
          <w:sz w:val="24"/>
          <w:szCs w:val="24"/>
          <w:lang w:eastAsia="zh-CN"/>
        </w:rPr>
        <w:t> 2007; </w:t>
      </w:r>
      <w:r w:rsidRPr="00E1636B">
        <w:rPr>
          <w:rFonts w:ascii="Book Antiqua" w:eastAsia="SimSun" w:hAnsi="Book Antiqua" w:cs="SimSun"/>
          <w:b/>
          <w:bCs/>
          <w:color w:val="000000"/>
          <w:sz w:val="24"/>
          <w:szCs w:val="24"/>
          <w:lang w:eastAsia="zh-CN"/>
        </w:rPr>
        <w:t>31</w:t>
      </w:r>
      <w:r w:rsidRPr="00E1636B">
        <w:rPr>
          <w:rFonts w:ascii="Book Antiqua" w:eastAsia="SimSun" w:hAnsi="Book Antiqua" w:cs="SimSun"/>
          <w:color w:val="000000"/>
          <w:sz w:val="24"/>
          <w:szCs w:val="24"/>
          <w:lang w:eastAsia="zh-CN"/>
        </w:rPr>
        <w:t>: 479-482 [PMID: 17334864 DOI: 10.1007/s00268-006-0441-6]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37 </w:t>
      </w:r>
      <w:r w:rsidRPr="00E1636B">
        <w:rPr>
          <w:rFonts w:ascii="Book Antiqua" w:eastAsia="SimSun" w:hAnsi="Book Antiqua" w:cs="SimSun"/>
          <w:b/>
          <w:bCs/>
          <w:color w:val="000000"/>
          <w:sz w:val="24"/>
          <w:szCs w:val="24"/>
          <w:lang w:eastAsia="zh-CN"/>
        </w:rPr>
        <w:t>Catena M</w:t>
      </w:r>
      <w:r w:rsidRPr="00E1636B">
        <w:rPr>
          <w:rFonts w:ascii="Book Antiqua" w:eastAsia="SimSun" w:hAnsi="Book Antiqua" w:cs="SimSun"/>
          <w:color w:val="000000"/>
          <w:sz w:val="24"/>
          <w:szCs w:val="24"/>
          <w:lang w:eastAsia="zh-CN"/>
        </w:rPr>
        <w:t>, Aldrighetti L, Finazzi R, Arzu G, Arru M, Pulitanò C, Ferla G. Treatment of non-endemic hepatolithiasis in a Western country. The role of hepatic resection. </w:t>
      </w:r>
      <w:r w:rsidRPr="00E1636B">
        <w:rPr>
          <w:rFonts w:ascii="Book Antiqua" w:eastAsia="SimSun" w:hAnsi="Book Antiqua" w:cs="SimSun"/>
          <w:i/>
          <w:iCs/>
          <w:color w:val="000000"/>
          <w:sz w:val="24"/>
          <w:szCs w:val="24"/>
          <w:lang w:eastAsia="zh-CN"/>
        </w:rPr>
        <w:t>Ann R Coll Surg Engl</w:t>
      </w:r>
      <w:r w:rsidRPr="00E1636B">
        <w:rPr>
          <w:rFonts w:ascii="Book Antiqua" w:eastAsia="SimSun" w:hAnsi="Book Antiqua" w:cs="SimSun"/>
          <w:color w:val="000000"/>
          <w:sz w:val="24"/>
          <w:szCs w:val="24"/>
          <w:lang w:eastAsia="zh-CN"/>
        </w:rPr>
        <w:t> 2006; </w:t>
      </w:r>
      <w:r w:rsidRPr="00E1636B">
        <w:rPr>
          <w:rFonts w:ascii="Book Antiqua" w:eastAsia="SimSun" w:hAnsi="Book Antiqua" w:cs="SimSun"/>
          <w:b/>
          <w:bCs/>
          <w:color w:val="000000"/>
          <w:sz w:val="24"/>
          <w:szCs w:val="24"/>
          <w:lang w:eastAsia="zh-CN"/>
        </w:rPr>
        <w:t>88</w:t>
      </w:r>
      <w:r w:rsidRPr="00E1636B">
        <w:rPr>
          <w:rFonts w:ascii="Book Antiqua" w:eastAsia="SimSun" w:hAnsi="Book Antiqua" w:cs="SimSun"/>
          <w:color w:val="000000"/>
          <w:sz w:val="24"/>
          <w:szCs w:val="24"/>
          <w:lang w:eastAsia="zh-CN"/>
        </w:rPr>
        <w:t>: 383-389 [PMID: 16834860 DOI: 10.1308/003588406X98711]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38 </w:t>
      </w:r>
      <w:r w:rsidRPr="00E1636B">
        <w:rPr>
          <w:rFonts w:ascii="Book Antiqua" w:eastAsia="SimSun" w:hAnsi="Book Antiqua" w:cs="SimSun"/>
          <w:b/>
          <w:bCs/>
          <w:color w:val="000000"/>
          <w:sz w:val="24"/>
          <w:szCs w:val="24"/>
          <w:lang w:eastAsia="zh-CN"/>
        </w:rPr>
        <w:t>Chen DW</w:t>
      </w:r>
      <w:r w:rsidRPr="00E1636B">
        <w:rPr>
          <w:rFonts w:ascii="Book Antiqua" w:eastAsia="SimSun" w:hAnsi="Book Antiqua" w:cs="SimSun"/>
          <w:color w:val="000000"/>
          <w:sz w:val="24"/>
          <w:szCs w:val="24"/>
          <w:lang w:eastAsia="zh-CN"/>
        </w:rPr>
        <w:t>, Tung-Ping Poon R, Liu CL, Fan ST, Wong J. Immediate and long-term outcomes of hepatectomy for hepatolithiasis. </w:t>
      </w:r>
      <w:r w:rsidRPr="00E1636B">
        <w:rPr>
          <w:rFonts w:ascii="Book Antiqua" w:eastAsia="SimSun" w:hAnsi="Book Antiqua" w:cs="SimSun"/>
          <w:i/>
          <w:iCs/>
          <w:color w:val="000000"/>
          <w:sz w:val="24"/>
          <w:szCs w:val="24"/>
          <w:lang w:eastAsia="zh-CN"/>
        </w:rPr>
        <w:t>Surgery</w:t>
      </w:r>
      <w:r w:rsidRPr="00E1636B">
        <w:rPr>
          <w:rFonts w:ascii="Book Antiqua" w:eastAsia="SimSun" w:hAnsi="Book Antiqua" w:cs="SimSun"/>
          <w:color w:val="000000"/>
          <w:sz w:val="24"/>
          <w:szCs w:val="24"/>
          <w:lang w:eastAsia="zh-CN"/>
        </w:rPr>
        <w:t> 2004; </w:t>
      </w:r>
      <w:r w:rsidRPr="00E1636B">
        <w:rPr>
          <w:rFonts w:ascii="Book Antiqua" w:eastAsia="SimSun" w:hAnsi="Book Antiqua" w:cs="SimSun"/>
          <w:b/>
          <w:bCs/>
          <w:color w:val="000000"/>
          <w:sz w:val="24"/>
          <w:szCs w:val="24"/>
          <w:lang w:eastAsia="zh-CN"/>
        </w:rPr>
        <w:t>135</w:t>
      </w:r>
      <w:r w:rsidRPr="00E1636B">
        <w:rPr>
          <w:rFonts w:ascii="Book Antiqua" w:eastAsia="SimSun" w:hAnsi="Book Antiqua" w:cs="SimSun"/>
          <w:color w:val="000000"/>
          <w:sz w:val="24"/>
          <w:szCs w:val="24"/>
          <w:lang w:eastAsia="zh-CN"/>
        </w:rPr>
        <w:t xml:space="preserve">: 386-393 [PMID: </w:t>
      </w:r>
      <w:r w:rsidRPr="00E1636B">
        <w:rPr>
          <w:rFonts w:ascii="Book Antiqua" w:eastAsia="SimSun" w:hAnsi="Book Antiqua" w:cs="SimSun"/>
          <w:color w:val="000000"/>
          <w:sz w:val="24"/>
          <w:szCs w:val="24"/>
          <w:lang w:eastAsia="zh-CN"/>
        </w:rPr>
        <w:lastRenderedPageBreak/>
        <w:t>15041962 DOI: 10.1016/j.surg.2003.09.007]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39 </w:t>
      </w:r>
      <w:r w:rsidRPr="00E1636B">
        <w:rPr>
          <w:rFonts w:ascii="Book Antiqua" w:eastAsia="SimSun" w:hAnsi="Book Antiqua" w:cs="SimSun"/>
          <w:b/>
          <w:bCs/>
          <w:color w:val="000000"/>
          <w:sz w:val="24"/>
          <w:szCs w:val="24"/>
          <w:lang w:eastAsia="zh-CN"/>
        </w:rPr>
        <w:t>Tsuyuguchi T</w:t>
      </w:r>
      <w:r w:rsidRPr="00E1636B">
        <w:rPr>
          <w:rFonts w:ascii="Book Antiqua" w:eastAsia="SimSun" w:hAnsi="Book Antiqua" w:cs="SimSun"/>
          <w:color w:val="000000"/>
          <w:sz w:val="24"/>
          <w:szCs w:val="24"/>
          <w:lang w:eastAsia="zh-CN"/>
        </w:rPr>
        <w:t>, Miyakawa K, Sugiyama H, Sakai Y, Nishikawa T, Sakamoto D, Nakamura M, Yasui S, Mikata R, Yokosuka O. Ten-year long-term results after non-surgical management of hepatolithiasis, including cases with choledochoenterostomy. </w:t>
      </w:r>
      <w:r w:rsidRPr="00E1636B">
        <w:rPr>
          <w:rFonts w:ascii="Book Antiqua" w:eastAsia="SimSun" w:hAnsi="Book Antiqua" w:cs="SimSun"/>
          <w:i/>
          <w:iCs/>
          <w:color w:val="000000"/>
          <w:sz w:val="24"/>
          <w:szCs w:val="24"/>
          <w:lang w:eastAsia="zh-CN"/>
        </w:rPr>
        <w:t>J Hepatobiliary Pancreat Sci</w:t>
      </w:r>
      <w:r w:rsidRPr="00E1636B">
        <w:rPr>
          <w:rFonts w:ascii="Book Antiqua" w:eastAsia="SimSun" w:hAnsi="Book Antiqua" w:cs="SimSun"/>
          <w:color w:val="000000"/>
          <w:sz w:val="24"/>
          <w:szCs w:val="24"/>
          <w:lang w:eastAsia="zh-CN"/>
        </w:rPr>
        <w:t> 2014; </w:t>
      </w:r>
      <w:r w:rsidRPr="00E1636B">
        <w:rPr>
          <w:rFonts w:ascii="Book Antiqua" w:eastAsia="SimSun" w:hAnsi="Book Antiqua" w:cs="SimSun"/>
          <w:b/>
          <w:bCs/>
          <w:color w:val="000000"/>
          <w:sz w:val="24"/>
          <w:szCs w:val="24"/>
          <w:lang w:eastAsia="zh-CN"/>
        </w:rPr>
        <w:t>21</w:t>
      </w:r>
      <w:r w:rsidRPr="00E1636B">
        <w:rPr>
          <w:rFonts w:ascii="Book Antiqua" w:eastAsia="SimSun" w:hAnsi="Book Antiqua" w:cs="SimSun"/>
          <w:color w:val="000000"/>
          <w:sz w:val="24"/>
          <w:szCs w:val="24"/>
          <w:lang w:eastAsia="zh-CN"/>
        </w:rPr>
        <w:t>: 795-800 [PMID: 25070702 DOI: 10.1002/jhbp.134]</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40 </w:t>
      </w:r>
      <w:r w:rsidRPr="00E1636B">
        <w:rPr>
          <w:rFonts w:ascii="Book Antiqua" w:eastAsia="SimSun" w:hAnsi="Book Antiqua" w:cs="SimSun"/>
          <w:b/>
          <w:bCs/>
          <w:color w:val="000000"/>
          <w:sz w:val="24"/>
          <w:szCs w:val="24"/>
          <w:lang w:eastAsia="zh-CN"/>
        </w:rPr>
        <w:t>Liu Z</w:t>
      </w:r>
      <w:r w:rsidRPr="00E1636B">
        <w:rPr>
          <w:rFonts w:ascii="Book Antiqua" w:eastAsia="SimSun" w:hAnsi="Book Antiqua" w:cs="SimSun"/>
          <w:color w:val="000000"/>
          <w:sz w:val="24"/>
          <w:szCs w:val="24"/>
          <w:lang w:eastAsia="zh-CN"/>
        </w:rPr>
        <w:t>, Tian F, Feng X, He Y, Jiang P, Li J, Guo F, Zhao X, Chang H, Wang S. LPS increases MUC5AC by TACE/TGF-α/EGFR pathway in human intrahepatic biliary epithelial cell. </w:t>
      </w:r>
      <w:r w:rsidRPr="00E1636B">
        <w:rPr>
          <w:rFonts w:ascii="Book Antiqua" w:eastAsia="SimSun" w:hAnsi="Book Antiqua" w:cs="SimSun"/>
          <w:i/>
          <w:iCs/>
          <w:color w:val="000000"/>
          <w:sz w:val="24"/>
          <w:szCs w:val="24"/>
          <w:lang w:eastAsia="zh-CN"/>
        </w:rPr>
        <w:t>Biomed Res Int</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2013</w:t>
      </w:r>
      <w:r w:rsidRPr="00E1636B">
        <w:rPr>
          <w:rFonts w:ascii="Book Antiqua" w:eastAsia="SimSun" w:hAnsi="Book Antiqua" w:cs="SimSun"/>
          <w:color w:val="000000"/>
          <w:sz w:val="24"/>
          <w:szCs w:val="24"/>
          <w:lang w:eastAsia="zh-CN"/>
        </w:rPr>
        <w:t>: 165715 [PMID: 24027752 DOI: 10.1155/2013/165715]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41 </w:t>
      </w:r>
      <w:r w:rsidRPr="00E1636B">
        <w:rPr>
          <w:rFonts w:ascii="Book Antiqua" w:eastAsia="SimSun" w:hAnsi="Book Antiqua" w:cs="SimSun"/>
          <w:b/>
          <w:bCs/>
          <w:color w:val="000000"/>
          <w:sz w:val="24"/>
          <w:szCs w:val="24"/>
          <w:lang w:eastAsia="zh-CN"/>
        </w:rPr>
        <w:t>Wu SD</w:t>
      </w:r>
      <w:r w:rsidRPr="00E1636B">
        <w:rPr>
          <w:rFonts w:ascii="Book Antiqua" w:eastAsia="SimSun" w:hAnsi="Book Antiqua" w:cs="SimSun"/>
          <w:color w:val="000000"/>
          <w:sz w:val="24"/>
          <w:szCs w:val="24"/>
          <w:lang w:eastAsia="zh-CN"/>
        </w:rPr>
        <w:t>, Uchiyama K, Fan Y. The role and mechanism of fatty acids in gallstones. </w:t>
      </w:r>
      <w:r w:rsidRPr="00E1636B">
        <w:rPr>
          <w:rFonts w:ascii="Book Antiqua" w:eastAsia="SimSun" w:hAnsi="Book Antiqua" w:cs="SimSun"/>
          <w:i/>
          <w:iCs/>
          <w:color w:val="000000"/>
          <w:sz w:val="24"/>
          <w:szCs w:val="24"/>
          <w:lang w:eastAsia="zh-CN"/>
        </w:rPr>
        <w:t>Hepatobiliary Pancreat Dis Int</w:t>
      </w:r>
      <w:r w:rsidRPr="00E1636B">
        <w:rPr>
          <w:rFonts w:ascii="Book Antiqua" w:eastAsia="SimSun" w:hAnsi="Book Antiqua" w:cs="SimSun"/>
          <w:color w:val="000000"/>
          <w:sz w:val="24"/>
          <w:szCs w:val="24"/>
          <w:lang w:eastAsia="zh-CN"/>
        </w:rPr>
        <w:t> 2007; </w:t>
      </w:r>
      <w:r w:rsidRPr="00E1636B">
        <w:rPr>
          <w:rFonts w:ascii="Book Antiqua" w:eastAsia="SimSun" w:hAnsi="Book Antiqua" w:cs="SimSun"/>
          <w:b/>
          <w:bCs/>
          <w:color w:val="000000"/>
          <w:sz w:val="24"/>
          <w:szCs w:val="24"/>
          <w:lang w:eastAsia="zh-CN"/>
        </w:rPr>
        <w:t>6</w:t>
      </w:r>
      <w:r w:rsidRPr="00E1636B">
        <w:rPr>
          <w:rFonts w:ascii="Book Antiqua" w:eastAsia="SimSun" w:hAnsi="Book Antiqua" w:cs="SimSun"/>
          <w:color w:val="000000"/>
          <w:sz w:val="24"/>
          <w:szCs w:val="24"/>
          <w:lang w:eastAsia="zh-CN"/>
        </w:rPr>
        <w:t>: 399-401 [PMID: 17690037]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42 </w:t>
      </w:r>
      <w:r w:rsidRPr="00E1636B">
        <w:rPr>
          <w:rFonts w:ascii="Book Antiqua" w:eastAsia="SimSun" w:hAnsi="Book Antiqua" w:cs="SimSun"/>
          <w:b/>
          <w:bCs/>
          <w:color w:val="000000"/>
          <w:sz w:val="24"/>
          <w:szCs w:val="24"/>
          <w:lang w:eastAsia="zh-CN"/>
        </w:rPr>
        <w:t>Huang MH</w:t>
      </w:r>
      <w:r w:rsidRPr="00E1636B">
        <w:rPr>
          <w:rFonts w:ascii="Book Antiqua" w:eastAsia="SimSun" w:hAnsi="Book Antiqua" w:cs="SimSun"/>
          <w:color w:val="000000"/>
          <w:sz w:val="24"/>
          <w:szCs w:val="24"/>
          <w:lang w:eastAsia="zh-CN"/>
        </w:rPr>
        <w:t>, Chen CH, Yang JC, Yang CC, Yeh YH, Chou DA, Mo LR, Yueh SK, Nien CK. Long-term outcome of percutaneous transhepatic cholangioscopic lithotomy for hepatolithiasis. </w:t>
      </w:r>
      <w:r w:rsidRPr="00E1636B">
        <w:rPr>
          <w:rFonts w:ascii="Book Antiqua" w:eastAsia="SimSun" w:hAnsi="Book Antiqua" w:cs="SimSun"/>
          <w:i/>
          <w:iCs/>
          <w:color w:val="000000"/>
          <w:sz w:val="24"/>
          <w:szCs w:val="24"/>
          <w:lang w:eastAsia="zh-CN"/>
        </w:rPr>
        <w:t>Am J Gastroenterol</w:t>
      </w:r>
      <w:r w:rsidRPr="00E1636B">
        <w:rPr>
          <w:rFonts w:ascii="Book Antiqua" w:eastAsia="SimSun" w:hAnsi="Book Antiqua" w:cs="SimSun"/>
          <w:color w:val="000000"/>
          <w:sz w:val="24"/>
          <w:szCs w:val="24"/>
          <w:lang w:eastAsia="zh-CN"/>
        </w:rPr>
        <w:t> 2003; </w:t>
      </w:r>
      <w:r w:rsidRPr="00E1636B">
        <w:rPr>
          <w:rFonts w:ascii="Book Antiqua" w:eastAsia="SimSun" w:hAnsi="Book Antiqua" w:cs="SimSun"/>
          <w:b/>
          <w:bCs/>
          <w:color w:val="000000"/>
          <w:sz w:val="24"/>
          <w:szCs w:val="24"/>
          <w:lang w:eastAsia="zh-CN"/>
        </w:rPr>
        <w:t>98</w:t>
      </w:r>
      <w:r w:rsidRPr="00E1636B">
        <w:rPr>
          <w:rFonts w:ascii="Book Antiqua" w:eastAsia="SimSun" w:hAnsi="Book Antiqua" w:cs="SimSun"/>
          <w:color w:val="000000"/>
          <w:sz w:val="24"/>
          <w:szCs w:val="24"/>
          <w:lang w:eastAsia="zh-CN"/>
        </w:rPr>
        <w:t>: 2655-2662 [PMID: 14687812 DOI: 10.1111/j.1572-0241.2003.08770.x]</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43 </w:t>
      </w:r>
      <w:r w:rsidRPr="00E1636B">
        <w:rPr>
          <w:rFonts w:ascii="Book Antiqua" w:eastAsia="SimSun" w:hAnsi="Book Antiqua" w:cs="SimSun"/>
          <w:b/>
          <w:bCs/>
          <w:color w:val="000000"/>
          <w:sz w:val="24"/>
          <w:szCs w:val="24"/>
          <w:lang w:eastAsia="zh-CN"/>
        </w:rPr>
        <w:t>Yamashita N</w:t>
      </w:r>
      <w:r w:rsidRPr="00E1636B">
        <w:rPr>
          <w:rFonts w:ascii="Book Antiqua" w:eastAsia="SimSun" w:hAnsi="Book Antiqua" w:cs="SimSun"/>
          <w:color w:val="000000"/>
          <w:sz w:val="24"/>
          <w:szCs w:val="24"/>
          <w:lang w:eastAsia="zh-CN"/>
        </w:rPr>
        <w:t>, Yanagisawa J, Nakayama F. Composition of intrahepatic calculi. Etiological significance. </w:t>
      </w:r>
      <w:r w:rsidRPr="00E1636B">
        <w:rPr>
          <w:rFonts w:ascii="Book Antiqua" w:eastAsia="SimSun" w:hAnsi="Book Antiqua" w:cs="SimSun"/>
          <w:i/>
          <w:iCs/>
          <w:color w:val="000000"/>
          <w:sz w:val="24"/>
          <w:szCs w:val="24"/>
          <w:lang w:eastAsia="zh-CN"/>
        </w:rPr>
        <w:t>Dig Dis Sci</w:t>
      </w:r>
      <w:r w:rsidRPr="00E1636B">
        <w:rPr>
          <w:rFonts w:ascii="Book Antiqua" w:eastAsia="SimSun" w:hAnsi="Book Antiqua" w:cs="SimSun"/>
          <w:color w:val="000000"/>
          <w:sz w:val="24"/>
          <w:szCs w:val="24"/>
          <w:lang w:eastAsia="zh-CN"/>
        </w:rPr>
        <w:t> 1988; </w:t>
      </w:r>
      <w:r w:rsidRPr="00E1636B">
        <w:rPr>
          <w:rFonts w:ascii="Book Antiqua" w:eastAsia="SimSun" w:hAnsi="Book Antiqua" w:cs="SimSun"/>
          <w:b/>
          <w:bCs/>
          <w:color w:val="000000"/>
          <w:sz w:val="24"/>
          <w:szCs w:val="24"/>
          <w:lang w:eastAsia="zh-CN"/>
        </w:rPr>
        <w:t>33</w:t>
      </w:r>
      <w:r w:rsidRPr="00E1636B">
        <w:rPr>
          <w:rFonts w:ascii="Book Antiqua" w:eastAsia="SimSun" w:hAnsi="Book Antiqua" w:cs="SimSun"/>
          <w:color w:val="000000"/>
          <w:sz w:val="24"/>
          <w:szCs w:val="24"/>
          <w:lang w:eastAsia="zh-CN"/>
        </w:rPr>
        <w:t>: 449-453 [PMID: 3349892 DOI: 10.1007/BF01536030]</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44 </w:t>
      </w:r>
      <w:r w:rsidRPr="00E1636B">
        <w:rPr>
          <w:rFonts w:ascii="Book Antiqua" w:eastAsia="SimSun" w:hAnsi="Book Antiqua" w:cs="SimSun"/>
          <w:b/>
          <w:bCs/>
          <w:color w:val="000000"/>
          <w:sz w:val="24"/>
          <w:szCs w:val="24"/>
          <w:lang w:eastAsia="zh-CN"/>
        </w:rPr>
        <w:t>Shoda J</w:t>
      </w:r>
      <w:r w:rsidRPr="00E1636B">
        <w:rPr>
          <w:rFonts w:ascii="Book Antiqua" w:eastAsia="SimSun" w:hAnsi="Book Antiqua" w:cs="SimSun"/>
          <w:color w:val="000000"/>
          <w:sz w:val="24"/>
          <w:szCs w:val="24"/>
          <w:lang w:eastAsia="zh-CN"/>
        </w:rPr>
        <w:t>, Tanaka N, Matsuzaki Y, Honda A, Osuga T, Shigematsu S, Miyazaki H. Microanalysis of bile acid composition in intrahepatic calculi and its etiological significance. </w:t>
      </w:r>
      <w:r w:rsidRPr="00E1636B">
        <w:rPr>
          <w:rFonts w:ascii="Book Antiqua" w:eastAsia="SimSun" w:hAnsi="Book Antiqua" w:cs="SimSun"/>
          <w:i/>
          <w:iCs/>
          <w:color w:val="000000"/>
          <w:sz w:val="24"/>
          <w:szCs w:val="24"/>
          <w:lang w:eastAsia="zh-CN"/>
        </w:rPr>
        <w:t>Gastroenterology</w:t>
      </w:r>
      <w:r w:rsidRPr="00E1636B">
        <w:rPr>
          <w:rFonts w:ascii="Book Antiqua" w:eastAsia="SimSun" w:hAnsi="Book Antiqua" w:cs="SimSun"/>
          <w:color w:val="000000"/>
          <w:sz w:val="24"/>
          <w:szCs w:val="24"/>
          <w:lang w:eastAsia="zh-CN"/>
        </w:rPr>
        <w:t> 1991; </w:t>
      </w:r>
      <w:r w:rsidRPr="00E1636B">
        <w:rPr>
          <w:rFonts w:ascii="Book Antiqua" w:eastAsia="SimSun" w:hAnsi="Book Antiqua" w:cs="SimSun"/>
          <w:b/>
          <w:bCs/>
          <w:color w:val="000000"/>
          <w:sz w:val="24"/>
          <w:szCs w:val="24"/>
          <w:lang w:eastAsia="zh-CN"/>
        </w:rPr>
        <w:t>101</w:t>
      </w:r>
      <w:r w:rsidRPr="00E1636B">
        <w:rPr>
          <w:rFonts w:ascii="Book Antiqua" w:eastAsia="SimSun" w:hAnsi="Book Antiqua" w:cs="SimSun"/>
          <w:color w:val="000000"/>
          <w:sz w:val="24"/>
          <w:szCs w:val="24"/>
          <w:lang w:eastAsia="zh-CN"/>
        </w:rPr>
        <w:t>: 821-830 [PMID: 1860645]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45 </w:t>
      </w:r>
      <w:r w:rsidRPr="00E1636B">
        <w:rPr>
          <w:rFonts w:ascii="Book Antiqua" w:eastAsia="SimSun" w:hAnsi="Book Antiqua" w:cs="SimSun"/>
          <w:b/>
          <w:bCs/>
          <w:color w:val="000000"/>
          <w:sz w:val="24"/>
          <w:szCs w:val="24"/>
          <w:lang w:eastAsia="zh-CN"/>
        </w:rPr>
        <w:t>Shoda J</w:t>
      </w:r>
      <w:r w:rsidRPr="00E1636B">
        <w:rPr>
          <w:rFonts w:ascii="Book Antiqua" w:eastAsia="SimSun" w:hAnsi="Book Antiqua" w:cs="SimSun"/>
          <w:color w:val="000000"/>
          <w:sz w:val="24"/>
          <w:szCs w:val="24"/>
          <w:lang w:eastAsia="zh-CN"/>
        </w:rPr>
        <w:t>, Tanaka N, He BF, Matsuzaki Y, Osuga T, Miyazaki H. Alterations of bile acid composition in gallstones, bile, and liver of patients with hepatolithiasis, and their etiological significance. </w:t>
      </w:r>
      <w:r w:rsidRPr="00E1636B">
        <w:rPr>
          <w:rFonts w:ascii="Book Antiqua" w:eastAsia="SimSun" w:hAnsi="Book Antiqua" w:cs="SimSun"/>
          <w:i/>
          <w:iCs/>
          <w:color w:val="000000"/>
          <w:sz w:val="24"/>
          <w:szCs w:val="24"/>
          <w:lang w:eastAsia="zh-CN"/>
        </w:rPr>
        <w:t>Dig Dis Sci</w:t>
      </w:r>
      <w:r w:rsidRPr="00E1636B">
        <w:rPr>
          <w:rFonts w:ascii="Book Antiqua" w:eastAsia="SimSun" w:hAnsi="Book Antiqua" w:cs="SimSun"/>
          <w:color w:val="000000"/>
          <w:sz w:val="24"/>
          <w:szCs w:val="24"/>
          <w:lang w:eastAsia="zh-CN"/>
        </w:rPr>
        <w:t> 1993; </w:t>
      </w:r>
      <w:r w:rsidRPr="00E1636B">
        <w:rPr>
          <w:rFonts w:ascii="Book Antiqua" w:eastAsia="SimSun" w:hAnsi="Book Antiqua" w:cs="SimSun"/>
          <w:b/>
          <w:bCs/>
          <w:color w:val="000000"/>
          <w:sz w:val="24"/>
          <w:szCs w:val="24"/>
          <w:lang w:eastAsia="zh-CN"/>
        </w:rPr>
        <w:t>38</w:t>
      </w:r>
      <w:r w:rsidRPr="00E1636B">
        <w:rPr>
          <w:rFonts w:ascii="Book Antiqua" w:eastAsia="SimSun" w:hAnsi="Book Antiqua" w:cs="SimSun"/>
          <w:color w:val="000000"/>
          <w:sz w:val="24"/>
          <w:szCs w:val="24"/>
          <w:lang w:eastAsia="zh-CN"/>
        </w:rPr>
        <w:t>: 2130-2141 [PMID: 8223090 DOI: 10.1007/BF01297095]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46 </w:t>
      </w:r>
      <w:r w:rsidRPr="00E1636B">
        <w:rPr>
          <w:rFonts w:ascii="Book Antiqua" w:eastAsia="SimSun" w:hAnsi="Book Antiqua" w:cs="SimSun"/>
          <w:b/>
          <w:bCs/>
          <w:color w:val="000000"/>
          <w:sz w:val="24"/>
          <w:szCs w:val="24"/>
          <w:lang w:eastAsia="zh-CN"/>
        </w:rPr>
        <w:t>Strichartz SD</w:t>
      </w:r>
      <w:r w:rsidRPr="00E1636B">
        <w:rPr>
          <w:rFonts w:ascii="Book Antiqua" w:eastAsia="SimSun" w:hAnsi="Book Antiqua" w:cs="SimSun"/>
          <w:color w:val="000000"/>
          <w:sz w:val="24"/>
          <w:szCs w:val="24"/>
          <w:lang w:eastAsia="zh-CN"/>
        </w:rPr>
        <w:t>, Abedin MZ, Ippoliti AF, Derezin M, Roslyn JJ. Intrahepatic cholesterol stones: a rationale for dissolution therapy. </w:t>
      </w:r>
      <w:r w:rsidRPr="00E1636B">
        <w:rPr>
          <w:rFonts w:ascii="Book Antiqua" w:eastAsia="SimSun" w:hAnsi="Book Antiqua" w:cs="SimSun"/>
          <w:i/>
          <w:iCs/>
          <w:color w:val="000000"/>
          <w:sz w:val="24"/>
          <w:szCs w:val="24"/>
          <w:lang w:eastAsia="zh-CN"/>
        </w:rPr>
        <w:t>Gastroenterology</w:t>
      </w:r>
      <w:r w:rsidRPr="00E1636B">
        <w:rPr>
          <w:rFonts w:ascii="Book Antiqua" w:eastAsia="SimSun" w:hAnsi="Book Antiqua" w:cs="SimSun"/>
          <w:color w:val="000000"/>
          <w:sz w:val="24"/>
          <w:szCs w:val="24"/>
          <w:lang w:eastAsia="zh-CN"/>
        </w:rPr>
        <w:t> 1991; </w:t>
      </w:r>
      <w:r w:rsidRPr="00E1636B">
        <w:rPr>
          <w:rFonts w:ascii="Book Antiqua" w:eastAsia="SimSun" w:hAnsi="Book Antiqua" w:cs="SimSun"/>
          <w:b/>
          <w:bCs/>
          <w:color w:val="000000"/>
          <w:sz w:val="24"/>
          <w:szCs w:val="24"/>
          <w:lang w:eastAsia="zh-CN"/>
        </w:rPr>
        <w:t>100</w:t>
      </w:r>
      <w:r w:rsidRPr="00E1636B">
        <w:rPr>
          <w:rFonts w:ascii="Book Antiqua" w:eastAsia="SimSun" w:hAnsi="Book Antiqua" w:cs="SimSun"/>
          <w:color w:val="000000"/>
          <w:sz w:val="24"/>
          <w:szCs w:val="24"/>
          <w:lang w:eastAsia="zh-CN"/>
        </w:rPr>
        <w:t>: 228-232 [PMID: 1983825]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47 </w:t>
      </w:r>
      <w:r w:rsidRPr="00E1636B">
        <w:rPr>
          <w:rFonts w:ascii="Book Antiqua" w:eastAsia="SimSun" w:hAnsi="Book Antiqua" w:cs="SimSun"/>
          <w:b/>
          <w:bCs/>
          <w:color w:val="000000"/>
          <w:sz w:val="24"/>
          <w:szCs w:val="24"/>
          <w:lang w:eastAsia="zh-CN"/>
        </w:rPr>
        <w:t>Shoda J</w:t>
      </w:r>
      <w:r w:rsidRPr="00E1636B">
        <w:rPr>
          <w:rFonts w:ascii="Book Antiqua" w:eastAsia="SimSun" w:hAnsi="Book Antiqua" w:cs="SimSun"/>
          <w:color w:val="000000"/>
          <w:sz w:val="24"/>
          <w:szCs w:val="24"/>
          <w:lang w:eastAsia="zh-CN"/>
        </w:rPr>
        <w:t xml:space="preserve">, Oda K, Suzuki H, Sugiyama Y, Ito K, Cohen DE, Feng L, Kamiya J, </w:t>
      </w:r>
      <w:r w:rsidRPr="00E1636B">
        <w:rPr>
          <w:rFonts w:ascii="Book Antiqua" w:eastAsia="SimSun" w:hAnsi="Book Antiqua" w:cs="SimSun"/>
          <w:color w:val="000000"/>
          <w:sz w:val="24"/>
          <w:szCs w:val="24"/>
          <w:lang w:eastAsia="zh-CN"/>
        </w:rPr>
        <w:lastRenderedPageBreak/>
        <w:t>Nimura Y, Miyazaki H, Kano M, Matsuzaki Y, Tanaka N. Etiologic significance of defects in cholesterol, phospholipid, and bile acid metabolism in the liver of patients with intrahepatic calculi. </w:t>
      </w:r>
      <w:r w:rsidRPr="00E1636B">
        <w:rPr>
          <w:rFonts w:ascii="Book Antiqua" w:eastAsia="SimSun" w:hAnsi="Book Antiqua" w:cs="SimSun"/>
          <w:i/>
          <w:iCs/>
          <w:color w:val="000000"/>
          <w:sz w:val="24"/>
          <w:szCs w:val="24"/>
          <w:lang w:eastAsia="zh-CN"/>
        </w:rPr>
        <w:t>Hepatology</w:t>
      </w:r>
      <w:r w:rsidRPr="00E1636B">
        <w:rPr>
          <w:rFonts w:ascii="Book Antiqua" w:eastAsia="SimSun" w:hAnsi="Book Antiqua" w:cs="SimSun"/>
          <w:color w:val="000000"/>
          <w:sz w:val="24"/>
          <w:szCs w:val="24"/>
          <w:lang w:eastAsia="zh-CN"/>
        </w:rPr>
        <w:t> 2001; </w:t>
      </w:r>
      <w:r w:rsidRPr="00E1636B">
        <w:rPr>
          <w:rFonts w:ascii="Book Antiqua" w:eastAsia="SimSun" w:hAnsi="Book Antiqua" w:cs="SimSun"/>
          <w:b/>
          <w:bCs/>
          <w:color w:val="000000"/>
          <w:sz w:val="24"/>
          <w:szCs w:val="24"/>
          <w:lang w:eastAsia="zh-CN"/>
        </w:rPr>
        <w:t>33</w:t>
      </w:r>
      <w:r w:rsidRPr="00E1636B">
        <w:rPr>
          <w:rFonts w:ascii="Book Antiqua" w:eastAsia="SimSun" w:hAnsi="Book Antiqua" w:cs="SimSun"/>
          <w:color w:val="000000"/>
          <w:sz w:val="24"/>
          <w:szCs w:val="24"/>
          <w:lang w:eastAsia="zh-CN"/>
        </w:rPr>
        <w:t>: 1194-1205 [PMID: 11343249 DOI: 10.1053/jhep.2001.23936]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48 </w:t>
      </w:r>
      <w:r w:rsidRPr="00E1636B">
        <w:rPr>
          <w:rFonts w:ascii="Book Antiqua" w:eastAsia="SimSun" w:hAnsi="Book Antiqua" w:cs="SimSun"/>
          <w:b/>
          <w:bCs/>
          <w:color w:val="000000"/>
          <w:sz w:val="24"/>
          <w:szCs w:val="24"/>
          <w:lang w:eastAsia="zh-CN"/>
        </w:rPr>
        <w:t>Smith AJ</w:t>
      </w:r>
      <w:r w:rsidRPr="00E1636B">
        <w:rPr>
          <w:rFonts w:ascii="Book Antiqua" w:eastAsia="SimSun" w:hAnsi="Book Antiqua" w:cs="SimSun"/>
          <w:color w:val="000000"/>
          <w:sz w:val="24"/>
          <w:szCs w:val="24"/>
          <w:lang w:eastAsia="zh-CN"/>
        </w:rPr>
        <w:t>, de Vree JM, Ottenhoff R, Oude Elferink RP, Schinkel AH, Borst P. Hepatocyte-specific expression of the human MDR3 P-glycoprotein gene restores the biliary phosphatidylcholine excretion absent in Mdr2 (-/-) mice. </w:t>
      </w:r>
      <w:r w:rsidRPr="00E1636B">
        <w:rPr>
          <w:rFonts w:ascii="Book Antiqua" w:eastAsia="SimSun" w:hAnsi="Book Antiqua" w:cs="SimSun"/>
          <w:i/>
          <w:iCs/>
          <w:color w:val="000000"/>
          <w:sz w:val="24"/>
          <w:szCs w:val="24"/>
          <w:lang w:eastAsia="zh-CN"/>
        </w:rPr>
        <w:t>Hepatology</w:t>
      </w:r>
      <w:r w:rsidRPr="00E1636B">
        <w:rPr>
          <w:rFonts w:ascii="Book Antiqua" w:eastAsia="SimSun" w:hAnsi="Book Antiqua" w:cs="SimSun"/>
          <w:color w:val="000000"/>
          <w:sz w:val="24"/>
          <w:szCs w:val="24"/>
          <w:lang w:eastAsia="zh-CN"/>
        </w:rPr>
        <w:t> 1998; </w:t>
      </w:r>
      <w:r w:rsidRPr="00E1636B">
        <w:rPr>
          <w:rFonts w:ascii="Book Antiqua" w:eastAsia="SimSun" w:hAnsi="Book Antiqua" w:cs="SimSun"/>
          <w:b/>
          <w:bCs/>
          <w:color w:val="000000"/>
          <w:sz w:val="24"/>
          <w:szCs w:val="24"/>
          <w:lang w:eastAsia="zh-CN"/>
        </w:rPr>
        <w:t>28</w:t>
      </w:r>
      <w:r w:rsidRPr="00E1636B">
        <w:rPr>
          <w:rFonts w:ascii="Book Antiqua" w:eastAsia="SimSun" w:hAnsi="Book Antiqua" w:cs="SimSun"/>
          <w:color w:val="000000"/>
          <w:sz w:val="24"/>
          <w:szCs w:val="24"/>
          <w:lang w:eastAsia="zh-CN"/>
        </w:rPr>
        <w:t>: 530-536 [PMID: 9696021 DOI: 10.1002/hep.510280234]</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49 </w:t>
      </w:r>
      <w:r w:rsidRPr="00E1636B">
        <w:rPr>
          <w:rFonts w:ascii="Book Antiqua" w:eastAsia="SimSun" w:hAnsi="Book Antiqua" w:cs="SimSun"/>
          <w:b/>
          <w:bCs/>
          <w:color w:val="000000"/>
          <w:sz w:val="24"/>
          <w:szCs w:val="24"/>
          <w:lang w:eastAsia="zh-CN"/>
        </w:rPr>
        <w:t>Cohen DE</w:t>
      </w:r>
      <w:r w:rsidRPr="00E1636B">
        <w:rPr>
          <w:rFonts w:ascii="Book Antiqua" w:eastAsia="SimSun" w:hAnsi="Book Antiqua" w:cs="SimSun"/>
          <w:color w:val="000000"/>
          <w:sz w:val="24"/>
          <w:szCs w:val="24"/>
          <w:lang w:eastAsia="zh-CN"/>
        </w:rPr>
        <w:t>, Leonard MR, Carey MC. In vitro evidence that phospholipid secretion into bile may be coordinated intracellularly by the combined actions of bile salts and the specific phosphatidylcholine transfer protein of liver. </w:t>
      </w:r>
      <w:r w:rsidRPr="00E1636B">
        <w:rPr>
          <w:rFonts w:ascii="Book Antiqua" w:eastAsia="SimSun" w:hAnsi="Book Antiqua" w:cs="SimSun"/>
          <w:i/>
          <w:iCs/>
          <w:color w:val="000000"/>
          <w:sz w:val="24"/>
          <w:szCs w:val="24"/>
          <w:lang w:eastAsia="zh-CN"/>
        </w:rPr>
        <w:t>Biochemistry</w:t>
      </w:r>
      <w:r w:rsidRPr="00E1636B">
        <w:rPr>
          <w:rFonts w:ascii="Book Antiqua" w:eastAsia="SimSun" w:hAnsi="Book Antiqua" w:cs="SimSun"/>
          <w:color w:val="000000"/>
          <w:sz w:val="24"/>
          <w:szCs w:val="24"/>
          <w:lang w:eastAsia="zh-CN"/>
        </w:rPr>
        <w:t> 1994; </w:t>
      </w:r>
      <w:r w:rsidRPr="00E1636B">
        <w:rPr>
          <w:rFonts w:ascii="Book Antiqua" w:eastAsia="SimSun" w:hAnsi="Book Antiqua" w:cs="SimSun"/>
          <w:b/>
          <w:bCs/>
          <w:color w:val="000000"/>
          <w:sz w:val="24"/>
          <w:szCs w:val="24"/>
          <w:lang w:eastAsia="zh-CN"/>
        </w:rPr>
        <w:t>33</w:t>
      </w:r>
      <w:r w:rsidRPr="00E1636B">
        <w:rPr>
          <w:rFonts w:ascii="Book Antiqua" w:eastAsia="SimSun" w:hAnsi="Book Antiqua" w:cs="SimSun"/>
          <w:color w:val="000000"/>
          <w:sz w:val="24"/>
          <w:szCs w:val="24"/>
          <w:lang w:eastAsia="zh-CN"/>
        </w:rPr>
        <w:t>: 9975-9980 [PMID: 8061007 DOI: 10.1021/bi00199a021]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50 </w:t>
      </w:r>
      <w:r w:rsidRPr="00E1636B">
        <w:rPr>
          <w:rFonts w:ascii="Book Antiqua" w:eastAsia="SimSun" w:hAnsi="Book Antiqua" w:cs="SimSun"/>
          <w:b/>
          <w:bCs/>
          <w:color w:val="000000"/>
          <w:sz w:val="24"/>
          <w:szCs w:val="24"/>
          <w:lang w:eastAsia="zh-CN"/>
        </w:rPr>
        <w:t>Mauad TH</w:t>
      </w:r>
      <w:r w:rsidRPr="00E1636B">
        <w:rPr>
          <w:rFonts w:ascii="Book Antiqua" w:eastAsia="SimSun" w:hAnsi="Book Antiqua" w:cs="SimSun"/>
          <w:color w:val="000000"/>
          <w:sz w:val="24"/>
          <w:szCs w:val="24"/>
          <w:lang w:eastAsia="zh-CN"/>
        </w:rPr>
        <w:t>, van Nieuwkerk CM, Dingemans KP, Smit JJ, Schinkel AH, Notenboom RG, van den Bergh Weerman MA, Verkruisen RP, Groen AK, Oude Elferink RP. Mice with homozygous disruption of the mdr2 P-glycoprotein gene. A novel animal model for studies of nonsuppurative inflammatory cholangitis and hepatocarcinogenesis. </w:t>
      </w:r>
      <w:r w:rsidRPr="00E1636B">
        <w:rPr>
          <w:rFonts w:ascii="Book Antiqua" w:eastAsia="SimSun" w:hAnsi="Book Antiqua" w:cs="SimSun"/>
          <w:i/>
          <w:iCs/>
          <w:color w:val="000000"/>
          <w:sz w:val="24"/>
          <w:szCs w:val="24"/>
          <w:lang w:eastAsia="zh-CN"/>
        </w:rPr>
        <w:t>Am J Pathol</w:t>
      </w:r>
      <w:r w:rsidRPr="00E1636B">
        <w:rPr>
          <w:rFonts w:ascii="Book Antiqua" w:eastAsia="SimSun" w:hAnsi="Book Antiqua" w:cs="SimSun"/>
          <w:color w:val="000000"/>
          <w:sz w:val="24"/>
          <w:szCs w:val="24"/>
          <w:lang w:eastAsia="zh-CN"/>
        </w:rPr>
        <w:t> 1994; </w:t>
      </w:r>
      <w:r w:rsidRPr="00E1636B">
        <w:rPr>
          <w:rFonts w:ascii="Book Antiqua" w:eastAsia="SimSun" w:hAnsi="Book Antiqua" w:cs="SimSun"/>
          <w:b/>
          <w:bCs/>
          <w:color w:val="000000"/>
          <w:sz w:val="24"/>
          <w:szCs w:val="24"/>
          <w:lang w:eastAsia="zh-CN"/>
        </w:rPr>
        <w:t>145</w:t>
      </w:r>
      <w:r w:rsidRPr="00E1636B">
        <w:rPr>
          <w:rFonts w:ascii="Book Antiqua" w:eastAsia="SimSun" w:hAnsi="Book Antiqua" w:cs="SimSun"/>
          <w:color w:val="000000"/>
          <w:sz w:val="24"/>
          <w:szCs w:val="24"/>
          <w:lang w:eastAsia="zh-CN"/>
        </w:rPr>
        <w:t>: 1237-1245 [PMID: 7977654]</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51 </w:t>
      </w:r>
      <w:r w:rsidRPr="00E1636B">
        <w:rPr>
          <w:rFonts w:ascii="Book Antiqua" w:eastAsia="SimSun" w:hAnsi="Book Antiqua" w:cs="SimSun"/>
          <w:b/>
          <w:bCs/>
          <w:color w:val="000000"/>
          <w:sz w:val="24"/>
          <w:szCs w:val="24"/>
          <w:lang w:eastAsia="zh-CN"/>
        </w:rPr>
        <w:t>de Vree JM</w:t>
      </w:r>
      <w:r w:rsidRPr="00E1636B">
        <w:rPr>
          <w:rFonts w:ascii="Book Antiqua" w:eastAsia="SimSun" w:hAnsi="Book Antiqua" w:cs="SimSun"/>
          <w:color w:val="000000"/>
          <w:sz w:val="24"/>
          <w:szCs w:val="24"/>
          <w:lang w:eastAsia="zh-CN"/>
        </w:rPr>
        <w:t>, Jacquemin E, Sturm E, Cresteil D, Bosma PJ, Aten J, Deleuze JF, Desrochers M, Burdelski M, Bernard O, Oude Elferink RP, Hadchouel M. Mutations in the MDR3 gene cause progressive familial intrahepatic cholestasis. </w:t>
      </w:r>
      <w:r w:rsidRPr="00E1636B">
        <w:rPr>
          <w:rFonts w:ascii="Book Antiqua" w:eastAsia="SimSun" w:hAnsi="Book Antiqua" w:cs="SimSun"/>
          <w:i/>
          <w:iCs/>
          <w:color w:val="000000"/>
          <w:sz w:val="24"/>
          <w:szCs w:val="24"/>
          <w:lang w:eastAsia="zh-CN"/>
        </w:rPr>
        <w:t>Proc Natl Acad Sci USA</w:t>
      </w:r>
      <w:r w:rsidRPr="00E1636B">
        <w:rPr>
          <w:rFonts w:ascii="Book Antiqua" w:eastAsia="SimSun" w:hAnsi="Book Antiqua" w:cs="SimSun"/>
          <w:color w:val="000000"/>
          <w:sz w:val="24"/>
          <w:szCs w:val="24"/>
          <w:lang w:eastAsia="zh-CN"/>
        </w:rPr>
        <w:t> 1998; </w:t>
      </w:r>
      <w:r w:rsidRPr="00E1636B">
        <w:rPr>
          <w:rFonts w:ascii="Book Antiqua" w:eastAsia="SimSun" w:hAnsi="Book Antiqua" w:cs="SimSun"/>
          <w:b/>
          <w:bCs/>
          <w:color w:val="000000"/>
          <w:sz w:val="24"/>
          <w:szCs w:val="24"/>
          <w:lang w:eastAsia="zh-CN"/>
        </w:rPr>
        <w:t>95</w:t>
      </w:r>
      <w:r w:rsidRPr="00E1636B">
        <w:rPr>
          <w:rFonts w:ascii="Book Antiqua" w:eastAsia="SimSun" w:hAnsi="Book Antiqua" w:cs="SimSun"/>
          <w:color w:val="000000"/>
          <w:sz w:val="24"/>
          <w:szCs w:val="24"/>
          <w:lang w:eastAsia="zh-CN"/>
        </w:rPr>
        <w:t>: 282-287 [PMID: 9419367 DOI: 10.1073/pnas.95.1.282]</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52 </w:t>
      </w:r>
      <w:r w:rsidRPr="00E1636B">
        <w:rPr>
          <w:rFonts w:ascii="Book Antiqua" w:eastAsia="SimSun" w:hAnsi="Book Antiqua" w:cs="SimSun"/>
          <w:b/>
          <w:bCs/>
          <w:color w:val="000000"/>
          <w:sz w:val="24"/>
          <w:szCs w:val="24"/>
          <w:lang w:eastAsia="zh-CN"/>
        </w:rPr>
        <w:t>Malagelada JR</w:t>
      </w:r>
      <w:r w:rsidRPr="00E1636B">
        <w:rPr>
          <w:rFonts w:ascii="Book Antiqua" w:eastAsia="SimSun" w:hAnsi="Book Antiqua" w:cs="SimSun"/>
          <w:color w:val="000000"/>
          <w:sz w:val="24"/>
          <w:szCs w:val="24"/>
          <w:lang w:eastAsia="zh-CN"/>
        </w:rPr>
        <w:t>, Go VL, DiMagno EP, Summerskill WH. Interactions between intraluminal bile acids and digestive products on pancreatic and gallbladder function. </w:t>
      </w:r>
      <w:r w:rsidRPr="00E1636B">
        <w:rPr>
          <w:rFonts w:ascii="Book Antiqua" w:eastAsia="SimSun" w:hAnsi="Book Antiqua" w:cs="SimSun"/>
          <w:i/>
          <w:iCs/>
          <w:color w:val="000000"/>
          <w:sz w:val="24"/>
          <w:szCs w:val="24"/>
          <w:lang w:eastAsia="zh-CN"/>
        </w:rPr>
        <w:t>J Clin Invest</w:t>
      </w:r>
      <w:r w:rsidRPr="00E1636B">
        <w:rPr>
          <w:rFonts w:ascii="Book Antiqua" w:eastAsia="SimSun" w:hAnsi="Book Antiqua" w:cs="SimSun"/>
          <w:color w:val="000000"/>
          <w:sz w:val="24"/>
          <w:szCs w:val="24"/>
          <w:lang w:eastAsia="zh-CN"/>
        </w:rPr>
        <w:t> 1973; </w:t>
      </w:r>
      <w:r w:rsidRPr="00E1636B">
        <w:rPr>
          <w:rFonts w:ascii="Book Antiqua" w:eastAsia="SimSun" w:hAnsi="Book Antiqua" w:cs="SimSun"/>
          <w:b/>
          <w:bCs/>
          <w:color w:val="000000"/>
          <w:sz w:val="24"/>
          <w:szCs w:val="24"/>
          <w:lang w:eastAsia="zh-CN"/>
        </w:rPr>
        <w:t>52</w:t>
      </w:r>
      <w:r w:rsidRPr="00E1636B">
        <w:rPr>
          <w:rFonts w:ascii="Book Antiqua" w:eastAsia="SimSun" w:hAnsi="Book Antiqua" w:cs="SimSun"/>
          <w:color w:val="000000"/>
          <w:sz w:val="24"/>
          <w:szCs w:val="24"/>
          <w:lang w:eastAsia="zh-CN"/>
        </w:rPr>
        <w:t>: 2160-2165 [PMID: 4727454 DOI: 10.1172/JCI107400]</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53 </w:t>
      </w:r>
      <w:r w:rsidRPr="00E1636B">
        <w:rPr>
          <w:rFonts w:ascii="Book Antiqua" w:eastAsia="SimSun" w:hAnsi="Book Antiqua" w:cs="SimSun"/>
          <w:b/>
          <w:bCs/>
          <w:color w:val="000000"/>
          <w:sz w:val="24"/>
          <w:szCs w:val="24"/>
          <w:lang w:eastAsia="zh-CN"/>
        </w:rPr>
        <w:t>Ashkin JR</w:t>
      </w:r>
      <w:r w:rsidRPr="00E1636B">
        <w:rPr>
          <w:rFonts w:ascii="Book Antiqua" w:eastAsia="SimSun" w:hAnsi="Book Antiqua" w:cs="SimSun"/>
          <w:color w:val="000000"/>
          <w:sz w:val="24"/>
          <w:szCs w:val="24"/>
          <w:lang w:eastAsia="zh-CN"/>
        </w:rPr>
        <w:t>, Lyon DT, Shull SD, Wagner CI, Soloway RD. Factors affecting delivery of bile to the duodenum in man. </w:t>
      </w:r>
      <w:r w:rsidRPr="00E1636B">
        <w:rPr>
          <w:rFonts w:ascii="Book Antiqua" w:eastAsia="SimSun" w:hAnsi="Book Antiqua" w:cs="SimSun"/>
          <w:i/>
          <w:iCs/>
          <w:color w:val="000000"/>
          <w:sz w:val="24"/>
          <w:szCs w:val="24"/>
          <w:lang w:eastAsia="zh-CN"/>
        </w:rPr>
        <w:t>Gastroenterology</w:t>
      </w:r>
      <w:r w:rsidRPr="00E1636B">
        <w:rPr>
          <w:rFonts w:ascii="Book Antiqua" w:eastAsia="SimSun" w:hAnsi="Book Antiqua" w:cs="SimSun"/>
          <w:color w:val="000000"/>
          <w:sz w:val="24"/>
          <w:szCs w:val="24"/>
          <w:lang w:eastAsia="zh-CN"/>
        </w:rPr>
        <w:t> 1978; </w:t>
      </w:r>
      <w:r w:rsidRPr="00E1636B">
        <w:rPr>
          <w:rFonts w:ascii="Book Antiqua" w:eastAsia="SimSun" w:hAnsi="Book Antiqua" w:cs="SimSun"/>
          <w:b/>
          <w:bCs/>
          <w:color w:val="000000"/>
          <w:sz w:val="24"/>
          <w:szCs w:val="24"/>
          <w:lang w:eastAsia="zh-CN"/>
        </w:rPr>
        <w:t>74</w:t>
      </w:r>
      <w:r w:rsidRPr="00E1636B">
        <w:rPr>
          <w:rFonts w:ascii="Book Antiqua" w:eastAsia="SimSun" w:hAnsi="Book Antiqua" w:cs="SimSun"/>
          <w:color w:val="000000"/>
          <w:sz w:val="24"/>
          <w:szCs w:val="24"/>
          <w:lang w:eastAsia="zh-CN"/>
        </w:rPr>
        <w:t>: 560-565 [PMID: 631486]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54 </w:t>
      </w:r>
      <w:r w:rsidRPr="00E1636B">
        <w:rPr>
          <w:rFonts w:ascii="Book Antiqua" w:eastAsia="SimSun" w:hAnsi="Book Antiqua" w:cs="SimSun"/>
          <w:b/>
          <w:bCs/>
          <w:color w:val="000000"/>
          <w:sz w:val="24"/>
          <w:szCs w:val="24"/>
          <w:lang w:eastAsia="zh-CN"/>
        </w:rPr>
        <w:t>Tabata M</w:t>
      </w:r>
      <w:r w:rsidRPr="00E1636B">
        <w:rPr>
          <w:rFonts w:ascii="Book Antiqua" w:eastAsia="SimSun" w:hAnsi="Book Antiqua" w:cs="SimSun"/>
          <w:color w:val="000000"/>
          <w:sz w:val="24"/>
          <w:szCs w:val="24"/>
          <w:lang w:eastAsia="zh-CN"/>
        </w:rPr>
        <w:t>, Nakayama F. Bacteriology of hepatolithiasis. </w:t>
      </w:r>
      <w:r w:rsidRPr="00E1636B">
        <w:rPr>
          <w:rFonts w:ascii="Book Antiqua" w:eastAsia="SimSun" w:hAnsi="Book Antiqua" w:cs="SimSun"/>
          <w:i/>
          <w:iCs/>
          <w:color w:val="000000"/>
          <w:sz w:val="24"/>
          <w:szCs w:val="24"/>
          <w:lang w:eastAsia="zh-CN"/>
        </w:rPr>
        <w:t>Prog Clin Biol Res</w:t>
      </w:r>
      <w:r w:rsidRPr="00E1636B">
        <w:rPr>
          <w:rFonts w:ascii="Book Antiqua" w:eastAsia="SimSun" w:hAnsi="Book Antiqua" w:cs="SimSun"/>
          <w:color w:val="000000"/>
          <w:sz w:val="24"/>
          <w:szCs w:val="24"/>
          <w:lang w:eastAsia="zh-CN"/>
        </w:rPr>
        <w:t> 1984; </w:t>
      </w:r>
      <w:r w:rsidRPr="00E1636B">
        <w:rPr>
          <w:rFonts w:ascii="Book Antiqua" w:eastAsia="SimSun" w:hAnsi="Book Antiqua" w:cs="SimSun"/>
          <w:b/>
          <w:bCs/>
          <w:color w:val="000000"/>
          <w:sz w:val="24"/>
          <w:szCs w:val="24"/>
          <w:lang w:eastAsia="zh-CN"/>
        </w:rPr>
        <w:t>152</w:t>
      </w:r>
      <w:r w:rsidRPr="00E1636B">
        <w:rPr>
          <w:rFonts w:ascii="Book Antiqua" w:eastAsia="SimSun" w:hAnsi="Book Antiqua" w:cs="SimSun"/>
          <w:color w:val="000000"/>
          <w:sz w:val="24"/>
          <w:szCs w:val="24"/>
          <w:lang w:eastAsia="zh-CN"/>
        </w:rPr>
        <w:t>: 163-174 [PMID: 6382275]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55 </w:t>
      </w:r>
      <w:r w:rsidRPr="00E1636B">
        <w:rPr>
          <w:rFonts w:ascii="Book Antiqua" w:eastAsia="SimSun" w:hAnsi="Book Antiqua" w:cs="SimSun"/>
          <w:b/>
          <w:bCs/>
          <w:color w:val="000000"/>
          <w:sz w:val="24"/>
          <w:szCs w:val="24"/>
          <w:lang w:eastAsia="zh-CN"/>
        </w:rPr>
        <w:t>Tabata M</w:t>
      </w:r>
      <w:r w:rsidRPr="00E1636B">
        <w:rPr>
          <w:rFonts w:ascii="Book Antiqua" w:eastAsia="SimSun" w:hAnsi="Book Antiqua" w:cs="SimSun"/>
          <w:color w:val="000000"/>
          <w:sz w:val="24"/>
          <w:szCs w:val="24"/>
          <w:lang w:eastAsia="zh-CN"/>
        </w:rPr>
        <w:t>, Nakayama F. Bacteria and gallstones. Etiological significance. </w:t>
      </w:r>
      <w:r w:rsidRPr="00E1636B">
        <w:rPr>
          <w:rFonts w:ascii="Book Antiqua" w:eastAsia="SimSun" w:hAnsi="Book Antiqua" w:cs="SimSun"/>
          <w:i/>
          <w:iCs/>
          <w:color w:val="000000"/>
          <w:sz w:val="24"/>
          <w:szCs w:val="24"/>
          <w:lang w:eastAsia="zh-CN"/>
        </w:rPr>
        <w:t xml:space="preserve">Dig Dis </w:t>
      </w:r>
      <w:r w:rsidRPr="00E1636B">
        <w:rPr>
          <w:rFonts w:ascii="Book Antiqua" w:eastAsia="SimSun" w:hAnsi="Book Antiqua" w:cs="SimSun"/>
          <w:i/>
          <w:iCs/>
          <w:color w:val="000000"/>
          <w:sz w:val="24"/>
          <w:szCs w:val="24"/>
          <w:lang w:eastAsia="zh-CN"/>
        </w:rPr>
        <w:lastRenderedPageBreak/>
        <w:t>Sci</w:t>
      </w:r>
      <w:r w:rsidRPr="00E1636B">
        <w:rPr>
          <w:rFonts w:ascii="Book Antiqua" w:eastAsia="SimSun" w:hAnsi="Book Antiqua" w:cs="SimSun"/>
          <w:color w:val="000000"/>
          <w:sz w:val="24"/>
          <w:szCs w:val="24"/>
          <w:lang w:eastAsia="zh-CN"/>
        </w:rPr>
        <w:t> 1981; </w:t>
      </w:r>
      <w:r w:rsidRPr="00E1636B">
        <w:rPr>
          <w:rFonts w:ascii="Book Antiqua" w:eastAsia="SimSun" w:hAnsi="Book Antiqua" w:cs="SimSun"/>
          <w:b/>
          <w:bCs/>
          <w:color w:val="000000"/>
          <w:sz w:val="24"/>
          <w:szCs w:val="24"/>
          <w:lang w:eastAsia="zh-CN"/>
        </w:rPr>
        <w:t>26</w:t>
      </w:r>
      <w:r w:rsidRPr="00E1636B">
        <w:rPr>
          <w:rFonts w:ascii="Book Antiqua" w:eastAsia="SimSun" w:hAnsi="Book Antiqua" w:cs="SimSun"/>
          <w:color w:val="000000"/>
          <w:sz w:val="24"/>
          <w:szCs w:val="24"/>
          <w:lang w:eastAsia="zh-CN"/>
        </w:rPr>
        <w:t>: 218-224 [PMID: 7238247 DOI: 10.1007/BF01391633]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56 </w:t>
      </w:r>
      <w:r w:rsidRPr="00E1636B">
        <w:rPr>
          <w:rFonts w:ascii="Book Antiqua" w:eastAsia="SimSun" w:hAnsi="Book Antiqua" w:cs="SimSun"/>
          <w:b/>
          <w:bCs/>
          <w:color w:val="000000"/>
          <w:sz w:val="24"/>
          <w:szCs w:val="24"/>
          <w:lang w:eastAsia="zh-CN"/>
        </w:rPr>
        <w:t>Shoda J</w:t>
      </w:r>
      <w:r w:rsidRPr="00E1636B">
        <w:rPr>
          <w:rFonts w:ascii="Book Antiqua" w:eastAsia="SimSun" w:hAnsi="Book Antiqua" w:cs="SimSun"/>
          <w:color w:val="000000"/>
          <w:sz w:val="24"/>
          <w:szCs w:val="24"/>
          <w:lang w:eastAsia="zh-CN"/>
        </w:rPr>
        <w:t>, Kano M, Asano T, Irimura T, Ueda T, Iwasaki R, Furukawa M, Kamiya J, Nimura Y, Todoroki T, Matsuzaki Y, Tanaka N. Secretory low-molecular-weight phospholipases A2 and their specific receptor in bile ducts of patients with intrahepatic calculi: factors of chronic proliferative cholangitis. </w:t>
      </w:r>
      <w:r w:rsidRPr="00E1636B">
        <w:rPr>
          <w:rFonts w:ascii="Book Antiqua" w:eastAsia="SimSun" w:hAnsi="Book Antiqua" w:cs="SimSun"/>
          <w:i/>
          <w:iCs/>
          <w:color w:val="000000"/>
          <w:sz w:val="24"/>
          <w:szCs w:val="24"/>
          <w:lang w:eastAsia="zh-CN"/>
        </w:rPr>
        <w:t>Hepatology</w:t>
      </w:r>
      <w:r w:rsidRPr="00E1636B">
        <w:rPr>
          <w:rFonts w:ascii="Book Antiqua" w:eastAsia="SimSun" w:hAnsi="Book Antiqua" w:cs="SimSun"/>
          <w:color w:val="000000"/>
          <w:sz w:val="24"/>
          <w:szCs w:val="24"/>
          <w:lang w:eastAsia="zh-CN"/>
        </w:rPr>
        <w:t> 1999; </w:t>
      </w:r>
      <w:r w:rsidRPr="00E1636B">
        <w:rPr>
          <w:rFonts w:ascii="Book Antiqua" w:eastAsia="SimSun" w:hAnsi="Book Antiqua" w:cs="SimSun"/>
          <w:b/>
          <w:bCs/>
          <w:color w:val="000000"/>
          <w:sz w:val="24"/>
          <w:szCs w:val="24"/>
          <w:lang w:eastAsia="zh-CN"/>
        </w:rPr>
        <w:t>29</w:t>
      </w:r>
      <w:r w:rsidRPr="00E1636B">
        <w:rPr>
          <w:rFonts w:ascii="Book Antiqua" w:eastAsia="SimSun" w:hAnsi="Book Antiqua" w:cs="SimSun"/>
          <w:color w:val="000000"/>
          <w:sz w:val="24"/>
          <w:szCs w:val="24"/>
          <w:lang w:eastAsia="zh-CN"/>
        </w:rPr>
        <w:t>: 1026-1036 [PMID: 10094942 DOI: 10.1002/hep.510290440]</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57 </w:t>
      </w:r>
      <w:r w:rsidRPr="00E1636B">
        <w:rPr>
          <w:rFonts w:ascii="Book Antiqua" w:eastAsia="SimSun" w:hAnsi="Book Antiqua" w:cs="SimSun"/>
          <w:b/>
          <w:bCs/>
          <w:color w:val="000000"/>
          <w:sz w:val="24"/>
          <w:szCs w:val="24"/>
          <w:lang w:eastAsia="zh-CN"/>
        </w:rPr>
        <w:t>Shoda J</w:t>
      </w:r>
      <w:r w:rsidRPr="00E1636B">
        <w:rPr>
          <w:rFonts w:ascii="Book Antiqua" w:eastAsia="SimSun" w:hAnsi="Book Antiqua" w:cs="SimSun"/>
          <w:color w:val="000000"/>
          <w:sz w:val="24"/>
          <w:szCs w:val="24"/>
          <w:lang w:eastAsia="zh-CN"/>
        </w:rPr>
        <w:t>, Ueda T, Kawamoto T, Todoroki T, Asano T, Sugimoto Y, Ichikawa A, Maruyama T, Nimura Y, Tanaka N. Prostaglandin E receptors in bile ducts of hepatolithiasis patients and the pathobiological significance for cholangitis. </w:t>
      </w:r>
      <w:r w:rsidRPr="00E1636B">
        <w:rPr>
          <w:rFonts w:ascii="Book Antiqua" w:eastAsia="SimSun" w:hAnsi="Book Antiqua" w:cs="SimSun"/>
          <w:i/>
          <w:iCs/>
          <w:color w:val="000000"/>
          <w:sz w:val="24"/>
          <w:szCs w:val="24"/>
          <w:lang w:eastAsia="zh-CN"/>
        </w:rPr>
        <w:t>Clin Gastroenterol Hepatol</w:t>
      </w:r>
      <w:r w:rsidRPr="00E1636B">
        <w:rPr>
          <w:rFonts w:ascii="Book Antiqua" w:eastAsia="SimSun" w:hAnsi="Book Antiqua" w:cs="SimSun"/>
          <w:color w:val="000000"/>
          <w:sz w:val="24"/>
          <w:szCs w:val="24"/>
          <w:lang w:eastAsia="zh-CN"/>
        </w:rPr>
        <w:t> 2003; </w:t>
      </w:r>
      <w:r w:rsidRPr="00E1636B">
        <w:rPr>
          <w:rFonts w:ascii="Book Antiqua" w:eastAsia="SimSun" w:hAnsi="Book Antiqua" w:cs="SimSun"/>
          <w:b/>
          <w:bCs/>
          <w:color w:val="000000"/>
          <w:sz w:val="24"/>
          <w:szCs w:val="24"/>
          <w:lang w:eastAsia="zh-CN"/>
        </w:rPr>
        <w:t>1</w:t>
      </w:r>
      <w:r w:rsidRPr="00E1636B">
        <w:rPr>
          <w:rFonts w:ascii="Book Antiqua" w:eastAsia="SimSun" w:hAnsi="Book Antiqua" w:cs="SimSun"/>
          <w:color w:val="000000"/>
          <w:sz w:val="24"/>
          <w:szCs w:val="24"/>
          <w:lang w:eastAsia="zh-CN"/>
        </w:rPr>
        <w:t>: 285-296 [PMID: 15017670 DOI: 10.1016/S1542-3565(03)00133-2]</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58 </w:t>
      </w:r>
      <w:r w:rsidRPr="00E1636B">
        <w:rPr>
          <w:rFonts w:ascii="Book Antiqua" w:eastAsia="SimSun" w:hAnsi="Book Antiqua" w:cs="SimSun"/>
          <w:b/>
          <w:bCs/>
          <w:color w:val="000000"/>
          <w:sz w:val="24"/>
          <w:szCs w:val="24"/>
          <w:lang w:eastAsia="zh-CN"/>
        </w:rPr>
        <w:t>Yang L</w:t>
      </w:r>
      <w:r w:rsidRPr="00E1636B">
        <w:rPr>
          <w:rFonts w:ascii="Book Antiqua" w:eastAsia="SimSun" w:hAnsi="Book Antiqua" w:cs="SimSun"/>
          <w:color w:val="000000"/>
          <w:sz w:val="24"/>
          <w:szCs w:val="24"/>
          <w:lang w:eastAsia="zh-CN"/>
        </w:rPr>
        <w:t>, Junmin S, Hong Y, Shuodong W. PGE(2) induces MUC2 and MUC5AC expression in human intrahepatic biliary epithelial cells via EP4/p38MAPK activation. </w:t>
      </w:r>
      <w:r w:rsidRPr="00E1636B">
        <w:rPr>
          <w:rFonts w:ascii="Book Antiqua" w:eastAsia="SimSun" w:hAnsi="Book Antiqua" w:cs="SimSun"/>
          <w:i/>
          <w:iCs/>
          <w:color w:val="000000"/>
          <w:sz w:val="24"/>
          <w:szCs w:val="24"/>
          <w:lang w:eastAsia="zh-CN"/>
        </w:rPr>
        <w:t>Ann Hepatol</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12</w:t>
      </w:r>
      <w:r w:rsidRPr="00E1636B">
        <w:rPr>
          <w:rFonts w:ascii="Book Antiqua" w:eastAsia="SimSun" w:hAnsi="Book Antiqua" w:cs="SimSun"/>
          <w:color w:val="000000"/>
          <w:sz w:val="24"/>
          <w:szCs w:val="24"/>
          <w:lang w:eastAsia="zh-CN"/>
        </w:rPr>
        <w:t>: 479-486 [PMID: 23619266]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59 </w:t>
      </w:r>
      <w:r w:rsidRPr="00E1636B">
        <w:rPr>
          <w:rFonts w:ascii="Book Antiqua" w:eastAsia="SimSun" w:hAnsi="Book Antiqua" w:cs="SimSun"/>
          <w:b/>
          <w:bCs/>
          <w:color w:val="000000"/>
          <w:sz w:val="24"/>
          <w:szCs w:val="24"/>
          <w:lang w:eastAsia="zh-CN"/>
        </w:rPr>
        <w:t>Nakanuma Y</w:t>
      </w:r>
      <w:r w:rsidRPr="00E1636B">
        <w:rPr>
          <w:rFonts w:ascii="Book Antiqua" w:eastAsia="SimSun" w:hAnsi="Book Antiqua" w:cs="SimSun"/>
          <w:color w:val="000000"/>
          <w:sz w:val="24"/>
          <w:szCs w:val="24"/>
          <w:lang w:eastAsia="zh-CN"/>
        </w:rPr>
        <w:t>, Yamaguchi K, Ohta G, Terada T. Pathologic features of hepatolithiasis in Japan. </w:t>
      </w:r>
      <w:r w:rsidRPr="00E1636B">
        <w:rPr>
          <w:rFonts w:ascii="Book Antiqua" w:eastAsia="SimSun" w:hAnsi="Book Antiqua" w:cs="SimSun"/>
          <w:i/>
          <w:iCs/>
          <w:color w:val="000000"/>
          <w:sz w:val="24"/>
          <w:szCs w:val="24"/>
          <w:lang w:eastAsia="zh-CN"/>
        </w:rPr>
        <w:t>Hum Pathol</w:t>
      </w:r>
      <w:r w:rsidRPr="00E1636B">
        <w:rPr>
          <w:rFonts w:ascii="Book Antiqua" w:eastAsia="SimSun" w:hAnsi="Book Antiqua" w:cs="SimSun"/>
          <w:color w:val="000000"/>
          <w:sz w:val="24"/>
          <w:szCs w:val="24"/>
          <w:lang w:eastAsia="zh-CN"/>
        </w:rPr>
        <w:t> 1988; </w:t>
      </w:r>
      <w:r w:rsidRPr="00E1636B">
        <w:rPr>
          <w:rFonts w:ascii="Book Antiqua" w:eastAsia="SimSun" w:hAnsi="Book Antiqua" w:cs="SimSun"/>
          <w:b/>
          <w:bCs/>
          <w:color w:val="000000"/>
          <w:sz w:val="24"/>
          <w:szCs w:val="24"/>
          <w:lang w:eastAsia="zh-CN"/>
        </w:rPr>
        <w:t>19</w:t>
      </w:r>
      <w:r w:rsidRPr="00E1636B">
        <w:rPr>
          <w:rFonts w:ascii="Book Antiqua" w:eastAsia="SimSun" w:hAnsi="Book Antiqua" w:cs="SimSun"/>
          <w:color w:val="000000"/>
          <w:sz w:val="24"/>
          <w:szCs w:val="24"/>
          <w:lang w:eastAsia="zh-CN"/>
        </w:rPr>
        <w:t>: 1181-1186 [PMID: 3169727 DOI: 10.1016/S0046-8177(88)80150-3]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60 </w:t>
      </w:r>
      <w:r w:rsidRPr="00E1636B">
        <w:rPr>
          <w:rFonts w:ascii="Book Antiqua" w:eastAsia="SimSun" w:hAnsi="Book Antiqua" w:cs="SimSun"/>
          <w:b/>
          <w:bCs/>
          <w:color w:val="000000"/>
          <w:sz w:val="24"/>
          <w:szCs w:val="24"/>
          <w:lang w:eastAsia="zh-CN"/>
        </w:rPr>
        <w:t>Forstner JF</w:t>
      </w:r>
      <w:r w:rsidRPr="00E1636B">
        <w:rPr>
          <w:rFonts w:ascii="Book Antiqua" w:eastAsia="SimSun" w:hAnsi="Book Antiqua" w:cs="SimSun"/>
          <w:color w:val="000000"/>
          <w:sz w:val="24"/>
          <w:szCs w:val="24"/>
          <w:lang w:eastAsia="zh-CN"/>
        </w:rPr>
        <w:t>, Forstner GG. Calcium binding to intestinal goblet cell mucin. </w:t>
      </w:r>
      <w:r w:rsidRPr="00E1636B">
        <w:rPr>
          <w:rFonts w:ascii="Book Antiqua" w:eastAsia="SimSun" w:hAnsi="Book Antiqua" w:cs="SimSun"/>
          <w:i/>
          <w:iCs/>
          <w:color w:val="000000"/>
          <w:sz w:val="24"/>
          <w:szCs w:val="24"/>
          <w:lang w:eastAsia="zh-CN"/>
        </w:rPr>
        <w:t>Biochim Biophys Acta</w:t>
      </w:r>
      <w:r w:rsidRPr="00E1636B">
        <w:rPr>
          <w:rFonts w:ascii="Book Antiqua" w:eastAsia="SimSun" w:hAnsi="Book Antiqua" w:cs="SimSun"/>
          <w:color w:val="000000"/>
          <w:sz w:val="24"/>
          <w:szCs w:val="24"/>
          <w:lang w:eastAsia="zh-CN"/>
        </w:rPr>
        <w:t> 1975; </w:t>
      </w:r>
      <w:r w:rsidRPr="00E1636B">
        <w:rPr>
          <w:rFonts w:ascii="Book Antiqua" w:eastAsia="SimSun" w:hAnsi="Book Antiqua" w:cs="SimSun"/>
          <w:b/>
          <w:bCs/>
          <w:color w:val="000000"/>
          <w:sz w:val="24"/>
          <w:szCs w:val="24"/>
          <w:lang w:eastAsia="zh-CN"/>
        </w:rPr>
        <w:t>386</w:t>
      </w:r>
      <w:r w:rsidRPr="00E1636B">
        <w:rPr>
          <w:rFonts w:ascii="Book Antiqua" w:eastAsia="SimSun" w:hAnsi="Book Antiqua" w:cs="SimSun"/>
          <w:color w:val="000000"/>
          <w:sz w:val="24"/>
          <w:szCs w:val="24"/>
          <w:lang w:eastAsia="zh-CN"/>
        </w:rPr>
        <w:t>: 283-292 [PMID: 236024 DOI: 10.1016/0005-2795(75)90270-6]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61 </w:t>
      </w:r>
      <w:r w:rsidRPr="00E1636B">
        <w:rPr>
          <w:rFonts w:ascii="Book Antiqua" w:eastAsia="SimSun" w:hAnsi="Book Antiqua" w:cs="SimSun"/>
          <w:b/>
          <w:bCs/>
          <w:color w:val="000000"/>
          <w:sz w:val="24"/>
          <w:szCs w:val="24"/>
          <w:lang w:eastAsia="zh-CN"/>
        </w:rPr>
        <w:t>Woodward H</w:t>
      </w:r>
      <w:r w:rsidRPr="00E1636B">
        <w:rPr>
          <w:rFonts w:ascii="Book Antiqua" w:eastAsia="SimSun" w:hAnsi="Book Antiqua" w:cs="SimSun"/>
          <w:color w:val="000000"/>
          <w:sz w:val="24"/>
          <w:szCs w:val="24"/>
          <w:lang w:eastAsia="zh-CN"/>
        </w:rPr>
        <w:t>, Horsey B, Bhavanandan VP, Davidson EA. Isolation, purification, and properties of respiratory mucus glycoproteins. </w:t>
      </w:r>
      <w:r w:rsidRPr="00E1636B">
        <w:rPr>
          <w:rFonts w:ascii="Book Antiqua" w:eastAsia="SimSun" w:hAnsi="Book Antiqua" w:cs="SimSun"/>
          <w:i/>
          <w:iCs/>
          <w:color w:val="000000"/>
          <w:sz w:val="24"/>
          <w:szCs w:val="24"/>
          <w:lang w:eastAsia="zh-CN"/>
        </w:rPr>
        <w:t>Biochemistry</w:t>
      </w:r>
      <w:r w:rsidRPr="00E1636B">
        <w:rPr>
          <w:rFonts w:ascii="Book Antiqua" w:eastAsia="SimSun" w:hAnsi="Book Antiqua" w:cs="SimSun"/>
          <w:color w:val="000000"/>
          <w:sz w:val="24"/>
          <w:szCs w:val="24"/>
          <w:lang w:eastAsia="zh-CN"/>
        </w:rPr>
        <w:t> 1982; </w:t>
      </w:r>
      <w:r w:rsidRPr="00E1636B">
        <w:rPr>
          <w:rFonts w:ascii="Book Antiqua" w:eastAsia="SimSun" w:hAnsi="Book Antiqua" w:cs="SimSun"/>
          <w:b/>
          <w:bCs/>
          <w:color w:val="000000"/>
          <w:sz w:val="24"/>
          <w:szCs w:val="24"/>
          <w:lang w:eastAsia="zh-CN"/>
        </w:rPr>
        <w:t>21</w:t>
      </w:r>
      <w:r w:rsidRPr="00E1636B">
        <w:rPr>
          <w:rFonts w:ascii="Book Antiqua" w:eastAsia="SimSun" w:hAnsi="Book Antiqua" w:cs="SimSun"/>
          <w:color w:val="000000"/>
          <w:sz w:val="24"/>
          <w:szCs w:val="24"/>
          <w:lang w:eastAsia="zh-CN"/>
        </w:rPr>
        <w:t>: 694-701 [PMID: 7074033 DOI: 10.1021/bi00533a017]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62 </w:t>
      </w:r>
      <w:r w:rsidRPr="00E1636B">
        <w:rPr>
          <w:rFonts w:ascii="Book Antiqua" w:eastAsia="SimSun" w:hAnsi="Book Antiqua" w:cs="SimSun"/>
          <w:b/>
          <w:bCs/>
          <w:color w:val="000000"/>
          <w:sz w:val="24"/>
          <w:szCs w:val="24"/>
          <w:lang w:eastAsia="zh-CN"/>
        </w:rPr>
        <w:t>Rizvi S</w:t>
      </w:r>
      <w:r w:rsidRPr="00E1636B">
        <w:rPr>
          <w:rFonts w:ascii="Book Antiqua" w:eastAsia="SimSun" w:hAnsi="Book Antiqua" w:cs="SimSun"/>
          <w:color w:val="000000"/>
          <w:sz w:val="24"/>
          <w:szCs w:val="24"/>
          <w:lang w:eastAsia="zh-CN"/>
        </w:rPr>
        <w:t>, Gores GJ. Pathogenesis, diagnosis, and management of cholangiocarcinoma. </w:t>
      </w:r>
      <w:r w:rsidRPr="00E1636B">
        <w:rPr>
          <w:rFonts w:ascii="Book Antiqua" w:eastAsia="SimSun" w:hAnsi="Book Antiqua" w:cs="SimSun"/>
          <w:i/>
          <w:iCs/>
          <w:color w:val="000000"/>
          <w:sz w:val="24"/>
          <w:szCs w:val="24"/>
          <w:lang w:eastAsia="zh-CN"/>
        </w:rPr>
        <w:t>Gastroenterology</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145</w:t>
      </w:r>
      <w:r w:rsidRPr="00E1636B">
        <w:rPr>
          <w:rFonts w:ascii="Book Antiqua" w:eastAsia="SimSun" w:hAnsi="Book Antiqua" w:cs="SimSun"/>
          <w:color w:val="000000"/>
          <w:sz w:val="24"/>
          <w:szCs w:val="24"/>
          <w:lang w:eastAsia="zh-CN"/>
        </w:rPr>
        <w:t>: 1215-1229 [PMID: 24140396 DOI: 10.1053/j.gastro.2013.10.013]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63 </w:t>
      </w:r>
      <w:r w:rsidRPr="00E1636B">
        <w:rPr>
          <w:rFonts w:ascii="Book Antiqua" w:eastAsia="SimSun" w:hAnsi="Book Antiqua" w:cs="SimSun"/>
          <w:b/>
          <w:bCs/>
          <w:color w:val="000000"/>
          <w:sz w:val="24"/>
          <w:szCs w:val="24"/>
          <w:lang w:eastAsia="zh-CN"/>
        </w:rPr>
        <w:t>Terada T</w:t>
      </w:r>
      <w:r w:rsidRPr="00E1636B">
        <w:rPr>
          <w:rFonts w:ascii="Book Antiqua" w:eastAsia="SimSun" w:hAnsi="Book Antiqua" w:cs="SimSun"/>
          <w:color w:val="000000"/>
          <w:sz w:val="24"/>
          <w:szCs w:val="24"/>
          <w:lang w:eastAsia="zh-CN"/>
        </w:rPr>
        <w:t>, Nakanuma Y. Cell kinetic analyses and expression of carcinoembryonic antigen, carbohydrate antigen 19-9 and DU-PAN-2 in hyperplastic, pre-neoplastic and neoplastic lesions of intrahepatic bile ducts in livers with hepatoliths. </w:t>
      </w:r>
      <w:r w:rsidRPr="00E1636B">
        <w:rPr>
          <w:rFonts w:ascii="Book Antiqua" w:eastAsia="SimSun" w:hAnsi="Book Antiqua" w:cs="SimSun"/>
          <w:i/>
          <w:iCs/>
          <w:color w:val="000000"/>
          <w:sz w:val="24"/>
          <w:szCs w:val="24"/>
          <w:lang w:eastAsia="zh-CN"/>
        </w:rPr>
        <w:t>Virchows Arch A Pathol Anat Histopathol</w:t>
      </w:r>
      <w:r w:rsidRPr="00E1636B">
        <w:rPr>
          <w:rFonts w:ascii="Book Antiqua" w:eastAsia="SimSun" w:hAnsi="Book Antiqua" w:cs="SimSun"/>
          <w:color w:val="000000"/>
          <w:sz w:val="24"/>
          <w:szCs w:val="24"/>
          <w:lang w:eastAsia="zh-CN"/>
        </w:rPr>
        <w:t> 1992; </w:t>
      </w:r>
      <w:r w:rsidRPr="00E1636B">
        <w:rPr>
          <w:rFonts w:ascii="Book Antiqua" w:eastAsia="SimSun" w:hAnsi="Book Antiqua" w:cs="SimSun"/>
          <w:b/>
          <w:bCs/>
          <w:color w:val="000000"/>
          <w:sz w:val="24"/>
          <w:szCs w:val="24"/>
          <w:lang w:eastAsia="zh-CN"/>
        </w:rPr>
        <w:t>420</w:t>
      </w:r>
      <w:r w:rsidRPr="00E1636B">
        <w:rPr>
          <w:rFonts w:ascii="Book Antiqua" w:eastAsia="SimSun" w:hAnsi="Book Antiqua" w:cs="SimSun"/>
          <w:color w:val="000000"/>
          <w:sz w:val="24"/>
          <w:szCs w:val="24"/>
          <w:lang w:eastAsia="zh-CN"/>
        </w:rPr>
        <w:t>: 327-335 [PMID: 1348889 DOI: 10.1007/BF01600212]</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lastRenderedPageBreak/>
        <w:t>64 </w:t>
      </w:r>
      <w:r w:rsidRPr="00E1636B">
        <w:rPr>
          <w:rFonts w:ascii="Book Antiqua" w:eastAsia="SimSun" w:hAnsi="Book Antiqua" w:cs="SimSun"/>
          <w:b/>
          <w:bCs/>
          <w:color w:val="000000"/>
          <w:sz w:val="24"/>
          <w:szCs w:val="24"/>
          <w:lang w:eastAsia="zh-CN"/>
        </w:rPr>
        <w:t>Dobrovolskaia MA</w:t>
      </w:r>
      <w:r w:rsidRPr="00E1636B">
        <w:rPr>
          <w:rFonts w:ascii="Book Antiqua" w:eastAsia="SimSun" w:hAnsi="Book Antiqua" w:cs="SimSun"/>
          <w:color w:val="000000"/>
          <w:sz w:val="24"/>
          <w:szCs w:val="24"/>
          <w:lang w:eastAsia="zh-CN"/>
        </w:rPr>
        <w:t>, Kozlov SV. Inflammation and cancer: when NF-kappaB amalgamates the perilous partnership. </w:t>
      </w:r>
      <w:r w:rsidRPr="00E1636B">
        <w:rPr>
          <w:rFonts w:ascii="Book Antiqua" w:eastAsia="SimSun" w:hAnsi="Book Antiqua" w:cs="SimSun"/>
          <w:i/>
          <w:iCs/>
          <w:color w:val="000000"/>
          <w:sz w:val="24"/>
          <w:szCs w:val="24"/>
          <w:lang w:eastAsia="zh-CN"/>
        </w:rPr>
        <w:t>Curr Cancer Drug Targets</w:t>
      </w:r>
      <w:r w:rsidRPr="00E1636B">
        <w:rPr>
          <w:rFonts w:ascii="Book Antiqua" w:eastAsia="SimSun" w:hAnsi="Book Antiqua" w:cs="SimSun"/>
          <w:color w:val="000000"/>
          <w:sz w:val="24"/>
          <w:szCs w:val="24"/>
          <w:lang w:eastAsia="zh-CN"/>
        </w:rPr>
        <w:t> 2005; </w:t>
      </w:r>
      <w:r w:rsidRPr="00E1636B">
        <w:rPr>
          <w:rFonts w:ascii="Book Antiqua" w:eastAsia="SimSun" w:hAnsi="Book Antiqua" w:cs="SimSun"/>
          <w:b/>
          <w:bCs/>
          <w:color w:val="000000"/>
          <w:sz w:val="24"/>
          <w:szCs w:val="24"/>
          <w:lang w:eastAsia="zh-CN"/>
        </w:rPr>
        <w:t>5</w:t>
      </w:r>
      <w:r w:rsidRPr="00E1636B">
        <w:rPr>
          <w:rFonts w:ascii="Book Antiqua" w:eastAsia="SimSun" w:hAnsi="Book Antiqua" w:cs="SimSun"/>
          <w:color w:val="000000"/>
          <w:sz w:val="24"/>
          <w:szCs w:val="24"/>
          <w:lang w:eastAsia="zh-CN"/>
        </w:rPr>
        <w:t>: 325-344 [PMID: 16101381]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65 </w:t>
      </w:r>
      <w:r w:rsidRPr="00E1636B">
        <w:rPr>
          <w:rFonts w:ascii="Book Antiqua" w:eastAsia="SimSun" w:hAnsi="Book Antiqua" w:cs="SimSun"/>
          <w:b/>
          <w:bCs/>
          <w:color w:val="000000"/>
          <w:sz w:val="24"/>
          <w:szCs w:val="24"/>
          <w:lang w:eastAsia="zh-CN"/>
        </w:rPr>
        <w:t>Mariani F</w:t>
      </w:r>
      <w:r w:rsidRPr="00E1636B">
        <w:rPr>
          <w:rFonts w:ascii="Book Antiqua" w:eastAsia="SimSun" w:hAnsi="Book Antiqua" w:cs="SimSun"/>
          <w:color w:val="000000"/>
          <w:sz w:val="24"/>
          <w:szCs w:val="24"/>
          <w:lang w:eastAsia="zh-CN"/>
        </w:rPr>
        <w:t>, Sena P, Roncucci L. Inflammatory pathways in the early steps of colorectal cancer development. </w:t>
      </w:r>
      <w:r w:rsidRPr="00E1636B">
        <w:rPr>
          <w:rFonts w:ascii="Book Antiqua" w:eastAsia="SimSun" w:hAnsi="Book Antiqua" w:cs="SimSun"/>
          <w:i/>
          <w:iCs/>
          <w:color w:val="000000"/>
          <w:sz w:val="24"/>
          <w:szCs w:val="24"/>
          <w:lang w:eastAsia="zh-CN"/>
        </w:rPr>
        <w:t>World J Gastroenterol</w:t>
      </w:r>
      <w:r w:rsidRPr="00E1636B">
        <w:rPr>
          <w:rFonts w:ascii="Book Antiqua" w:eastAsia="SimSun" w:hAnsi="Book Antiqua" w:cs="SimSun"/>
          <w:color w:val="000000"/>
          <w:sz w:val="24"/>
          <w:szCs w:val="24"/>
          <w:lang w:eastAsia="zh-CN"/>
        </w:rPr>
        <w:t> 2014; </w:t>
      </w:r>
      <w:r w:rsidRPr="00E1636B">
        <w:rPr>
          <w:rFonts w:ascii="Book Antiqua" w:eastAsia="SimSun" w:hAnsi="Book Antiqua" w:cs="SimSun"/>
          <w:b/>
          <w:bCs/>
          <w:color w:val="000000"/>
          <w:sz w:val="24"/>
          <w:szCs w:val="24"/>
          <w:lang w:eastAsia="zh-CN"/>
        </w:rPr>
        <w:t>20</w:t>
      </w:r>
      <w:r w:rsidRPr="00E1636B">
        <w:rPr>
          <w:rFonts w:ascii="Book Antiqua" w:eastAsia="SimSun" w:hAnsi="Book Antiqua" w:cs="SimSun"/>
          <w:color w:val="000000"/>
          <w:sz w:val="24"/>
          <w:szCs w:val="24"/>
          <w:lang w:eastAsia="zh-CN"/>
        </w:rPr>
        <w:t>: 9716-9731 [PMID: 25110410 DOI: 10.3748/wjg.v20.i29.9716]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66 </w:t>
      </w:r>
      <w:r w:rsidRPr="00E1636B">
        <w:rPr>
          <w:rFonts w:ascii="Book Antiqua" w:eastAsia="SimSun" w:hAnsi="Book Antiqua" w:cs="SimSun"/>
          <w:b/>
          <w:bCs/>
          <w:color w:val="000000"/>
          <w:sz w:val="24"/>
          <w:szCs w:val="24"/>
          <w:lang w:eastAsia="zh-CN"/>
        </w:rPr>
        <w:t>Chisari FV</w:t>
      </w:r>
      <w:r w:rsidRPr="00E1636B">
        <w:rPr>
          <w:rFonts w:ascii="Book Antiqua" w:eastAsia="SimSun" w:hAnsi="Book Antiqua" w:cs="SimSun"/>
          <w:color w:val="000000"/>
          <w:sz w:val="24"/>
          <w:szCs w:val="24"/>
          <w:lang w:eastAsia="zh-CN"/>
        </w:rPr>
        <w:t>, Klopchin K, Moriyama T, Pasquinelli C, Dunsford HA, Sell S, Pinkert CA, Brinster RL, Palmiter RD. Molecular pathogenesis of hepatocellular carcinoma in hepatitis B virus transgenic mice. </w:t>
      </w:r>
      <w:r w:rsidRPr="00E1636B">
        <w:rPr>
          <w:rFonts w:ascii="Book Antiqua" w:eastAsia="SimSun" w:hAnsi="Book Antiqua" w:cs="SimSun"/>
          <w:i/>
          <w:iCs/>
          <w:color w:val="000000"/>
          <w:sz w:val="24"/>
          <w:szCs w:val="24"/>
          <w:lang w:eastAsia="zh-CN"/>
        </w:rPr>
        <w:t>Cell</w:t>
      </w:r>
      <w:r w:rsidRPr="00E1636B">
        <w:rPr>
          <w:rFonts w:ascii="Book Antiqua" w:eastAsia="SimSun" w:hAnsi="Book Antiqua" w:cs="SimSun"/>
          <w:color w:val="000000"/>
          <w:sz w:val="24"/>
          <w:szCs w:val="24"/>
          <w:lang w:eastAsia="zh-CN"/>
        </w:rPr>
        <w:t> 1989; </w:t>
      </w:r>
      <w:r w:rsidRPr="00E1636B">
        <w:rPr>
          <w:rFonts w:ascii="Book Antiqua" w:eastAsia="SimSun" w:hAnsi="Book Antiqua" w:cs="SimSun"/>
          <w:b/>
          <w:bCs/>
          <w:color w:val="000000"/>
          <w:sz w:val="24"/>
          <w:szCs w:val="24"/>
          <w:lang w:eastAsia="zh-CN"/>
        </w:rPr>
        <w:t>59</w:t>
      </w:r>
      <w:r w:rsidRPr="00E1636B">
        <w:rPr>
          <w:rFonts w:ascii="Book Antiqua" w:eastAsia="SimSun" w:hAnsi="Book Antiqua" w:cs="SimSun"/>
          <w:color w:val="000000"/>
          <w:sz w:val="24"/>
          <w:szCs w:val="24"/>
          <w:lang w:eastAsia="zh-CN"/>
        </w:rPr>
        <w:t>: 1145-1156 [PMID: 2598264 DOI: 10.1016/0092-8674(89)90770-8]</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67 </w:t>
      </w:r>
      <w:r w:rsidRPr="00E1636B">
        <w:rPr>
          <w:rFonts w:ascii="Book Antiqua" w:eastAsia="SimSun" w:hAnsi="Book Antiqua" w:cs="SimSun"/>
          <w:b/>
          <w:bCs/>
          <w:color w:val="000000"/>
          <w:sz w:val="24"/>
          <w:szCs w:val="24"/>
          <w:lang w:eastAsia="zh-CN"/>
        </w:rPr>
        <w:t>Chen TC</w:t>
      </w:r>
      <w:r w:rsidRPr="00E1636B">
        <w:rPr>
          <w:rFonts w:ascii="Book Antiqua" w:eastAsia="SimSun" w:hAnsi="Book Antiqua" w:cs="SimSun"/>
          <w:color w:val="000000"/>
          <w:sz w:val="24"/>
          <w:szCs w:val="24"/>
          <w:lang w:eastAsia="zh-CN"/>
        </w:rPr>
        <w:t>, Nakanuma Y, Zen Y, Chen MF, Jan YY, Yeh TS, Chiu CT, Kuo TT, Kamiya J, Oda K, Hamaguchi M, Ohno Y, Hsieh LL, Nimura Y. Intraductal papillary neoplasia of the liver associated with hepatolithiasis. </w:t>
      </w:r>
      <w:r w:rsidRPr="00E1636B">
        <w:rPr>
          <w:rFonts w:ascii="Book Antiqua" w:eastAsia="SimSun" w:hAnsi="Book Antiqua" w:cs="SimSun"/>
          <w:i/>
          <w:iCs/>
          <w:color w:val="000000"/>
          <w:sz w:val="24"/>
          <w:szCs w:val="24"/>
          <w:lang w:eastAsia="zh-CN"/>
        </w:rPr>
        <w:t>Hepatology</w:t>
      </w:r>
      <w:r w:rsidRPr="00E1636B">
        <w:rPr>
          <w:rFonts w:ascii="Book Antiqua" w:eastAsia="SimSun" w:hAnsi="Book Antiqua" w:cs="SimSun"/>
          <w:color w:val="000000"/>
          <w:sz w:val="24"/>
          <w:szCs w:val="24"/>
          <w:lang w:eastAsia="zh-CN"/>
        </w:rPr>
        <w:t> 2001; </w:t>
      </w:r>
      <w:r w:rsidRPr="00E1636B">
        <w:rPr>
          <w:rFonts w:ascii="Book Antiqua" w:eastAsia="SimSun" w:hAnsi="Book Antiqua" w:cs="SimSun"/>
          <w:b/>
          <w:bCs/>
          <w:color w:val="000000"/>
          <w:sz w:val="24"/>
          <w:szCs w:val="24"/>
          <w:lang w:eastAsia="zh-CN"/>
        </w:rPr>
        <w:t>34</w:t>
      </w:r>
      <w:r w:rsidRPr="00E1636B">
        <w:rPr>
          <w:rFonts w:ascii="Book Antiqua" w:eastAsia="SimSun" w:hAnsi="Book Antiqua" w:cs="SimSun"/>
          <w:color w:val="000000"/>
          <w:sz w:val="24"/>
          <w:szCs w:val="24"/>
          <w:lang w:eastAsia="zh-CN"/>
        </w:rPr>
        <w:t>: 651-658 [PMID: 11584359 DOI: 10.1053/jhep.2001.28199]</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68 </w:t>
      </w:r>
      <w:r w:rsidRPr="00E1636B">
        <w:rPr>
          <w:rFonts w:ascii="Book Antiqua" w:eastAsia="SimSun" w:hAnsi="Book Antiqua" w:cs="SimSun"/>
          <w:b/>
          <w:bCs/>
          <w:color w:val="000000"/>
          <w:sz w:val="24"/>
          <w:szCs w:val="24"/>
          <w:lang w:eastAsia="zh-CN"/>
        </w:rPr>
        <w:t>Aishima S</w:t>
      </w:r>
      <w:r w:rsidRPr="00E1636B">
        <w:rPr>
          <w:rFonts w:ascii="Book Antiqua" w:eastAsia="SimSun" w:hAnsi="Book Antiqua" w:cs="SimSun"/>
          <w:color w:val="000000"/>
          <w:sz w:val="24"/>
          <w:szCs w:val="24"/>
          <w:lang w:eastAsia="zh-CN"/>
        </w:rPr>
        <w:t>, Kubo Y, Tanaka Y, Oda Y. Histological features of precancerous and early cancerous lesions of biliary tract carcinoma. </w:t>
      </w:r>
      <w:r w:rsidRPr="00E1636B">
        <w:rPr>
          <w:rFonts w:ascii="Book Antiqua" w:eastAsia="SimSun" w:hAnsi="Book Antiqua" w:cs="SimSun"/>
          <w:i/>
          <w:iCs/>
          <w:color w:val="000000"/>
          <w:sz w:val="24"/>
          <w:szCs w:val="24"/>
          <w:lang w:eastAsia="zh-CN"/>
        </w:rPr>
        <w:t>J Hepatobiliary Pancreat Sci</w:t>
      </w:r>
      <w:r w:rsidRPr="00E1636B">
        <w:rPr>
          <w:rFonts w:ascii="Book Antiqua" w:eastAsia="SimSun" w:hAnsi="Book Antiqua" w:cs="SimSun"/>
          <w:color w:val="000000"/>
          <w:sz w:val="24"/>
          <w:szCs w:val="24"/>
          <w:lang w:eastAsia="zh-CN"/>
        </w:rPr>
        <w:t> 2014; </w:t>
      </w:r>
      <w:r w:rsidRPr="00E1636B">
        <w:rPr>
          <w:rFonts w:ascii="Book Antiqua" w:eastAsia="SimSun" w:hAnsi="Book Antiqua" w:cs="SimSun"/>
          <w:b/>
          <w:bCs/>
          <w:color w:val="000000"/>
          <w:sz w:val="24"/>
          <w:szCs w:val="24"/>
          <w:lang w:eastAsia="zh-CN"/>
        </w:rPr>
        <w:t>21</w:t>
      </w:r>
      <w:r w:rsidRPr="00E1636B">
        <w:rPr>
          <w:rFonts w:ascii="Book Antiqua" w:eastAsia="SimSun" w:hAnsi="Book Antiqua" w:cs="SimSun"/>
          <w:color w:val="000000"/>
          <w:sz w:val="24"/>
          <w:szCs w:val="24"/>
          <w:lang w:eastAsia="zh-CN"/>
        </w:rPr>
        <w:t>: 448-452 [PMID: 24446428 DOI: 10.1002/jhbp.71]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69 </w:t>
      </w:r>
      <w:r w:rsidRPr="00E1636B">
        <w:rPr>
          <w:rFonts w:ascii="Book Antiqua" w:eastAsia="SimSun" w:hAnsi="Book Antiqua" w:cs="SimSun"/>
          <w:b/>
          <w:bCs/>
          <w:color w:val="000000"/>
          <w:sz w:val="24"/>
          <w:szCs w:val="24"/>
          <w:lang w:eastAsia="zh-CN"/>
        </w:rPr>
        <w:t>Wan XS</w:t>
      </w:r>
      <w:r w:rsidRPr="00E1636B">
        <w:rPr>
          <w:rFonts w:ascii="Book Antiqua" w:eastAsia="SimSun" w:hAnsi="Book Antiqua" w:cs="SimSun"/>
          <w:color w:val="000000"/>
          <w:sz w:val="24"/>
          <w:szCs w:val="24"/>
          <w:lang w:eastAsia="zh-CN"/>
        </w:rPr>
        <w:t>, Xu YY, Qian JY, Yang XB, Wang AQ, He L, Zhao HT, Sang XT. Intraductal papillary neoplasm of the bile duct. </w:t>
      </w:r>
      <w:r w:rsidRPr="00E1636B">
        <w:rPr>
          <w:rFonts w:ascii="Book Antiqua" w:eastAsia="SimSun" w:hAnsi="Book Antiqua" w:cs="SimSun"/>
          <w:i/>
          <w:iCs/>
          <w:color w:val="000000"/>
          <w:sz w:val="24"/>
          <w:szCs w:val="24"/>
          <w:lang w:eastAsia="zh-CN"/>
        </w:rPr>
        <w:t>World J Gastroenterol</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19</w:t>
      </w:r>
      <w:r w:rsidRPr="00E1636B">
        <w:rPr>
          <w:rFonts w:ascii="Book Antiqua" w:eastAsia="SimSun" w:hAnsi="Book Antiqua" w:cs="SimSun"/>
          <w:color w:val="000000"/>
          <w:sz w:val="24"/>
          <w:szCs w:val="24"/>
          <w:lang w:eastAsia="zh-CN"/>
        </w:rPr>
        <w:t>: 8595-8604 [PMID: 24379576 DOI: 10.3748/wjg.v19.i46.8595]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70 </w:t>
      </w:r>
      <w:r w:rsidRPr="00E1636B">
        <w:rPr>
          <w:rFonts w:ascii="Book Antiqua" w:eastAsia="SimSun" w:hAnsi="Book Antiqua" w:cs="SimSun"/>
          <w:b/>
          <w:bCs/>
          <w:color w:val="000000"/>
          <w:sz w:val="24"/>
          <w:szCs w:val="24"/>
          <w:lang w:eastAsia="zh-CN"/>
        </w:rPr>
        <w:t>Sato Y</w:t>
      </w:r>
      <w:r w:rsidRPr="00E1636B">
        <w:rPr>
          <w:rFonts w:ascii="Book Antiqua" w:eastAsia="SimSun" w:hAnsi="Book Antiqua" w:cs="SimSun"/>
          <w:color w:val="000000"/>
          <w:sz w:val="24"/>
          <w:szCs w:val="24"/>
          <w:lang w:eastAsia="zh-CN"/>
        </w:rPr>
        <w:t>, Sasaki M, Harada K, Aishima S, Fukusato T, Ojima H, Kanai Y, Kage M, Nakanuma Y, Tsubouchi H; Hepatolithiasis Subdivision of Intractable Hepatobiliary Diseases Study Group of Japan (Chairman, Hirohito Tsubouchi). Pathological diagnosis of flat epithelial lesions of the biliary tract with emphasis on biliary intraepithelial neoplasia. </w:t>
      </w:r>
      <w:r w:rsidRPr="00E1636B">
        <w:rPr>
          <w:rFonts w:ascii="Book Antiqua" w:eastAsia="SimSun" w:hAnsi="Book Antiqua" w:cs="SimSun"/>
          <w:i/>
          <w:iCs/>
          <w:color w:val="000000"/>
          <w:sz w:val="24"/>
          <w:szCs w:val="24"/>
          <w:lang w:eastAsia="zh-CN"/>
        </w:rPr>
        <w:t>J Gastroenterol</w:t>
      </w:r>
      <w:r w:rsidRPr="00E1636B">
        <w:rPr>
          <w:rFonts w:ascii="Book Antiqua" w:eastAsia="SimSun" w:hAnsi="Book Antiqua" w:cs="SimSun"/>
          <w:color w:val="000000"/>
          <w:sz w:val="24"/>
          <w:szCs w:val="24"/>
          <w:lang w:eastAsia="zh-CN"/>
        </w:rPr>
        <w:t> 2014; </w:t>
      </w:r>
      <w:r w:rsidRPr="00E1636B">
        <w:rPr>
          <w:rFonts w:ascii="Book Antiqua" w:eastAsia="SimSun" w:hAnsi="Book Antiqua" w:cs="SimSun"/>
          <w:b/>
          <w:bCs/>
          <w:color w:val="000000"/>
          <w:sz w:val="24"/>
          <w:szCs w:val="24"/>
          <w:lang w:eastAsia="zh-CN"/>
        </w:rPr>
        <w:t>49</w:t>
      </w:r>
      <w:r w:rsidRPr="00E1636B">
        <w:rPr>
          <w:rFonts w:ascii="Book Antiqua" w:eastAsia="SimSun" w:hAnsi="Book Antiqua" w:cs="SimSun"/>
          <w:color w:val="000000"/>
          <w:sz w:val="24"/>
          <w:szCs w:val="24"/>
          <w:lang w:eastAsia="zh-CN"/>
        </w:rPr>
        <w:t>: 64-72 [PMID: 23616173 DOI: 10.1007/s00535-013-0810-5]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71 </w:t>
      </w:r>
      <w:r w:rsidRPr="00E1636B">
        <w:rPr>
          <w:rFonts w:ascii="Book Antiqua" w:eastAsia="SimSun" w:hAnsi="Book Antiqua" w:cs="SimSun"/>
          <w:b/>
          <w:bCs/>
          <w:color w:val="000000"/>
          <w:sz w:val="24"/>
          <w:szCs w:val="24"/>
          <w:lang w:eastAsia="zh-CN"/>
        </w:rPr>
        <w:t>Aishima S</w:t>
      </w:r>
      <w:r w:rsidRPr="00E1636B">
        <w:rPr>
          <w:rFonts w:ascii="Book Antiqua" w:eastAsia="SimSun" w:hAnsi="Book Antiqua" w:cs="SimSun"/>
          <w:color w:val="000000"/>
          <w:sz w:val="24"/>
          <w:szCs w:val="24"/>
          <w:lang w:eastAsia="zh-CN"/>
        </w:rPr>
        <w:t>, Kuroda Y, Nishihara Y, Iguchi T, Taguchi K, Taketomi A, Maehara Y, Tsuneyoshi M. Proposal of progression model for intrahepatic cholangiocarcinoma: clinicopathologic differences between hilar type and peripheral type. </w:t>
      </w:r>
      <w:r w:rsidRPr="00E1636B">
        <w:rPr>
          <w:rFonts w:ascii="Book Antiqua" w:eastAsia="SimSun" w:hAnsi="Book Antiqua" w:cs="SimSun"/>
          <w:i/>
          <w:iCs/>
          <w:color w:val="000000"/>
          <w:sz w:val="24"/>
          <w:szCs w:val="24"/>
          <w:lang w:eastAsia="zh-CN"/>
        </w:rPr>
        <w:t>Am J Surg Pathol</w:t>
      </w:r>
      <w:r w:rsidRPr="00E1636B">
        <w:rPr>
          <w:rFonts w:ascii="Book Antiqua" w:eastAsia="SimSun" w:hAnsi="Book Antiqua" w:cs="SimSun"/>
          <w:color w:val="000000"/>
          <w:sz w:val="24"/>
          <w:szCs w:val="24"/>
          <w:lang w:eastAsia="zh-CN"/>
        </w:rPr>
        <w:t> 2007; </w:t>
      </w:r>
      <w:r w:rsidRPr="00E1636B">
        <w:rPr>
          <w:rFonts w:ascii="Book Antiqua" w:eastAsia="SimSun" w:hAnsi="Book Antiqua" w:cs="SimSun"/>
          <w:b/>
          <w:bCs/>
          <w:color w:val="000000"/>
          <w:sz w:val="24"/>
          <w:szCs w:val="24"/>
          <w:lang w:eastAsia="zh-CN"/>
        </w:rPr>
        <w:t>31</w:t>
      </w:r>
      <w:r w:rsidRPr="00E1636B">
        <w:rPr>
          <w:rFonts w:ascii="Book Antiqua" w:eastAsia="SimSun" w:hAnsi="Book Antiqua" w:cs="SimSun"/>
          <w:color w:val="000000"/>
          <w:sz w:val="24"/>
          <w:szCs w:val="24"/>
          <w:lang w:eastAsia="zh-CN"/>
        </w:rPr>
        <w:t>: 1059-1067 [PMID: 17592273 DOI: 10.1097/PAS.0b013e31802b34b6]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lastRenderedPageBreak/>
        <w:t>72 </w:t>
      </w:r>
      <w:r w:rsidRPr="00E1636B">
        <w:rPr>
          <w:rFonts w:ascii="Book Antiqua" w:eastAsia="SimSun" w:hAnsi="Book Antiqua" w:cs="SimSun"/>
          <w:b/>
          <w:bCs/>
          <w:color w:val="000000"/>
          <w:sz w:val="24"/>
          <w:szCs w:val="24"/>
          <w:lang w:eastAsia="zh-CN"/>
        </w:rPr>
        <w:t>Zen Y</w:t>
      </w:r>
      <w:r w:rsidRPr="00E1636B">
        <w:rPr>
          <w:rFonts w:ascii="Book Antiqua" w:eastAsia="SimSun" w:hAnsi="Book Antiqua" w:cs="SimSun"/>
          <w:color w:val="000000"/>
          <w:sz w:val="24"/>
          <w:szCs w:val="24"/>
          <w:lang w:eastAsia="zh-CN"/>
        </w:rPr>
        <w:t>, Sasaki M, Fujii T, Chen TC, Chen MF, Yeh TS, Jan YY, Huang SF, Nimura Y, Nakanuma Y. Different expression patterns of mucin core proteins and cytokeratins during intrahepatic cholangiocarcinogenesis from biliary intraepithelial neoplasia and intraductal papillary neoplasm of the bile duct--an immunohistochemical study of 110 cases of hepatolithiasis. </w:t>
      </w:r>
      <w:r w:rsidRPr="00E1636B">
        <w:rPr>
          <w:rFonts w:ascii="Book Antiqua" w:eastAsia="SimSun" w:hAnsi="Book Antiqua" w:cs="SimSun"/>
          <w:i/>
          <w:iCs/>
          <w:color w:val="000000"/>
          <w:sz w:val="24"/>
          <w:szCs w:val="24"/>
          <w:lang w:eastAsia="zh-CN"/>
        </w:rPr>
        <w:t>J Hepatol</w:t>
      </w:r>
      <w:r w:rsidRPr="00E1636B">
        <w:rPr>
          <w:rFonts w:ascii="Book Antiqua" w:eastAsia="SimSun" w:hAnsi="Book Antiqua" w:cs="SimSun"/>
          <w:color w:val="000000"/>
          <w:sz w:val="24"/>
          <w:szCs w:val="24"/>
          <w:lang w:eastAsia="zh-CN"/>
        </w:rPr>
        <w:t> 2006; </w:t>
      </w:r>
      <w:r w:rsidRPr="00E1636B">
        <w:rPr>
          <w:rFonts w:ascii="Book Antiqua" w:eastAsia="SimSun" w:hAnsi="Book Antiqua" w:cs="SimSun"/>
          <w:b/>
          <w:bCs/>
          <w:color w:val="000000"/>
          <w:sz w:val="24"/>
          <w:szCs w:val="24"/>
          <w:lang w:eastAsia="zh-CN"/>
        </w:rPr>
        <w:t>44</w:t>
      </w:r>
      <w:r w:rsidRPr="00E1636B">
        <w:rPr>
          <w:rFonts w:ascii="Book Antiqua" w:eastAsia="SimSun" w:hAnsi="Book Antiqua" w:cs="SimSun"/>
          <w:color w:val="000000"/>
          <w:sz w:val="24"/>
          <w:szCs w:val="24"/>
          <w:lang w:eastAsia="zh-CN"/>
        </w:rPr>
        <w:t>: 350-358 [PMID: 16360234 DOI: 10.1016/j.jhep.2005.09.025]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73 </w:t>
      </w:r>
      <w:r w:rsidRPr="00E1636B">
        <w:rPr>
          <w:rFonts w:ascii="Book Antiqua" w:eastAsia="SimSun" w:hAnsi="Book Antiqua" w:cs="SimSun"/>
          <w:b/>
          <w:bCs/>
          <w:color w:val="000000"/>
          <w:sz w:val="24"/>
          <w:szCs w:val="24"/>
          <w:lang w:eastAsia="zh-CN"/>
        </w:rPr>
        <w:t>Nakanuma Y</w:t>
      </w:r>
      <w:r w:rsidRPr="00E1636B">
        <w:rPr>
          <w:rFonts w:ascii="Book Antiqua" w:eastAsia="SimSun" w:hAnsi="Book Antiqua" w:cs="SimSun"/>
          <w:color w:val="000000"/>
          <w:sz w:val="24"/>
          <w:szCs w:val="24"/>
          <w:lang w:eastAsia="zh-CN"/>
        </w:rPr>
        <w:t>, Sasaki M, Ishikawa A, Tsui W, Chen TC, Huang SF. Biliary papillary neoplasm of the liver. </w:t>
      </w:r>
      <w:r w:rsidRPr="00E1636B">
        <w:rPr>
          <w:rFonts w:ascii="Book Antiqua" w:eastAsia="SimSun" w:hAnsi="Book Antiqua" w:cs="SimSun"/>
          <w:i/>
          <w:iCs/>
          <w:color w:val="000000"/>
          <w:sz w:val="24"/>
          <w:szCs w:val="24"/>
          <w:lang w:eastAsia="zh-CN"/>
        </w:rPr>
        <w:t>Histol Histopathol</w:t>
      </w:r>
      <w:r w:rsidRPr="00E1636B">
        <w:rPr>
          <w:rFonts w:ascii="Book Antiqua" w:eastAsia="SimSun" w:hAnsi="Book Antiqua" w:cs="SimSun"/>
          <w:color w:val="000000"/>
          <w:sz w:val="24"/>
          <w:szCs w:val="24"/>
          <w:lang w:eastAsia="zh-CN"/>
        </w:rPr>
        <w:t> 2002; </w:t>
      </w:r>
      <w:r w:rsidRPr="00E1636B">
        <w:rPr>
          <w:rFonts w:ascii="Book Antiqua" w:eastAsia="SimSun" w:hAnsi="Book Antiqua" w:cs="SimSun"/>
          <w:b/>
          <w:bCs/>
          <w:color w:val="000000"/>
          <w:sz w:val="24"/>
          <w:szCs w:val="24"/>
          <w:lang w:eastAsia="zh-CN"/>
        </w:rPr>
        <w:t>17</w:t>
      </w:r>
      <w:r w:rsidRPr="00E1636B">
        <w:rPr>
          <w:rFonts w:ascii="Book Antiqua" w:eastAsia="SimSun" w:hAnsi="Book Antiqua" w:cs="SimSun"/>
          <w:color w:val="000000"/>
          <w:sz w:val="24"/>
          <w:szCs w:val="24"/>
          <w:lang w:eastAsia="zh-CN"/>
        </w:rPr>
        <w:t>: 851-861 [PMID: 12168796]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74 </w:t>
      </w:r>
      <w:r w:rsidRPr="00E1636B">
        <w:rPr>
          <w:rFonts w:ascii="Book Antiqua" w:eastAsia="SimSun" w:hAnsi="Book Antiqua" w:cs="SimSun"/>
          <w:b/>
          <w:bCs/>
          <w:color w:val="000000"/>
          <w:sz w:val="24"/>
          <w:szCs w:val="24"/>
          <w:lang w:eastAsia="zh-CN"/>
        </w:rPr>
        <w:t>Shimonishi T</w:t>
      </w:r>
      <w:r w:rsidRPr="00E1636B">
        <w:rPr>
          <w:rFonts w:ascii="Book Antiqua" w:eastAsia="SimSun" w:hAnsi="Book Antiqua" w:cs="SimSun"/>
          <w:color w:val="000000"/>
          <w:sz w:val="24"/>
          <w:szCs w:val="24"/>
          <w:lang w:eastAsia="zh-CN"/>
        </w:rPr>
        <w:t>, Zen Y, Chen TC, Chen MF, Jan YY, Yeh TS, Nimura Y, Nakanuma Y. Increasing expression of gastrointestinal phenotypes and p53 along with histologic progression of intraductal papillary neoplasia of the liver. </w:t>
      </w:r>
      <w:r w:rsidRPr="00E1636B">
        <w:rPr>
          <w:rFonts w:ascii="Book Antiqua" w:eastAsia="SimSun" w:hAnsi="Book Antiqua" w:cs="SimSun"/>
          <w:i/>
          <w:iCs/>
          <w:color w:val="000000"/>
          <w:sz w:val="24"/>
          <w:szCs w:val="24"/>
          <w:lang w:eastAsia="zh-CN"/>
        </w:rPr>
        <w:t>Hum Pathol</w:t>
      </w:r>
      <w:r w:rsidRPr="00E1636B">
        <w:rPr>
          <w:rFonts w:ascii="Book Antiqua" w:eastAsia="SimSun" w:hAnsi="Book Antiqua" w:cs="SimSun"/>
          <w:color w:val="000000"/>
          <w:sz w:val="24"/>
          <w:szCs w:val="24"/>
          <w:lang w:eastAsia="zh-CN"/>
        </w:rPr>
        <w:t> 2002; </w:t>
      </w:r>
      <w:r w:rsidRPr="00E1636B">
        <w:rPr>
          <w:rFonts w:ascii="Book Antiqua" w:eastAsia="SimSun" w:hAnsi="Book Antiqua" w:cs="SimSun"/>
          <w:b/>
          <w:bCs/>
          <w:color w:val="000000"/>
          <w:sz w:val="24"/>
          <w:szCs w:val="24"/>
          <w:lang w:eastAsia="zh-CN"/>
        </w:rPr>
        <w:t>33</w:t>
      </w:r>
      <w:r w:rsidRPr="00E1636B">
        <w:rPr>
          <w:rFonts w:ascii="Book Antiqua" w:eastAsia="SimSun" w:hAnsi="Book Antiqua" w:cs="SimSun"/>
          <w:color w:val="000000"/>
          <w:sz w:val="24"/>
          <w:szCs w:val="24"/>
          <w:lang w:eastAsia="zh-CN"/>
        </w:rPr>
        <w:t>: 503-511 [PMID: 12094375 DOI: 10.1053/hupa.2002.124030]</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75 </w:t>
      </w:r>
      <w:r w:rsidRPr="00E1636B">
        <w:rPr>
          <w:rFonts w:ascii="Book Antiqua" w:eastAsia="SimSun" w:hAnsi="Book Antiqua" w:cs="SimSun"/>
          <w:b/>
          <w:bCs/>
          <w:color w:val="000000"/>
          <w:sz w:val="24"/>
          <w:szCs w:val="24"/>
          <w:lang w:eastAsia="zh-CN"/>
        </w:rPr>
        <w:t>Itatsu K</w:t>
      </w:r>
      <w:r w:rsidRPr="00E1636B">
        <w:rPr>
          <w:rFonts w:ascii="Book Antiqua" w:eastAsia="SimSun" w:hAnsi="Book Antiqua" w:cs="SimSun"/>
          <w:color w:val="000000"/>
          <w:sz w:val="24"/>
          <w:szCs w:val="24"/>
          <w:lang w:eastAsia="zh-CN"/>
        </w:rPr>
        <w:t>, Zen Y, Ohira S, Ishikawa A, Sato Y, Harada K, Ikeda H, Sasaki M, Nimura Y, Nakanuma Y. Immunohistochemical analysis of the progression of flat and papillary preneoplastic lesions in intrahepatic cholangiocarcinogenesis in hepatolithiasis. </w:t>
      </w:r>
      <w:r w:rsidRPr="00E1636B">
        <w:rPr>
          <w:rFonts w:ascii="Book Antiqua" w:eastAsia="SimSun" w:hAnsi="Book Antiqua" w:cs="SimSun"/>
          <w:i/>
          <w:iCs/>
          <w:color w:val="000000"/>
          <w:sz w:val="24"/>
          <w:szCs w:val="24"/>
          <w:lang w:eastAsia="zh-CN"/>
        </w:rPr>
        <w:t>Liver Int</w:t>
      </w:r>
      <w:r w:rsidRPr="00E1636B">
        <w:rPr>
          <w:rFonts w:ascii="Book Antiqua" w:eastAsia="SimSun" w:hAnsi="Book Antiqua" w:cs="SimSun"/>
          <w:color w:val="000000"/>
          <w:sz w:val="24"/>
          <w:szCs w:val="24"/>
          <w:lang w:eastAsia="zh-CN"/>
        </w:rPr>
        <w:t> 2007; </w:t>
      </w:r>
      <w:r w:rsidRPr="00E1636B">
        <w:rPr>
          <w:rFonts w:ascii="Book Antiqua" w:eastAsia="SimSun" w:hAnsi="Book Antiqua" w:cs="SimSun"/>
          <w:b/>
          <w:bCs/>
          <w:color w:val="000000"/>
          <w:sz w:val="24"/>
          <w:szCs w:val="24"/>
          <w:lang w:eastAsia="zh-CN"/>
        </w:rPr>
        <w:t>27</w:t>
      </w:r>
      <w:r w:rsidRPr="00E1636B">
        <w:rPr>
          <w:rFonts w:ascii="Book Antiqua" w:eastAsia="SimSun" w:hAnsi="Book Antiqua" w:cs="SimSun"/>
          <w:color w:val="000000"/>
          <w:sz w:val="24"/>
          <w:szCs w:val="24"/>
          <w:lang w:eastAsia="zh-CN"/>
        </w:rPr>
        <w:t>: 1174-1184 [PMID: 17919228 DOI: 10.1111/j.1478-3231.2007.01577.x]</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76 </w:t>
      </w:r>
      <w:r w:rsidRPr="00E1636B">
        <w:rPr>
          <w:rFonts w:ascii="Book Antiqua" w:eastAsia="SimSun" w:hAnsi="Book Antiqua" w:cs="SimSun"/>
          <w:b/>
          <w:bCs/>
          <w:color w:val="000000"/>
          <w:sz w:val="24"/>
          <w:szCs w:val="24"/>
          <w:lang w:eastAsia="zh-CN"/>
        </w:rPr>
        <w:t>Kuroki T</w:t>
      </w:r>
      <w:r w:rsidRPr="00E1636B">
        <w:rPr>
          <w:rFonts w:ascii="Book Antiqua" w:eastAsia="SimSun" w:hAnsi="Book Antiqua" w:cs="SimSun"/>
          <w:color w:val="000000"/>
          <w:sz w:val="24"/>
          <w:szCs w:val="24"/>
          <w:lang w:eastAsia="zh-CN"/>
        </w:rPr>
        <w:t>, Tajima Y, Kanematsu T. Hepatolithiasis and intrahepatic cholangiocarcinoma: carcinogenesis based on molecular mechanisms. </w:t>
      </w:r>
      <w:r w:rsidRPr="00E1636B">
        <w:rPr>
          <w:rFonts w:ascii="Book Antiqua" w:eastAsia="SimSun" w:hAnsi="Book Antiqua" w:cs="SimSun"/>
          <w:i/>
          <w:iCs/>
          <w:color w:val="000000"/>
          <w:sz w:val="24"/>
          <w:szCs w:val="24"/>
          <w:lang w:eastAsia="zh-CN"/>
        </w:rPr>
        <w:t>J Hepatobiliary Pancreat Surg</w:t>
      </w:r>
      <w:r w:rsidRPr="00E1636B">
        <w:rPr>
          <w:rFonts w:ascii="Book Antiqua" w:eastAsia="SimSun" w:hAnsi="Book Antiqua" w:cs="SimSun"/>
          <w:color w:val="000000"/>
          <w:sz w:val="24"/>
          <w:szCs w:val="24"/>
          <w:lang w:eastAsia="zh-CN"/>
        </w:rPr>
        <w:t> 2005; </w:t>
      </w:r>
      <w:r w:rsidRPr="00E1636B">
        <w:rPr>
          <w:rFonts w:ascii="Book Antiqua" w:eastAsia="SimSun" w:hAnsi="Book Antiqua" w:cs="SimSun"/>
          <w:b/>
          <w:bCs/>
          <w:color w:val="000000"/>
          <w:sz w:val="24"/>
          <w:szCs w:val="24"/>
          <w:lang w:eastAsia="zh-CN"/>
        </w:rPr>
        <w:t>12</w:t>
      </w:r>
      <w:r w:rsidRPr="00E1636B">
        <w:rPr>
          <w:rFonts w:ascii="Book Antiqua" w:eastAsia="SimSun" w:hAnsi="Book Antiqua" w:cs="SimSun"/>
          <w:color w:val="000000"/>
          <w:sz w:val="24"/>
          <w:szCs w:val="24"/>
          <w:lang w:eastAsia="zh-CN"/>
        </w:rPr>
        <w:t>: 463-466 [PMID: 16365819 DOI: 10.1007/s00534-005-1004-1]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77 </w:t>
      </w:r>
      <w:r w:rsidRPr="00E1636B">
        <w:rPr>
          <w:rFonts w:ascii="Book Antiqua" w:eastAsia="SimSun" w:hAnsi="Book Antiqua" w:cs="SimSun"/>
          <w:b/>
          <w:bCs/>
          <w:color w:val="000000"/>
          <w:sz w:val="24"/>
          <w:szCs w:val="24"/>
          <w:lang w:eastAsia="zh-CN"/>
        </w:rPr>
        <w:t>Nakanuma Y</w:t>
      </w:r>
      <w:r w:rsidRPr="00E1636B">
        <w:rPr>
          <w:rFonts w:ascii="Book Antiqua" w:eastAsia="SimSun" w:hAnsi="Book Antiqua" w:cs="SimSun"/>
          <w:color w:val="000000"/>
          <w:sz w:val="24"/>
          <w:szCs w:val="24"/>
          <w:lang w:eastAsia="zh-CN"/>
        </w:rPr>
        <w:t>, Harada K, Ishikawa A, Zen Y, Sasaki M. Anatomic and molecular pathology of intrahepatic cholangiocarcinoma. </w:t>
      </w:r>
      <w:r w:rsidRPr="00E1636B">
        <w:rPr>
          <w:rFonts w:ascii="Book Antiqua" w:eastAsia="SimSun" w:hAnsi="Book Antiqua" w:cs="SimSun"/>
          <w:i/>
          <w:iCs/>
          <w:color w:val="000000"/>
          <w:sz w:val="24"/>
          <w:szCs w:val="24"/>
          <w:lang w:eastAsia="zh-CN"/>
        </w:rPr>
        <w:t>J Hepatobiliary Pancreat Surg</w:t>
      </w:r>
      <w:r w:rsidRPr="00E1636B">
        <w:rPr>
          <w:rFonts w:ascii="Book Antiqua" w:eastAsia="SimSun" w:hAnsi="Book Antiqua" w:cs="SimSun"/>
          <w:color w:val="000000"/>
          <w:sz w:val="24"/>
          <w:szCs w:val="24"/>
          <w:lang w:eastAsia="zh-CN"/>
        </w:rPr>
        <w:t> 2003; </w:t>
      </w:r>
      <w:r w:rsidRPr="00E1636B">
        <w:rPr>
          <w:rFonts w:ascii="Book Antiqua" w:eastAsia="SimSun" w:hAnsi="Book Antiqua" w:cs="SimSun"/>
          <w:b/>
          <w:bCs/>
          <w:color w:val="000000"/>
          <w:sz w:val="24"/>
          <w:szCs w:val="24"/>
          <w:lang w:eastAsia="zh-CN"/>
        </w:rPr>
        <w:t>10</w:t>
      </w:r>
      <w:r w:rsidRPr="00E1636B">
        <w:rPr>
          <w:rFonts w:ascii="Book Antiqua" w:eastAsia="SimSun" w:hAnsi="Book Antiqua" w:cs="SimSun"/>
          <w:color w:val="000000"/>
          <w:sz w:val="24"/>
          <w:szCs w:val="24"/>
          <w:lang w:eastAsia="zh-CN"/>
        </w:rPr>
        <w:t>: 265-281 [PMID: 14598145 DOI: 10.1007/s00534-002-0729-3]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78 </w:t>
      </w:r>
      <w:r w:rsidRPr="00E1636B">
        <w:rPr>
          <w:rFonts w:ascii="Book Antiqua" w:eastAsia="SimSun" w:hAnsi="Book Antiqua" w:cs="SimSun"/>
          <w:b/>
          <w:bCs/>
          <w:color w:val="000000"/>
          <w:sz w:val="24"/>
          <w:szCs w:val="24"/>
          <w:lang w:eastAsia="zh-CN"/>
        </w:rPr>
        <w:t>Aishima SI</w:t>
      </w:r>
      <w:r w:rsidRPr="00E1636B">
        <w:rPr>
          <w:rFonts w:ascii="Book Antiqua" w:eastAsia="SimSun" w:hAnsi="Book Antiqua" w:cs="SimSun"/>
          <w:color w:val="000000"/>
          <w:sz w:val="24"/>
          <w:szCs w:val="24"/>
          <w:lang w:eastAsia="zh-CN"/>
        </w:rPr>
        <w:t>, Taguchi KI, Sugimachi K, Shimada M, Sugimachi K, Tsuneyoshi M. c-erbB-2 and c-Met expression relates to cholangiocarcinogenesis and progression of intrahepatic cholangiocarcinoma. </w:t>
      </w:r>
      <w:r w:rsidRPr="00E1636B">
        <w:rPr>
          <w:rFonts w:ascii="Book Antiqua" w:eastAsia="SimSun" w:hAnsi="Book Antiqua" w:cs="SimSun"/>
          <w:i/>
          <w:iCs/>
          <w:color w:val="000000"/>
          <w:sz w:val="24"/>
          <w:szCs w:val="24"/>
          <w:lang w:eastAsia="zh-CN"/>
        </w:rPr>
        <w:t>Histopathology</w:t>
      </w:r>
      <w:r w:rsidRPr="00E1636B">
        <w:rPr>
          <w:rFonts w:ascii="Book Antiqua" w:eastAsia="SimSun" w:hAnsi="Book Antiqua" w:cs="SimSun"/>
          <w:color w:val="000000"/>
          <w:sz w:val="24"/>
          <w:szCs w:val="24"/>
          <w:lang w:eastAsia="zh-CN"/>
        </w:rPr>
        <w:t> 2002; </w:t>
      </w:r>
      <w:r w:rsidRPr="00E1636B">
        <w:rPr>
          <w:rFonts w:ascii="Book Antiqua" w:eastAsia="SimSun" w:hAnsi="Book Antiqua" w:cs="SimSun"/>
          <w:b/>
          <w:bCs/>
          <w:color w:val="000000"/>
          <w:sz w:val="24"/>
          <w:szCs w:val="24"/>
          <w:lang w:eastAsia="zh-CN"/>
        </w:rPr>
        <w:t>40</w:t>
      </w:r>
      <w:r w:rsidRPr="00E1636B">
        <w:rPr>
          <w:rFonts w:ascii="Book Antiqua" w:eastAsia="SimSun" w:hAnsi="Book Antiqua" w:cs="SimSun"/>
          <w:color w:val="000000"/>
          <w:sz w:val="24"/>
          <w:szCs w:val="24"/>
          <w:lang w:eastAsia="zh-CN"/>
        </w:rPr>
        <w:t>: 269-278 [PMID: 11895493 DOI: 10.1046/j.1365-2559.2002.00353.x]</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79 </w:t>
      </w:r>
      <w:r w:rsidRPr="00E1636B">
        <w:rPr>
          <w:rFonts w:ascii="Book Antiqua" w:eastAsia="SimSun" w:hAnsi="Book Antiqua" w:cs="SimSun"/>
          <w:b/>
          <w:bCs/>
          <w:color w:val="000000"/>
          <w:sz w:val="24"/>
          <w:szCs w:val="24"/>
          <w:lang w:eastAsia="zh-CN"/>
        </w:rPr>
        <w:t>Kim HJ</w:t>
      </w:r>
      <w:r w:rsidRPr="00E1636B">
        <w:rPr>
          <w:rFonts w:ascii="Book Antiqua" w:eastAsia="SimSun" w:hAnsi="Book Antiqua" w:cs="SimSun"/>
          <w:color w:val="000000"/>
          <w:sz w:val="24"/>
          <w:szCs w:val="24"/>
          <w:lang w:eastAsia="zh-CN"/>
        </w:rPr>
        <w:t>, Kim JS, Kang CD, Lee SJ, Kim JY, Yeon JE, Park JJ, Shim JJ, Byun KS, Bak YT, Lee CH. [Expression of epidermal growth factor receptor, ErbB2 and matrix metalloproteinase-9 in hepatolithiasis and cholangiocarcinoma]. </w:t>
      </w:r>
      <w:r w:rsidRPr="00E1636B">
        <w:rPr>
          <w:rFonts w:ascii="Book Antiqua" w:eastAsia="SimSun" w:hAnsi="Book Antiqua" w:cs="SimSun"/>
          <w:i/>
          <w:iCs/>
          <w:color w:val="000000"/>
          <w:sz w:val="24"/>
          <w:szCs w:val="24"/>
          <w:lang w:eastAsia="zh-CN"/>
        </w:rPr>
        <w:t xml:space="preserve">Korean J </w:t>
      </w:r>
      <w:r w:rsidRPr="00E1636B">
        <w:rPr>
          <w:rFonts w:ascii="Book Antiqua" w:eastAsia="SimSun" w:hAnsi="Book Antiqua" w:cs="SimSun"/>
          <w:i/>
          <w:iCs/>
          <w:color w:val="000000"/>
          <w:sz w:val="24"/>
          <w:szCs w:val="24"/>
          <w:lang w:eastAsia="zh-CN"/>
        </w:rPr>
        <w:lastRenderedPageBreak/>
        <w:t>Gastroenterol</w:t>
      </w:r>
      <w:r w:rsidRPr="00E1636B">
        <w:rPr>
          <w:rFonts w:ascii="Book Antiqua" w:eastAsia="SimSun" w:hAnsi="Book Antiqua" w:cs="SimSun"/>
          <w:color w:val="000000"/>
          <w:sz w:val="24"/>
          <w:szCs w:val="24"/>
          <w:lang w:eastAsia="zh-CN"/>
        </w:rPr>
        <w:t> 2005; </w:t>
      </w:r>
      <w:r w:rsidRPr="00E1636B">
        <w:rPr>
          <w:rFonts w:ascii="Book Antiqua" w:eastAsia="SimSun" w:hAnsi="Book Antiqua" w:cs="SimSun"/>
          <w:b/>
          <w:bCs/>
          <w:color w:val="000000"/>
          <w:sz w:val="24"/>
          <w:szCs w:val="24"/>
          <w:lang w:eastAsia="zh-CN"/>
        </w:rPr>
        <w:t>45</w:t>
      </w:r>
      <w:r w:rsidRPr="00E1636B">
        <w:rPr>
          <w:rFonts w:ascii="Book Antiqua" w:eastAsia="SimSun" w:hAnsi="Book Antiqua" w:cs="SimSun"/>
          <w:color w:val="000000"/>
          <w:sz w:val="24"/>
          <w:szCs w:val="24"/>
          <w:lang w:eastAsia="zh-CN"/>
        </w:rPr>
        <w:t>: 52-59 [PMID: 15665568]</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80 </w:t>
      </w:r>
      <w:r w:rsidRPr="00E1636B">
        <w:rPr>
          <w:rFonts w:ascii="Book Antiqua" w:eastAsia="SimSun" w:hAnsi="Book Antiqua" w:cs="SimSun"/>
          <w:b/>
          <w:bCs/>
          <w:color w:val="000000"/>
          <w:sz w:val="24"/>
          <w:szCs w:val="24"/>
          <w:lang w:eastAsia="zh-CN"/>
        </w:rPr>
        <w:t>Zhou Q</w:t>
      </w:r>
      <w:r w:rsidRPr="00E1636B">
        <w:rPr>
          <w:rFonts w:ascii="Book Antiqua" w:eastAsia="SimSun" w:hAnsi="Book Antiqua" w:cs="SimSun"/>
          <w:color w:val="000000"/>
          <w:sz w:val="24"/>
          <w:szCs w:val="24"/>
          <w:lang w:eastAsia="zh-CN"/>
        </w:rPr>
        <w:t>, Gong Y, Huang F, Lin Q, Zeng B, Li Z, Chen R. Expression levels and significance of nuclear factor-κB and epidermal growth factor receptor in hepatolithiasis associated with intrahepatic cholangiocarcinoma. </w:t>
      </w:r>
      <w:r w:rsidRPr="00E1636B">
        <w:rPr>
          <w:rFonts w:ascii="Book Antiqua" w:eastAsia="SimSun" w:hAnsi="Book Antiqua" w:cs="SimSun"/>
          <w:i/>
          <w:iCs/>
          <w:color w:val="000000"/>
          <w:sz w:val="24"/>
          <w:szCs w:val="24"/>
          <w:lang w:eastAsia="zh-CN"/>
        </w:rPr>
        <w:t>Dig Surg</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30</w:t>
      </w:r>
      <w:r w:rsidRPr="00E1636B">
        <w:rPr>
          <w:rFonts w:ascii="Book Antiqua" w:eastAsia="SimSun" w:hAnsi="Book Antiqua" w:cs="SimSun"/>
          <w:color w:val="000000"/>
          <w:sz w:val="24"/>
          <w:szCs w:val="24"/>
          <w:lang w:eastAsia="zh-CN"/>
        </w:rPr>
        <w:t>: 309-316 [PMID: 24008372 DOI: 10.1159/000354341]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81 </w:t>
      </w:r>
      <w:r w:rsidRPr="00E1636B">
        <w:rPr>
          <w:rFonts w:ascii="Book Antiqua" w:eastAsia="SimSun" w:hAnsi="Book Antiqua" w:cs="SimSun"/>
          <w:b/>
          <w:bCs/>
          <w:color w:val="000000"/>
          <w:sz w:val="24"/>
          <w:szCs w:val="24"/>
          <w:lang w:eastAsia="zh-CN"/>
        </w:rPr>
        <w:t>Chariyalertsak S</w:t>
      </w:r>
      <w:r w:rsidRPr="00E1636B">
        <w:rPr>
          <w:rFonts w:ascii="Book Antiqua" w:eastAsia="SimSun" w:hAnsi="Book Antiqua" w:cs="SimSun"/>
          <w:color w:val="000000"/>
          <w:sz w:val="24"/>
          <w:szCs w:val="24"/>
          <w:lang w:eastAsia="zh-CN"/>
        </w:rPr>
        <w:t>, Sirikulchayanonta V, Mayer D, Kopp-Schneider A, Fürstenberger G, Marks F, Müller-Decker K. Aberrant cyclooxygenase isozyme expression in human intrahepatic cholangiocarcinoma. </w:t>
      </w:r>
      <w:r w:rsidRPr="00E1636B">
        <w:rPr>
          <w:rFonts w:ascii="Book Antiqua" w:eastAsia="SimSun" w:hAnsi="Book Antiqua" w:cs="SimSun"/>
          <w:i/>
          <w:iCs/>
          <w:color w:val="000000"/>
          <w:sz w:val="24"/>
          <w:szCs w:val="24"/>
          <w:lang w:eastAsia="zh-CN"/>
        </w:rPr>
        <w:t>Gut</w:t>
      </w:r>
      <w:r w:rsidRPr="00E1636B">
        <w:rPr>
          <w:rFonts w:ascii="Book Antiqua" w:eastAsia="SimSun" w:hAnsi="Book Antiqua" w:cs="SimSun"/>
          <w:color w:val="000000"/>
          <w:sz w:val="24"/>
          <w:szCs w:val="24"/>
          <w:lang w:eastAsia="zh-CN"/>
        </w:rPr>
        <w:t> 2001; </w:t>
      </w:r>
      <w:r w:rsidRPr="00E1636B">
        <w:rPr>
          <w:rFonts w:ascii="Book Antiqua" w:eastAsia="SimSun" w:hAnsi="Book Antiqua" w:cs="SimSun"/>
          <w:b/>
          <w:bCs/>
          <w:color w:val="000000"/>
          <w:sz w:val="24"/>
          <w:szCs w:val="24"/>
          <w:lang w:eastAsia="zh-CN"/>
        </w:rPr>
        <w:t>48</w:t>
      </w:r>
      <w:r w:rsidRPr="00E1636B">
        <w:rPr>
          <w:rFonts w:ascii="Book Antiqua" w:eastAsia="SimSun" w:hAnsi="Book Antiqua" w:cs="SimSun"/>
          <w:color w:val="000000"/>
          <w:sz w:val="24"/>
          <w:szCs w:val="24"/>
          <w:lang w:eastAsia="zh-CN"/>
        </w:rPr>
        <w:t>: 80-86 [PMID: 11115827 DOI: 10.1136/gut.48.1.80]</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82 </w:t>
      </w:r>
      <w:r w:rsidRPr="00E1636B">
        <w:rPr>
          <w:rFonts w:ascii="Book Antiqua" w:eastAsia="SimSun" w:hAnsi="Book Antiqua" w:cs="SimSun"/>
          <w:b/>
          <w:bCs/>
          <w:color w:val="000000"/>
          <w:sz w:val="24"/>
          <w:szCs w:val="24"/>
          <w:lang w:eastAsia="zh-CN"/>
        </w:rPr>
        <w:t>Hayashi N</w:t>
      </w:r>
      <w:r w:rsidRPr="00E1636B">
        <w:rPr>
          <w:rFonts w:ascii="Book Antiqua" w:eastAsia="SimSun" w:hAnsi="Book Antiqua" w:cs="SimSun"/>
          <w:color w:val="000000"/>
          <w:sz w:val="24"/>
          <w:szCs w:val="24"/>
          <w:lang w:eastAsia="zh-CN"/>
        </w:rPr>
        <w:t>, Yamamoto H, Hiraoka N, Dono K, Ito Y, Okami J, Kondo M, Nagano H, Umeshita K, Sakon M, Matsuura N, Nakamori S, Monden M. Differential expression of cyclooxygenase-2 (COX-2) in human bile duct epithelial cells and bile duct neoplasm. </w:t>
      </w:r>
      <w:r w:rsidRPr="00E1636B">
        <w:rPr>
          <w:rFonts w:ascii="Book Antiqua" w:eastAsia="SimSun" w:hAnsi="Book Antiqua" w:cs="SimSun"/>
          <w:i/>
          <w:iCs/>
          <w:color w:val="000000"/>
          <w:sz w:val="24"/>
          <w:szCs w:val="24"/>
          <w:lang w:eastAsia="zh-CN"/>
        </w:rPr>
        <w:t>Hepatology</w:t>
      </w:r>
      <w:r w:rsidRPr="00E1636B">
        <w:rPr>
          <w:rFonts w:ascii="Book Antiqua" w:eastAsia="SimSun" w:hAnsi="Book Antiqua" w:cs="SimSun"/>
          <w:color w:val="000000"/>
          <w:sz w:val="24"/>
          <w:szCs w:val="24"/>
          <w:lang w:eastAsia="zh-CN"/>
        </w:rPr>
        <w:t> 2001; </w:t>
      </w:r>
      <w:r w:rsidRPr="00E1636B">
        <w:rPr>
          <w:rFonts w:ascii="Book Antiqua" w:eastAsia="SimSun" w:hAnsi="Book Antiqua" w:cs="SimSun"/>
          <w:b/>
          <w:bCs/>
          <w:color w:val="000000"/>
          <w:sz w:val="24"/>
          <w:szCs w:val="24"/>
          <w:lang w:eastAsia="zh-CN"/>
        </w:rPr>
        <w:t>34</w:t>
      </w:r>
      <w:r w:rsidRPr="00E1636B">
        <w:rPr>
          <w:rFonts w:ascii="Book Antiqua" w:eastAsia="SimSun" w:hAnsi="Book Antiqua" w:cs="SimSun"/>
          <w:color w:val="000000"/>
          <w:sz w:val="24"/>
          <w:szCs w:val="24"/>
          <w:lang w:eastAsia="zh-CN"/>
        </w:rPr>
        <w:t>: 638-650 [PMID: 11584358 DOI: 10.1053/jhep.2001.28198]</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83 </w:t>
      </w:r>
      <w:r w:rsidRPr="00E1636B">
        <w:rPr>
          <w:rFonts w:ascii="Book Antiqua" w:eastAsia="SimSun" w:hAnsi="Book Antiqua" w:cs="SimSun"/>
          <w:b/>
          <w:bCs/>
          <w:color w:val="000000"/>
          <w:sz w:val="24"/>
          <w:szCs w:val="24"/>
          <w:lang w:eastAsia="zh-CN"/>
        </w:rPr>
        <w:t>Endo K</w:t>
      </w:r>
      <w:r w:rsidRPr="00E1636B">
        <w:rPr>
          <w:rFonts w:ascii="Book Antiqua" w:eastAsia="SimSun" w:hAnsi="Book Antiqua" w:cs="SimSun"/>
          <w:color w:val="000000"/>
          <w:sz w:val="24"/>
          <w:szCs w:val="24"/>
          <w:lang w:eastAsia="zh-CN"/>
        </w:rPr>
        <w:t>, Yoon BI, Pairojkul C, Demetris AJ, Sirica AE. ERBB-2 overexpression and cyclooxygenase-2 up-regulation in human cholangiocarcinoma and risk conditions. </w:t>
      </w:r>
      <w:r w:rsidRPr="00E1636B">
        <w:rPr>
          <w:rFonts w:ascii="Book Antiqua" w:eastAsia="SimSun" w:hAnsi="Book Antiqua" w:cs="SimSun"/>
          <w:i/>
          <w:iCs/>
          <w:color w:val="000000"/>
          <w:sz w:val="24"/>
          <w:szCs w:val="24"/>
          <w:lang w:eastAsia="zh-CN"/>
        </w:rPr>
        <w:t>Hepatology</w:t>
      </w:r>
      <w:r w:rsidRPr="00E1636B">
        <w:rPr>
          <w:rFonts w:ascii="Book Antiqua" w:eastAsia="SimSun" w:hAnsi="Book Antiqua" w:cs="SimSun"/>
          <w:color w:val="000000"/>
          <w:sz w:val="24"/>
          <w:szCs w:val="24"/>
          <w:lang w:eastAsia="zh-CN"/>
        </w:rPr>
        <w:t> 2002; </w:t>
      </w:r>
      <w:r w:rsidRPr="00E1636B">
        <w:rPr>
          <w:rFonts w:ascii="Book Antiqua" w:eastAsia="SimSun" w:hAnsi="Book Antiqua" w:cs="SimSun"/>
          <w:b/>
          <w:bCs/>
          <w:color w:val="000000"/>
          <w:sz w:val="24"/>
          <w:szCs w:val="24"/>
          <w:lang w:eastAsia="zh-CN"/>
        </w:rPr>
        <w:t>36</w:t>
      </w:r>
      <w:r w:rsidRPr="00E1636B">
        <w:rPr>
          <w:rFonts w:ascii="Book Antiqua" w:eastAsia="SimSun" w:hAnsi="Book Antiqua" w:cs="SimSun"/>
          <w:color w:val="000000"/>
          <w:sz w:val="24"/>
          <w:szCs w:val="24"/>
          <w:lang w:eastAsia="zh-CN"/>
        </w:rPr>
        <w:t>: 439-450 [PMID: 12143054 DOI: 10.1053/jhep.2002.34435]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84 </w:t>
      </w:r>
      <w:r w:rsidRPr="00E1636B">
        <w:rPr>
          <w:rFonts w:ascii="Book Antiqua" w:eastAsia="SimSun" w:hAnsi="Book Antiqua" w:cs="SimSun"/>
          <w:b/>
          <w:bCs/>
          <w:color w:val="000000"/>
          <w:sz w:val="24"/>
          <w:szCs w:val="24"/>
          <w:lang w:eastAsia="zh-CN"/>
        </w:rPr>
        <w:t>Varnholt H</w:t>
      </w:r>
      <w:r w:rsidRPr="00E1636B">
        <w:rPr>
          <w:rFonts w:ascii="Book Antiqua" w:eastAsia="SimSun" w:hAnsi="Book Antiqua" w:cs="SimSun"/>
          <w:color w:val="000000"/>
          <w:sz w:val="24"/>
          <w:szCs w:val="24"/>
          <w:lang w:eastAsia="zh-CN"/>
        </w:rPr>
        <w:t>, Asayama Y, Aishima S, Taguchi K, Sugimachi K, Tsuneyoshi M. C-met and hepatocyte growth factor expression in combined hepatocellular and cholangiocarcinoma. </w:t>
      </w:r>
      <w:r w:rsidRPr="00E1636B">
        <w:rPr>
          <w:rFonts w:ascii="Book Antiqua" w:eastAsia="SimSun" w:hAnsi="Book Antiqua" w:cs="SimSun"/>
          <w:i/>
          <w:iCs/>
          <w:color w:val="000000"/>
          <w:sz w:val="24"/>
          <w:szCs w:val="24"/>
          <w:lang w:eastAsia="zh-CN"/>
        </w:rPr>
        <w:t>Oncol Rep</w:t>
      </w:r>
      <w:r w:rsidRPr="00E1636B">
        <w:rPr>
          <w:rFonts w:ascii="Book Antiqua" w:eastAsia="SimSun" w:hAnsi="Book Antiqua" w:cs="SimSun"/>
          <w:color w:val="000000"/>
          <w:sz w:val="24"/>
          <w:szCs w:val="24"/>
          <w:lang w:eastAsia="zh-CN"/>
        </w:rPr>
        <w:t> 2002; </w:t>
      </w:r>
      <w:r w:rsidRPr="00E1636B">
        <w:rPr>
          <w:rFonts w:ascii="Book Antiqua" w:eastAsia="SimSun" w:hAnsi="Book Antiqua" w:cs="SimSun"/>
          <w:b/>
          <w:bCs/>
          <w:color w:val="000000"/>
          <w:sz w:val="24"/>
          <w:szCs w:val="24"/>
          <w:lang w:eastAsia="zh-CN"/>
        </w:rPr>
        <w:t>9</w:t>
      </w:r>
      <w:r w:rsidRPr="00E1636B">
        <w:rPr>
          <w:rFonts w:ascii="Book Antiqua" w:eastAsia="SimSun" w:hAnsi="Book Antiqua" w:cs="SimSun"/>
          <w:color w:val="000000"/>
          <w:sz w:val="24"/>
          <w:szCs w:val="24"/>
          <w:lang w:eastAsia="zh-CN"/>
        </w:rPr>
        <w:t>: 35-41 [PMID: 11748452]</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85 </w:t>
      </w:r>
      <w:r w:rsidRPr="00E1636B">
        <w:rPr>
          <w:rFonts w:ascii="Book Antiqua" w:eastAsia="SimSun" w:hAnsi="Book Antiqua" w:cs="SimSun"/>
          <w:b/>
          <w:bCs/>
          <w:color w:val="000000"/>
          <w:sz w:val="24"/>
          <w:szCs w:val="24"/>
          <w:lang w:eastAsia="zh-CN"/>
        </w:rPr>
        <w:t>Terada T</w:t>
      </w:r>
      <w:r w:rsidRPr="00E1636B">
        <w:rPr>
          <w:rFonts w:ascii="Book Antiqua" w:eastAsia="SimSun" w:hAnsi="Book Antiqua" w:cs="SimSun"/>
          <w:color w:val="000000"/>
          <w:sz w:val="24"/>
          <w:szCs w:val="24"/>
          <w:lang w:eastAsia="zh-CN"/>
        </w:rPr>
        <w:t>, Nakanuma Y, Sirica AE. Immunohistochemical demonstration of MET overexpression in human intrahepatic cholangiocarcinoma and in hepatolithiasis. </w:t>
      </w:r>
      <w:r w:rsidRPr="00E1636B">
        <w:rPr>
          <w:rFonts w:ascii="Book Antiqua" w:eastAsia="SimSun" w:hAnsi="Book Antiqua" w:cs="SimSun"/>
          <w:i/>
          <w:iCs/>
          <w:color w:val="000000"/>
          <w:sz w:val="24"/>
          <w:szCs w:val="24"/>
          <w:lang w:eastAsia="zh-CN"/>
        </w:rPr>
        <w:t>Hum Pathol</w:t>
      </w:r>
      <w:r w:rsidRPr="00E1636B">
        <w:rPr>
          <w:rFonts w:ascii="Book Antiqua" w:eastAsia="SimSun" w:hAnsi="Book Antiqua" w:cs="SimSun"/>
          <w:color w:val="000000"/>
          <w:sz w:val="24"/>
          <w:szCs w:val="24"/>
          <w:lang w:eastAsia="zh-CN"/>
        </w:rPr>
        <w:t> 1998; </w:t>
      </w:r>
      <w:r w:rsidRPr="00E1636B">
        <w:rPr>
          <w:rFonts w:ascii="Book Antiqua" w:eastAsia="SimSun" w:hAnsi="Book Antiqua" w:cs="SimSun"/>
          <w:b/>
          <w:bCs/>
          <w:color w:val="000000"/>
          <w:sz w:val="24"/>
          <w:szCs w:val="24"/>
          <w:lang w:eastAsia="zh-CN"/>
        </w:rPr>
        <w:t>29</w:t>
      </w:r>
      <w:r w:rsidRPr="00E1636B">
        <w:rPr>
          <w:rFonts w:ascii="Book Antiqua" w:eastAsia="SimSun" w:hAnsi="Book Antiqua" w:cs="SimSun"/>
          <w:color w:val="000000"/>
          <w:sz w:val="24"/>
          <w:szCs w:val="24"/>
          <w:lang w:eastAsia="zh-CN"/>
        </w:rPr>
        <w:t>: 175-180 [PMID: 9490278 DOI: 10.1016/S0046-8177(98)90229-5]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86 </w:t>
      </w:r>
      <w:r w:rsidRPr="00E1636B">
        <w:rPr>
          <w:rFonts w:ascii="Book Antiqua" w:eastAsia="SimSun" w:hAnsi="Book Antiqua" w:cs="SimSun"/>
          <w:b/>
          <w:bCs/>
          <w:color w:val="000000"/>
          <w:sz w:val="24"/>
          <w:szCs w:val="24"/>
          <w:lang w:eastAsia="zh-CN"/>
        </w:rPr>
        <w:t>Liggett WH</w:t>
      </w:r>
      <w:r w:rsidRPr="00E1636B">
        <w:rPr>
          <w:rFonts w:ascii="Book Antiqua" w:eastAsia="SimSun" w:hAnsi="Book Antiqua" w:cs="SimSun"/>
          <w:color w:val="000000"/>
          <w:sz w:val="24"/>
          <w:szCs w:val="24"/>
          <w:lang w:eastAsia="zh-CN"/>
        </w:rPr>
        <w:t>, Sidransky D. Role of the p16 tumor suppressor gene in cancer. </w:t>
      </w:r>
      <w:r w:rsidRPr="00E1636B">
        <w:rPr>
          <w:rFonts w:ascii="Book Antiqua" w:eastAsia="SimSun" w:hAnsi="Book Antiqua" w:cs="SimSun"/>
          <w:i/>
          <w:iCs/>
          <w:color w:val="000000"/>
          <w:sz w:val="24"/>
          <w:szCs w:val="24"/>
          <w:lang w:eastAsia="zh-CN"/>
        </w:rPr>
        <w:t>J Clin Oncol</w:t>
      </w:r>
      <w:r w:rsidRPr="00E1636B">
        <w:rPr>
          <w:rFonts w:ascii="Book Antiqua" w:eastAsia="SimSun" w:hAnsi="Book Antiqua" w:cs="SimSun"/>
          <w:color w:val="000000"/>
          <w:sz w:val="24"/>
          <w:szCs w:val="24"/>
          <w:lang w:eastAsia="zh-CN"/>
        </w:rPr>
        <w:t> 1998; </w:t>
      </w:r>
      <w:r w:rsidRPr="00E1636B">
        <w:rPr>
          <w:rFonts w:ascii="Book Antiqua" w:eastAsia="SimSun" w:hAnsi="Book Antiqua" w:cs="SimSun"/>
          <w:b/>
          <w:bCs/>
          <w:color w:val="000000"/>
          <w:sz w:val="24"/>
          <w:szCs w:val="24"/>
          <w:lang w:eastAsia="zh-CN"/>
        </w:rPr>
        <w:t>16</w:t>
      </w:r>
      <w:r w:rsidRPr="00E1636B">
        <w:rPr>
          <w:rFonts w:ascii="Book Antiqua" w:eastAsia="SimSun" w:hAnsi="Book Antiqua" w:cs="SimSun"/>
          <w:color w:val="000000"/>
          <w:sz w:val="24"/>
          <w:szCs w:val="24"/>
          <w:lang w:eastAsia="zh-CN"/>
        </w:rPr>
        <w:t>: 1197-1206 [PMID: 9508208]</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87 </w:t>
      </w:r>
      <w:r w:rsidRPr="00E1636B">
        <w:rPr>
          <w:rFonts w:ascii="Book Antiqua" w:eastAsia="SimSun" w:hAnsi="Book Antiqua" w:cs="SimSun"/>
          <w:b/>
          <w:bCs/>
          <w:color w:val="000000"/>
          <w:sz w:val="24"/>
          <w:szCs w:val="24"/>
          <w:lang w:eastAsia="zh-CN"/>
        </w:rPr>
        <w:t>Ishikawa A</w:t>
      </w:r>
      <w:r w:rsidRPr="00E1636B">
        <w:rPr>
          <w:rFonts w:ascii="Book Antiqua" w:eastAsia="SimSun" w:hAnsi="Book Antiqua" w:cs="SimSun"/>
          <w:color w:val="000000"/>
          <w:sz w:val="24"/>
          <w:szCs w:val="24"/>
          <w:lang w:eastAsia="zh-CN"/>
        </w:rPr>
        <w:t>, Sasaki M, Sato Y, Ohira S, Chen MF, Huang SF, Oda K, Nimura Y, Nakanuma Y. Frequent p16ink4a inactivation is an early and frequent event of intraductal papillary neoplasm of the liver arising in hepatolithiasis. </w:t>
      </w:r>
      <w:r w:rsidRPr="00E1636B">
        <w:rPr>
          <w:rFonts w:ascii="Book Antiqua" w:eastAsia="SimSun" w:hAnsi="Book Antiqua" w:cs="SimSun"/>
          <w:i/>
          <w:iCs/>
          <w:color w:val="000000"/>
          <w:sz w:val="24"/>
          <w:szCs w:val="24"/>
          <w:lang w:eastAsia="zh-CN"/>
        </w:rPr>
        <w:t xml:space="preserve">Hum </w:t>
      </w:r>
      <w:r w:rsidRPr="00E1636B">
        <w:rPr>
          <w:rFonts w:ascii="Book Antiqua" w:eastAsia="SimSun" w:hAnsi="Book Antiqua" w:cs="SimSun"/>
          <w:i/>
          <w:iCs/>
          <w:color w:val="000000"/>
          <w:sz w:val="24"/>
          <w:szCs w:val="24"/>
          <w:lang w:eastAsia="zh-CN"/>
        </w:rPr>
        <w:lastRenderedPageBreak/>
        <w:t>Pathol</w:t>
      </w:r>
      <w:r w:rsidRPr="00E1636B">
        <w:rPr>
          <w:rFonts w:ascii="Book Antiqua" w:eastAsia="SimSun" w:hAnsi="Book Antiqua" w:cs="SimSun"/>
          <w:color w:val="000000"/>
          <w:sz w:val="24"/>
          <w:szCs w:val="24"/>
          <w:lang w:eastAsia="zh-CN"/>
        </w:rPr>
        <w:t> 2004; </w:t>
      </w:r>
      <w:r w:rsidRPr="00E1636B">
        <w:rPr>
          <w:rFonts w:ascii="Book Antiqua" w:eastAsia="SimSun" w:hAnsi="Book Antiqua" w:cs="SimSun"/>
          <w:b/>
          <w:bCs/>
          <w:color w:val="000000"/>
          <w:sz w:val="24"/>
          <w:szCs w:val="24"/>
          <w:lang w:eastAsia="zh-CN"/>
        </w:rPr>
        <w:t>35</w:t>
      </w:r>
      <w:r w:rsidRPr="00E1636B">
        <w:rPr>
          <w:rFonts w:ascii="Book Antiqua" w:eastAsia="SimSun" w:hAnsi="Book Antiqua" w:cs="SimSun"/>
          <w:color w:val="000000"/>
          <w:sz w:val="24"/>
          <w:szCs w:val="24"/>
          <w:lang w:eastAsia="zh-CN"/>
        </w:rPr>
        <w:t>: 1505-1514 [PMID: 15619210 DOI: 10.1016/j.humpath.2004.08.014]</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88 </w:t>
      </w:r>
      <w:r w:rsidRPr="00E1636B">
        <w:rPr>
          <w:rFonts w:ascii="Book Antiqua" w:eastAsia="SimSun" w:hAnsi="Book Antiqua" w:cs="SimSun"/>
          <w:b/>
          <w:bCs/>
          <w:color w:val="000000"/>
          <w:sz w:val="24"/>
          <w:szCs w:val="24"/>
          <w:lang w:eastAsia="zh-CN"/>
        </w:rPr>
        <w:t>Sasaki M</w:t>
      </w:r>
      <w:r w:rsidRPr="00E1636B">
        <w:rPr>
          <w:rFonts w:ascii="Book Antiqua" w:eastAsia="SimSun" w:hAnsi="Book Antiqua" w:cs="SimSun"/>
          <w:color w:val="000000"/>
          <w:sz w:val="24"/>
          <w:szCs w:val="24"/>
          <w:lang w:eastAsia="zh-CN"/>
        </w:rPr>
        <w:t>, Yamaguchi J, Itatsu K, Ikeda H, Nakanuma Y. Over-expression of polycomb group protein EZH2 relates to decreased expression of p16 INK4a in cholangiocarcinogenesis in hepatolithiasis. </w:t>
      </w:r>
      <w:r w:rsidRPr="00E1636B">
        <w:rPr>
          <w:rFonts w:ascii="Book Antiqua" w:eastAsia="SimSun" w:hAnsi="Book Antiqua" w:cs="SimSun"/>
          <w:i/>
          <w:iCs/>
          <w:color w:val="000000"/>
          <w:sz w:val="24"/>
          <w:szCs w:val="24"/>
          <w:lang w:eastAsia="zh-CN"/>
        </w:rPr>
        <w:t>J Pathol</w:t>
      </w:r>
      <w:r w:rsidRPr="00E1636B">
        <w:rPr>
          <w:rFonts w:ascii="Book Antiqua" w:eastAsia="SimSun" w:hAnsi="Book Antiqua" w:cs="SimSun"/>
          <w:color w:val="000000"/>
          <w:sz w:val="24"/>
          <w:szCs w:val="24"/>
          <w:lang w:eastAsia="zh-CN"/>
        </w:rPr>
        <w:t> 2008; </w:t>
      </w:r>
      <w:r w:rsidRPr="00E1636B">
        <w:rPr>
          <w:rFonts w:ascii="Book Antiqua" w:eastAsia="SimSun" w:hAnsi="Book Antiqua" w:cs="SimSun"/>
          <w:b/>
          <w:bCs/>
          <w:color w:val="000000"/>
          <w:sz w:val="24"/>
          <w:szCs w:val="24"/>
          <w:lang w:eastAsia="zh-CN"/>
        </w:rPr>
        <w:t>215</w:t>
      </w:r>
      <w:r w:rsidRPr="00E1636B">
        <w:rPr>
          <w:rFonts w:ascii="Book Antiqua" w:eastAsia="SimSun" w:hAnsi="Book Antiqua" w:cs="SimSun"/>
          <w:color w:val="000000"/>
          <w:sz w:val="24"/>
          <w:szCs w:val="24"/>
          <w:lang w:eastAsia="zh-CN"/>
        </w:rPr>
        <w:t>: 175-183 [PMID: 18393368 DOI: 10.1002/path.2345]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89 </w:t>
      </w:r>
      <w:r w:rsidRPr="00E1636B">
        <w:rPr>
          <w:rFonts w:ascii="Book Antiqua" w:eastAsia="SimSun" w:hAnsi="Book Antiqua" w:cs="SimSun"/>
          <w:b/>
          <w:bCs/>
          <w:color w:val="000000"/>
          <w:sz w:val="24"/>
          <w:szCs w:val="24"/>
          <w:lang w:eastAsia="zh-CN"/>
        </w:rPr>
        <w:t>Lee KT</w:t>
      </w:r>
      <w:r w:rsidRPr="00E1636B">
        <w:rPr>
          <w:rFonts w:ascii="Book Antiqua" w:eastAsia="SimSun" w:hAnsi="Book Antiqua" w:cs="SimSun"/>
          <w:color w:val="000000"/>
          <w:sz w:val="24"/>
          <w:szCs w:val="24"/>
          <w:lang w:eastAsia="zh-CN"/>
        </w:rPr>
        <w:t>, Chang WT, Wang SN, Chuang SC, Chai CY, Hu SW. Expression of DPC4/Smad4 gene in stone-containing intrahepatic bile duct. </w:t>
      </w:r>
      <w:r w:rsidRPr="00E1636B">
        <w:rPr>
          <w:rFonts w:ascii="Book Antiqua" w:eastAsia="SimSun" w:hAnsi="Book Antiqua" w:cs="SimSun"/>
          <w:i/>
          <w:iCs/>
          <w:color w:val="000000"/>
          <w:sz w:val="24"/>
          <w:szCs w:val="24"/>
          <w:lang w:eastAsia="zh-CN"/>
        </w:rPr>
        <w:t>J Surg Oncol</w:t>
      </w:r>
      <w:r w:rsidRPr="00E1636B">
        <w:rPr>
          <w:rFonts w:ascii="Book Antiqua" w:eastAsia="SimSun" w:hAnsi="Book Antiqua" w:cs="SimSun"/>
          <w:color w:val="000000"/>
          <w:sz w:val="24"/>
          <w:szCs w:val="24"/>
          <w:lang w:eastAsia="zh-CN"/>
        </w:rPr>
        <w:t> 2006; </w:t>
      </w:r>
      <w:r w:rsidRPr="00E1636B">
        <w:rPr>
          <w:rFonts w:ascii="Book Antiqua" w:eastAsia="SimSun" w:hAnsi="Book Antiqua" w:cs="SimSun"/>
          <w:b/>
          <w:bCs/>
          <w:color w:val="000000"/>
          <w:sz w:val="24"/>
          <w:szCs w:val="24"/>
          <w:lang w:eastAsia="zh-CN"/>
        </w:rPr>
        <w:t>94</w:t>
      </w:r>
      <w:r w:rsidRPr="00E1636B">
        <w:rPr>
          <w:rFonts w:ascii="Book Antiqua" w:eastAsia="SimSun" w:hAnsi="Book Antiqua" w:cs="SimSun"/>
          <w:color w:val="000000"/>
          <w:sz w:val="24"/>
          <w:szCs w:val="24"/>
          <w:lang w:eastAsia="zh-CN"/>
        </w:rPr>
        <w:t>: 338-343 [PMID: 16917866 DOI: 10.1002/jso.20517]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90 </w:t>
      </w:r>
      <w:r w:rsidRPr="00E1636B">
        <w:rPr>
          <w:rFonts w:ascii="Book Antiqua" w:eastAsia="SimSun" w:hAnsi="Book Antiqua" w:cs="SimSun"/>
          <w:b/>
          <w:bCs/>
          <w:color w:val="000000"/>
          <w:sz w:val="24"/>
          <w:szCs w:val="24"/>
          <w:lang w:eastAsia="zh-CN"/>
        </w:rPr>
        <w:t>Mori T</w:t>
      </w:r>
      <w:r w:rsidRPr="00E1636B">
        <w:rPr>
          <w:rFonts w:ascii="Book Antiqua" w:eastAsia="SimSun" w:hAnsi="Book Antiqua" w:cs="SimSun"/>
          <w:color w:val="000000"/>
          <w:sz w:val="24"/>
          <w:szCs w:val="24"/>
          <w:lang w:eastAsia="zh-CN"/>
        </w:rPr>
        <w:t>, Sugiyama M, Atomi Y. Gallstone disease: Management of intrahepatic stones. </w:t>
      </w:r>
      <w:r w:rsidRPr="00E1636B">
        <w:rPr>
          <w:rFonts w:ascii="Book Antiqua" w:eastAsia="SimSun" w:hAnsi="Book Antiqua" w:cs="SimSun"/>
          <w:i/>
          <w:iCs/>
          <w:color w:val="000000"/>
          <w:sz w:val="24"/>
          <w:szCs w:val="24"/>
          <w:lang w:eastAsia="zh-CN"/>
        </w:rPr>
        <w:t>Best Pract Res Clin Gastroenterol</w:t>
      </w:r>
      <w:r w:rsidRPr="00E1636B">
        <w:rPr>
          <w:rFonts w:ascii="Book Antiqua" w:eastAsia="SimSun" w:hAnsi="Book Antiqua" w:cs="SimSun"/>
          <w:color w:val="000000"/>
          <w:sz w:val="24"/>
          <w:szCs w:val="24"/>
          <w:lang w:eastAsia="zh-CN"/>
        </w:rPr>
        <w:t> 2006; </w:t>
      </w:r>
      <w:r w:rsidRPr="00E1636B">
        <w:rPr>
          <w:rFonts w:ascii="Book Antiqua" w:eastAsia="SimSun" w:hAnsi="Book Antiqua" w:cs="SimSun"/>
          <w:b/>
          <w:bCs/>
          <w:color w:val="000000"/>
          <w:sz w:val="24"/>
          <w:szCs w:val="24"/>
          <w:lang w:eastAsia="zh-CN"/>
        </w:rPr>
        <w:t>20</w:t>
      </w:r>
      <w:r w:rsidRPr="00E1636B">
        <w:rPr>
          <w:rFonts w:ascii="Book Antiqua" w:eastAsia="SimSun" w:hAnsi="Book Antiqua" w:cs="SimSun"/>
          <w:color w:val="000000"/>
          <w:sz w:val="24"/>
          <w:szCs w:val="24"/>
          <w:lang w:eastAsia="zh-CN"/>
        </w:rPr>
        <w:t>: 1117-1137 [PMID: 17127192 DOI: 10.1016/j.bpg.2006.05.010]</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91 </w:t>
      </w:r>
      <w:r w:rsidRPr="00E1636B">
        <w:rPr>
          <w:rFonts w:ascii="Book Antiqua" w:eastAsia="SimSun" w:hAnsi="Book Antiqua" w:cs="SimSun"/>
          <w:b/>
          <w:bCs/>
          <w:color w:val="000000"/>
          <w:sz w:val="24"/>
          <w:szCs w:val="24"/>
          <w:lang w:eastAsia="zh-CN"/>
        </w:rPr>
        <w:t>Liu FB</w:t>
      </w:r>
      <w:r w:rsidRPr="00E1636B">
        <w:rPr>
          <w:rFonts w:ascii="Book Antiqua" w:eastAsia="SimSun" w:hAnsi="Book Antiqua" w:cs="SimSun"/>
          <w:color w:val="000000"/>
          <w:sz w:val="24"/>
          <w:szCs w:val="24"/>
          <w:lang w:eastAsia="zh-CN"/>
        </w:rPr>
        <w:t>, Yu XJ, Wang GB, Zhao YJ, Xie K, Huang F, Cheng JM, Wu XR, Liang CJ, Geng XP. Preliminary study of a new pathological evolution-based clinical hepatolithiasis classification. </w:t>
      </w:r>
      <w:r w:rsidRPr="00E1636B">
        <w:rPr>
          <w:rFonts w:ascii="Book Antiqua" w:eastAsia="SimSun" w:hAnsi="Book Antiqua" w:cs="SimSun"/>
          <w:i/>
          <w:iCs/>
          <w:color w:val="000000"/>
          <w:sz w:val="24"/>
          <w:szCs w:val="24"/>
          <w:lang w:eastAsia="zh-CN"/>
        </w:rPr>
        <w:t>World J Gastroenterol</w:t>
      </w:r>
      <w:r w:rsidRPr="00E1636B">
        <w:rPr>
          <w:rFonts w:ascii="Book Antiqua" w:eastAsia="SimSun" w:hAnsi="Book Antiqua" w:cs="SimSun"/>
          <w:color w:val="000000"/>
          <w:sz w:val="24"/>
          <w:szCs w:val="24"/>
          <w:lang w:eastAsia="zh-CN"/>
        </w:rPr>
        <w:t> 2015; </w:t>
      </w:r>
      <w:r w:rsidRPr="00E1636B">
        <w:rPr>
          <w:rFonts w:ascii="Book Antiqua" w:eastAsia="SimSun" w:hAnsi="Book Antiqua" w:cs="SimSun"/>
          <w:b/>
          <w:bCs/>
          <w:color w:val="000000"/>
          <w:sz w:val="24"/>
          <w:szCs w:val="24"/>
          <w:lang w:eastAsia="zh-CN"/>
        </w:rPr>
        <w:t>21</w:t>
      </w:r>
      <w:r w:rsidRPr="00E1636B">
        <w:rPr>
          <w:rFonts w:ascii="Book Antiqua" w:eastAsia="SimSun" w:hAnsi="Book Antiqua" w:cs="SimSun"/>
          <w:color w:val="000000"/>
          <w:sz w:val="24"/>
          <w:szCs w:val="24"/>
          <w:lang w:eastAsia="zh-CN"/>
        </w:rPr>
        <w:t>: 2169-2177 [PMID: 25717253]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92 </w:t>
      </w:r>
      <w:r w:rsidRPr="00E1636B">
        <w:rPr>
          <w:rFonts w:ascii="Book Antiqua" w:eastAsia="SimSun" w:hAnsi="Book Antiqua" w:cs="SimSun"/>
          <w:b/>
          <w:bCs/>
          <w:color w:val="000000"/>
          <w:sz w:val="24"/>
          <w:szCs w:val="24"/>
          <w:lang w:eastAsia="zh-CN"/>
        </w:rPr>
        <w:t>Lee JW</w:t>
      </w:r>
      <w:r w:rsidRPr="00E1636B">
        <w:rPr>
          <w:rFonts w:ascii="Book Antiqua" w:eastAsia="SimSun" w:hAnsi="Book Antiqua" w:cs="SimSun"/>
          <w:color w:val="000000"/>
          <w:sz w:val="24"/>
          <w:szCs w:val="24"/>
          <w:lang w:eastAsia="zh-CN"/>
        </w:rPr>
        <w:t>, Han JK, Kim TK, Kim YH, Choi BI, Han MC, Suh KS, Kim SW. CT features of intraductal intrahepatic cholangiocarcinoma. </w:t>
      </w:r>
      <w:r w:rsidRPr="00E1636B">
        <w:rPr>
          <w:rFonts w:ascii="Book Antiqua" w:eastAsia="SimSun" w:hAnsi="Book Antiqua" w:cs="SimSun"/>
          <w:i/>
          <w:iCs/>
          <w:color w:val="000000"/>
          <w:sz w:val="24"/>
          <w:szCs w:val="24"/>
          <w:lang w:eastAsia="zh-CN"/>
        </w:rPr>
        <w:t>AJR Am J Roentgenol</w:t>
      </w:r>
      <w:r w:rsidRPr="00E1636B">
        <w:rPr>
          <w:rFonts w:ascii="Book Antiqua" w:eastAsia="SimSun" w:hAnsi="Book Antiqua" w:cs="SimSun"/>
          <w:color w:val="000000"/>
          <w:sz w:val="24"/>
          <w:szCs w:val="24"/>
          <w:lang w:eastAsia="zh-CN"/>
        </w:rPr>
        <w:t> 2000; </w:t>
      </w:r>
      <w:r w:rsidRPr="00E1636B">
        <w:rPr>
          <w:rFonts w:ascii="Book Antiqua" w:eastAsia="SimSun" w:hAnsi="Book Antiqua" w:cs="SimSun"/>
          <w:b/>
          <w:bCs/>
          <w:color w:val="000000"/>
          <w:sz w:val="24"/>
          <w:szCs w:val="24"/>
          <w:lang w:eastAsia="zh-CN"/>
        </w:rPr>
        <w:t>175</w:t>
      </w:r>
      <w:r w:rsidRPr="00E1636B">
        <w:rPr>
          <w:rFonts w:ascii="Book Antiqua" w:eastAsia="SimSun" w:hAnsi="Book Antiqua" w:cs="SimSun"/>
          <w:color w:val="000000"/>
          <w:sz w:val="24"/>
          <w:szCs w:val="24"/>
          <w:lang w:eastAsia="zh-CN"/>
        </w:rPr>
        <w:t>: 721-725 [PMID: 10954456 DOI: 10.2214/ajr.175.3.1750721]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93 </w:t>
      </w:r>
      <w:r w:rsidRPr="00E1636B">
        <w:rPr>
          <w:rFonts w:ascii="Book Antiqua" w:eastAsia="SimSun" w:hAnsi="Book Antiqua" w:cs="SimSun"/>
          <w:b/>
          <w:bCs/>
          <w:color w:val="000000"/>
          <w:sz w:val="24"/>
          <w:szCs w:val="24"/>
          <w:lang w:eastAsia="zh-CN"/>
        </w:rPr>
        <w:t>Park DH</w:t>
      </w:r>
      <w:r w:rsidRPr="00E1636B">
        <w:rPr>
          <w:rFonts w:ascii="Book Antiqua" w:eastAsia="SimSun" w:hAnsi="Book Antiqua" w:cs="SimSun"/>
          <w:color w:val="000000"/>
          <w:sz w:val="24"/>
          <w:szCs w:val="24"/>
          <w:lang w:eastAsia="zh-CN"/>
        </w:rPr>
        <w:t>, Kim MH, Lee SS, Lee SK, Kim KP, Han JM, Kim SY, Song MH, Seo DW, Kim AY, Kim TK, Min YI. Accuracy of magnetic resonance cholangiopancreatography for locating hepatolithiasis and detecting accompanying biliary strictures. </w:t>
      </w:r>
      <w:r w:rsidRPr="00E1636B">
        <w:rPr>
          <w:rFonts w:ascii="Book Antiqua" w:eastAsia="SimSun" w:hAnsi="Book Antiqua" w:cs="SimSun"/>
          <w:i/>
          <w:iCs/>
          <w:color w:val="000000"/>
          <w:sz w:val="24"/>
          <w:szCs w:val="24"/>
          <w:lang w:eastAsia="zh-CN"/>
        </w:rPr>
        <w:t>Endoscopy</w:t>
      </w:r>
      <w:r w:rsidRPr="00E1636B">
        <w:rPr>
          <w:rFonts w:ascii="Book Antiqua" w:eastAsia="SimSun" w:hAnsi="Book Antiqua" w:cs="SimSun"/>
          <w:color w:val="000000"/>
          <w:sz w:val="24"/>
          <w:szCs w:val="24"/>
          <w:lang w:eastAsia="zh-CN"/>
        </w:rPr>
        <w:t> 2004; </w:t>
      </w:r>
      <w:r w:rsidRPr="00E1636B">
        <w:rPr>
          <w:rFonts w:ascii="Book Antiqua" w:eastAsia="SimSun" w:hAnsi="Book Antiqua" w:cs="SimSun"/>
          <w:b/>
          <w:bCs/>
          <w:color w:val="000000"/>
          <w:sz w:val="24"/>
          <w:szCs w:val="24"/>
          <w:lang w:eastAsia="zh-CN"/>
        </w:rPr>
        <w:t>36</w:t>
      </w:r>
      <w:r w:rsidRPr="00E1636B">
        <w:rPr>
          <w:rFonts w:ascii="Book Antiqua" w:eastAsia="SimSun" w:hAnsi="Book Antiqua" w:cs="SimSun"/>
          <w:color w:val="000000"/>
          <w:sz w:val="24"/>
          <w:szCs w:val="24"/>
          <w:lang w:eastAsia="zh-CN"/>
        </w:rPr>
        <w:t>: 987-992 [PMID: 15520917 DOI: 10.1055/s-2004-825812]</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94 </w:t>
      </w:r>
      <w:r w:rsidRPr="00E1636B">
        <w:rPr>
          <w:rFonts w:ascii="Book Antiqua" w:eastAsia="SimSun" w:hAnsi="Book Antiqua" w:cs="SimSun"/>
          <w:b/>
          <w:bCs/>
          <w:color w:val="000000"/>
          <w:sz w:val="24"/>
          <w:szCs w:val="24"/>
          <w:lang w:eastAsia="zh-CN"/>
        </w:rPr>
        <w:t>Kubo S</w:t>
      </w:r>
      <w:r w:rsidRPr="00E1636B">
        <w:rPr>
          <w:rFonts w:ascii="Book Antiqua" w:eastAsia="SimSun" w:hAnsi="Book Antiqua" w:cs="SimSun"/>
          <w:color w:val="000000"/>
          <w:sz w:val="24"/>
          <w:szCs w:val="24"/>
          <w:lang w:eastAsia="zh-CN"/>
        </w:rPr>
        <w:t>, Hamba H, Hirohashi K, Kinoshita H, Lee KC, Yamazaki O, Nishio H, Yamada R. Magnetic resonance cholangiography in hepatolithiasis. </w:t>
      </w:r>
      <w:r w:rsidRPr="00E1636B">
        <w:rPr>
          <w:rFonts w:ascii="Book Antiqua" w:eastAsia="SimSun" w:hAnsi="Book Antiqua" w:cs="SimSun"/>
          <w:i/>
          <w:iCs/>
          <w:color w:val="000000"/>
          <w:sz w:val="24"/>
          <w:szCs w:val="24"/>
          <w:lang w:eastAsia="zh-CN"/>
        </w:rPr>
        <w:t>Am J Gastroenterol</w:t>
      </w:r>
      <w:r w:rsidRPr="00E1636B">
        <w:rPr>
          <w:rFonts w:ascii="Book Antiqua" w:eastAsia="SimSun" w:hAnsi="Book Antiqua" w:cs="SimSun"/>
          <w:color w:val="000000"/>
          <w:sz w:val="24"/>
          <w:szCs w:val="24"/>
          <w:lang w:eastAsia="zh-CN"/>
        </w:rPr>
        <w:t> 1997; </w:t>
      </w:r>
      <w:r w:rsidRPr="00E1636B">
        <w:rPr>
          <w:rFonts w:ascii="Book Antiqua" w:eastAsia="SimSun" w:hAnsi="Book Antiqua" w:cs="SimSun"/>
          <w:b/>
          <w:bCs/>
          <w:color w:val="000000"/>
          <w:sz w:val="24"/>
          <w:szCs w:val="24"/>
          <w:lang w:eastAsia="zh-CN"/>
        </w:rPr>
        <w:t>92</w:t>
      </w:r>
      <w:r w:rsidRPr="00E1636B">
        <w:rPr>
          <w:rFonts w:ascii="Book Antiqua" w:eastAsia="SimSun" w:hAnsi="Book Antiqua" w:cs="SimSun"/>
          <w:color w:val="000000"/>
          <w:sz w:val="24"/>
          <w:szCs w:val="24"/>
          <w:lang w:eastAsia="zh-CN"/>
        </w:rPr>
        <w:t>: 629-632 [PMID: 9128312]</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95 </w:t>
      </w:r>
      <w:r w:rsidRPr="00E1636B">
        <w:rPr>
          <w:rFonts w:ascii="Book Antiqua" w:eastAsia="SimSun" w:hAnsi="Book Antiqua" w:cs="SimSun"/>
          <w:b/>
          <w:bCs/>
          <w:color w:val="000000"/>
          <w:sz w:val="24"/>
          <w:szCs w:val="24"/>
          <w:lang w:eastAsia="zh-CN"/>
        </w:rPr>
        <w:t>Wani NA</w:t>
      </w:r>
      <w:r w:rsidRPr="00E1636B">
        <w:rPr>
          <w:rFonts w:ascii="Book Antiqua" w:eastAsia="SimSun" w:hAnsi="Book Antiqua" w:cs="SimSun"/>
          <w:color w:val="000000"/>
          <w:sz w:val="24"/>
          <w:szCs w:val="24"/>
          <w:lang w:eastAsia="zh-CN"/>
        </w:rPr>
        <w:t>, Robbani I, Kosar T. MRI of oriental cholangiohepatitis. </w:t>
      </w:r>
      <w:r w:rsidRPr="00E1636B">
        <w:rPr>
          <w:rFonts w:ascii="Book Antiqua" w:eastAsia="SimSun" w:hAnsi="Book Antiqua" w:cs="SimSun"/>
          <w:i/>
          <w:iCs/>
          <w:color w:val="000000"/>
          <w:sz w:val="24"/>
          <w:szCs w:val="24"/>
          <w:lang w:eastAsia="zh-CN"/>
        </w:rPr>
        <w:t>Clin Radiol</w:t>
      </w:r>
      <w:r w:rsidRPr="00E1636B">
        <w:rPr>
          <w:rFonts w:ascii="Book Antiqua" w:eastAsia="SimSun" w:hAnsi="Book Antiqua" w:cs="SimSun"/>
          <w:color w:val="000000"/>
          <w:sz w:val="24"/>
          <w:szCs w:val="24"/>
          <w:lang w:eastAsia="zh-CN"/>
        </w:rPr>
        <w:t> 2011; </w:t>
      </w:r>
      <w:r w:rsidRPr="00E1636B">
        <w:rPr>
          <w:rFonts w:ascii="Book Antiqua" w:eastAsia="SimSun" w:hAnsi="Book Antiqua" w:cs="SimSun"/>
          <w:b/>
          <w:bCs/>
          <w:color w:val="000000"/>
          <w:sz w:val="24"/>
          <w:szCs w:val="24"/>
          <w:lang w:eastAsia="zh-CN"/>
        </w:rPr>
        <w:t>66</w:t>
      </w:r>
      <w:r w:rsidRPr="00E1636B">
        <w:rPr>
          <w:rFonts w:ascii="Book Antiqua" w:eastAsia="SimSun" w:hAnsi="Book Antiqua" w:cs="SimSun"/>
          <w:color w:val="000000"/>
          <w:sz w:val="24"/>
          <w:szCs w:val="24"/>
          <w:lang w:eastAsia="zh-CN"/>
        </w:rPr>
        <w:t>: 158-163 [PMID: 21216332 DOI: 10.1016/j.crad.2010.06.017]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96 </w:t>
      </w:r>
      <w:r w:rsidRPr="00E1636B">
        <w:rPr>
          <w:rFonts w:ascii="Book Antiqua" w:eastAsia="SimSun" w:hAnsi="Book Antiqua" w:cs="SimSun"/>
          <w:b/>
          <w:bCs/>
          <w:color w:val="000000"/>
          <w:sz w:val="24"/>
          <w:szCs w:val="24"/>
          <w:lang w:eastAsia="zh-CN"/>
        </w:rPr>
        <w:t>Khan SA</w:t>
      </w:r>
      <w:r w:rsidRPr="00E1636B">
        <w:rPr>
          <w:rFonts w:ascii="Book Antiqua" w:eastAsia="SimSun" w:hAnsi="Book Antiqua" w:cs="SimSun"/>
          <w:color w:val="000000"/>
          <w:sz w:val="24"/>
          <w:szCs w:val="24"/>
          <w:lang w:eastAsia="zh-CN"/>
        </w:rPr>
        <w:t xml:space="preserve">, Davidson BR, Goldin R, Pereira SP, Rosenberg WM, Taylor-Robinson SD, Thillainayagam AV, Thomas HC, Thursz MR, Wasan H. Guidelines for the </w:t>
      </w:r>
      <w:r w:rsidRPr="00E1636B">
        <w:rPr>
          <w:rFonts w:ascii="Book Antiqua" w:eastAsia="SimSun" w:hAnsi="Book Antiqua" w:cs="SimSun"/>
          <w:color w:val="000000"/>
          <w:sz w:val="24"/>
          <w:szCs w:val="24"/>
          <w:lang w:eastAsia="zh-CN"/>
        </w:rPr>
        <w:lastRenderedPageBreak/>
        <w:t>diagnosis and treatment of cholangiocarcinoma: consensus document. </w:t>
      </w:r>
      <w:r w:rsidRPr="00E1636B">
        <w:rPr>
          <w:rFonts w:ascii="Book Antiqua" w:eastAsia="SimSun" w:hAnsi="Book Antiqua" w:cs="SimSun"/>
          <w:i/>
          <w:iCs/>
          <w:color w:val="000000"/>
          <w:sz w:val="24"/>
          <w:szCs w:val="24"/>
          <w:lang w:eastAsia="zh-CN"/>
        </w:rPr>
        <w:t>Gut</w:t>
      </w:r>
      <w:r w:rsidRPr="00E1636B">
        <w:rPr>
          <w:rFonts w:ascii="Book Antiqua" w:eastAsia="SimSun" w:hAnsi="Book Antiqua" w:cs="SimSun"/>
          <w:color w:val="000000"/>
          <w:sz w:val="24"/>
          <w:szCs w:val="24"/>
          <w:lang w:eastAsia="zh-CN"/>
        </w:rPr>
        <w:t> 2002; </w:t>
      </w:r>
      <w:r w:rsidRPr="00E1636B">
        <w:rPr>
          <w:rFonts w:ascii="Book Antiqua" w:eastAsia="SimSun" w:hAnsi="Book Antiqua" w:cs="SimSun"/>
          <w:b/>
          <w:bCs/>
          <w:color w:val="000000"/>
          <w:sz w:val="24"/>
          <w:szCs w:val="24"/>
          <w:lang w:eastAsia="zh-CN"/>
        </w:rPr>
        <w:t xml:space="preserve">51 </w:t>
      </w:r>
      <w:r w:rsidRPr="00E1636B">
        <w:rPr>
          <w:rFonts w:ascii="Book Antiqua" w:eastAsia="SimSun" w:hAnsi="Book Antiqua" w:cs="SimSun"/>
          <w:bCs/>
          <w:color w:val="000000"/>
          <w:sz w:val="24"/>
          <w:szCs w:val="24"/>
          <w:lang w:eastAsia="zh-CN"/>
        </w:rPr>
        <w:t>Suppl 6</w:t>
      </w:r>
      <w:r w:rsidRPr="00E1636B">
        <w:rPr>
          <w:rFonts w:ascii="Book Antiqua" w:eastAsia="SimSun" w:hAnsi="Book Antiqua" w:cs="SimSun"/>
          <w:color w:val="000000"/>
          <w:sz w:val="24"/>
          <w:szCs w:val="24"/>
          <w:lang w:eastAsia="zh-CN"/>
        </w:rPr>
        <w:t>: VI1-VI9 [PMID: 12376491 DOI: 10.1136/gut.51.suppl_6.vi1]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97 </w:t>
      </w:r>
      <w:r w:rsidRPr="00E1636B">
        <w:rPr>
          <w:rFonts w:ascii="Book Antiqua" w:eastAsia="SimSun" w:hAnsi="Book Antiqua" w:cs="SimSun"/>
          <w:b/>
          <w:bCs/>
          <w:color w:val="000000"/>
          <w:sz w:val="24"/>
          <w:szCs w:val="24"/>
          <w:lang w:eastAsia="zh-CN"/>
        </w:rPr>
        <w:t>Dodson RM</w:t>
      </w:r>
      <w:r w:rsidRPr="00E1636B">
        <w:rPr>
          <w:rFonts w:ascii="Book Antiqua" w:eastAsia="SimSun" w:hAnsi="Book Antiqua" w:cs="SimSun"/>
          <w:color w:val="000000"/>
          <w:sz w:val="24"/>
          <w:szCs w:val="24"/>
          <w:lang w:eastAsia="zh-CN"/>
        </w:rPr>
        <w:t>, Weiss MJ, Cosgrove D, Herman JM, Kamel I, Anders R, Geschwind JF, Pawlik TM. Intrahepatic cholangiocarcinoma: management options and emerging therapies. </w:t>
      </w:r>
      <w:r w:rsidRPr="00E1636B">
        <w:rPr>
          <w:rFonts w:ascii="Book Antiqua" w:eastAsia="SimSun" w:hAnsi="Book Antiqua" w:cs="SimSun"/>
          <w:i/>
          <w:iCs/>
          <w:color w:val="000000"/>
          <w:sz w:val="24"/>
          <w:szCs w:val="24"/>
          <w:lang w:eastAsia="zh-CN"/>
        </w:rPr>
        <w:t>J Am Coll Surg</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217</w:t>
      </w:r>
      <w:r w:rsidRPr="00E1636B">
        <w:rPr>
          <w:rFonts w:ascii="Book Antiqua" w:eastAsia="SimSun" w:hAnsi="Book Antiqua" w:cs="SimSun"/>
          <w:color w:val="000000"/>
          <w:sz w:val="24"/>
          <w:szCs w:val="24"/>
          <w:lang w:eastAsia="zh-CN"/>
        </w:rPr>
        <w:t>: 736-750.e4 [PMID: 23890842 DOI: 10.1016/j.jamcollsurg.2013.05.021]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98 </w:t>
      </w:r>
      <w:r w:rsidRPr="00E1636B">
        <w:rPr>
          <w:rFonts w:ascii="Book Antiqua" w:eastAsia="SimSun" w:hAnsi="Book Antiqua" w:cs="SimSun"/>
          <w:b/>
          <w:bCs/>
          <w:color w:val="000000"/>
          <w:sz w:val="24"/>
          <w:szCs w:val="24"/>
          <w:lang w:eastAsia="zh-CN"/>
        </w:rPr>
        <w:t>Yamasaki S</w:t>
      </w:r>
      <w:r w:rsidRPr="00E1636B">
        <w:rPr>
          <w:rFonts w:ascii="Book Antiqua" w:eastAsia="SimSun" w:hAnsi="Book Antiqua" w:cs="SimSun"/>
          <w:color w:val="000000"/>
          <w:sz w:val="24"/>
          <w:szCs w:val="24"/>
          <w:lang w:eastAsia="zh-CN"/>
        </w:rPr>
        <w:t>. Intrahepatic cholangiocarcinoma: macroscopic type and stage classification. </w:t>
      </w:r>
      <w:r w:rsidRPr="00E1636B">
        <w:rPr>
          <w:rFonts w:ascii="Book Antiqua" w:eastAsia="SimSun" w:hAnsi="Book Antiqua" w:cs="SimSun"/>
          <w:i/>
          <w:iCs/>
          <w:color w:val="000000"/>
          <w:sz w:val="24"/>
          <w:szCs w:val="24"/>
          <w:lang w:eastAsia="zh-CN"/>
        </w:rPr>
        <w:t>J Hepatobiliary Pancreat Surg</w:t>
      </w:r>
      <w:r w:rsidRPr="00E1636B">
        <w:rPr>
          <w:rFonts w:ascii="Book Antiqua" w:eastAsia="SimSun" w:hAnsi="Book Antiqua" w:cs="SimSun"/>
          <w:color w:val="000000"/>
          <w:sz w:val="24"/>
          <w:szCs w:val="24"/>
          <w:lang w:eastAsia="zh-CN"/>
        </w:rPr>
        <w:t> 2003; </w:t>
      </w:r>
      <w:r w:rsidRPr="00E1636B">
        <w:rPr>
          <w:rFonts w:ascii="Book Antiqua" w:eastAsia="SimSun" w:hAnsi="Book Antiqua" w:cs="SimSun"/>
          <w:b/>
          <w:bCs/>
          <w:color w:val="000000"/>
          <w:sz w:val="24"/>
          <w:szCs w:val="24"/>
          <w:lang w:eastAsia="zh-CN"/>
        </w:rPr>
        <w:t>10</w:t>
      </w:r>
      <w:r w:rsidRPr="00E1636B">
        <w:rPr>
          <w:rFonts w:ascii="Book Antiqua" w:eastAsia="SimSun" w:hAnsi="Book Antiqua" w:cs="SimSun"/>
          <w:color w:val="000000"/>
          <w:sz w:val="24"/>
          <w:szCs w:val="24"/>
          <w:lang w:eastAsia="zh-CN"/>
        </w:rPr>
        <w:t>: 288-291 [PMID: 14598147 DOI: 10.1007/s00534-002-0732-8]</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99 </w:t>
      </w:r>
      <w:r w:rsidRPr="00E1636B">
        <w:rPr>
          <w:rFonts w:ascii="Book Antiqua" w:eastAsia="SimSun" w:hAnsi="Book Antiqua" w:cs="SimSun"/>
          <w:b/>
          <w:bCs/>
          <w:color w:val="000000"/>
          <w:sz w:val="24"/>
          <w:szCs w:val="24"/>
          <w:lang w:eastAsia="zh-CN"/>
        </w:rPr>
        <w:t>Choi JY</w:t>
      </w:r>
      <w:r w:rsidRPr="00E1636B">
        <w:rPr>
          <w:rFonts w:ascii="Book Antiqua" w:eastAsia="SimSun" w:hAnsi="Book Antiqua" w:cs="SimSun"/>
          <w:color w:val="000000"/>
          <w:sz w:val="24"/>
          <w:szCs w:val="24"/>
          <w:lang w:eastAsia="zh-CN"/>
        </w:rPr>
        <w:t>, Kim MJ, Lee JM, Kim KW, Lee JY, Han JK, Choi BI. Hilar cholangiocarcinoma: role of preoperative imaging with sonography, MDCT, MRI, and direct cholangiography. </w:t>
      </w:r>
      <w:r w:rsidRPr="00E1636B">
        <w:rPr>
          <w:rFonts w:ascii="Book Antiqua" w:eastAsia="SimSun" w:hAnsi="Book Antiqua" w:cs="SimSun"/>
          <w:i/>
          <w:iCs/>
          <w:color w:val="000000"/>
          <w:sz w:val="24"/>
          <w:szCs w:val="24"/>
          <w:lang w:eastAsia="zh-CN"/>
        </w:rPr>
        <w:t>AJR Am J Roentgenol</w:t>
      </w:r>
      <w:r w:rsidRPr="00E1636B">
        <w:rPr>
          <w:rFonts w:ascii="Book Antiqua" w:eastAsia="SimSun" w:hAnsi="Book Antiqua" w:cs="SimSun"/>
          <w:color w:val="000000"/>
          <w:sz w:val="24"/>
          <w:szCs w:val="24"/>
          <w:lang w:eastAsia="zh-CN"/>
        </w:rPr>
        <w:t> 2008; </w:t>
      </w:r>
      <w:r w:rsidRPr="00E1636B">
        <w:rPr>
          <w:rFonts w:ascii="Book Antiqua" w:eastAsia="SimSun" w:hAnsi="Book Antiqua" w:cs="SimSun"/>
          <w:b/>
          <w:bCs/>
          <w:color w:val="000000"/>
          <w:sz w:val="24"/>
          <w:szCs w:val="24"/>
          <w:lang w:eastAsia="zh-CN"/>
        </w:rPr>
        <w:t>191</w:t>
      </w:r>
      <w:r w:rsidRPr="00E1636B">
        <w:rPr>
          <w:rFonts w:ascii="Book Antiqua" w:eastAsia="SimSun" w:hAnsi="Book Antiqua" w:cs="SimSun"/>
          <w:color w:val="000000"/>
          <w:sz w:val="24"/>
          <w:szCs w:val="24"/>
          <w:lang w:eastAsia="zh-CN"/>
        </w:rPr>
        <w:t>: 1448-1457 [PMID: 18941084 DOI: 10.2214/AJR.07.3992]</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100 </w:t>
      </w:r>
      <w:r w:rsidRPr="00E1636B">
        <w:rPr>
          <w:rFonts w:ascii="Book Antiqua" w:eastAsia="SimSun" w:hAnsi="Book Antiqua" w:cs="SimSun"/>
          <w:b/>
          <w:bCs/>
          <w:color w:val="000000"/>
          <w:sz w:val="24"/>
          <w:szCs w:val="24"/>
          <w:lang w:eastAsia="zh-CN"/>
        </w:rPr>
        <w:t>Jung AY</w:t>
      </w:r>
      <w:r w:rsidRPr="00E1636B">
        <w:rPr>
          <w:rFonts w:ascii="Book Antiqua" w:eastAsia="SimSun" w:hAnsi="Book Antiqua" w:cs="SimSun"/>
          <w:color w:val="000000"/>
          <w:sz w:val="24"/>
          <w:szCs w:val="24"/>
          <w:lang w:eastAsia="zh-CN"/>
        </w:rPr>
        <w:t>, Lee JM, Choi SH, Kim SH, Lee JY, Kim SW, Han JK, Choi BI. CT features of an intraductal polypoid mass: Differentiation between hepatocellular carcinoma with bile duct tumor invasion and intraductal papillary cholangiocarcinoma. </w:t>
      </w:r>
      <w:r w:rsidRPr="00E1636B">
        <w:rPr>
          <w:rFonts w:ascii="Book Antiqua" w:eastAsia="SimSun" w:hAnsi="Book Antiqua" w:cs="SimSun"/>
          <w:i/>
          <w:iCs/>
          <w:color w:val="000000"/>
          <w:sz w:val="24"/>
          <w:szCs w:val="24"/>
          <w:lang w:eastAsia="zh-CN"/>
        </w:rPr>
        <w:t>J Comput Assist Tomogr</w:t>
      </w:r>
      <w:r w:rsidRPr="00E1636B">
        <w:rPr>
          <w:rFonts w:ascii="Book Antiqua" w:eastAsia="SimSun" w:hAnsi="Book Antiqua" w:cs="SimSun"/>
          <w:color w:val="000000"/>
          <w:sz w:val="24"/>
          <w:szCs w:val="24"/>
          <w:lang w:eastAsia="zh-CN"/>
        </w:rPr>
        <w:t> 2006; </w:t>
      </w:r>
      <w:r w:rsidRPr="00E1636B">
        <w:rPr>
          <w:rFonts w:ascii="Book Antiqua" w:eastAsia="SimSun" w:hAnsi="Book Antiqua" w:cs="SimSun"/>
          <w:b/>
          <w:bCs/>
          <w:color w:val="000000"/>
          <w:sz w:val="24"/>
          <w:szCs w:val="24"/>
          <w:lang w:eastAsia="zh-CN"/>
        </w:rPr>
        <w:t>30</w:t>
      </w:r>
      <w:r w:rsidRPr="00E1636B">
        <w:rPr>
          <w:rFonts w:ascii="Book Antiqua" w:eastAsia="SimSun" w:hAnsi="Book Antiqua" w:cs="SimSun"/>
          <w:color w:val="000000"/>
          <w:sz w:val="24"/>
          <w:szCs w:val="24"/>
          <w:lang w:eastAsia="zh-CN"/>
        </w:rPr>
        <w:t>: 173-181 [PMID: 16628028 DOI: 10.1097/00004728-200603000-00002]</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101 </w:t>
      </w:r>
      <w:r w:rsidRPr="00E1636B">
        <w:rPr>
          <w:rFonts w:ascii="Book Antiqua" w:eastAsia="SimSun" w:hAnsi="Book Antiqua" w:cs="SimSun"/>
          <w:b/>
          <w:bCs/>
          <w:color w:val="000000"/>
          <w:sz w:val="24"/>
          <w:szCs w:val="24"/>
          <w:lang w:eastAsia="zh-CN"/>
        </w:rPr>
        <w:t>Park HS</w:t>
      </w:r>
      <w:r w:rsidRPr="00E1636B">
        <w:rPr>
          <w:rFonts w:ascii="Book Antiqua" w:eastAsia="SimSun" w:hAnsi="Book Antiqua" w:cs="SimSun"/>
          <w:color w:val="000000"/>
          <w:sz w:val="24"/>
          <w:szCs w:val="24"/>
          <w:lang w:eastAsia="zh-CN"/>
        </w:rPr>
        <w:t>, Lee JM, Kim SH, Jeong JY, Kim YJ, Lee KH, Choi SH, Han JK, Choi BI. CT Differentiation of cholangiocarcinoma from periductal fibrosis in patients with hepatolithiasis. </w:t>
      </w:r>
      <w:r w:rsidRPr="00E1636B">
        <w:rPr>
          <w:rFonts w:ascii="Book Antiqua" w:eastAsia="SimSun" w:hAnsi="Book Antiqua" w:cs="SimSun"/>
          <w:i/>
          <w:iCs/>
          <w:color w:val="000000"/>
          <w:sz w:val="24"/>
          <w:szCs w:val="24"/>
          <w:lang w:eastAsia="zh-CN"/>
        </w:rPr>
        <w:t>AJR Am J Roentgenol</w:t>
      </w:r>
      <w:r w:rsidRPr="00E1636B">
        <w:rPr>
          <w:rFonts w:ascii="Book Antiqua" w:eastAsia="SimSun" w:hAnsi="Book Antiqua" w:cs="SimSun"/>
          <w:color w:val="000000"/>
          <w:sz w:val="24"/>
          <w:szCs w:val="24"/>
          <w:lang w:eastAsia="zh-CN"/>
        </w:rPr>
        <w:t> 2006; </w:t>
      </w:r>
      <w:r w:rsidRPr="00E1636B">
        <w:rPr>
          <w:rFonts w:ascii="Book Antiqua" w:eastAsia="SimSun" w:hAnsi="Book Antiqua" w:cs="SimSun"/>
          <w:b/>
          <w:bCs/>
          <w:color w:val="000000"/>
          <w:sz w:val="24"/>
          <w:szCs w:val="24"/>
          <w:lang w:eastAsia="zh-CN"/>
        </w:rPr>
        <w:t>187</w:t>
      </w:r>
      <w:r w:rsidRPr="00E1636B">
        <w:rPr>
          <w:rFonts w:ascii="Book Antiqua" w:eastAsia="SimSun" w:hAnsi="Book Antiqua" w:cs="SimSun"/>
          <w:color w:val="000000"/>
          <w:sz w:val="24"/>
          <w:szCs w:val="24"/>
          <w:lang w:eastAsia="zh-CN"/>
        </w:rPr>
        <w:t>: 445-453 [PMID: 16861550 DOI: 10.2214/AJR.05.0247]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102 </w:t>
      </w:r>
      <w:r w:rsidRPr="00E1636B">
        <w:rPr>
          <w:rFonts w:ascii="Book Antiqua" w:eastAsia="SimSun" w:hAnsi="Book Antiqua" w:cs="SimSun"/>
          <w:b/>
          <w:bCs/>
          <w:color w:val="000000"/>
          <w:sz w:val="24"/>
          <w:szCs w:val="24"/>
          <w:lang w:eastAsia="zh-CN"/>
        </w:rPr>
        <w:t>Manfredi R</w:t>
      </w:r>
      <w:r w:rsidRPr="00E1636B">
        <w:rPr>
          <w:rFonts w:ascii="Book Antiqua" w:eastAsia="SimSun" w:hAnsi="Book Antiqua" w:cs="SimSun"/>
          <w:color w:val="000000"/>
          <w:sz w:val="24"/>
          <w:szCs w:val="24"/>
          <w:lang w:eastAsia="zh-CN"/>
        </w:rPr>
        <w:t>, Barbaro B, Masselli G, Vecchioli A, Marano P. Magnetic resonance imaging of cholangiocarcinoma. </w:t>
      </w:r>
      <w:r w:rsidRPr="00E1636B">
        <w:rPr>
          <w:rFonts w:ascii="Book Antiqua" w:eastAsia="SimSun" w:hAnsi="Book Antiqua" w:cs="SimSun"/>
          <w:i/>
          <w:iCs/>
          <w:color w:val="000000"/>
          <w:sz w:val="24"/>
          <w:szCs w:val="24"/>
          <w:lang w:eastAsia="zh-CN"/>
        </w:rPr>
        <w:t>Semin Liver Dis</w:t>
      </w:r>
      <w:r w:rsidRPr="00E1636B">
        <w:rPr>
          <w:rFonts w:ascii="Book Antiqua" w:eastAsia="SimSun" w:hAnsi="Book Antiqua" w:cs="SimSun"/>
          <w:color w:val="000000"/>
          <w:sz w:val="24"/>
          <w:szCs w:val="24"/>
          <w:lang w:eastAsia="zh-CN"/>
        </w:rPr>
        <w:t> 2004; </w:t>
      </w:r>
      <w:r w:rsidRPr="00E1636B">
        <w:rPr>
          <w:rFonts w:ascii="Book Antiqua" w:eastAsia="SimSun" w:hAnsi="Book Antiqua" w:cs="SimSun"/>
          <w:b/>
          <w:bCs/>
          <w:color w:val="000000"/>
          <w:sz w:val="24"/>
          <w:szCs w:val="24"/>
          <w:lang w:eastAsia="zh-CN"/>
        </w:rPr>
        <w:t>24</w:t>
      </w:r>
      <w:r w:rsidRPr="00E1636B">
        <w:rPr>
          <w:rFonts w:ascii="Book Antiqua" w:eastAsia="SimSun" w:hAnsi="Book Antiqua" w:cs="SimSun"/>
          <w:color w:val="000000"/>
          <w:sz w:val="24"/>
          <w:szCs w:val="24"/>
          <w:lang w:eastAsia="zh-CN"/>
        </w:rPr>
        <w:t>: 155-164 [PMID: 15192788 DOI: 10.1055/s-2004-828892]</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103 </w:t>
      </w:r>
      <w:r w:rsidRPr="00E1636B">
        <w:rPr>
          <w:rFonts w:ascii="Book Antiqua" w:eastAsia="SimSun" w:hAnsi="Book Antiqua" w:cs="SimSun"/>
          <w:b/>
          <w:bCs/>
          <w:color w:val="000000"/>
          <w:sz w:val="24"/>
          <w:szCs w:val="24"/>
          <w:lang w:eastAsia="zh-CN"/>
        </w:rPr>
        <w:t>Sainani NI</w:t>
      </w:r>
      <w:r w:rsidRPr="00E1636B">
        <w:rPr>
          <w:rFonts w:ascii="Book Antiqua" w:eastAsia="SimSun" w:hAnsi="Book Antiqua" w:cs="SimSun"/>
          <w:color w:val="000000"/>
          <w:sz w:val="24"/>
          <w:szCs w:val="24"/>
          <w:lang w:eastAsia="zh-CN"/>
        </w:rPr>
        <w:t>, Catalano OA, Holalkere NS, Zhu AX, Hahn PF, Sahani DV. Cholangiocarcinoma: current and novel imaging techniques. </w:t>
      </w:r>
      <w:r w:rsidRPr="00E1636B">
        <w:rPr>
          <w:rFonts w:ascii="Book Antiqua" w:eastAsia="SimSun" w:hAnsi="Book Antiqua" w:cs="SimSun"/>
          <w:i/>
          <w:iCs/>
          <w:color w:val="000000"/>
          <w:sz w:val="24"/>
          <w:szCs w:val="24"/>
          <w:lang w:eastAsia="zh-CN"/>
        </w:rPr>
        <w:t>Radiographics</w:t>
      </w:r>
      <w:r w:rsidRPr="00E1636B">
        <w:rPr>
          <w:rFonts w:ascii="Book Antiqua" w:eastAsia="SimSun" w:hAnsi="Book Antiqua" w:cs="SimSun"/>
          <w:color w:val="000000"/>
          <w:sz w:val="24"/>
          <w:szCs w:val="24"/>
          <w:lang w:eastAsia="zh-CN"/>
        </w:rPr>
        <w:t> 2008; </w:t>
      </w:r>
      <w:r w:rsidRPr="00E1636B">
        <w:rPr>
          <w:rFonts w:ascii="Book Antiqua" w:eastAsia="SimSun" w:hAnsi="Book Antiqua" w:cs="SimSun"/>
          <w:b/>
          <w:bCs/>
          <w:color w:val="000000"/>
          <w:sz w:val="24"/>
          <w:szCs w:val="24"/>
          <w:lang w:eastAsia="zh-CN"/>
        </w:rPr>
        <w:t>28</w:t>
      </w:r>
      <w:r w:rsidRPr="00E1636B">
        <w:rPr>
          <w:rFonts w:ascii="Book Antiqua" w:eastAsia="SimSun" w:hAnsi="Book Antiqua" w:cs="SimSun"/>
          <w:color w:val="000000"/>
          <w:sz w:val="24"/>
          <w:szCs w:val="24"/>
          <w:lang w:eastAsia="zh-CN"/>
        </w:rPr>
        <w:t>: 1263-1287 [PMID: 18794305 DOI: 10.1148/rg.285075183]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104 </w:t>
      </w:r>
      <w:r w:rsidRPr="00E1636B">
        <w:rPr>
          <w:rFonts w:ascii="Book Antiqua" w:eastAsia="SimSun" w:hAnsi="Book Antiqua" w:cs="SimSun"/>
          <w:b/>
          <w:bCs/>
          <w:color w:val="000000"/>
          <w:sz w:val="24"/>
          <w:szCs w:val="24"/>
          <w:lang w:eastAsia="zh-CN"/>
        </w:rPr>
        <w:t>Razumilava N</w:t>
      </w:r>
      <w:r w:rsidRPr="00E1636B">
        <w:rPr>
          <w:rFonts w:ascii="Book Antiqua" w:eastAsia="SimSun" w:hAnsi="Book Antiqua" w:cs="SimSun"/>
          <w:color w:val="000000"/>
          <w:sz w:val="24"/>
          <w:szCs w:val="24"/>
          <w:lang w:eastAsia="zh-CN"/>
        </w:rPr>
        <w:t>, Gores GJ. Classification, diagnosis, and management of cholangiocarcinoma. </w:t>
      </w:r>
      <w:r w:rsidRPr="00E1636B">
        <w:rPr>
          <w:rFonts w:ascii="Book Antiqua" w:eastAsia="SimSun" w:hAnsi="Book Antiqua" w:cs="SimSun"/>
          <w:i/>
          <w:iCs/>
          <w:color w:val="000000"/>
          <w:sz w:val="24"/>
          <w:szCs w:val="24"/>
          <w:lang w:eastAsia="zh-CN"/>
        </w:rPr>
        <w:t>Clin Gastroenterol Hepatol</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11</w:t>
      </w:r>
      <w:r w:rsidRPr="00E1636B">
        <w:rPr>
          <w:rFonts w:ascii="Book Antiqua" w:eastAsia="SimSun" w:hAnsi="Book Antiqua" w:cs="SimSun"/>
          <w:color w:val="000000"/>
          <w:sz w:val="24"/>
          <w:szCs w:val="24"/>
          <w:lang w:eastAsia="zh-CN"/>
        </w:rPr>
        <w:t xml:space="preserve">: 13-21.e1; quiz e3-4 [PMID: </w:t>
      </w:r>
      <w:r w:rsidRPr="00E1636B">
        <w:rPr>
          <w:rFonts w:ascii="Book Antiqua" w:eastAsia="SimSun" w:hAnsi="Book Antiqua" w:cs="SimSun"/>
          <w:color w:val="000000"/>
          <w:sz w:val="24"/>
          <w:szCs w:val="24"/>
          <w:lang w:eastAsia="zh-CN"/>
        </w:rPr>
        <w:lastRenderedPageBreak/>
        <w:t>22982100 DOI: 10.1016/j.cgh.2012.09.009]</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105 </w:t>
      </w:r>
      <w:r w:rsidRPr="00E1636B">
        <w:rPr>
          <w:rFonts w:ascii="Book Antiqua" w:eastAsia="SimSun" w:hAnsi="Book Antiqua" w:cs="SimSun"/>
          <w:b/>
          <w:bCs/>
          <w:color w:val="000000"/>
          <w:sz w:val="24"/>
          <w:szCs w:val="24"/>
          <w:lang w:eastAsia="zh-CN"/>
        </w:rPr>
        <w:t>Anderson CD</w:t>
      </w:r>
      <w:r w:rsidRPr="00E1636B">
        <w:rPr>
          <w:rFonts w:ascii="Book Antiqua" w:eastAsia="SimSun" w:hAnsi="Book Antiqua" w:cs="SimSun"/>
          <w:color w:val="000000"/>
          <w:sz w:val="24"/>
          <w:szCs w:val="24"/>
          <w:lang w:eastAsia="zh-CN"/>
        </w:rPr>
        <w:t>, Rice MH, Pinson CW, Chapman WC, Chari RS, Delbeke D. Fluorodeoxyglucose PET imaging in the evaluation of gallbladder carcinoma and cholangiocarcinoma. </w:t>
      </w:r>
      <w:r w:rsidRPr="00E1636B">
        <w:rPr>
          <w:rFonts w:ascii="Book Antiqua" w:eastAsia="SimSun" w:hAnsi="Book Antiqua" w:cs="SimSun"/>
          <w:i/>
          <w:iCs/>
          <w:color w:val="000000"/>
          <w:sz w:val="24"/>
          <w:szCs w:val="24"/>
          <w:lang w:eastAsia="zh-CN"/>
        </w:rPr>
        <w:t>J Gastrointest Surg</w:t>
      </w:r>
      <w:r w:rsidRPr="00E1636B">
        <w:rPr>
          <w:rFonts w:ascii="Book Antiqua" w:eastAsia="SimSun" w:hAnsi="Book Antiqua" w:cs="SimSun"/>
          <w:color w:val="000000"/>
          <w:sz w:val="24"/>
          <w:szCs w:val="24"/>
          <w:lang w:eastAsia="zh-CN"/>
        </w:rPr>
        <w:t> 2004; </w:t>
      </w:r>
      <w:r w:rsidRPr="00E1636B">
        <w:rPr>
          <w:rFonts w:ascii="Book Antiqua" w:eastAsia="SimSun" w:hAnsi="Book Antiqua" w:cs="SimSun"/>
          <w:b/>
          <w:bCs/>
          <w:color w:val="000000"/>
          <w:sz w:val="24"/>
          <w:szCs w:val="24"/>
          <w:lang w:eastAsia="zh-CN"/>
        </w:rPr>
        <w:t>8</w:t>
      </w:r>
      <w:r w:rsidRPr="00E1636B">
        <w:rPr>
          <w:rFonts w:ascii="Book Antiqua" w:eastAsia="SimSun" w:hAnsi="Book Antiqua" w:cs="SimSun"/>
          <w:color w:val="000000"/>
          <w:sz w:val="24"/>
          <w:szCs w:val="24"/>
          <w:lang w:eastAsia="zh-CN"/>
        </w:rPr>
        <w:t>: 90-97 [PMID: 14746840 DOI: 10.1016/j.gassur.2003.10.003]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106 </w:t>
      </w:r>
      <w:r w:rsidRPr="00E1636B">
        <w:rPr>
          <w:rFonts w:ascii="Book Antiqua" w:eastAsia="SimSun" w:hAnsi="Book Antiqua" w:cs="SimSun"/>
          <w:b/>
          <w:bCs/>
          <w:color w:val="000000"/>
          <w:sz w:val="24"/>
          <w:szCs w:val="24"/>
          <w:lang w:eastAsia="zh-CN"/>
        </w:rPr>
        <w:t>Lan BY</w:t>
      </w:r>
      <w:r w:rsidRPr="00E1636B">
        <w:rPr>
          <w:rFonts w:ascii="Book Antiqua" w:eastAsia="SimSun" w:hAnsi="Book Antiqua" w:cs="SimSun"/>
          <w:color w:val="000000"/>
          <w:sz w:val="24"/>
          <w:szCs w:val="24"/>
          <w:lang w:eastAsia="zh-CN"/>
        </w:rPr>
        <w:t>, Kwee SA, Wong LL. Positron emission tomography in hepatobiliary and pancreatic malignancies: a review. </w:t>
      </w:r>
      <w:r w:rsidRPr="00E1636B">
        <w:rPr>
          <w:rFonts w:ascii="Book Antiqua" w:eastAsia="SimSun" w:hAnsi="Book Antiqua" w:cs="SimSun"/>
          <w:i/>
          <w:iCs/>
          <w:color w:val="000000"/>
          <w:sz w:val="24"/>
          <w:szCs w:val="24"/>
          <w:lang w:eastAsia="zh-CN"/>
        </w:rPr>
        <w:t>Am J Surg</w:t>
      </w:r>
      <w:r w:rsidRPr="00E1636B">
        <w:rPr>
          <w:rFonts w:ascii="Book Antiqua" w:eastAsia="SimSun" w:hAnsi="Book Antiqua" w:cs="SimSun"/>
          <w:color w:val="000000"/>
          <w:sz w:val="24"/>
          <w:szCs w:val="24"/>
          <w:lang w:eastAsia="zh-CN"/>
        </w:rPr>
        <w:t> 2012; </w:t>
      </w:r>
      <w:r w:rsidRPr="00E1636B">
        <w:rPr>
          <w:rFonts w:ascii="Book Antiqua" w:eastAsia="SimSun" w:hAnsi="Book Antiqua" w:cs="SimSun"/>
          <w:b/>
          <w:bCs/>
          <w:color w:val="000000"/>
          <w:sz w:val="24"/>
          <w:szCs w:val="24"/>
          <w:lang w:eastAsia="zh-CN"/>
        </w:rPr>
        <w:t>204</w:t>
      </w:r>
      <w:r w:rsidRPr="00E1636B">
        <w:rPr>
          <w:rFonts w:ascii="Book Antiqua" w:eastAsia="SimSun" w:hAnsi="Book Antiqua" w:cs="SimSun"/>
          <w:color w:val="000000"/>
          <w:sz w:val="24"/>
          <w:szCs w:val="24"/>
          <w:lang w:eastAsia="zh-CN"/>
        </w:rPr>
        <w:t>: 232-241 [PMID: 22464445 DOI: 10.1016/j.amjsurg.2011.07.025]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107 </w:t>
      </w:r>
      <w:r w:rsidRPr="00E1636B">
        <w:rPr>
          <w:rFonts w:ascii="Book Antiqua" w:eastAsia="SimSun" w:hAnsi="Book Antiqua" w:cs="SimSun"/>
          <w:b/>
          <w:bCs/>
          <w:color w:val="000000"/>
          <w:sz w:val="24"/>
          <w:szCs w:val="24"/>
          <w:lang w:eastAsia="zh-CN"/>
        </w:rPr>
        <w:t>Vilgrain V</w:t>
      </w:r>
      <w:r w:rsidRPr="00E1636B">
        <w:rPr>
          <w:rFonts w:ascii="Book Antiqua" w:eastAsia="SimSun" w:hAnsi="Book Antiqua" w:cs="SimSun"/>
          <w:color w:val="000000"/>
          <w:sz w:val="24"/>
          <w:szCs w:val="24"/>
          <w:lang w:eastAsia="zh-CN"/>
        </w:rPr>
        <w:t>. Staging cholangiocarcinoma by imaging studies. </w:t>
      </w:r>
      <w:r w:rsidRPr="00E1636B">
        <w:rPr>
          <w:rFonts w:ascii="Book Antiqua" w:eastAsia="SimSun" w:hAnsi="Book Antiqua" w:cs="SimSun"/>
          <w:i/>
          <w:iCs/>
          <w:color w:val="000000"/>
          <w:sz w:val="24"/>
          <w:szCs w:val="24"/>
          <w:lang w:eastAsia="zh-CN"/>
        </w:rPr>
        <w:t>HPB (Oxford)</w:t>
      </w:r>
      <w:r w:rsidRPr="00E1636B">
        <w:rPr>
          <w:rFonts w:ascii="Book Antiqua" w:eastAsia="SimSun" w:hAnsi="Book Antiqua" w:cs="SimSun"/>
          <w:color w:val="000000"/>
          <w:sz w:val="24"/>
          <w:szCs w:val="24"/>
          <w:lang w:eastAsia="zh-CN"/>
        </w:rPr>
        <w:t> 2008; </w:t>
      </w:r>
      <w:r w:rsidRPr="00E1636B">
        <w:rPr>
          <w:rFonts w:ascii="Book Antiqua" w:eastAsia="SimSun" w:hAnsi="Book Antiqua" w:cs="SimSun"/>
          <w:b/>
          <w:bCs/>
          <w:color w:val="000000"/>
          <w:sz w:val="24"/>
          <w:szCs w:val="24"/>
          <w:lang w:eastAsia="zh-CN"/>
        </w:rPr>
        <w:t>10</w:t>
      </w:r>
      <w:r w:rsidRPr="00E1636B">
        <w:rPr>
          <w:rFonts w:ascii="Book Antiqua" w:eastAsia="SimSun" w:hAnsi="Book Antiqua" w:cs="SimSun"/>
          <w:color w:val="000000"/>
          <w:sz w:val="24"/>
          <w:szCs w:val="24"/>
          <w:lang w:eastAsia="zh-CN"/>
        </w:rPr>
        <w:t>: 106-109 [PMID: 18773065 DOI: 10.1080/13651820801992617]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108 </w:t>
      </w:r>
      <w:r w:rsidRPr="00E1636B">
        <w:rPr>
          <w:rFonts w:ascii="Book Antiqua" w:eastAsia="SimSun" w:hAnsi="Book Antiqua" w:cs="SimSun"/>
          <w:b/>
          <w:bCs/>
          <w:color w:val="000000"/>
          <w:sz w:val="24"/>
          <w:szCs w:val="24"/>
          <w:lang w:eastAsia="zh-CN"/>
        </w:rPr>
        <w:t>Jo JH</w:t>
      </w:r>
      <w:r w:rsidRPr="00E1636B">
        <w:rPr>
          <w:rFonts w:ascii="Book Antiqua" w:eastAsia="SimSun" w:hAnsi="Book Antiqua" w:cs="SimSun"/>
          <w:color w:val="000000"/>
          <w:sz w:val="24"/>
          <w:szCs w:val="24"/>
          <w:lang w:eastAsia="zh-CN"/>
        </w:rPr>
        <w:t>, Chung MJ, Park JY, Bang S, Park SW, Kim KS, Lee WJ, Song SY, Chung JB. High serum CA19-9 levels are associated with an increased risk of cholangiocarcinoma in patients with intrahepatic duct stones: a case-control study. </w:t>
      </w:r>
      <w:r w:rsidRPr="00E1636B">
        <w:rPr>
          <w:rFonts w:ascii="Book Antiqua" w:eastAsia="SimSun" w:hAnsi="Book Antiqua" w:cs="SimSun"/>
          <w:i/>
          <w:iCs/>
          <w:color w:val="000000"/>
          <w:sz w:val="24"/>
          <w:szCs w:val="24"/>
          <w:lang w:eastAsia="zh-CN"/>
        </w:rPr>
        <w:t>Surg Endosc</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27</w:t>
      </w:r>
      <w:r w:rsidRPr="00E1636B">
        <w:rPr>
          <w:rFonts w:ascii="Book Antiqua" w:eastAsia="SimSun" w:hAnsi="Book Antiqua" w:cs="SimSun"/>
          <w:color w:val="000000"/>
          <w:sz w:val="24"/>
          <w:szCs w:val="24"/>
          <w:lang w:eastAsia="zh-CN"/>
        </w:rPr>
        <w:t>: 4210-4216 [PMID: 23760942 DOI: 10.1007/s00464-013-3025-1]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109 </w:t>
      </w:r>
      <w:r w:rsidRPr="00E1636B">
        <w:rPr>
          <w:rFonts w:ascii="Book Antiqua" w:eastAsia="SimSun" w:hAnsi="Book Antiqua" w:cs="SimSun"/>
          <w:b/>
          <w:bCs/>
          <w:color w:val="000000"/>
          <w:sz w:val="24"/>
          <w:szCs w:val="24"/>
          <w:lang w:eastAsia="zh-CN"/>
        </w:rPr>
        <w:t>Menias CO</w:t>
      </w:r>
      <w:r w:rsidRPr="00E1636B">
        <w:rPr>
          <w:rFonts w:ascii="Book Antiqua" w:eastAsia="SimSun" w:hAnsi="Book Antiqua" w:cs="SimSun"/>
          <w:color w:val="000000"/>
          <w:sz w:val="24"/>
          <w:szCs w:val="24"/>
          <w:lang w:eastAsia="zh-CN"/>
        </w:rPr>
        <w:t>, Surabhi VR, Prasad SR, Wang HL, Narra VR, Chintapalli KN. Mimics of cholangiocarcinoma: spectrum of disease. </w:t>
      </w:r>
      <w:r w:rsidRPr="00E1636B">
        <w:rPr>
          <w:rFonts w:ascii="Book Antiqua" w:eastAsia="SimSun" w:hAnsi="Book Antiqua" w:cs="SimSun"/>
          <w:i/>
          <w:iCs/>
          <w:color w:val="000000"/>
          <w:sz w:val="24"/>
          <w:szCs w:val="24"/>
          <w:lang w:eastAsia="zh-CN"/>
        </w:rPr>
        <w:t>Radiographics</w:t>
      </w:r>
      <w:r w:rsidRPr="00E1636B">
        <w:rPr>
          <w:rFonts w:ascii="Book Antiqua" w:eastAsia="SimSun" w:hAnsi="Book Antiqua" w:cs="SimSun"/>
          <w:color w:val="000000"/>
          <w:sz w:val="24"/>
          <w:szCs w:val="24"/>
          <w:lang w:eastAsia="zh-CN"/>
        </w:rPr>
        <w:t> 2008; </w:t>
      </w:r>
      <w:r w:rsidRPr="00E1636B">
        <w:rPr>
          <w:rFonts w:ascii="Book Antiqua" w:eastAsia="SimSun" w:hAnsi="Book Antiqua" w:cs="SimSun"/>
          <w:b/>
          <w:bCs/>
          <w:color w:val="000000"/>
          <w:sz w:val="24"/>
          <w:szCs w:val="24"/>
          <w:lang w:eastAsia="zh-CN"/>
        </w:rPr>
        <w:t>28</w:t>
      </w:r>
      <w:r w:rsidRPr="00E1636B">
        <w:rPr>
          <w:rFonts w:ascii="Book Antiqua" w:eastAsia="SimSun" w:hAnsi="Book Antiqua" w:cs="SimSun"/>
          <w:color w:val="000000"/>
          <w:sz w:val="24"/>
          <w:szCs w:val="24"/>
          <w:lang w:eastAsia="zh-CN"/>
        </w:rPr>
        <w:t>: 1115-1129 [PMID: 18635632 DOI: 10.1148/rg.284075148]</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110 </w:t>
      </w:r>
      <w:r w:rsidRPr="00E1636B">
        <w:rPr>
          <w:rFonts w:ascii="Book Antiqua" w:eastAsia="SimSun" w:hAnsi="Book Antiqua" w:cs="SimSun"/>
          <w:b/>
          <w:bCs/>
          <w:color w:val="000000"/>
          <w:sz w:val="24"/>
          <w:szCs w:val="24"/>
          <w:lang w:eastAsia="zh-CN"/>
        </w:rPr>
        <w:t>Cai X</w:t>
      </w:r>
      <w:r w:rsidRPr="00E1636B">
        <w:rPr>
          <w:rFonts w:ascii="Book Antiqua" w:eastAsia="SimSun" w:hAnsi="Book Antiqua" w:cs="SimSun"/>
          <w:color w:val="000000"/>
          <w:sz w:val="24"/>
          <w:szCs w:val="24"/>
          <w:lang w:eastAsia="zh-CN"/>
        </w:rPr>
        <w:t>, Wang Y, Yu H, Liang X, Peng S. Laparoscopic hepatectomy for hepatolithiasis: a feasibility and safety study in 29 patients. </w:t>
      </w:r>
      <w:r w:rsidRPr="00E1636B">
        <w:rPr>
          <w:rFonts w:ascii="Book Antiqua" w:eastAsia="SimSun" w:hAnsi="Book Antiqua" w:cs="SimSun"/>
          <w:i/>
          <w:iCs/>
          <w:color w:val="000000"/>
          <w:sz w:val="24"/>
          <w:szCs w:val="24"/>
          <w:lang w:eastAsia="zh-CN"/>
        </w:rPr>
        <w:t>Surg Endosc</w:t>
      </w:r>
      <w:r w:rsidRPr="00E1636B">
        <w:rPr>
          <w:rFonts w:ascii="Book Antiqua" w:eastAsia="SimSun" w:hAnsi="Book Antiqua" w:cs="SimSun"/>
          <w:color w:val="000000"/>
          <w:sz w:val="24"/>
          <w:szCs w:val="24"/>
          <w:lang w:eastAsia="zh-CN"/>
        </w:rPr>
        <w:t> 2007; </w:t>
      </w:r>
      <w:r w:rsidRPr="00E1636B">
        <w:rPr>
          <w:rFonts w:ascii="Book Antiqua" w:eastAsia="SimSun" w:hAnsi="Book Antiqua" w:cs="SimSun"/>
          <w:b/>
          <w:bCs/>
          <w:color w:val="000000"/>
          <w:sz w:val="24"/>
          <w:szCs w:val="24"/>
          <w:lang w:eastAsia="zh-CN"/>
        </w:rPr>
        <w:t>21</w:t>
      </w:r>
      <w:r w:rsidRPr="00E1636B">
        <w:rPr>
          <w:rFonts w:ascii="Book Antiqua" w:eastAsia="SimSun" w:hAnsi="Book Antiqua" w:cs="SimSun"/>
          <w:color w:val="000000"/>
          <w:sz w:val="24"/>
          <w:szCs w:val="24"/>
          <w:lang w:eastAsia="zh-CN"/>
        </w:rPr>
        <w:t>: 1074-1078 [PMID: 17516119 DOI: 10.1007/s00464-007-9306-9]</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111 </w:t>
      </w:r>
      <w:r w:rsidRPr="00E1636B">
        <w:rPr>
          <w:rFonts w:ascii="Book Antiqua" w:eastAsia="SimSun" w:hAnsi="Book Antiqua" w:cs="SimSun"/>
          <w:b/>
          <w:bCs/>
          <w:color w:val="000000"/>
          <w:sz w:val="24"/>
          <w:szCs w:val="24"/>
          <w:lang w:eastAsia="zh-CN"/>
        </w:rPr>
        <w:t>Otani K</w:t>
      </w:r>
      <w:r w:rsidRPr="00E1636B">
        <w:rPr>
          <w:rFonts w:ascii="Book Antiqua" w:eastAsia="SimSun" w:hAnsi="Book Antiqua" w:cs="SimSun"/>
          <w:color w:val="000000"/>
          <w:sz w:val="24"/>
          <w:szCs w:val="24"/>
          <w:lang w:eastAsia="zh-CN"/>
        </w:rPr>
        <w:t>, Shimizu S, Chijiiwa K, Ogawa T, Morisaki T, Sugitani A, Yamaguchi K, Tanaka M. Comparison of treatments for hepatolithiasis: hepatic resection versus cholangioscopic lithotomy. </w:t>
      </w:r>
      <w:r w:rsidRPr="00E1636B">
        <w:rPr>
          <w:rFonts w:ascii="Book Antiqua" w:eastAsia="SimSun" w:hAnsi="Book Antiqua" w:cs="SimSun"/>
          <w:i/>
          <w:iCs/>
          <w:color w:val="000000"/>
          <w:sz w:val="24"/>
          <w:szCs w:val="24"/>
          <w:lang w:eastAsia="zh-CN"/>
        </w:rPr>
        <w:t>J Am Coll Surg</w:t>
      </w:r>
      <w:r w:rsidRPr="00E1636B">
        <w:rPr>
          <w:rFonts w:ascii="Book Antiqua" w:eastAsia="SimSun" w:hAnsi="Book Antiqua" w:cs="SimSun"/>
          <w:color w:val="000000"/>
          <w:sz w:val="24"/>
          <w:szCs w:val="24"/>
          <w:lang w:eastAsia="zh-CN"/>
        </w:rPr>
        <w:t> 1999; </w:t>
      </w:r>
      <w:r w:rsidRPr="00E1636B">
        <w:rPr>
          <w:rFonts w:ascii="Book Antiqua" w:eastAsia="SimSun" w:hAnsi="Book Antiqua" w:cs="SimSun"/>
          <w:b/>
          <w:bCs/>
          <w:color w:val="000000"/>
          <w:sz w:val="24"/>
          <w:szCs w:val="24"/>
          <w:lang w:eastAsia="zh-CN"/>
        </w:rPr>
        <w:t>189</w:t>
      </w:r>
      <w:r w:rsidRPr="00E1636B">
        <w:rPr>
          <w:rFonts w:ascii="Book Antiqua" w:eastAsia="SimSun" w:hAnsi="Book Antiqua" w:cs="SimSun"/>
          <w:color w:val="000000"/>
          <w:sz w:val="24"/>
          <w:szCs w:val="24"/>
          <w:lang w:eastAsia="zh-CN"/>
        </w:rPr>
        <w:t>: 177-182 [PMID: 10437840 DOI: 10.1016/S1072-7515(99)00109-X]</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112 </w:t>
      </w:r>
      <w:r w:rsidRPr="00E1636B">
        <w:rPr>
          <w:rFonts w:ascii="Book Antiqua" w:eastAsia="SimSun" w:hAnsi="Book Antiqua" w:cs="SimSun"/>
          <w:b/>
          <w:bCs/>
          <w:color w:val="000000"/>
          <w:sz w:val="24"/>
          <w:szCs w:val="24"/>
          <w:lang w:eastAsia="zh-CN"/>
        </w:rPr>
        <w:t>Fan ST</w:t>
      </w:r>
      <w:r w:rsidRPr="00E1636B">
        <w:rPr>
          <w:rFonts w:ascii="Book Antiqua" w:eastAsia="SimSun" w:hAnsi="Book Antiqua" w:cs="SimSun"/>
          <w:color w:val="000000"/>
          <w:sz w:val="24"/>
          <w:szCs w:val="24"/>
          <w:lang w:eastAsia="zh-CN"/>
        </w:rPr>
        <w:t>, Choi TK, Lo CM, Mok FP, Lai EC, Wong J. Treatment of hepatolithiasis: improvement of result by a systematic approach. </w:t>
      </w:r>
      <w:r w:rsidRPr="00E1636B">
        <w:rPr>
          <w:rFonts w:ascii="Book Antiqua" w:eastAsia="SimSun" w:hAnsi="Book Antiqua" w:cs="SimSun"/>
          <w:i/>
          <w:iCs/>
          <w:color w:val="000000"/>
          <w:sz w:val="24"/>
          <w:szCs w:val="24"/>
          <w:lang w:eastAsia="zh-CN"/>
        </w:rPr>
        <w:t>Surgery</w:t>
      </w:r>
      <w:r w:rsidRPr="00E1636B">
        <w:rPr>
          <w:rFonts w:ascii="Book Antiqua" w:eastAsia="SimSun" w:hAnsi="Book Antiqua" w:cs="SimSun"/>
          <w:color w:val="000000"/>
          <w:sz w:val="24"/>
          <w:szCs w:val="24"/>
          <w:lang w:eastAsia="zh-CN"/>
        </w:rPr>
        <w:t> 1991; </w:t>
      </w:r>
      <w:r w:rsidRPr="00E1636B">
        <w:rPr>
          <w:rFonts w:ascii="Book Antiqua" w:eastAsia="SimSun" w:hAnsi="Book Antiqua" w:cs="SimSun"/>
          <w:b/>
          <w:bCs/>
          <w:color w:val="000000"/>
          <w:sz w:val="24"/>
          <w:szCs w:val="24"/>
          <w:lang w:eastAsia="zh-CN"/>
        </w:rPr>
        <w:t>109</w:t>
      </w:r>
      <w:r w:rsidRPr="00E1636B">
        <w:rPr>
          <w:rFonts w:ascii="Book Antiqua" w:eastAsia="SimSun" w:hAnsi="Book Antiqua" w:cs="SimSun"/>
          <w:color w:val="000000"/>
          <w:sz w:val="24"/>
          <w:szCs w:val="24"/>
          <w:lang w:eastAsia="zh-CN"/>
        </w:rPr>
        <w:t>: 474-480 [PMID: 2008653]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113 </w:t>
      </w:r>
      <w:r w:rsidRPr="00E1636B">
        <w:rPr>
          <w:rFonts w:ascii="Book Antiqua" w:eastAsia="SimSun" w:hAnsi="Book Antiqua" w:cs="SimSun"/>
          <w:b/>
          <w:bCs/>
          <w:color w:val="000000"/>
          <w:sz w:val="24"/>
          <w:szCs w:val="24"/>
          <w:lang w:eastAsia="zh-CN"/>
        </w:rPr>
        <w:t>Lee SK</w:t>
      </w:r>
      <w:r w:rsidRPr="00E1636B">
        <w:rPr>
          <w:rFonts w:ascii="Book Antiqua" w:eastAsia="SimSun" w:hAnsi="Book Antiqua" w:cs="SimSun"/>
          <w:color w:val="000000"/>
          <w:sz w:val="24"/>
          <w:szCs w:val="24"/>
          <w:lang w:eastAsia="zh-CN"/>
        </w:rPr>
        <w:t xml:space="preserve">, Seo DW, Myung SJ, Park ET, Lim BC, Kim HJ, Yoo KS, Park HJ, Joo YH, Kim MH, Min YI. Percutaneous transhepatic cholangioscopic treatment for </w:t>
      </w:r>
      <w:r w:rsidRPr="00E1636B">
        <w:rPr>
          <w:rFonts w:ascii="Book Antiqua" w:eastAsia="SimSun" w:hAnsi="Book Antiqua" w:cs="SimSun"/>
          <w:color w:val="000000"/>
          <w:sz w:val="24"/>
          <w:szCs w:val="24"/>
          <w:lang w:eastAsia="zh-CN"/>
        </w:rPr>
        <w:lastRenderedPageBreak/>
        <w:t>hepatolithiasis: an evaluation of long-term results and risk factors for recurrence. </w:t>
      </w:r>
      <w:r w:rsidRPr="00E1636B">
        <w:rPr>
          <w:rFonts w:ascii="Book Antiqua" w:eastAsia="SimSun" w:hAnsi="Book Antiqua" w:cs="SimSun"/>
          <w:i/>
          <w:iCs/>
          <w:color w:val="000000"/>
          <w:sz w:val="24"/>
          <w:szCs w:val="24"/>
          <w:lang w:eastAsia="zh-CN"/>
        </w:rPr>
        <w:t>Gastrointest Endosc</w:t>
      </w:r>
      <w:r w:rsidRPr="00E1636B">
        <w:rPr>
          <w:rFonts w:ascii="Book Antiqua" w:eastAsia="SimSun" w:hAnsi="Book Antiqua" w:cs="SimSun"/>
          <w:color w:val="000000"/>
          <w:sz w:val="24"/>
          <w:szCs w:val="24"/>
          <w:lang w:eastAsia="zh-CN"/>
        </w:rPr>
        <w:t> 2001; </w:t>
      </w:r>
      <w:r w:rsidRPr="00E1636B">
        <w:rPr>
          <w:rFonts w:ascii="Book Antiqua" w:eastAsia="SimSun" w:hAnsi="Book Antiqua" w:cs="SimSun"/>
          <w:b/>
          <w:bCs/>
          <w:color w:val="000000"/>
          <w:sz w:val="24"/>
          <w:szCs w:val="24"/>
          <w:lang w:eastAsia="zh-CN"/>
        </w:rPr>
        <w:t>53</w:t>
      </w:r>
      <w:r w:rsidRPr="00E1636B">
        <w:rPr>
          <w:rFonts w:ascii="Book Antiqua" w:eastAsia="SimSun" w:hAnsi="Book Antiqua" w:cs="SimSun"/>
          <w:color w:val="000000"/>
          <w:sz w:val="24"/>
          <w:szCs w:val="24"/>
          <w:lang w:eastAsia="zh-CN"/>
        </w:rPr>
        <w:t>: 318-323 [PMID: 11231390 DOI: 10.1067/mge.2001.112336]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114 </w:t>
      </w:r>
      <w:r w:rsidRPr="00E1636B">
        <w:rPr>
          <w:rFonts w:ascii="Book Antiqua" w:eastAsia="SimSun" w:hAnsi="Book Antiqua" w:cs="SimSun"/>
          <w:b/>
          <w:bCs/>
          <w:color w:val="000000"/>
          <w:sz w:val="24"/>
          <w:szCs w:val="24"/>
          <w:lang w:eastAsia="zh-CN"/>
        </w:rPr>
        <w:t>Cheung MT</w:t>
      </w:r>
      <w:r w:rsidRPr="00E1636B">
        <w:rPr>
          <w:rFonts w:ascii="Book Antiqua" w:eastAsia="SimSun" w:hAnsi="Book Antiqua" w:cs="SimSun"/>
          <w:color w:val="000000"/>
          <w:sz w:val="24"/>
          <w:szCs w:val="24"/>
          <w:lang w:eastAsia="zh-CN"/>
        </w:rPr>
        <w:t>, Kwok PC. Liver resection for intrahepatic stones. </w:t>
      </w:r>
      <w:r w:rsidRPr="00E1636B">
        <w:rPr>
          <w:rFonts w:ascii="Book Antiqua" w:eastAsia="SimSun" w:hAnsi="Book Antiqua" w:cs="SimSun"/>
          <w:i/>
          <w:iCs/>
          <w:color w:val="000000"/>
          <w:sz w:val="24"/>
          <w:szCs w:val="24"/>
          <w:lang w:eastAsia="zh-CN"/>
        </w:rPr>
        <w:t>Arch Surg</w:t>
      </w:r>
      <w:r w:rsidRPr="00E1636B">
        <w:rPr>
          <w:rFonts w:ascii="Book Antiqua" w:eastAsia="SimSun" w:hAnsi="Book Antiqua" w:cs="SimSun"/>
          <w:color w:val="000000"/>
          <w:sz w:val="24"/>
          <w:szCs w:val="24"/>
          <w:lang w:eastAsia="zh-CN"/>
        </w:rPr>
        <w:t> 2005; </w:t>
      </w:r>
      <w:r w:rsidRPr="00E1636B">
        <w:rPr>
          <w:rFonts w:ascii="Book Antiqua" w:eastAsia="SimSun" w:hAnsi="Book Antiqua" w:cs="SimSun"/>
          <w:b/>
          <w:bCs/>
          <w:color w:val="000000"/>
          <w:sz w:val="24"/>
          <w:szCs w:val="24"/>
          <w:lang w:eastAsia="zh-CN"/>
        </w:rPr>
        <w:t>140</w:t>
      </w:r>
      <w:r w:rsidRPr="00E1636B">
        <w:rPr>
          <w:rFonts w:ascii="Book Antiqua" w:eastAsia="SimSun" w:hAnsi="Book Antiqua" w:cs="SimSun"/>
          <w:color w:val="000000"/>
          <w:sz w:val="24"/>
          <w:szCs w:val="24"/>
          <w:lang w:eastAsia="zh-CN"/>
        </w:rPr>
        <w:t>: 993-997 [PMID: 16230551 DOI: 10.1001/archsurg.140.10.993]</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115 </w:t>
      </w:r>
      <w:r w:rsidRPr="00E1636B">
        <w:rPr>
          <w:rFonts w:ascii="Book Antiqua" w:eastAsia="SimSun" w:hAnsi="Book Antiqua" w:cs="SimSun"/>
          <w:b/>
          <w:bCs/>
          <w:color w:val="000000"/>
          <w:sz w:val="24"/>
          <w:szCs w:val="24"/>
          <w:lang w:eastAsia="zh-CN"/>
        </w:rPr>
        <w:t>Lee KF</w:t>
      </w:r>
      <w:r w:rsidRPr="00E1636B">
        <w:rPr>
          <w:rFonts w:ascii="Book Antiqua" w:eastAsia="SimSun" w:hAnsi="Book Antiqua" w:cs="SimSun"/>
          <w:color w:val="000000"/>
          <w:sz w:val="24"/>
          <w:szCs w:val="24"/>
          <w:lang w:eastAsia="zh-CN"/>
        </w:rPr>
        <w:t>, Chong CN, Ng D, Cheung YS, Ng W, Wong J, Lai P. Outcome of surgical treatment for recurrent pyogenic cholangitis: a single-centre study. </w:t>
      </w:r>
      <w:r w:rsidRPr="00E1636B">
        <w:rPr>
          <w:rFonts w:ascii="Book Antiqua" w:eastAsia="SimSun" w:hAnsi="Book Antiqua" w:cs="SimSun"/>
          <w:i/>
          <w:iCs/>
          <w:color w:val="000000"/>
          <w:sz w:val="24"/>
          <w:szCs w:val="24"/>
          <w:lang w:eastAsia="zh-CN"/>
        </w:rPr>
        <w:t>HPB (Oxford)</w:t>
      </w:r>
      <w:r w:rsidRPr="00E1636B">
        <w:rPr>
          <w:rFonts w:ascii="Book Antiqua" w:eastAsia="SimSun" w:hAnsi="Book Antiqua" w:cs="SimSun"/>
          <w:color w:val="000000"/>
          <w:sz w:val="24"/>
          <w:szCs w:val="24"/>
          <w:lang w:eastAsia="zh-CN"/>
        </w:rPr>
        <w:t> 2009; </w:t>
      </w:r>
      <w:r w:rsidRPr="00E1636B">
        <w:rPr>
          <w:rFonts w:ascii="Book Antiqua" w:eastAsia="SimSun" w:hAnsi="Book Antiqua" w:cs="SimSun"/>
          <w:b/>
          <w:bCs/>
          <w:color w:val="000000"/>
          <w:sz w:val="24"/>
          <w:szCs w:val="24"/>
          <w:lang w:eastAsia="zh-CN"/>
        </w:rPr>
        <w:t>11</w:t>
      </w:r>
      <w:r w:rsidRPr="00E1636B">
        <w:rPr>
          <w:rFonts w:ascii="Book Antiqua" w:eastAsia="SimSun" w:hAnsi="Book Antiqua" w:cs="SimSun"/>
          <w:color w:val="000000"/>
          <w:sz w:val="24"/>
          <w:szCs w:val="24"/>
          <w:lang w:eastAsia="zh-CN"/>
        </w:rPr>
        <w:t>: 75-80 [PMID: 19590627 DOI: 10.1111/j.1477-2574.2008.00018.x]</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116 </w:t>
      </w:r>
      <w:r w:rsidRPr="00E1636B">
        <w:rPr>
          <w:rFonts w:ascii="Book Antiqua" w:eastAsia="SimSun" w:hAnsi="Book Antiqua" w:cs="SimSun"/>
          <w:b/>
          <w:bCs/>
          <w:color w:val="000000"/>
          <w:sz w:val="24"/>
          <w:szCs w:val="24"/>
          <w:lang w:eastAsia="zh-CN"/>
        </w:rPr>
        <w:t>Sakpal SV</w:t>
      </w:r>
      <w:r w:rsidRPr="00E1636B">
        <w:rPr>
          <w:rFonts w:ascii="Book Antiqua" w:eastAsia="SimSun" w:hAnsi="Book Antiqua" w:cs="SimSun"/>
          <w:color w:val="000000"/>
          <w:sz w:val="24"/>
          <w:szCs w:val="24"/>
          <w:lang w:eastAsia="zh-CN"/>
        </w:rPr>
        <w:t>, Babel N, Chamberlain RS. Surgical management of hepatolithiasis. </w:t>
      </w:r>
      <w:r w:rsidRPr="00E1636B">
        <w:rPr>
          <w:rFonts w:ascii="Book Antiqua" w:eastAsia="SimSun" w:hAnsi="Book Antiqua" w:cs="SimSun"/>
          <w:i/>
          <w:iCs/>
          <w:color w:val="000000"/>
          <w:sz w:val="24"/>
          <w:szCs w:val="24"/>
          <w:lang w:eastAsia="zh-CN"/>
        </w:rPr>
        <w:t>HPB (Oxford)</w:t>
      </w:r>
      <w:r w:rsidRPr="00E1636B">
        <w:rPr>
          <w:rFonts w:ascii="Book Antiqua" w:eastAsia="SimSun" w:hAnsi="Book Antiqua" w:cs="SimSun"/>
          <w:color w:val="000000"/>
          <w:sz w:val="24"/>
          <w:szCs w:val="24"/>
          <w:lang w:eastAsia="zh-CN"/>
        </w:rPr>
        <w:t> 2009; </w:t>
      </w:r>
      <w:r w:rsidRPr="00E1636B">
        <w:rPr>
          <w:rFonts w:ascii="Book Antiqua" w:eastAsia="SimSun" w:hAnsi="Book Antiqua" w:cs="SimSun"/>
          <w:b/>
          <w:bCs/>
          <w:color w:val="000000"/>
          <w:sz w:val="24"/>
          <w:szCs w:val="24"/>
          <w:lang w:eastAsia="zh-CN"/>
        </w:rPr>
        <w:t>11</w:t>
      </w:r>
      <w:r w:rsidRPr="00E1636B">
        <w:rPr>
          <w:rFonts w:ascii="Book Antiqua" w:eastAsia="SimSun" w:hAnsi="Book Antiqua" w:cs="SimSun"/>
          <w:color w:val="000000"/>
          <w:sz w:val="24"/>
          <w:szCs w:val="24"/>
          <w:lang w:eastAsia="zh-CN"/>
        </w:rPr>
        <w:t>: 194-202 [PMID: 19590647 DOI: 10.1111/j.1477-2574.2009.00046.x]</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117 </w:t>
      </w:r>
      <w:r w:rsidRPr="00E1636B">
        <w:rPr>
          <w:rFonts w:ascii="Book Antiqua" w:eastAsia="SimSun" w:hAnsi="Book Antiqua" w:cs="SimSun"/>
          <w:b/>
          <w:bCs/>
          <w:color w:val="000000"/>
          <w:sz w:val="24"/>
          <w:szCs w:val="24"/>
          <w:lang w:eastAsia="zh-CN"/>
        </w:rPr>
        <w:t>Uchiyama K</w:t>
      </w:r>
      <w:r w:rsidRPr="00E1636B">
        <w:rPr>
          <w:rFonts w:ascii="Book Antiqua" w:eastAsia="SimSun" w:hAnsi="Book Antiqua" w:cs="SimSun"/>
          <w:color w:val="000000"/>
          <w:sz w:val="24"/>
          <w:szCs w:val="24"/>
          <w:lang w:eastAsia="zh-CN"/>
        </w:rPr>
        <w:t>, Ueno M, Ozawa S, Kiriyama S, Kawai M, Hirono S, Tani M, Yamaue H. Risk factors for postoperative infectious complications after hepatectomy. </w:t>
      </w:r>
      <w:r w:rsidRPr="00E1636B">
        <w:rPr>
          <w:rFonts w:ascii="Book Antiqua" w:eastAsia="SimSun" w:hAnsi="Book Antiqua" w:cs="SimSun"/>
          <w:i/>
          <w:iCs/>
          <w:color w:val="000000"/>
          <w:sz w:val="24"/>
          <w:szCs w:val="24"/>
          <w:lang w:eastAsia="zh-CN"/>
        </w:rPr>
        <w:t>J Hepatobiliary Pancreat Sci</w:t>
      </w:r>
      <w:r w:rsidRPr="00E1636B">
        <w:rPr>
          <w:rFonts w:ascii="Book Antiqua" w:eastAsia="SimSun" w:hAnsi="Book Antiqua" w:cs="SimSun"/>
          <w:color w:val="000000"/>
          <w:sz w:val="24"/>
          <w:szCs w:val="24"/>
          <w:lang w:eastAsia="zh-CN"/>
        </w:rPr>
        <w:t> 2011; </w:t>
      </w:r>
      <w:r w:rsidRPr="00E1636B">
        <w:rPr>
          <w:rFonts w:ascii="Book Antiqua" w:eastAsia="SimSun" w:hAnsi="Book Antiqua" w:cs="SimSun"/>
          <w:b/>
          <w:bCs/>
          <w:color w:val="000000"/>
          <w:sz w:val="24"/>
          <w:szCs w:val="24"/>
          <w:lang w:eastAsia="zh-CN"/>
        </w:rPr>
        <w:t>18</w:t>
      </w:r>
      <w:r w:rsidRPr="00E1636B">
        <w:rPr>
          <w:rFonts w:ascii="Book Antiqua" w:eastAsia="SimSun" w:hAnsi="Book Antiqua" w:cs="SimSun"/>
          <w:color w:val="000000"/>
          <w:sz w:val="24"/>
          <w:szCs w:val="24"/>
          <w:lang w:eastAsia="zh-CN"/>
        </w:rPr>
        <w:t>: 67-73 [PMID: 20676699 DOI: 10.1007/s00534-010-0313-1]</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118 </w:t>
      </w:r>
      <w:r w:rsidRPr="00E1636B">
        <w:rPr>
          <w:rFonts w:ascii="Book Antiqua" w:eastAsia="SimSun" w:hAnsi="Book Antiqua" w:cs="SimSun"/>
          <w:b/>
          <w:bCs/>
          <w:color w:val="000000"/>
          <w:sz w:val="24"/>
          <w:szCs w:val="24"/>
          <w:lang w:eastAsia="zh-CN"/>
        </w:rPr>
        <w:t>Yang T</w:t>
      </w:r>
      <w:r w:rsidRPr="00E1636B">
        <w:rPr>
          <w:rFonts w:ascii="Book Antiqua" w:eastAsia="SimSun" w:hAnsi="Book Antiqua" w:cs="SimSun"/>
          <w:color w:val="000000"/>
          <w:sz w:val="24"/>
          <w:szCs w:val="24"/>
          <w:lang w:eastAsia="zh-CN"/>
        </w:rPr>
        <w:t>, Lau WY, Lai EC, Yang LQ, Zhang J, Yang GS, Lu JH, Wu MC. Hepatectomy for bilateral primary hepatolithiasis: a cohort study. </w:t>
      </w:r>
      <w:r w:rsidRPr="00E1636B">
        <w:rPr>
          <w:rFonts w:ascii="Book Antiqua" w:eastAsia="SimSun" w:hAnsi="Book Antiqua" w:cs="SimSun"/>
          <w:i/>
          <w:iCs/>
          <w:color w:val="000000"/>
          <w:sz w:val="24"/>
          <w:szCs w:val="24"/>
          <w:lang w:eastAsia="zh-CN"/>
        </w:rPr>
        <w:t>Ann Surg</w:t>
      </w:r>
      <w:r w:rsidRPr="00E1636B">
        <w:rPr>
          <w:rFonts w:ascii="Book Antiqua" w:eastAsia="SimSun" w:hAnsi="Book Antiqua" w:cs="SimSun"/>
          <w:color w:val="000000"/>
          <w:sz w:val="24"/>
          <w:szCs w:val="24"/>
          <w:lang w:eastAsia="zh-CN"/>
        </w:rPr>
        <w:t> 2010; </w:t>
      </w:r>
      <w:r w:rsidRPr="00E1636B">
        <w:rPr>
          <w:rFonts w:ascii="Book Antiqua" w:eastAsia="SimSun" w:hAnsi="Book Antiqua" w:cs="SimSun"/>
          <w:b/>
          <w:bCs/>
          <w:color w:val="000000"/>
          <w:sz w:val="24"/>
          <w:szCs w:val="24"/>
          <w:lang w:eastAsia="zh-CN"/>
        </w:rPr>
        <w:t>251</w:t>
      </w:r>
      <w:r w:rsidRPr="00E1636B">
        <w:rPr>
          <w:rFonts w:ascii="Book Antiqua" w:eastAsia="SimSun" w:hAnsi="Book Antiqua" w:cs="SimSun"/>
          <w:color w:val="000000"/>
          <w:sz w:val="24"/>
          <w:szCs w:val="24"/>
          <w:lang w:eastAsia="zh-CN"/>
        </w:rPr>
        <w:t>: 84-90 [PMID: 20032719 DOI: 10.1097/SLA.0b013e3181b2f374]</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119 </w:t>
      </w:r>
      <w:r w:rsidRPr="00E1636B">
        <w:rPr>
          <w:rFonts w:ascii="Book Antiqua" w:eastAsia="SimSun" w:hAnsi="Book Antiqua" w:cs="SimSun"/>
          <w:b/>
          <w:bCs/>
          <w:color w:val="000000"/>
          <w:sz w:val="24"/>
          <w:szCs w:val="24"/>
          <w:lang w:eastAsia="zh-CN"/>
        </w:rPr>
        <w:t>Li SQ</w:t>
      </w:r>
      <w:r w:rsidRPr="00E1636B">
        <w:rPr>
          <w:rFonts w:ascii="Book Antiqua" w:eastAsia="SimSun" w:hAnsi="Book Antiqua" w:cs="SimSun"/>
          <w:color w:val="000000"/>
          <w:sz w:val="24"/>
          <w:szCs w:val="24"/>
          <w:lang w:eastAsia="zh-CN"/>
        </w:rPr>
        <w:t>, Liang LJ, Peng BG, Hua YP, Lv MD, Fu SJ, Chen D. Outcomes of liver resection for intrahepatic stones: a comparative study of unilateral versus bilateral disease. </w:t>
      </w:r>
      <w:r w:rsidRPr="00E1636B">
        <w:rPr>
          <w:rFonts w:ascii="Book Antiqua" w:eastAsia="SimSun" w:hAnsi="Book Antiqua" w:cs="SimSun"/>
          <w:i/>
          <w:iCs/>
          <w:color w:val="000000"/>
          <w:sz w:val="24"/>
          <w:szCs w:val="24"/>
          <w:lang w:eastAsia="zh-CN"/>
        </w:rPr>
        <w:t>Ann Surg</w:t>
      </w:r>
      <w:r w:rsidRPr="00E1636B">
        <w:rPr>
          <w:rFonts w:ascii="Book Antiqua" w:eastAsia="SimSun" w:hAnsi="Book Antiqua" w:cs="SimSun"/>
          <w:color w:val="000000"/>
          <w:sz w:val="24"/>
          <w:szCs w:val="24"/>
          <w:lang w:eastAsia="zh-CN"/>
        </w:rPr>
        <w:t> 2012; </w:t>
      </w:r>
      <w:r w:rsidRPr="00E1636B">
        <w:rPr>
          <w:rFonts w:ascii="Book Antiqua" w:eastAsia="SimSun" w:hAnsi="Book Antiqua" w:cs="SimSun"/>
          <w:b/>
          <w:bCs/>
          <w:color w:val="000000"/>
          <w:sz w:val="24"/>
          <w:szCs w:val="24"/>
          <w:lang w:eastAsia="zh-CN"/>
        </w:rPr>
        <w:t>255</w:t>
      </w:r>
      <w:r w:rsidRPr="00E1636B">
        <w:rPr>
          <w:rFonts w:ascii="Book Antiqua" w:eastAsia="SimSun" w:hAnsi="Book Antiqua" w:cs="SimSun"/>
          <w:color w:val="000000"/>
          <w:sz w:val="24"/>
          <w:szCs w:val="24"/>
          <w:lang w:eastAsia="zh-CN"/>
        </w:rPr>
        <w:t>: 946-953 [PMID: 22504194 DOI: 10.1097/SLA.0b013e31824dedc2]</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120 </w:t>
      </w:r>
      <w:r w:rsidRPr="00E1636B">
        <w:rPr>
          <w:rFonts w:ascii="Book Antiqua" w:eastAsia="SimSun" w:hAnsi="Book Antiqua" w:cs="SimSun"/>
          <w:b/>
          <w:bCs/>
          <w:color w:val="000000"/>
          <w:sz w:val="24"/>
          <w:szCs w:val="24"/>
          <w:lang w:eastAsia="zh-CN"/>
        </w:rPr>
        <w:t>Kim YT</w:t>
      </w:r>
      <w:r w:rsidRPr="00E1636B">
        <w:rPr>
          <w:rFonts w:ascii="Book Antiqua" w:eastAsia="SimSun" w:hAnsi="Book Antiqua" w:cs="SimSun"/>
          <w:color w:val="000000"/>
          <w:sz w:val="24"/>
          <w:szCs w:val="24"/>
          <w:lang w:eastAsia="zh-CN"/>
        </w:rPr>
        <w:t>, Byun JS, Kim J, Jang YH, Lee WJ, Ryu JK, Kim SW, Yoon YB, Kim CY. Factors predicting concurrent cholangiocarcinomas associated with hepatolithiasis. </w:t>
      </w:r>
      <w:r w:rsidRPr="00E1636B">
        <w:rPr>
          <w:rFonts w:ascii="Book Antiqua" w:eastAsia="SimSun" w:hAnsi="Book Antiqua" w:cs="SimSun"/>
          <w:i/>
          <w:iCs/>
          <w:color w:val="000000"/>
          <w:sz w:val="24"/>
          <w:szCs w:val="24"/>
          <w:lang w:eastAsia="zh-CN"/>
        </w:rPr>
        <w:t>Hepatogastroenterology</w:t>
      </w:r>
      <w:r w:rsidRPr="00E1636B">
        <w:rPr>
          <w:rFonts w:ascii="Book Antiqua" w:eastAsia="SimSun" w:hAnsi="Book Antiqua" w:cs="SimSun"/>
          <w:color w:val="000000"/>
          <w:sz w:val="24"/>
          <w:szCs w:val="24"/>
          <w:lang w:eastAsia="zh-CN"/>
        </w:rPr>
        <w:t> 2003; </w:t>
      </w:r>
      <w:r w:rsidRPr="00E1636B">
        <w:rPr>
          <w:rFonts w:ascii="Book Antiqua" w:eastAsia="SimSun" w:hAnsi="Book Antiqua" w:cs="SimSun"/>
          <w:b/>
          <w:bCs/>
          <w:color w:val="000000"/>
          <w:sz w:val="24"/>
          <w:szCs w:val="24"/>
          <w:lang w:eastAsia="zh-CN"/>
        </w:rPr>
        <w:t>50</w:t>
      </w:r>
      <w:r w:rsidRPr="00E1636B">
        <w:rPr>
          <w:rFonts w:ascii="Book Antiqua" w:eastAsia="SimSun" w:hAnsi="Book Antiqua" w:cs="SimSun"/>
          <w:color w:val="000000"/>
          <w:sz w:val="24"/>
          <w:szCs w:val="24"/>
          <w:lang w:eastAsia="zh-CN"/>
        </w:rPr>
        <w:t>: 8-12 [PMID: 12629979]</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121 </w:t>
      </w:r>
      <w:r w:rsidRPr="00E1636B">
        <w:rPr>
          <w:rFonts w:ascii="Book Antiqua" w:eastAsia="SimSun" w:hAnsi="Book Antiqua" w:cs="SimSun"/>
          <w:b/>
          <w:bCs/>
          <w:color w:val="000000"/>
          <w:sz w:val="24"/>
          <w:szCs w:val="24"/>
          <w:lang w:eastAsia="zh-CN"/>
        </w:rPr>
        <w:t>Liu ZY</w:t>
      </w:r>
      <w:r w:rsidRPr="00E1636B">
        <w:rPr>
          <w:rFonts w:ascii="Book Antiqua" w:eastAsia="SimSun" w:hAnsi="Book Antiqua" w:cs="SimSun"/>
          <w:color w:val="000000"/>
          <w:sz w:val="24"/>
          <w:szCs w:val="24"/>
          <w:lang w:eastAsia="zh-CN"/>
        </w:rPr>
        <w:t>, Zhou YM, Shi LH, Yin ZF. Risk factors of intrahepatic cholangiocarcinoma in patients with hepatolithiasis: a case-control study. </w:t>
      </w:r>
      <w:r w:rsidRPr="00E1636B">
        <w:rPr>
          <w:rFonts w:ascii="Book Antiqua" w:eastAsia="SimSun" w:hAnsi="Book Antiqua" w:cs="SimSun"/>
          <w:i/>
          <w:iCs/>
          <w:color w:val="000000"/>
          <w:sz w:val="24"/>
          <w:szCs w:val="24"/>
          <w:lang w:eastAsia="zh-CN"/>
        </w:rPr>
        <w:t>Hepatobiliary Pancreat Dis Int</w:t>
      </w:r>
      <w:r w:rsidRPr="00E1636B">
        <w:rPr>
          <w:rFonts w:ascii="Book Antiqua" w:eastAsia="SimSun" w:hAnsi="Book Antiqua" w:cs="SimSun"/>
          <w:color w:val="000000"/>
          <w:sz w:val="24"/>
          <w:szCs w:val="24"/>
          <w:lang w:eastAsia="zh-CN"/>
        </w:rPr>
        <w:t> 2011; </w:t>
      </w:r>
      <w:r w:rsidRPr="00E1636B">
        <w:rPr>
          <w:rFonts w:ascii="Book Antiqua" w:eastAsia="SimSun" w:hAnsi="Book Antiqua" w:cs="SimSun"/>
          <w:b/>
          <w:bCs/>
          <w:color w:val="000000"/>
          <w:sz w:val="24"/>
          <w:szCs w:val="24"/>
          <w:lang w:eastAsia="zh-CN"/>
        </w:rPr>
        <w:t>10</w:t>
      </w:r>
      <w:r w:rsidRPr="00E1636B">
        <w:rPr>
          <w:rFonts w:ascii="Book Antiqua" w:eastAsia="SimSun" w:hAnsi="Book Antiqua" w:cs="SimSun"/>
          <w:color w:val="000000"/>
          <w:sz w:val="24"/>
          <w:szCs w:val="24"/>
          <w:lang w:eastAsia="zh-CN"/>
        </w:rPr>
        <w:t>: 626-631 [PMID: 22146627 DOI: 10.1016/S1499-3872(11)60106-9]</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122 </w:t>
      </w:r>
      <w:r w:rsidRPr="00E1636B">
        <w:rPr>
          <w:rFonts w:ascii="Book Antiqua" w:eastAsia="SimSun" w:hAnsi="Book Antiqua" w:cs="SimSun"/>
          <w:b/>
          <w:bCs/>
          <w:color w:val="000000"/>
          <w:sz w:val="24"/>
          <w:szCs w:val="24"/>
          <w:lang w:eastAsia="zh-CN"/>
        </w:rPr>
        <w:t>Suzuki Y</w:t>
      </w:r>
      <w:r w:rsidRPr="00E1636B">
        <w:rPr>
          <w:rFonts w:ascii="Book Antiqua" w:eastAsia="SimSun" w:hAnsi="Book Antiqua" w:cs="SimSun"/>
          <w:color w:val="000000"/>
          <w:sz w:val="24"/>
          <w:szCs w:val="24"/>
          <w:lang w:eastAsia="zh-CN"/>
        </w:rPr>
        <w:t xml:space="preserve">, Mori T, Abe N, Sugiyama M, Atomi Y. Predictive factors for </w:t>
      </w:r>
      <w:r w:rsidRPr="00E1636B">
        <w:rPr>
          <w:rFonts w:ascii="Book Antiqua" w:eastAsia="SimSun" w:hAnsi="Book Antiqua" w:cs="SimSun"/>
          <w:color w:val="000000"/>
          <w:sz w:val="24"/>
          <w:szCs w:val="24"/>
          <w:lang w:eastAsia="zh-CN"/>
        </w:rPr>
        <w:lastRenderedPageBreak/>
        <w:t>cholangiocarcinoma associated with hepatolithiasis determined on the basis of Japanese Multicenter study. </w:t>
      </w:r>
      <w:r w:rsidRPr="00E1636B">
        <w:rPr>
          <w:rFonts w:ascii="Book Antiqua" w:eastAsia="SimSun" w:hAnsi="Book Antiqua" w:cs="SimSun"/>
          <w:i/>
          <w:iCs/>
          <w:color w:val="000000"/>
          <w:sz w:val="24"/>
          <w:szCs w:val="24"/>
          <w:lang w:eastAsia="zh-CN"/>
        </w:rPr>
        <w:t>Hepatol Res</w:t>
      </w:r>
      <w:r w:rsidRPr="00E1636B">
        <w:rPr>
          <w:rFonts w:ascii="Book Antiqua" w:eastAsia="SimSun" w:hAnsi="Book Antiqua" w:cs="SimSun"/>
          <w:color w:val="000000"/>
          <w:sz w:val="24"/>
          <w:szCs w:val="24"/>
          <w:lang w:eastAsia="zh-CN"/>
        </w:rPr>
        <w:t> 2012; </w:t>
      </w:r>
      <w:r w:rsidRPr="00E1636B">
        <w:rPr>
          <w:rFonts w:ascii="Book Antiqua" w:eastAsia="SimSun" w:hAnsi="Book Antiqua" w:cs="SimSun"/>
          <w:b/>
          <w:bCs/>
          <w:color w:val="000000"/>
          <w:sz w:val="24"/>
          <w:szCs w:val="24"/>
          <w:lang w:eastAsia="zh-CN"/>
        </w:rPr>
        <w:t>42</w:t>
      </w:r>
      <w:r w:rsidRPr="00E1636B">
        <w:rPr>
          <w:rFonts w:ascii="Book Antiqua" w:eastAsia="SimSun" w:hAnsi="Book Antiqua" w:cs="SimSun"/>
          <w:color w:val="000000"/>
          <w:sz w:val="24"/>
          <w:szCs w:val="24"/>
          <w:lang w:eastAsia="zh-CN"/>
        </w:rPr>
        <w:t>: 166-170 [PMID: 22151748 DOI: 10.1111/j.1872-034X.2011.00908.x]</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123 </w:t>
      </w:r>
      <w:r w:rsidRPr="00E1636B">
        <w:rPr>
          <w:rFonts w:ascii="Book Antiqua" w:eastAsia="SimSun" w:hAnsi="Book Antiqua" w:cs="SimSun"/>
          <w:b/>
          <w:bCs/>
          <w:color w:val="000000"/>
          <w:sz w:val="24"/>
          <w:szCs w:val="24"/>
          <w:lang w:eastAsia="zh-CN"/>
        </w:rPr>
        <w:t>Bettschart V</w:t>
      </w:r>
      <w:r w:rsidRPr="00E1636B">
        <w:rPr>
          <w:rFonts w:ascii="Book Antiqua" w:eastAsia="SimSun" w:hAnsi="Book Antiqua" w:cs="SimSun"/>
          <w:color w:val="000000"/>
          <w:sz w:val="24"/>
          <w:szCs w:val="24"/>
          <w:lang w:eastAsia="zh-CN"/>
        </w:rPr>
        <w:t>, Clayton RA, Parks RW, Garden OJ, Bellamy CO. Cholangiocarcinoma arising after biliary-enteric drainage procedures for benign disease. </w:t>
      </w:r>
      <w:r w:rsidRPr="00E1636B">
        <w:rPr>
          <w:rFonts w:ascii="Book Antiqua" w:eastAsia="SimSun" w:hAnsi="Book Antiqua" w:cs="SimSun"/>
          <w:i/>
          <w:iCs/>
          <w:color w:val="000000"/>
          <w:sz w:val="24"/>
          <w:szCs w:val="24"/>
          <w:lang w:eastAsia="zh-CN"/>
        </w:rPr>
        <w:t>Gut</w:t>
      </w:r>
      <w:r w:rsidRPr="00E1636B">
        <w:rPr>
          <w:rFonts w:ascii="Book Antiqua" w:eastAsia="SimSun" w:hAnsi="Book Antiqua" w:cs="SimSun"/>
          <w:color w:val="000000"/>
          <w:sz w:val="24"/>
          <w:szCs w:val="24"/>
          <w:lang w:eastAsia="zh-CN"/>
        </w:rPr>
        <w:t> 2002; </w:t>
      </w:r>
      <w:r w:rsidRPr="00E1636B">
        <w:rPr>
          <w:rFonts w:ascii="Book Antiqua" w:eastAsia="SimSun" w:hAnsi="Book Antiqua" w:cs="SimSun"/>
          <w:b/>
          <w:bCs/>
          <w:color w:val="000000"/>
          <w:sz w:val="24"/>
          <w:szCs w:val="24"/>
          <w:lang w:eastAsia="zh-CN"/>
        </w:rPr>
        <w:t>51</w:t>
      </w:r>
      <w:r w:rsidRPr="00E1636B">
        <w:rPr>
          <w:rFonts w:ascii="Book Antiqua" w:eastAsia="SimSun" w:hAnsi="Book Antiqua" w:cs="SimSun"/>
          <w:color w:val="000000"/>
          <w:sz w:val="24"/>
          <w:szCs w:val="24"/>
          <w:lang w:eastAsia="zh-CN"/>
        </w:rPr>
        <w:t>: 128-129 [PMID: 12077105 DOI: 10.1136/gut.51.1.128]</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124 </w:t>
      </w:r>
      <w:r w:rsidRPr="00E1636B">
        <w:rPr>
          <w:rFonts w:ascii="Book Antiqua" w:eastAsia="SimSun" w:hAnsi="Book Antiqua" w:cs="SimSun"/>
          <w:b/>
          <w:bCs/>
          <w:color w:val="000000"/>
          <w:sz w:val="24"/>
          <w:szCs w:val="24"/>
          <w:lang w:eastAsia="zh-CN"/>
        </w:rPr>
        <w:t>Zhang XJ</w:t>
      </w:r>
      <w:r w:rsidRPr="00E1636B">
        <w:rPr>
          <w:rFonts w:ascii="Book Antiqua" w:eastAsia="SimSun" w:hAnsi="Book Antiqua" w:cs="SimSun"/>
          <w:color w:val="000000"/>
          <w:sz w:val="24"/>
          <w:szCs w:val="24"/>
          <w:lang w:eastAsia="zh-CN"/>
        </w:rPr>
        <w:t>, Jiang Y, Wang X, Tian FZ, Lv LZ. Comparatively lower postoperative hepatolithiasis risk with hepaticocholedochostomy versus hepaticojejunostomy. </w:t>
      </w:r>
      <w:r w:rsidRPr="00E1636B">
        <w:rPr>
          <w:rFonts w:ascii="Book Antiqua" w:eastAsia="SimSun" w:hAnsi="Book Antiqua" w:cs="SimSun"/>
          <w:i/>
          <w:iCs/>
          <w:color w:val="000000"/>
          <w:sz w:val="24"/>
          <w:szCs w:val="24"/>
          <w:lang w:eastAsia="zh-CN"/>
        </w:rPr>
        <w:t>Hepatobiliary Pancreat Dis Int</w:t>
      </w:r>
      <w:r w:rsidRPr="00E1636B">
        <w:rPr>
          <w:rFonts w:ascii="Book Antiqua" w:eastAsia="SimSun" w:hAnsi="Book Antiqua" w:cs="SimSun"/>
          <w:color w:val="000000"/>
          <w:sz w:val="24"/>
          <w:szCs w:val="24"/>
          <w:lang w:eastAsia="zh-CN"/>
        </w:rPr>
        <w:t> 2010; </w:t>
      </w:r>
      <w:r w:rsidRPr="00E1636B">
        <w:rPr>
          <w:rFonts w:ascii="Book Antiqua" w:eastAsia="SimSun" w:hAnsi="Book Antiqua" w:cs="SimSun"/>
          <w:b/>
          <w:bCs/>
          <w:color w:val="000000"/>
          <w:sz w:val="24"/>
          <w:szCs w:val="24"/>
          <w:lang w:eastAsia="zh-CN"/>
        </w:rPr>
        <w:t>9</w:t>
      </w:r>
      <w:r w:rsidRPr="00E1636B">
        <w:rPr>
          <w:rFonts w:ascii="Book Antiqua" w:eastAsia="SimSun" w:hAnsi="Book Antiqua" w:cs="SimSun"/>
          <w:color w:val="000000"/>
          <w:sz w:val="24"/>
          <w:szCs w:val="24"/>
          <w:lang w:eastAsia="zh-CN"/>
        </w:rPr>
        <w:t>: 38-43 [PMID: 20133227]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125 </w:t>
      </w:r>
      <w:r w:rsidRPr="00E1636B">
        <w:rPr>
          <w:rFonts w:ascii="Book Antiqua" w:eastAsia="SimSun" w:hAnsi="Book Antiqua" w:cs="SimSun"/>
          <w:b/>
          <w:bCs/>
          <w:color w:val="000000"/>
          <w:sz w:val="24"/>
          <w:szCs w:val="24"/>
          <w:lang w:eastAsia="zh-CN"/>
        </w:rPr>
        <w:t>Hur H</w:t>
      </w:r>
      <w:r w:rsidRPr="00E1636B">
        <w:rPr>
          <w:rFonts w:ascii="Book Antiqua" w:eastAsia="SimSun" w:hAnsi="Book Antiqua" w:cs="SimSun"/>
          <w:color w:val="000000"/>
          <w:sz w:val="24"/>
          <w:szCs w:val="24"/>
          <w:lang w:eastAsia="zh-CN"/>
        </w:rPr>
        <w:t>, Park IY, Sung GY, Lee DS, Kim W, Won JM. Intrahepatic cholangiocarcinoma associated with intrahepatic duct stones. </w:t>
      </w:r>
      <w:r w:rsidRPr="00E1636B">
        <w:rPr>
          <w:rFonts w:ascii="Book Antiqua" w:eastAsia="SimSun" w:hAnsi="Book Antiqua" w:cs="SimSun"/>
          <w:i/>
          <w:iCs/>
          <w:color w:val="000000"/>
          <w:sz w:val="24"/>
          <w:szCs w:val="24"/>
          <w:lang w:eastAsia="zh-CN"/>
        </w:rPr>
        <w:t>Asian J Surg</w:t>
      </w:r>
      <w:r w:rsidRPr="00E1636B">
        <w:rPr>
          <w:rFonts w:ascii="Book Antiqua" w:eastAsia="SimSun" w:hAnsi="Book Antiqua" w:cs="SimSun"/>
          <w:color w:val="000000"/>
          <w:sz w:val="24"/>
          <w:szCs w:val="24"/>
          <w:lang w:eastAsia="zh-CN"/>
        </w:rPr>
        <w:t> 2009; </w:t>
      </w:r>
      <w:r w:rsidRPr="00E1636B">
        <w:rPr>
          <w:rFonts w:ascii="Book Antiqua" w:eastAsia="SimSun" w:hAnsi="Book Antiqua" w:cs="SimSun"/>
          <w:b/>
          <w:bCs/>
          <w:color w:val="000000"/>
          <w:sz w:val="24"/>
          <w:szCs w:val="24"/>
          <w:lang w:eastAsia="zh-CN"/>
        </w:rPr>
        <w:t>32</w:t>
      </w:r>
      <w:r w:rsidRPr="00E1636B">
        <w:rPr>
          <w:rFonts w:ascii="Book Antiqua" w:eastAsia="SimSun" w:hAnsi="Book Antiqua" w:cs="SimSun"/>
          <w:color w:val="000000"/>
          <w:sz w:val="24"/>
          <w:szCs w:val="24"/>
          <w:lang w:eastAsia="zh-CN"/>
        </w:rPr>
        <w:t>: 7-12 [PMID: 19321396 DOI: 10.1016/S1015-9584(09)60002-6]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126 </w:t>
      </w:r>
      <w:r w:rsidRPr="00E1636B">
        <w:rPr>
          <w:rFonts w:ascii="Book Antiqua" w:eastAsia="SimSun" w:hAnsi="Book Antiqua" w:cs="SimSun"/>
          <w:b/>
          <w:bCs/>
          <w:color w:val="000000"/>
          <w:sz w:val="24"/>
          <w:szCs w:val="24"/>
          <w:lang w:eastAsia="zh-CN"/>
        </w:rPr>
        <w:t>Lee JY</w:t>
      </w:r>
      <w:r w:rsidRPr="00E1636B">
        <w:rPr>
          <w:rFonts w:ascii="Book Antiqua" w:eastAsia="SimSun" w:hAnsi="Book Antiqua" w:cs="SimSun"/>
          <w:color w:val="000000"/>
          <w:sz w:val="24"/>
          <w:szCs w:val="24"/>
          <w:lang w:eastAsia="zh-CN"/>
        </w:rPr>
        <w:t>, Kim JS, Moon JM, Lim SA, Chung W, Lim EH, Lee BJ, Park JJ, Bak YT. Incidence of Cholangiocarcinoma with or without Previous Resection of Liver for Hepatolithiasis. </w:t>
      </w:r>
      <w:r w:rsidRPr="00E1636B">
        <w:rPr>
          <w:rFonts w:ascii="Book Antiqua" w:eastAsia="SimSun" w:hAnsi="Book Antiqua" w:cs="SimSun"/>
          <w:i/>
          <w:iCs/>
          <w:color w:val="000000"/>
          <w:sz w:val="24"/>
          <w:szCs w:val="24"/>
          <w:lang w:eastAsia="zh-CN"/>
        </w:rPr>
        <w:t>Gut Liver</w:t>
      </w:r>
      <w:r w:rsidRPr="00E1636B">
        <w:rPr>
          <w:rFonts w:ascii="Book Antiqua" w:eastAsia="SimSun" w:hAnsi="Book Antiqua" w:cs="SimSun"/>
          <w:color w:val="000000"/>
          <w:sz w:val="24"/>
          <w:szCs w:val="24"/>
          <w:lang w:eastAsia="zh-CN"/>
        </w:rPr>
        <w:t> 2013; </w:t>
      </w:r>
      <w:r w:rsidRPr="00E1636B">
        <w:rPr>
          <w:rFonts w:ascii="Book Antiqua" w:eastAsia="SimSun" w:hAnsi="Book Antiqua" w:cs="SimSun"/>
          <w:b/>
          <w:bCs/>
          <w:color w:val="000000"/>
          <w:sz w:val="24"/>
          <w:szCs w:val="24"/>
          <w:lang w:eastAsia="zh-CN"/>
        </w:rPr>
        <w:t>7</w:t>
      </w:r>
      <w:r w:rsidRPr="00E1636B">
        <w:rPr>
          <w:rFonts w:ascii="Book Antiqua" w:eastAsia="SimSun" w:hAnsi="Book Antiqua" w:cs="SimSun"/>
          <w:color w:val="000000"/>
          <w:sz w:val="24"/>
          <w:szCs w:val="24"/>
          <w:lang w:eastAsia="zh-CN"/>
        </w:rPr>
        <w:t>: 475-479 [PMID: 23898390 DOI: 10.5009/gnl.2013.7.4.475]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127 </w:t>
      </w:r>
      <w:r w:rsidRPr="00E1636B">
        <w:rPr>
          <w:rFonts w:ascii="Book Antiqua" w:eastAsia="SimSun" w:hAnsi="Book Antiqua" w:cs="SimSun"/>
          <w:b/>
          <w:bCs/>
          <w:color w:val="000000"/>
          <w:sz w:val="24"/>
          <w:szCs w:val="24"/>
          <w:lang w:eastAsia="zh-CN"/>
        </w:rPr>
        <w:t>Chijiiwa K</w:t>
      </w:r>
      <w:r w:rsidRPr="00E1636B">
        <w:rPr>
          <w:rFonts w:ascii="Book Antiqua" w:eastAsia="SimSun" w:hAnsi="Book Antiqua" w:cs="SimSun"/>
          <w:color w:val="000000"/>
          <w:sz w:val="24"/>
          <w:szCs w:val="24"/>
          <w:lang w:eastAsia="zh-CN"/>
        </w:rPr>
        <w:t>, Yamashita H, Yoshida J, Kuroki S, Tanaka M. Current management and long-term prognosis of hepatolithiasis. </w:t>
      </w:r>
      <w:r w:rsidRPr="00E1636B">
        <w:rPr>
          <w:rFonts w:ascii="Book Antiqua" w:eastAsia="SimSun" w:hAnsi="Book Antiqua" w:cs="SimSun"/>
          <w:i/>
          <w:iCs/>
          <w:color w:val="000000"/>
          <w:sz w:val="24"/>
          <w:szCs w:val="24"/>
          <w:lang w:eastAsia="zh-CN"/>
        </w:rPr>
        <w:t>Arch Surg</w:t>
      </w:r>
      <w:r w:rsidRPr="00E1636B">
        <w:rPr>
          <w:rFonts w:ascii="Book Antiqua" w:eastAsia="SimSun" w:hAnsi="Book Antiqua" w:cs="SimSun"/>
          <w:color w:val="000000"/>
          <w:sz w:val="24"/>
          <w:szCs w:val="24"/>
          <w:lang w:eastAsia="zh-CN"/>
        </w:rPr>
        <w:t> 1995; </w:t>
      </w:r>
      <w:r w:rsidRPr="00E1636B">
        <w:rPr>
          <w:rFonts w:ascii="Book Antiqua" w:eastAsia="SimSun" w:hAnsi="Book Antiqua" w:cs="SimSun"/>
          <w:b/>
          <w:bCs/>
          <w:color w:val="000000"/>
          <w:sz w:val="24"/>
          <w:szCs w:val="24"/>
          <w:lang w:eastAsia="zh-CN"/>
        </w:rPr>
        <w:t>130</w:t>
      </w:r>
      <w:r w:rsidRPr="00E1636B">
        <w:rPr>
          <w:rFonts w:ascii="Book Antiqua" w:eastAsia="SimSun" w:hAnsi="Book Antiqua" w:cs="SimSun"/>
          <w:color w:val="000000"/>
          <w:sz w:val="24"/>
          <w:szCs w:val="24"/>
          <w:lang w:eastAsia="zh-CN"/>
        </w:rPr>
        <w:t>: 194-197 [PMID: 7848091 DOI: 10.1001/archsurg.1995.01430020084016]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128 </w:t>
      </w:r>
      <w:r w:rsidRPr="00E1636B">
        <w:rPr>
          <w:rFonts w:ascii="Book Antiqua" w:eastAsia="SimSun" w:hAnsi="Book Antiqua" w:cs="SimSun"/>
          <w:b/>
          <w:bCs/>
          <w:color w:val="000000"/>
          <w:sz w:val="24"/>
          <w:szCs w:val="24"/>
          <w:lang w:eastAsia="zh-CN"/>
        </w:rPr>
        <w:t>Lee BS</w:t>
      </w:r>
      <w:r w:rsidRPr="00E1636B">
        <w:rPr>
          <w:rFonts w:ascii="Book Antiqua" w:eastAsia="SimSun" w:hAnsi="Book Antiqua" w:cs="SimSun"/>
          <w:color w:val="000000"/>
          <w:sz w:val="24"/>
          <w:szCs w:val="24"/>
          <w:lang w:eastAsia="zh-CN"/>
        </w:rPr>
        <w:t>, Park EC, Park SW, Nam CM, Roh J. Hepatitis B virus infection, diabetes mellitus, and their synergism for cholangiocarcinoma development: a case-control study in Korea. </w:t>
      </w:r>
      <w:r w:rsidRPr="00E1636B">
        <w:rPr>
          <w:rFonts w:ascii="Book Antiqua" w:eastAsia="SimSun" w:hAnsi="Book Antiqua" w:cs="SimSun"/>
          <w:i/>
          <w:iCs/>
          <w:color w:val="000000"/>
          <w:sz w:val="24"/>
          <w:szCs w:val="24"/>
          <w:lang w:eastAsia="zh-CN"/>
        </w:rPr>
        <w:t>World J Gastroenterol</w:t>
      </w:r>
      <w:r w:rsidRPr="00E1636B">
        <w:rPr>
          <w:rFonts w:ascii="Book Antiqua" w:eastAsia="SimSun" w:hAnsi="Book Antiqua" w:cs="SimSun"/>
          <w:color w:val="000000"/>
          <w:sz w:val="24"/>
          <w:szCs w:val="24"/>
          <w:lang w:eastAsia="zh-CN"/>
        </w:rPr>
        <w:t> 2015; </w:t>
      </w:r>
      <w:r w:rsidRPr="00E1636B">
        <w:rPr>
          <w:rFonts w:ascii="Book Antiqua" w:eastAsia="SimSun" w:hAnsi="Book Antiqua" w:cs="SimSun"/>
          <w:b/>
          <w:bCs/>
          <w:color w:val="000000"/>
          <w:sz w:val="24"/>
          <w:szCs w:val="24"/>
          <w:lang w:eastAsia="zh-CN"/>
        </w:rPr>
        <w:t>21</w:t>
      </w:r>
      <w:r w:rsidRPr="00E1636B">
        <w:rPr>
          <w:rFonts w:ascii="Book Antiqua" w:eastAsia="SimSun" w:hAnsi="Book Antiqua" w:cs="SimSun"/>
          <w:color w:val="000000"/>
          <w:sz w:val="24"/>
          <w:szCs w:val="24"/>
          <w:lang w:eastAsia="zh-CN"/>
        </w:rPr>
        <w:t>: 502-510 [PMID: 25593465 DOI: 10.3748/wjg.v21.i2.502]</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129 </w:t>
      </w:r>
      <w:r w:rsidRPr="00E1636B">
        <w:rPr>
          <w:rFonts w:ascii="Book Antiqua" w:eastAsia="SimSun" w:hAnsi="Book Antiqua" w:cs="SimSun"/>
          <w:b/>
          <w:bCs/>
          <w:color w:val="000000"/>
          <w:sz w:val="24"/>
          <w:szCs w:val="24"/>
          <w:lang w:eastAsia="zh-CN"/>
        </w:rPr>
        <w:t>Chijiiwa K</w:t>
      </w:r>
      <w:r w:rsidRPr="00E1636B">
        <w:rPr>
          <w:rFonts w:ascii="Book Antiqua" w:eastAsia="SimSun" w:hAnsi="Book Antiqua" w:cs="SimSun"/>
          <w:color w:val="000000"/>
          <w:sz w:val="24"/>
          <w:szCs w:val="24"/>
          <w:lang w:eastAsia="zh-CN"/>
        </w:rPr>
        <w:t>, Ichimiya H, Kuroki S, Koga A, Nakayama F. Late development of cholangiocarcinoma after the treatment of hepatolithiasis. </w:t>
      </w:r>
      <w:r w:rsidRPr="00E1636B">
        <w:rPr>
          <w:rFonts w:ascii="Book Antiqua" w:eastAsia="SimSun" w:hAnsi="Book Antiqua" w:cs="SimSun"/>
          <w:i/>
          <w:iCs/>
          <w:color w:val="000000"/>
          <w:sz w:val="24"/>
          <w:szCs w:val="24"/>
          <w:lang w:eastAsia="zh-CN"/>
        </w:rPr>
        <w:t>Surg Gynecol Obstet</w:t>
      </w:r>
      <w:r w:rsidRPr="00E1636B">
        <w:rPr>
          <w:rFonts w:ascii="Book Antiqua" w:eastAsia="SimSun" w:hAnsi="Book Antiqua" w:cs="SimSun"/>
          <w:color w:val="000000"/>
          <w:sz w:val="24"/>
          <w:szCs w:val="24"/>
          <w:lang w:eastAsia="zh-CN"/>
        </w:rPr>
        <w:t> 1993; </w:t>
      </w:r>
      <w:r w:rsidRPr="00E1636B">
        <w:rPr>
          <w:rFonts w:ascii="Book Antiqua" w:eastAsia="SimSun" w:hAnsi="Book Antiqua" w:cs="SimSun"/>
          <w:b/>
          <w:bCs/>
          <w:color w:val="000000"/>
          <w:sz w:val="24"/>
          <w:szCs w:val="24"/>
          <w:lang w:eastAsia="zh-CN"/>
        </w:rPr>
        <w:t>177</w:t>
      </w:r>
      <w:r w:rsidRPr="00E1636B">
        <w:rPr>
          <w:rFonts w:ascii="Book Antiqua" w:eastAsia="SimSun" w:hAnsi="Book Antiqua" w:cs="SimSun"/>
          <w:color w:val="000000"/>
          <w:sz w:val="24"/>
          <w:szCs w:val="24"/>
          <w:lang w:eastAsia="zh-CN"/>
        </w:rPr>
        <w:t>: 279-282 [PMID: 8395085]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130 </w:t>
      </w:r>
      <w:r w:rsidRPr="00E1636B">
        <w:rPr>
          <w:rFonts w:ascii="Book Antiqua" w:eastAsia="SimSun" w:hAnsi="Book Antiqua" w:cs="SimSun"/>
          <w:b/>
          <w:bCs/>
          <w:color w:val="000000"/>
          <w:sz w:val="24"/>
          <w:szCs w:val="24"/>
          <w:lang w:eastAsia="zh-CN"/>
        </w:rPr>
        <w:t>Kusano T</w:t>
      </w:r>
      <w:r w:rsidRPr="00E1636B">
        <w:rPr>
          <w:rFonts w:ascii="Book Antiqua" w:eastAsia="SimSun" w:hAnsi="Book Antiqua" w:cs="SimSun"/>
          <w:color w:val="000000"/>
          <w:sz w:val="24"/>
          <w:szCs w:val="24"/>
          <w:lang w:eastAsia="zh-CN"/>
        </w:rPr>
        <w:t>, Isa T, Ohtsubo M, Yasaka T, Furukawa M. Natural progression of untreated hepatolithiasis that shows no clinical signs at its initial presentation. </w:t>
      </w:r>
      <w:r w:rsidRPr="00E1636B">
        <w:rPr>
          <w:rFonts w:ascii="Book Antiqua" w:eastAsia="SimSun" w:hAnsi="Book Antiqua" w:cs="SimSun"/>
          <w:i/>
          <w:iCs/>
          <w:color w:val="000000"/>
          <w:sz w:val="24"/>
          <w:szCs w:val="24"/>
          <w:lang w:eastAsia="zh-CN"/>
        </w:rPr>
        <w:t>J Clin Gastroenterol</w:t>
      </w:r>
      <w:r w:rsidRPr="00E1636B">
        <w:rPr>
          <w:rFonts w:ascii="Book Antiqua" w:eastAsia="SimSun" w:hAnsi="Book Antiqua" w:cs="SimSun"/>
          <w:color w:val="000000"/>
          <w:sz w:val="24"/>
          <w:szCs w:val="24"/>
          <w:lang w:eastAsia="zh-CN"/>
        </w:rPr>
        <w:t> 2001; </w:t>
      </w:r>
      <w:r w:rsidRPr="00E1636B">
        <w:rPr>
          <w:rFonts w:ascii="Book Antiqua" w:eastAsia="SimSun" w:hAnsi="Book Antiqua" w:cs="SimSun"/>
          <w:b/>
          <w:bCs/>
          <w:color w:val="000000"/>
          <w:sz w:val="24"/>
          <w:szCs w:val="24"/>
          <w:lang w:eastAsia="zh-CN"/>
        </w:rPr>
        <w:t>33</w:t>
      </w:r>
      <w:r w:rsidRPr="00E1636B">
        <w:rPr>
          <w:rFonts w:ascii="Book Antiqua" w:eastAsia="SimSun" w:hAnsi="Book Antiqua" w:cs="SimSun"/>
          <w:color w:val="000000"/>
          <w:sz w:val="24"/>
          <w:szCs w:val="24"/>
          <w:lang w:eastAsia="zh-CN"/>
        </w:rPr>
        <w:t>: 114-117 [PMID: 11468436 DOI: 10.1097/00004836-200108000-00004]</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lastRenderedPageBreak/>
        <w:t xml:space="preserve">131 </w:t>
      </w:r>
      <w:r w:rsidRPr="00E1636B">
        <w:rPr>
          <w:rFonts w:ascii="Book Antiqua" w:hAnsi="Book Antiqua"/>
          <w:b/>
          <w:bCs/>
          <w:color w:val="000000"/>
          <w:sz w:val="24"/>
          <w:szCs w:val="24"/>
        </w:rPr>
        <w:t>Li HY</w:t>
      </w:r>
      <w:r w:rsidRPr="00E1636B">
        <w:rPr>
          <w:rFonts w:ascii="Book Antiqua" w:hAnsi="Book Antiqua"/>
          <w:color w:val="000000"/>
          <w:sz w:val="24"/>
          <w:szCs w:val="24"/>
        </w:rPr>
        <w:t>, Zhou SJ, Li M, Xiong D, Singh A, Guo QX, Liu CA, Gong JP. Diagnosis and cure experience of hepatolithiasis-associated intrahepatic cholangiocarcinoma in 66 patients.</w:t>
      </w:r>
      <w:r w:rsidRPr="00E1636B">
        <w:rPr>
          <w:rStyle w:val="apple-converted-space"/>
          <w:rFonts w:ascii="Book Antiqua" w:hAnsi="Book Antiqua"/>
          <w:color w:val="000000"/>
          <w:sz w:val="24"/>
          <w:szCs w:val="24"/>
        </w:rPr>
        <w:t> </w:t>
      </w:r>
      <w:r w:rsidRPr="00E1636B">
        <w:rPr>
          <w:rFonts w:ascii="Book Antiqua" w:hAnsi="Book Antiqua"/>
          <w:i/>
          <w:iCs/>
          <w:color w:val="000000"/>
          <w:sz w:val="24"/>
          <w:szCs w:val="24"/>
        </w:rPr>
        <w:t>Asian Pac J Cancer Prev</w:t>
      </w:r>
      <w:r w:rsidRPr="00E1636B">
        <w:rPr>
          <w:rStyle w:val="apple-converted-space"/>
          <w:rFonts w:ascii="Book Antiqua" w:hAnsi="Book Antiqua"/>
          <w:color w:val="000000"/>
          <w:sz w:val="24"/>
          <w:szCs w:val="24"/>
        </w:rPr>
        <w:t> </w:t>
      </w:r>
      <w:r w:rsidRPr="00E1636B">
        <w:rPr>
          <w:rFonts w:ascii="Book Antiqua" w:hAnsi="Book Antiqua"/>
          <w:color w:val="000000"/>
          <w:sz w:val="24"/>
          <w:szCs w:val="24"/>
        </w:rPr>
        <w:t>2012;</w:t>
      </w:r>
      <w:r w:rsidRPr="00E1636B">
        <w:rPr>
          <w:rStyle w:val="apple-converted-space"/>
          <w:rFonts w:ascii="Book Antiqua" w:hAnsi="Book Antiqua"/>
          <w:color w:val="000000"/>
          <w:sz w:val="24"/>
          <w:szCs w:val="24"/>
        </w:rPr>
        <w:t> </w:t>
      </w:r>
      <w:r w:rsidRPr="00E1636B">
        <w:rPr>
          <w:rFonts w:ascii="Book Antiqua" w:hAnsi="Book Antiqua"/>
          <w:b/>
          <w:bCs/>
          <w:color w:val="000000"/>
          <w:sz w:val="24"/>
          <w:szCs w:val="24"/>
        </w:rPr>
        <w:t>13</w:t>
      </w:r>
      <w:r w:rsidRPr="00E1636B">
        <w:rPr>
          <w:rFonts w:ascii="Book Antiqua" w:hAnsi="Book Antiqua"/>
          <w:color w:val="000000"/>
          <w:sz w:val="24"/>
          <w:szCs w:val="24"/>
        </w:rPr>
        <w:t>: 725-729 [PMID: 22524851 DOI: 10.7314/APJCP.2012.13.2.725]</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132 </w:t>
      </w:r>
      <w:r w:rsidRPr="00E1636B">
        <w:rPr>
          <w:rFonts w:ascii="Book Antiqua" w:eastAsia="SimSun" w:hAnsi="Book Antiqua" w:cs="SimSun"/>
          <w:b/>
          <w:bCs/>
          <w:color w:val="000000"/>
          <w:sz w:val="24"/>
          <w:szCs w:val="24"/>
          <w:lang w:eastAsia="zh-CN"/>
        </w:rPr>
        <w:t>Chen MF</w:t>
      </w:r>
      <w:r w:rsidRPr="00E1636B">
        <w:rPr>
          <w:rFonts w:ascii="Book Antiqua" w:eastAsia="SimSun" w:hAnsi="Book Antiqua" w:cs="SimSun"/>
          <w:color w:val="000000"/>
          <w:sz w:val="24"/>
          <w:szCs w:val="24"/>
          <w:lang w:eastAsia="zh-CN"/>
        </w:rPr>
        <w:t>, Jan YY, Hwang TL, Jeng LB, Yeh TS. Impact of concomitant hepatolithiasis on patients with peripheral cholangiocarcinoma. </w:t>
      </w:r>
      <w:r w:rsidRPr="00E1636B">
        <w:rPr>
          <w:rFonts w:ascii="Book Antiqua" w:eastAsia="SimSun" w:hAnsi="Book Antiqua" w:cs="SimSun"/>
          <w:i/>
          <w:iCs/>
          <w:color w:val="000000"/>
          <w:sz w:val="24"/>
          <w:szCs w:val="24"/>
          <w:lang w:eastAsia="zh-CN"/>
        </w:rPr>
        <w:t>Dig Dis Sci</w:t>
      </w:r>
      <w:r w:rsidRPr="00E1636B">
        <w:rPr>
          <w:rFonts w:ascii="Book Antiqua" w:eastAsia="SimSun" w:hAnsi="Book Antiqua" w:cs="SimSun"/>
          <w:color w:val="000000"/>
          <w:sz w:val="24"/>
          <w:szCs w:val="24"/>
          <w:lang w:eastAsia="zh-CN"/>
        </w:rPr>
        <w:t> 2000; </w:t>
      </w:r>
      <w:r w:rsidRPr="00E1636B">
        <w:rPr>
          <w:rFonts w:ascii="Book Antiqua" w:eastAsia="SimSun" w:hAnsi="Book Antiqua" w:cs="SimSun"/>
          <w:b/>
          <w:bCs/>
          <w:color w:val="000000"/>
          <w:sz w:val="24"/>
          <w:szCs w:val="24"/>
          <w:lang w:eastAsia="zh-CN"/>
        </w:rPr>
        <w:t>45</w:t>
      </w:r>
      <w:r w:rsidRPr="00E1636B">
        <w:rPr>
          <w:rFonts w:ascii="Book Antiqua" w:eastAsia="SimSun" w:hAnsi="Book Antiqua" w:cs="SimSun"/>
          <w:color w:val="000000"/>
          <w:sz w:val="24"/>
          <w:szCs w:val="24"/>
          <w:lang w:eastAsia="zh-CN"/>
        </w:rPr>
        <w:t>: 312-316 [PMID: 10711444 DOI: 10.1023/A: 1005460509677]</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133 </w:t>
      </w:r>
      <w:r w:rsidRPr="00E1636B">
        <w:rPr>
          <w:rFonts w:ascii="Book Antiqua" w:eastAsia="SimSun" w:hAnsi="Book Antiqua" w:cs="SimSun"/>
          <w:b/>
          <w:bCs/>
          <w:color w:val="000000"/>
          <w:sz w:val="24"/>
          <w:szCs w:val="24"/>
          <w:lang w:eastAsia="zh-CN"/>
        </w:rPr>
        <w:t>Lee CC</w:t>
      </w:r>
      <w:r w:rsidRPr="00E1636B">
        <w:rPr>
          <w:rFonts w:ascii="Book Antiqua" w:eastAsia="SimSun" w:hAnsi="Book Antiqua" w:cs="SimSun"/>
          <w:color w:val="000000"/>
          <w:sz w:val="24"/>
          <w:szCs w:val="24"/>
          <w:lang w:eastAsia="zh-CN"/>
        </w:rPr>
        <w:t>, Wu CY, Chen GH. What is the impact of coexistence of hepatolithiasis on cholangiocarcinoma? </w:t>
      </w:r>
      <w:r w:rsidRPr="00E1636B">
        <w:rPr>
          <w:rFonts w:ascii="Book Antiqua" w:eastAsia="SimSun" w:hAnsi="Book Antiqua" w:cs="SimSun"/>
          <w:i/>
          <w:iCs/>
          <w:color w:val="000000"/>
          <w:sz w:val="24"/>
          <w:szCs w:val="24"/>
          <w:lang w:eastAsia="zh-CN"/>
        </w:rPr>
        <w:t>J Gastroenterol Hepatol</w:t>
      </w:r>
      <w:r w:rsidRPr="00E1636B">
        <w:rPr>
          <w:rFonts w:ascii="Book Antiqua" w:eastAsia="SimSun" w:hAnsi="Book Antiqua" w:cs="SimSun"/>
          <w:color w:val="000000"/>
          <w:sz w:val="24"/>
          <w:szCs w:val="24"/>
          <w:lang w:eastAsia="zh-CN"/>
        </w:rPr>
        <w:t> 2002; </w:t>
      </w:r>
      <w:r w:rsidRPr="00E1636B">
        <w:rPr>
          <w:rFonts w:ascii="Book Antiqua" w:eastAsia="SimSun" w:hAnsi="Book Antiqua" w:cs="SimSun"/>
          <w:b/>
          <w:bCs/>
          <w:color w:val="000000"/>
          <w:sz w:val="24"/>
          <w:szCs w:val="24"/>
          <w:lang w:eastAsia="zh-CN"/>
        </w:rPr>
        <w:t>17</w:t>
      </w:r>
      <w:r w:rsidRPr="00E1636B">
        <w:rPr>
          <w:rFonts w:ascii="Book Antiqua" w:eastAsia="SimSun" w:hAnsi="Book Antiqua" w:cs="SimSun"/>
          <w:color w:val="000000"/>
          <w:sz w:val="24"/>
          <w:szCs w:val="24"/>
          <w:lang w:eastAsia="zh-CN"/>
        </w:rPr>
        <w:t>: 1015-1020 [PMID: 12167124 DOI: 10.1046/j.1440-1746.2002.02779.x]</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134 </w:t>
      </w:r>
      <w:r w:rsidRPr="00E1636B">
        <w:rPr>
          <w:rFonts w:ascii="Book Antiqua" w:eastAsia="SimSun" w:hAnsi="Book Antiqua" w:cs="SimSun"/>
          <w:b/>
          <w:bCs/>
          <w:color w:val="000000"/>
          <w:sz w:val="24"/>
          <w:szCs w:val="24"/>
          <w:lang w:eastAsia="zh-CN"/>
        </w:rPr>
        <w:t>Guglielmi A</w:t>
      </w:r>
      <w:r w:rsidRPr="00E1636B">
        <w:rPr>
          <w:rFonts w:ascii="Book Antiqua" w:eastAsia="SimSun" w:hAnsi="Book Antiqua" w:cs="SimSun"/>
          <w:color w:val="000000"/>
          <w:sz w:val="24"/>
          <w:szCs w:val="24"/>
          <w:lang w:eastAsia="zh-CN"/>
        </w:rPr>
        <w:t>, Ruzzenente A, Valdegamberi A, Bagante F, Conci S, Pinna AD, Ercolani G, Giuliante F, Capussotti L, Aldrighetti L, Iacono C. Hepatolithiasis-associated cholangiocarcinoma: results from a multi-institutional national database on a case series of 23 patients. </w:t>
      </w:r>
      <w:r w:rsidRPr="00E1636B">
        <w:rPr>
          <w:rFonts w:ascii="Book Antiqua" w:eastAsia="SimSun" w:hAnsi="Book Antiqua" w:cs="SimSun"/>
          <w:i/>
          <w:iCs/>
          <w:color w:val="000000"/>
          <w:sz w:val="24"/>
          <w:szCs w:val="24"/>
          <w:lang w:eastAsia="zh-CN"/>
        </w:rPr>
        <w:t>Eur J Surg Oncol</w:t>
      </w:r>
      <w:r w:rsidRPr="00E1636B">
        <w:rPr>
          <w:rFonts w:ascii="Book Antiqua" w:eastAsia="SimSun" w:hAnsi="Book Antiqua" w:cs="SimSun"/>
          <w:color w:val="000000"/>
          <w:sz w:val="24"/>
          <w:szCs w:val="24"/>
          <w:lang w:eastAsia="zh-CN"/>
        </w:rPr>
        <w:t> 2014; </w:t>
      </w:r>
      <w:r w:rsidRPr="00E1636B">
        <w:rPr>
          <w:rFonts w:ascii="Book Antiqua" w:eastAsia="SimSun" w:hAnsi="Book Antiqua" w:cs="SimSun"/>
          <w:b/>
          <w:bCs/>
          <w:color w:val="000000"/>
          <w:sz w:val="24"/>
          <w:szCs w:val="24"/>
          <w:lang w:eastAsia="zh-CN"/>
        </w:rPr>
        <w:t>40</w:t>
      </w:r>
      <w:r w:rsidRPr="00E1636B">
        <w:rPr>
          <w:rFonts w:ascii="Book Antiqua" w:eastAsia="SimSun" w:hAnsi="Book Antiqua" w:cs="SimSun"/>
          <w:color w:val="000000"/>
          <w:sz w:val="24"/>
          <w:szCs w:val="24"/>
          <w:lang w:eastAsia="zh-CN"/>
        </w:rPr>
        <w:t>: 567-575 [PMID: 24388409 DOI: 10.1016/j.ejso.2013.12.006]</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135 </w:t>
      </w:r>
      <w:r w:rsidRPr="00E1636B">
        <w:rPr>
          <w:rFonts w:ascii="Book Antiqua" w:eastAsia="SimSun" w:hAnsi="Book Antiqua" w:cs="SimSun"/>
          <w:b/>
          <w:bCs/>
          <w:color w:val="000000"/>
          <w:sz w:val="24"/>
          <w:szCs w:val="24"/>
          <w:lang w:eastAsia="zh-CN"/>
        </w:rPr>
        <w:t>Han SL</w:t>
      </w:r>
      <w:r w:rsidRPr="00E1636B">
        <w:rPr>
          <w:rFonts w:ascii="Book Antiqua" w:eastAsia="SimSun" w:hAnsi="Book Antiqua" w:cs="SimSun"/>
          <w:color w:val="000000"/>
          <w:sz w:val="24"/>
          <w:szCs w:val="24"/>
          <w:lang w:eastAsia="zh-CN"/>
        </w:rPr>
        <w:t>, Zhou HZ, Cheng J, Lan SH, Zhang PC, Chen ZJ, Zeng QQ. Diagnosis and surgical treatment of intrahepatic hepatolithiasis associated cholangiocarcinoma. </w:t>
      </w:r>
      <w:r w:rsidRPr="00E1636B">
        <w:rPr>
          <w:rFonts w:ascii="Book Antiqua" w:eastAsia="SimSun" w:hAnsi="Book Antiqua" w:cs="SimSun"/>
          <w:i/>
          <w:iCs/>
          <w:color w:val="000000"/>
          <w:sz w:val="24"/>
          <w:szCs w:val="24"/>
          <w:lang w:eastAsia="zh-CN"/>
        </w:rPr>
        <w:t>Asian J Surg</w:t>
      </w:r>
      <w:r w:rsidRPr="00E1636B">
        <w:rPr>
          <w:rFonts w:ascii="Book Antiqua" w:eastAsia="SimSun" w:hAnsi="Book Antiqua" w:cs="SimSun"/>
          <w:color w:val="000000"/>
          <w:sz w:val="24"/>
          <w:szCs w:val="24"/>
          <w:lang w:eastAsia="zh-CN"/>
        </w:rPr>
        <w:t> 2009; </w:t>
      </w:r>
      <w:r w:rsidRPr="00E1636B">
        <w:rPr>
          <w:rFonts w:ascii="Book Antiqua" w:eastAsia="SimSun" w:hAnsi="Book Antiqua" w:cs="SimSun"/>
          <w:b/>
          <w:bCs/>
          <w:color w:val="000000"/>
          <w:sz w:val="24"/>
          <w:szCs w:val="24"/>
          <w:lang w:eastAsia="zh-CN"/>
        </w:rPr>
        <w:t>32</w:t>
      </w:r>
      <w:r w:rsidRPr="00E1636B">
        <w:rPr>
          <w:rFonts w:ascii="Book Antiqua" w:eastAsia="SimSun" w:hAnsi="Book Antiqua" w:cs="SimSun"/>
          <w:color w:val="000000"/>
          <w:sz w:val="24"/>
          <w:szCs w:val="24"/>
          <w:lang w:eastAsia="zh-CN"/>
        </w:rPr>
        <w:t>: 1-6 [PMID: 19321395 DOI: 10.1016/S1015-9584(09)60001-4]</w:t>
      </w:r>
    </w:p>
    <w:p w:rsidR="00A86AFC" w:rsidRPr="00E1636B" w:rsidRDefault="00A86AFC" w:rsidP="00445758">
      <w:pPr>
        <w:kinsoku w:val="0"/>
        <w:wordWrap/>
        <w:overflowPunct w:val="0"/>
        <w:adjustRightInd w:val="0"/>
        <w:snapToGrid w:val="0"/>
        <w:spacing w:after="0" w:line="360" w:lineRule="auto"/>
        <w:rPr>
          <w:rFonts w:ascii="Book Antiqua" w:eastAsia="SimSun" w:hAnsi="Book Antiqua" w:cs="SimSun"/>
          <w:color w:val="000000"/>
          <w:sz w:val="24"/>
          <w:szCs w:val="24"/>
          <w:lang w:eastAsia="zh-CN"/>
        </w:rPr>
      </w:pPr>
      <w:r w:rsidRPr="00E1636B">
        <w:rPr>
          <w:rFonts w:ascii="Book Antiqua" w:eastAsia="SimSun" w:hAnsi="Book Antiqua" w:cs="SimSun"/>
          <w:color w:val="000000"/>
          <w:sz w:val="24"/>
          <w:szCs w:val="24"/>
          <w:lang w:eastAsia="zh-CN"/>
        </w:rPr>
        <w:t>136 </w:t>
      </w:r>
      <w:r w:rsidRPr="00E1636B">
        <w:rPr>
          <w:rFonts w:ascii="Book Antiqua" w:eastAsia="SimSun" w:hAnsi="Book Antiqua" w:cs="SimSun"/>
          <w:b/>
          <w:bCs/>
          <w:color w:val="000000"/>
          <w:sz w:val="24"/>
          <w:szCs w:val="24"/>
          <w:lang w:eastAsia="zh-CN"/>
        </w:rPr>
        <w:t>Zhang GW</w:t>
      </w:r>
      <w:r w:rsidRPr="00E1636B">
        <w:rPr>
          <w:rFonts w:ascii="Book Antiqua" w:eastAsia="SimSun" w:hAnsi="Book Antiqua" w:cs="SimSun"/>
          <w:color w:val="000000"/>
          <w:sz w:val="24"/>
          <w:szCs w:val="24"/>
          <w:lang w:eastAsia="zh-CN"/>
        </w:rPr>
        <w:t>, Lin JH, Qian JP, Zhou J. Identification of prognostic factors and the impact of palliative resection on survival of patients with stage IV hepatolithiasis-associated intrahepatic cholangiocarcinoma. </w:t>
      </w:r>
      <w:r w:rsidRPr="00E1636B">
        <w:rPr>
          <w:rFonts w:ascii="Book Antiqua" w:eastAsia="SimSun" w:hAnsi="Book Antiqua" w:cs="SimSun"/>
          <w:i/>
          <w:iCs/>
          <w:color w:val="000000"/>
          <w:sz w:val="24"/>
          <w:szCs w:val="24"/>
          <w:lang w:eastAsia="zh-CN"/>
        </w:rPr>
        <w:t>J Surg Oncol</w:t>
      </w:r>
      <w:r w:rsidRPr="00E1636B">
        <w:rPr>
          <w:rFonts w:ascii="Book Antiqua" w:eastAsia="SimSun" w:hAnsi="Book Antiqua" w:cs="SimSun"/>
          <w:color w:val="000000"/>
          <w:sz w:val="24"/>
          <w:szCs w:val="24"/>
          <w:lang w:eastAsia="zh-CN"/>
        </w:rPr>
        <w:t> 2014; </w:t>
      </w:r>
      <w:r w:rsidRPr="00E1636B">
        <w:rPr>
          <w:rFonts w:ascii="Book Antiqua" w:eastAsia="SimSun" w:hAnsi="Book Antiqua" w:cs="SimSun"/>
          <w:b/>
          <w:bCs/>
          <w:color w:val="000000"/>
          <w:sz w:val="24"/>
          <w:szCs w:val="24"/>
          <w:lang w:eastAsia="zh-CN"/>
        </w:rPr>
        <w:t>109</w:t>
      </w:r>
      <w:r w:rsidRPr="00E1636B">
        <w:rPr>
          <w:rFonts w:ascii="Book Antiqua" w:eastAsia="SimSun" w:hAnsi="Book Antiqua" w:cs="SimSun"/>
          <w:color w:val="000000"/>
          <w:sz w:val="24"/>
          <w:szCs w:val="24"/>
          <w:lang w:eastAsia="zh-CN"/>
        </w:rPr>
        <w:t>: 494-499 [PMID: 24310342 DOI: 10.1002/jso.23524]</w:t>
      </w:r>
    </w:p>
    <w:p w:rsidR="00A86AFC" w:rsidRPr="00E1636B" w:rsidRDefault="00A86AFC" w:rsidP="00445758">
      <w:pPr>
        <w:kinsoku w:val="0"/>
        <w:wordWrap/>
        <w:overflowPunct w:val="0"/>
        <w:adjustRightInd w:val="0"/>
        <w:snapToGrid w:val="0"/>
        <w:spacing w:after="0" w:line="360" w:lineRule="auto"/>
        <w:rPr>
          <w:rFonts w:ascii="Book Antiqua" w:hAnsi="Book Antiqua"/>
          <w:sz w:val="24"/>
          <w:szCs w:val="24"/>
        </w:rPr>
      </w:pPr>
    </w:p>
    <w:p w:rsidR="00A86AFC" w:rsidRDefault="00A86AFC" w:rsidP="00445758">
      <w:pPr>
        <w:kinsoku w:val="0"/>
        <w:wordWrap/>
        <w:overflowPunct w:val="0"/>
        <w:adjustRightInd w:val="0"/>
        <w:snapToGrid w:val="0"/>
        <w:spacing w:after="0" w:line="360" w:lineRule="auto"/>
        <w:jc w:val="right"/>
        <w:rPr>
          <w:rFonts w:ascii="Book Antiqua" w:hAnsi="Book Antiqua"/>
          <w:b/>
          <w:bCs/>
          <w:sz w:val="24"/>
        </w:rPr>
      </w:pPr>
      <w:r w:rsidRPr="005F7DC3">
        <w:rPr>
          <w:rFonts w:ascii="Book Antiqua" w:hAnsi="Book Antiqua"/>
          <w:b/>
          <w:bCs/>
          <w:sz w:val="24"/>
        </w:rPr>
        <w:t xml:space="preserve">P-Reviewer: </w:t>
      </w:r>
      <w:r w:rsidRPr="00A86AFC">
        <w:rPr>
          <w:rFonts w:ascii="Book Antiqua" w:hAnsi="Book Antiqua"/>
          <w:bCs/>
          <w:sz w:val="24"/>
        </w:rPr>
        <w:t>Liu</w:t>
      </w:r>
      <w:r w:rsidRPr="00A86AFC">
        <w:rPr>
          <w:rFonts w:ascii="Book Antiqua" w:eastAsia="SimSun" w:hAnsi="Book Antiqua" w:hint="eastAsia"/>
          <w:bCs/>
          <w:sz w:val="24"/>
          <w:lang w:eastAsia="zh-CN"/>
        </w:rPr>
        <w:t xml:space="preserve"> </w:t>
      </w:r>
      <w:r w:rsidRPr="00A86AFC">
        <w:rPr>
          <w:rFonts w:ascii="Book Antiqua" w:hAnsi="Book Antiqua"/>
          <w:bCs/>
          <w:sz w:val="24"/>
        </w:rPr>
        <w:t>Y</w:t>
      </w:r>
      <w:r w:rsidRPr="00A86AFC">
        <w:rPr>
          <w:rFonts w:ascii="Book Antiqua" w:eastAsia="SimSun" w:hAnsi="Book Antiqua" w:hint="eastAsia"/>
          <w:bCs/>
          <w:sz w:val="24"/>
          <w:lang w:eastAsia="zh-CN"/>
        </w:rPr>
        <w:t xml:space="preserve">, </w:t>
      </w:r>
      <w:r w:rsidRPr="00A86AFC">
        <w:rPr>
          <w:rFonts w:ascii="Book Antiqua" w:eastAsia="SimSun" w:hAnsi="Book Antiqua"/>
          <w:bCs/>
          <w:sz w:val="24"/>
          <w:lang w:eastAsia="zh-CN"/>
        </w:rPr>
        <w:t>Zhou YM</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A86AFC" w:rsidRDefault="00A86AFC" w:rsidP="00445758">
      <w:pPr>
        <w:pStyle w:val="a"/>
        <w:kinsoku w:val="0"/>
        <w:wordWrap/>
        <w:overflowPunct w:val="0"/>
        <w:adjustRightInd w:val="0"/>
        <w:snapToGrid w:val="0"/>
        <w:spacing w:line="360" w:lineRule="auto"/>
        <w:rPr>
          <w:rFonts w:ascii="Book Antiqua" w:eastAsia="함초롬바탕" w:hAnsi="Book Antiqua" w:cs="Times New Roman"/>
          <w:color w:val="000000" w:themeColor="text1"/>
          <w:sz w:val="24"/>
          <w:szCs w:val="24"/>
        </w:rPr>
      </w:pPr>
      <w:r>
        <w:rPr>
          <w:rFonts w:ascii="Book Antiqua" w:eastAsia="함초롬바탕" w:hAnsi="Book Antiqua" w:cs="Times New Roman"/>
          <w:color w:val="000000" w:themeColor="text1"/>
          <w:sz w:val="24"/>
          <w:szCs w:val="24"/>
        </w:rPr>
        <w:br w:type="page"/>
      </w:r>
    </w:p>
    <w:p w:rsidR="006A6314" w:rsidRPr="00A86AFC" w:rsidRDefault="00A86AFC" w:rsidP="00445758">
      <w:pPr>
        <w:kinsoku w:val="0"/>
        <w:wordWrap/>
        <w:overflowPunct w:val="0"/>
        <w:adjustRightInd w:val="0"/>
        <w:snapToGrid w:val="0"/>
        <w:spacing w:after="0" w:line="360" w:lineRule="auto"/>
        <w:rPr>
          <w:rFonts w:ascii="Book Antiqua" w:eastAsia="Arial Unicode MS" w:hAnsi="Book Antiqua" w:cs="Arial Unicode MS"/>
          <w:b/>
          <w:color w:val="000000" w:themeColor="text1"/>
          <w:sz w:val="24"/>
          <w:szCs w:val="24"/>
        </w:rPr>
      </w:pPr>
      <w:r w:rsidRPr="00A86AFC">
        <w:rPr>
          <w:rFonts w:ascii="Book Antiqua" w:eastAsia="Arial Unicode MS" w:hAnsi="Book Antiqua" w:cs="Arial Unicode MS"/>
          <w:b/>
          <w:color w:val="000000" w:themeColor="text1"/>
          <w:sz w:val="24"/>
          <w:szCs w:val="24"/>
        </w:rPr>
        <w:lastRenderedPageBreak/>
        <w:t>Table 1</w:t>
      </w:r>
      <w:r w:rsidR="00940531" w:rsidRPr="00A86AFC">
        <w:rPr>
          <w:rFonts w:ascii="Book Antiqua" w:eastAsia="Arial Unicode MS" w:hAnsi="Book Antiqua" w:cs="Arial Unicode MS"/>
          <w:b/>
          <w:color w:val="000000" w:themeColor="text1"/>
          <w:sz w:val="24"/>
          <w:szCs w:val="24"/>
        </w:rPr>
        <w:t xml:space="preserve"> </w:t>
      </w:r>
      <w:r w:rsidR="006A6314" w:rsidRPr="00A86AFC">
        <w:rPr>
          <w:rFonts w:ascii="Book Antiqua" w:eastAsia="Arial Unicode MS" w:hAnsi="Book Antiqua" w:cs="Arial Unicode MS"/>
          <w:b/>
          <w:color w:val="000000" w:themeColor="text1"/>
          <w:sz w:val="24"/>
          <w:szCs w:val="24"/>
        </w:rPr>
        <w:t>Concomittant cholangiocarcinoma in hepatic resection for hepatolithiasis</w:t>
      </w:r>
    </w:p>
    <w:tbl>
      <w:tblPr>
        <w:tblW w:w="7510" w:type="dxa"/>
        <w:tblInd w:w="728" w:type="dxa"/>
        <w:tblBorders>
          <w:top w:val="single" w:sz="4" w:space="0" w:color="auto"/>
          <w:bottom w:val="single" w:sz="4" w:space="0" w:color="auto"/>
        </w:tblBorders>
        <w:tblLayout w:type="fixed"/>
        <w:tblCellMar>
          <w:left w:w="99" w:type="dxa"/>
          <w:right w:w="99" w:type="dxa"/>
        </w:tblCellMar>
        <w:tblLook w:val="0000" w:firstRow="0" w:lastRow="0" w:firstColumn="0" w:lastColumn="0" w:noHBand="0" w:noVBand="0"/>
      </w:tblPr>
      <w:tblGrid>
        <w:gridCol w:w="1923"/>
        <w:gridCol w:w="992"/>
        <w:gridCol w:w="1559"/>
        <w:gridCol w:w="1276"/>
        <w:gridCol w:w="1760"/>
      </w:tblGrid>
      <w:tr w:rsidR="00A86AFC" w:rsidRPr="00A86AFC" w:rsidTr="001739D3">
        <w:trPr>
          <w:trHeight w:val="270"/>
        </w:trPr>
        <w:tc>
          <w:tcPr>
            <w:tcW w:w="1923" w:type="dxa"/>
            <w:tcBorders>
              <w:top w:val="single" w:sz="12" w:space="0" w:color="auto"/>
              <w:bottom w:val="single" w:sz="4" w:space="0" w:color="auto"/>
            </w:tcBorders>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SimSun" w:hAnsi="Book Antiqua" w:cs="Arial"/>
                <w:b/>
                <w:color w:val="000000" w:themeColor="text1"/>
                <w:kern w:val="0"/>
                <w:sz w:val="24"/>
                <w:szCs w:val="24"/>
                <w:lang w:eastAsia="zh-CN"/>
              </w:rPr>
            </w:pPr>
            <w:r>
              <w:rPr>
                <w:rFonts w:ascii="Book Antiqua" w:eastAsia="SimSun" w:hAnsi="Book Antiqua" w:cs="Arial" w:hint="eastAsia"/>
                <w:b/>
                <w:color w:val="000000" w:themeColor="text1"/>
                <w:kern w:val="0"/>
                <w:sz w:val="24"/>
                <w:szCs w:val="24"/>
                <w:lang w:eastAsia="zh-CN"/>
              </w:rPr>
              <w:t>Ref.</w:t>
            </w:r>
          </w:p>
        </w:tc>
        <w:tc>
          <w:tcPr>
            <w:tcW w:w="992" w:type="dxa"/>
            <w:tcBorders>
              <w:top w:val="single" w:sz="12" w:space="0" w:color="auto"/>
              <w:bottom w:val="single" w:sz="4" w:space="0" w:color="auto"/>
            </w:tcBorders>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Year</w:t>
            </w:r>
          </w:p>
        </w:tc>
        <w:tc>
          <w:tcPr>
            <w:tcW w:w="1559" w:type="dxa"/>
            <w:tcBorders>
              <w:top w:val="single" w:sz="12" w:space="0" w:color="auto"/>
              <w:bottom w:val="single" w:sz="4" w:space="0" w:color="auto"/>
            </w:tcBorders>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Nation</w:t>
            </w:r>
          </w:p>
        </w:tc>
        <w:tc>
          <w:tcPr>
            <w:tcW w:w="1276" w:type="dxa"/>
            <w:tcBorders>
              <w:top w:val="single" w:sz="12" w:space="0" w:color="auto"/>
              <w:bottom w:val="single" w:sz="4" w:space="0" w:color="auto"/>
            </w:tcBorders>
            <w:noWrap/>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Case</w:t>
            </w:r>
            <w:r>
              <w:rPr>
                <w:rFonts w:ascii="Book Antiqua" w:eastAsia="SimSun" w:hAnsi="Book Antiqua" w:cs="Arial" w:hint="eastAsia"/>
                <w:b/>
                <w:color w:val="000000" w:themeColor="text1"/>
                <w:kern w:val="0"/>
                <w:sz w:val="24"/>
                <w:szCs w:val="24"/>
                <w:lang w:eastAsia="zh-CN"/>
              </w:rPr>
              <w:t xml:space="preserve"> </w:t>
            </w:r>
            <w:r w:rsidRPr="00A86AFC">
              <w:rPr>
                <w:rFonts w:ascii="Book Antiqua" w:eastAsia="Dotum" w:hAnsi="Book Antiqua" w:cs="Arial"/>
                <w:b/>
                <w:color w:val="000000" w:themeColor="text1"/>
                <w:kern w:val="0"/>
                <w:sz w:val="24"/>
                <w:szCs w:val="24"/>
              </w:rPr>
              <w:t>(</w:t>
            </w:r>
            <w:r w:rsidRPr="00A86AFC">
              <w:rPr>
                <w:rFonts w:ascii="Book Antiqua" w:eastAsia="Dotum" w:hAnsi="Book Antiqua" w:cs="Arial"/>
                <w:b/>
                <w:i/>
                <w:color w:val="000000" w:themeColor="text1"/>
                <w:kern w:val="0"/>
                <w:sz w:val="24"/>
                <w:szCs w:val="24"/>
              </w:rPr>
              <w:t>n</w:t>
            </w:r>
            <w:r w:rsidRPr="00A86AFC">
              <w:rPr>
                <w:rFonts w:ascii="Book Antiqua" w:eastAsia="Dotum" w:hAnsi="Book Antiqua" w:cs="Arial"/>
                <w:b/>
                <w:color w:val="000000" w:themeColor="text1"/>
                <w:kern w:val="0"/>
                <w:sz w:val="24"/>
                <w:szCs w:val="24"/>
              </w:rPr>
              <w:t>)</w:t>
            </w:r>
          </w:p>
        </w:tc>
        <w:tc>
          <w:tcPr>
            <w:tcW w:w="1760" w:type="dxa"/>
            <w:tcBorders>
              <w:top w:val="single" w:sz="12" w:space="0" w:color="auto"/>
              <w:bottom w:val="single" w:sz="4" w:space="0" w:color="auto"/>
            </w:tcBorders>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Incidence</w:t>
            </w:r>
          </w:p>
        </w:tc>
      </w:tr>
      <w:tr w:rsidR="00A86AFC" w:rsidRPr="00031CB9" w:rsidTr="001739D3">
        <w:trPr>
          <w:trHeight w:val="416"/>
        </w:trPr>
        <w:tc>
          <w:tcPr>
            <w:tcW w:w="1923" w:type="dxa"/>
            <w:tcBorders>
              <w:top w:val="single" w:sz="4" w:space="0" w:color="auto"/>
            </w:tcBorders>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Zhu</w:t>
            </w:r>
            <w:r>
              <w:rPr>
                <w:rFonts w:ascii="Book Antiqua" w:eastAsia="SimSun" w:hAnsi="Book Antiqua" w:cs="Arial" w:hint="eastAsia"/>
                <w:color w:val="000000" w:themeColor="text1"/>
                <w:kern w:val="0"/>
                <w:sz w:val="24"/>
                <w:szCs w:val="24"/>
                <w:lang w:eastAsia="zh-CN"/>
              </w:rPr>
              <w:t xml:space="preserve"> </w:t>
            </w:r>
            <w:r w:rsidRPr="00A86AFC">
              <w:rPr>
                <w:rFonts w:ascii="Book Antiqua" w:eastAsia="SimSun" w:hAnsi="Book Antiqua" w:cs="Arial" w:hint="eastAsia"/>
                <w:i/>
                <w:color w:val="000000" w:themeColor="text1"/>
                <w:kern w:val="0"/>
                <w:sz w:val="24"/>
                <w:szCs w:val="24"/>
                <w:lang w:eastAsia="zh-CN"/>
              </w:rPr>
              <w:t>et al</w:t>
            </w:r>
            <w:r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34</w:t>
            </w:r>
            <w:r>
              <w:rPr>
                <w:rFonts w:ascii="Book Antiqua" w:eastAsia="SimSun" w:hAnsi="Book Antiqua" w:cs="Arial" w:hint="eastAsia"/>
                <w:color w:val="000000" w:themeColor="text1"/>
                <w:kern w:val="0"/>
                <w:sz w:val="24"/>
                <w:szCs w:val="24"/>
                <w:vertAlign w:val="superscript"/>
                <w:lang w:eastAsia="zh-CN"/>
              </w:rPr>
              <w:t>]</w:t>
            </w:r>
          </w:p>
        </w:tc>
        <w:tc>
          <w:tcPr>
            <w:tcW w:w="992" w:type="dxa"/>
            <w:tcBorders>
              <w:top w:val="single" w:sz="4" w:space="0" w:color="auto"/>
            </w:tcBorders>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2014</w:t>
            </w:r>
          </w:p>
        </w:tc>
        <w:tc>
          <w:tcPr>
            <w:tcW w:w="1559" w:type="dxa"/>
            <w:tcBorders>
              <w:top w:val="single" w:sz="4" w:space="0" w:color="auto"/>
            </w:tcBorders>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China</w:t>
            </w:r>
          </w:p>
        </w:tc>
        <w:tc>
          <w:tcPr>
            <w:tcW w:w="1276" w:type="dxa"/>
            <w:tcBorders>
              <w:top w:val="single" w:sz="4" w:space="0" w:color="auto"/>
            </w:tcBorders>
            <w:noWrap/>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Pr>
                <w:rFonts w:ascii="Book Antiqua" w:eastAsia="Dotum" w:hAnsi="Book Antiqua" w:cs="Arial"/>
                <w:color w:val="000000" w:themeColor="text1"/>
                <w:kern w:val="0"/>
                <w:sz w:val="24"/>
                <w:szCs w:val="24"/>
              </w:rPr>
              <w:t>2</w:t>
            </w:r>
            <w:r w:rsidRPr="00031CB9">
              <w:rPr>
                <w:rFonts w:ascii="Book Antiqua" w:eastAsia="Dotum" w:hAnsi="Book Antiqua" w:cs="Arial"/>
                <w:color w:val="000000" w:themeColor="text1"/>
                <w:kern w:val="0"/>
                <w:sz w:val="24"/>
                <w:szCs w:val="24"/>
              </w:rPr>
              <w:t>056</w:t>
            </w:r>
          </w:p>
        </w:tc>
        <w:tc>
          <w:tcPr>
            <w:tcW w:w="1760" w:type="dxa"/>
            <w:tcBorders>
              <w:top w:val="single" w:sz="4" w:space="0" w:color="auto"/>
            </w:tcBorders>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107 (5.2</w:t>
            </w:r>
            <w:r>
              <w:rPr>
                <w:rFonts w:ascii="Book Antiqua" w:eastAsia="Dotum" w:hAnsi="Book Antiqua" w:cs="Arial"/>
                <w:color w:val="000000" w:themeColor="text1"/>
                <w:kern w:val="0"/>
                <w:sz w:val="24"/>
                <w:szCs w:val="24"/>
              </w:rPr>
              <w:t>)</w:t>
            </w:r>
          </w:p>
        </w:tc>
      </w:tr>
      <w:tr w:rsidR="00A86AFC" w:rsidRPr="00031CB9" w:rsidTr="001739D3">
        <w:trPr>
          <w:trHeight w:val="416"/>
        </w:trPr>
        <w:tc>
          <w:tcPr>
            <w:tcW w:w="1923" w:type="dxa"/>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Lin</w:t>
            </w:r>
            <w:r>
              <w:rPr>
                <w:rFonts w:ascii="Book Antiqua" w:eastAsia="SimSun" w:hAnsi="Book Antiqua" w:cs="Arial" w:hint="eastAsia"/>
                <w:color w:val="000000" w:themeColor="text1"/>
                <w:kern w:val="0"/>
                <w:sz w:val="24"/>
                <w:szCs w:val="24"/>
                <w:lang w:eastAsia="zh-CN"/>
              </w:rPr>
              <w:t xml:space="preserve"> </w:t>
            </w:r>
            <w:r w:rsidRPr="00A86AFC">
              <w:rPr>
                <w:rFonts w:ascii="Book Antiqua" w:eastAsia="SimSun" w:hAnsi="Book Antiqua" w:cs="Arial" w:hint="eastAsia"/>
                <w:i/>
                <w:color w:val="000000" w:themeColor="text1"/>
                <w:kern w:val="0"/>
                <w:sz w:val="24"/>
                <w:szCs w:val="24"/>
                <w:lang w:eastAsia="zh-CN"/>
              </w:rPr>
              <w:t>et al</w:t>
            </w:r>
            <w:r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32</w:t>
            </w:r>
            <w:r>
              <w:rPr>
                <w:rFonts w:ascii="Book Antiqua" w:eastAsia="SimSun" w:hAnsi="Book Antiqua" w:cs="Arial" w:hint="eastAsia"/>
                <w:color w:val="000000" w:themeColor="text1"/>
                <w:kern w:val="0"/>
                <w:sz w:val="24"/>
                <w:szCs w:val="24"/>
                <w:vertAlign w:val="superscript"/>
                <w:lang w:eastAsia="zh-CN"/>
              </w:rPr>
              <w:t>]</w:t>
            </w:r>
          </w:p>
        </w:tc>
        <w:tc>
          <w:tcPr>
            <w:tcW w:w="992"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2013</w:t>
            </w:r>
          </w:p>
        </w:tc>
        <w:tc>
          <w:tcPr>
            <w:tcW w:w="1559"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Taiwan</w:t>
            </w:r>
          </w:p>
        </w:tc>
        <w:tc>
          <w:tcPr>
            <w:tcW w:w="1276" w:type="dxa"/>
            <w:noWrap/>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211</w:t>
            </w:r>
          </w:p>
        </w:tc>
        <w:tc>
          <w:tcPr>
            <w:tcW w:w="1760"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10 (4.7</w:t>
            </w:r>
            <w:r>
              <w:rPr>
                <w:rFonts w:ascii="Book Antiqua" w:eastAsia="Dotum" w:hAnsi="Book Antiqua" w:cs="Arial"/>
                <w:color w:val="000000" w:themeColor="text1"/>
                <w:kern w:val="0"/>
                <w:sz w:val="24"/>
                <w:szCs w:val="24"/>
              </w:rPr>
              <w:t>)</w:t>
            </w:r>
          </w:p>
        </w:tc>
      </w:tr>
      <w:tr w:rsidR="00A86AFC" w:rsidRPr="00031CB9" w:rsidTr="001739D3">
        <w:trPr>
          <w:trHeight w:val="416"/>
        </w:trPr>
        <w:tc>
          <w:tcPr>
            <w:tcW w:w="1923" w:type="dxa"/>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Tabrizian</w:t>
            </w:r>
            <w:r>
              <w:rPr>
                <w:rFonts w:ascii="Book Antiqua" w:eastAsia="SimSun" w:hAnsi="Book Antiqua" w:cs="Arial" w:hint="eastAsia"/>
                <w:color w:val="000000" w:themeColor="text1"/>
                <w:kern w:val="0"/>
                <w:sz w:val="24"/>
                <w:szCs w:val="24"/>
                <w:lang w:eastAsia="zh-CN"/>
              </w:rPr>
              <w:t xml:space="preserve"> </w:t>
            </w:r>
            <w:r w:rsidRPr="00A86AFC">
              <w:rPr>
                <w:rFonts w:ascii="Book Antiqua" w:eastAsia="SimSun" w:hAnsi="Book Antiqua" w:cs="Arial" w:hint="eastAsia"/>
                <w:i/>
                <w:color w:val="000000" w:themeColor="text1"/>
                <w:kern w:val="0"/>
                <w:sz w:val="24"/>
                <w:szCs w:val="24"/>
                <w:lang w:eastAsia="zh-CN"/>
              </w:rPr>
              <w:t>et al</w:t>
            </w:r>
            <w:r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35</w:t>
            </w:r>
            <w:r>
              <w:rPr>
                <w:rFonts w:ascii="Book Antiqua" w:eastAsia="SimSun" w:hAnsi="Book Antiqua" w:cs="Arial" w:hint="eastAsia"/>
                <w:color w:val="000000" w:themeColor="text1"/>
                <w:kern w:val="0"/>
                <w:sz w:val="24"/>
                <w:szCs w:val="24"/>
                <w:vertAlign w:val="superscript"/>
                <w:lang w:eastAsia="zh-CN"/>
              </w:rPr>
              <w:t>]</w:t>
            </w:r>
          </w:p>
        </w:tc>
        <w:tc>
          <w:tcPr>
            <w:tcW w:w="992"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2012</w:t>
            </w:r>
          </w:p>
        </w:tc>
        <w:tc>
          <w:tcPr>
            <w:tcW w:w="1559"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Italy</w:t>
            </w:r>
          </w:p>
        </w:tc>
        <w:tc>
          <w:tcPr>
            <w:tcW w:w="1276" w:type="dxa"/>
            <w:noWrap/>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30</w:t>
            </w:r>
          </w:p>
        </w:tc>
        <w:tc>
          <w:tcPr>
            <w:tcW w:w="1760"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7 (23.3</w:t>
            </w:r>
            <w:r>
              <w:rPr>
                <w:rFonts w:ascii="Book Antiqua" w:eastAsia="Dotum" w:hAnsi="Book Antiqua" w:cs="Arial"/>
                <w:color w:val="000000" w:themeColor="text1"/>
                <w:kern w:val="0"/>
                <w:sz w:val="24"/>
                <w:szCs w:val="24"/>
              </w:rPr>
              <w:t>)</w:t>
            </w:r>
          </w:p>
        </w:tc>
      </w:tr>
      <w:tr w:rsidR="00A86AFC" w:rsidRPr="00031CB9" w:rsidTr="001739D3">
        <w:trPr>
          <w:trHeight w:val="416"/>
        </w:trPr>
        <w:tc>
          <w:tcPr>
            <w:tcW w:w="1923" w:type="dxa"/>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Cheon</w:t>
            </w:r>
            <w:r>
              <w:rPr>
                <w:rFonts w:ascii="Book Antiqua" w:eastAsia="SimSun" w:hAnsi="Book Antiqua" w:cs="Arial" w:hint="eastAsia"/>
                <w:color w:val="000000" w:themeColor="text1"/>
                <w:kern w:val="0"/>
                <w:sz w:val="24"/>
                <w:szCs w:val="24"/>
                <w:lang w:eastAsia="zh-CN"/>
              </w:rPr>
              <w:t xml:space="preserve"> </w:t>
            </w:r>
            <w:r w:rsidRPr="00A86AFC">
              <w:rPr>
                <w:rFonts w:ascii="Book Antiqua" w:eastAsia="SimSun" w:hAnsi="Book Antiqua" w:cs="Arial" w:hint="eastAsia"/>
                <w:i/>
                <w:color w:val="000000" w:themeColor="text1"/>
                <w:kern w:val="0"/>
                <w:sz w:val="24"/>
                <w:szCs w:val="24"/>
                <w:lang w:eastAsia="zh-CN"/>
              </w:rPr>
              <w:t>et al</w:t>
            </w:r>
            <w:r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30</w:t>
            </w:r>
            <w:r>
              <w:rPr>
                <w:rFonts w:ascii="Book Antiqua" w:eastAsia="SimSun" w:hAnsi="Book Antiqua" w:cs="Arial" w:hint="eastAsia"/>
                <w:color w:val="000000" w:themeColor="text1"/>
                <w:kern w:val="0"/>
                <w:sz w:val="24"/>
                <w:szCs w:val="24"/>
                <w:vertAlign w:val="superscript"/>
                <w:lang w:eastAsia="zh-CN"/>
              </w:rPr>
              <w:t>]</w:t>
            </w:r>
          </w:p>
        </w:tc>
        <w:tc>
          <w:tcPr>
            <w:tcW w:w="992"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2009</w:t>
            </w:r>
          </w:p>
        </w:tc>
        <w:tc>
          <w:tcPr>
            <w:tcW w:w="1559"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Pr>
                <w:rFonts w:ascii="Book Antiqua" w:eastAsia="SimSun" w:hAnsi="Book Antiqua" w:cs="Arial" w:hint="eastAsia"/>
                <w:color w:val="000000" w:themeColor="text1"/>
                <w:kern w:val="0"/>
                <w:sz w:val="24"/>
                <w:szCs w:val="24"/>
                <w:lang w:eastAsia="zh-CN"/>
              </w:rPr>
              <w:t xml:space="preserve">South </w:t>
            </w:r>
            <w:r w:rsidRPr="00031CB9">
              <w:rPr>
                <w:rFonts w:ascii="Book Antiqua" w:eastAsia="Dotum" w:hAnsi="Book Antiqua" w:cs="Arial"/>
                <w:color w:val="000000" w:themeColor="text1"/>
                <w:kern w:val="0"/>
                <w:sz w:val="24"/>
                <w:szCs w:val="24"/>
              </w:rPr>
              <w:t>Korea</w:t>
            </w:r>
          </w:p>
        </w:tc>
        <w:tc>
          <w:tcPr>
            <w:tcW w:w="1276" w:type="dxa"/>
            <w:noWrap/>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90</w:t>
            </w:r>
          </w:p>
        </w:tc>
        <w:tc>
          <w:tcPr>
            <w:tcW w:w="1760"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8 (9</w:t>
            </w:r>
            <w:r>
              <w:rPr>
                <w:rFonts w:ascii="Book Antiqua" w:eastAsia="Dotum" w:hAnsi="Book Antiqua" w:cs="Arial"/>
                <w:color w:val="000000" w:themeColor="text1"/>
                <w:kern w:val="0"/>
                <w:sz w:val="24"/>
                <w:szCs w:val="24"/>
              </w:rPr>
              <w:t>)</w:t>
            </w:r>
          </w:p>
        </w:tc>
      </w:tr>
      <w:tr w:rsidR="00A86AFC" w:rsidRPr="00031CB9" w:rsidTr="001739D3">
        <w:trPr>
          <w:trHeight w:val="416"/>
        </w:trPr>
        <w:tc>
          <w:tcPr>
            <w:tcW w:w="1923" w:type="dxa"/>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Uenishi</w:t>
            </w:r>
            <w:r>
              <w:rPr>
                <w:rFonts w:ascii="Book Antiqua" w:eastAsia="SimSun" w:hAnsi="Book Antiqua" w:cs="Arial" w:hint="eastAsia"/>
                <w:color w:val="000000" w:themeColor="text1"/>
                <w:kern w:val="0"/>
                <w:sz w:val="24"/>
                <w:szCs w:val="24"/>
                <w:lang w:eastAsia="zh-CN"/>
              </w:rPr>
              <w:t xml:space="preserve"> </w:t>
            </w:r>
            <w:r w:rsidRPr="00A86AFC">
              <w:rPr>
                <w:rFonts w:ascii="Book Antiqua" w:eastAsia="SimSun" w:hAnsi="Book Antiqua" w:cs="Arial" w:hint="eastAsia"/>
                <w:i/>
                <w:color w:val="000000" w:themeColor="text1"/>
                <w:kern w:val="0"/>
                <w:sz w:val="24"/>
                <w:szCs w:val="24"/>
                <w:lang w:eastAsia="zh-CN"/>
              </w:rPr>
              <w:t>et al</w:t>
            </w:r>
            <w:r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12</w:t>
            </w:r>
            <w:r>
              <w:rPr>
                <w:rFonts w:ascii="Book Antiqua" w:eastAsia="SimSun" w:hAnsi="Book Antiqua" w:cs="Arial" w:hint="eastAsia"/>
                <w:color w:val="000000" w:themeColor="text1"/>
                <w:kern w:val="0"/>
                <w:sz w:val="24"/>
                <w:szCs w:val="24"/>
                <w:vertAlign w:val="superscript"/>
                <w:lang w:eastAsia="zh-CN"/>
              </w:rPr>
              <w:t>]</w:t>
            </w:r>
          </w:p>
        </w:tc>
        <w:tc>
          <w:tcPr>
            <w:tcW w:w="992"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2009</w:t>
            </w:r>
          </w:p>
        </w:tc>
        <w:tc>
          <w:tcPr>
            <w:tcW w:w="1559"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Japan</w:t>
            </w:r>
          </w:p>
        </w:tc>
        <w:tc>
          <w:tcPr>
            <w:tcW w:w="1276" w:type="dxa"/>
            <w:noWrap/>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86</w:t>
            </w:r>
          </w:p>
        </w:tc>
        <w:tc>
          <w:tcPr>
            <w:tcW w:w="1760"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10 (12</w:t>
            </w:r>
            <w:r>
              <w:rPr>
                <w:rFonts w:ascii="Book Antiqua" w:eastAsia="Dotum" w:hAnsi="Book Antiqua" w:cs="Arial"/>
                <w:color w:val="000000" w:themeColor="text1"/>
                <w:kern w:val="0"/>
                <w:sz w:val="24"/>
                <w:szCs w:val="24"/>
              </w:rPr>
              <w:t>)</w:t>
            </w:r>
          </w:p>
        </w:tc>
      </w:tr>
      <w:tr w:rsidR="00A86AFC" w:rsidRPr="00031CB9" w:rsidTr="001739D3">
        <w:trPr>
          <w:trHeight w:val="416"/>
        </w:trPr>
        <w:tc>
          <w:tcPr>
            <w:tcW w:w="1923" w:type="dxa"/>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Lee</w:t>
            </w:r>
            <w:r>
              <w:rPr>
                <w:rFonts w:ascii="Book Antiqua" w:eastAsia="SimSun" w:hAnsi="Book Antiqua" w:cs="Arial" w:hint="eastAsia"/>
                <w:color w:val="000000" w:themeColor="text1"/>
                <w:kern w:val="0"/>
                <w:sz w:val="24"/>
                <w:szCs w:val="24"/>
                <w:lang w:eastAsia="zh-CN"/>
              </w:rPr>
              <w:t xml:space="preserve"> </w:t>
            </w:r>
            <w:r w:rsidRPr="00A86AFC">
              <w:rPr>
                <w:rFonts w:ascii="Book Antiqua" w:eastAsia="SimSun" w:hAnsi="Book Antiqua" w:cs="Arial" w:hint="eastAsia"/>
                <w:i/>
                <w:color w:val="000000" w:themeColor="text1"/>
                <w:kern w:val="0"/>
                <w:sz w:val="24"/>
                <w:szCs w:val="24"/>
                <w:lang w:eastAsia="zh-CN"/>
              </w:rPr>
              <w:t>et al</w:t>
            </w:r>
            <w:r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36</w:t>
            </w:r>
            <w:r>
              <w:rPr>
                <w:rFonts w:ascii="Book Antiqua" w:eastAsia="SimSun" w:hAnsi="Book Antiqua" w:cs="Arial" w:hint="eastAsia"/>
                <w:color w:val="000000" w:themeColor="text1"/>
                <w:kern w:val="0"/>
                <w:sz w:val="24"/>
                <w:szCs w:val="24"/>
                <w:vertAlign w:val="superscript"/>
                <w:lang w:eastAsia="zh-CN"/>
              </w:rPr>
              <w:t>]</w:t>
            </w:r>
          </w:p>
        </w:tc>
        <w:tc>
          <w:tcPr>
            <w:tcW w:w="992"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2007</w:t>
            </w:r>
          </w:p>
        </w:tc>
        <w:tc>
          <w:tcPr>
            <w:tcW w:w="1559"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hAnsi="Book Antiqua" w:cs="Arial"/>
                <w:color w:val="000000" w:themeColor="text1"/>
                <w:kern w:val="0"/>
                <w:sz w:val="24"/>
                <w:szCs w:val="24"/>
              </w:rPr>
            </w:pPr>
            <w:r w:rsidRPr="00031CB9">
              <w:rPr>
                <w:rFonts w:ascii="Book Antiqua" w:hAnsi="Book Antiqua" w:cs="Arial"/>
                <w:color w:val="000000" w:themeColor="text1"/>
                <w:kern w:val="0"/>
                <w:sz w:val="24"/>
                <w:szCs w:val="24"/>
              </w:rPr>
              <w:t>Taiwan</w:t>
            </w:r>
          </w:p>
        </w:tc>
        <w:tc>
          <w:tcPr>
            <w:tcW w:w="1276" w:type="dxa"/>
            <w:noWrap/>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123</w:t>
            </w:r>
          </w:p>
        </w:tc>
        <w:tc>
          <w:tcPr>
            <w:tcW w:w="1760"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4 (3.3</w:t>
            </w:r>
            <w:r>
              <w:rPr>
                <w:rFonts w:ascii="Book Antiqua" w:eastAsia="Dotum" w:hAnsi="Book Antiqua" w:cs="Arial"/>
                <w:color w:val="000000" w:themeColor="text1"/>
                <w:kern w:val="0"/>
                <w:sz w:val="24"/>
                <w:szCs w:val="24"/>
              </w:rPr>
              <w:t>)</w:t>
            </w:r>
          </w:p>
        </w:tc>
      </w:tr>
      <w:tr w:rsidR="00A86AFC" w:rsidRPr="00031CB9" w:rsidTr="001739D3">
        <w:trPr>
          <w:trHeight w:val="416"/>
        </w:trPr>
        <w:tc>
          <w:tcPr>
            <w:tcW w:w="1923" w:type="dxa"/>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Catena</w:t>
            </w:r>
            <w:r>
              <w:rPr>
                <w:rFonts w:ascii="Book Antiqua" w:eastAsia="SimSun" w:hAnsi="Book Antiqua" w:cs="Arial" w:hint="eastAsia"/>
                <w:color w:val="000000" w:themeColor="text1"/>
                <w:kern w:val="0"/>
                <w:sz w:val="24"/>
                <w:szCs w:val="24"/>
                <w:lang w:eastAsia="zh-CN"/>
              </w:rPr>
              <w:t xml:space="preserve"> </w:t>
            </w:r>
            <w:r w:rsidRPr="00A86AFC">
              <w:rPr>
                <w:rFonts w:ascii="Book Antiqua" w:eastAsia="SimSun" w:hAnsi="Book Antiqua" w:cs="Arial" w:hint="eastAsia"/>
                <w:i/>
                <w:color w:val="000000" w:themeColor="text1"/>
                <w:kern w:val="0"/>
                <w:sz w:val="24"/>
                <w:szCs w:val="24"/>
                <w:lang w:eastAsia="zh-CN"/>
              </w:rPr>
              <w:t>et al</w:t>
            </w:r>
            <w:r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37</w:t>
            </w:r>
            <w:r>
              <w:rPr>
                <w:rFonts w:ascii="Book Antiqua" w:eastAsia="SimSun" w:hAnsi="Book Antiqua" w:cs="Arial" w:hint="eastAsia"/>
                <w:color w:val="000000" w:themeColor="text1"/>
                <w:kern w:val="0"/>
                <w:sz w:val="24"/>
                <w:szCs w:val="24"/>
                <w:vertAlign w:val="superscript"/>
                <w:lang w:eastAsia="zh-CN"/>
              </w:rPr>
              <w:t>]</w:t>
            </w:r>
          </w:p>
        </w:tc>
        <w:tc>
          <w:tcPr>
            <w:tcW w:w="992"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2006</w:t>
            </w:r>
          </w:p>
        </w:tc>
        <w:tc>
          <w:tcPr>
            <w:tcW w:w="1559"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Italy</w:t>
            </w:r>
          </w:p>
        </w:tc>
        <w:tc>
          <w:tcPr>
            <w:tcW w:w="1276" w:type="dxa"/>
            <w:noWrap/>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17</w:t>
            </w:r>
          </w:p>
        </w:tc>
        <w:tc>
          <w:tcPr>
            <w:tcW w:w="1760"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 (11.7</w:t>
            </w:r>
            <w:r>
              <w:rPr>
                <w:rFonts w:ascii="Book Antiqua" w:eastAsia="Dotum" w:hAnsi="Book Antiqua" w:cs="Arial"/>
                <w:color w:val="000000" w:themeColor="text1"/>
                <w:kern w:val="0"/>
                <w:sz w:val="24"/>
                <w:szCs w:val="24"/>
              </w:rPr>
              <w:t>)</w:t>
            </w:r>
          </w:p>
        </w:tc>
      </w:tr>
      <w:tr w:rsidR="00A86AFC" w:rsidRPr="00031CB9" w:rsidTr="001739D3">
        <w:trPr>
          <w:trHeight w:val="416"/>
        </w:trPr>
        <w:tc>
          <w:tcPr>
            <w:tcW w:w="1923" w:type="dxa"/>
            <w:vAlign w:val="center"/>
          </w:tcPr>
          <w:p w:rsidR="00A86AFC" w:rsidRPr="00A86AFC" w:rsidRDefault="00A86AFC" w:rsidP="00445758">
            <w:pPr>
              <w:widowControl/>
              <w:kinsoku w:val="0"/>
              <w:wordWrap/>
              <w:overflowPunct w:val="0"/>
              <w:adjustRightInd w:val="0"/>
              <w:snapToGrid w:val="0"/>
              <w:spacing w:after="0" w:line="360" w:lineRule="auto"/>
              <w:jc w:val="center"/>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Chen</w:t>
            </w:r>
            <w:r w:rsidRPr="00A86AFC">
              <w:rPr>
                <w:rFonts w:ascii="Book Antiqua" w:eastAsia="SimSun" w:hAnsi="Book Antiqua" w:cs="Arial" w:hint="eastAsia"/>
                <w:i/>
                <w:color w:val="000000" w:themeColor="text1"/>
                <w:kern w:val="0"/>
                <w:sz w:val="24"/>
                <w:szCs w:val="24"/>
                <w:lang w:eastAsia="zh-CN"/>
              </w:rPr>
              <w:t xml:space="preserve"> et al</w:t>
            </w:r>
            <w:r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38</w:t>
            </w:r>
            <w:r>
              <w:rPr>
                <w:rFonts w:ascii="Book Antiqua" w:eastAsia="SimSun" w:hAnsi="Book Antiqua" w:cs="Arial" w:hint="eastAsia"/>
                <w:color w:val="000000" w:themeColor="text1"/>
                <w:kern w:val="0"/>
                <w:sz w:val="24"/>
                <w:szCs w:val="24"/>
                <w:vertAlign w:val="superscript"/>
                <w:lang w:eastAsia="zh-CN"/>
              </w:rPr>
              <w:t>]</w:t>
            </w:r>
          </w:p>
        </w:tc>
        <w:tc>
          <w:tcPr>
            <w:tcW w:w="992"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2004</w:t>
            </w:r>
          </w:p>
        </w:tc>
        <w:tc>
          <w:tcPr>
            <w:tcW w:w="1559"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Hong Kong</w:t>
            </w:r>
          </w:p>
        </w:tc>
        <w:tc>
          <w:tcPr>
            <w:tcW w:w="1276" w:type="dxa"/>
            <w:noWrap/>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103</w:t>
            </w:r>
          </w:p>
        </w:tc>
        <w:tc>
          <w:tcPr>
            <w:tcW w:w="1760" w:type="dxa"/>
            <w:vAlign w:val="center"/>
          </w:tcPr>
          <w:p w:rsidR="00A86AFC" w:rsidRPr="00031CB9"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10 (9.7</w:t>
            </w:r>
            <w:r>
              <w:rPr>
                <w:rFonts w:ascii="Book Antiqua" w:eastAsia="Dotum" w:hAnsi="Book Antiqua" w:cs="Arial"/>
                <w:color w:val="000000" w:themeColor="text1"/>
                <w:kern w:val="0"/>
                <w:sz w:val="24"/>
                <w:szCs w:val="24"/>
              </w:rPr>
              <w:t>)</w:t>
            </w:r>
          </w:p>
        </w:tc>
      </w:tr>
    </w:tbl>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A86AFC" w:rsidRDefault="00A86AFC" w:rsidP="00445758">
      <w:pPr>
        <w:kinsoku w:val="0"/>
        <w:wordWrap/>
        <w:overflowPunct w:val="0"/>
        <w:adjustRightInd w:val="0"/>
        <w:snapToGrid w:val="0"/>
        <w:spacing w:after="0" w:line="360" w:lineRule="auto"/>
        <w:rPr>
          <w:rFonts w:ascii="Book Antiqua" w:hAnsi="Book Antiqua"/>
          <w:color w:val="000000" w:themeColor="text1"/>
          <w:sz w:val="24"/>
          <w:szCs w:val="24"/>
        </w:rPr>
      </w:pPr>
      <w:r>
        <w:rPr>
          <w:rFonts w:ascii="Book Antiqua" w:hAnsi="Book Antiqua"/>
          <w:color w:val="000000" w:themeColor="text1"/>
          <w:sz w:val="24"/>
          <w:szCs w:val="24"/>
        </w:rPr>
        <w:br w:type="page"/>
      </w:r>
    </w:p>
    <w:p w:rsidR="00A86AFC" w:rsidRPr="00A86AFC" w:rsidRDefault="006A6314" w:rsidP="00445758">
      <w:pPr>
        <w:kinsoku w:val="0"/>
        <w:wordWrap/>
        <w:overflowPunct w:val="0"/>
        <w:adjustRightInd w:val="0"/>
        <w:snapToGrid w:val="0"/>
        <w:spacing w:after="0" w:line="360" w:lineRule="auto"/>
        <w:rPr>
          <w:rFonts w:ascii="Book Antiqua" w:eastAsia="Arial Unicode MS" w:hAnsi="Book Antiqua" w:cs="Arial Unicode MS"/>
          <w:b/>
          <w:color w:val="000000" w:themeColor="text1"/>
          <w:sz w:val="24"/>
          <w:szCs w:val="24"/>
          <w:lang w:eastAsia="zh-CN"/>
        </w:rPr>
      </w:pPr>
      <w:r w:rsidRPr="00A86AFC">
        <w:rPr>
          <w:rFonts w:ascii="Book Antiqua" w:eastAsia="Arial Unicode MS" w:hAnsi="Book Antiqua" w:cs="Arial Unicode MS"/>
          <w:b/>
          <w:color w:val="000000" w:themeColor="text1"/>
          <w:sz w:val="24"/>
          <w:szCs w:val="24"/>
        </w:rPr>
        <w:lastRenderedPageBreak/>
        <w:t>Table</w:t>
      </w:r>
      <w:r w:rsidR="00B565CE" w:rsidRPr="00A86AFC">
        <w:rPr>
          <w:rFonts w:ascii="Book Antiqua" w:eastAsia="Arial Unicode MS" w:hAnsi="Book Antiqua" w:cs="Arial Unicode MS" w:hint="eastAsia"/>
          <w:b/>
          <w:color w:val="000000" w:themeColor="text1"/>
          <w:sz w:val="24"/>
          <w:szCs w:val="24"/>
          <w:lang w:eastAsia="zh-CN"/>
        </w:rPr>
        <w:t xml:space="preserve"> </w:t>
      </w:r>
      <w:r w:rsidR="00A86AFC" w:rsidRPr="00A86AFC">
        <w:rPr>
          <w:rFonts w:ascii="Book Antiqua" w:eastAsia="Arial Unicode MS" w:hAnsi="Book Antiqua" w:cs="Arial Unicode MS"/>
          <w:b/>
          <w:color w:val="000000" w:themeColor="text1"/>
          <w:sz w:val="24"/>
          <w:szCs w:val="24"/>
        </w:rPr>
        <w:t>2</w:t>
      </w:r>
      <w:r w:rsidRPr="00A86AFC">
        <w:rPr>
          <w:rFonts w:ascii="Book Antiqua" w:eastAsia="Arial Unicode MS" w:hAnsi="Book Antiqua" w:cs="Arial Unicode MS"/>
          <w:b/>
          <w:color w:val="000000" w:themeColor="text1"/>
          <w:sz w:val="24"/>
          <w:szCs w:val="24"/>
        </w:rPr>
        <w:t xml:space="preserve"> Subsequent cholangiocarcinoma after initial mange</w:t>
      </w:r>
      <w:r w:rsidR="00A86AFC" w:rsidRPr="00A86AFC">
        <w:rPr>
          <w:rFonts w:ascii="Book Antiqua" w:eastAsia="Arial Unicode MS" w:hAnsi="Book Antiqua" w:cs="Arial Unicode MS"/>
          <w:b/>
          <w:color w:val="000000" w:themeColor="text1"/>
          <w:sz w:val="24"/>
          <w:szCs w:val="24"/>
        </w:rPr>
        <w:t>ment for hepatolithiasis</w:t>
      </w:r>
    </w:p>
    <w:tbl>
      <w:tblPr>
        <w:tblW w:w="8497" w:type="dxa"/>
        <w:jc w:val="center"/>
        <w:tblBorders>
          <w:top w:val="single" w:sz="4" w:space="0" w:color="auto"/>
          <w:bottom w:val="single" w:sz="4" w:space="0" w:color="auto"/>
        </w:tblBorders>
        <w:tblLayout w:type="fixed"/>
        <w:tblCellMar>
          <w:left w:w="99" w:type="dxa"/>
          <w:right w:w="99" w:type="dxa"/>
        </w:tblCellMar>
        <w:tblLook w:val="0000" w:firstRow="0" w:lastRow="0" w:firstColumn="0" w:lastColumn="0" w:noHBand="0" w:noVBand="0"/>
      </w:tblPr>
      <w:tblGrid>
        <w:gridCol w:w="1721"/>
        <w:gridCol w:w="850"/>
        <w:gridCol w:w="1134"/>
        <w:gridCol w:w="993"/>
        <w:gridCol w:w="1275"/>
        <w:gridCol w:w="1276"/>
        <w:gridCol w:w="1248"/>
      </w:tblGrid>
      <w:tr w:rsidR="00031CB9" w:rsidRPr="00A86AFC" w:rsidTr="00F34140">
        <w:trPr>
          <w:trHeight w:val="72"/>
          <w:jc w:val="center"/>
        </w:trPr>
        <w:tc>
          <w:tcPr>
            <w:tcW w:w="1721" w:type="dxa"/>
            <w:vMerge w:val="restart"/>
            <w:tcBorders>
              <w:top w:val="single" w:sz="12" w:space="0" w:color="auto"/>
            </w:tcBorders>
            <w:vAlign w:val="center"/>
          </w:tcPr>
          <w:p w:rsidR="006A6314" w:rsidRPr="00A86AFC" w:rsidRDefault="00A86AFC" w:rsidP="00445758">
            <w:pPr>
              <w:widowControl/>
              <w:kinsoku w:val="0"/>
              <w:wordWrap/>
              <w:overflowPunct w:val="0"/>
              <w:adjustRightInd w:val="0"/>
              <w:snapToGrid w:val="0"/>
              <w:spacing w:after="0" w:line="360" w:lineRule="auto"/>
              <w:rPr>
                <w:rFonts w:ascii="Book Antiqua" w:eastAsia="SimSun" w:hAnsi="Book Antiqua" w:cs="Arial"/>
                <w:b/>
                <w:color w:val="000000" w:themeColor="text1"/>
                <w:kern w:val="0"/>
                <w:sz w:val="24"/>
                <w:szCs w:val="24"/>
                <w:lang w:eastAsia="zh-CN"/>
              </w:rPr>
            </w:pPr>
            <w:r>
              <w:rPr>
                <w:rFonts w:ascii="Book Antiqua" w:eastAsia="SimSun" w:hAnsi="Book Antiqua" w:cs="Arial" w:hint="eastAsia"/>
                <w:b/>
                <w:color w:val="000000" w:themeColor="text1"/>
                <w:kern w:val="0"/>
                <w:sz w:val="24"/>
                <w:szCs w:val="24"/>
                <w:lang w:eastAsia="zh-CN"/>
              </w:rPr>
              <w:t xml:space="preserve">Ref. </w:t>
            </w:r>
          </w:p>
        </w:tc>
        <w:tc>
          <w:tcPr>
            <w:tcW w:w="850" w:type="dxa"/>
            <w:vMerge w:val="restart"/>
            <w:tcBorders>
              <w:top w:val="single" w:sz="12" w:space="0" w:color="auto"/>
            </w:tcBorders>
            <w:vAlign w:val="center"/>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Year</w:t>
            </w:r>
          </w:p>
        </w:tc>
        <w:tc>
          <w:tcPr>
            <w:tcW w:w="1134" w:type="dxa"/>
            <w:vMerge w:val="restart"/>
            <w:tcBorders>
              <w:top w:val="single" w:sz="12" w:space="0" w:color="auto"/>
            </w:tcBorders>
            <w:vAlign w:val="center"/>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Nation</w:t>
            </w:r>
          </w:p>
        </w:tc>
        <w:tc>
          <w:tcPr>
            <w:tcW w:w="993" w:type="dxa"/>
            <w:vMerge w:val="restart"/>
            <w:tcBorders>
              <w:top w:val="single" w:sz="12" w:space="0" w:color="auto"/>
            </w:tcBorders>
            <w:noWrap/>
            <w:vAlign w:val="center"/>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Case (</w:t>
            </w:r>
            <w:r w:rsidR="00A86AFC" w:rsidRPr="00A86AFC">
              <w:rPr>
                <w:rFonts w:ascii="Book Antiqua" w:eastAsia="Dotum" w:hAnsi="Book Antiqua" w:cs="Arial"/>
                <w:b/>
                <w:i/>
                <w:color w:val="000000" w:themeColor="text1"/>
                <w:kern w:val="0"/>
                <w:sz w:val="24"/>
                <w:szCs w:val="24"/>
              </w:rPr>
              <w:t>n</w:t>
            </w:r>
            <w:r w:rsidRPr="00A86AFC">
              <w:rPr>
                <w:rFonts w:ascii="Book Antiqua" w:eastAsia="Dotum" w:hAnsi="Book Antiqua" w:cs="Arial"/>
                <w:b/>
                <w:color w:val="000000" w:themeColor="text1"/>
                <w:kern w:val="0"/>
                <w:sz w:val="24"/>
                <w:szCs w:val="24"/>
              </w:rPr>
              <w:t>)</w:t>
            </w:r>
          </w:p>
        </w:tc>
        <w:tc>
          <w:tcPr>
            <w:tcW w:w="3799" w:type="dxa"/>
            <w:gridSpan w:val="3"/>
            <w:tcBorders>
              <w:top w:val="single" w:sz="12" w:space="0" w:color="auto"/>
              <w:bottom w:val="single" w:sz="2" w:space="0" w:color="auto"/>
            </w:tcBorders>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Incidence of cholangiocarcinoma</w:t>
            </w:r>
          </w:p>
        </w:tc>
      </w:tr>
      <w:tr w:rsidR="00031CB9" w:rsidRPr="00A86AFC" w:rsidTr="00F34140">
        <w:trPr>
          <w:trHeight w:val="71"/>
          <w:jc w:val="center"/>
        </w:trPr>
        <w:tc>
          <w:tcPr>
            <w:tcW w:w="1721" w:type="dxa"/>
            <w:vMerge/>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p>
        </w:tc>
        <w:tc>
          <w:tcPr>
            <w:tcW w:w="850" w:type="dxa"/>
            <w:vMerge/>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p>
        </w:tc>
        <w:tc>
          <w:tcPr>
            <w:tcW w:w="1134" w:type="dxa"/>
            <w:vMerge/>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p>
        </w:tc>
        <w:tc>
          <w:tcPr>
            <w:tcW w:w="993" w:type="dxa"/>
            <w:vMerge/>
            <w:noWrap/>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p>
        </w:tc>
        <w:tc>
          <w:tcPr>
            <w:tcW w:w="1275" w:type="dxa"/>
            <w:tcBorders>
              <w:top w:val="single" w:sz="2" w:space="0" w:color="auto"/>
              <w:bottom w:val="nil"/>
            </w:tcBorders>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p>
        </w:tc>
        <w:tc>
          <w:tcPr>
            <w:tcW w:w="2524" w:type="dxa"/>
            <w:gridSpan w:val="2"/>
            <w:tcBorders>
              <w:top w:val="single" w:sz="2" w:space="0" w:color="auto"/>
              <w:bottom w:val="single" w:sz="2" w:space="0" w:color="auto"/>
            </w:tcBorders>
          </w:tcPr>
          <w:p w:rsidR="006A6314" w:rsidRPr="00A86AFC" w:rsidRDefault="006A6314" w:rsidP="00445758">
            <w:pPr>
              <w:widowControl/>
              <w:kinsoku w:val="0"/>
              <w:wordWrap/>
              <w:overflowPunct w:val="0"/>
              <w:adjustRightInd w:val="0"/>
              <w:snapToGrid w:val="0"/>
              <w:spacing w:after="0" w:line="360" w:lineRule="auto"/>
              <w:ind w:firstLineChars="200" w:firstLine="471"/>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Stone removal</w:t>
            </w:r>
          </w:p>
        </w:tc>
      </w:tr>
      <w:tr w:rsidR="00F34140" w:rsidRPr="00A86AFC" w:rsidTr="00F34140">
        <w:trPr>
          <w:trHeight w:val="470"/>
          <w:jc w:val="center"/>
        </w:trPr>
        <w:tc>
          <w:tcPr>
            <w:tcW w:w="1721" w:type="dxa"/>
            <w:vMerge/>
            <w:tcBorders>
              <w:bottom w:val="single" w:sz="4" w:space="0" w:color="auto"/>
            </w:tcBorders>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p>
        </w:tc>
        <w:tc>
          <w:tcPr>
            <w:tcW w:w="850" w:type="dxa"/>
            <w:vMerge/>
            <w:tcBorders>
              <w:bottom w:val="single" w:sz="4" w:space="0" w:color="auto"/>
            </w:tcBorders>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p>
        </w:tc>
        <w:tc>
          <w:tcPr>
            <w:tcW w:w="1134" w:type="dxa"/>
            <w:vMerge/>
            <w:tcBorders>
              <w:bottom w:val="single" w:sz="4" w:space="0" w:color="auto"/>
            </w:tcBorders>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p>
        </w:tc>
        <w:tc>
          <w:tcPr>
            <w:tcW w:w="993" w:type="dxa"/>
            <w:vMerge/>
            <w:tcBorders>
              <w:bottom w:val="single" w:sz="4" w:space="0" w:color="auto"/>
            </w:tcBorders>
            <w:noWrap/>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p>
        </w:tc>
        <w:tc>
          <w:tcPr>
            <w:tcW w:w="1275" w:type="dxa"/>
            <w:tcBorders>
              <w:top w:val="nil"/>
              <w:bottom w:val="single" w:sz="4" w:space="0" w:color="auto"/>
            </w:tcBorders>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Total</w:t>
            </w:r>
          </w:p>
        </w:tc>
        <w:tc>
          <w:tcPr>
            <w:tcW w:w="1276" w:type="dxa"/>
            <w:tcBorders>
              <w:top w:val="single" w:sz="2" w:space="0" w:color="auto"/>
              <w:bottom w:val="single" w:sz="4" w:space="0" w:color="auto"/>
            </w:tcBorders>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Complete</w:t>
            </w:r>
          </w:p>
        </w:tc>
        <w:tc>
          <w:tcPr>
            <w:tcW w:w="1248" w:type="dxa"/>
            <w:tcBorders>
              <w:top w:val="single" w:sz="2" w:space="0" w:color="auto"/>
              <w:bottom w:val="single" w:sz="4" w:space="0" w:color="auto"/>
            </w:tcBorders>
            <w:noWrap/>
          </w:tcPr>
          <w:p w:rsidR="006A6314" w:rsidRPr="00A86AFC" w:rsidRDefault="006A6314" w:rsidP="00445758">
            <w:pPr>
              <w:widowControl/>
              <w:kinsoku w:val="0"/>
              <w:wordWrap/>
              <w:overflowPunct w:val="0"/>
              <w:adjustRightInd w:val="0"/>
              <w:snapToGrid w:val="0"/>
              <w:spacing w:after="0" w:line="360" w:lineRule="auto"/>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Residual</w:t>
            </w:r>
          </w:p>
        </w:tc>
      </w:tr>
      <w:tr w:rsidR="00F34140" w:rsidRPr="00031CB9" w:rsidTr="00F34140">
        <w:trPr>
          <w:trHeight w:val="416"/>
          <w:jc w:val="center"/>
        </w:trPr>
        <w:tc>
          <w:tcPr>
            <w:tcW w:w="1721" w:type="dxa"/>
            <w:tcBorders>
              <w:top w:val="single" w:sz="4" w:space="0" w:color="auto"/>
            </w:tcBorders>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Kim</w:t>
            </w:r>
            <w:r w:rsidR="00A86AFC">
              <w:rPr>
                <w:rFonts w:ascii="Book Antiqua" w:eastAsia="SimSun" w:hAnsi="Book Antiqua" w:cs="Arial" w:hint="eastAsia"/>
                <w:color w:val="000000" w:themeColor="text1"/>
                <w:kern w:val="0"/>
                <w:sz w:val="24"/>
                <w:szCs w:val="24"/>
                <w:lang w:eastAsia="zh-CN"/>
              </w:rPr>
              <w:t xml:space="preserve"> </w:t>
            </w:r>
            <w:r w:rsidR="00A86AFC" w:rsidRPr="00A86AFC">
              <w:rPr>
                <w:rFonts w:ascii="Book Antiqua" w:eastAsia="SimSun" w:hAnsi="Book Antiqua" w:cs="Arial" w:hint="eastAsia"/>
                <w:i/>
                <w:color w:val="000000" w:themeColor="text1"/>
                <w:kern w:val="0"/>
                <w:sz w:val="24"/>
                <w:szCs w:val="24"/>
                <w:lang w:eastAsia="zh-CN"/>
              </w:rPr>
              <w:t>et al</w:t>
            </w:r>
            <w:r w:rsidR="00A86AFC"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33</w:t>
            </w:r>
            <w:r w:rsid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rPr>
              <w:t xml:space="preserve"> </w:t>
            </w:r>
          </w:p>
        </w:tc>
        <w:tc>
          <w:tcPr>
            <w:tcW w:w="850" w:type="dxa"/>
            <w:tcBorders>
              <w:top w:val="single" w:sz="4" w:space="0" w:color="auto"/>
            </w:tcBorders>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2015</w:t>
            </w:r>
          </w:p>
        </w:tc>
        <w:tc>
          <w:tcPr>
            <w:tcW w:w="1134" w:type="dxa"/>
            <w:tcBorders>
              <w:top w:val="single" w:sz="4" w:space="0" w:color="auto"/>
            </w:tcBorders>
            <w:vAlign w:val="center"/>
          </w:tcPr>
          <w:p w:rsidR="006A6314" w:rsidRPr="00031CB9" w:rsidRDefault="00A86AFC"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Pr>
                <w:rFonts w:ascii="Book Antiqua" w:eastAsia="SimSun" w:hAnsi="Book Antiqua" w:cs="Arial" w:hint="eastAsia"/>
                <w:color w:val="000000" w:themeColor="text1"/>
                <w:kern w:val="0"/>
                <w:sz w:val="24"/>
                <w:szCs w:val="24"/>
                <w:lang w:eastAsia="zh-CN"/>
              </w:rPr>
              <w:t xml:space="preserve">South </w:t>
            </w:r>
            <w:r w:rsidR="006A6314" w:rsidRPr="00031CB9">
              <w:rPr>
                <w:rFonts w:ascii="Book Antiqua" w:eastAsia="Dotum" w:hAnsi="Book Antiqua" w:cs="Arial"/>
                <w:color w:val="000000" w:themeColor="text1"/>
                <w:kern w:val="0"/>
                <w:sz w:val="24"/>
                <w:szCs w:val="24"/>
              </w:rPr>
              <w:t>Korea</w:t>
            </w:r>
          </w:p>
        </w:tc>
        <w:tc>
          <w:tcPr>
            <w:tcW w:w="993" w:type="dxa"/>
            <w:tcBorders>
              <w:top w:val="single" w:sz="4" w:space="0" w:color="auto"/>
            </w:tcBorders>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236</w:t>
            </w:r>
          </w:p>
        </w:tc>
        <w:tc>
          <w:tcPr>
            <w:tcW w:w="1275" w:type="dxa"/>
            <w:tcBorders>
              <w:top w:val="single" w:sz="4" w:space="0" w:color="auto"/>
            </w:tcBorders>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6.8%</w:t>
            </w:r>
          </w:p>
        </w:tc>
        <w:tc>
          <w:tcPr>
            <w:tcW w:w="1276" w:type="dxa"/>
            <w:tcBorders>
              <w:top w:val="single" w:sz="4" w:space="0" w:color="auto"/>
            </w:tcBorders>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 xml:space="preserve"> 3.3%</w:t>
            </w:r>
          </w:p>
        </w:tc>
        <w:tc>
          <w:tcPr>
            <w:tcW w:w="1248" w:type="dxa"/>
            <w:tcBorders>
              <w:top w:val="single" w:sz="4" w:space="0" w:color="auto"/>
            </w:tcBorders>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 xml:space="preserve"> 10.4%</w:t>
            </w:r>
          </w:p>
        </w:tc>
      </w:tr>
      <w:tr w:rsidR="00F34140" w:rsidRPr="00031CB9" w:rsidTr="00F34140">
        <w:trPr>
          <w:trHeight w:val="416"/>
          <w:jc w:val="center"/>
        </w:trPr>
        <w:tc>
          <w:tcPr>
            <w:tcW w:w="1721" w:type="dxa"/>
            <w:vAlign w:val="center"/>
          </w:tcPr>
          <w:p w:rsidR="006A6314" w:rsidRPr="00A86AFC" w:rsidRDefault="006A6314" w:rsidP="00445758">
            <w:pPr>
              <w:widowControl/>
              <w:kinsoku w:val="0"/>
              <w:wordWrap/>
              <w:overflowPunct w:val="0"/>
              <w:adjustRightInd w:val="0"/>
              <w:snapToGrid w:val="0"/>
              <w:spacing w:after="0" w:line="360" w:lineRule="auto"/>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Tsuyuguchi</w:t>
            </w:r>
            <w:r w:rsidR="00A86AFC">
              <w:rPr>
                <w:rFonts w:ascii="Book Antiqua" w:eastAsia="SimSun" w:hAnsi="Book Antiqua" w:cs="Arial" w:hint="eastAsia"/>
                <w:color w:val="000000" w:themeColor="text1"/>
                <w:kern w:val="0"/>
                <w:sz w:val="24"/>
                <w:szCs w:val="24"/>
                <w:lang w:eastAsia="zh-CN"/>
              </w:rPr>
              <w:t xml:space="preserve"> </w:t>
            </w:r>
            <w:r w:rsidR="00A86AFC" w:rsidRPr="00A86AFC">
              <w:rPr>
                <w:rFonts w:ascii="Book Antiqua" w:eastAsia="SimSun" w:hAnsi="Book Antiqua" w:cs="Arial" w:hint="eastAsia"/>
                <w:i/>
                <w:color w:val="000000" w:themeColor="text1"/>
                <w:kern w:val="0"/>
                <w:sz w:val="24"/>
                <w:szCs w:val="24"/>
                <w:lang w:eastAsia="zh-CN"/>
              </w:rPr>
              <w:t>et al</w:t>
            </w:r>
            <w:r w:rsidR="00A86AFC"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39</w:t>
            </w:r>
            <w:r w:rsidR="00A86AFC">
              <w:rPr>
                <w:rFonts w:ascii="Book Antiqua" w:eastAsia="SimSun" w:hAnsi="Book Antiqua" w:cs="Arial" w:hint="eastAsia"/>
                <w:color w:val="000000" w:themeColor="text1"/>
                <w:kern w:val="0"/>
                <w:sz w:val="24"/>
                <w:szCs w:val="24"/>
                <w:vertAlign w:val="superscript"/>
                <w:lang w:eastAsia="zh-CN"/>
              </w:rPr>
              <w:t>]</w:t>
            </w:r>
          </w:p>
        </w:tc>
        <w:tc>
          <w:tcPr>
            <w:tcW w:w="850"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2014</w:t>
            </w:r>
          </w:p>
        </w:tc>
        <w:tc>
          <w:tcPr>
            <w:tcW w:w="1134"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Japan</w:t>
            </w:r>
          </w:p>
        </w:tc>
        <w:tc>
          <w:tcPr>
            <w:tcW w:w="993"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121</w:t>
            </w:r>
          </w:p>
        </w:tc>
        <w:tc>
          <w:tcPr>
            <w:tcW w:w="1275"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9.9%</w:t>
            </w:r>
          </w:p>
        </w:tc>
        <w:tc>
          <w:tcPr>
            <w:tcW w:w="1276"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 xml:space="preserve"> 9.1%</w:t>
            </w:r>
          </w:p>
        </w:tc>
        <w:tc>
          <w:tcPr>
            <w:tcW w:w="1248"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 xml:space="preserve"> 10.4%</w:t>
            </w:r>
          </w:p>
        </w:tc>
      </w:tr>
      <w:tr w:rsidR="00F34140" w:rsidRPr="00031CB9" w:rsidTr="00F34140">
        <w:trPr>
          <w:trHeight w:val="416"/>
          <w:jc w:val="center"/>
        </w:trPr>
        <w:tc>
          <w:tcPr>
            <w:tcW w:w="1721" w:type="dxa"/>
            <w:vAlign w:val="center"/>
          </w:tcPr>
          <w:p w:rsidR="006A6314" w:rsidRPr="00A86AFC" w:rsidRDefault="006A6314" w:rsidP="00445758">
            <w:pPr>
              <w:widowControl/>
              <w:kinsoku w:val="0"/>
              <w:wordWrap/>
              <w:overflowPunct w:val="0"/>
              <w:adjustRightInd w:val="0"/>
              <w:snapToGrid w:val="0"/>
              <w:spacing w:after="0" w:line="360" w:lineRule="auto"/>
              <w:rPr>
                <w:rFonts w:ascii="Book Antiqua" w:eastAsia="SimSun" w:hAnsi="Book Antiqua" w:cs="Arial"/>
                <w:color w:val="000000" w:themeColor="text1"/>
                <w:kern w:val="0"/>
                <w:sz w:val="24"/>
                <w:szCs w:val="24"/>
                <w:lang w:eastAsia="zh-CN"/>
              </w:rPr>
            </w:pPr>
            <w:r w:rsidRPr="00031CB9">
              <w:rPr>
                <w:rFonts w:ascii="Book Antiqua" w:eastAsia="Dotum" w:hAnsi="Book Antiqua" w:cs="Arial"/>
                <w:bCs/>
                <w:color w:val="000000" w:themeColor="text1"/>
                <w:kern w:val="0"/>
                <w:sz w:val="24"/>
                <w:szCs w:val="24"/>
              </w:rPr>
              <w:t>Lin</w:t>
            </w:r>
            <w:r w:rsidR="00A86AFC">
              <w:rPr>
                <w:rFonts w:ascii="Book Antiqua" w:eastAsia="SimSun" w:hAnsi="Book Antiqua" w:cs="Arial" w:hint="eastAsia"/>
                <w:bCs/>
                <w:color w:val="000000" w:themeColor="text1"/>
                <w:kern w:val="0"/>
                <w:sz w:val="24"/>
                <w:szCs w:val="24"/>
                <w:lang w:eastAsia="zh-CN"/>
              </w:rPr>
              <w:t>[</w:t>
            </w:r>
            <w:r w:rsidRPr="00031CB9">
              <w:rPr>
                <w:rFonts w:ascii="Book Antiqua" w:eastAsia="Dotum" w:hAnsi="Book Antiqua" w:cs="Arial"/>
                <w:bCs/>
                <w:color w:val="000000" w:themeColor="text1"/>
                <w:kern w:val="0"/>
                <w:sz w:val="24"/>
                <w:szCs w:val="24"/>
                <w:vertAlign w:val="superscript"/>
              </w:rPr>
              <w:t>32</w:t>
            </w:r>
            <w:r w:rsidR="00A86AFC">
              <w:rPr>
                <w:rFonts w:ascii="Book Antiqua" w:eastAsia="SimSun" w:hAnsi="Book Antiqua" w:cs="Arial" w:hint="eastAsia"/>
                <w:bCs/>
                <w:color w:val="000000" w:themeColor="text1"/>
                <w:kern w:val="0"/>
                <w:sz w:val="24"/>
                <w:szCs w:val="24"/>
                <w:vertAlign w:val="superscript"/>
                <w:lang w:eastAsia="zh-CN"/>
              </w:rPr>
              <w:t>]</w:t>
            </w:r>
          </w:p>
        </w:tc>
        <w:tc>
          <w:tcPr>
            <w:tcW w:w="850"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2013</w:t>
            </w:r>
          </w:p>
        </w:tc>
        <w:tc>
          <w:tcPr>
            <w:tcW w:w="1134"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hAnsi="Book Antiqua"/>
                <w:color w:val="000000" w:themeColor="text1"/>
                <w:sz w:val="24"/>
                <w:szCs w:val="24"/>
              </w:rPr>
              <w:t>Taiwan</w:t>
            </w:r>
          </w:p>
        </w:tc>
        <w:tc>
          <w:tcPr>
            <w:tcW w:w="993"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197</w:t>
            </w:r>
          </w:p>
        </w:tc>
        <w:tc>
          <w:tcPr>
            <w:tcW w:w="1275"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6.1%</w:t>
            </w:r>
          </w:p>
        </w:tc>
        <w:tc>
          <w:tcPr>
            <w:tcW w:w="1276"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 xml:space="preserve"> 4.9%</w:t>
            </w:r>
          </w:p>
        </w:tc>
        <w:tc>
          <w:tcPr>
            <w:tcW w:w="1248"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 xml:space="preserve"> 11.8%</w:t>
            </w:r>
          </w:p>
        </w:tc>
      </w:tr>
      <w:tr w:rsidR="00F34140" w:rsidRPr="00031CB9" w:rsidTr="00F34140">
        <w:trPr>
          <w:trHeight w:val="416"/>
          <w:jc w:val="center"/>
        </w:trPr>
        <w:tc>
          <w:tcPr>
            <w:tcW w:w="1721" w:type="dxa"/>
            <w:vAlign w:val="center"/>
          </w:tcPr>
          <w:p w:rsidR="006A6314" w:rsidRPr="00A86AFC" w:rsidRDefault="006A6314" w:rsidP="00445758">
            <w:pPr>
              <w:widowControl/>
              <w:kinsoku w:val="0"/>
              <w:wordWrap/>
              <w:overflowPunct w:val="0"/>
              <w:adjustRightInd w:val="0"/>
              <w:snapToGrid w:val="0"/>
              <w:spacing w:after="0" w:line="360" w:lineRule="auto"/>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Park</w:t>
            </w:r>
            <w:r w:rsidR="00A86AFC">
              <w:rPr>
                <w:rFonts w:ascii="Book Antiqua" w:eastAsia="SimSun" w:hAnsi="Book Antiqua" w:cs="Arial" w:hint="eastAsia"/>
                <w:color w:val="000000" w:themeColor="text1"/>
                <w:kern w:val="0"/>
                <w:sz w:val="24"/>
                <w:szCs w:val="24"/>
                <w:lang w:eastAsia="zh-CN"/>
              </w:rPr>
              <w:t xml:space="preserve"> </w:t>
            </w:r>
            <w:r w:rsidR="00A86AFC" w:rsidRPr="00A86AFC">
              <w:rPr>
                <w:rFonts w:ascii="Book Antiqua" w:eastAsia="SimSun" w:hAnsi="Book Antiqua" w:cs="Arial" w:hint="eastAsia"/>
                <w:i/>
                <w:color w:val="000000" w:themeColor="text1"/>
                <w:kern w:val="0"/>
                <w:sz w:val="24"/>
                <w:szCs w:val="24"/>
                <w:lang w:eastAsia="zh-CN"/>
              </w:rPr>
              <w:t>et al</w:t>
            </w:r>
            <w:r w:rsidR="00A86AFC"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6</w:t>
            </w:r>
            <w:r w:rsidR="00A86AFC">
              <w:rPr>
                <w:rFonts w:ascii="Book Antiqua" w:eastAsia="SimSun" w:hAnsi="Book Antiqua" w:cs="Arial" w:hint="eastAsia"/>
                <w:color w:val="000000" w:themeColor="text1"/>
                <w:kern w:val="0"/>
                <w:sz w:val="24"/>
                <w:szCs w:val="24"/>
                <w:vertAlign w:val="superscript"/>
                <w:lang w:eastAsia="zh-CN"/>
              </w:rPr>
              <w:t>]</w:t>
            </w:r>
          </w:p>
        </w:tc>
        <w:tc>
          <w:tcPr>
            <w:tcW w:w="850"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2013</w:t>
            </w:r>
          </w:p>
        </w:tc>
        <w:tc>
          <w:tcPr>
            <w:tcW w:w="1134" w:type="dxa"/>
            <w:vAlign w:val="center"/>
          </w:tcPr>
          <w:p w:rsidR="006A6314" w:rsidRPr="00031CB9" w:rsidRDefault="00A86AFC"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Pr>
                <w:rFonts w:ascii="Book Antiqua" w:eastAsia="SimSun" w:hAnsi="Book Antiqua" w:cs="Arial" w:hint="eastAsia"/>
                <w:color w:val="000000" w:themeColor="text1"/>
                <w:kern w:val="0"/>
                <w:sz w:val="24"/>
                <w:szCs w:val="24"/>
                <w:lang w:eastAsia="zh-CN"/>
              </w:rPr>
              <w:t xml:space="preserve">South </w:t>
            </w:r>
            <w:r w:rsidRPr="00031CB9">
              <w:rPr>
                <w:rFonts w:ascii="Book Antiqua" w:eastAsia="Dotum" w:hAnsi="Book Antiqua" w:cs="Arial"/>
                <w:color w:val="000000" w:themeColor="text1"/>
                <w:kern w:val="0"/>
                <w:sz w:val="24"/>
                <w:szCs w:val="24"/>
              </w:rPr>
              <w:t>Korea</w:t>
            </w:r>
          </w:p>
        </w:tc>
        <w:tc>
          <w:tcPr>
            <w:tcW w:w="993" w:type="dxa"/>
            <w:noWrap/>
            <w:vAlign w:val="center"/>
          </w:tcPr>
          <w:p w:rsidR="006A6314" w:rsidRPr="00031CB9" w:rsidRDefault="006A6314" w:rsidP="00445758">
            <w:pPr>
              <w:widowControl/>
              <w:kinsoku w:val="0"/>
              <w:wordWrap/>
              <w:overflowPunct w:val="0"/>
              <w:adjustRightInd w:val="0"/>
              <w:snapToGrid w:val="0"/>
              <w:spacing w:after="0" w:line="360" w:lineRule="auto"/>
              <w:ind w:firstLineChars="50" w:firstLine="120"/>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85</w:t>
            </w:r>
          </w:p>
        </w:tc>
        <w:tc>
          <w:tcPr>
            <w:tcW w:w="1275"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2.4%</w:t>
            </w:r>
          </w:p>
        </w:tc>
        <w:tc>
          <w:tcPr>
            <w:tcW w:w="1276"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p>
        </w:tc>
        <w:tc>
          <w:tcPr>
            <w:tcW w:w="1248"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p>
        </w:tc>
      </w:tr>
      <w:tr w:rsidR="00F34140" w:rsidRPr="00031CB9" w:rsidTr="00F34140">
        <w:trPr>
          <w:trHeight w:val="416"/>
          <w:jc w:val="center"/>
        </w:trPr>
        <w:tc>
          <w:tcPr>
            <w:tcW w:w="1721" w:type="dxa"/>
            <w:vAlign w:val="center"/>
          </w:tcPr>
          <w:p w:rsidR="006A6314" w:rsidRPr="00A86AFC" w:rsidRDefault="006A6314" w:rsidP="00445758">
            <w:pPr>
              <w:widowControl/>
              <w:kinsoku w:val="0"/>
              <w:wordWrap/>
              <w:overflowPunct w:val="0"/>
              <w:adjustRightInd w:val="0"/>
              <w:snapToGrid w:val="0"/>
              <w:spacing w:after="0" w:line="360" w:lineRule="auto"/>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Cheon</w:t>
            </w:r>
            <w:r w:rsidR="00A86AFC">
              <w:rPr>
                <w:rFonts w:ascii="Book Antiqua" w:eastAsia="SimSun" w:hAnsi="Book Antiqua" w:cs="Arial" w:hint="eastAsia"/>
                <w:color w:val="000000" w:themeColor="text1"/>
                <w:kern w:val="0"/>
                <w:sz w:val="24"/>
                <w:szCs w:val="24"/>
                <w:lang w:eastAsia="zh-CN"/>
              </w:rPr>
              <w:t xml:space="preserve"> </w:t>
            </w:r>
            <w:r w:rsidR="00A86AFC" w:rsidRPr="00A86AFC">
              <w:rPr>
                <w:rFonts w:ascii="Book Antiqua" w:eastAsia="SimSun" w:hAnsi="Book Antiqua" w:cs="Arial" w:hint="eastAsia"/>
                <w:i/>
                <w:color w:val="000000" w:themeColor="text1"/>
                <w:kern w:val="0"/>
                <w:sz w:val="24"/>
                <w:szCs w:val="24"/>
                <w:lang w:eastAsia="zh-CN"/>
              </w:rPr>
              <w:t>et al</w:t>
            </w:r>
            <w:r w:rsidR="00A86AFC"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30</w:t>
            </w:r>
            <w:r w:rsidR="00A86AFC">
              <w:rPr>
                <w:rFonts w:ascii="Book Antiqua" w:eastAsia="SimSun" w:hAnsi="Book Antiqua" w:cs="Arial" w:hint="eastAsia"/>
                <w:color w:val="000000" w:themeColor="text1"/>
                <w:kern w:val="0"/>
                <w:sz w:val="24"/>
                <w:szCs w:val="24"/>
                <w:vertAlign w:val="superscript"/>
                <w:lang w:eastAsia="zh-CN"/>
              </w:rPr>
              <w:t>]</w:t>
            </w:r>
          </w:p>
        </w:tc>
        <w:tc>
          <w:tcPr>
            <w:tcW w:w="850"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2009</w:t>
            </w:r>
          </w:p>
        </w:tc>
        <w:tc>
          <w:tcPr>
            <w:tcW w:w="1134" w:type="dxa"/>
            <w:vAlign w:val="center"/>
          </w:tcPr>
          <w:p w:rsidR="006A6314" w:rsidRPr="00031CB9" w:rsidRDefault="00A86AFC"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Pr>
                <w:rFonts w:ascii="Book Antiqua" w:eastAsia="SimSun" w:hAnsi="Book Antiqua" w:cs="Arial" w:hint="eastAsia"/>
                <w:color w:val="000000" w:themeColor="text1"/>
                <w:kern w:val="0"/>
                <w:sz w:val="24"/>
                <w:szCs w:val="24"/>
                <w:lang w:eastAsia="zh-CN"/>
              </w:rPr>
              <w:t xml:space="preserve">South </w:t>
            </w:r>
            <w:r w:rsidRPr="00031CB9">
              <w:rPr>
                <w:rFonts w:ascii="Book Antiqua" w:eastAsia="Dotum" w:hAnsi="Book Antiqua" w:cs="Arial"/>
                <w:color w:val="000000" w:themeColor="text1"/>
                <w:kern w:val="0"/>
                <w:sz w:val="24"/>
                <w:szCs w:val="24"/>
              </w:rPr>
              <w:t>Korea</w:t>
            </w:r>
          </w:p>
        </w:tc>
        <w:tc>
          <w:tcPr>
            <w:tcW w:w="993"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225</w:t>
            </w:r>
          </w:p>
        </w:tc>
        <w:tc>
          <w:tcPr>
            <w:tcW w:w="1275"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4.9%</w:t>
            </w:r>
          </w:p>
        </w:tc>
        <w:tc>
          <w:tcPr>
            <w:tcW w:w="1276"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 xml:space="preserve"> 4%</w:t>
            </w:r>
          </w:p>
        </w:tc>
        <w:tc>
          <w:tcPr>
            <w:tcW w:w="1248"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 xml:space="preserve"> 8%</w:t>
            </w:r>
          </w:p>
        </w:tc>
      </w:tr>
      <w:tr w:rsidR="00F34140" w:rsidRPr="00031CB9" w:rsidTr="00F34140">
        <w:trPr>
          <w:trHeight w:val="416"/>
          <w:jc w:val="center"/>
        </w:trPr>
        <w:tc>
          <w:tcPr>
            <w:tcW w:w="1721" w:type="dxa"/>
            <w:vAlign w:val="center"/>
          </w:tcPr>
          <w:p w:rsidR="006A6314" w:rsidRPr="00A86AFC" w:rsidRDefault="006A6314" w:rsidP="00445758">
            <w:pPr>
              <w:widowControl/>
              <w:kinsoku w:val="0"/>
              <w:wordWrap/>
              <w:overflowPunct w:val="0"/>
              <w:adjustRightInd w:val="0"/>
              <w:snapToGrid w:val="0"/>
              <w:spacing w:after="0" w:line="360" w:lineRule="auto"/>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Uenish</w:t>
            </w:r>
            <w:r w:rsidR="00A86AFC">
              <w:rPr>
                <w:rFonts w:ascii="Book Antiqua" w:eastAsia="SimSun" w:hAnsi="Book Antiqua" w:cs="Arial" w:hint="eastAsia"/>
                <w:color w:val="000000" w:themeColor="text1"/>
                <w:kern w:val="0"/>
                <w:sz w:val="24"/>
                <w:szCs w:val="24"/>
                <w:lang w:eastAsia="zh-CN"/>
              </w:rPr>
              <w:t xml:space="preserve"> </w:t>
            </w:r>
            <w:r w:rsidR="00A86AFC" w:rsidRPr="00A86AFC">
              <w:rPr>
                <w:rFonts w:ascii="Book Antiqua" w:eastAsia="SimSun" w:hAnsi="Book Antiqua" w:cs="Arial" w:hint="eastAsia"/>
                <w:i/>
                <w:color w:val="000000" w:themeColor="text1"/>
                <w:kern w:val="0"/>
                <w:sz w:val="24"/>
                <w:szCs w:val="24"/>
                <w:lang w:eastAsia="zh-CN"/>
              </w:rPr>
              <w:t>et al</w:t>
            </w:r>
            <w:r w:rsidR="00A86AFC"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12</w:t>
            </w:r>
            <w:r w:rsidR="00A86AFC">
              <w:rPr>
                <w:rFonts w:ascii="Book Antiqua" w:eastAsia="SimSun" w:hAnsi="Book Antiqua" w:cs="Arial" w:hint="eastAsia"/>
                <w:color w:val="000000" w:themeColor="text1"/>
                <w:kern w:val="0"/>
                <w:sz w:val="24"/>
                <w:szCs w:val="24"/>
                <w:vertAlign w:val="superscript"/>
                <w:lang w:eastAsia="zh-CN"/>
              </w:rPr>
              <w:t>]</w:t>
            </w:r>
          </w:p>
        </w:tc>
        <w:tc>
          <w:tcPr>
            <w:tcW w:w="850"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2009</w:t>
            </w:r>
          </w:p>
        </w:tc>
        <w:tc>
          <w:tcPr>
            <w:tcW w:w="1134"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Japan</w:t>
            </w:r>
          </w:p>
        </w:tc>
        <w:tc>
          <w:tcPr>
            <w:tcW w:w="993" w:type="dxa"/>
            <w:noWrap/>
            <w:vAlign w:val="center"/>
          </w:tcPr>
          <w:p w:rsidR="006A6314" w:rsidRPr="00031CB9" w:rsidRDefault="006A6314" w:rsidP="00445758">
            <w:pPr>
              <w:widowControl/>
              <w:kinsoku w:val="0"/>
              <w:wordWrap/>
              <w:overflowPunct w:val="0"/>
              <w:adjustRightInd w:val="0"/>
              <w:snapToGrid w:val="0"/>
              <w:spacing w:after="0" w:line="360" w:lineRule="auto"/>
              <w:ind w:firstLineChars="50" w:firstLine="120"/>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76</w:t>
            </w:r>
          </w:p>
        </w:tc>
        <w:tc>
          <w:tcPr>
            <w:tcW w:w="1275"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2.6%</w:t>
            </w:r>
          </w:p>
        </w:tc>
        <w:tc>
          <w:tcPr>
            <w:tcW w:w="1276"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p>
        </w:tc>
        <w:tc>
          <w:tcPr>
            <w:tcW w:w="1248"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p>
        </w:tc>
      </w:tr>
      <w:tr w:rsidR="00F34140" w:rsidRPr="00031CB9" w:rsidTr="00F34140">
        <w:trPr>
          <w:trHeight w:val="416"/>
          <w:jc w:val="center"/>
        </w:trPr>
        <w:tc>
          <w:tcPr>
            <w:tcW w:w="1721" w:type="dxa"/>
            <w:vAlign w:val="center"/>
          </w:tcPr>
          <w:p w:rsidR="006A6314" w:rsidRPr="00A86AFC" w:rsidRDefault="006A6314" w:rsidP="00445758">
            <w:pPr>
              <w:widowControl/>
              <w:kinsoku w:val="0"/>
              <w:wordWrap/>
              <w:overflowPunct w:val="0"/>
              <w:adjustRightInd w:val="0"/>
              <w:snapToGrid w:val="0"/>
              <w:spacing w:after="0" w:line="360" w:lineRule="auto"/>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Lee</w:t>
            </w:r>
            <w:r w:rsidR="00A86AFC">
              <w:rPr>
                <w:rFonts w:ascii="Book Antiqua" w:eastAsia="SimSun" w:hAnsi="Book Antiqua" w:cs="Arial" w:hint="eastAsia"/>
                <w:color w:val="000000" w:themeColor="text1"/>
                <w:kern w:val="0"/>
                <w:sz w:val="24"/>
                <w:szCs w:val="24"/>
                <w:lang w:eastAsia="zh-CN"/>
              </w:rPr>
              <w:t xml:space="preserve"> </w:t>
            </w:r>
            <w:r w:rsidR="00A86AFC" w:rsidRPr="00A86AFC">
              <w:rPr>
                <w:rFonts w:ascii="Book Antiqua" w:eastAsia="SimSun" w:hAnsi="Book Antiqua" w:cs="Arial" w:hint="eastAsia"/>
                <w:i/>
                <w:color w:val="000000" w:themeColor="text1"/>
                <w:kern w:val="0"/>
                <w:sz w:val="24"/>
                <w:szCs w:val="24"/>
                <w:lang w:eastAsia="zh-CN"/>
              </w:rPr>
              <w:t>et al</w:t>
            </w:r>
            <w:r w:rsidR="00A86AFC"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36</w:t>
            </w:r>
            <w:r w:rsidR="00A86AFC">
              <w:rPr>
                <w:rFonts w:ascii="Book Antiqua" w:eastAsia="SimSun" w:hAnsi="Book Antiqua" w:cs="Arial" w:hint="eastAsia"/>
                <w:color w:val="000000" w:themeColor="text1"/>
                <w:kern w:val="0"/>
                <w:sz w:val="24"/>
                <w:szCs w:val="24"/>
                <w:vertAlign w:val="superscript"/>
                <w:lang w:eastAsia="zh-CN"/>
              </w:rPr>
              <w:t>]</w:t>
            </w:r>
          </w:p>
        </w:tc>
        <w:tc>
          <w:tcPr>
            <w:tcW w:w="850"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2007</w:t>
            </w:r>
          </w:p>
        </w:tc>
        <w:tc>
          <w:tcPr>
            <w:tcW w:w="1134" w:type="dxa"/>
            <w:vAlign w:val="center"/>
          </w:tcPr>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r w:rsidRPr="00031CB9">
              <w:rPr>
                <w:rFonts w:ascii="Book Antiqua" w:hAnsi="Book Antiqua"/>
                <w:color w:val="000000" w:themeColor="text1"/>
                <w:sz w:val="24"/>
                <w:szCs w:val="24"/>
              </w:rPr>
              <w:t>Taiwan</w:t>
            </w:r>
          </w:p>
        </w:tc>
        <w:tc>
          <w:tcPr>
            <w:tcW w:w="993"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123</w:t>
            </w:r>
          </w:p>
        </w:tc>
        <w:tc>
          <w:tcPr>
            <w:tcW w:w="1275"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1.6%</w:t>
            </w:r>
          </w:p>
        </w:tc>
        <w:tc>
          <w:tcPr>
            <w:tcW w:w="1276"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p>
        </w:tc>
        <w:tc>
          <w:tcPr>
            <w:tcW w:w="1248"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p>
        </w:tc>
      </w:tr>
      <w:tr w:rsidR="00F34140" w:rsidRPr="00031CB9" w:rsidTr="00F34140">
        <w:trPr>
          <w:trHeight w:val="416"/>
          <w:jc w:val="center"/>
        </w:trPr>
        <w:tc>
          <w:tcPr>
            <w:tcW w:w="1721" w:type="dxa"/>
            <w:vAlign w:val="center"/>
          </w:tcPr>
          <w:p w:rsidR="006A6314" w:rsidRPr="00A86AFC" w:rsidRDefault="006A6314" w:rsidP="00445758">
            <w:pPr>
              <w:widowControl/>
              <w:kinsoku w:val="0"/>
              <w:wordWrap/>
              <w:overflowPunct w:val="0"/>
              <w:adjustRightInd w:val="0"/>
              <w:snapToGrid w:val="0"/>
              <w:spacing w:after="0" w:line="360" w:lineRule="auto"/>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Chen</w:t>
            </w:r>
            <w:r w:rsidR="00A86AFC">
              <w:rPr>
                <w:rFonts w:ascii="Book Antiqua" w:eastAsia="SimSun" w:hAnsi="Book Antiqua" w:cs="Arial" w:hint="eastAsia"/>
                <w:color w:val="000000" w:themeColor="text1"/>
                <w:kern w:val="0"/>
                <w:sz w:val="24"/>
                <w:szCs w:val="24"/>
                <w:lang w:eastAsia="zh-CN"/>
              </w:rPr>
              <w:t xml:space="preserve"> </w:t>
            </w:r>
            <w:r w:rsidR="00A86AFC" w:rsidRPr="00A86AFC">
              <w:rPr>
                <w:rFonts w:ascii="Book Antiqua" w:eastAsia="SimSun" w:hAnsi="Book Antiqua" w:cs="Arial" w:hint="eastAsia"/>
                <w:i/>
                <w:color w:val="000000" w:themeColor="text1"/>
                <w:kern w:val="0"/>
                <w:sz w:val="24"/>
                <w:szCs w:val="24"/>
                <w:lang w:eastAsia="zh-CN"/>
              </w:rPr>
              <w:t>et al</w:t>
            </w:r>
            <w:r w:rsidR="00A86AFC"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38</w:t>
            </w:r>
            <w:r w:rsidR="00A86AFC">
              <w:rPr>
                <w:rFonts w:ascii="Book Antiqua" w:eastAsia="SimSun" w:hAnsi="Book Antiqua" w:cs="Arial" w:hint="eastAsia"/>
                <w:color w:val="000000" w:themeColor="text1"/>
                <w:kern w:val="0"/>
                <w:sz w:val="24"/>
                <w:szCs w:val="24"/>
                <w:vertAlign w:val="superscript"/>
                <w:lang w:eastAsia="zh-CN"/>
              </w:rPr>
              <w:t>]</w:t>
            </w:r>
          </w:p>
        </w:tc>
        <w:tc>
          <w:tcPr>
            <w:tcW w:w="850"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2004</w:t>
            </w:r>
          </w:p>
        </w:tc>
        <w:tc>
          <w:tcPr>
            <w:tcW w:w="1134"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Hong Kong</w:t>
            </w:r>
          </w:p>
        </w:tc>
        <w:tc>
          <w:tcPr>
            <w:tcW w:w="993" w:type="dxa"/>
            <w:noWrap/>
            <w:vAlign w:val="center"/>
          </w:tcPr>
          <w:p w:rsidR="006A6314" w:rsidRPr="00031CB9" w:rsidRDefault="006A6314" w:rsidP="00445758">
            <w:pPr>
              <w:widowControl/>
              <w:kinsoku w:val="0"/>
              <w:wordWrap/>
              <w:overflowPunct w:val="0"/>
              <w:adjustRightInd w:val="0"/>
              <w:snapToGrid w:val="0"/>
              <w:spacing w:after="0" w:line="360" w:lineRule="auto"/>
              <w:ind w:firstLineChars="50" w:firstLine="120"/>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91</w:t>
            </w:r>
          </w:p>
        </w:tc>
        <w:tc>
          <w:tcPr>
            <w:tcW w:w="1275"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3.3%</w:t>
            </w:r>
          </w:p>
        </w:tc>
        <w:tc>
          <w:tcPr>
            <w:tcW w:w="1276"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p>
        </w:tc>
        <w:tc>
          <w:tcPr>
            <w:tcW w:w="1248"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p>
        </w:tc>
      </w:tr>
      <w:tr w:rsidR="00F34140" w:rsidRPr="00031CB9" w:rsidTr="00F34140">
        <w:trPr>
          <w:trHeight w:val="416"/>
          <w:jc w:val="center"/>
        </w:trPr>
        <w:tc>
          <w:tcPr>
            <w:tcW w:w="1721" w:type="dxa"/>
            <w:vAlign w:val="center"/>
          </w:tcPr>
          <w:p w:rsidR="006A6314" w:rsidRPr="00A86AFC" w:rsidRDefault="006A6314" w:rsidP="00445758">
            <w:pPr>
              <w:widowControl/>
              <w:kinsoku w:val="0"/>
              <w:wordWrap/>
              <w:overflowPunct w:val="0"/>
              <w:adjustRightInd w:val="0"/>
              <w:snapToGrid w:val="0"/>
              <w:spacing w:after="0" w:line="360" w:lineRule="auto"/>
              <w:rPr>
                <w:rFonts w:ascii="Book Antiqua" w:eastAsia="SimSun" w:hAnsi="Book Antiqua" w:cs="Arial"/>
                <w:color w:val="000000" w:themeColor="text1"/>
                <w:kern w:val="0"/>
                <w:sz w:val="24"/>
                <w:szCs w:val="24"/>
                <w:lang w:eastAsia="zh-CN"/>
              </w:rPr>
            </w:pPr>
            <w:r w:rsidRPr="00031CB9">
              <w:rPr>
                <w:rFonts w:ascii="Book Antiqua" w:eastAsia="Dotum" w:hAnsi="Book Antiqua" w:cs="Arial"/>
                <w:color w:val="000000" w:themeColor="text1"/>
                <w:kern w:val="0"/>
                <w:sz w:val="24"/>
                <w:szCs w:val="24"/>
              </w:rPr>
              <w:t>Huang</w:t>
            </w:r>
            <w:r w:rsidR="00A86AFC">
              <w:rPr>
                <w:rFonts w:ascii="Book Antiqua" w:eastAsia="SimSun" w:hAnsi="Book Antiqua" w:cs="Arial" w:hint="eastAsia"/>
                <w:color w:val="000000" w:themeColor="text1"/>
                <w:kern w:val="0"/>
                <w:sz w:val="24"/>
                <w:szCs w:val="24"/>
                <w:lang w:eastAsia="zh-CN"/>
              </w:rPr>
              <w:t xml:space="preserve"> </w:t>
            </w:r>
            <w:r w:rsidR="00A86AFC" w:rsidRPr="00A86AFC">
              <w:rPr>
                <w:rFonts w:ascii="Book Antiqua" w:eastAsia="SimSun" w:hAnsi="Book Antiqua" w:cs="Arial" w:hint="eastAsia"/>
                <w:i/>
                <w:color w:val="000000" w:themeColor="text1"/>
                <w:kern w:val="0"/>
                <w:sz w:val="24"/>
                <w:szCs w:val="24"/>
                <w:lang w:eastAsia="zh-CN"/>
              </w:rPr>
              <w:t>et al</w:t>
            </w:r>
            <w:r w:rsidR="00A86AFC" w:rsidRPr="00A86AFC">
              <w:rPr>
                <w:rFonts w:ascii="Book Antiqua" w:eastAsia="SimSun" w:hAnsi="Book Antiqua" w:cs="Arial" w:hint="eastAsia"/>
                <w:color w:val="000000" w:themeColor="text1"/>
                <w:kern w:val="0"/>
                <w:sz w:val="24"/>
                <w:szCs w:val="24"/>
                <w:vertAlign w:val="superscript"/>
                <w:lang w:eastAsia="zh-CN"/>
              </w:rPr>
              <w:t>[</w:t>
            </w:r>
            <w:r w:rsidRPr="00031CB9">
              <w:rPr>
                <w:rFonts w:ascii="Book Antiqua" w:eastAsia="Dotum" w:hAnsi="Book Antiqua" w:cs="Arial"/>
                <w:color w:val="000000" w:themeColor="text1"/>
                <w:kern w:val="0"/>
                <w:sz w:val="24"/>
                <w:szCs w:val="24"/>
                <w:vertAlign w:val="superscript"/>
              </w:rPr>
              <w:t>42</w:t>
            </w:r>
            <w:r w:rsidR="00A86AFC">
              <w:rPr>
                <w:rFonts w:ascii="Book Antiqua" w:eastAsia="SimSun" w:hAnsi="Book Antiqua" w:cs="Arial" w:hint="eastAsia"/>
                <w:color w:val="000000" w:themeColor="text1"/>
                <w:kern w:val="0"/>
                <w:sz w:val="24"/>
                <w:szCs w:val="24"/>
                <w:vertAlign w:val="superscript"/>
                <w:lang w:eastAsia="zh-CN"/>
              </w:rPr>
              <w:t>]</w:t>
            </w:r>
          </w:p>
        </w:tc>
        <w:tc>
          <w:tcPr>
            <w:tcW w:w="850"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2003</w:t>
            </w:r>
          </w:p>
        </w:tc>
        <w:tc>
          <w:tcPr>
            <w:tcW w:w="1134"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hAnsi="Book Antiqua"/>
                <w:color w:val="000000" w:themeColor="text1"/>
                <w:sz w:val="24"/>
                <w:szCs w:val="24"/>
              </w:rPr>
              <w:t>Taiwan</w:t>
            </w:r>
          </w:p>
        </w:tc>
        <w:tc>
          <w:tcPr>
            <w:tcW w:w="993"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209</w:t>
            </w:r>
          </w:p>
        </w:tc>
        <w:tc>
          <w:tcPr>
            <w:tcW w:w="1275"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2.4%</w:t>
            </w:r>
          </w:p>
        </w:tc>
        <w:tc>
          <w:tcPr>
            <w:tcW w:w="1276" w:type="dxa"/>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 xml:space="preserve"> 0.7%</w:t>
            </w:r>
          </w:p>
        </w:tc>
        <w:tc>
          <w:tcPr>
            <w:tcW w:w="1248" w:type="dxa"/>
            <w:noWrap/>
            <w:vAlign w:val="center"/>
          </w:tcPr>
          <w:p w:rsidR="006A6314" w:rsidRPr="00031CB9" w:rsidRDefault="006A6314" w:rsidP="00445758">
            <w:pPr>
              <w:widowControl/>
              <w:kinsoku w:val="0"/>
              <w:wordWrap/>
              <w:overflowPunct w:val="0"/>
              <w:adjustRightInd w:val="0"/>
              <w:snapToGrid w:val="0"/>
              <w:spacing w:after="0" w:line="360" w:lineRule="auto"/>
              <w:rPr>
                <w:rFonts w:ascii="Book Antiqua" w:eastAsia="Dotum" w:hAnsi="Book Antiqua" w:cs="Arial"/>
                <w:color w:val="000000" w:themeColor="text1"/>
                <w:kern w:val="0"/>
                <w:sz w:val="24"/>
                <w:szCs w:val="24"/>
              </w:rPr>
            </w:pPr>
            <w:r w:rsidRPr="00031CB9">
              <w:rPr>
                <w:rFonts w:ascii="Book Antiqua" w:eastAsia="Dotum" w:hAnsi="Book Antiqua" w:cs="Arial"/>
                <w:color w:val="000000" w:themeColor="text1"/>
                <w:kern w:val="0"/>
                <w:sz w:val="24"/>
                <w:szCs w:val="24"/>
              </w:rPr>
              <w:t xml:space="preserve"> 6.6%</w:t>
            </w:r>
          </w:p>
        </w:tc>
      </w:tr>
    </w:tbl>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6A6314" w:rsidRPr="00031CB9" w:rsidRDefault="006A6314" w:rsidP="00445758">
      <w:pPr>
        <w:kinsoku w:val="0"/>
        <w:wordWrap/>
        <w:overflowPunct w:val="0"/>
        <w:adjustRightInd w:val="0"/>
        <w:snapToGrid w:val="0"/>
        <w:spacing w:after="0" w:line="360" w:lineRule="auto"/>
        <w:rPr>
          <w:rFonts w:ascii="Book Antiqua" w:hAnsi="Book Antiqua"/>
          <w:color w:val="000000" w:themeColor="text1"/>
          <w:sz w:val="24"/>
          <w:szCs w:val="24"/>
        </w:rPr>
      </w:pPr>
    </w:p>
    <w:p w:rsidR="000A6FE6" w:rsidRPr="00031CB9" w:rsidRDefault="000A6FE6" w:rsidP="00445758">
      <w:pPr>
        <w:widowControl/>
        <w:kinsoku w:val="0"/>
        <w:wordWrap/>
        <w:overflowPunct w:val="0"/>
        <w:adjustRightInd w:val="0"/>
        <w:snapToGrid w:val="0"/>
        <w:spacing w:after="0" w:line="360" w:lineRule="auto"/>
        <w:rPr>
          <w:rFonts w:ascii="Book Antiqua" w:hAnsi="Book Antiqua"/>
          <w:color w:val="000000" w:themeColor="text1"/>
          <w:sz w:val="24"/>
          <w:szCs w:val="24"/>
        </w:rPr>
      </w:pPr>
      <w:r w:rsidRPr="00031CB9">
        <w:rPr>
          <w:rFonts w:ascii="Book Antiqua" w:hAnsi="Book Antiqua"/>
          <w:color w:val="000000" w:themeColor="text1"/>
          <w:sz w:val="24"/>
          <w:szCs w:val="24"/>
        </w:rPr>
        <w:br w:type="page"/>
      </w:r>
    </w:p>
    <w:p w:rsidR="006A6314" w:rsidRPr="00A86AFC" w:rsidRDefault="006A6314" w:rsidP="00445758">
      <w:pPr>
        <w:kinsoku w:val="0"/>
        <w:wordWrap/>
        <w:overflowPunct w:val="0"/>
        <w:adjustRightInd w:val="0"/>
        <w:snapToGrid w:val="0"/>
        <w:spacing w:after="0" w:line="360" w:lineRule="auto"/>
        <w:rPr>
          <w:rFonts w:ascii="Book Antiqua" w:eastAsia="SimSun" w:hAnsi="Book Antiqua"/>
          <w:b/>
          <w:color w:val="000000" w:themeColor="text1"/>
          <w:kern w:val="0"/>
          <w:sz w:val="24"/>
          <w:szCs w:val="24"/>
          <w:lang w:eastAsia="zh-CN"/>
        </w:rPr>
      </w:pPr>
      <w:r w:rsidRPr="00A86AFC">
        <w:rPr>
          <w:rFonts w:ascii="Book Antiqua" w:hAnsi="Book Antiqua" w:cs="Arial"/>
          <w:b/>
          <w:color w:val="000000" w:themeColor="text1"/>
          <w:kern w:val="0"/>
          <w:sz w:val="24"/>
          <w:szCs w:val="24"/>
        </w:rPr>
        <w:lastRenderedPageBreak/>
        <w:t>Table 3</w:t>
      </w:r>
      <w:r w:rsidRPr="00A86AFC">
        <w:rPr>
          <w:rFonts w:ascii="Book Antiqua" w:hAnsi="Book Antiqua"/>
          <w:b/>
          <w:color w:val="000000" w:themeColor="text1"/>
          <w:kern w:val="0"/>
          <w:sz w:val="24"/>
          <w:szCs w:val="24"/>
        </w:rPr>
        <w:t xml:space="preserve"> </w:t>
      </w:r>
      <w:r w:rsidRPr="00A86AFC">
        <w:rPr>
          <w:rFonts w:ascii="Book Antiqua" w:hAnsi="Book Antiqua" w:cs="Arial"/>
          <w:b/>
          <w:color w:val="000000" w:themeColor="text1"/>
          <w:sz w:val="24"/>
          <w:szCs w:val="24"/>
        </w:rPr>
        <w:t>Clinical characteristics of subsequent cholangiocarcinoma patients</w:t>
      </w:r>
      <w:r w:rsidRPr="00A86AFC">
        <w:rPr>
          <w:rFonts w:ascii="Book Antiqua" w:hAnsi="Book Antiqua" w:cs="Arial"/>
          <w:b/>
          <w:color w:val="000000" w:themeColor="text1"/>
          <w:sz w:val="24"/>
          <w:szCs w:val="24"/>
          <w:vertAlign w:val="superscript"/>
        </w:rPr>
        <w:t>[33]</w:t>
      </w:r>
    </w:p>
    <w:tbl>
      <w:tblPr>
        <w:tblW w:w="7946" w:type="dxa"/>
        <w:jc w:val="center"/>
        <w:tblBorders>
          <w:top w:val="single" w:sz="4" w:space="0" w:color="auto"/>
          <w:bottom w:val="single" w:sz="4" w:space="0" w:color="auto"/>
        </w:tblBorders>
        <w:tblLayout w:type="fixed"/>
        <w:tblCellMar>
          <w:left w:w="99" w:type="dxa"/>
          <w:right w:w="99" w:type="dxa"/>
        </w:tblCellMar>
        <w:tblLook w:val="0000" w:firstRow="0" w:lastRow="0" w:firstColumn="0" w:lastColumn="0" w:noHBand="0" w:noVBand="0"/>
      </w:tblPr>
      <w:tblGrid>
        <w:gridCol w:w="678"/>
        <w:gridCol w:w="992"/>
        <w:gridCol w:w="854"/>
        <w:gridCol w:w="141"/>
        <w:gridCol w:w="1276"/>
        <w:gridCol w:w="284"/>
        <w:gridCol w:w="925"/>
        <w:gridCol w:w="1114"/>
        <w:gridCol w:w="974"/>
        <w:gridCol w:w="708"/>
      </w:tblGrid>
      <w:tr w:rsidR="00031CB9" w:rsidRPr="00A86AFC" w:rsidTr="00E70D70">
        <w:trPr>
          <w:trHeight w:val="270"/>
          <w:jc w:val="center"/>
        </w:trPr>
        <w:tc>
          <w:tcPr>
            <w:tcW w:w="678" w:type="dxa"/>
            <w:tcBorders>
              <w:top w:val="single" w:sz="12" w:space="0" w:color="auto"/>
              <w:bottom w:val="single" w:sz="4"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Case</w:t>
            </w:r>
          </w:p>
        </w:tc>
        <w:tc>
          <w:tcPr>
            <w:tcW w:w="992" w:type="dxa"/>
            <w:tcBorders>
              <w:top w:val="single" w:sz="12" w:space="0" w:color="auto"/>
              <w:bottom w:val="single" w:sz="4"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Age/</w:t>
            </w:r>
            <w:r w:rsidR="00445758" w:rsidRPr="00A86AFC">
              <w:rPr>
                <w:rFonts w:ascii="Book Antiqua" w:eastAsia="Dotum" w:hAnsi="Book Antiqua" w:cs="Arial"/>
                <w:b/>
                <w:color w:val="000000" w:themeColor="text1"/>
                <w:kern w:val="0"/>
                <w:sz w:val="24"/>
                <w:szCs w:val="24"/>
              </w:rPr>
              <w:t>s</w:t>
            </w:r>
            <w:r w:rsidRPr="00A86AFC">
              <w:rPr>
                <w:rFonts w:ascii="Book Antiqua" w:eastAsia="Dotum" w:hAnsi="Book Antiqua" w:cs="Arial"/>
                <w:b/>
                <w:color w:val="000000" w:themeColor="text1"/>
                <w:kern w:val="0"/>
                <w:sz w:val="24"/>
                <w:szCs w:val="24"/>
              </w:rPr>
              <w:t>ex</w:t>
            </w:r>
          </w:p>
        </w:tc>
        <w:tc>
          <w:tcPr>
            <w:tcW w:w="995" w:type="dxa"/>
            <w:gridSpan w:val="2"/>
            <w:tcBorders>
              <w:top w:val="single" w:sz="12" w:space="0" w:color="auto"/>
              <w:bottom w:val="single" w:sz="4"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Location of stone</w:t>
            </w:r>
          </w:p>
        </w:tc>
        <w:tc>
          <w:tcPr>
            <w:tcW w:w="1276" w:type="dxa"/>
            <w:tcBorders>
              <w:top w:val="single" w:sz="12" w:space="0" w:color="auto"/>
              <w:bottom w:val="single" w:sz="4" w:space="0" w:color="auto"/>
            </w:tcBorders>
            <w:noWrap/>
            <w:vAlign w:val="center"/>
          </w:tcPr>
          <w:p w:rsidR="006A6314" w:rsidRPr="00A86AFC" w:rsidRDefault="000B036E"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Treatment</w:t>
            </w:r>
            <w:r w:rsidR="006A6314" w:rsidRPr="00A86AFC">
              <w:rPr>
                <w:rFonts w:ascii="Book Antiqua" w:eastAsia="Dotum" w:hAnsi="Book Antiqua" w:cs="Arial"/>
                <w:b/>
                <w:color w:val="000000" w:themeColor="text1"/>
                <w:kern w:val="0"/>
                <w:sz w:val="24"/>
                <w:szCs w:val="24"/>
              </w:rPr>
              <w:t>method</w:t>
            </w:r>
          </w:p>
        </w:tc>
        <w:tc>
          <w:tcPr>
            <w:tcW w:w="1209" w:type="dxa"/>
            <w:gridSpan w:val="2"/>
            <w:tcBorders>
              <w:top w:val="single" w:sz="12" w:space="0" w:color="auto"/>
              <w:bottom w:val="single" w:sz="4" w:space="0" w:color="auto"/>
            </w:tcBorders>
            <w:vAlign w:val="center"/>
          </w:tcPr>
          <w:p w:rsidR="006A6314" w:rsidRPr="00A86AFC" w:rsidRDefault="00940531"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 xml:space="preserve"> </w:t>
            </w:r>
            <w:r w:rsidR="006A6314" w:rsidRPr="00A86AFC">
              <w:rPr>
                <w:rFonts w:ascii="Book Antiqua" w:eastAsia="Dotum" w:hAnsi="Book Antiqua" w:cs="Arial"/>
                <w:b/>
                <w:color w:val="000000" w:themeColor="text1"/>
                <w:kern w:val="0"/>
                <w:sz w:val="24"/>
                <w:szCs w:val="24"/>
              </w:rPr>
              <w:t>Residual</w:t>
            </w:r>
            <w:r w:rsidRPr="00A86AFC">
              <w:rPr>
                <w:rFonts w:ascii="Book Antiqua" w:eastAsia="Dotum" w:hAnsi="Book Antiqua" w:cs="Arial"/>
                <w:b/>
                <w:color w:val="000000" w:themeColor="text1"/>
                <w:kern w:val="0"/>
                <w:sz w:val="24"/>
                <w:szCs w:val="24"/>
              </w:rPr>
              <w:t xml:space="preserve"> </w:t>
            </w:r>
            <w:r w:rsidR="006A6314" w:rsidRPr="00A86AFC">
              <w:rPr>
                <w:rFonts w:ascii="Book Antiqua" w:eastAsia="Dotum" w:hAnsi="Book Antiqua" w:cs="Arial"/>
                <w:b/>
                <w:color w:val="000000" w:themeColor="text1"/>
                <w:kern w:val="0"/>
                <w:sz w:val="24"/>
                <w:szCs w:val="24"/>
              </w:rPr>
              <w:t>stone</w:t>
            </w:r>
          </w:p>
        </w:tc>
        <w:tc>
          <w:tcPr>
            <w:tcW w:w="1114" w:type="dxa"/>
            <w:tcBorders>
              <w:top w:val="single" w:sz="12" w:space="0" w:color="auto"/>
              <w:bottom w:val="single" w:sz="4"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Time of CC</w:t>
            </w:r>
            <w:r w:rsidR="00A33E92">
              <w:rPr>
                <w:rFonts w:ascii="Book Antiqua" w:eastAsia="SimSun" w:hAnsi="Book Antiqua" w:cs="Arial" w:hint="eastAsia"/>
                <w:b/>
                <w:color w:val="000000" w:themeColor="text1"/>
                <w:kern w:val="0"/>
                <w:sz w:val="24"/>
                <w:szCs w:val="24"/>
                <w:lang w:eastAsia="zh-CN"/>
              </w:rPr>
              <w:t xml:space="preserve"> </w:t>
            </w:r>
            <w:r w:rsidRPr="00A86AFC">
              <w:rPr>
                <w:rFonts w:ascii="Book Antiqua" w:eastAsia="Dotum" w:hAnsi="Book Antiqua" w:cs="Arial"/>
                <w:b/>
                <w:color w:val="000000" w:themeColor="text1"/>
                <w:kern w:val="0"/>
                <w:sz w:val="24"/>
                <w:szCs w:val="24"/>
              </w:rPr>
              <w:t>(mo)</w:t>
            </w:r>
          </w:p>
        </w:tc>
        <w:tc>
          <w:tcPr>
            <w:tcW w:w="974" w:type="dxa"/>
            <w:tcBorders>
              <w:top w:val="single" w:sz="12" w:space="0" w:color="auto"/>
              <w:bottom w:val="single" w:sz="4" w:space="0" w:color="auto"/>
            </w:tcBorders>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Location of CC</w:t>
            </w:r>
          </w:p>
        </w:tc>
        <w:tc>
          <w:tcPr>
            <w:tcW w:w="708" w:type="dxa"/>
            <w:tcBorders>
              <w:top w:val="single" w:sz="12" w:space="0" w:color="auto"/>
              <w:bottom w:val="single" w:sz="4"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
                <w:color w:val="000000" w:themeColor="text1"/>
                <w:kern w:val="0"/>
                <w:sz w:val="24"/>
                <w:szCs w:val="24"/>
              </w:rPr>
            </w:pPr>
            <w:r w:rsidRPr="00A86AFC">
              <w:rPr>
                <w:rFonts w:ascii="Book Antiqua" w:eastAsia="Dotum" w:hAnsi="Book Antiqua" w:cs="Arial"/>
                <w:b/>
                <w:color w:val="000000" w:themeColor="text1"/>
                <w:kern w:val="0"/>
                <w:sz w:val="24"/>
                <w:szCs w:val="24"/>
              </w:rPr>
              <w:t>Stage</w:t>
            </w:r>
          </w:p>
        </w:tc>
      </w:tr>
      <w:tr w:rsidR="00031CB9" w:rsidRPr="00A86AFC" w:rsidTr="00E70D70">
        <w:trPr>
          <w:trHeight w:val="416"/>
          <w:jc w:val="center"/>
        </w:trPr>
        <w:tc>
          <w:tcPr>
            <w:tcW w:w="678" w:type="dxa"/>
            <w:tcBorders>
              <w:top w:val="single" w:sz="4"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1</w:t>
            </w:r>
          </w:p>
        </w:tc>
        <w:tc>
          <w:tcPr>
            <w:tcW w:w="992" w:type="dxa"/>
            <w:tcBorders>
              <w:top w:val="single" w:sz="4"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M/65</w:t>
            </w:r>
          </w:p>
        </w:tc>
        <w:tc>
          <w:tcPr>
            <w:tcW w:w="995" w:type="dxa"/>
            <w:gridSpan w:val="2"/>
            <w:tcBorders>
              <w:top w:val="single" w:sz="4"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1560" w:type="dxa"/>
            <w:gridSpan w:val="2"/>
            <w:tcBorders>
              <w:top w:val="single" w:sz="4" w:space="0" w:color="auto"/>
            </w:tcBorders>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ERCP</w:t>
            </w:r>
          </w:p>
        </w:tc>
        <w:tc>
          <w:tcPr>
            <w:tcW w:w="925" w:type="dxa"/>
            <w:tcBorders>
              <w:top w:val="single" w:sz="4" w:space="0" w:color="auto"/>
            </w:tcBorders>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Yes</w:t>
            </w:r>
          </w:p>
        </w:tc>
        <w:tc>
          <w:tcPr>
            <w:tcW w:w="1114" w:type="dxa"/>
            <w:tcBorders>
              <w:top w:val="single" w:sz="4"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14</w:t>
            </w:r>
          </w:p>
        </w:tc>
        <w:tc>
          <w:tcPr>
            <w:tcW w:w="974" w:type="dxa"/>
            <w:tcBorders>
              <w:top w:val="single" w:sz="4" w:space="0" w:color="auto"/>
            </w:tcBorders>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708" w:type="dxa"/>
            <w:tcBorders>
              <w:top w:val="single" w:sz="4"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IVA</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2</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M/69</w:t>
            </w:r>
          </w:p>
        </w:tc>
        <w:tc>
          <w:tcPr>
            <w:tcW w:w="995" w:type="dxa"/>
            <w:gridSpan w:val="2"/>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1560" w:type="dxa"/>
            <w:gridSpan w:val="2"/>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PTCSL</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Yes</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15</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III</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3</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M/72</w:t>
            </w:r>
          </w:p>
        </w:tc>
        <w:tc>
          <w:tcPr>
            <w:tcW w:w="995" w:type="dxa"/>
            <w:gridSpan w:val="2"/>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1560" w:type="dxa"/>
            <w:gridSpan w:val="2"/>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PTCSL</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Yes</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17</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IVA</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4</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M/66</w:t>
            </w:r>
          </w:p>
        </w:tc>
        <w:tc>
          <w:tcPr>
            <w:tcW w:w="995" w:type="dxa"/>
            <w:gridSpan w:val="2"/>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1560" w:type="dxa"/>
            <w:gridSpan w:val="2"/>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ERCP</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Yes</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21</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III</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5</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M/51</w:t>
            </w:r>
          </w:p>
        </w:tc>
        <w:tc>
          <w:tcPr>
            <w:tcW w:w="995" w:type="dxa"/>
            <w:gridSpan w:val="2"/>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1560" w:type="dxa"/>
            <w:gridSpan w:val="2"/>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PTCSL</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Yes</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13</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IVA</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6</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M/63</w:t>
            </w:r>
          </w:p>
        </w:tc>
        <w:tc>
          <w:tcPr>
            <w:tcW w:w="995" w:type="dxa"/>
            <w:gridSpan w:val="2"/>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hAnsi="Book Antiqua" w:cs="Arial"/>
                <w:color w:val="000000" w:themeColor="text1"/>
                <w:kern w:val="0"/>
                <w:sz w:val="24"/>
                <w:szCs w:val="24"/>
              </w:rPr>
            </w:pPr>
            <w:r w:rsidRPr="00A86AFC">
              <w:rPr>
                <w:rFonts w:ascii="Book Antiqua" w:hAnsi="Book Antiqua" w:cs="Arial"/>
                <w:color w:val="000000" w:themeColor="text1"/>
                <w:kern w:val="0"/>
                <w:sz w:val="24"/>
                <w:szCs w:val="24"/>
              </w:rPr>
              <w:t>Lt</w:t>
            </w:r>
          </w:p>
        </w:tc>
        <w:tc>
          <w:tcPr>
            <w:tcW w:w="1560" w:type="dxa"/>
            <w:gridSpan w:val="2"/>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PTCSL</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No</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53</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IVA</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7</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F/71</w:t>
            </w:r>
          </w:p>
        </w:tc>
        <w:tc>
          <w:tcPr>
            <w:tcW w:w="995" w:type="dxa"/>
            <w:gridSpan w:val="2"/>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Rt</w:t>
            </w:r>
          </w:p>
        </w:tc>
        <w:tc>
          <w:tcPr>
            <w:tcW w:w="1560" w:type="dxa"/>
            <w:gridSpan w:val="2"/>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ERCP</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Yes</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79</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Both</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III</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8</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F/54</w:t>
            </w:r>
          </w:p>
        </w:tc>
        <w:tc>
          <w:tcPr>
            <w:tcW w:w="995" w:type="dxa"/>
            <w:gridSpan w:val="2"/>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Both</w:t>
            </w:r>
          </w:p>
        </w:tc>
        <w:tc>
          <w:tcPr>
            <w:tcW w:w="1560" w:type="dxa"/>
            <w:gridSpan w:val="2"/>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PTCSL</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Yes</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10</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IVA</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9</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F/56</w:t>
            </w:r>
          </w:p>
        </w:tc>
        <w:tc>
          <w:tcPr>
            <w:tcW w:w="995" w:type="dxa"/>
            <w:gridSpan w:val="2"/>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Rt</w:t>
            </w:r>
          </w:p>
        </w:tc>
        <w:tc>
          <w:tcPr>
            <w:tcW w:w="1560" w:type="dxa"/>
            <w:gridSpan w:val="2"/>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PTCSL</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No</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111</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Rt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IVA</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10</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F/65</w:t>
            </w:r>
          </w:p>
        </w:tc>
        <w:tc>
          <w:tcPr>
            <w:tcW w:w="995" w:type="dxa"/>
            <w:gridSpan w:val="2"/>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Both</w:t>
            </w:r>
          </w:p>
        </w:tc>
        <w:tc>
          <w:tcPr>
            <w:tcW w:w="1560" w:type="dxa"/>
            <w:gridSpan w:val="2"/>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PTCSL</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Yes</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hAnsi="Book Antiqua" w:cs="Arial"/>
                <w:color w:val="000000" w:themeColor="text1"/>
                <w:kern w:val="0"/>
                <w:sz w:val="24"/>
                <w:szCs w:val="24"/>
              </w:rPr>
            </w:pPr>
            <w:r w:rsidRPr="00A86AFC">
              <w:rPr>
                <w:rFonts w:ascii="Book Antiqua" w:hAnsi="Book Antiqua" w:cs="Arial"/>
                <w:color w:val="000000" w:themeColor="text1"/>
                <w:kern w:val="0"/>
                <w:sz w:val="24"/>
                <w:szCs w:val="24"/>
              </w:rPr>
              <w:t>72</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Lt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color w:val="000000" w:themeColor="text1"/>
                <w:kern w:val="0"/>
                <w:sz w:val="24"/>
                <w:szCs w:val="24"/>
              </w:rPr>
            </w:pPr>
            <w:r w:rsidRPr="00A86AFC">
              <w:rPr>
                <w:rFonts w:ascii="Book Antiqua" w:eastAsia="Dotum" w:hAnsi="Book Antiqua" w:cs="Arial"/>
                <w:color w:val="000000" w:themeColor="text1"/>
                <w:kern w:val="0"/>
                <w:sz w:val="24"/>
                <w:szCs w:val="24"/>
              </w:rPr>
              <w:t>IVA</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11</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M/60</w:t>
            </w:r>
          </w:p>
        </w:tc>
        <w:tc>
          <w:tcPr>
            <w:tcW w:w="85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Both</w:t>
            </w:r>
          </w:p>
        </w:tc>
        <w:tc>
          <w:tcPr>
            <w:tcW w:w="1701" w:type="dxa"/>
            <w:gridSpan w:val="3"/>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Lt.</w:t>
            </w:r>
            <w:r w:rsidR="008E5FB6" w:rsidRPr="00A86AFC">
              <w:rPr>
                <w:rFonts w:ascii="Book Antiqua" w:eastAsia="Dotum" w:hAnsi="Book Antiqua" w:cs="Arial"/>
                <w:bCs/>
                <w:color w:val="000000" w:themeColor="text1"/>
                <w:kern w:val="0"/>
                <w:sz w:val="24"/>
                <w:szCs w:val="24"/>
              </w:rPr>
              <w:t xml:space="preserve"> </w:t>
            </w:r>
            <w:r w:rsidRPr="00A86AFC">
              <w:rPr>
                <w:rFonts w:ascii="Book Antiqua" w:eastAsia="Dotum" w:hAnsi="Book Antiqua" w:cs="Arial"/>
                <w:bCs/>
                <w:color w:val="000000" w:themeColor="text1"/>
                <w:kern w:val="0"/>
                <w:sz w:val="24"/>
                <w:szCs w:val="24"/>
              </w:rPr>
              <w:t>hemi</w:t>
            </w:r>
            <w:r w:rsidR="008E5FB6" w:rsidRPr="00A86AFC">
              <w:rPr>
                <w:rFonts w:ascii="Book Antiqua" w:eastAsia="Dotum" w:hAnsi="Book Antiqua" w:cs="Arial"/>
                <w:bCs/>
                <w:color w:val="000000" w:themeColor="text1"/>
                <w:kern w:val="0"/>
                <w:sz w:val="24"/>
                <w:szCs w:val="24"/>
              </w:rPr>
              <w:t>-</w:t>
            </w:r>
            <w:r w:rsidRPr="00A86AFC">
              <w:rPr>
                <w:rFonts w:ascii="Book Antiqua" w:eastAsia="Dotum" w:hAnsi="Book Antiqua" w:cs="Arial"/>
                <w:bCs/>
                <w:color w:val="000000" w:themeColor="text1"/>
                <w:kern w:val="0"/>
                <w:sz w:val="24"/>
                <w:szCs w:val="24"/>
              </w:rPr>
              <w:t>hepatectomy</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color w:val="000000" w:themeColor="text1"/>
                <w:kern w:val="0"/>
                <w:sz w:val="24"/>
                <w:szCs w:val="24"/>
              </w:rPr>
              <w:t>Yes</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102</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Rt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III</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12</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F/67</w:t>
            </w:r>
          </w:p>
        </w:tc>
        <w:tc>
          <w:tcPr>
            <w:tcW w:w="85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Both</w:t>
            </w:r>
          </w:p>
        </w:tc>
        <w:tc>
          <w:tcPr>
            <w:tcW w:w="1701" w:type="dxa"/>
            <w:gridSpan w:val="3"/>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Lt. lobectomy</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color w:val="000000" w:themeColor="text1"/>
                <w:kern w:val="0"/>
                <w:sz w:val="24"/>
                <w:szCs w:val="24"/>
              </w:rPr>
              <w:t>Yes</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55</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Rt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color w:val="000000" w:themeColor="text1"/>
                <w:kern w:val="0"/>
                <w:sz w:val="24"/>
                <w:szCs w:val="24"/>
              </w:rPr>
              <w:t>IVA</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13</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F/51</w:t>
            </w:r>
          </w:p>
        </w:tc>
        <w:tc>
          <w:tcPr>
            <w:tcW w:w="85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Lt</w:t>
            </w:r>
          </w:p>
        </w:tc>
        <w:tc>
          <w:tcPr>
            <w:tcW w:w="1701" w:type="dxa"/>
            <w:gridSpan w:val="3"/>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Lt. hemi</w:t>
            </w:r>
            <w:r w:rsidR="008E5FB6" w:rsidRPr="00A86AFC">
              <w:rPr>
                <w:rFonts w:ascii="Book Antiqua" w:eastAsia="Dotum" w:hAnsi="Book Antiqua" w:cs="Arial"/>
                <w:bCs/>
                <w:color w:val="000000" w:themeColor="text1"/>
                <w:kern w:val="0"/>
                <w:sz w:val="24"/>
                <w:szCs w:val="24"/>
              </w:rPr>
              <w:t>-</w:t>
            </w:r>
            <w:r w:rsidR="00E70D70" w:rsidRPr="00A86AFC">
              <w:rPr>
                <w:rFonts w:ascii="Book Antiqua" w:eastAsia="Dotum" w:hAnsi="Book Antiqua" w:cs="Arial"/>
                <w:bCs/>
                <w:color w:val="000000" w:themeColor="text1"/>
                <w:kern w:val="0"/>
                <w:sz w:val="24"/>
                <w:szCs w:val="24"/>
              </w:rPr>
              <w:t xml:space="preserve"> </w:t>
            </w:r>
            <w:r w:rsidRPr="00A86AFC">
              <w:rPr>
                <w:rFonts w:ascii="Book Antiqua" w:eastAsia="Dotum" w:hAnsi="Book Antiqua" w:cs="Arial"/>
                <w:bCs/>
                <w:color w:val="000000" w:themeColor="text1"/>
                <w:kern w:val="0"/>
                <w:sz w:val="24"/>
                <w:szCs w:val="24"/>
              </w:rPr>
              <w:t>hepatectomy</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No</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109</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Lt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II</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14</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M/52</w:t>
            </w:r>
          </w:p>
        </w:tc>
        <w:tc>
          <w:tcPr>
            <w:tcW w:w="85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Both</w:t>
            </w:r>
          </w:p>
        </w:tc>
        <w:tc>
          <w:tcPr>
            <w:tcW w:w="1701" w:type="dxa"/>
            <w:gridSpan w:val="3"/>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Lt. lobectomy</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Yes</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28</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Rt</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color w:val="000000" w:themeColor="text1"/>
                <w:kern w:val="0"/>
                <w:sz w:val="24"/>
                <w:szCs w:val="24"/>
              </w:rPr>
              <w:t>IVA</w:t>
            </w:r>
          </w:p>
        </w:tc>
      </w:tr>
      <w:tr w:rsidR="00031CB9" w:rsidRPr="00A86AFC" w:rsidTr="00E70D70">
        <w:trPr>
          <w:trHeight w:val="416"/>
          <w:jc w:val="center"/>
        </w:trPr>
        <w:tc>
          <w:tcPr>
            <w:tcW w:w="67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SimSun" w:hAnsi="Book Antiqua" w:cs="Arial"/>
                <w:bCs/>
                <w:color w:val="000000" w:themeColor="text1"/>
                <w:kern w:val="0"/>
                <w:sz w:val="24"/>
                <w:szCs w:val="24"/>
                <w:lang w:eastAsia="zh-CN"/>
              </w:rPr>
            </w:pPr>
            <w:r w:rsidRPr="00A86AFC">
              <w:rPr>
                <w:rFonts w:ascii="Book Antiqua" w:eastAsia="Dotum" w:hAnsi="Book Antiqua" w:cs="Arial"/>
                <w:bCs/>
                <w:color w:val="000000" w:themeColor="text1"/>
                <w:kern w:val="0"/>
                <w:sz w:val="24"/>
                <w:szCs w:val="24"/>
              </w:rPr>
              <w:t>15</w:t>
            </w:r>
            <w:r w:rsidR="00A86AFC" w:rsidRPr="00A86AFC">
              <w:rPr>
                <w:rFonts w:ascii="Book Antiqua" w:eastAsia="SimSun" w:hAnsi="Book Antiqua" w:cs="Arial"/>
                <w:bCs/>
                <w:color w:val="000000" w:themeColor="text1"/>
                <w:kern w:val="0"/>
                <w:sz w:val="24"/>
                <w:szCs w:val="24"/>
                <w:vertAlign w:val="superscript"/>
                <w:lang w:eastAsia="zh-CN"/>
              </w:rPr>
              <w:t>1</w:t>
            </w:r>
          </w:p>
        </w:tc>
        <w:tc>
          <w:tcPr>
            <w:tcW w:w="992"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F/47</w:t>
            </w:r>
          </w:p>
        </w:tc>
        <w:tc>
          <w:tcPr>
            <w:tcW w:w="85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Lt</w:t>
            </w:r>
          </w:p>
        </w:tc>
        <w:tc>
          <w:tcPr>
            <w:tcW w:w="1701" w:type="dxa"/>
            <w:gridSpan w:val="3"/>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Lt.</w:t>
            </w:r>
            <w:r w:rsidR="00E70D70" w:rsidRPr="00A86AFC">
              <w:rPr>
                <w:rFonts w:ascii="Book Antiqua" w:eastAsia="Dotum" w:hAnsi="Book Antiqua" w:cs="Arial"/>
                <w:bCs/>
                <w:color w:val="000000" w:themeColor="text1"/>
                <w:kern w:val="0"/>
                <w:sz w:val="24"/>
                <w:szCs w:val="24"/>
              </w:rPr>
              <w:t xml:space="preserve"> </w:t>
            </w:r>
            <w:r w:rsidRPr="00A86AFC">
              <w:rPr>
                <w:rFonts w:ascii="Book Antiqua" w:eastAsia="Dotum" w:hAnsi="Book Antiqua" w:cs="Arial"/>
                <w:bCs/>
                <w:color w:val="000000" w:themeColor="text1"/>
                <w:kern w:val="0"/>
                <w:sz w:val="24"/>
                <w:szCs w:val="24"/>
              </w:rPr>
              <w:t>hemi</w:t>
            </w:r>
            <w:r w:rsidR="008E5FB6" w:rsidRPr="00A86AFC">
              <w:rPr>
                <w:rFonts w:ascii="Book Antiqua" w:eastAsia="Dotum" w:hAnsi="Book Antiqua" w:cs="Arial"/>
                <w:bCs/>
                <w:color w:val="000000" w:themeColor="text1"/>
                <w:kern w:val="0"/>
                <w:sz w:val="24"/>
                <w:szCs w:val="24"/>
              </w:rPr>
              <w:t>-</w:t>
            </w:r>
            <w:r w:rsidRPr="00A86AFC">
              <w:rPr>
                <w:rFonts w:ascii="Book Antiqua" w:eastAsia="Dotum" w:hAnsi="Book Antiqua" w:cs="Arial"/>
                <w:bCs/>
                <w:color w:val="000000" w:themeColor="text1"/>
                <w:kern w:val="0"/>
                <w:sz w:val="24"/>
                <w:szCs w:val="24"/>
              </w:rPr>
              <w:t>hepatectomy</w:t>
            </w:r>
          </w:p>
        </w:tc>
        <w:tc>
          <w:tcPr>
            <w:tcW w:w="925" w:type="dxa"/>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No</w:t>
            </w:r>
          </w:p>
        </w:tc>
        <w:tc>
          <w:tcPr>
            <w:tcW w:w="1114"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14</w:t>
            </w:r>
          </w:p>
        </w:tc>
        <w:tc>
          <w:tcPr>
            <w:tcW w:w="974" w:type="dxa"/>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Caudate</w:t>
            </w:r>
          </w:p>
        </w:tc>
        <w:tc>
          <w:tcPr>
            <w:tcW w:w="708" w:type="dxa"/>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III</w:t>
            </w:r>
          </w:p>
        </w:tc>
      </w:tr>
      <w:tr w:rsidR="006A6314" w:rsidRPr="00A86AFC" w:rsidTr="00E70D70">
        <w:trPr>
          <w:trHeight w:val="416"/>
          <w:jc w:val="center"/>
        </w:trPr>
        <w:tc>
          <w:tcPr>
            <w:tcW w:w="678" w:type="dxa"/>
            <w:tcBorders>
              <w:bottom w:val="single" w:sz="12"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16</w:t>
            </w:r>
          </w:p>
        </w:tc>
        <w:tc>
          <w:tcPr>
            <w:tcW w:w="992" w:type="dxa"/>
            <w:tcBorders>
              <w:bottom w:val="single" w:sz="12"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F/56</w:t>
            </w:r>
          </w:p>
        </w:tc>
        <w:tc>
          <w:tcPr>
            <w:tcW w:w="854" w:type="dxa"/>
            <w:tcBorders>
              <w:bottom w:val="single" w:sz="12"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Both</w:t>
            </w:r>
          </w:p>
        </w:tc>
        <w:tc>
          <w:tcPr>
            <w:tcW w:w="1701" w:type="dxa"/>
            <w:gridSpan w:val="3"/>
            <w:tcBorders>
              <w:bottom w:val="single" w:sz="12" w:space="0" w:color="auto"/>
            </w:tcBorders>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Lt. lobectomy</w:t>
            </w:r>
          </w:p>
        </w:tc>
        <w:tc>
          <w:tcPr>
            <w:tcW w:w="925" w:type="dxa"/>
            <w:tcBorders>
              <w:bottom w:val="single" w:sz="12" w:space="0" w:color="auto"/>
            </w:tcBorders>
            <w:vAlign w:val="center"/>
          </w:tcPr>
          <w:p w:rsidR="006A6314" w:rsidRPr="00A86AFC" w:rsidRDefault="00A86AFC"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color w:val="000000" w:themeColor="text1"/>
                <w:kern w:val="0"/>
                <w:sz w:val="24"/>
                <w:szCs w:val="24"/>
              </w:rPr>
              <w:t>Yes</w:t>
            </w:r>
          </w:p>
        </w:tc>
        <w:tc>
          <w:tcPr>
            <w:tcW w:w="1114" w:type="dxa"/>
            <w:tcBorders>
              <w:bottom w:val="single" w:sz="12"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81</w:t>
            </w:r>
          </w:p>
        </w:tc>
        <w:tc>
          <w:tcPr>
            <w:tcW w:w="974" w:type="dxa"/>
            <w:tcBorders>
              <w:bottom w:val="single" w:sz="12" w:space="0" w:color="auto"/>
            </w:tcBorders>
            <w:noWrap/>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bCs/>
                <w:color w:val="000000" w:themeColor="text1"/>
                <w:kern w:val="0"/>
                <w:sz w:val="24"/>
                <w:szCs w:val="24"/>
              </w:rPr>
              <w:t>Rt</w:t>
            </w:r>
          </w:p>
        </w:tc>
        <w:tc>
          <w:tcPr>
            <w:tcW w:w="708" w:type="dxa"/>
            <w:tcBorders>
              <w:bottom w:val="single" w:sz="12" w:space="0" w:color="auto"/>
            </w:tcBorders>
            <w:vAlign w:val="center"/>
          </w:tcPr>
          <w:p w:rsidR="006A6314" w:rsidRPr="00A86AFC" w:rsidRDefault="006A6314" w:rsidP="00445758">
            <w:pPr>
              <w:widowControl/>
              <w:kinsoku w:val="0"/>
              <w:wordWrap/>
              <w:overflowPunct w:val="0"/>
              <w:adjustRightInd w:val="0"/>
              <w:snapToGrid w:val="0"/>
              <w:spacing w:after="0" w:line="360" w:lineRule="auto"/>
              <w:jc w:val="center"/>
              <w:rPr>
                <w:rFonts w:ascii="Book Antiqua" w:eastAsia="Dotum" w:hAnsi="Book Antiqua" w:cs="Arial"/>
                <w:bCs/>
                <w:color w:val="000000" w:themeColor="text1"/>
                <w:kern w:val="0"/>
                <w:sz w:val="24"/>
                <w:szCs w:val="24"/>
              </w:rPr>
            </w:pPr>
            <w:r w:rsidRPr="00A86AFC">
              <w:rPr>
                <w:rFonts w:ascii="Book Antiqua" w:eastAsia="Dotum" w:hAnsi="Book Antiqua" w:cs="Arial"/>
                <w:color w:val="000000" w:themeColor="text1"/>
                <w:kern w:val="0"/>
                <w:sz w:val="24"/>
                <w:szCs w:val="24"/>
              </w:rPr>
              <w:t>IVB</w:t>
            </w:r>
          </w:p>
        </w:tc>
      </w:tr>
    </w:tbl>
    <w:p w:rsidR="006A6314" w:rsidRPr="00A86AFC" w:rsidRDefault="00A86AFC" w:rsidP="00445758">
      <w:pPr>
        <w:kinsoku w:val="0"/>
        <w:wordWrap/>
        <w:overflowPunct w:val="0"/>
        <w:adjustRightInd w:val="0"/>
        <w:snapToGrid w:val="0"/>
        <w:spacing w:after="0" w:line="360" w:lineRule="auto"/>
        <w:rPr>
          <w:rFonts w:ascii="Book Antiqua" w:eastAsia="SimSun" w:hAnsi="Book Antiqua" w:cs="Times New Roman"/>
          <w:color w:val="000000" w:themeColor="text1"/>
          <w:kern w:val="0"/>
          <w:sz w:val="24"/>
          <w:szCs w:val="24"/>
          <w:lang w:eastAsia="zh-CN"/>
        </w:rPr>
      </w:pPr>
      <w:r w:rsidRPr="00A86AFC">
        <w:rPr>
          <w:rFonts w:ascii="Georgia" w:eastAsia="SimSun" w:hAnsi="Georgia" w:cs="Arial" w:hint="eastAsia"/>
          <w:bCs/>
          <w:color w:val="000000" w:themeColor="text1"/>
          <w:kern w:val="0"/>
          <w:szCs w:val="20"/>
          <w:vertAlign w:val="superscript"/>
          <w:lang w:eastAsia="zh-CN"/>
        </w:rPr>
        <w:t>1</w:t>
      </w:r>
      <w:r w:rsidRPr="00A86AFC">
        <w:rPr>
          <w:rFonts w:ascii="Book Antiqua" w:hAnsi="Book Antiqua" w:cs="Arial"/>
          <w:caps/>
          <w:color w:val="000000" w:themeColor="text1"/>
          <w:sz w:val="24"/>
          <w:szCs w:val="24"/>
        </w:rPr>
        <w:t>d</w:t>
      </w:r>
      <w:r w:rsidRPr="00031CB9">
        <w:rPr>
          <w:rFonts w:ascii="Book Antiqua" w:hAnsi="Book Antiqua" w:cs="Arial"/>
          <w:color w:val="000000" w:themeColor="text1"/>
          <w:sz w:val="24"/>
          <w:szCs w:val="24"/>
        </w:rPr>
        <w:t xml:space="preserve">escribed in </w:t>
      </w:r>
      <w:r w:rsidRPr="00A86AFC">
        <w:rPr>
          <w:rFonts w:ascii="Book Antiqua" w:hAnsi="Book Antiqua" w:cs="Arial"/>
          <w:caps/>
          <w:color w:val="000000" w:themeColor="text1"/>
          <w:sz w:val="24"/>
          <w:szCs w:val="24"/>
        </w:rPr>
        <w:t>f</w:t>
      </w:r>
      <w:r w:rsidRPr="00031CB9">
        <w:rPr>
          <w:rFonts w:ascii="Book Antiqua" w:hAnsi="Book Antiqua" w:cs="Arial"/>
          <w:color w:val="000000" w:themeColor="text1"/>
          <w:sz w:val="24"/>
          <w:szCs w:val="24"/>
        </w:rPr>
        <w:t>igure 3.</w:t>
      </w:r>
      <w:r>
        <w:rPr>
          <w:rFonts w:ascii="Book Antiqua" w:eastAsia="SimSun" w:hAnsi="Book Antiqua" w:cs="Times New Roman" w:hint="eastAsia"/>
          <w:color w:val="000000" w:themeColor="text1"/>
          <w:kern w:val="0"/>
          <w:sz w:val="24"/>
          <w:szCs w:val="24"/>
          <w:lang w:eastAsia="zh-CN"/>
        </w:rPr>
        <w:t xml:space="preserve"> </w:t>
      </w:r>
      <w:r w:rsidR="006A6314" w:rsidRPr="00031CB9">
        <w:rPr>
          <w:rFonts w:ascii="Book Antiqua" w:hAnsi="Book Antiqua" w:cs="Times New Roman"/>
          <w:color w:val="000000" w:themeColor="text1"/>
          <w:kern w:val="0"/>
          <w:sz w:val="24"/>
          <w:szCs w:val="24"/>
        </w:rPr>
        <w:t xml:space="preserve">CC: </w:t>
      </w:r>
      <w:r w:rsidRPr="00031CB9">
        <w:rPr>
          <w:rFonts w:ascii="Book Antiqua" w:hAnsi="Book Antiqua" w:cs="Times New Roman"/>
          <w:color w:val="000000" w:themeColor="text1"/>
          <w:kern w:val="0"/>
          <w:sz w:val="24"/>
          <w:szCs w:val="24"/>
        </w:rPr>
        <w:t>Cholangiocracinoma</w:t>
      </w:r>
      <w:r w:rsidR="006A6314" w:rsidRPr="00031CB9">
        <w:rPr>
          <w:rFonts w:ascii="Book Antiqua" w:hAnsi="Book Antiqua" w:cs="Times New Roman"/>
          <w:color w:val="000000" w:themeColor="text1"/>
          <w:kern w:val="0"/>
          <w:sz w:val="24"/>
          <w:szCs w:val="24"/>
        </w:rPr>
        <w:t>; Lt: Left; Rt: Right; ERCP</w:t>
      </w:r>
      <w:r>
        <w:rPr>
          <w:rFonts w:ascii="Book Antiqua" w:eastAsia="SimSun" w:hAnsi="Book Antiqua" w:cs="Times New Roman" w:hint="eastAsia"/>
          <w:color w:val="000000" w:themeColor="text1"/>
          <w:kern w:val="0"/>
          <w:sz w:val="24"/>
          <w:szCs w:val="24"/>
          <w:lang w:eastAsia="zh-CN"/>
        </w:rPr>
        <w:t>:</w:t>
      </w:r>
      <w:r w:rsidR="006A6314" w:rsidRPr="00031CB9">
        <w:rPr>
          <w:rFonts w:ascii="Book Antiqua" w:hAnsi="Book Antiqua" w:cs="Times New Roman"/>
          <w:color w:val="000000" w:themeColor="text1"/>
          <w:kern w:val="0"/>
          <w:sz w:val="24"/>
          <w:szCs w:val="24"/>
        </w:rPr>
        <w:t xml:space="preserve"> </w:t>
      </w:r>
      <w:r w:rsidRPr="00031CB9">
        <w:rPr>
          <w:rFonts w:ascii="Book Antiqua" w:hAnsi="Book Antiqua" w:cs="Times New Roman"/>
          <w:color w:val="000000" w:themeColor="text1"/>
          <w:kern w:val="0"/>
          <w:sz w:val="24"/>
          <w:szCs w:val="24"/>
        </w:rPr>
        <w:t xml:space="preserve">Endoscopic </w:t>
      </w:r>
      <w:r w:rsidR="006A6314" w:rsidRPr="00031CB9">
        <w:rPr>
          <w:rFonts w:ascii="Book Antiqua" w:hAnsi="Book Antiqua" w:cs="Times New Roman"/>
          <w:color w:val="000000" w:themeColor="text1"/>
          <w:kern w:val="0"/>
          <w:sz w:val="24"/>
          <w:szCs w:val="24"/>
        </w:rPr>
        <w:t xml:space="preserve">cholangiopancreatography; PTCSL: </w:t>
      </w:r>
      <w:r w:rsidRPr="00031CB9">
        <w:rPr>
          <w:rFonts w:ascii="Book Antiqua" w:hAnsi="Book Antiqua" w:cs="Arial"/>
          <w:color w:val="000000" w:themeColor="text1"/>
          <w:sz w:val="24"/>
          <w:szCs w:val="24"/>
        </w:rPr>
        <w:t xml:space="preserve">Percutaneaous </w:t>
      </w:r>
      <w:r w:rsidR="006A6314" w:rsidRPr="00031CB9">
        <w:rPr>
          <w:rFonts w:ascii="Book Antiqua" w:hAnsi="Book Antiqua" w:cs="Arial"/>
          <w:color w:val="000000" w:themeColor="text1"/>
          <w:sz w:val="24"/>
          <w:szCs w:val="24"/>
        </w:rPr>
        <w:t>transhepatic choledochoscopic lithotomy</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 xml:space="preserve"> </w:t>
      </w:r>
    </w:p>
    <w:p w:rsidR="003248BE" w:rsidRPr="00031CB9" w:rsidRDefault="003248BE" w:rsidP="00445758">
      <w:pPr>
        <w:widowControl/>
        <w:kinsoku w:val="0"/>
        <w:wordWrap/>
        <w:overflowPunct w:val="0"/>
        <w:adjustRightInd w:val="0"/>
        <w:snapToGrid w:val="0"/>
        <w:spacing w:after="0" w:line="360" w:lineRule="auto"/>
        <w:rPr>
          <w:rFonts w:ascii="Book Antiqua" w:hAnsi="Book Antiqua"/>
          <w:color w:val="000000" w:themeColor="text1"/>
          <w:sz w:val="24"/>
          <w:szCs w:val="24"/>
        </w:rPr>
      </w:pPr>
      <w:r w:rsidRPr="00031CB9">
        <w:rPr>
          <w:rFonts w:ascii="Book Antiqua" w:hAnsi="Book Antiqua"/>
          <w:color w:val="000000" w:themeColor="text1"/>
          <w:sz w:val="24"/>
          <w:szCs w:val="24"/>
        </w:rPr>
        <w:br w:type="page"/>
      </w:r>
    </w:p>
    <w:p w:rsidR="00A27E19" w:rsidRDefault="00445758" w:rsidP="00445758">
      <w:pPr>
        <w:kinsoku w:val="0"/>
        <w:wordWrap/>
        <w:overflowPunct w:val="0"/>
        <w:adjustRightInd w:val="0"/>
        <w:snapToGrid w:val="0"/>
        <w:spacing w:after="0" w:line="360" w:lineRule="auto"/>
        <w:rPr>
          <w:rFonts w:ascii="Book Antiqua" w:eastAsia="SimSun" w:hAnsi="Book Antiqua" w:cs="Arial"/>
          <w:color w:val="000000" w:themeColor="text1"/>
          <w:sz w:val="24"/>
          <w:szCs w:val="24"/>
          <w:lang w:eastAsia="zh-CN"/>
        </w:rPr>
      </w:pPr>
      <w:r>
        <w:rPr>
          <w:rFonts w:ascii="Book Antiqua" w:hAnsi="Book Antiqua" w:cs="Arial"/>
          <w:noProof/>
          <w:color w:val="000000" w:themeColor="text1"/>
          <w:sz w:val="24"/>
          <w:szCs w:val="24"/>
          <w:lang w:eastAsia="zh-CN"/>
        </w:rPr>
        <w:lastRenderedPageBreak/>
        <w:drawing>
          <wp:inline distT="0" distB="0" distL="0" distR="0" wp14:anchorId="6BE147EB" wp14:editId="3C9104E6">
            <wp:extent cx="3122930" cy="3122930"/>
            <wp:effectExtent l="0" t="0" r="1270" b="1270"/>
            <wp:docPr id="1" name="图片 1" descr="C:\Users\Administrator\Desktop\21021\21021\21021-Figures\Figur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1021\21021\21021-Figures\Figure 1-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930" cy="3122930"/>
                    </a:xfrm>
                    <a:prstGeom prst="rect">
                      <a:avLst/>
                    </a:prstGeom>
                    <a:noFill/>
                    <a:ln>
                      <a:noFill/>
                    </a:ln>
                  </pic:spPr>
                </pic:pic>
              </a:graphicData>
            </a:graphic>
          </wp:inline>
        </w:drawing>
      </w:r>
    </w:p>
    <w:p w:rsidR="00445758" w:rsidRDefault="00445758" w:rsidP="00445758">
      <w:pPr>
        <w:kinsoku w:val="0"/>
        <w:wordWrap/>
        <w:overflowPunct w:val="0"/>
        <w:adjustRightInd w:val="0"/>
        <w:snapToGrid w:val="0"/>
        <w:spacing w:after="0" w:line="360" w:lineRule="auto"/>
        <w:rPr>
          <w:rFonts w:ascii="Book Antiqua" w:eastAsia="SimSun" w:hAnsi="Book Antiqua" w:cs="Arial"/>
          <w:color w:val="000000" w:themeColor="text1"/>
          <w:sz w:val="24"/>
          <w:szCs w:val="24"/>
          <w:lang w:eastAsia="zh-CN"/>
        </w:rPr>
      </w:pPr>
      <w:r>
        <w:rPr>
          <w:rFonts w:ascii="Book Antiqua" w:eastAsia="SimSun" w:hAnsi="Book Antiqua" w:cs="Arial" w:hint="eastAsia"/>
          <w:color w:val="000000" w:themeColor="text1"/>
          <w:sz w:val="24"/>
          <w:szCs w:val="24"/>
          <w:lang w:eastAsia="zh-CN"/>
        </w:rPr>
        <w:t>A</w:t>
      </w:r>
    </w:p>
    <w:p w:rsidR="00445758" w:rsidRDefault="00445758" w:rsidP="00445758">
      <w:pPr>
        <w:kinsoku w:val="0"/>
        <w:wordWrap/>
        <w:overflowPunct w:val="0"/>
        <w:adjustRightInd w:val="0"/>
        <w:snapToGrid w:val="0"/>
        <w:spacing w:after="0" w:line="360" w:lineRule="auto"/>
        <w:rPr>
          <w:rFonts w:ascii="Book Antiqua" w:eastAsia="SimSun" w:hAnsi="Book Antiqua" w:cs="Arial"/>
          <w:color w:val="000000" w:themeColor="text1"/>
          <w:sz w:val="24"/>
          <w:szCs w:val="24"/>
          <w:lang w:eastAsia="zh-CN"/>
        </w:rPr>
      </w:pPr>
      <w:r>
        <w:rPr>
          <w:rFonts w:ascii="Book Antiqua" w:eastAsia="SimSun" w:hAnsi="Book Antiqua" w:cs="Arial"/>
          <w:noProof/>
          <w:color w:val="000000" w:themeColor="text1"/>
          <w:sz w:val="24"/>
          <w:szCs w:val="24"/>
          <w:lang w:eastAsia="zh-CN"/>
        </w:rPr>
        <w:drawing>
          <wp:inline distT="0" distB="0" distL="0" distR="0" wp14:anchorId="2275AF11" wp14:editId="17C9EBE8">
            <wp:extent cx="5731510" cy="3567116"/>
            <wp:effectExtent l="0" t="0" r="2540" b="0"/>
            <wp:docPr id="2" name="图片 2" descr="C:\Users\Administrator\Desktop\21021\21021\21021-Figures\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1021\21021\21021-Figures\Figure 1-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67116"/>
                    </a:xfrm>
                    <a:prstGeom prst="rect">
                      <a:avLst/>
                    </a:prstGeom>
                    <a:noFill/>
                    <a:ln>
                      <a:noFill/>
                    </a:ln>
                  </pic:spPr>
                </pic:pic>
              </a:graphicData>
            </a:graphic>
          </wp:inline>
        </w:drawing>
      </w:r>
    </w:p>
    <w:p w:rsidR="00445758" w:rsidRDefault="00445758" w:rsidP="00445758">
      <w:pPr>
        <w:kinsoku w:val="0"/>
        <w:wordWrap/>
        <w:overflowPunct w:val="0"/>
        <w:adjustRightInd w:val="0"/>
        <w:snapToGrid w:val="0"/>
        <w:spacing w:after="0" w:line="360" w:lineRule="auto"/>
        <w:rPr>
          <w:rFonts w:ascii="Book Antiqua" w:eastAsia="SimSun" w:hAnsi="Book Antiqua" w:cs="Arial"/>
          <w:color w:val="000000" w:themeColor="text1"/>
          <w:sz w:val="24"/>
          <w:szCs w:val="24"/>
          <w:lang w:eastAsia="zh-CN"/>
        </w:rPr>
      </w:pPr>
      <w:r>
        <w:rPr>
          <w:rFonts w:ascii="Book Antiqua" w:eastAsia="SimSun" w:hAnsi="Book Antiqua" w:cs="Arial" w:hint="eastAsia"/>
          <w:color w:val="000000" w:themeColor="text1"/>
          <w:sz w:val="24"/>
          <w:szCs w:val="24"/>
          <w:lang w:eastAsia="zh-CN"/>
        </w:rPr>
        <w:t>B</w:t>
      </w:r>
    </w:p>
    <w:p w:rsidR="00445758" w:rsidRDefault="00445758" w:rsidP="00445758">
      <w:pPr>
        <w:kinsoku w:val="0"/>
        <w:wordWrap/>
        <w:overflowPunct w:val="0"/>
        <w:adjustRightInd w:val="0"/>
        <w:snapToGrid w:val="0"/>
        <w:spacing w:after="0" w:line="360" w:lineRule="auto"/>
        <w:rPr>
          <w:rFonts w:ascii="Book Antiqua" w:eastAsia="SimSun" w:hAnsi="Book Antiqua" w:cs="Arial"/>
          <w:color w:val="000000" w:themeColor="text1"/>
          <w:sz w:val="24"/>
          <w:szCs w:val="24"/>
          <w:lang w:eastAsia="zh-CN"/>
        </w:rPr>
      </w:pPr>
      <w:r>
        <w:rPr>
          <w:rFonts w:ascii="Book Antiqua" w:eastAsia="SimSun" w:hAnsi="Book Antiqua" w:cs="Arial"/>
          <w:noProof/>
          <w:color w:val="000000" w:themeColor="text1"/>
          <w:sz w:val="24"/>
          <w:szCs w:val="24"/>
          <w:lang w:eastAsia="zh-CN"/>
        </w:rPr>
        <w:lastRenderedPageBreak/>
        <w:drawing>
          <wp:inline distT="0" distB="0" distL="0" distR="0" wp14:anchorId="386BD6C2" wp14:editId="1C1AA227">
            <wp:extent cx="5731510" cy="4315073"/>
            <wp:effectExtent l="0" t="0" r="2540" b="9525"/>
            <wp:docPr id="3" name="图片 3" descr="C:\Users\Administrator\Desktop\21021\21021\21021-Figures\Figure 1-C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1021\21021\21021-Figures\Figure 1-Cx4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315073"/>
                    </a:xfrm>
                    <a:prstGeom prst="rect">
                      <a:avLst/>
                    </a:prstGeom>
                    <a:noFill/>
                    <a:ln>
                      <a:noFill/>
                    </a:ln>
                  </pic:spPr>
                </pic:pic>
              </a:graphicData>
            </a:graphic>
          </wp:inline>
        </w:drawing>
      </w:r>
    </w:p>
    <w:p w:rsidR="00445758" w:rsidRPr="00445758" w:rsidRDefault="00445758" w:rsidP="00445758">
      <w:pPr>
        <w:kinsoku w:val="0"/>
        <w:wordWrap/>
        <w:overflowPunct w:val="0"/>
        <w:adjustRightInd w:val="0"/>
        <w:snapToGrid w:val="0"/>
        <w:spacing w:after="0" w:line="360" w:lineRule="auto"/>
        <w:rPr>
          <w:rFonts w:ascii="Book Antiqua" w:eastAsia="SimSun" w:hAnsi="Book Antiqua" w:cs="Arial"/>
          <w:color w:val="000000" w:themeColor="text1"/>
          <w:sz w:val="24"/>
          <w:szCs w:val="24"/>
          <w:lang w:eastAsia="zh-CN"/>
        </w:rPr>
      </w:pPr>
      <w:r>
        <w:rPr>
          <w:rFonts w:ascii="Book Antiqua" w:eastAsia="SimSun" w:hAnsi="Book Antiqua" w:cs="Arial" w:hint="eastAsia"/>
          <w:color w:val="000000" w:themeColor="text1"/>
          <w:sz w:val="24"/>
          <w:szCs w:val="24"/>
          <w:lang w:eastAsia="zh-CN"/>
        </w:rPr>
        <w:t>C</w:t>
      </w:r>
    </w:p>
    <w:p w:rsidR="00445758" w:rsidRPr="00445758" w:rsidRDefault="006A6314" w:rsidP="00445758">
      <w:pPr>
        <w:kinsoku w:val="0"/>
        <w:wordWrap/>
        <w:overflowPunct w:val="0"/>
        <w:adjustRightInd w:val="0"/>
        <w:snapToGrid w:val="0"/>
        <w:spacing w:after="0" w:line="360" w:lineRule="auto"/>
        <w:rPr>
          <w:rFonts w:ascii="Book Antiqua" w:hAnsi="Book Antiqua" w:cs="Arial"/>
          <w:b/>
          <w:color w:val="000000" w:themeColor="text1"/>
          <w:sz w:val="24"/>
          <w:szCs w:val="24"/>
        </w:rPr>
      </w:pPr>
      <w:r w:rsidRPr="00445758">
        <w:rPr>
          <w:rFonts w:ascii="Book Antiqua" w:hAnsi="Book Antiqua" w:cs="Arial"/>
          <w:b/>
          <w:color w:val="000000" w:themeColor="text1"/>
          <w:sz w:val="24"/>
          <w:szCs w:val="24"/>
        </w:rPr>
        <w:t>Fig</w:t>
      </w:r>
      <w:r w:rsidR="00445758" w:rsidRPr="00445758">
        <w:rPr>
          <w:rFonts w:ascii="Book Antiqua" w:eastAsia="SimSun" w:hAnsi="Book Antiqua" w:cs="Arial" w:hint="eastAsia"/>
          <w:b/>
          <w:color w:val="000000" w:themeColor="text1"/>
          <w:sz w:val="24"/>
          <w:szCs w:val="24"/>
          <w:lang w:eastAsia="zh-CN"/>
        </w:rPr>
        <w:t>ure</w:t>
      </w:r>
      <w:r w:rsidRPr="00445758">
        <w:rPr>
          <w:rFonts w:ascii="Book Antiqua" w:hAnsi="Book Antiqua" w:cs="Arial"/>
          <w:b/>
          <w:color w:val="000000" w:themeColor="text1"/>
          <w:sz w:val="24"/>
          <w:szCs w:val="24"/>
        </w:rPr>
        <w:t xml:space="preserve"> 1 </w:t>
      </w:r>
      <w:r w:rsidR="00445758" w:rsidRPr="00445758">
        <w:rPr>
          <w:rFonts w:ascii="Book Antiqua" w:eastAsia="SimSun" w:hAnsi="Book Antiqua" w:cs="Arial" w:hint="eastAsia"/>
          <w:b/>
          <w:color w:val="000000" w:themeColor="text1"/>
          <w:sz w:val="24"/>
          <w:szCs w:val="24"/>
          <w:lang w:eastAsia="zh-CN"/>
        </w:rPr>
        <w:t>Sixty-seven</w:t>
      </w:r>
      <w:r w:rsidR="00445758" w:rsidRPr="00445758">
        <w:rPr>
          <w:rFonts w:ascii="Book Antiqua" w:hAnsi="Book Antiqua" w:cs="Arial"/>
          <w:b/>
          <w:color w:val="000000" w:themeColor="text1"/>
          <w:sz w:val="24"/>
          <w:szCs w:val="24"/>
        </w:rPr>
        <w:t xml:space="preserve"> years old, female was admitted for cholangitis and treated with hepatic resection.</w:t>
      </w:r>
      <w:r w:rsidR="00445758" w:rsidRPr="00445758">
        <w:rPr>
          <w:rFonts w:ascii="Book Antiqua" w:hAnsi="Book Antiqua" w:cs="Arial"/>
          <w:color w:val="000000" w:themeColor="text1"/>
          <w:sz w:val="24"/>
          <w:szCs w:val="24"/>
        </w:rPr>
        <w:t xml:space="preserve"> She was followed and underwent 2</w:t>
      </w:r>
      <w:r w:rsidR="00445758" w:rsidRPr="00445758">
        <w:rPr>
          <w:rFonts w:ascii="Book Antiqua" w:hAnsi="Book Antiqua" w:cs="Arial"/>
          <w:color w:val="000000" w:themeColor="text1"/>
          <w:sz w:val="24"/>
          <w:szCs w:val="24"/>
          <w:vertAlign w:val="superscript"/>
        </w:rPr>
        <w:t>nd</w:t>
      </w:r>
      <w:r w:rsidR="00445758" w:rsidRPr="00445758">
        <w:rPr>
          <w:rFonts w:ascii="Book Antiqua" w:hAnsi="Book Antiqua" w:cs="Arial"/>
          <w:color w:val="000000" w:themeColor="text1"/>
          <w:sz w:val="24"/>
          <w:szCs w:val="24"/>
        </w:rPr>
        <w:t xml:space="preserve"> resection 1 year later. </w:t>
      </w:r>
    </w:p>
    <w:p w:rsidR="006A6314" w:rsidRPr="00031CB9" w:rsidRDefault="006A6314" w:rsidP="00445758">
      <w:pPr>
        <w:kinsoku w:val="0"/>
        <w:wordWrap/>
        <w:overflowPunct w:val="0"/>
        <w:adjustRightInd w:val="0"/>
        <w:snapToGrid w:val="0"/>
        <w:spacing w:after="0" w:line="360" w:lineRule="auto"/>
        <w:rPr>
          <w:rFonts w:ascii="Book Antiqua" w:eastAsia="SimSun" w:hAnsi="Book Antiqua" w:cs="Arial"/>
          <w:color w:val="000000" w:themeColor="text1"/>
          <w:sz w:val="24"/>
          <w:szCs w:val="24"/>
          <w:lang w:eastAsia="zh-CN"/>
        </w:rPr>
      </w:pPr>
      <w:r w:rsidRPr="00031CB9">
        <w:rPr>
          <w:rFonts w:ascii="Book Antiqua" w:hAnsi="Book Antiqua" w:cs="Arial"/>
          <w:color w:val="000000" w:themeColor="text1"/>
          <w:sz w:val="24"/>
          <w:szCs w:val="24"/>
        </w:rPr>
        <w:t>A</w:t>
      </w:r>
      <w:r w:rsidR="00445758">
        <w:rPr>
          <w:rFonts w:ascii="Book Antiqua" w:eastAsia="SimSun" w:hAnsi="Book Antiqua" w:cs="Arial" w:hint="eastAsia"/>
          <w:color w:val="000000" w:themeColor="text1"/>
          <w:sz w:val="24"/>
          <w:szCs w:val="24"/>
          <w:lang w:eastAsia="zh-CN"/>
        </w:rPr>
        <w:t>:</w:t>
      </w:r>
      <w:r w:rsidRPr="00031CB9">
        <w:rPr>
          <w:rFonts w:ascii="Book Antiqua" w:hAnsi="Book Antiqua" w:cs="Arial"/>
          <w:color w:val="000000" w:themeColor="text1"/>
          <w:sz w:val="24"/>
          <w:szCs w:val="24"/>
        </w:rPr>
        <w:t xml:space="preserve"> Abdominal </w:t>
      </w:r>
      <w:r w:rsidR="00445758" w:rsidRPr="00445758">
        <w:rPr>
          <w:rFonts w:ascii="Book Antiqua" w:hAnsi="Book Antiqua" w:cs="Arial"/>
          <w:color w:val="000000" w:themeColor="text1"/>
          <w:sz w:val="24"/>
          <w:szCs w:val="24"/>
        </w:rPr>
        <w:t xml:space="preserve">computed tomography </w:t>
      </w:r>
      <w:r w:rsidRPr="00031CB9">
        <w:rPr>
          <w:rFonts w:ascii="Book Antiqua" w:hAnsi="Book Antiqua" w:cs="Arial"/>
          <w:color w:val="000000" w:themeColor="text1"/>
          <w:sz w:val="24"/>
          <w:szCs w:val="24"/>
        </w:rPr>
        <w:t>demonstrated that B2 IHD dilatation with stones and 2 cm-sized</w:t>
      </w:r>
      <w:r w:rsidR="00445758">
        <w:rPr>
          <w:rFonts w:ascii="Book Antiqua" w:hAnsi="Book Antiqua" w:cs="Arial"/>
          <w:color w:val="000000" w:themeColor="text1"/>
          <w:sz w:val="24"/>
          <w:szCs w:val="24"/>
        </w:rPr>
        <w:t xml:space="preserve"> low density lesion in liver S7</w:t>
      </w:r>
      <w:r w:rsidR="00445758">
        <w:rPr>
          <w:rFonts w:ascii="Book Antiqua" w:eastAsia="SimSun" w:hAnsi="Book Antiqua" w:cs="Arial" w:hint="eastAsia"/>
          <w:color w:val="000000" w:themeColor="text1"/>
          <w:sz w:val="24"/>
          <w:szCs w:val="24"/>
          <w:lang w:eastAsia="zh-CN"/>
        </w:rPr>
        <w:t xml:space="preserve">; </w:t>
      </w:r>
      <w:r w:rsidRPr="00031CB9">
        <w:rPr>
          <w:rFonts w:ascii="Book Antiqua" w:hAnsi="Book Antiqua" w:cs="Arial"/>
          <w:color w:val="000000" w:themeColor="text1"/>
          <w:sz w:val="24"/>
          <w:szCs w:val="24"/>
        </w:rPr>
        <w:t>B</w:t>
      </w:r>
      <w:r w:rsidR="00445758">
        <w:rPr>
          <w:rFonts w:ascii="Book Antiqua" w:eastAsia="SimSun" w:hAnsi="Book Antiqua" w:cs="Arial" w:hint="eastAsia"/>
          <w:color w:val="000000" w:themeColor="text1"/>
          <w:sz w:val="24"/>
          <w:szCs w:val="24"/>
          <w:lang w:eastAsia="zh-CN"/>
        </w:rPr>
        <w:t>:</w:t>
      </w:r>
      <w:r w:rsidRPr="00031CB9">
        <w:rPr>
          <w:rFonts w:ascii="Book Antiqua" w:hAnsi="Book Antiqua" w:cs="Arial"/>
          <w:color w:val="000000" w:themeColor="text1"/>
          <w:sz w:val="24"/>
          <w:szCs w:val="24"/>
        </w:rPr>
        <w:t xml:space="preserve"> Liver, left, </w:t>
      </w:r>
      <w:r w:rsidR="00445758">
        <w:rPr>
          <w:rFonts w:ascii="Book Antiqua" w:hAnsi="Book Antiqua" w:cs="Arial"/>
          <w:color w:val="000000" w:themeColor="text1"/>
          <w:sz w:val="24"/>
          <w:szCs w:val="24"/>
        </w:rPr>
        <w:t>lateral, segmentectomy was done</w:t>
      </w:r>
      <w:r w:rsidR="00445758">
        <w:rPr>
          <w:rFonts w:ascii="Book Antiqua" w:eastAsia="SimSun" w:hAnsi="Book Antiqua" w:cs="Arial" w:hint="eastAsia"/>
          <w:color w:val="000000" w:themeColor="text1"/>
          <w:sz w:val="24"/>
          <w:szCs w:val="24"/>
          <w:lang w:eastAsia="zh-CN"/>
        </w:rPr>
        <w:t xml:space="preserve">; </w:t>
      </w:r>
      <w:r w:rsidRPr="00031CB9">
        <w:rPr>
          <w:rFonts w:ascii="Book Antiqua" w:hAnsi="Book Antiqua" w:cs="Arial"/>
          <w:color w:val="000000" w:themeColor="text1"/>
          <w:sz w:val="24"/>
          <w:szCs w:val="24"/>
        </w:rPr>
        <w:t>C</w:t>
      </w:r>
      <w:r w:rsidR="00445758">
        <w:rPr>
          <w:rFonts w:ascii="Book Antiqua" w:eastAsia="SimSun" w:hAnsi="Book Antiqua" w:cs="Arial" w:hint="eastAsia"/>
          <w:color w:val="000000" w:themeColor="text1"/>
          <w:sz w:val="24"/>
          <w:szCs w:val="24"/>
          <w:lang w:eastAsia="zh-CN"/>
        </w:rPr>
        <w:t>:</w:t>
      </w:r>
      <w:r w:rsidRPr="00031CB9">
        <w:rPr>
          <w:rFonts w:ascii="Book Antiqua" w:hAnsi="Book Antiqua" w:cs="Arial"/>
          <w:color w:val="000000" w:themeColor="text1"/>
          <w:sz w:val="24"/>
          <w:szCs w:val="24"/>
        </w:rPr>
        <w:t xml:space="preserve"> BilIN1 and 2 were shown on dilated duct with glandular proliferation.</w:t>
      </w:r>
    </w:p>
    <w:p w:rsidR="00445758" w:rsidRDefault="00445758" w:rsidP="00445758">
      <w:pPr>
        <w:kinsoku w:val="0"/>
        <w:wordWrap/>
        <w:overflowPunct w:val="0"/>
        <w:adjustRightInd w:val="0"/>
        <w:snapToGrid w:val="0"/>
        <w:spacing w:after="0" w:line="360" w:lineRule="auto"/>
        <w:ind w:left="120" w:hangingChars="50" w:hanging="120"/>
        <w:rPr>
          <w:rFonts w:ascii="Book Antiqua" w:eastAsia="SimSun" w:hAnsi="Book Antiqua" w:cs="Arial"/>
          <w:color w:val="000000" w:themeColor="text1"/>
          <w:sz w:val="24"/>
          <w:szCs w:val="24"/>
          <w:lang w:eastAsia="zh-CN"/>
        </w:rPr>
      </w:pPr>
      <w:r>
        <w:rPr>
          <w:rFonts w:ascii="Book Antiqua" w:eastAsia="SimSun" w:hAnsi="Book Antiqua" w:cs="Arial"/>
          <w:color w:val="000000" w:themeColor="text1"/>
          <w:sz w:val="24"/>
          <w:szCs w:val="24"/>
          <w:lang w:eastAsia="zh-CN"/>
        </w:rPr>
        <w:br w:type="page"/>
      </w:r>
    </w:p>
    <w:p w:rsidR="00445758" w:rsidRDefault="00445758" w:rsidP="00445758">
      <w:pPr>
        <w:kinsoku w:val="0"/>
        <w:wordWrap/>
        <w:overflowPunct w:val="0"/>
        <w:adjustRightInd w:val="0"/>
        <w:snapToGrid w:val="0"/>
        <w:spacing w:after="0" w:line="360" w:lineRule="auto"/>
        <w:ind w:left="120" w:hangingChars="50" w:hanging="120"/>
        <w:rPr>
          <w:rFonts w:ascii="Book Antiqua" w:eastAsia="SimSun" w:hAnsi="Book Antiqua" w:cs="Arial"/>
          <w:color w:val="000000" w:themeColor="text1"/>
          <w:sz w:val="24"/>
          <w:szCs w:val="24"/>
          <w:lang w:eastAsia="zh-CN"/>
        </w:rPr>
      </w:pPr>
    </w:p>
    <w:p w:rsidR="00445758" w:rsidRDefault="00445758" w:rsidP="00445758">
      <w:pPr>
        <w:kinsoku w:val="0"/>
        <w:wordWrap/>
        <w:overflowPunct w:val="0"/>
        <w:adjustRightInd w:val="0"/>
        <w:snapToGrid w:val="0"/>
        <w:spacing w:after="0" w:line="360" w:lineRule="auto"/>
        <w:ind w:left="120" w:hangingChars="50" w:hanging="120"/>
        <w:rPr>
          <w:rFonts w:ascii="Book Antiqua" w:eastAsia="SimSun" w:hAnsi="Book Antiqua" w:cs="Arial"/>
          <w:color w:val="000000" w:themeColor="text1"/>
          <w:sz w:val="24"/>
          <w:szCs w:val="24"/>
          <w:lang w:eastAsia="zh-CN"/>
        </w:rPr>
      </w:pPr>
      <w:r>
        <w:rPr>
          <w:rFonts w:ascii="Book Antiqua" w:eastAsia="SimSun" w:hAnsi="Book Antiqua" w:cs="Arial"/>
          <w:noProof/>
          <w:color w:val="000000" w:themeColor="text1"/>
          <w:sz w:val="24"/>
          <w:szCs w:val="24"/>
          <w:lang w:eastAsia="zh-CN"/>
        </w:rPr>
        <w:drawing>
          <wp:inline distT="0" distB="0" distL="0" distR="0" wp14:anchorId="44CB6532" wp14:editId="49F5FD64">
            <wp:extent cx="3122930" cy="3122930"/>
            <wp:effectExtent l="0" t="0" r="1270" b="1270"/>
            <wp:docPr id="4" name="图片 4" descr="C:\Users\Administrator\Desktop\21021\21021\21021-Figures\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1021\21021\21021-Figures\Figure 2-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2930" cy="3122930"/>
                    </a:xfrm>
                    <a:prstGeom prst="rect">
                      <a:avLst/>
                    </a:prstGeom>
                    <a:noFill/>
                    <a:ln>
                      <a:noFill/>
                    </a:ln>
                  </pic:spPr>
                </pic:pic>
              </a:graphicData>
            </a:graphic>
          </wp:inline>
        </w:drawing>
      </w:r>
    </w:p>
    <w:p w:rsidR="00445758" w:rsidRDefault="00445758" w:rsidP="00445758">
      <w:pPr>
        <w:kinsoku w:val="0"/>
        <w:wordWrap/>
        <w:overflowPunct w:val="0"/>
        <w:adjustRightInd w:val="0"/>
        <w:snapToGrid w:val="0"/>
        <w:spacing w:after="0" w:line="360" w:lineRule="auto"/>
        <w:ind w:left="120" w:hangingChars="50" w:hanging="120"/>
        <w:rPr>
          <w:rFonts w:ascii="Book Antiqua" w:eastAsia="SimSun" w:hAnsi="Book Antiqua" w:cs="Arial"/>
          <w:color w:val="000000" w:themeColor="text1"/>
          <w:sz w:val="24"/>
          <w:szCs w:val="24"/>
          <w:lang w:eastAsia="zh-CN"/>
        </w:rPr>
      </w:pPr>
      <w:r>
        <w:rPr>
          <w:rFonts w:ascii="Book Antiqua" w:eastAsia="SimSun" w:hAnsi="Book Antiqua" w:cs="Arial" w:hint="eastAsia"/>
          <w:color w:val="000000" w:themeColor="text1"/>
          <w:sz w:val="24"/>
          <w:szCs w:val="24"/>
          <w:lang w:eastAsia="zh-CN"/>
        </w:rPr>
        <w:t>A</w:t>
      </w:r>
    </w:p>
    <w:p w:rsidR="00445758" w:rsidRDefault="00445758" w:rsidP="00445758">
      <w:pPr>
        <w:kinsoku w:val="0"/>
        <w:wordWrap/>
        <w:overflowPunct w:val="0"/>
        <w:adjustRightInd w:val="0"/>
        <w:snapToGrid w:val="0"/>
        <w:spacing w:after="0" w:line="360" w:lineRule="auto"/>
        <w:ind w:left="120" w:hangingChars="50" w:hanging="120"/>
        <w:rPr>
          <w:rFonts w:ascii="Book Antiqua" w:eastAsia="SimSun" w:hAnsi="Book Antiqua" w:cs="Arial"/>
          <w:color w:val="000000" w:themeColor="text1"/>
          <w:sz w:val="24"/>
          <w:szCs w:val="24"/>
          <w:lang w:eastAsia="zh-CN"/>
        </w:rPr>
      </w:pPr>
      <w:r>
        <w:rPr>
          <w:rFonts w:ascii="Book Antiqua" w:eastAsia="SimSun" w:hAnsi="Book Antiqua" w:cs="Arial"/>
          <w:noProof/>
          <w:color w:val="000000" w:themeColor="text1"/>
          <w:sz w:val="24"/>
          <w:szCs w:val="24"/>
          <w:lang w:eastAsia="zh-CN"/>
        </w:rPr>
        <w:drawing>
          <wp:inline distT="0" distB="0" distL="0" distR="0" wp14:anchorId="7D06B114" wp14:editId="04C43E9C">
            <wp:extent cx="3432810" cy="2292985"/>
            <wp:effectExtent l="0" t="0" r="0" b="0"/>
            <wp:docPr id="5" name="图片 5" descr="C:\Users\Administrator\Desktop\21021\21021\21021-Figures\Figure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1021\21021\21021-Figures\Figure 2-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810" cy="2292985"/>
                    </a:xfrm>
                    <a:prstGeom prst="rect">
                      <a:avLst/>
                    </a:prstGeom>
                    <a:noFill/>
                    <a:ln>
                      <a:noFill/>
                    </a:ln>
                  </pic:spPr>
                </pic:pic>
              </a:graphicData>
            </a:graphic>
          </wp:inline>
        </w:drawing>
      </w:r>
    </w:p>
    <w:p w:rsidR="00445758" w:rsidRDefault="00445758" w:rsidP="00445758">
      <w:pPr>
        <w:kinsoku w:val="0"/>
        <w:wordWrap/>
        <w:overflowPunct w:val="0"/>
        <w:adjustRightInd w:val="0"/>
        <w:snapToGrid w:val="0"/>
        <w:spacing w:after="0" w:line="360" w:lineRule="auto"/>
        <w:ind w:left="120" w:hangingChars="50" w:hanging="120"/>
        <w:rPr>
          <w:rFonts w:ascii="Book Antiqua" w:eastAsia="SimSun" w:hAnsi="Book Antiqua" w:cs="Arial"/>
          <w:color w:val="000000" w:themeColor="text1"/>
          <w:sz w:val="24"/>
          <w:szCs w:val="24"/>
          <w:lang w:eastAsia="zh-CN"/>
        </w:rPr>
      </w:pPr>
      <w:r>
        <w:rPr>
          <w:rFonts w:ascii="Book Antiqua" w:eastAsia="SimSun" w:hAnsi="Book Antiqua" w:cs="Arial" w:hint="eastAsia"/>
          <w:color w:val="000000" w:themeColor="text1"/>
          <w:sz w:val="24"/>
          <w:szCs w:val="24"/>
          <w:lang w:eastAsia="zh-CN"/>
        </w:rPr>
        <w:t>B</w:t>
      </w:r>
    </w:p>
    <w:p w:rsidR="00445758" w:rsidRDefault="00445758" w:rsidP="00445758">
      <w:pPr>
        <w:kinsoku w:val="0"/>
        <w:wordWrap/>
        <w:overflowPunct w:val="0"/>
        <w:adjustRightInd w:val="0"/>
        <w:snapToGrid w:val="0"/>
        <w:spacing w:after="0" w:line="360" w:lineRule="auto"/>
        <w:ind w:left="120" w:hangingChars="50" w:hanging="120"/>
        <w:rPr>
          <w:rFonts w:ascii="Book Antiqua" w:eastAsia="SimSun" w:hAnsi="Book Antiqua" w:cs="Arial"/>
          <w:color w:val="000000" w:themeColor="text1"/>
          <w:sz w:val="24"/>
          <w:szCs w:val="24"/>
          <w:lang w:eastAsia="zh-CN"/>
        </w:rPr>
      </w:pPr>
      <w:r>
        <w:rPr>
          <w:rFonts w:ascii="Book Antiqua" w:eastAsia="SimSun" w:hAnsi="Book Antiqua" w:cs="Arial"/>
          <w:noProof/>
          <w:color w:val="000000" w:themeColor="text1"/>
          <w:sz w:val="24"/>
          <w:szCs w:val="24"/>
          <w:lang w:eastAsia="zh-CN"/>
        </w:rPr>
        <w:lastRenderedPageBreak/>
        <w:drawing>
          <wp:inline distT="0" distB="0" distL="0" distR="0" wp14:anchorId="77A2A130" wp14:editId="350EA952">
            <wp:extent cx="5731510" cy="4312748"/>
            <wp:effectExtent l="0" t="0" r="2540" b="0"/>
            <wp:docPr id="6" name="图片 6" descr="C:\Users\Administrator\Desktop\21021\21021\21021-Figures\Figure 2-Cx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1021\21021\21021-Figures\Figure 2-Cx1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312748"/>
                    </a:xfrm>
                    <a:prstGeom prst="rect">
                      <a:avLst/>
                    </a:prstGeom>
                    <a:noFill/>
                    <a:ln>
                      <a:noFill/>
                    </a:ln>
                  </pic:spPr>
                </pic:pic>
              </a:graphicData>
            </a:graphic>
          </wp:inline>
        </w:drawing>
      </w:r>
    </w:p>
    <w:p w:rsidR="00445758" w:rsidRDefault="00445758" w:rsidP="00445758">
      <w:pPr>
        <w:kinsoku w:val="0"/>
        <w:wordWrap/>
        <w:overflowPunct w:val="0"/>
        <w:adjustRightInd w:val="0"/>
        <w:snapToGrid w:val="0"/>
        <w:spacing w:after="0" w:line="360" w:lineRule="auto"/>
        <w:ind w:left="120" w:hangingChars="50" w:hanging="120"/>
        <w:rPr>
          <w:rFonts w:ascii="Book Antiqua" w:eastAsia="SimSun" w:hAnsi="Book Antiqua" w:cs="Arial"/>
          <w:color w:val="000000" w:themeColor="text1"/>
          <w:sz w:val="24"/>
          <w:szCs w:val="24"/>
          <w:lang w:eastAsia="zh-CN"/>
        </w:rPr>
      </w:pPr>
      <w:r>
        <w:rPr>
          <w:rFonts w:ascii="Book Antiqua" w:eastAsia="SimSun" w:hAnsi="Book Antiqua" w:cs="Arial" w:hint="eastAsia"/>
          <w:color w:val="000000" w:themeColor="text1"/>
          <w:sz w:val="24"/>
          <w:szCs w:val="24"/>
          <w:lang w:eastAsia="zh-CN"/>
        </w:rPr>
        <w:t>C</w:t>
      </w:r>
    </w:p>
    <w:p w:rsidR="00445758" w:rsidRDefault="00445758" w:rsidP="00445758">
      <w:pPr>
        <w:kinsoku w:val="0"/>
        <w:wordWrap/>
        <w:overflowPunct w:val="0"/>
        <w:adjustRightInd w:val="0"/>
        <w:snapToGrid w:val="0"/>
        <w:spacing w:after="0" w:line="360" w:lineRule="auto"/>
        <w:ind w:left="120" w:hangingChars="50" w:hanging="120"/>
        <w:rPr>
          <w:rFonts w:ascii="Book Antiqua" w:eastAsia="SimSun" w:hAnsi="Book Antiqua" w:cs="Arial"/>
          <w:color w:val="000000" w:themeColor="text1"/>
          <w:sz w:val="24"/>
          <w:szCs w:val="24"/>
          <w:lang w:eastAsia="zh-CN"/>
        </w:rPr>
      </w:pPr>
      <w:r>
        <w:rPr>
          <w:rFonts w:ascii="Book Antiqua" w:eastAsia="SimSun" w:hAnsi="Book Antiqua" w:cs="Arial"/>
          <w:noProof/>
          <w:color w:val="000000" w:themeColor="text1"/>
          <w:sz w:val="24"/>
          <w:szCs w:val="24"/>
          <w:lang w:eastAsia="zh-CN"/>
        </w:rPr>
        <w:drawing>
          <wp:inline distT="0" distB="0" distL="0" distR="0" wp14:anchorId="0E82846F" wp14:editId="401F6167">
            <wp:extent cx="4318635" cy="3249930"/>
            <wp:effectExtent l="0" t="0" r="5715" b="7620"/>
            <wp:docPr id="7" name="图片 7" descr="C:\Users\Administrator\Desktop\21021\21021\21021-Figures\Figure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1021\21021\21021-Figures\Figure 2-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635" cy="3249930"/>
                    </a:xfrm>
                    <a:prstGeom prst="rect">
                      <a:avLst/>
                    </a:prstGeom>
                    <a:noFill/>
                    <a:ln>
                      <a:noFill/>
                    </a:ln>
                  </pic:spPr>
                </pic:pic>
              </a:graphicData>
            </a:graphic>
          </wp:inline>
        </w:drawing>
      </w:r>
    </w:p>
    <w:p w:rsidR="00445758" w:rsidRDefault="00445758" w:rsidP="00445758">
      <w:pPr>
        <w:kinsoku w:val="0"/>
        <w:wordWrap/>
        <w:overflowPunct w:val="0"/>
        <w:adjustRightInd w:val="0"/>
        <w:snapToGrid w:val="0"/>
        <w:spacing w:after="0" w:line="360" w:lineRule="auto"/>
        <w:ind w:left="120" w:hangingChars="50" w:hanging="120"/>
        <w:rPr>
          <w:rFonts w:ascii="Book Antiqua" w:eastAsia="SimSun" w:hAnsi="Book Antiqua" w:cs="Arial"/>
          <w:color w:val="000000" w:themeColor="text1"/>
          <w:sz w:val="24"/>
          <w:szCs w:val="24"/>
          <w:lang w:eastAsia="zh-CN"/>
        </w:rPr>
      </w:pPr>
      <w:r>
        <w:rPr>
          <w:rFonts w:ascii="Book Antiqua" w:eastAsia="SimSun" w:hAnsi="Book Antiqua" w:cs="Arial" w:hint="eastAsia"/>
          <w:color w:val="000000" w:themeColor="text1"/>
          <w:sz w:val="24"/>
          <w:szCs w:val="24"/>
          <w:lang w:eastAsia="zh-CN"/>
        </w:rPr>
        <w:t>D</w:t>
      </w:r>
    </w:p>
    <w:p w:rsidR="006A6314" w:rsidRPr="00031CB9" w:rsidRDefault="00445758" w:rsidP="00445758">
      <w:pPr>
        <w:kinsoku w:val="0"/>
        <w:wordWrap/>
        <w:overflowPunct w:val="0"/>
        <w:adjustRightInd w:val="0"/>
        <w:snapToGrid w:val="0"/>
        <w:spacing w:after="0" w:line="360" w:lineRule="auto"/>
        <w:ind w:left="120" w:hangingChars="50" w:hanging="120"/>
        <w:rPr>
          <w:rFonts w:ascii="Book Antiqua" w:hAnsi="Book Antiqua" w:cs="Arial"/>
          <w:color w:val="000000" w:themeColor="text1"/>
          <w:sz w:val="24"/>
          <w:szCs w:val="24"/>
        </w:rPr>
      </w:pPr>
      <w:r w:rsidRPr="00445758">
        <w:rPr>
          <w:rFonts w:ascii="Book Antiqua" w:hAnsi="Book Antiqua" w:cs="Arial"/>
          <w:b/>
          <w:color w:val="000000" w:themeColor="text1"/>
          <w:sz w:val="24"/>
          <w:szCs w:val="24"/>
        </w:rPr>
        <w:t>Fig</w:t>
      </w:r>
      <w:r w:rsidRPr="00445758">
        <w:rPr>
          <w:rFonts w:ascii="Book Antiqua" w:eastAsia="SimSun" w:hAnsi="Book Antiqua" w:cs="Arial" w:hint="eastAsia"/>
          <w:b/>
          <w:color w:val="000000" w:themeColor="text1"/>
          <w:sz w:val="24"/>
          <w:szCs w:val="24"/>
          <w:lang w:eastAsia="zh-CN"/>
        </w:rPr>
        <w:t>ure</w:t>
      </w:r>
      <w:r w:rsidRPr="00445758">
        <w:rPr>
          <w:rFonts w:ascii="Book Antiqua" w:hAnsi="Book Antiqua" w:cs="Arial"/>
          <w:b/>
          <w:color w:val="000000" w:themeColor="text1"/>
          <w:sz w:val="24"/>
          <w:szCs w:val="24"/>
        </w:rPr>
        <w:t xml:space="preserve"> </w:t>
      </w:r>
      <w:r w:rsidRPr="00445758">
        <w:rPr>
          <w:rFonts w:ascii="Book Antiqua" w:eastAsia="SimSun" w:hAnsi="Book Antiqua" w:cs="Arial" w:hint="eastAsia"/>
          <w:b/>
          <w:color w:val="000000" w:themeColor="text1"/>
          <w:sz w:val="24"/>
          <w:szCs w:val="24"/>
          <w:lang w:eastAsia="zh-CN"/>
        </w:rPr>
        <w:t>2</w:t>
      </w:r>
      <w:r w:rsidRPr="00445758">
        <w:rPr>
          <w:rFonts w:ascii="Book Antiqua" w:hAnsi="Book Antiqua" w:cs="Arial"/>
          <w:b/>
          <w:color w:val="000000" w:themeColor="text1"/>
          <w:sz w:val="24"/>
          <w:szCs w:val="24"/>
        </w:rPr>
        <w:t xml:space="preserve"> </w:t>
      </w:r>
      <w:r w:rsidRPr="00445758">
        <w:rPr>
          <w:rFonts w:ascii="Book Antiqua" w:eastAsia="SimSun" w:hAnsi="Book Antiqua" w:cs="Arial" w:hint="eastAsia"/>
          <w:b/>
          <w:color w:val="000000" w:themeColor="text1"/>
          <w:sz w:val="24"/>
          <w:szCs w:val="24"/>
          <w:lang w:eastAsia="zh-CN"/>
        </w:rPr>
        <w:t>Sixty-seven</w:t>
      </w:r>
      <w:r w:rsidRPr="00445758">
        <w:rPr>
          <w:rFonts w:ascii="Book Antiqua" w:hAnsi="Book Antiqua" w:cs="Arial"/>
          <w:b/>
          <w:color w:val="000000" w:themeColor="text1"/>
          <w:sz w:val="24"/>
          <w:szCs w:val="24"/>
        </w:rPr>
        <w:t xml:space="preserve"> years old, female was admitted for cholangitis and treated </w:t>
      </w:r>
      <w:r w:rsidRPr="00445758">
        <w:rPr>
          <w:rFonts w:ascii="Book Antiqua" w:hAnsi="Book Antiqua" w:cs="Arial"/>
          <w:b/>
          <w:color w:val="000000" w:themeColor="text1"/>
          <w:sz w:val="24"/>
          <w:szCs w:val="24"/>
        </w:rPr>
        <w:lastRenderedPageBreak/>
        <w:t xml:space="preserve">with hepatic resection. </w:t>
      </w:r>
      <w:r w:rsidRPr="00031CB9">
        <w:rPr>
          <w:rFonts w:ascii="Book Antiqua" w:hAnsi="Book Antiqua" w:cs="Arial"/>
          <w:color w:val="000000" w:themeColor="text1"/>
          <w:sz w:val="24"/>
          <w:szCs w:val="24"/>
        </w:rPr>
        <w:t>She was followed and underwent 2</w:t>
      </w:r>
      <w:r w:rsidRPr="00031CB9">
        <w:rPr>
          <w:rFonts w:ascii="Book Antiqua" w:hAnsi="Book Antiqua" w:cs="Arial"/>
          <w:color w:val="000000" w:themeColor="text1"/>
          <w:sz w:val="24"/>
          <w:szCs w:val="24"/>
          <w:vertAlign w:val="superscript"/>
        </w:rPr>
        <w:t>nd</w:t>
      </w:r>
      <w:r>
        <w:rPr>
          <w:rFonts w:ascii="Book Antiqua" w:hAnsi="Book Antiqua" w:cs="Arial"/>
          <w:color w:val="000000" w:themeColor="text1"/>
          <w:sz w:val="24"/>
          <w:szCs w:val="24"/>
        </w:rPr>
        <w:t xml:space="preserve"> resection 1 year later. </w:t>
      </w:r>
      <w:r w:rsidR="006A6314" w:rsidRPr="00031CB9">
        <w:rPr>
          <w:rFonts w:ascii="Book Antiqua" w:hAnsi="Book Antiqua" w:cs="Arial"/>
          <w:color w:val="000000" w:themeColor="text1"/>
          <w:sz w:val="24"/>
          <w:szCs w:val="24"/>
        </w:rPr>
        <w:t>A</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 xml:space="preserve"> Follow up Abdominal </w:t>
      </w:r>
      <w:r w:rsidRPr="00445758">
        <w:rPr>
          <w:rFonts w:ascii="Book Antiqua" w:hAnsi="Book Antiqua" w:cs="Arial"/>
          <w:color w:val="000000" w:themeColor="text1"/>
          <w:sz w:val="24"/>
          <w:szCs w:val="24"/>
        </w:rPr>
        <w:t>computed tomography</w:t>
      </w:r>
      <w:r w:rsidR="006A6314" w:rsidRPr="00031CB9">
        <w:rPr>
          <w:rFonts w:ascii="Book Antiqua" w:hAnsi="Book Antiqua" w:cs="Arial"/>
          <w:color w:val="000000" w:themeColor="text1"/>
          <w:sz w:val="24"/>
          <w:szCs w:val="24"/>
        </w:rPr>
        <w:t>. Exophytic hypodense mass in S7 of the liver was more enlarged with peripheral enhancement</w:t>
      </w:r>
      <w:r>
        <w:rPr>
          <w:rFonts w:ascii="Book Antiqua" w:eastAsia="SimSun" w:hAnsi="Book Antiqua" w:cs="Arial" w:hint="eastAsia"/>
          <w:color w:val="000000" w:themeColor="text1"/>
          <w:sz w:val="24"/>
          <w:szCs w:val="24"/>
          <w:lang w:eastAsia="zh-CN"/>
        </w:rPr>
        <w:t xml:space="preserve">; </w:t>
      </w:r>
      <w:r w:rsidR="006A6314" w:rsidRPr="00031CB9">
        <w:rPr>
          <w:rFonts w:ascii="Book Antiqua" w:hAnsi="Book Antiqua" w:cs="Arial"/>
          <w:color w:val="000000" w:themeColor="text1"/>
          <w:sz w:val="24"/>
          <w:szCs w:val="24"/>
        </w:rPr>
        <w:t>B</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 xml:space="preserve"> Liver, S7, segmentectomy was done</w:t>
      </w:r>
      <w:r>
        <w:rPr>
          <w:rFonts w:ascii="Book Antiqua" w:eastAsia="SimSun" w:hAnsi="Book Antiqua" w:cs="Arial" w:hint="eastAsia"/>
          <w:color w:val="000000" w:themeColor="text1"/>
          <w:sz w:val="24"/>
          <w:szCs w:val="24"/>
          <w:lang w:eastAsia="zh-CN"/>
        </w:rPr>
        <w:t xml:space="preserve">; </w:t>
      </w:r>
      <w:r>
        <w:rPr>
          <w:rFonts w:ascii="Book Antiqua" w:hAnsi="Book Antiqua" w:cs="Arial"/>
          <w:color w:val="000000" w:themeColor="text1"/>
          <w:sz w:val="24"/>
          <w:szCs w:val="24"/>
        </w:rPr>
        <w:t>C</w:t>
      </w:r>
      <w:r>
        <w:rPr>
          <w:rFonts w:ascii="Book Antiqua" w:eastAsia="SimSun" w:hAnsi="Book Antiqua" w:cs="Arial" w:hint="eastAsia"/>
          <w:color w:val="000000" w:themeColor="text1"/>
          <w:sz w:val="24"/>
          <w:szCs w:val="24"/>
          <w:lang w:eastAsia="zh-CN"/>
        </w:rPr>
        <w:t xml:space="preserve">, </w:t>
      </w:r>
      <w:r w:rsidR="006A6314" w:rsidRPr="00031CB9">
        <w:rPr>
          <w:rFonts w:ascii="Book Antiqua" w:hAnsi="Book Antiqua" w:cs="Arial"/>
          <w:color w:val="000000" w:themeColor="text1"/>
          <w:sz w:val="24"/>
          <w:szCs w:val="24"/>
        </w:rPr>
        <w:t>D</w:t>
      </w:r>
      <w:r>
        <w:rPr>
          <w:rFonts w:ascii="Book Antiqua" w:eastAsia="SimSun" w:hAnsi="Book Antiqua" w:cs="Arial" w:hint="eastAsia"/>
          <w:color w:val="000000" w:themeColor="text1"/>
          <w:sz w:val="24"/>
          <w:szCs w:val="24"/>
          <w:lang w:eastAsia="zh-CN"/>
        </w:rPr>
        <w:t xml:space="preserve">: </w:t>
      </w:r>
      <w:r w:rsidR="006A6314" w:rsidRPr="00031CB9">
        <w:rPr>
          <w:rFonts w:ascii="Book Antiqua" w:hAnsi="Book Antiqua" w:cs="Arial"/>
          <w:color w:val="000000" w:themeColor="text1"/>
          <w:sz w:val="24"/>
          <w:szCs w:val="24"/>
        </w:rPr>
        <w:t xml:space="preserve">HE statin </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C</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 xml:space="preserve"> x</w:t>
      </w:r>
      <w:r>
        <w:rPr>
          <w:rFonts w:ascii="Book Antiqua" w:eastAsia="SimSun" w:hAnsi="Book Antiqua" w:cs="Arial" w:hint="eastAsia"/>
          <w:color w:val="000000" w:themeColor="text1"/>
          <w:sz w:val="24"/>
          <w:szCs w:val="24"/>
          <w:lang w:eastAsia="zh-CN"/>
        </w:rPr>
        <w:t xml:space="preserve"> </w:t>
      </w:r>
      <w:r w:rsidR="006A6314" w:rsidRPr="00031CB9">
        <w:rPr>
          <w:rFonts w:ascii="Book Antiqua" w:hAnsi="Book Antiqua" w:cs="Arial"/>
          <w:color w:val="000000" w:themeColor="text1"/>
          <w:sz w:val="24"/>
          <w:szCs w:val="24"/>
        </w:rPr>
        <w:t>12.5</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 xml:space="preserve"> D</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 xml:space="preserve"> x</w:t>
      </w:r>
      <w:r>
        <w:rPr>
          <w:rFonts w:ascii="Book Antiqua" w:eastAsia="SimSun" w:hAnsi="Book Antiqua" w:cs="Arial" w:hint="eastAsia"/>
          <w:color w:val="000000" w:themeColor="text1"/>
          <w:sz w:val="24"/>
          <w:szCs w:val="24"/>
          <w:lang w:eastAsia="zh-CN"/>
        </w:rPr>
        <w:t xml:space="preserve"> </w:t>
      </w:r>
      <w:r w:rsidR="006A6314" w:rsidRPr="00031CB9">
        <w:rPr>
          <w:rFonts w:ascii="Book Antiqua" w:hAnsi="Book Antiqua" w:cs="Arial"/>
          <w:color w:val="000000" w:themeColor="text1"/>
          <w:sz w:val="24"/>
          <w:szCs w:val="24"/>
        </w:rPr>
        <w:t>200</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 Intraductal papillary neoplasm with an associated invasive carcinoma. 6</w:t>
      </w:r>
      <w:r>
        <w:rPr>
          <w:rFonts w:ascii="Book Antiqua" w:eastAsia="SimSun" w:hAnsi="Book Antiqua" w:cs="Arial" w:hint="eastAsia"/>
          <w:color w:val="000000" w:themeColor="text1"/>
          <w:sz w:val="24"/>
          <w:szCs w:val="24"/>
          <w:lang w:eastAsia="zh-CN"/>
        </w:rPr>
        <w:t xml:space="preserve"> </w:t>
      </w:r>
      <w:r w:rsidRPr="00031CB9">
        <w:rPr>
          <w:rFonts w:ascii="Book Antiqua" w:hAnsi="Book Antiqua" w:cs="Arial"/>
          <w:color w:val="000000" w:themeColor="text1"/>
          <w:sz w:val="24"/>
          <w:szCs w:val="24"/>
        </w:rPr>
        <w:t xml:space="preserve">cm </w:t>
      </w:r>
      <w:r w:rsidR="006A6314" w:rsidRPr="00031CB9">
        <w:rPr>
          <w:rFonts w:ascii="Book Antiqua" w:hAnsi="Book Antiqua" w:cs="Arial"/>
          <w:color w:val="000000" w:themeColor="text1"/>
          <w:sz w:val="24"/>
          <w:szCs w:val="24"/>
        </w:rPr>
        <w:t>x</w:t>
      </w:r>
      <w:r>
        <w:rPr>
          <w:rFonts w:ascii="Book Antiqua" w:eastAsia="SimSun" w:hAnsi="Book Antiqua" w:cs="Arial" w:hint="eastAsia"/>
          <w:color w:val="000000" w:themeColor="text1"/>
          <w:sz w:val="24"/>
          <w:szCs w:val="24"/>
          <w:lang w:eastAsia="zh-CN"/>
        </w:rPr>
        <w:t xml:space="preserve"> </w:t>
      </w:r>
      <w:r w:rsidR="006A6314" w:rsidRPr="00031CB9">
        <w:rPr>
          <w:rFonts w:ascii="Book Antiqua" w:hAnsi="Book Antiqua" w:cs="Arial"/>
          <w:color w:val="000000" w:themeColor="text1"/>
          <w:sz w:val="24"/>
          <w:szCs w:val="24"/>
        </w:rPr>
        <w:t>3</w:t>
      </w:r>
      <w:r>
        <w:rPr>
          <w:rFonts w:ascii="Book Antiqua" w:eastAsia="SimSun" w:hAnsi="Book Antiqua" w:cs="Arial" w:hint="eastAsia"/>
          <w:color w:val="000000" w:themeColor="text1"/>
          <w:sz w:val="24"/>
          <w:szCs w:val="24"/>
          <w:lang w:eastAsia="zh-CN"/>
        </w:rPr>
        <w:t xml:space="preserve"> </w:t>
      </w:r>
      <w:r w:rsidRPr="00031CB9">
        <w:rPr>
          <w:rFonts w:ascii="Book Antiqua" w:hAnsi="Book Antiqua" w:cs="Arial"/>
          <w:color w:val="000000" w:themeColor="text1"/>
          <w:sz w:val="24"/>
          <w:szCs w:val="24"/>
        </w:rPr>
        <w:t xml:space="preserve">cm </w:t>
      </w:r>
      <w:r w:rsidR="006A6314" w:rsidRPr="00031CB9">
        <w:rPr>
          <w:rFonts w:ascii="Book Antiqua" w:hAnsi="Book Antiqua" w:cs="Arial"/>
          <w:color w:val="000000" w:themeColor="text1"/>
          <w:sz w:val="24"/>
          <w:szCs w:val="24"/>
        </w:rPr>
        <w:t>x</w:t>
      </w:r>
      <w:r>
        <w:rPr>
          <w:rFonts w:ascii="Book Antiqua" w:eastAsia="SimSun" w:hAnsi="Book Antiqua" w:cs="Arial" w:hint="eastAsia"/>
          <w:color w:val="000000" w:themeColor="text1"/>
          <w:sz w:val="24"/>
          <w:szCs w:val="24"/>
          <w:lang w:eastAsia="zh-CN"/>
        </w:rPr>
        <w:t xml:space="preserve"> </w:t>
      </w:r>
      <w:r w:rsidR="006A6314" w:rsidRPr="00031CB9">
        <w:rPr>
          <w:rFonts w:ascii="Book Antiqua" w:hAnsi="Book Antiqua" w:cs="Arial"/>
          <w:color w:val="000000" w:themeColor="text1"/>
          <w:sz w:val="24"/>
          <w:szCs w:val="24"/>
        </w:rPr>
        <w:t>3</w:t>
      </w:r>
      <w:r>
        <w:rPr>
          <w:rFonts w:ascii="Book Antiqua" w:eastAsia="SimSun" w:hAnsi="Book Antiqua" w:cs="Arial" w:hint="eastAsia"/>
          <w:color w:val="000000" w:themeColor="text1"/>
          <w:sz w:val="24"/>
          <w:szCs w:val="24"/>
          <w:lang w:eastAsia="zh-CN"/>
        </w:rPr>
        <w:t xml:space="preserve"> </w:t>
      </w:r>
      <w:r w:rsidR="006A6314" w:rsidRPr="00031CB9">
        <w:rPr>
          <w:rFonts w:ascii="Book Antiqua" w:hAnsi="Book Antiqua" w:cs="Arial"/>
          <w:color w:val="000000" w:themeColor="text1"/>
          <w:sz w:val="24"/>
          <w:szCs w:val="24"/>
        </w:rPr>
        <w:t>cm sized intraductal papillary neoplasm including 0.6</w:t>
      </w:r>
      <w:r>
        <w:rPr>
          <w:rFonts w:ascii="Book Antiqua" w:eastAsia="SimSun" w:hAnsi="Book Antiqua" w:cs="Arial" w:hint="eastAsia"/>
          <w:color w:val="000000" w:themeColor="text1"/>
          <w:sz w:val="24"/>
          <w:szCs w:val="24"/>
          <w:lang w:eastAsia="zh-CN"/>
        </w:rPr>
        <w:t xml:space="preserve"> </w:t>
      </w:r>
      <w:r w:rsidRPr="00031CB9">
        <w:rPr>
          <w:rFonts w:ascii="Book Antiqua" w:hAnsi="Book Antiqua" w:cs="Arial"/>
          <w:color w:val="000000" w:themeColor="text1"/>
          <w:sz w:val="24"/>
          <w:szCs w:val="24"/>
        </w:rPr>
        <w:t xml:space="preserve">cm </w:t>
      </w:r>
      <w:r w:rsidR="006A6314" w:rsidRPr="00031CB9">
        <w:rPr>
          <w:rFonts w:ascii="Book Antiqua" w:hAnsi="Book Antiqua" w:cs="Arial"/>
          <w:color w:val="000000" w:themeColor="text1"/>
          <w:sz w:val="24"/>
          <w:szCs w:val="24"/>
        </w:rPr>
        <w:t>x</w:t>
      </w:r>
      <w:r>
        <w:rPr>
          <w:rFonts w:ascii="Book Antiqua" w:eastAsia="SimSun" w:hAnsi="Book Antiqua" w:cs="Arial" w:hint="eastAsia"/>
          <w:color w:val="000000" w:themeColor="text1"/>
          <w:sz w:val="24"/>
          <w:szCs w:val="24"/>
          <w:lang w:eastAsia="zh-CN"/>
        </w:rPr>
        <w:t xml:space="preserve"> </w:t>
      </w:r>
      <w:r w:rsidR="006A6314" w:rsidRPr="00031CB9">
        <w:rPr>
          <w:rFonts w:ascii="Book Antiqua" w:hAnsi="Book Antiqua" w:cs="Arial"/>
          <w:color w:val="000000" w:themeColor="text1"/>
          <w:sz w:val="24"/>
          <w:szCs w:val="24"/>
        </w:rPr>
        <w:t>0.5</w:t>
      </w:r>
      <w:r>
        <w:rPr>
          <w:rFonts w:ascii="Book Antiqua" w:eastAsia="SimSun" w:hAnsi="Book Antiqua" w:cs="Arial" w:hint="eastAsia"/>
          <w:color w:val="000000" w:themeColor="text1"/>
          <w:sz w:val="24"/>
          <w:szCs w:val="24"/>
          <w:lang w:eastAsia="zh-CN"/>
        </w:rPr>
        <w:t xml:space="preserve"> </w:t>
      </w:r>
      <w:r w:rsidR="006A6314" w:rsidRPr="00031CB9">
        <w:rPr>
          <w:rFonts w:ascii="Book Antiqua" w:hAnsi="Book Antiqua" w:cs="Arial"/>
          <w:color w:val="000000" w:themeColor="text1"/>
          <w:sz w:val="24"/>
          <w:szCs w:val="24"/>
        </w:rPr>
        <w:t>cm sized invasive tumor.</w:t>
      </w:r>
      <w:r w:rsidR="00940531">
        <w:rPr>
          <w:rFonts w:ascii="Book Antiqua" w:hAnsi="Book Antiqua" w:cs="Arial"/>
          <w:color w:val="000000" w:themeColor="text1"/>
          <w:sz w:val="24"/>
          <w:szCs w:val="24"/>
        </w:rPr>
        <w:t xml:space="preserve"> </w:t>
      </w:r>
    </w:p>
    <w:p w:rsidR="00445758" w:rsidRDefault="00940531" w:rsidP="00445758">
      <w:pPr>
        <w:kinsoku w:val="0"/>
        <w:wordWrap/>
        <w:overflowPunct w:val="0"/>
        <w:adjustRightInd w:val="0"/>
        <w:snapToGrid w:val="0"/>
        <w:spacing w:after="0" w:line="360" w:lineRule="auto"/>
        <w:rPr>
          <w:rFonts w:ascii="Book Antiqua" w:hAnsi="Book Antiqua" w:cs="Arial"/>
          <w:color w:val="000000" w:themeColor="text1"/>
          <w:sz w:val="24"/>
          <w:szCs w:val="24"/>
        </w:rPr>
      </w:pPr>
      <w:r>
        <w:rPr>
          <w:rFonts w:ascii="Book Antiqua" w:hAnsi="Book Antiqua" w:cs="Arial"/>
          <w:color w:val="000000" w:themeColor="text1"/>
          <w:sz w:val="24"/>
          <w:szCs w:val="24"/>
        </w:rPr>
        <w:t xml:space="preserve"> </w:t>
      </w:r>
      <w:r w:rsidR="00445758">
        <w:rPr>
          <w:rFonts w:ascii="Book Antiqua" w:hAnsi="Book Antiqua" w:cs="Arial"/>
          <w:color w:val="000000" w:themeColor="text1"/>
          <w:sz w:val="24"/>
          <w:szCs w:val="24"/>
        </w:rPr>
        <w:br w:type="page"/>
      </w:r>
    </w:p>
    <w:p w:rsidR="006A6314" w:rsidRPr="00031CB9" w:rsidRDefault="00445758" w:rsidP="00445758">
      <w:pPr>
        <w:kinsoku w:val="0"/>
        <w:wordWrap/>
        <w:overflowPunct w:val="0"/>
        <w:adjustRightInd w:val="0"/>
        <w:snapToGrid w:val="0"/>
        <w:spacing w:after="0" w:line="360" w:lineRule="auto"/>
        <w:rPr>
          <w:rFonts w:ascii="Book Antiqua" w:eastAsia="SimSun" w:hAnsi="Book Antiqua" w:cs="Arial"/>
          <w:color w:val="000000" w:themeColor="text1"/>
          <w:sz w:val="24"/>
          <w:szCs w:val="24"/>
          <w:lang w:eastAsia="zh-CN"/>
        </w:rPr>
      </w:pPr>
      <w:r>
        <w:rPr>
          <w:rFonts w:ascii="Book Antiqua" w:eastAsia="SimSun" w:hAnsi="Book Antiqua" w:cs="Arial"/>
          <w:noProof/>
          <w:color w:val="000000" w:themeColor="text1"/>
          <w:sz w:val="24"/>
          <w:szCs w:val="24"/>
          <w:lang w:eastAsia="zh-CN"/>
        </w:rPr>
        <w:lastRenderedPageBreak/>
        <w:drawing>
          <wp:inline distT="0" distB="0" distL="0" distR="0" wp14:anchorId="0EE88669" wp14:editId="09792365">
            <wp:extent cx="5731510" cy="1970970"/>
            <wp:effectExtent l="0" t="0" r="2540" b="0"/>
            <wp:docPr id="8" name="图片 8" descr="C:\Users\Administrator\Desktop\21021\21021\21021-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1021\21021\21021-Figures\Figure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970970"/>
                    </a:xfrm>
                    <a:prstGeom prst="rect">
                      <a:avLst/>
                    </a:prstGeom>
                    <a:noFill/>
                    <a:ln>
                      <a:noFill/>
                    </a:ln>
                  </pic:spPr>
                </pic:pic>
              </a:graphicData>
            </a:graphic>
          </wp:inline>
        </w:drawing>
      </w:r>
    </w:p>
    <w:p w:rsidR="006A6314" w:rsidRPr="00445758" w:rsidRDefault="00445758" w:rsidP="00445758">
      <w:pPr>
        <w:kinsoku w:val="0"/>
        <w:wordWrap/>
        <w:overflowPunct w:val="0"/>
        <w:adjustRightInd w:val="0"/>
        <w:snapToGrid w:val="0"/>
        <w:spacing w:after="0" w:line="360" w:lineRule="auto"/>
        <w:rPr>
          <w:rFonts w:ascii="Book Antiqua" w:eastAsia="SimSun" w:hAnsi="Book Antiqua" w:cs="Arial"/>
          <w:color w:val="000000" w:themeColor="text1"/>
          <w:sz w:val="24"/>
          <w:szCs w:val="24"/>
          <w:lang w:eastAsia="zh-CN"/>
        </w:rPr>
      </w:pPr>
      <w:r w:rsidRPr="00445758">
        <w:rPr>
          <w:rFonts w:ascii="Book Antiqua" w:hAnsi="Book Antiqua" w:cs="Arial"/>
          <w:b/>
          <w:color w:val="000000" w:themeColor="text1"/>
          <w:sz w:val="24"/>
          <w:szCs w:val="24"/>
        </w:rPr>
        <w:t>Fig</w:t>
      </w:r>
      <w:r w:rsidRPr="00445758">
        <w:rPr>
          <w:rFonts w:ascii="Book Antiqua" w:eastAsia="SimSun" w:hAnsi="Book Antiqua" w:cs="Arial" w:hint="eastAsia"/>
          <w:b/>
          <w:color w:val="000000" w:themeColor="text1"/>
          <w:sz w:val="24"/>
          <w:szCs w:val="24"/>
          <w:lang w:eastAsia="zh-CN"/>
        </w:rPr>
        <w:t>ure</w:t>
      </w:r>
      <w:r w:rsidRPr="00445758">
        <w:rPr>
          <w:rFonts w:ascii="Book Antiqua" w:hAnsi="Book Antiqua" w:cs="Arial"/>
          <w:b/>
          <w:color w:val="000000" w:themeColor="text1"/>
          <w:sz w:val="24"/>
          <w:szCs w:val="24"/>
        </w:rPr>
        <w:t xml:space="preserve"> 3</w:t>
      </w:r>
      <w:r w:rsidRPr="00445758">
        <w:rPr>
          <w:rFonts w:ascii="Book Antiqua" w:eastAsia="SimSun" w:hAnsi="Book Antiqua" w:cs="Arial" w:hint="eastAsia"/>
          <w:b/>
          <w:color w:val="000000" w:themeColor="text1"/>
          <w:sz w:val="24"/>
          <w:szCs w:val="24"/>
          <w:lang w:eastAsia="zh-CN"/>
        </w:rPr>
        <w:t xml:space="preserve"> </w:t>
      </w:r>
      <w:r w:rsidR="00DF1085" w:rsidRPr="00445758">
        <w:rPr>
          <w:rFonts w:ascii="Book Antiqua" w:hAnsi="Book Antiqua" w:cs="Arial"/>
          <w:b/>
          <w:color w:val="000000" w:themeColor="text1"/>
          <w:sz w:val="24"/>
          <w:szCs w:val="24"/>
        </w:rPr>
        <w:t>M</w:t>
      </w:r>
      <w:r w:rsidR="00385E24" w:rsidRPr="00445758">
        <w:rPr>
          <w:rFonts w:ascii="Book Antiqua" w:hAnsi="Book Antiqua" w:cs="Arial"/>
          <w:b/>
          <w:color w:val="000000" w:themeColor="text1"/>
          <w:sz w:val="24"/>
          <w:szCs w:val="24"/>
        </w:rPr>
        <w:t xml:space="preserve">olecular mechanism of </w:t>
      </w:r>
      <w:r w:rsidRPr="00445758">
        <w:rPr>
          <w:rStyle w:val="hui12181"/>
          <w:rFonts w:ascii="Book Antiqua" w:hAnsi="Book Antiqua"/>
          <w:b/>
          <w:color w:val="000000" w:themeColor="text1"/>
          <w:sz w:val="24"/>
          <w:szCs w:val="24"/>
        </w:rPr>
        <w:t>hepatolithiasis-associated cholangiocarcinoma</w:t>
      </w:r>
      <w:r w:rsidR="00DF1085" w:rsidRPr="00445758">
        <w:rPr>
          <w:rFonts w:ascii="Book Antiqua" w:hAnsi="Book Antiqua" w:cs="Arial"/>
          <w:b/>
          <w:color w:val="000000" w:themeColor="text1"/>
          <w:sz w:val="24"/>
          <w:szCs w:val="24"/>
        </w:rPr>
        <w:t>.</w:t>
      </w:r>
      <w:r w:rsidRPr="00445758">
        <w:rPr>
          <w:rFonts w:ascii="Book Antiqua" w:eastAsia="SimSun" w:hAnsi="Book Antiqua" w:cs="Arial" w:hint="eastAsia"/>
          <w:b/>
          <w:color w:val="000000" w:themeColor="text1"/>
          <w:sz w:val="24"/>
          <w:szCs w:val="24"/>
          <w:lang w:eastAsia="zh-CN"/>
        </w:rPr>
        <w:t xml:space="preserve"> </w:t>
      </w:r>
      <w:r w:rsidRPr="00031CB9">
        <w:rPr>
          <w:rFonts w:ascii="Book Antiqua" w:hAnsi="Book Antiqua" w:cs="Arial"/>
          <w:color w:val="000000" w:themeColor="text1"/>
          <w:sz w:val="24"/>
          <w:szCs w:val="24"/>
        </w:rPr>
        <w:t>HL-CCA</w:t>
      </w:r>
      <w:r>
        <w:rPr>
          <w:rFonts w:ascii="Book Antiqua" w:eastAsia="SimSun" w:hAnsi="Book Antiqua" w:cs="Arial" w:hint="eastAsia"/>
          <w:color w:val="000000" w:themeColor="text1"/>
          <w:sz w:val="24"/>
          <w:szCs w:val="24"/>
          <w:lang w:eastAsia="zh-CN"/>
        </w:rPr>
        <w:t>:</w:t>
      </w:r>
      <w:r w:rsidRPr="00031CB9">
        <w:rPr>
          <w:rStyle w:val="hui12181"/>
          <w:rFonts w:ascii="Book Antiqua" w:hAnsi="Book Antiqua"/>
          <w:color w:val="000000" w:themeColor="text1"/>
          <w:sz w:val="24"/>
          <w:szCs w:val="24"/>
        </w:rPr>
        <w:t xml:space="preserve"> hepatolithiasis-associated cholangiocarcinoma</w:t>
      </w:r>
      <w:r>
        <w:rPr>
          <w:rStyle w:val="hui12181"/>
          <w:rFonts w:ascii="Book Antiqua" w:eastAsia="SimSun" w:hAnsi="Book Antiqua" w:hint="eastAsia"/>
          <w:color w:val="000000" w:themeColor="text1"/>
          <w:sz w:val="24"/>
          <w:szCs w:val="24"/>
          <w:lang w:eastAsia="zh-CN"/>
        </w:rPr>
        <w:t xml:space="preserve">; </w:t>
      </w:r>
      <w:r w:rsidRPr="00031CB9">
        <w:rPr>
          <w:rFonts w:ascii="Book Antiqua" w:eastAsia="함초롬바탕" w:hAnsi="Book Antiqua" w:cs="Arial"/>
          <w:color w:val="000000" w:themeColor="text1"/>
          <w:sz w:val="24"/>
          <w:szCs w:val="24"/>
        </w:rPr>
        <w:t>NF-</w:t>
      </w:r>
      <w:r>
        <w:rPr>
          <w:rFonts w:ascii="Book Antiqua" w:eastAsia="SimSun" w:hAnsi="Book Antiqua" w:cs="Arial" w:hint="eastAsia"/>
          <w:color w:val="000000" w:themeColor="text1"/>
          <w:sz w:val="24"/>
          <w:szCs w:val="24"/>
          <w:lang w:eastAsia="zh-CN"/>
        </w:rPr>
        <w:t>k</w:t>
      </w:r>
      <w:r w:rsidRPr="00445758">
        <w:rPr>
          <w:rFonts w:ascii="Book Antiqua" w:eastAsia="함초롬바탕" w:hAnsi="Book Antiqua" w:cs="Arial"/>
          <w:caps/>
          <w:color w:val="000000" w:themeColor="text1"/>
          <w:sz w:val="24"/>
          <w:szCs w:val="24"/>
        </w:rPr>
        <w:t>b</w:t>
      </w:r>
      <w:r>
        <w:rPr>
          <w:rFonts w:ascii="Book Antiqua" w:eastAsia="SimSun" w:hAnsi="Book Antiqua" w:cs="Arial" w:hint="eastAsia"/>
          <w:color w:val="000000" w:themeColor="text1"/>
          <w:sz w:val="24"/>
          <w:szCs w:val="24"/>
          <w:lang w:eastAsia="zh-CN"/>
        </w:rPr>
        <w:t>:</w:t>
      </w:r>
      <w:r w:rsidRPr="00031CB9">
        <w:rPr>
          <w:rFonts w:ascii="Book Antiqua" w:eastAsia="함초롬바탕" w:hAnsi="Book Antiqua" w:cs="Arial"/>
          <w:color w:val="000000" w:themeColor="text1"/>
          <w:sz w:val="24"/>
          <w:szCs w:val="24"/>
        </w:rPr>
        <w:t xml:space="preserve"> </w:t>
      </w:r>
      <w:r w:rsidRPr="00445758">
        <w:rPr>
          <w:rFonts w:ascii="Book Antiqua" w:eastAsia="함초롬바탕" w:hAnsi="Book Antiqua" w:cs="Arial"/>
          <w:caps/>
          <w:color w:val="000000" w:themeColor="text1"/>
          <w:sz w:val="24"/>
          <w:szCs w:val="24"/>
        </w:rPr>
        <w:t>n</w:t>
      </w:r>
      <w:r w:rsidRPr="00031CB9">
        <w:rPr>
          <w:rFonts w:ascii="Book Antiqua" w:eastAsia="함초롬바탕" w:hAnsi="Book Antiqua" w:cs="Arial"/>
          <w:color w:val="000000" w:themeColor="text1"/>
          <w:sz w:val="24"/>
          <w:szCs w:val="24"/>
        </w:rPr>
        <w:t>uclear factor kappa-B</w:t>
      </w:r>
      <w:r>
        <w:rPr>
          <w:rFonts w:ascii="Book Antiqua" w:eastAsia="SimSun" w:hAnsi="Book Antiqua" w:cs="Arial" w:hint="eastAsia"/>
          <w:color w:val="000000" w:themeColor="text1"/>
          <w:sz w:val="24"/>
          <w:szCs w:val="24"/>
          <w:lang w:eastAsia="zh-CN"/>
        </w:rPr>
        <w:t xml:space="preserve">; </w:t>
      </w:r>
      <w:r w:rsidRPr="00031CB9">
        <w:rPr>
          <w:rFonts w:ascii="Book Antiqua" w:eastAsia="함초롬바탕" w:hAnsi="Book Antiqua" w:cs="Arial"/>
          <w:color w:val="000000" w:themeColor="text1"/>
          <w:sz w:val="24"/>
          <w:szCs w:val="24"/>
        </w:rPr>
        <w:t>EGFR</w:t>
      </w:r>
      <w:r>
        <w:rPr>
          <w:rFonts w:ascii="Book Antiqua" w:eastAsia="SimSun" w:hAnsi="Book Antiqua" w:cs="Arial" w:hint="eastAsia"/>
          <w:color w:val="000000" w:themeColor="text1"/>
          <w:sz w:val="24"/>
          <w:szCs w:val="24"/>
          <w:lang w:eastAsia="zh-CN"/>
        </w:rPr>
        <w:t>:</w:t>
      </w:r>
      <w:r w:rsidRPr="00031CB9">
        <w:rPr>
          <w:rFonts w:ascii="Book Antiqua" w:eastAsia="함초롬바탕" w:hAnsi="Book Antiqua" w:cs="Arial"/>
          <w:color w:val="000000" w:themeColor="text1"/>
          <w:sz w:val="24"/>
          <w:szCs w:val="24"/>
        </w:rPr>
        <w:t xml:space="preserve"> </w:t>
      </w:r>
      <w:r w:rsidRPr="00445758">
        <w:rPr>
          <w:rFonts w:ascii="Book Antiqua" w:eastAsia="함초롬바탕" w:hAnsi="Book Antiqua" w:cs="Arial"/>
          <w:caps/>
          <w:color w:val="000000" w:themeColor="text1"/>
          <w:sz w:val="24"/>
          <w:szCs w:val="24"/>
        </w:rPr>
        <w:t>e</w:t>
      </w:r>
      <w:r w:rsidRPr="00031CB9">
        <w:rPr>
          <w:rFonts w:ascii="Book Antiqua" w:eastAsia="함초롬바탕" w:hAnsi="Book Antiqua" w:cs="Arial"/>
          <w:color w:val="000000" w:themeColor="text1"/>
          <w:sz w:val="24"/>
          <w:szCs w:val="24"/>
        </w:rPr>
        <w:t>pidermal growth factor receptor</w:t>
      </w:r>
      <w:r>
        <w:rPr>
          <w:rFonts w:ascii="Book Antiqua" w:eastAsia="SimSun" w:hAnsi="Book Antiqua" w:cs="Arial" w:hint="eastAsia"/>
          <w:color w:val="000000" w:themeColor="text1"/>
          <w:sz w:val="24"/>
          <w:szCs w:val="24"/>
          <w:lang w:eastAsia="zh-CN"/>
        </w:rPr>
        <w:t>.</w:t>
      </w:r>
    </w:p>
    <w:p w:rsidR="00445758" w:rsidRDefault="00445758" w:rsidP="00445758">
      <w:pPr>
        <w:kinsoku w:val="0"/>
        <w:wordWrap/>
        <w:overflowPunct w:val="0"/>
        <w:adjustRightInd w:val="0"/>
        <w:snapToGrid w:val="0"/>
        <w:spacing w:after="0" w:line="360" w:lineRule="auto"/>
        <w:rPr>
          <w:rFonts w:ascii="Book Antiqua" w:eastAsia="SimSun" w:hAnsi="Book Antiqua" w:cs="Arial"/>
          <w:b/>
          <w:color w:val="000000" w:themeColor="text1"/>
          <w:sz w:val="24"/>
          <w:szCs w:val="24"/>
          <w:lang w:eastAsia="zh-CN"/>
        </w:rPr>
      </w:pPr>
      <w:r>
        <w:rPr>
          <w:rFonts w:ascii="Book Antiqua" w:eastAsia="SimSun" w:hAnsi="Book Antiqua" w:cs="Arial"/>
          <w:b/>
          <w:color w:val="000000" w:themeColor="text1"/>
          <w:sz w:val="24"/>
          <w:szCs w:val="24"/>
          <w:lang w:eastAsia="zh-CN"/>
        </w:rPr>
        <w:br w:type="page"/>
      </w:r>
    </w:p>
    <w:p w:rsidR="00BB52CF" w:rsidRDefault="00445758" w:rsidP="00445758">
      <w:pPr>
        <w:kinsoku w:val="0"/>
        <w:wordWrap/>
        <w:overflowPunct w:val="0"/>
        <w:adjustRightInd w:val="0"/>
        <w:snapToGrid w:val="0"/>
        <w:spacing w:after="0" w:line="360" w:lineRule="auto"/>
        <w:rPr>
          <w:rFonts w:ascii="Book Antiqua" w:eastAsia="SimSun" w:hAnsi="Book Antiqua" w:cs="Arial"/>
          <w:b/>
          <w:color w:val="000000" w:themeColor="text1"/>
          <w:sz w:val="24"/>
          <w:szCs w:val="24"/>
          <w:lang w:eastAsia="zh-CN"/>
        </w:rPr>
      </w:pPr>
      <w:r>
        <w:rPr>
          <w:rFonts w:ascii="Book Antiqua" w:eastAsia="SimSun" w:hAnsi="Book Antiqua" w:cs="Arial"/>
          <w:b/>
          <w:noProof/>
          <w:color w:val="000000" w:themeColor="text1"/>
          <w:sz w:val="24"/>
          <w:szCs w:val="24"/>
          <w:lang w:eastAsia="zh-CN"/>
        </w:rPr>
        <w:lastRenderedPageBreak/>
        <w:drawing>
          <wp:inline distT="0" distB="0" distL="0" distR="0" wp14:anchorId="074F847B" wp14:editId="109A0B4C">
            <wp:extent cx="3122930" cy="3122930"/>
            <wp:effectExtent l="0" t="0" r="1270" b="1270"/>
            <wp:docPr id="9" name="图片 9" descr="C:\Users\Administrator\Desktop\21021\21021\21021-Figures\Figure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1021\21021\21021-Figures\Figure 4-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2930" cy="3122930"/>
                    </a:xfrm>
                    <a:prstGeom prst="rect">
                      <a:avLst/>
                    </a:prstGeom>
                    <a:noFill/>
                    <a:ln>
                      <a:noFill/>
                    </a:ln>
                  </pic:spPr>
                </pic:pic>
              </a:graphicData>
            </a:graphic>
          </wp:inline>
        </w:drawing>
      </w:r>
    </w:p>
    <w:p w:rsidR="00445758" w:rsidRDefault="00445758" w:rsidP="00445758">
      <w:pPr>
        <w:kinsoku w:val="0"/>
        <w:wordWrap/>
        <w:overflowPunct w:val="0"/>
        <w:adjustRightInd w:val="0"/>
        <w:snapToGrid w:val="0"/>
        <w:spacing w:after="0" w:line="360" w:lineRule="auto"/>
        <w:rPr>
          <w:rFonts w:ascii="Book Antiqua" w:eastAsia="SimSun" w:hAnsi="Book Antiqua" w:cs="Arial"/>
          <w:b/>
          <w:color w:val="000000" w:themeColor="text1"/>
          <w:sz w:val="24"/>
          <w:szCs w:val="24"/>
          <w:lang w:eastAsia="zh-CN"/>
        </w:rPr>
      </w:pPr>
      <w:r>
        <w:rPr>
          <w:rFonts w:ascii="Book Antiqua" w:eastAsia="SimSun" w:hAnsi="Book Antiqua" w:cs="Arial" w:hint="eastAsia"/>
          <w:b/>
          <w:color w:val="000000" w:themeColor="text1"/>
          <w:sz w:val="24"/>
          <w:szCs w:val="24"/>
          <w:lang w:eastAsia="zh-CN"/>
        </w:rPr>
        <w:t>A</w:t>
      </w:r>
    </w:p>
    <w:p w:rsidR="00445758" w:rsidRDefault="00445758" w:rsidP="00445758">
      <w:pPr>
        <w:kinsoku w:val="0"/>
        <w:wordWrap/>
        <w:overflowPunct w:val="0"/>
        <w:adjustRightInd w:val="0"/>
        <w:snapToGrid w:val="0"/>
        <w:spacing w:after="0" w:line="360" w:lineRule="auto"/>
        <w:rPr>
          <w:rFonts w:ascii="Book Antiqua" w:eastAsia="SimSun" w:hAnsi="Book Antiqua" w:cs="Arial"/>
          <w:b/>
          <w:color w:val="000000" w:themeColor="text1"/>
          <w:sz w:val="24"/>
          <w:szCs w:val="24"/>
          <w:lang w:eastAsia="zh-CN"/>
        </w:rPr>
      </w:pPr>
      <w:r>
        <w:rPr>
          <w:rFonts w:ascii="Book Antiqua" w:eastAsia="SimSun" w:hAnsi="Book Antiqua" w:cs="Arial"/>
          <w:b/>
          <w:noProof/>
          <w:color w:val="000000" w:themeColor="text1"/>
          <w:sz w:val="24"/>
          <w:szCs w:val="24"/>
          <w:lang w:eastAsia="zh-CN"/>
        </w:rPr>
        <w:drawing>
          <wp:inline distT="0" distB="0" distL="0" distR="0" wp14:anchorId="00B02753" wp14:editId="00E13DEC">
            <wp:extent cx="5731510" cy="4297811"/>
            <wp:effectExtent l="0" t="0" r="2540" b="7620"/>
            <wp:docPr id="10" name="图片 10" descr="C:\Users\Administrator\Desktop\21021\21021\21021-Figures\Figure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21021\21021\21021-Figures\Figure 4-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7811"/>
                    </a:xfrm>
                    <a:prstGeom prst="rect">
                      <a:avLst/>
                    </a:prstGeom>
                    <a:noFill/>
                    <a:ln>
                      <a:noFill/>
                    </a:ln>
                  </pic:spPr>
                </pic:pic>
              </a:graphicData>
            </a:graphic>
          </wp:inline>
        </w:drawing>
      </w:r>
    </w:p>
    <w:p w:rsidR="00445758" w:rsidRDefault="00445758" w:rsidP="00445758">
      <w:pPr>
        <w:kinsoku w:val="0"/>
        <w:wordWrap/>
        <w:overflowPunct w:val="0"/>
        <w:adjustRightInd w:val="0"/>
        <w:snapToGrid w:val="0"/>
        <w:spacing w:after="0" w:line="360" w:lineRule="auto"/>
        <w:rPr>
          <w:rFonts w:ascii="Book Antiqua" w:eastAsia="SimSun" w:hAnsi="Book Antiqua" w:cs="Arial"/>
          <w:b/>
          <w:color w:val="000000" w:themeColor="text1"/>
          <w:sz w:val="24"/>
          <w:szCs w:val="24"/>
          <w:lang w:eastAsia="zh-CN"/>
        </w:rPr>
      </w:pPr>
      <w:r>
        <w:rPr>
          <w:rFonts w:ascii="Book Antiqua" w:eastAsia="SimSun" w:hAnsi="Book Antiqua" w:cs="Arial" w:hint="eastAsia"/>
          <w:b/>
          <w:color w:val="000000" w:themeColor="text1"/>
          <w:sz w:val="24"/>
          <w:szCs w:val="24"/>
          <w:lang w:eastAsia="zh-CN"/>
        </w:rPr>
        <w:t>B</w:t>
      </w:r>
    </w:p>
    <w:p w:rsidR="00445758" w:rsidRDefault="00445758" w:rsidP="00445758">
      <w:pPr>
        <w:kinsoku w:val="0"/>
        <w:wordWrap/>
        <w:overflowPunct w:val="0"/>
        <w:adjustRightInd w:val="0"/>
        <w:snapToGrid w:val="0"/>
        <w:spacing w:after="0" w:line="360" w:lineRule="auto"/>
        <w:rPr>
          <w:rFonts w:ascii="Book Antiqua" w:eastAsia="SimSun" w:hAnsi="Book Antiqua" w:cs="Arial"/>
          <w:b/>
          <w:color w:val="000000" w:themeColor="text1"/>
          <w:sz w:val="24"/>
          <w:szCs w:val="24"/>
          <w:lang w:eastAsia="zh-CN"/>
        </w:rPr>
      </w:pPr>
      <w:r>
        <w:rPr>
          <w:rFonts w:ascii="Book Antiqua" w:eastAsia="SimSun" w:hAnsi="Book Antiqua" w:cs="Arial"/>
          <w:b/>
          <w:noProof/>
          <w:color w:val="000000" w:themeColor="text1"/>
          <w:sz w:val="24"/>
          <w:szCs w:val="24"/>
          <w:lang w:eastAsia="zh-CN"/>
        </w:rPr>
        <w:lastRenderedPageBreak/>
        <w:drawing>
          <wp:inline distT="0" distB="0" distL="0" distR="0" wp14:anchorId="5C114500" wp14:editId="1D90F42B">
            <wp:extent cx="3122930" cy="3038475"/>
            <wp:effectExtent l="0" t="0" r="1270" b="9525"/>
            <wp:docPr id="11" name="图片 11" descr="C:\Users\Administrator\Desktop\21021\21021\21021-Figures\Figure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21021\21021\21021-Figures\Figure 4-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2930" cy="3038475"/>
                    </a:xfrm>
                    <a:prstGeom prst="rect">
                      <a:avLst/>
                    </a:prstGeom>
                    <a:noFill/>
                    <a:ln>
                      <a:noFill/>
                    </a:ln>
                  </pic:spPr>
                </pic:pic>
              </a:graphicData>
            </a:graphic>
          </wp:inline>
        </w:drawing>
      </w:r>
    </w:p>
    <w:p w:rsidR="00445758" w:rsidRPr="00445758" w:rsidRDefault="00445758" w:rsidP="00445758">
      <w:pPr>
        <w:kinsoku w:val="0"/>
        <w:wordWrap/>
        <w:overflowPunct w:val="0"/>
        <w:adjustRightInd w:val="0"/>
        <w:snapToGrid w:val="0"/>
        <w:spacing w:after="0" w:line="360" w:lineRule="auto"/>
        <w:rPr>
          <w:rFonts w:ascii="Book Antiqua" w:eastAsia="SimSun" w:hAnsi="Book Antiqua" w:cs="Arial"/>
          <w:b/>
          <w:color w:val="000000" w:themeColor="text1"/>
          <w:sz w:val="24"/>
          <w:szCs w:val="24"/>
          <w:lang w:eastAsia="zh-CN"/>
        </w:rPr>
      </w:pPr>
      <w:r>
        <w:rPr>
          <w:rFonts w:ascii="Book Antiqua" w:eastAsia="SimSun" w:hAnsi="Book Antiqua" w:cs="Arial" w:hint="eastAsia"/>
          <w:b/>
          <w:color w:val="000000" w:themeColor="text1"/>
          <w:sz w:val="24"/>
          <w:szCs w:val="24"/>
          <w:lang w:eastAsia="zh-CN"/>
        </w:rPr>
        <w:t>C</w:t>
      </w:r>
    </w:p>
    <w:p w:rsidR="006A6314" w:rsidRPr="00445758" w:rsidRDefault="00445758" w:rsidP="00445758">
      <w:pPr>
        <w:kinsoku w:val="0"/>
        <w:wordWrap/>
        <w:overflowPunct w:val="0"/>
        <w:adjustRightInd w:val="0"/>
        <w:snapToGrid w:val="0"/>
        <w:spacing w:after="0" w:line="360" w:lineRule="auto"/>
        <w:rPr>
          <w:rFonts w:ascii="Book Antiqua" w:eastAsia="SimSun" w:hAnsi="Book Antiqua" w:cs="Arial"/>
          <w:b/>
          <w:color w:val="000000" w:themeColor="text1"/>
          <w:sz w:val="24"/>
          <w:szCs w:val="24"/>
          <w:lang w:eastAsia="zh-CN"/>
        </w:rPr>
      </w:pPr>
      <w:r w:rsidRPr="00445758">
        <w:rPr>
          <w:rFonts w:ascii="Book Antiqua" w:hAnsi="Book Antiqua" w:cs="Arial"/>
          <w:b/>
          <w:color w:val="000000" w:themeColor="text1"/>
          <w:sz w:val="24"/>
          <w:szCs w:val="24"/>
        </w:rPr>
        <w:t>Fig</w:t>
      </w:r>
      <w:r w:rsidRPr="00445758">
        <w:rPr>
          <w:rFonts w:ascii="Book Antiqua" w:eastAsia="SimSun" w:hAnsi="Book Antiqua" w:cs="Arial" w:hint="eastAsia"/>
          <w:b/>
          <w:color w:val="000000" w:themeColor="text1"/>
          <w:sz w:val="24"/>
          <w:szCs w:val="24"/>
          <w:lang w:eastAsia="zh-CN"/>
        </w:rPr>
        <w:t>ure</w:t>
      </w:r>
      <w:r w:rsidR="006A6314" w:rsidRPr="00445758">
        <w:rPr>
          <w:rFonts w:ascii="Book Antiqua" w:hAnsi="Book Antiqua" w:cs="Arial"/>
          <w:b/>
          <w:color w:val="000000" w:themeColor="text1"/>
          <w:sz w:val="24"/>
          <w:szCs w:val="24"/>
        </w:rPr>
        <w:t xml:space="preserve"> </w:t>
      </w:r>
      <w:r w:rsidR="00BB52CF" w:rsidRPr="00445758">
        <w:rPr>
          <w:rFonts w:ascii="Book Antiqua" w:hAnsi="Book Antiqua" w:cs="Arial"/>
          <w:b/>
          <w:color w:val="000000" w:themeColor="text1"/>
          <w:sz w:val="24"/>
          <w:szCs w:val="24"/>
        </w:rPr>
        <w:t>4</w:t>
      </w:r>
      <w:r w:rsidR="006A6314" w:rsidRPr="00445758">
        <w:rPr>
          <w:rFonts w:ascii="Book Antiqua" w:hAnsi="Book Antiqua" w:cs="Arial"/>
          <w:b/>
          <w:color w:val="000000" w:themeColor="text1"/>
          <w:sz w:val="24"/>
          <w:szCs w:val="24"/>
        </w:rPr>
        <w:t xml:space="preserve"> </w:t>
      </w:r>
      <w:r w:rsidRPr="00445758">
        <w:rPr>
          <w:rFonts w:ascii="Book Antiqua" w:eastAsia="SimSun" w:hAnsi="Book Antiqua" w:cs="Arial" w:hint="eastAsia"/>
          <w:b/>
          <w:color w:val="000000" w:themeColor="text1"/>
          <w:sz w:val="24"/>
          <w:szCs w:val="24"/>
          <w:lang w:eastAsia="zh-CN"/>
        </w:rPr>
        <w:t>Forty-six</w:t>
      </w:r>
      <w:r w:rsidR="006A6314" w:rsidRPr="00445758">
        <w:rPr>
          <w:rFonts w:ascii="Book Antiqua" w:hAnsi="Book Antiqua" w:cs="Arial"/>
          <w:b/>
          <w:color w:val="000000" w:themeColor="text1"/>
          <w:sz w:val="24"/>
          <w:szCs w:val="24"/>
        </w:rPr>
        <w:t xml:space="preserve"> years old, femal</w:t>
      </w:r>
      <w:r>
        <w:rPr>
          <w:rFonts w:ascii="Book Antiqua" w:hAnsi="Book Antiqua" w:cs="Arial"/>
          <w:b/>
          <w:color w:val="000000" w:themeColor="text1"/>
          <w:sz w:val="24"/>
          <w:szCs w:val="24"/>
        </w:rPr>
        <w:t>e was admitted for cholangitis.</w:t>
      </w:r>
      <w:r>
        <w:rPr>
          <w:rFonts w:ascii="Book Antiqua" w:eastAsia="SimSun" w:hAnsi="Book Antiqua" w:cs="Arial" w:hint="eastAsia"/>
          <w:b/>
          <w:color w:val="000000" w:themeColor="text1"/>
          <w:sz w:val="24"/>
          <w:szCs w:val="24"/>
          <w:lang w:eastAsia="zh-CN"/>
        </w:rPr>
        <w:t xml:space="preserve"> </w:t>
      </w:r>
      <w:r w:rsidR="006A6314" w:rsidRPr="00031CB9">
        <w:rPr>
          <w:rFonts w:ascii="Book Antiqua" w:hAnsi="Book Antiqua" w:cs="Arial"/>
          <w:color w:val="000000" w:themeColor="text1"/>
          <w:sz w:val="24"/>
          <w:szCs w:val="24"/>
        </w:rPr>
        <w:t>A</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 xml:space="preserve"> Abdominal CT demonstrated that multiple calcified stones are seen in the lateral segment of the left lobe</w:t>
      </w:r>
      <w:r>
        <w:rPr>
          <w:rFonts w:ascii="Book Antiqua" w:eastAsia="SimSun" w:hAnsi="Book Antiqua" w:cs="Arial" w:hint="eastAsia"/>
          <w:color w:val="000000" w:themeColor="text1"/>
          <w:sz w:val="24"/>
          <w:szCs w:val="24"/>
          <w:lang w:eastAsia="zh-CN"/>
        </w:rPr>
        <w:t xml:space="preserve">; </w:t>
      </w:r>
      <w:r w:rsidR="006A6314" w:rsidRPr="00031CB9">
        <w:rPr>
          <w:rFonts w:ascii="Book Antiqua" w:hAnsi="Book Antiqua" w:cs="Arial"/>
          <w:color w:val="000000" w:themeColor="text1"/>
          <w:sz w:val="24"/>
          <w:szCs w:val="24"/>
        </w:rPr>
        <w:t>B</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 xml:space="preserve"> Liver, left lobectomy was underwent an</w:t>
      </w:r>
      <w:r>
        <w:rPr>
          <w:rFonts w:ascii="Book Antiqua" w:hAnsi="Book Antiqua" w:cs="Arial"/>
          <w:color w:val="000000" w:themeColor="text1"/>
          <w:sz w:val="24"/>
          <w:szCs w:val="24"/>
        </w:rPr>
        <w:t>d there was no cancerous lesion</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C</w:t>
      </w:r>
      <w:r>
        <w:rPr>
          <w:rFonts w:ascii="Book Antiqua" w:eastAsia="SimSun" w:hAnsi="Book Antiqua" w:cs="Arial" w:hint="eastAsia"/>
          <w:color w:val="000000" w:themeColor="text1"/>
          <w:sz w:val="24"/>
          <w:szCs w:val="24"/>
          <w:lang w:eastAsia="zh-CN"/>
        </w:rPr>
        <w:t>:</w:t>
      </w:r>
      <w:r w:rsidR="006A6314" w:rsidRPr="00031CB9">
        <w:rPr>
          <w:rFonts w:ascii="Book Antiqua" w:hAnsi="Book Antiqua" w:cs="Arial"/>
          <w:color w:val="000000" w:themeColor="text1"/>
          <w:sz w:val="24"/>
          <w:szCs w:val="24"/>
        </w:rPr>
        <w:t xml:space="preserve"> Abdominal </w:t>
      </w:r>
      <w:r w:rsidRPr="00445758">
        <w:rPr>
          <w:rFonts w:ascii="Book Antiqua" w:hAnsi="Book Antiqua" w:cs="Arial"/>
          <w:color w:val="000000" w:themeColor="text1"/>
          <w:sz w:val="24"/>
          <w:szCs w:val="24"/>
        </w:rPr>
        <w:t xml:space="preserve">computed tomography </w:t>
      </w:r>
      <w:r w:rsidR="006A6314" w:rsidRPr="00031CB9">
        <w:rPr>
          <w:rFonts w:ascii="Book Antiqua" w:hAnsi="Book Antiqua" w:cs="Arial"/>
          <w:color w:val="000000" w:themeColor="text1"/>
          <w:sz w:val="24"/>
          <w:szCs w:val="24"/>
        </w:rPr>
        <w:t xml:space="preserve">taken </w:t>
      </w:r>
      <w:r w:rsidR="00C65E5F" w:rsidRPr="00031CB9">
        <w:rPr>
          <w:rFonts w:ascii="Book Antiqua" w:hAnsi="Book Antiqua" w:cs="Arial"/>
          <w:color w:val="000000" w:themeColor="text1"/>
          <w:sz w:val="24"/>
          <w:szCs w:val="24"/>
        </w:rPr>
        <w:t>14</w:t>
      </w:r>
      <w:r w:rsidR="006A6314" w:rsidRPr="00031CB9">
        <w:rPr>
          <w:rFonts w:ascii="Book Antiqua" w:hAnsi="Book Antiqua" w:cs="Arial"/>
          <w:color w:val="000000" w:themeColor="text1"/>
          <w:sz w:val="24"/>
          <w:szCs w:val="24"/>
        </w:rPr>
        <w:t xml:space="preserve"> mo later after resection demonstrated that cholangiocarcionoma development of is noted in the caudate lobe of the liver. </w:t>
      </w:r>
    </w:p>
    <w:p w:rsidR="006A6314" w:rsidRPr="00031CB9" w:rsidRDefault="006A6314" w:rsidP="00445758">
      <w:pPr>
        <w:pStyle w:val="Heading1"/>
        <w:shd w:val="clear" w:color="auto" w:fill="FFFFFF"/>
        <w:kinsoku w:val="0"/>
        <w:overflowPunct w:val="0"/>
        <w:autoSpaceDE w:val="0"/>
        <w:autoSpaceDN w:val="0"/>
        <w:adjustRightInd w:val="0"/>
        <w:snapToGrid w:val="0"/>
        <w:spacing w:before="0" w:after="0" w:line="360" w:lineRule="auto"/>
        <w:jc w:val="both"/>
        <w:rPr>
          <w:rFonts w:ascii="Book Antiqua" w:eastAsia="SimSun" w:hAnsi="Book Antiqua" w:cs="Times New Roman"/>
          <w:color w:val="000000" w:themeColor="text1"/>
          <w:sz w:val="24"/>
          <w:szCs w:val="24"/>
          <w:lang w:eastAsia="zh-CN"/>
        </w:rPr>
      </w:pPr>
    </w:p>
    <w:p w:rsidR="00EA2534" w:rsidRPr="00031CB9" w:rsidRDefault="00EA2534" w:rsidP="00445758">
      <w:pPr>
        <w:widowControl/>
        <w:kinsoku w:val="0"/>
        <w:wordWrap/>
        <w:overflowPunct w:val="0"/>
        <w:adjustRightInd w:val="0"/>
        <w:snapToGrid w:val="0"/>
        <w:spacing w:after="0" w:line="360" w:lineRule="auto"/>
        <w:rPr>
          <w:rFonts w:ascii="Book Antiqua" w:hAnsi="Book Antiqua" w:cs="Times New Roman"/>
          <w:b/>
          <w:bCs/>
          <w:color w:val="000000" w:themeColor="text1"/>
          <w:kern w:val="36"/>
          <w:sz w:val="24"/>
          <w:szCs w:val="24"/>
        </w:rPr>
      </w:pPr>
    </w:p>
    <w:sectPr w:rsidR="00EA2534" w:rsidRPr="00031CB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503" w:rsidRDefault="00866503" w:rsidP="00C46D2B">
      <w:pPr>
        <w:spacing w:after="0" w:line="240" w:lineRule="auto"/>
      </w:pPr>
      <w:r>
        <w:separator/>
      </w:r>
    </w:p>
  </w:endnote>
  <w:endnote w:type="continuationSeparator" w:id="0">
    <w:p w:rsidR="00866503" w:rsidRDefault="00866503" w:rsidP="00C46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함초롬바탕">
    <w:altName w:val="Arial Unicode MS"/>
    <w:charset w:val="81"/>
    <w:family w:val="roman"/>
    <w:pitch w:val="variable"/>
    <w:sig w:usb0="00000000" w:usb1="FBDFFFFF" w:usb2="0417FFFF"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HY궁서">
    <w:altName w:val="Arial Unicode MS"/>
    <w:charset w:val="81"/>
    <w:family w:val="roman"/>
    <w:pitch w:val="variable"/>
    <w:sig w:usb0="00000000" w:usb1="19D77CF9" w:usb2="00000010" w:usb3="00000000" w:csb0="00080000" w:csb1="00000000"/>
  </w:font>
  <w:font w:name="Dotum">
    <w:altName w:val="돋움"/>
    <w:panose1 w:val="020B0600000101010101"/>
    <w:charset w:val="81"/>
    <w:family w:val="swiss"/>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503" w:rsidRDefault="00866503" w:rsidP="00C46D2B">
      <w:pPr>
        <w:spacing w:after="0" w:line="240" w:lineRule="auto"/>
      </w:pPr>
      <w:r>
        <w:separator/>
      </w:r>
    </w:p>
  </w:footnote>
  <w:footnote w:type="continuationSeparator" w:id="0">
    <w:p w:rsidR="00866503" w:rsidRDefault="00866503" w:rsidP="00C46D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879A8"/>
    <w:multiLevelType w:val="hybridMultilevel"/>
    <w:tmpl w:val="09EE30A8"/>
    <w:lvl w:ilvl="0" w:tplc="4184F0EC">
      <w:start w:val="1"/>
      <w:numFmt w:val="decimal"/>
      <w:lvlText w:val="%1."/>
      <w:lvlJc w:val="left"/>
      <w:pPr>
        <w:ind w:left="720" w:hanging="360"/>
      </w:pPr>
      <w:rPr>
        <w:rFonts w:eastAsia="함초롬바탕"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D17BC"/>
    <w:multiLevelType w:val="hybridMultilevel"/>
    <w:tmpl w:val="2EA01FAA"/>
    <w:lvl w:ilvl="0" w:tplc="B066B8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69D2FF5"/>
    <w:multiLevelType w:val="multilevel"/>
    <w:tmpl w:val="F19C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65576"/>
    <w:multiLevelType w:val="hybridMultilevel"/>
    <w:tmpl w:val="920EA574"/>
    <w:lvl w:ilvl="0" w:tplc="D54C5104">
      <w:start w:val="1"/>
      <w:numFmt w:val="decimal"/>
      <w:lvlText w:val="%1."/>
      <w:lvlJc w:val="left"/>
      <w:pPr>
        <w:ind w:left="786"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A5F2D52"/>
    <w:multiLevelType w:val="hybridMultilevel"/>
    <w:tmpl w:val="1486C8F0"/>
    <w:lvl w:ilvl="0" w:tplc="4184F0EC">
      <w:start w:val="1"/>
      <w:numFmt w:val="decimal"/>
      <w:lvlText w:val="%1."/>
      <w:lvlJc w:val="left"/>
      <w:pPr>
        <w:ind w:left="720" w:hanging="360"/>
      </w:pPr>
      <w:rPr>
        <w:rFonts w:eastAsia="함초롬바탕"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792795"/>
    <w:multiLevelType w:val="hybridMultilevel"/>
    <w:tmpl w:val="630ACE1A"/>
    <w:lvl w:ilvl="0" w:tplc="B066B8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3A1F7A7D"/>
    <w:multiLevelType w:val="multilevel"/>
    <w:tmpl w:val="A058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6B0B4E"/>
    <w:multiLevelType w:val="hybridMultilevel"/>
    <w:tmpl w:val="CB68ED32"/>
    <w:lvl w:ilvl="0" w:tplc="B066B8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9B2A0D"/>
    <w:multiLevelType w:val="hybridMultilevel"/>
    <w:tmpl w:val="67CC5FA0"/>
    <w:lvl w:ilvl="0" w:tplc="D66A5886">
      <w:start w:val="1"/>
      <w:numFmt w:val="decimal"/>
      <w:lvlText w:val="%1)"/>
      <w:lvlJc w:val="left"/>
      <w:pPr>
        <w:ind w:left="760" w:hanging="360"/>
      </w:pPr>
      <w:rPr>
        <w:rFonts w:eastAsia="함초롬바탕"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45D71C8C"/>
    <w:multiLevelType w:val="multilevel"/>
    <w:tmpl w:val="DBC0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317D6C"/>
    <w:multiLevelType w:val="hybridMultilevel"/>
    <w:tmpl w:val="DC3EEB74"/>
    <w:lvl w:ilvl="0" w:tplc="4184F0EC">
      <w:start w:val="1"/>
      <w:numFmt w:val="decimal"/>
      <w:lvlText w:val="%1."/>
      <w:lvlJc w:val="left"/>
      <w:pPr>
        <w:ind w:left="720" w:hanging="360"/>
      </w:pPr>
      <w:rPr>
        <w:rFonts w:eastAsia="함초롬바탕"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B579AD"/>
    <w:multiLevelType w:val="hybridMultilevel"/>
    <w:tmpl w:val="483488C6"/>
    <w:lvl w:ilvl="0" w:tplc="4184F0EC">
      <w:start w:val="1"/>
      <w:numFmt w:val="decimal"/>
      <w:lvlText w:val="%1."/>
      <w:lvlJc w:val="left"/>
      <w:pPr>
        <w:ind w:left="1440" w:hanging="360"/>
      </w:pPr>
      <w:rPr>
        <w:rFonts w:eastAsia="함초롬바탕"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86A2904"/>
    <w:multiLevelType w:val="hybridMultilevel"/>
    <w:tmpl w:val="CB68ED32"/>
    <w:lvl w:ilvl="0" w:tplc="B066B8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6E4616"/>
    <w:multiLevelType w:val="hybridMultilevel"/>
    <w:tmpl w:val="45263756"/>
    <w:lvl w:ilvl="0" w:tplc="94E240F4">
      <w:start w:val="1"/>
      <w:numFmt w:val="decimal"/>
      <w:lvlText w:val="%1)"/>
      <w:lvlJc w:val="left"/>
      <w:pPr>
        <w:ind w:left="457" w:hanging="360"/>
      </w:pPr>
      <w:rPr>
        <w:rFonts w:eastAsia="함초롬바탕" w:hint="default"/>
        <w:b/>
      </w:rPr>
    </w:lvl>
    <w:lvl w:ilvl="1" w:tplc="04090019" w:tentative="1">
      <w:start w:val="1"/>
      <w:numFmt w:val="upperLetter"/>
      <w:lvlText w:val="%2."/>
      <w:lvlJc w:val="left"/>
      <w:pPr>
        <w:ind w:left="897" w:hanging="400"/>
      </w:pPr>
    </w:lvl>
    <w:lvl w:ilvl="2" w:tplc="0409001B" w:tentative="1">
      <w:start w:val="1"/>
      <w:numFmt w:val="lowerRoman"/>
      <w:lvlText w:val="%3."/>
      <w:lvlJc w:val="right"/>
      <w:pPr>
        <w:ind w:left="1297" w:hanging="400"/>
      </w:pPr>
    </w:lvl>
    <w:lvl w:ilvl="3" w:tplc="0409000F" w:tentative="1">
      <w:start w:val="1"/>
      <w:numFmt w:val="decimal"/>
      <w:lvlText w:val="%4."/>
      <w:lvlJc w:val="left"/>
      <w:pPr>
        <w:ind w:left="1697" w:hanging="400"/>
      </w:pPr>
    </w:lvl>
    <w:lvl w:ilvl="4" w:tplc="04090019" w:tentative="1">
      <w:start w:val="1"/>
      <w:numFmt w:val="upperLetter"/>
      <w:lvlText w:val="%5."/>
      <w:lvlJc w:val="left"/>
      <w:pPr>
        <w:ind w:left="2097" w:hanging="400"/>
      </w:pPr>
    </w:lvl>
    <w:lvl w:ilvl="5" w:tplc="0409001B" w:tentative="1">
      <w:start w:val="1"/>
      <w:numFmt w:val="lowerRoman"/>
      <w:lvlText w:val="%6."/>
      <w:lvlJc w:val="right"/>
      <w:pPr>
        <w:ind w:left="2497" w:hanging="400"/>
      </w:pPr>
    </w:lvl>
    <w:lvl w:ilvl="6" w:tplc="0409000F" w:tentative="1">
      <w:start w:val="1"/>
      <w:numFmt w:val="decimal"/>
      <w:lvlText w:val="%7."/>
      <w:lvlJc w:val="left"/>
      <w:pPr>
        <w:ind w:left="2897" w:hanging="400"/>
      </w:pPr>
    </w:lvl>
    <w:lvl w:ilvl="7" w:tplc="04090019" w:tentative="1">
      <w:start w:val="1"/>
      <w:numFmt w:val="upperLetter"/>
      <w:lvlText w:val="%8."/>
      <w:lvlJc w:val="left"/>
      <w:pPr>
        <w:ind w:left="3297" w:hanging="400"/>
      </w:pPr>
    </w:lvl>
    <w:lvl w:ilvl="8" w:tplc="0409001B" w:tentative="1">
      <w:start w:val="1"/>
      <w:numFmt w:val="lowerRoman"/>
      <w:lvlText w:val="%9."/>
      <w:lvlJc w:val="right"/>
      <w:pPr>
        <w:ind w:left="3697" w:hanging="400"/>
      </w:pPr>
    </w:lvl>
  </w:abstractNum>
  <w:abstractNum w:abstractNumId="14" w15:restartNumberingAfterBreak="0">
    <w:nsid w:val="6B21207C"/>
    <w:multiLevelType w:val="hybridMultilevel"/>
    <w:tmpl w:val="630ACE1A"/>
    <w:lvl w:ilvl="0" w:tplc="B066B8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73A13EAE"/>
    <w:multiLevelType w:val="multilevel"/>
    <w:tmpl w:val="C130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2F4160"/>
    <w:multiLevelType w:val="multilevel"/>
    <w:tmpl w:val="8B8A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5"/>
  </w:num>
  <w:num w:numId="4">
    <w:abstractNumId w:val="7"/>
  </w:num>
  <w:num w:numId="5">
    <w:abstractNumId w:val="4"/>
  </w:num>
  <w:num w:numId="6">
    <w:abstractNumId w:val="10"/>
  </w:num>
  <w:num w:numId="7">
    <w:abstractNumId w:val="0"/>
  </w:num>
  <w:num w:numId="8">
    <w:abstractNumId w:val="11"/>
  </w:num>
  <w:num w:numId="9">
    <w:abstractNumId w:val="14"/>
  </w:num>
  <w:num w:numId="10">
    <w:abstractNumId w:val="1"/>
  </w:num>
  <w:num w:numId="11">
    <w:abstractNumId w:val="16"/>
  </w:num>
  <w:num w:numId="12">
    <w:abstractNumId w:val="15"/>
  </w:num>
  <w:num w:numId="13">
    <w:abstractNumId w:val="9"/>
  </w:num>
  <w:num w:numId="14">
    <w:abstractNumId w:val="6"/>
  </w:num>
  <w:num w:numId="15">
    <w:abstractNumId w:val="2"/>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C26"/>
    <w:rsid w:val="0000152F"/>
    <w:rsid w:val="000024CF"/>
    <w:rsid w:val="00003C6D"/>
    <w:rsid w:val="00007BC8"/>
    <w:rsid w:val="00013548"/>
    <w:rsid w:val="00015456"/>
    <w:rsid w:val="00015786"/>
    <w:rsid w:val="00015F59"/>
    <w:rsid w:val="000160EE"/>
    <w:rsid w:val="00016768"/>
    <w:rsid w:val="0002126E"/>
    <w:rsid w:val="0002175C"/>
    <w:rsid w:val="00021D3A"/>
    <w:rsid w:val="0002226D"/>
    <w:rsid w:val="00025307"/>
    <w:rsid w:val="00030572"/>
    <w:rsid w:val="000309B7"/>
    <w:rsid w:val="00031CB9"/>
    <w:rsid w:val="00031F08"/>
    <w:rsid w:val="00031F2B"/>
    <w:rsid w:val="0003514F"/>
    <w:rsid w:val="000353B1"/>
    <w:rsid w:val="00037781"/>
    <w:rsid w:val="000378B7"/>
    <w:rsid w:val="00040288"/>
    <w:rsid w:val="0004071E"/>
    <w:rsid w:val="000407F2"/>
    <w:rsid w:val="00042057"/>
    <w:rsid w:val="00042754"/>
    <w:rsid w:val="00042769"/>
    <w:rsid w:val="00044251"/>
    <w:rsid w:val="00050885"/>
    <w:rsid w:val="00051CD2"/>
    <w:rsid w:val="00053DD4"/>
    <w:rsid w:val="00053E71"/>
    <w:rsid w:val="0005411F"/>
    <w:rsid w:val="00054653"/>
    <w:rsid w:val="000551B7"/>
    <w:rsid w:val="00056DB6"/>
    <w:rsid w:val="000575E8"/>
    <w:rsid w:val="00057956"/>
    <w:rsid w:val="0006176B"/>
    <w:rsid w:val="00062EBE"/>
    <w:rsid w:val="0006542E"/>
    <w:rsid w:val="0006558D"/>
    <w:rsid w:val="00065CFE"/>
    <w:rsid w:val="00065D94"/>
    <w:rsid w:val="00066748"/>
    <w:rsid w:val="00066F58"/>
    <w:rsid w:val="00067443"/>
    <w:rsid w:val="000679AC"/>
    <w:rsid w:val="00072FB7"/>
    <w:rsid w:val="00073F3E"/>
    <w:rsid w:val="00077159"/>
    <w:rsid w:val="00081D3D"/>
    <w:rsid w:val="000823CE"/>
    <w:rsid w:val="00082EA9"/>
    <w:rsid w:val="00087213"/>
    <w:rsid w:val="000872F3"/>
    <w:rsid w:val="00087F21"/>
    <w:rsid w:val="00087F70"/>
    <w:rsid w:val="00090D37"/>
    <w:rsid w:val="00092795"/>
    <w:rsid w:val="000947B4"/>
    <w:rsid w:val="00095634"/>
    <w:rsid w:val="00096F53"/>
    <w:rsid w:val="000975F9"/>
    <w:rsid w:val="00097AF4"/>
    <w:rsid w:val="000A0E1B"/>
    <w:rsid w:val="000A0F64"/>
    <w:rsid w:val="000A34CC"/>
    <w:rsid w:val="000A3D97"/>
    <w:rsid w:val="000A6F39"/>
    <w:rsid w:val="000A6FE6"/>
    <w:rsid w:val="000B002C"/>
    <w:rsid w:val="000B036E"/>
    <w:rsid w:val="000B0B1E"/>
    <w:rsid w:val="000B0F6D"/>
    <w:rsid w:val="000B21EE"/>
    <w:rsid w:val="000B285C"/>
    <w:rsid w:val="000B2877"/>
    <w:rsid w:val="000B32F1"/>
    <w:rsid w:val="000B5458"/>
    <w:rsid w:val="000C0DD1"/>
    <w:rsid w:val="000C1265"/>
    <w:rsid w:val="000C14FD"/>
    <w:rsid w:val="000C2DD2"/>
    <w:rsid w:val="000C330D"/>
    <w:rsid w:val="000C5D51"/>
    <w:rsid w:val="000C705B"/>
    <w:rsid w:val="000D2B0B"/>
    <w:rsid w:val="000D32CA"/>
    <w:rsid w:val="000D4146"/>
    <w:rsid w:val="000E07D1"/>
    <w:rsid w:val="000E4D7F"/>
    <w:rsid w:val="000F202A"/>
    <w:rsid w:val="000F2DFC"/>
    <w:rsid w:val="000F4834"/>
    <w:rsid w:val="000F4D95"/>
    <w:rsid w:val="000F4DF2"/>
    <w:rsid w:val="000F6B27"/>
    <w:rsid w:val="001000A9"/>
    <w:rsid w:val="00100158"/>
    <w:rsid w:val="00100D54"/>
    <w:rsid w:val="0010284D"/>
    <w:rsid w:val="00102BBC"/>
    <w:rsid w:val="001105A8"/>
    <w:rsid w:val="00110676"/>
    <w:rsid w:val="00110732"/>
    <w:rsid w:val="00110E28"/>
    <w:rsid w:val="0011190E"/>
    <w:rsid w:val="0011626D"/>
    <w:rsid w:val="001166A7"/>
    <w:rsid w:val="00117759"/>
    <w:rsid w:val="00120BD5"/>
    <w:rsid w:val="00120F89"/>
    <w:rsid w:val="0012247A"/>
    <w:rsid w:val="00122678"/>
    <w:rsid w:val="00125348"/>
    <w:rsid w:val="0012734B"/>
    <w:rsid w:val="00127D5F"/>
    <w:rsid w:val="001307D9"/>
    <w:rsid w:val="00130CFB"/>
    <w:rsid w:val="0013171F"/>
    <w:rsid w:val="001325B8"/>
    <w:rsid w:val="00134C84"/>
    <w:rsid w:val="00135EE2"/>
    <w:rsid w:val="001364BB"/>
    <w:rsid w:val="0013670F"/>
    <w:rsid w:val="0013689A"/>
    <w:rsid w:val="001377AB"/>
    <w:rsid w:val="0014088D"/>
    <w:rsid w:val="001414CC"/>
    <w:rsid w:val="0014273B"/>
    <w:rsid w:val="0014284E"/>
    <w:rsid w:val="00144AA5"/>
    <w:rsid w:val="00145612"/>
    <w:rsid w:val="00146451"/>
    <w:rsid w:val="00147CF5"/>
    <w:rsid w:val="00150A5D"/>
    <w:rsid w:val="00152514"/>
    <w:rsid w:val="0015590C"/>
    <w:rsid w:val="00157992"/>
    <w:rsid w:val="00164FF5"/>
    <w:rsid w:val="0016529F"/>
    <w:rsid w:val="001705C9"/>
    <w:rsid w:val="001743E0"/>
    <w:rsid w:val="00175DCB"/>
    <w:rsid w:val="001761F1"/>
    <w:rsid w:val="001768ED"/>
    <w:rsid w:val="0017691F"/>
    <w:rsid w:val="0017708C"/>
    <w:rsid w:val="001774F5"/>
    <w:rsid w:val="00183CC3"/>
    <w:rsid w:val="00186180"/>
    <w:rsid w:val="00186ED0"/>
    <w:rsid w:val="001872D2"/>
    <w:rsid w:val="00193E60"/>
    <w:rsid w:val="00194AD8"/>
    <w:rsid w:val="0019597A"/>
    <w:rsid w:val="00197D0A"/>
    <w:rsid w:val="001A0FE3"/>
    <w:rsid w:val="001A52C5"/>
    <w:rsid w:val="001A5CC3"/>
    <w:rsid w:val="001A6513"/>
    <w:rsid w:val="001A7F07"/>
    <w:rsid w:val="001B0D61"/>
    <w:rsid w:val="001B20DB"/>
    <w:rsid w:val="001B28C8"/>
    <w:rsid w:val="001B2C06"/>
    <w:rsid w:val="001B5E3F"/>
    <w:rsid w:val="001C09DB"/>
    <w:rsid w:val="001C0A48"/>
    <w:rsid w:val="001C1521"/>
    <w:rsid w:val="001C1924"/>
    <w:rsid w:val="001C3C06"/>
    <w:rsid w:val="001C52E7"/>
    <w:rsid w:val="001C547E"/>
    <w:rsid w:val="001C638F"/>
    <w:rsid w:val="001C6C43"/>
    <w:rsid w:val="001C76D7"/>
    <w:rsid w:val="001D0A86"/>
    <w:rsid w:val="001D0B7E"/>
    <w:rsid w:val="001D0C35"/>
    <w:rsid w:val="001D0F7F"/>
    <w:rsid w:val="001D160F"/>
    <w:rsid w:val="001D2AD9"/>
    <w:rsid w:val="001D53B7"/>
    <w:rsid w:val="001D576C"/>
    <w:rsid w:val="001D616C"/>
    <w:rsid w:val="001D70B3"/>
    <w:rsid w:val="001E2569"/>
    <w:rsid w:val="001E494F"/>
    <w:rsid w:val="001E68C2"/>
    <w:rsid w:val="001E6B53"/>
    <w:rsid w:val="001E7B1B"/>
    <w:rsid w:val="001F4E39"/>
    <w:rsid w:val="001F61B1"/>
    <w:rsid w:val="001F7BBC"/>
    <w:rsid w:val="001F7F03"/>
    <w:rsid w:val="00200386"/>
    <w:rsid w:val="0020313C"/>
    <w:rsid w:val="00206F0A"/>
    <w:rsid w:val="00207283"/>
    <w:rsid w:val="00211A57"/>
    <w:rsid w:val="00213A11"/>
    <w:rsid w:val="00213AA7"/>
    <w:rsid w:val="00215137"/>
    <w:rsid w:val="00215A84"/>
    <w:rsid w:val="00215BF0"/>
    <w:rsid w:val="002160E2"/>
    <w:rsid w:val="00216202"/>
    <w:rsid w:val="0022183F"/>
    <w:rsid w:val="00221ECA"/>
    <w:rsid w:val="00222F34"/>
    <w:rsid w:val="00225592"/>
    <w:rsid w:val="002322E1"/>
    <w:rsid w:val="00232338"/>
    <w:rsid w:val="002333BF"/>
    <w:rsid w:val="00236298"/>
    <w:rsid w:val="002371C4"/>
    <w:rsid w:val="002374C6"/>
    <w:rsid w:val="002416F7"/>
    <w:rsid w:val="002425D7"/>
    <w:rsid w:val="00244FF1"/>
    <w:rsid w:val="00245BAA"/>
    <w:rsid w:val="002465B0"/>
    <w:rsid w:val="00247D73"/>
    <w:rsid w:val="0025009D"/>
    <w:rsid w:val="0025189A"/>
    <w:rsid w:val="00257EC1"/>
    <w:rsid w:val="00261113"/>
    <w:rsid w:val="0026268F"/>
    <w:rsid w:val="00262D0B"/>
    <w:rsid w:val="00262DB0"/>
    <w:rsid w:val="00263058"/>
    <w:rsid w:val="0026552F"/>
    <w:rsid w:val="00270336"/>
    <w:rsid w:val="002706A2"/>
    <w:rsid w:val="00272857"/>
    <w:rsid w:val="00272CDD"/>
    <w:rsid w:val="00272DD9"/>
    <w:rsid w:val="00272FF7"/>
    <w:rsid w:val="00273840"/>
    <w:rsid w:val="00273A16"/>
    <w:rsid w:val="00273CD1"/>
    <w:rsid w:val="00274A4C"/>
    <w:rsid w:val="002779E9"/>
    <w:rsid w:val="00277C40"/>
    <w:rsid w:val="0028328A"/>
    <w:rsid w:val="00283CDD"/>
    <w:rsid w:val="00284168"/>
    <w:rsid w:val="00284C86"/>
    <w:rsid w:val="002872B8"/>
    <w:rsid w:val="002872BD"/>
    <w:rsid w:val="002900D8"/>
    <w:rsid w:val="00290E12"/>
    <w:rsid w:val="00290EDD"/>
    <w:rsid w:val="00295441"/>
    <w:rsid w:val="002961BC"/>
    <w:rsid w:val="00296386"/>
    <w:rsid w:val="002A054A"/>
    <w:rsid w:val="002A175A"/>
    <w:rsid w:val="002A1AA2"/>
    <w:rsid w:val="002A4E61"/>
    <w:rsid w:val="002A66DA"/>
    <w:rsid w:val="002A6CB3"/>
    <w:rsid w:val="002A79E2"/>
    <w:rsid w:val="002B72C5"/>
    <w:rsid w:val="002C0D0E"/>
    <w:rsid w:val="002C3530"/>
    <w:rsid w:val="002C40C1"/>
    <w:rsid w:val="002C4F1B"/>
    <w:rsid w:val="002C55B2"/>
    <w:rsid w:val="002C63B7"/>
    <w:rsid w:val="002C6D36"/>
    <w:rsid w:val="002D03DB"/>
    <w:rsid w:val="002D1444"/>
    <w:rsid w:val="002D1997"/>
    <w:rsid w:val="002D2EDD"/>
    <w:rsid w:val="002D3650"/>
    <w:rsid w:val="002D36DE"/>
    <w:rsid w:val="002D426B"/>
    <w:rsid w:val="002D4409"/>
    <w:rsid w:val="002D528B"/>
    <w:rsid w:val="002D53D6"/>
    <w:rsid w:val="002D6AB3"/>
    <w:rsid w:val="002D714C"/>
    <w:rsid w:val="002E29B5"/>
    <w:rsid w:val="002E4534"/>
    <w:rsid w:val="002E50E8"/>
    <w:rsid w:val="002E568E"/>
    <w:rsid w:val="002E71DD"/>
    <w:rsid w:val="002F0872"/>
    <w:rsid w:val="002F0A7B"/>
    <w:rsid w:val="002F11F7"/>
    <w:rsid w:val="002F31B9"/>
    <w:rsid w:val="002F36C3"/>
    <w:rsid w:val="002F3EB0"/>
    <w:rsid w:val="002F437B"/>
    <w:rsid w:val="002F5A06"/>
    <w:rsid w:val="00301032"/>
    <w:rsid w:val="00302185"/>
    <w:rsid w:val="0030362A"/>
    <w:rsid w:val="00303E28"/>
    <w:rsid w:val="00304A62"/>
    <w:rsid w:val="0030557C"/>
    <w:rsid w:val="00305C5D"/>
    <w:rsid w:val="00306204"/>
    <w:rsid w:val="00307392"/>
    <w:rsid w:val="00307DFB"/>
    <w:rsid w:val="00310851"/>
    <w:rsid w:val="00311077"/>
    <w:rsid w:val="003118EB"/>
    <w:rsid w:val="003119D2"/>
    <w:rsid w:val="00314B73"/>
    <w:rsid w:val="00316B7D"/>
    <w:rsid w:val="00321477"/>
    <w:rsid w:val="00322C97"/>
    <w:rsid w:val="0032341C"/>
    <w:rsid w:val="003247EE"/>
    <w:rsid w:val="003248BE"/>
    <w:rsid w:val="003271E5"/>
    <w:rsid w:val="0032766F"/>
    <w:rsid w:val="0032796A"/>
    <w:rsid w:val="00331A08"/>
    <w:rsid w:val="003334DF"/>
    <w:rsid w:val="00333D67"/>
    <w:rsid w:val="00333E74"/>
    <w:rsid w:val="00335845"/>
    <w:rsid w:val="00335C18"/>
    <w:rsid w:val="00341969"/>
    <w:rsid w:val="0034246C"/>
    <w:rsid w:val="003443BF"/>
    <w:rsid w:val="00344A17"/>
    <w:rsid w:val="003451C1"/>
    <w:rsid w:val="00345957"/>
    <w:rsid w:val="00345BB1"/>
    <w:rsid w:val="003501F9"/>
    <w:rsid w:val="00350435"/>
    <w:rsid w:val="00350A91"/>
    <w:rsid w:val="00350FAB"/>
    <w:rsid w:val="00353143"/>
    <w:rsid w:val="003532E2"/>
    <w:rsid w:val="00353DF4"/>
    <w:rsid w:val="00353E23"/>
    <w:rsid w:val="0035667D"/>
    <w:rsid w:val="003566C2"/>
    <w:rsid w:val="00356A78"/>
    <w:rsid w:val="00360243"/>
    <w:rsid w:val="00362C0F"/>
    <w:rsid w:val="0036401B"/>
    <w:rsid w:val="003641E6"/>
    <w:rsid w:val="00364842"/>
    <w:rsid w:val="00364EB5"/>
    <w:rsid w:val="00364EFE"/>
    <w:rsid w:val="0036627F"/>
    <w:rsid w:val="00366B7B"/>
    <w:rsid w:val="003673DE"/>
    <w:rsid w:val="00370CF9"/>
    <w:rsid w:val="003737AD"/>
    <w:rsid w:val="00375D92"/>
    <w:rsid w:val="003767B0"/>
    <w:rsid w:val="00377904"/>
    <w:rsid w:val="00385E24"/>
    <w:rsid w:val="003866B3"/>
    <w:rsid w:val="0038768A"/>
    <w:rsid w:val="003940E4"/>
    <w:rsid w:val="003954C2"/>
    <w:rsid w:val="00396873"/>
    <w:rsid w:val="003979C9"/>
    <w:rsid w:val="00397E27"/>
    <w:rsid w:val="003A43A7"/>
    <w:rsid w:val="003A4BB9"/>
    <w:rsid w:val="003A59E7"/>
    <w:rsid w:val="003A745B"/>
    <w:rsid w:val="003B0380"/>
    <w:rsid w:val="003B1FEC"/>
    <w:rsid w:val="003B21C7"/>
    <w:rsid w:val="003B22DC"/>
    <w:rsid w:val="003B235D"/>
    <w:rsid w:val="003B29B2"/>
    <w:rsid w:val="003B36E9"/>
    <w:rsid w:val="003B4A8B"/>
    <w:rsid w:val="003B553C"/>
    <w:rsid w:val="003B5AFE"/>
    <w:rsid w:val="003B6C8F"/>
    <w:rsid w:val="003B74F1"/>
    <w:rsid w:val="003C14CE"/>
    <w:rsid w:val="003C1E09"/>
    <w:rsid w:val="003C32E0"/>
    <w:rsid w:val="003C3319"/>
    <w:rsid w:val="003C528A"/>
    <w:rsid w:val="003C52FD"/>
    <w:rsid w:val="003C74FB"/>
    <w:rsid w:val="003D05D0"/>
    <w:rsid w:val="003D1325"/>
    <w:rsid w:val="003D22ED"/>
    <w:rsid w:val="003D25D5"/>
    <w:rsid w:val="003D32F5"/>
    <w:rsid w:val="003D391C"/>
    <w:rsid w:val="003D4F6F"/>
    <w:rsid w:val="003D686A"/>
    <w:rsid w:val="003E0099"/>
    <w:rsid w:val="003E0CF9"/>
    <w:rsid w:val="003E1ED3"/>
    <w:rsid w:val="003E3577"/>
    <w:rsid w:val="003E43FD"/>
    <w:rsid w:val="003E444D"/>
    <w:rsid w:val="003E476E"/>
    <w:rsid w:val="003E57A5"/>
    <w:rsid w:val="003E7181"/>
    <w:rsid w:val="003E7545"/>
    <w:rsid w:val="003E76F1"/>
    <w:rsid w:val="003E77AF"/>
    <w:rsid w:val="003F228F"/>
    <w:rsid w:val="003F2B53"/>
    <w:rsid w:val="003F2E00"/>
    <w:rsid w:val="003F4430"/>
    <w:rsid w:val="003F4F7C"/>
    <w:rsid w:val="003F64C1"/>
    <w:rsid w:val="003F6A67"/>
    <w:rsid w:val="003F6CAA"/>
    <w:rsid w:val="003F721F"/>
    <w:rsid w:val="003F73D9"/>
    <w:rsid w:val="00400A74"/>
    <w:rsid w:val="00403953"/>
    <w:rsid w:val="00403F78"/>
    <w:rsid w:val="00406F2F"/>
    <w:rsid w:val="00407527"/>
    <w:rsid w:val="00407E00"/>
    <w:rsid w:val="004100FD"/>
    <w:rsid w:val="004121C0"/>
    <w:rsid w:val="00412DDF"/>
    <w:rsid w:val="00415B03"/>
    <w:rsid w:val="00416510"/>
    <w:rsid w:val="00420B02"/>
    <w:rsid w:val="004248FC"/>
    <w:rsid w:val="00425FBE"/>
    <w:rsid w:val="004260F1"/>
    <w:rsid w:val="004271AD"/>
    <w:rsid w:val="00430113"/>
    <w:rsid w:val="004301C6"/>
    <w:rsid w:val="004316CD"/>
    <w:rsid w:val="004327F2"/>
    <w:rsid w:val="00436864"/>
    <w:rsid w:val="00437598"/>
    <w:rsid w:val="00441072"/>
    <w:rsid w:val="00442B21"/>
    <w:rsid w:val="004433E3"/>
    <w:rsid w:val="00443F6E"/>
    <w:rsid w:val="00444BAF"/>
    <w:rsid w:val="00445686"/>
    <w:rsid w:val="00445758"/>
    <w:rsid w:val="00445878"/>
    <w:rsid w:val="004500FC"/>
    <w:rsid w:val="0045153E"/>
    <w:rsid w:val="00452687"/>
    <w:rsid w:val="0045350D"/>
    <w:rsid w:val="0045381F"/>
    <w:rsid w:val="00456034"/>
    <w:rsid w:val="00456F04"/>
    <w:rsid w:val="00457539"/>
    <w:rsid w:val="00457DB5"/>
    <w:rsid w:val="00460442"/>
    <w:rsid w:val="00461F0A"/>
    <w:rsid w:val="00465E04"/>
    <w:rsid w:val="00470789"/>
    <w:rsid w:val="0047134E"/>
    <w:rsid w:val="00472299"/>
    <w:rsid w:val="00472A04"/>
    <w:rsid w:val="0047325E"/>
    <w:rsid w:val="00473D2F"/>
    <w:rsid w:val="00474558"/>
    <w:rsid w:val="00474641"/>
    <w:rsid w:val="00476AD0"/>
    <w:rsid w:val="004801DA"/>
    <w:rsid w:val="004807B2"/>
    <w:rsid w:val="00480CFC"/>
    <w:rsid w:val="00481FB4"/>
    <w:rsid w:val="0048262A"/>
    <w:rsid w:val="004831FF"/>
    <w:rsid w:val="004835FF"/>
    <w:rsid w:val="004838B1"/>
    <w:rsid w:val="0048606F"/>
    <w:rsid w:val="004903B6"/>
    <w:rsid w:val="00490FAE"/>
    <w:rsid w:val="004912EF"/>
    <w:rsid w:val="00491FAB"/>
    <w:rsid w:val="00494FB5"/>
    <w:rsid w:val="00495BF2"/>
    <w:rsid w:val="00495CC8"/>
    <w:rsid w:val="004A0054"/>
    <w:rsid w:val="004A0262"/>
    <w:rsid w:val="004A0B26"/>
    <w:rsid w:val="004A3C2F"/>
    <w:rsid w:val="004A3C59"/>
    <w:rsid w:val="004A4EB5"/>
    <w:rsid w:val="004A67BA"/>
    <w:rsid w:val="004A7EB9"/>
    <w:rsid w:val="004B384A"/>
    <w:rsid w:val="004B3A30"/>
    <w:rsid w:val="004B45C1"/>
    <w:rsid w:val="004B6C31"/>
    <w:rsid w:val="004B7A89"/>
    <w:rsid w:val="004C1023"/>
    <w:rsid w:val="004C22FB"/>
    <w:rsid w:val="004C4416"/>
    <w:rsid w:val="004C7B79"/>
    <w:rsid w:val="004D260F"/>
    <w:rsid w:val="004D5977"/>
    <w:rsid w:val="004D5AE5"/>
    <w:rsid w:val="004D69EA"/>
    <w:rsid w:val="004E0EAB"/>
    <w:rsid w:val="004E0F79"/>
    <w:rsid w:val="004E1F38"/>
    <w:rsid w:val="004E55D6"/>
    <w:rsid w:val="004F0B93"/>
    <w:rsid w:val="004F6E17"/>
    <w:rsid w:val="004F7DB9"/>
    <w:rsid w:val="00500870"/>
    <w:rsid w:val="00502D29"/>
    <w:rsid w:val="00504995"/>
    <w:rsid w:val="00504D2F"/>
    <w:rsid w:val="005056B9"/>
    <w:rsid w:val="005068D3"/>
    <w:rsid w:val="00506C90"/>
    <w:rsid w:val="005119A6"/>
    <w:rsid w:val="00512921"/>
    <w:rsid w:val="00515029"/>
    <w:rsid w:val="005157F1"/>
    <w:rsid w:val="00516B49"/>
    <w:rsid w:val="0052075F"/>
    <w:rsid w:val="00520A5F"/>
    <w:rsid w:val="0052138D"/>
    <w:rsid w:val="00521EEC"/>
    <w:rsid w:val="00522BD4"/>
    <w:rsid w:val="0052319F"/>
    <w:rsid w:val="00523C48"/>
    <w:rsid w:val="005253B6"/>
    <w:rsid w:val="00526C28"/>
    <w:rsid w:val="00530A83"/>
    <w:rsid w:val="00532573"/>
    <w:rsid w:val="00532FCA"/>
    <w:rsid w:val="00533456"/>
    <w:rsid w:val="005340A4"/>
    <w:rsid w:val="00536DD8"/>
    <w:rsid w:val="00536DFC"/>
    <w:rsid w:val="00537CA0"/>
    <w:rsid w:val="00540CB5"/>
    <w:rsid w:val="00540CC6"/>
    <w:rsid w:val="00541760"/>
    <w:rsid w:val="005417C0"/>
    <w:rsid w:val="0054264C"/>
    <w:rsid w:val="005448D9"/>
    <w:rsid w:val="0054588A"/>
    <w:rsid w:val="00545B64"/>
    <w:rsid w:val="00550ACC"/>
    <w:rsid w:val="00550F70"/>
    <w:rsid w:val="0055151A"/>
    <w:rsid w:val="005522C8"/>
    <w:rsid w:val="00552A84"/>
    <w:rsid w:val="0055323A"/>
    <w:rsid w:val="005535A3"/>
    <w:rsid w:val="0055405E"/>
    <w:rsid w:val="00555DD4"/>
    <w:rsid w:val="00556045"/>
    <w:rsid w:val="00557588"/>
    <w:rsid w:val="00557637"/>
    <w:rsid w:val="00562402"/>
    <w:rsid w:val="00562444"/>
    <w:rsid w:val="00564BDD"/>
    <w:rsid w:val="00564E1D"/>
    <w:rsid w:val="005662CB"/>
    <w:rsid w:val="00567516"/>
    <w:rsid w:val="00567794"/>
    <w:rsid w:val="00567EBA"/>
    <w:rsid w:val="005741CA"/>
    <w:rsid w:val="005744E2"/>
    <w:rsid w:val="00574B00"/>
    <w:rsid w:val="005757E4"/>
    <w:rsid w:val="0057622D"/>
    <w:rsid w:val="00576878"/>
    <w:rsid w:val="00577F60"/>
    <w:rsid w:val="00580249"/>
    <w:rsid w:val="0058112A"/>
    <w:rsid w:val="00581F9D"/>
    <w:rsid w:val="0058242F"/>
    <w:rsid w:val="00582A9E"/>
    <w:rsid w:val="00583B6C"/>
    <w:rsid w:val="00586818"/>
    <w:rsid w:val="00587147"/>
    <w:rsid w:val="00587524"/>
    <w:rsid w:val="00593E7A"/>
    <w:rsid w:val="0059452D"/>
    <w:rsid w:val="00597971"/>
    <w:rsid w:val="005A1ADF"/>
    <w:rsid w:val="005A2C76"/>
    <w:rsid w:val="005A3D55"/>
    <w:rsid w:val="005A5A8A"/>
    <w:rsid w:val="005A5D1B"/>
    <w:rsid w:val="005A69C1"/>
    <w:rsid w:val="005A69E8"/>
    <w:rsid w:val="005A7B7E"/>
    <w:rsid w:val="005B03B2"/>
    <w:rsid w:val="005B0B13"/>
    <w:rsid w:val="005B1301"/>
    <w:rsid w:val="005B198F"/>
    <w:rsid w:val="005B21F3"/>
    <w:rsid w:val="005B3AB2"/>
    <w:rsid w:val="005B3E62"/>
    <w:rsid w:val="005B454F"/>
    <w:rsid w:val="005B4C11"/>
    <w:rsid w:val="005B4E17"/>
    <w:rsid w:val="005B7754"/>
    <w:rsid w:val="005C1934"/>
    <w:rsid w:val="005C4504"/>
    <w:rsid w:val="005C4AFC"/>
    <w:rsid w:val="005C5E95"/>
    <w:rsid w:val="005C6683"/>
    <w:rsid w:val="005C6BDF"/>
    <w:rsid w:val="005C7397"/>
    <w:rsid w:val="005D0E49"/>
    <w:rsid w:val="005D2161"/>
    <w:rsid w:val="005D2D9C"/>
    <w:rsid w:val="005D35A4"/>
    <w:rsid w:val="005D3815"/>
    <w:rsid w:val="005D47CB"/>
    <w:rsid w:val="005D63CB"/>
    <w:rsid w:val="005E0059"/>
    <w:rsid w:val="005E042D"/>
    <w:rsid w:val="005E163D"/>
    <w:rsid w:val="005E179C"/>
    <w:rsid w:val="005E4145"/>
    <w:rsid w:val="005E6E21"/>
    <w:rsid w:val="005F3258"/>
    <w:rsid w:val="005F5E3F"/>
    <w:rsid w:val="005F6574"/>
    <w:rsid w:val="005F7D3C"/>
    <w:rsid w:val="006008BA"/>
    <w:rsid w:val="006015A4"/>
    <w:rsid w:val="00602E7B"/>
    <w:rsid w:val="00604FAC"/>
    <w:rsid w:val="006061C0"/>
    <w:rsid w:val="00606C3A"/>
    <w:rsid w:val="00606F5C"/>
    <w:rsid w:val="006106DD"/>
    <w:rsid w:val="00616377"/>
    <w:rsid w:val="00616BFF"/>
    <w:rsid w:val="00617904"/>
    <w:rsid w:val="0061796F"/>
    <w:rsid w:val="00620893"/>
    <w:rsid w:val="00622940"/>
    <w:rsid w:val="00624CEB"/>
    <w:rsid w:val="00624E3B"/>
    <w:rsid w:val="00627760"/>
    <w:rsid w:val="006300ED"/>
    <w:rsid w:val="00630108"/>
    <w:rsid w:val="00630C22"/>
    <w:rsid w:val="006311B6"/>
    <w:rsid w:val="006344B6"/>
    <w:rsid w:val="00634BB8"/>
    <w:rsid w:val="00637CB9"/>
    <w:rsid w:val="006423DA"/>
    <w:rsid w:val="00642A83"/>
    <w:rsid w:val="00645070"/>
    <w:rsid w:val="006451B2"/>
    <w:rsid w:val="0064622B"/>
    <w:rsid w:val="00646D57"/>
    <w:rsid w:val="006476B6"/>
    <w:rsid w:val="00651724"/>
    <w:rsid w:val="006520A1"/>
    <w:rsid w:val="006534C0"/>
    <w:rsid w:val="00653ACC"/>
    <w:rsid w:val="006566AC"/>
    <w:rsid w:val="00656891"/>
    <w:rsid w:val="00663806"/>
    <w:rsid w:val="00664A63"/>
    <w:rsid w:val="006658C8"/>
    <w:rsid w:val="00666404"/>
    <w:rsid w:val="006664D8"/>
    <w:rsid w:val="00667960"/>
    <w:rsid w:val="00671874"/>
    <w:rsid w:val="00676229"/>
    <w:rsid w:val="00680553"/>
    <w:rsid w:val="006819EF"/>
    <w:rsid w:val="00682466"/>
    <w:rsid w:val="00683163"/>
    <w:rsid w:val="00683235"/>
    <w:rsid w:val="006832CE"/>
    <w:rsid w:val="0068365F"/>
    <w:rsid w:val="00683971"/>
    <w:rsid w:val="006841FD"/>
    <w:rsid w:val="00684F73"/>
    <w:rsid w:val="00687072"/>
    <w:rsid w:val="006870C5"/>
    <w:rsid w:val="00687A70"/>
    <w:rsid w:val="00691541"/>
    <w:rsid w:val="00694098"/>
    <w:rsid w:val="00694618"/>
    <w:rsid w:val="006950AC"/>
    <w:rsid w:val="00697BDC"/>
    <w:rsid w:val="006A0B2A"/>
    <w:rsid w:val="006A6314"/>
    <w:rsid w:val="006A7240"/>
    <w:rsid w:val="006B06B4"/>
    <w:rsid w:val="006B1029"/>
    <w:rsid w:val="006B16AD"/>
    <w:rsid w:val="006B1C22"/>
    <w:rsid w:val="006B1FD5"/>
    <w:rsid w:val="006B457B"/>
    <w:rsid w:val="006B55C7"/>
    <w:rsid w:val="006B5A1C"/>
    <w:rsid w:val="006B7360"/>
    <w:rsid w:val="006B7A4B"/>
    <w:rsid w:val="006C03EF"/>
    <w:rsid w:val="006C0802"/>
    <w:rsid w:val="006C1D42"/>
    <w:rsid w:val="006C24C4"/>
    <w:rsid w:val="006C2A0B"/>
    <w:rsid w:val="006C65A0"/>
    <w:rsid w:val="006D1AFF"/>
    <w:rsid w:val="006D32B8"/>
    <w:rsid w:val="006D5239"/>
    <w:rsid w:val="006D5F1B"/>
    <w:rsid w:val="006D5FA6"/>
    <w:rsid w:val="006D67E6"/>
    <w:rsid w:val="006E0836"/>
    <w:rsid w:val="006E5A25"/>
    <w:rsid w:val="006E5A2C"/>
    <w:rsid w:val="006E5D6B"/>
    <w:rsid w:val="006E60A7"/>
    <w:rsid w:val="006E6977"/>
    <w:rsid w:val="006F03B3"/>
    <w:rsid w:val="006F09F4"/>
    <w:rsid w:val="006F5435"/>
    <w:rsid w:val="006F56F9"/>
    <w:rsid w:val="006F5C8D"/>
    <w:rsid w:val="006F77CF"/>
    <w:rsid w:val="006F7F4F"/>
    <w:rsid w:val="006F7FCD"/>
    <w:rsid w:val="00701842"/>
    <w:rsid w:val="0070469D"/>
    <w:rsid w:val="007047F9"/>
    <w:rsid w:val="007048D6"/>
    <w:rsid w:val="007103DE"/>
    <w:rsid w:val="00710450"/>
    <w:rsid w:val="00712629"/>
    <w:rsid w:val="0071307D"/>
    <w:rsid w:val="00713216"/>
    <w:rsid w:val="0071355E"/>
    <w:rsid w:val="0071591E"/>
    <w:rsid w:val="00715D2E"/>
    <w:rsid w:val="0072077E"/>
    <w:rsid w:val="00720BDD"/>
    <w:rsid w:val="00721CE5"/>
    <w:rsid w:val="00722FED"/>
    <w:rsid w:val="00724E7C"/>
    <w:rsid w:val="00725BD4"/>
    <w:rsid w:val="00725C2E"/>
    <w:rsid w:val="007261E3"/>
    <w:rsid w:val="00727825"/>
    <w:rsid w:val="00727833"/>
    <w:rsid w:val="00731D87"/>
    <w:rsid w:val="0073230E"/>
    <w:rsid w:val="00732D2B"/>
    <w:rsid w:val="0073445B"/>
    <w:rsid w:val="007345D4"/>
    <w:rsid w:val="00735486"/>
    <w:rsid w:val="00735BA7"/>
    <w:rsid w:val="0073604A"/>
    <w:rsid w:val="00736931"/>
    <w:rsid w:val="00740E60"/>
    <w:rsid w:val="007414CF"/>
    <w:rsid w:val="00741549"/>
    <w:rsid w:val="0074184F"/>
    <w:rsid w:val="0074289C"/>
    <w:rsid w:val="0074429E"/>
    <w:rsid w:val="00744405"/>
    <w:rsid w:val="0074508B"/>
    <w:rsid w:val="00747172"/>
    <w:rsid w:val="00747F6E"/>
    <w:rsid w:val="00750F27"/>
    <w:rsid w:val="00754370"/>
    <w:rsid w:val="007556BE"/>
    <w:rsid w:val="007569B7"/>
    <w:rsid w:val="0075701F"/>
    <w:rsid w:val="007607E5"/>
    <w:rsid w:val="00762230"/>
    <w:rsid w:val="007642D7"/>
    <w:rsid w:val="0076649E"/>
    <w:rsid w:val="00770452"/>
    <w:rsid w:val="0077079E"/>
    <w:rsid w:val="007707B5"/>
    <w:rsid w:val="007718DB"/>
    <w:rsid w:val="00771F2E"/>
    <w:rsid w:val="007728E1"/>
    <w:rsid w:val="0077309A"/>
    <w:rsid w:val="00773594"/>
    <w:rsid w:val="00774402"/>
    <w:rsid w:val="00775A7A"/>
    <w:rsid w:val="00775E64"/>
    <w:rsid w:val="00776075"/>
    <w:rsid w:val="0078026D"/>
    <w:rsid w:val="00780332"/>
    <w:rsid w:val="007820EE"/>
    <w:rsid w:val="00782B7F"/>
    <w:rsid w:val="00783D67"/>
    <w:rsid w:val="00785608"/>
    <w:rsid w:val="007868E9"/>
    <w:rsid w:val="00793365"/>
    <w:rsid w:val="0079457E"/>
    <w:rsid w:val="00794687"/>
    <w:rsid w:val="00794701"/>
    <w:rsid w:val="00797AF7"/>
    <w:rsid w:val="007A1B18"/>
    <w:rsid w:val="007A2E41"/>
    <w:rsid w:val="007A31F6"/>
    <w:rsid w:val="007A3751"/>
    <w:rsid w:val="007A469E"/>
    <w:rsid w:val="007A5380"/>
    <w:rsid w:val="007A57FA"/>
    <w:rsid w:val="007A6095"/>
    <w:rsid w:val="007B10A5"/>
    <w:rsid w:val="007B1B8C"/>
    <w:rsid w:val="007B1DC4"/>
    <w:rsid w:val="007B36D2"/>
    <w:rsid w:val="007B5864"/>
    <w:rsid w:val="007B5ABA"/>
    <w:rsid w:val="007B5FEA"/>
    <w:rsid w:val="007B6D3E"/>
    <w:rsid w:val="007C07BA"/>
    <w:rsid w:val="007C1725"/>
    <w:rsid w:val="007C3071"/>
    <w:rsid w:val="007C41D5"/>
    <w:rsid w:val="007C5008"/>
    <w:rsid w:val="007C5CFA"/>
    <w:rsid w:val="007C6654"/>
    <w:rsid w:val="007C6D4F"/>
    <w:rsid w:val="007C70F2"/>
    <w:rsid w:val="007D148E"/>
    <w:rsid w:val="007D28F5"/>
    <w:rsid w:val="007D397D"/>
    <w:rsid w:val="007D594D"/>
    <w:rsid w:val="007D5ED0"/>
    <w:rsid w:val="007E13C4"/>
    <w:rsid w:val="007E1884"/>
    <w:rsid w:val="007E313D"/>
    <w:rsid w:val="007E4CFB"/>
    <w:rsid w:val="007E5B49"/>
    <w:rsid w:val="007E6948"/>
    <w:rsid w:val="007F4801"/>
    <w:rsid w:val="007F61E1"/>
    <w:rsid w:val="00800C0E"/>
    <w:rsid w:val="00800E3C"/>
    <w:rsid w:val="00801390"/>
    <w:rsid w:val="008016A4"/>
    <w:rsid w:val="00801BED"/>
    <w:rsid w:val="00804CAE"/>
    <w:rsid w:val="00804D5D"/>
    <w:rsid w:val="00804EB1"/>
    <w:rsid w:val="008050F8"/>
    <w:rsid w:val="00807F19"/>
    <w:rsid w:val="008117BC"/>
    <w:rsid w:val="0081368A"/>
    <w:rsid w:val="00815792"/>
    <w:rsid w:val="00817335"/>
    <w:rsid w:val="008177FC"/>
    <w:rsid w:val="00817E8C"/>
    <w:rsid w:val="00823C68"/>
    <w:rsid w:val="00824071"/>
    <w:rsid w:val="00825BB2"/>
    <w:rsid w:val="008264AB"/>
    <w:rsid w:val="00830A5D"/>
    <w:rsid w:val="008330F3"/>
    <w:rsid w:val="00836676"/>
    <w:rsid w:val="00837151"/>
    <w:rsid w:val="008373AE"/>
    <w:rsid w:val="00840629"/>
    <w:rsid w:val="00840C8E"/>
    <w:rsid w:val="00840FD0"/>
    <w:rsid w:val="00842645"/>
    <w:rsid w:val="00843847"/>
    <w:rsid w:val="00844B53"/>
    <w:rsid w:val="00845D90"/>
    <w:rsid w:val="00846348"/>
    <w:rsid w:val="008466C7"/>
    <w:rsid w:val="00847C09"/>
    <w:rsid w:val="00850B28"/>
    <w:rsid w:val="00850BA0"/>
    <w:rsid w:val="00857401"/>
    <w:rsid w:val="00862651"/>
    <w:rsid w:val="0086351E"/>
    <w:rsid w:val="0086451B"/>
    <w:rsid w:val="008646B9"/>
    <w:rsid w:val="00864E8D"/>
    <w:rsid w:val="00865259"/>
    <w:rsid w:val="00865528"/>
    <w:rsid w:val="00866503"/>
    <w:rsid w:val="00867094"/>
    <w:rsid w:val="00867429"/>
    <w:rsid w:val="00870FCA"/>
    <w:rsid w:val="00877C24"/>
    <w:rsid w:val="00880074"/>
    <w:rsid w:val="0088044B"/>
    <w:rsid w:val="00880987"/>
    <w:rsid w:val="008816F4"/>
    <w:rsid w:val="00881C76"/>
    <w:rsid w:val="00882C89"/>
    <w:rsid w:val="00883013"/>
    <w:rsid w:val="00883221"/>
    <w:rsid w:val="00883D29"/>
    <w:rsid w:val="00885AD8"/>
    <w:rsid w:val="00886DD1"/>
    <w:rsid w:val="00887531"/>
    <w:rsid w:val="00887F42"/>
    <w:rsid w:val="00890495"/>
    <w:rsid w:val="008930F9"/>
    <w:rsid w:val="00896127"/>
    <w:rsid w:val="00896D4F"/>
    <w:rsid w:val="00897170"/>
    <w:rsid w:val="008A195F"/>
    <w:rsid w:val="008A341C"/>
    <w:rsid w:val="008A3D8F"/>
    <w:rsid w:val="008A6268"/>
    <w:rsid w:val="008A67ED"/>
    <w:rsid w:val="008A729F"/>
    <w:rsid w:val="008B0388"/>
    <w:rsid w:val="008B0B48"/>
    <w:rsid w:val="008B13DE"/>
    <w:rsid w:val="008B294B"/>
    <w:rsid w:val="008B4A28"/>
    <w:rsid w:val="008C1C33"/>
    <w:rsid w:val="008C54AA"/>
    <w:rsid w:val="008C5EAE"/>
    <w:rsid w:val="008C66B8"/>
    <w:rsid w:val="008C6FCA"/>
    <w:rsid w:val="008C7ED4"/>
    <w:rsid w:val="008D0C5F"/>
    <w:rsid w:val="008D14EF"/>
    <w:rsid w:val="008D1881"/>
    <w:rsid w:val="008D2F07"/>
    <w:rsid w:val="008D35F7"/>
    <w:rsid w:val="008D4E76"/>
    <w:rsid w:val="008D4F79"/>
    <w:rsid w:val="008D5745"/>
    <w:rsid w:val="008E195A"/>
    <w:rsid w:val="008E2CAE"/>
    <w:rsid w:val="008E5FB6"/>
    <w:rsid w:val="008E7347"/>
    <w:rsid w:val="008E7726"/>
    <w:rsid w:val="008F0E32"/>
    <w:rsid w:val="008F2695"/>
    <w:rsid w:val="008F2717"/>
    <w:rsid w:val="008F310B"/>
    <w:rsid w:val="008F3631"/>
    <w:rsid w:val="008F56A3"/>
    <w:rsid w:val="008F5C7B"/>
    <w:rsid w:val="008F5F47"/>
    <w:rsid w:val="008F6253"/>
    <w:rsid w:val="008F65D1"/>
    <w:rsid w:val="008F67BC"/>
    <w:rsid w:val="008F7E67"/>
    <w:rsid w:val="009005AD"/>
    <w:rsid w:val="00901C41"/>
    <w:rsid w:val="0090258D"/>
    <w:rsid w:val="009025CD"/>
    <w:rsid w:val="00911210"/>
    <w:rsid w:val="00912EB1"/>
    <w:rsid w:val="009154FE"/>
    <w:rsid w:val="0091659F"/>
    <w:rsid w:val="009176A1"/>
    <w:rsid w:val="00917E88"/>
    <w:rsid w:val="009200FE"/>
    <w:rsid w:val="0092019D"/>
    <w:rsid w:val="0092020D"/>
    <w:rsid w:val="00920A76"/>
    <w:rsid w:val="00921F61"/>
    <w:rsid w:val="009228E6"/>
    <w:rsid w:val="009234D7"/>
    <w:rsid w:val="00923B52"/>
    <w:rsid w:val="00930677"/>
    <w:rsid w:val="00932E6E"/>
    <w:rsid w:val="009330F6"/>
    <w:rsid w:val="00933398"/>
    <w:rsid w:val="00933497"/>
    <w:rsid w:val="00934DC1"/>
    <w:rsid w:val="009375E7"/>
    <w:rsid w:val="009403B3"/>
    <w:rsid w:val="00940531"/>
    <w:rsid w:val="00941672"/>
    <w:rsid w:val="00943079"/>
    <w:rsid w:val="0094650A"/>
    <w:rsid w:val="0095084A"/>
    <w:rsid w:val="00951966"/>
    <w:rsid w:val="00951B1B"/>
    <w:rsid w:val="0095277D"/>
    <w:rsid w:val="00953AD9"/>
    <w:rsid w:val="00954F56"/>
    <w:rsid w:val="0095691F"/>
    <w:rsid w:val="00960E86"/>
    <w:rsid w:val="00963881"/>
    <w:rsid w:val="00964510"/>
    <w:rsid w:val="009645D3"/>
    <w:rsid w:val="00964C06"/>
    <w:rsid w:val="009653CF"/>
    <w:rsid w:val="00965505"/>
    <w:rsid w:val="0096555C"/>
    <w:rsid w:val="00967BD7"/>
    <w:rsid w:val="009705C5"/>
    <w:rsid w:val="0097078E"/>
    <w:rsid w:val="009715FD"/>
    <w:rsid w:val="009725C3"/>
    <w:rsid w:val="0097289D"/>
    <w:rsid w:val="00972BCC"/>
    <w:rsid w:val="009737CC"/>
    <w:rsid w:val="00975CDE"/>
    <w:rsid w:val="00975D34"/>
    <w:rsid w:val="00975D97"/>
    <w:rsid w:val="0097785B"/>
    <w:rsid w:val="009779D8"/>
    <w:rsid w:val="00980164"/>
    <w:rsid w:val="00982345"/>
    <w:rsid w:val="00982A81"/>
    <w:rsid w:val="00982E9A"/>
    <w:rsid w:val="009854DC"/>
    <w:rsid w:val="00985AEB"/>
    <w:rsid w:val="00986FF4"/>
    <w:rsid w:val="009873B4"/>
    <w:rsid w:val="00990A1D"/>
    <w:rsid w:val="00990D4A"/>
    <w:rsid w:val="00992421"/>
    <w:rsid w:val="00992866"/>
    <w:rsid w:val="00996F49"/>
    <w:rsid w:val="00997500"/>
    <w:rsid w:val="009A1D98"/>
    <w:rsid w:val="009A27DA"/>
    <w:rsid w:val="009A3F67"/>
    <w:rsid w:val="009A431B"/>
    <w:rsid w:val="009A4355"/>
    <w:rsid w:val="009A5263"/>
    <w:rsid w:val="009A640A"/>
    <w:rsid w:val="009A64BD"/>
    <w:rsid w:val="009B09AB"/>
    <w:rsid w:val="009B1540"/>
    <w:rsid w:val="009B5C54"/>
    <w:rsid w:val="009B6F10"/>
    <w:rsid w:val="009B7551"/>
    <w:rsid w:val="009C00EE"/>
    <w:rsid w:val="009C1E70"/>
    <w:rsid w:val="009C2C93"/>
    <w:rsid w:val="009C6136"/>
    <w:rsid w:val="009D20D7"/>
    <w:rsid w:val="009D4725"/>
    <w:rsid w:val="009D473C"/>
    <w:rsid w:val="009D519A"/>
    <w:rsid w:val="009D6489"/>
    <w:rsid w:val="009D6776"/>
    <w:rsid w:val="009D74A8"/>
    <w:rsid w:val="009E03B9"/>
    <w:rsid w:val="009E0492"/>
    <w:rsid w:val="009E0B86"/>
    <w:rsid w:val="009E5FC8"/>
    <w:rsid w:val="009E6023"/>
    <w:rsid w:val="009E6922"/>
    <w:rsid w:val="009E6A98"/>
    <w:rsid w:val="009F0AE4"/>
    <w:rsid w:val="009F1BF2"/>
    <w:rsid w:val="00A01860"/>
    <w:rsid w:val="00A01D83"/>
    <w:rsid w:val="00A03082"/>
    <w:rsid w:val="00A05706"/>
    <w:rsid w:val="00A06288"/>
    <w:rsid w:val="00A07C41"/>
    <w:rsid w:val="00A10B64"/>
    <w:rsid w:val="00A10B88"/>
    <w:rsid w:val="00A12B33"/>
    <w:rsid w:val="00A130BB"/>
    <w:rsid w:val="00A14F9F"/>
    <w:rsid w:val="00A16766"/>
    <w:rsid w:val="00A16D34"/>
    <w:rsid w:val="00A17086"/>
    <w:rsid w:val="00A23F55"/>
    <w:rsid w:val="00A24381"/>
    <w:rsid w:val="00A24D7F"/>
    <w:rsid w:val="00A256AB"/>
    <w:rsid w:val="00A26495"/>
    <w:rsid w:val="00A26A15"/>
    <w:rsid w:val="00A27E19"/>
    <w:rsid w:val="00A303C4"/>
    <w:rsid w:val="00A30C5D"/>
    <w:rsid w:val="00A33E92"/>
    <w:rsid w:val="00A34130"/>
    <w:rsid w:val="00A34BED"/>
    <w:rsid w:val="00A351E1"/>
    <w:rsid w:val="00A35FF4"/>
    <w:rsid w:val="00A3606A"/>
    <w:rsid w:val="00A36E13"/>
    <w:rsid w:val="00A4167C"/>
    <w:rsid w:val="00A41FAE"/>
    <w:rsid w:val="00A43730"/>
    <w:rsid w:val="00A43DBD"/>
    <w:rsid w:val="00A43E01"/>
    <w:rsid w:val="00A440EC"/>
    <w:rsid w:val="00A45DD8"/>
    <w:rsid w:val="00A47557"/>
    <w:rsid w:val="00A47C65"/>
    <w:rsid w:val="00A501BD"/>
    <w:rsid w:val="00A50237"/>
    <w:rsid w:val="00A52F71"/>
    <w:rsid w:val="00A54C20"/>
    <w:rsid w:val="00A5546B"/>
    <w:rsid w:val="00A55CAC"/>
    <w:rsid w:val="00A55EFB"/>
    <w:rsid w:val="00A5631E"/>
    <w:rsid w:val="00A56ED3"/>
    <w:rsid w:val="00A61757"/>
    <w:rsid w:val="00A61C0A"/>
    <w:rsid w:val="00A62971"/>
    <w:rsid w:val="00A629A1"/>
    <w:rsid w:val="00A62C98"/>
    <w:rsid w:val="00A63A70"/>
    <w:rsid w:val="00A6641B"/>
    <w:rsid w:val="00A7166D"/>
    <w:rsid w:val="00A72ACF"/>
    <w:rsid w:val="00A7355C"/>
    <w:rsid w:val="00A73A66"/>
    <w:rsid w:val="00A73AE9"/>
    <w:rsid w:val="00A73BF6"/>
    <w:rsid w:val="00A754BD"/>
    <w:rsid w:val="00A77E7D"/>
    <w:rsid w:val="00A800F2"/>
    <w:rsid w:val="00A84275"/>
    <w:rsid w:val="00A86AFC"/>
    <w:rsid w:val="00A90065"/>
    <w:rsid w:val="00A91DE8"/>
    <w:rsid w:val="00A942B9"/>
    <w:rsid w:val="00A948CA"/>
    <w:rsid w:val="00A950F7"/>
    <w:rsid w:val="00A958D6"/>
    <w:rsid w:val="00A96448"/>
    <w:rsid w:val="00A97452"/>
    <w:rsid w:val="00A97622"/>
    <w:rsid w:val="00AA1F04"/>
    <w:rsid w:val="00AA219C"/>
    <w:rsid w:val="00AA2426"/>
    <w:rsid w:val="00AA2CE5"/>
    <w:rsid w:val="00AA374D"/>
    <w:rsid w:val="00AA7F9C"/>
    <w:rsid w:val="00AB303C"/>
    <w:rsid w:val="00AB50E5"/>
    <w:rsid w:val="00AC16C6"/>
    <w:rsid w:val="00AC21C1"/>
    <w:rsid w:val="00AC2A6C"/>
    <w:rsid w:val="00AC7498"/>
    <w:rsid w:val="00AC7750"/>
    <w:rsid w:val="00AC7ECB"/>
    <w:rsid w:val="00AD0D75"/>
    <w:rsid w:val="00AD0E07"/>
    <w:rsid w:val="00AD1744"/>
    <w:rsid w:val="00AD208B"/>
    <w:rsid w:val="00AD25ED"/>
    <w:rsid w:val="00AD2C61"/>
    <w:rsid w:val="00AD46C2"/>
    <w:rsid w:val="00AD476C"/>
    <w:rsid w:val="00AD47F2"/>
    <w:rsid w:val="00AD4FC4"/>
    <w:rsid w:val="00AE01FE"/>
    <w:rsid w:val="00AE16B3"/>
    <w:rsid w:val="00AE1A9D"/>
    <w:rsid w:val="00AE2220"/>
    <w:rsid w:val="00AE298E"/>
    <w:rsid w:val="00AE5915"/>
    <w:rsid w:val="00AE5E60"/>
    <w:rsid w:val="00AE61E3"/>
    <w:rsid w:val="00AE7E77"/>
    <w:rsid w:val="00AF0159"/>
    <w:rsid w:val="00AF091A"/>
    <w:rsid w:val="00AF16E6"/>
    <w:rsid w:val="00AF1911"/>
    <w:rsid w:val="00AF254D"/>
    <w:rsid w:val="00AF28B2"/>
    <w:rsid w:val="00AF330E"/>
    <w:rsid w:val="00AF43DC"/>
    <w:rsid w:val="00AF7417"/>
    <w:rsid w:val="00B002F4"/>
    <w:rsid w:val="00B00AC4"/>
    <w:rsid w:val="00B03715"/>
    <w:rsid w:val="00B03BBF"/>
    <w:rsid w:val="00B063E0"/>
    <w:rsid w:val="00B07203"/>
    <w:rsid w:val="00B10041"/>
    <w:rsid w:val="00B10ABB"/>
    <w:rsid w:val="00B1152F"/>
    <w:rsid w:val="00B13BD8"/>
    <w:rsid w:val="00B152D6"/>
    <w:rsid w:val="00B17432"/>
    <w:rsid w:val="00B17505"/>
    <w:rsid w:val="00B2137A"/>
    <w:rsid w:val="00B31205"/>
    <w:rsid w:val="00B319B5"/>
    <w:rsid w:val="00B346AD"/>
    <w:rsid w:val="00B3489B"/>
    <w:rsid w:val="00B36105"/>
    <w:rsid w:val="00B37353"/>
    <w:rsid w:val="00B37C40"/>
    <w:rsid w:val="00B43481"/>
    <w:rsid w:val="00B445C1"/>
    <w:rsid w:val="00B44A7E"/>
    <w:rsid w:val="00B50D30"/>
    <w:rsid w:val="00B5235F"/>
    <w:rsid w:val="00B53157"/>
    <w:rsid w:val="00B54D28"/>
    <w:rsid w:val="00B550AB"/>
    <w:rsid w:val="00B565CE"/>
    <w:rsid w:val="00B62802"/>
    <w:rsid w:val="00B6326C"/>
    <w:rsid w:val="00B665AA"/>
    <w:rsid w:val="00B72E01"/>
    <w:rsid w:val="00B7571C"/>
    <w:rsid w:val="00B81DD6"/>
    <w:rsid w:val="00B83BB5"/>
    <w:rsid w:val="00B86CA1"/>
    <w:rsid w:val="00B87046"/>
    <w:rsid w:val="00B90703"/>
    <w:rsid w:val="00B90A96"/>
    <w:rsid w:val="00B91E20"/>
    <w:rsid w:val="00B924A8"/>
    <w:rsid w:val="00B92DF4"/>
    <w:rsid w:val="00B94FF6"/>
    <w:rsid w:val="00BA25FE"/>
    <w:rsid w:val="00BA311D"/>
    <w:rsid w:val="00BA3C96"/>
    <w:rsid w:val="00BA41A5"/>
    <w:rsid w:val="00BA52EB"/>
    <w:rsid w:val="00BA63C8"/>
    <w:rsid w:val="00BA7047"/>
    <w:rsid w:val="00BB0C61"/>
    <w:rsid w:val="00BB11E3"/>
    <w:rsid w:val="00BB1AEB"/>
    <w:rsid w:val="00BB307B"/>
    <w:rsid w:val="00BB52CF"/>
    <w:rsid w:val="00BB580D"/>
    <w:rsid w:val="00BB641E"/>
    <w:rsid w:val="00BC03A8"/>
    <w:rsid w:val="00BC1196"/>
    <w:rsid w:val="00BC33DA"/>
    <w:rsid w:val="00BC4894"/>
    <w:rsid w:val="00BC5E90"/>
    <w:rsid w:val="00BC61DC"/>
    <w:rsid w:val="00BC65D8"/>
    <w:rsid w:val="00BD1C98"/>
    <w:rsid w:val="00BD3D8B"/>
    <w:rsid w:val="00BD6375"/>
    <w:rsid w:val="00BD689A"/>
    <w:rsid w:val="00BD6A3A"/>
    <w:rsid w:val="00BD6ECF"/>
    <w:rsid w:val="00BD7048"/>
    <w:rsid w:val="00BD7227"/>
    <w:rsid w:val="00BD7D79"/>
    <w:rsid w:val="00BE0A21"/>
    <w:rsid w:val="00BE2E0C"/>
    <w:rsid w:val="00BE3800"/>
    <w:rsid w:val="00BE3ABF"/>
    <w:rsid w:val="00BE6E97"/>
    <w:rsid w:val="00BE75A3"/>
    <w:rsid w:val="00BE76D9"/>
    <w:rsid w:val="00BE77C8"/>
    <w:rsid w:val="00BF0941"/>
    <w:rsid w:val="00BF21F1"/>
    <w:rsid w:val="00BF222B"/>
    <w:rsid w:val="00BF2B6F"/>
    <w:rsid w:val="00BF54F4"/>
    <w:rsid w:val="00C02407"/>
    <w:rsid w:val="00C04EC3"/>
    <w:rsid w:val="00C0696A"/>
    <w:rsid w:val="00C1195F"/>
    <w:rsid w:val="00C12BD1"/>
    <w:rsid w:val="00C12D63"/>
    <w:rsid w:val="00C1323E"/>
    <w:rsid w:val="00C149AF"/>
    <w:rsid w:val="00C14C2D"/>
    <w:rsid w:val="00C17B70"/>
    <w:rsid w:val="00C17D62"/>
    <w:rsid w:val="00C22011"/>
    <w:rsid w:val="00C271B4"/>
    <w:rsid w:val="00C3161F"/>
    <w:rsid w:val="00C3612B"/>
    <w:rsid w:val="00C375C7"/>
    <w:rsid w:val="00C378D4"/>
    <w:rsid w:val="00C37FF1"/>
    <w:rsid w:val="00C41A40"/>
    <w:rsid w:val="00C427E2"/>
    <w:rsid w:val="00C45E74"/>
    <w:rsid w:val="00C46D2B"/>
    <w:rsid w:val="00C4713F"/>
    <w:rsid w:val="00C5107D"/>
    <w:rsid w:val="00C5286C"/>
    <w:rsid w:val="00C543AB"/>
    <w:rsid w:val="00C55002"/>
    <w:rsid w:val="00C5540A"/>
    <w:rsid w:val="00C56C65"/>
    <w:rsid w:val="00C574F2"/>
    <w:rsid w:val="00C57EE8"/>
    <w:rsid w:val="00C60F4C"/>
    <w:rsid w:val="00C646A1"/>
    <w:rsid w:val="00C6479D"/>
    <w:rsid w:val="00C64A7B"/>
    <w:rsid w:val="00C65E5F"/>
    <w:rsid w:val="00C6677C"/>
    <w:rsid w:val="00C717AB"/>
    <w:rsid w:val="00C74BFC"/>
    <w:rsid w:val="00C750CA"/>
    <w:rsid w:val="00C75122"/>
    <w:rsid w:val="00C75CF6"/>
    <w:rsid w:val="00C83A76"/>
    <w:rsid w:val="00C85387"/>
    <w:rsid w:val="00C8732E"/>
    <w:rsid w:val="00C90C20"/>
    <w:rsid w:val="00C94369"/>
    <w:rsid w:val="00C94F55"/>
    <w:rsid w:val="00C94FF7"/>
    <w:rsid w:val="00C96B88"/>
    <w:rsid w:val="00C97C91"/>
    <w:rsid w:val="00CA037B"/>
    <w:rsid w:val="00CA17C1"/>
    <w:rsid w:val="00CA1F82"/>
    <w:rsid w:val="00CA2242"/>
    <w:rsid w:val="00CA28F6"/>
    <w:rsid w:val="00CA466C"/>
    <w:rsid w:val="00CA5008"/>
    <w:rsid w:val="00CB1130"/>
    <w:rsid w:val="00CB164B"/>
    <w:rsid w:val="00CB2671"/>
    <w:rsid w:val="00CB64F2"/>
    <w:rsid w:val="00CB6879"/>
    <w:rsid w:val="00CB7CD4"/>
    <w:rsid w:val="00CC0AAA"/>
    <w:rsid w:val="00CC1EF4"/>
    <w:rsid w:val="00CC2AD7"/>
    <w:rsid w:val="00CC2F9D"/>
    <w:rsid w:val="00CC3CEB"/>
    <w:rsid w:val="00CC431C"/>
    <w:rsid w:val="00CD0EEA"/>
    <w:rsid w:val="00CD1538"/>
    <w:rsid w:val="00CD4383"/>
    <w:rsid w:val="00CD6593"/>
    <w:rsid w:val="00CE0548"/>
    <w:rsid w:val="00CE4937"/>
    <w:rsid w:val="00CE5ADA"/>
    <w:rsid w:val="00CE6579"/>
    <w:rsid w:val="00CF06AB"/>
    <w:rsid w:val="00CF099F"/>
    <w:rsid w:val="00CF38EA"/>
    <w:rsid w:val="00CF4F11"/>
    <w:rsid w:val="00CF5FD2"/>
    <w:rsid w:val="00CF612F"/>
    <w:rsid w:val="00CF647A"/>
    <w:rsid w:val="00CF6FF8"/>
    <w:rsid w:val="00D00C87"/>
    <w:rsid w:val="00D019C1"/>
    <w:rsid w:val="00D0544E"/>
    <w:rsid w:val="00D07462"/>
    <w:rsid w:val="00D0790A"/>
    <w:rsid w:val="00D1130E"/>
    <w:rsid w:val="00D13C26"/>
    <w:rsid w:val="00D166B4"/>
    <w:rsid w:val="00D21528"/>
    <w:rsid w:val="00D229BC"/>
    <w:rsid w:val="00D22AFA"/>
    <w:rsid w:val="00D230C6"/>
    <w:rsid w:val="00D2640D"/>
    <w:rsid w:val="00D268E3"/>
    <w:rsid w:val="00D26C64"/>
    <w:rsid w:val="00D274EE"/>
    <w:rsid w:val="00D3120C"/>
    <w:rsid w:val="00D324B5"/>
    <w:rsid w:val="00D353F5"/>
    <w:rsid w:val="00D3583A"/>
    <w:rsid w:val="00D36213"/>
    <w:rsid w:val="00D36227"/>
    <w:rsid w:val="00D36574"/>
    <w:rsid w:val="00D36D02"/>
    <w:rsid w:val="00D40FB2"/>
    <w:rsid w:val="00D42721"/>
    <w:rsid w:val="00D435A6"/>
    <w:rsid w:val="00D44B7E"/>
    <w:rsid w:val="00D45888"/>
    <w:rsid w:val="00D4682E"/>
    <w:rsid w:val="00D476DB"/>
    <w:rsid w:val="00D534B8"/>
    <w:rsid w:val="00D53831"/>
    <w:rsid w:val="00D55218"/>
    <w:rsid w:val="00D61428"/>
    <w:rsid w:val="00D61830"/>
    <w:rsid w:val="00D64FAE"/>
    <w:rsid w:val="00D66F97"/>
    <w:rsid w:val="00D7080D"/>
    <w:rsid w:val="00D7582D"/>
    <w:rsid w:val="00D7591F"/>
    <w:rsid w:val="00D77296"/>
    <w:rsid w:val="00D77795"/>
    <w:rsid w:val="00D81AE4"/>
    <w:rsid w:val="00D82DBF"/>
    <w:rsid w:val="00D8326D"/>
    <w:rsid w:val="00D850E0"/>
    <w:rsid w:val="00D91410"/>
    <w:rsid w:val="00D95BD8"/>
    <w:rsid w:val="00D97E17"/>
    <w:rsid w:val="00DA6457"/>
    <w:rsid w:val="00DA7ED5"/>
    <w:rsid w:val="00DB0971"/>
    <w:rsid w:val="00DB12E2"/>
    <w:rsid w:val="00DB13F3"/>
    <w:rsid w:val="00DB17A3"/>
    <w:rsid w:val="00DB1D72"/>
    <w:rsid w:val="00DB2D99"/>
    <w:rsid w:val="00DB445D"/>
    <w:rsid w:val="00DB48DD"/>
    <w:rsid w:val="00DB50BF"/>
    <w:rsid w:val="00DC0B6B"/>
    <w:rsid w:val="00DC2116"/>
    <w:rsid w:val="00DC3067"/>
    <w:rsid w:val="00DC313E"/>
    <w:rsid w:val="00DC3C9A"/>
    <w:rsid w:val="00DC50A7"/>
    <w:rsid w:val="00DC58B8"/>
    <w:rsid w:val="00DC6DA5"/>
    <w:rsid w:val="00DC6FE4"/>
    <w:rsid w:val="00DC7B5A"/>
    <w:rsid w:val="00DD0317"/>
    <w:rsid w:val="00DD09F3"/>
    <w:rsid w:val="00DD3642"/>
    <w:rsid w:val="00DD4453"/>
    <w:rsid w:val="00DD4D41"/>
    <w:rsid w:val="00DD68B5"/>
    <w:rsid w:val="00DE49F4"/>
    <w:rsid w:val="00DE5CEA"/>
    <w:rsid w:val="00DE6525"/>
    <w:rsid w:val="00DE7470"/>
    <w:rsid w:val="00DE7CFA"/>
    <w:rsid w:val="00DE7DAE"/>
    <w:rsid w:val="00DF060B"/>
    <w:rsid w:val="00DF0AAA"/>
    <w:rsid w:val="00DF1085"/>
    <w:rsid w:val="00DF3640"/>
    <w:rsid w:val="00DF45DC"/>
    <w:rsid w:val="00DF7352"/>
    <w:rsid w:val="00E00F00"/>
    <w:rsid w:val="00E12C0E"/>
    <w:rsid w:val="00E12F93"/>
    <w:rsid w:val="00E154BD"/>
    <w:rsid w:val="00E203DA"/>
    <w:rsid w:val="00E2079F"/>
    <w:rsid w:val="00E218CC"/>
    <w:rsid w:val="00E21BCC"/>
    <w:rsid w:val="00E23667"/>
    <w:rsid w:val="00E23845"/>
    <w:rsid w:val="00E2518A"/>
    <w:rsid w:val="00E2532A"/>
    <w:rsid w:val="00E25884"/>
    <w:rsid w:val="00E26B0A"/>
    <w:rsid w:val="00E275D5"/>
    <w:rsid w:val="00E305ED"/>
    <w:rsid w:val="00E30FC7"/>
    <w:rsid w:val="00E318B7"/>
    <w:rsid w:val="00E3354C"/>
    <w:rsid w:val="00E35D8F"/>
    <w:rsid w:val="00E36377"/>
    <w:rsid w:val="00E36A84"/>
    <w:rsid w:val="00E36F39"/>
    <w:rsid w:val="00E40683"/>
    <w:rsid w:val="00E46C3E"/>
    <w:rsid w:val="00E46F2B"/>
    <w:rsid w:val="00E50277"/>
    <w:rsid w:val="00E52438"/>
    <w:rsid w:val="00E52889"/>
    <w:rsid w:val="00E52A3D"/>
    <w:rsid w:val="00E546DE"/>
    <w:rsid w:val="00E54B70"/>
    <w:rsid w:val="00E55F87"/>
    <w:rsid w:val="00E572F5"/>
    <w:rsid w:val="00E57A66"/>
    <w:rsid w:val="00E57FD4"/>
    <w:rsid w:val="00E60357"/>
    <w:rsid w:val="00E606AC"/>
    <w:rsid w:val="00E6597A"/>
    <w:rsid w:val="00E65E2F"/>
    <w:rsid w:val="00E65F3A"/>
    <w:rsid w:val="00E660EC"/>
    <w:rsid w:val="00E66A06"/>
    <w:rsid w:val="00E66C50"/>
    <w:rsid w:val="00E66C55"/>
    <w:rsid w:val="00E672AA"/>
    <w:rsid w:val="00E67A0E"/>
    <w:rsid w:val="00E70C79"/>
    <w:rsid w:val="00E70D70"/>
    <w:rsid w:val="00E732DA"/>
    <w:rsid w:val="00E73401"/>
    <w:rsid w:val="00E74AA3"/>
    <w:rsid w:val="00E74C73"/>
    <w:rsid w:val="00E75DF4"/>
    <w:rsid w:val="00E76B92"/>
    <w:rsid w:val="00E80AC3"/>
    <w:rsid w:val="00E80E73"/>
    <w:rsid w:val="00E84F32"/>
    <w:rsid w:val="00E86046"/>
    <w:rsid w:val="00E86926"/>
    <w:rsid w:val="00E8778F"/>
    <w:rsid w:val="00E9018D"/>
    <w:rsid w:val="00E90474"/>
    <w:rsid w:val="00E92886"/>
    <w:rsid w:val="00E92B1B"/>
    <w:rsid w:val="00E92B25"/>
    <w:rsid w:val="00E9656A"/>
    <w:rsid w:val="00EA1AFE"/>
    <w:rsid w:val="00EA2534"/>
    <w:rsid w:val="00EB0588"/>
    <w:rsid w:val="00EB4AEA"/>
    <w:rsid w:val="00EB69DE"/>
    <w:rsid w:val="00EB7E89"/>
    <w:rsid w:val="00EC1FA3"/>
    <w:rsid w:val="00EC2502"/>
    <w:rsid w:val="00EC2950"/>
    <w:rsid w:val="00EC36B9"/>
    <w:rsid w:val="00EC4A6E"/>
    <w:rsid w:val="00EC6348"/>
    <w:rsid w:val="00EC6DF6"/>
    <w:rsid w:val="00ED00FA"/>
    <w:rsid w:val="00ED1652"/>
    <w:rsid w:val="00ED2411"/>
    <w:rsid w:val="00ED3133"/>
    <w:rsid w:val="00ED360D"/>
    <w:rsid w:val="00ED3D19"/>
    <w:rsid w:val="00ED48A6"/>
    <w:rsid w:val="00ED50C6"/>
    <w:rsid w:val="00EE22DA"/>
    <w:rsid w:val="00EE2E70"/>
    <w:rsid w:val="00EE3477"/>
    <w:rsid w:val="00EE51B7"/>
    <w:rsid w:val="00EE55D9"/>
    <w:rsid w:val="00EE57D0"/>
    <w:rsid w:val="00EF13AC"/>
    <w:rsid w:val="00EF2251"/>
    <w:rsid w:val="00EF2291"/>
    <w:rsid w:val="00EF310D"/>
    <w:rsid w:val="00EF63B7"/>
    <w:rsid w:val="00EF644F"/>
    <w:rsid w:val="00F011D2"/>
    <w:rsid w:val="00F027DC"/>
    <w:rsid w:val="00F0408C"/>
    <w:rsid w:val="00F06335"/>
    <w:rsid w:val="00F068A6"/>
    <w:rsid w:val="00F10BB4"/>
    <w:rsid w:val="00F1103A"/>
    <w:rsid w:val="00F12B5C"/>
    <w:rsid w:val="00F13291"/>
    <w:rsid w:val="00F1358B"/>
    <w:rsid w:val="00F142C7"/>
    <w:rsid w:val="00F21767"/>
    <w:rsid w:val="00F2201D"/>
    <w:rsid w:val="00F22BF0"/>
    <w:rsid w:val="00F25CC5"/>
    <w:rsid w:val="00F2732C"/>
    <w:rsid w:val="00F2746F"/>
    <w:rsid w:val="00F27A4C"/>
    <w:rsid w:val="00F316A0"/>
    <w:rsid w:val="00F32D42"/>
    <w:rsid w:val="00F3322A"/>
    <w:rsid w:val="00F338C7"/>
    <w:rsid w:val="00F33F18"/>
    <w:rsid w:val="00F34140"/>
    <w:rsid w:val="00F3656D"/>
    <w:rsid w:val="00F42E15"/>
    <w:rsid w:val="00F4311A"/>
    <w:rsid w:val="00F438E0"/>
    <w:rsid w:val="00F43A75"/>
    <w:rsid w:val="00F455F4"/>
    <w:rsid w:val="00F462EE"/>
    <w:rsid w:val="00F46856"/>
    <w:rsid w:val="00F47740"/>
    <w:rsid w:val="00F519DB"/>
    <w:rsid w:val="00F54378"/>
    <w:rsid w:val="00F5484D"/>
    <w:rsid w:val="00F552D1"/>
    <w:rsid w:val="00F55CA5"/>
    <w:rsid w:val="00F560B5"/>
    <w:rsid w:val="00F57759"/>
    <w:rsid w:val="00F614ED"/>
    <w:rsid w:val="00F61CA7"/>
    <w:rsid w:val="00F61F10"/>
    <w:rsid w:val="00F621D2"/>
    <w:rsid w:val="00F64EF8"/>
    <w:rsid w:val="00F659F5"/>
    <w:rsid w:val="00F66E22"/>
    <w:rsid w:val="00F67922"/>
    <w:rsid w:val="00F70E7A"/>
    <w:rsid w:val="00F70F4B"/>
    <w:rsid w:val="00F727FB"/>
    <w:rsid w:val="00F7296E"/>
    <w:rsid w:val="00F74315"/>
    <w:rsid w:val="00F75054"/>
    <w:rsid w:val="00F774C0"/>
    <w:rsid w:val="00F77789"/>
    <w:rsid w:val="00F7785C"/>
    <w:rsid w:val="00F81774"/>
    <w:rsid w:val="00F8558C"/>
    <w:rsid w:val="00F87C63"/>
    <w:rsid w:val="00F92F7C"/>
    <w:rsid w:val="00F93AB5"/>
    <w:rsid w:val="00F94BE7"/>
    <w:rsid w:val="00F953FE"/>
    <w:rsid w:val="00F9570A"/>
    <w:rsid w:val="00F96613"/>
    <w:rsid w:val="00F96B64"/>
    <w:rsid w:val="00F97D2E"/>
    <w:rsid w:val="00FA311C"/>
    <w:rsid w:val="00FA4F3C"/>
    <w:rsid w:val="00FA6C8D"/>
    <w:rsid w:val="00FA7180"/>
    <w:rsid w:val="00FB0013"/>
    <w:rsid w:val="00FB1366"/>
    <w:rsid w:val="00FB1C13"/>
    <w:rsid w:val="00FB1DE7"/>
    <w:rsid w:val="00FB202A"/>
    <w:rsid w:val="00FB23F9"/>
    <w:rsid w:val="00FB4163"/>
    <w:rsid w:val="00FB45F8"/>
    <w:rsid w:val="00FB47B3"/>
    <w:rsid w:val="00FB650C"/>
    <w:rsid w:val="00FB6D28"/>
    <w:rsid w:val="00FC0BC6"/>
    <w:rsid w:val="00FC2727"/>
    <w:rsid w:val="00FC2D80"/>
    <w:rsid w:val="00FC4AD8"/>
    <w:rsid w:val="00FC5727"/>
    <w:rsid w:val="00FC645E"/>
    <w:rsid w:val="00FC6773"/>
    <w:rsid w:val="00FC680A"/>
    <w:rsid w:val="00FD38E8"/>
    <w:rsid w:val="00FD3931"/>
    <w:rsid w:val="00FD3B98"/>
    <w:rsid w:val="00FD3CB2"/>
    <w:rsid w:val="00FD525F"/>
    <w:rsid w:val="00FD5C56"/>
    <w:rsid w:val="00FD683F"/>
    <w:rsid w:val="00FE11DC"/>
    <w:rsid w:val="00FE15E3"/>
    <w:rsid w:val="00FE19C5"/>
    <w:rsid w:val="00FE29FE"/>
    <w:rsid w:val="00FE40E3"/>
    <w:rsid w:val="00FE4828"/>
    <w:rsid w:val="00FE4B5B"/>
    <w:rsid w:val="00FE610A"/>
    <w:rsid w:val="00FE62A7"/>
    <w:rsid w:val="00FE69CD"/>
    <w:rsid w:val="00FF0A49"/>
    <w:rsid w:val="00FF1AF2"/>
    <w:rsid w:val="00FF1DA6"/>
    <w:rsid w:val="00FF24D2"/>
    <w:rsid w:val="00FF337D"/>
    <w:rsid w:val="00FF4BD8"/>
    <w:rsid w:val="00FF50A4"/>
    <w:rsid w:val="00FF58C8"/>
    <w:rsid w:val="00FF5DD5"/>
    <w:rsid w:val="00FF5EB6"/>
    <w:rsid w:val="00FF68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paragraph" w:styleId="Heading1">
    <w:name w:val="heading 1"/>
    <w:basedOn w:val="Normal"/>
    <w:link w:val="Heading1Char"/>
    <w:uiPriority w:val="9"/>
    <w:qFormat/>
    <w:rsid w:val="0076649E"/>
    <w:pPr>
      <w:widowControl/>
      <w:wordWrap/>
      <w:autoSpaceDE/>
      <w:autoSpaceDN/>
      <w:spacing w:before="240" w:after="120" w:line="240" w:lineRule="auto"/>
      <w:jc w:val="left"/>
      <w:outlineLvl w:val="0"/>
    </w:pPr>
    <w:rPr>
      <w:rFonts w:ascii="Gulim" w:eastAsia="Gulim" w:hAnsi="Gulim" w:cs="Gulim"/>
      <w:b/>
      <w:bCs/>
      <w:color w:val="000000"/>
      <w:kern w:val="36"/>
      <w:sz w:val="33"/>
      <w:szCs w:val="33"/>
    </w:rPr>
  </w:style>
  <w:style w:type="paragraph" w:styleId="Heading4">
    <w:name w:val="heading 4"/>
    <w:basedOn w:val="Normal"/>
    <w:link w:val="Heading4Char"/>
    <w:uiPriority w:val="9"/>
    <w:qFormat/>
    <w:rsid w:val="0076649E"/>
    <w:pPr>
      <w:widowControl/>
      <w:wordWrap/>
      <w:autoSpaceDE/>
      <w:autoSpaceDN/>
      <w:spacing w:before="332" w:after="166" w:line="240" w:lineRule="auto"/>
      <w:jc w:val="left"/>
      <w:outlineLvl w:val="3"/>
    </w:pPr>
    <w:rPr>
      <w:rFonts w:ascii="Gulim" w:eastAsia="Gulim" w:hAnsi="Gulim" w:cs="Gulim"/>
      <w:b/>
      <w:bCs/>
      <w:color w:val="59331F"/>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link w:val="Char"/>
    <w:uiPriority w:val="99"/>
    <w:rsid w:val="00D13C26"/>
    <w:pPr>
      <w:spacing w:after="0" w:line="384" w:lineRule="auto"/>
      <w:textAlignment w:val="baseline"/>
    </w:pPr>
    <w:rPr>
      <w:rFonts w:ascii="Gulim" w:eastAsia="Gulim" w:hAnsi="Gulim" w:cs="Gulim"/>
      <w:color w:val="000000"/>
      <w:kern w:val="0"/>
      <w:szCs w:val="20"/>
    </w:rPr>
  </w:style>
  <w:style w:type="character" w:customStyle="1" w:styleId="nbapihighlight1">
    <w:name w:val="nbapihighlight1"/>
    <w:basedOn w:val="DefaultParagraphFont"/>
    <w:rsid w:val="00F43A75"/>
  </w:style>
  <w:style w:type="paragraph" w:styleId="NormalWeb">
    <w:name w:val="Normal (Web)"/>
    <w:basedOn w:val="Normal"/>
    <w:uiPriority w:val="99"/>
    <w:unhideWhenUsed/>
    <w:rsid w:val="00864E8D"/>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nbapihighlightmo1">
    <w:name w:val="nbapihighlightmo1"/>
    <w:basedOn w:val="DefaultParagraphFont"/>
    <w:rsid w:val="00E66C55"/>
    <w:rPr>
      <w:shd w:val="clear" w:color="auto" w:fill="C0C0FF"/>
    </w:rPr>
  </w:style>
  <w:style w:type="character" w:styleId="CommentReference">
    <w:name w:val="annotation reference"/>
    <w:basedOn w:val="DefaultParagraphFont"/>
    <w:uiPriority w:val="99"/>
    <w:unhideWhenUsed/>
    <w:rsid w:val="00ED00FA"/>
    <w:rPr>
      <w:sz w:val="16"/>
      <w:szCs w:val="16"/>
    </w:rPr>
  </w:style>
  <w:style w:type="paragraph" w:styleId="CommentText">
    <w:name w:val="annotation text"/>
    <w:basedOn w:val="Normal"/>
    <w:link w:val="CommentTextChar"/>
    <w:uiPriority w:val="99"/>
    <w:unhideWhenUsed/>
    <w:rsid w:val="00ED00FA"/>
    <w:pPr>
      <w:spacing w:line="240" w:lineRule="auto"/>
    </w:pPr>
    <w:rPr>
      <w:szCs w:val="20"/>
    </w:rPr>
  </w:style>
  <w:style w:type="character" w:customStyle="1" w:styleId="CommentTextChar">
    <w:name w:val="Comment Text Char"/>
    <w:basedOn w:val="DefaultParagraphFont"/>
    <w:link w:val="CommentText"/>
    <w:uiPriority w:val="99"/>
    <w:rsid w:val="00ED00FA"/>
    <w:rPr>
      <w:szCs w:val="20"/>
    </w:rPr>
  </w:style>
  <w:style w:type="paragraph" w:styleId="CommentSubject">
    <w:name w:val="annotation subject"/>
    <w:basedOn w:val="CommentText"/>
    <w:next w:val="CommentText"/>
    <w:link w:val="CommentSubjectChar"/>
    <w:uiPriority w:val="99"/>
    <w:semiHidden/>
    <w:unhideWhenUsed/>
    <w:rsid w:val="00ED00FA"/>
    <w:rPr>
      <w:b/>
      <w:bCs/>
    </w:rPr>
  </w:style>
  <w:style w:type="character" w:customStyle="1" w:styleId="CommentSubjectChar">
    <w:name w:val="Comment Subject Char"/>
    <w:basedOn w:val="CommentTextChar"/>
    <w:link w:val="CommentSubject"/>
    <w:uiPriority w:val="99"/>
    <w:semiHidden/>
    <w:rsid w:val="00ED00FA"/>
    <w:rPr>
      <w:b/>
      <w:bCs/>
      <w:szCs w:val="20"/>
    </w:rPr>
  </w:style>
  <w:style w:type="paragraph" w:styleId="BalloonText">
    <w:name w:val="Balloon Text"/>
    <w:basedOn w:val="Normal"/>
    <w:link w:val="BalloonTextChar"/>
    <w:uiPriority w:val="99"/>
    <w:semiHidden/>
    <w:unhideWhenUsed/>
    <w:rsid w:val="00ED00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0FA"/>
    <w:rPr>
      <w:rFonts w:ascii="Segoe UI" w:hAnsi="Segoe UI" w:cs="Segoe UI"/>
      <w:sz w:val="18"/>
      <w:szCs w:val="18"/>
    </w:rPr>
  </w:style>
  <w:style w:type="paragraph" w:styleId="Header">
    <w:name w:val="header"/>
    <w:basedOn w:val="Normal"/>
    <w:link w:val="HeaderChar"/>
    <w:uiPriority w:val="99"/>
    <w:unhideWhenUsed/>
    <w:rsid w:val="00C46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D2B"/>
  </w:style>
  <w:style w:type="paragraph" w:styleId="Footer">
    <w:name w:val="footer"/>
    <w:basedOn w:val="Normal"/>
    <w:link w:val="FooterChar"/>
    <w:uiPriority w:val="99"/>
    <w:unhideWhenUsed/>
    <w:rsid w:val="00C46D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D2B"/>
  </w:style>
  <w:style w:type="character" w:customStyle="1" w:styleId="Heading1Char">
    <w:name w:val="Heading 1 Char"/>
    <w:basedOn w:val="DefaultParagraphFont"/>
    <w:link w:val="Heading1"/>
    <w:uiPriority w:val="9"/>
    <w:rsid w:val="0076649E"/>
    <w:rPr>
      <w:rFonts w:ascii="Gulim" w:eastAsia="Gulim" w:hAnsi="Gulim" w:cs="Gulim"/>
      <w:b/>
      <w:bCs/>
      <w:color w:val="000000"/>
      <w:kern w:val="36"/>
      <w:sz w:val="33"/>
      <w:szCs w:val="33"/>
    </w:rPr>
  </w:style>
  <w:style w:type="character" w:customStyle="1" w:styleId="Heading4Char">
    <w:name w:val="Heading 4 Char"/>
    <w:basedOn w:val="DefaultParagraphFont"/>
    <w:link w:val="Heading4"/>
    <w:uiPriority w:val="9"/>
    <w:rsid w:val="0076649E"/>
    <w:rPr>
      <w:rFonts w:ascii="Gulim" w:eastAsia="Gulim" w:hAnsi="Gulim" w:cs="Gulim"/>
      <w:b/>
      <w:bCs/>
      <w:color w:val="59331F"/>
      <w:kern w:val="0"/>
      <w:sz w:val="24"/>
      <w:szCs w:val="24"/>
    </w:rPr>
  </w:style>
  <w:style w:type="character" w:customStyle="1" w:styleId="highlight2">
    <w:name w:val="highlight2"/>
    <w:basedOn w:val="DefaultParagraphFont"/>
    <w:rsid w:val="0076649E"/>
  </w:style>
  <w:style w:type="paragraph" w:styleId="Revision">
    <w:name w:val="Revision"/>
    <w:hidden/>
    <w:uiPriority w:val="99"/>
    <w:semiHidden/>
    <w:rsid w:val="00804CAE"/>
    <w:pPr>
      <w:spacing w:after="0" w:line="240" w:lineRule="auto"/>
      <w:jc w:val="left"/>
    </w:pPr>
  </w:style>
  <w:style w:type="paragraph" w:styleId="ListParagraph">
    <w:name w:val="List Paragraph"/>
    <w:basedOn w:val="Normal"/>
    <w:uiPriority w:val="34"/>
    <w:qFormat/>
    <w:rsid w:val="00CE6579"/>
    <w:pPr>
      <w:ind w:leftChars="400" w:left="800"/>
    </w:pPr>
  </w:style>
  <w:style w:type="character" w:customStyle="1" w:styleId="Char">
    <w:name w:val="바탕글 Char"/>
    <w:link w:val="a"/>
    <w:uiPriority w:val="99"/>
    <w:rsid w:val="00817335"/>
    <w:rPr>
      <w:rFonts w:ascii="Gulim" w:eastAsia="Gulim" w:hAnsi="Gulim" w:cs="Gulim"/>
      <w:color w:val="000000"/>
      <w:kern w:val="0"/>
      <w:szCs w:val="20"/>
    </w:rPr>
  </w:style>
  <w:style w:type="character" w:styleId="Hyperlink">
    <w:name w:val="Hyperlink"/>
    <w:rsid w:val="00B37C40"/>
    <w:rPr>
      <w:color w:val="0000FF"/>
      <w:u w:val="single"/>
    </w:rPr>
  </w:style>
  <w:style w:type="character" w:customStyle="1" w:styleId="hui12181">
    <w:name w:val="hui12181"/>
    <w:basedOn w:val="DefaultParagraphFont"/>
    <w:rsid w:val="00A14F9F"/>
    <w:rPr>
      <w:rFonts w:ascii="Arial" w:hAnsi="Arial" w:cs="Arial" w:hint="default"/>
      <w:strike w:val="0"/>
      <w:dstrike w:val="0"/>
      <w:color w:val="333333"/>
      <w:sz w:val="18"/>
      <w:szCs w:val="18"/>
      <w:u w:val="none"/>
      <w:effect w:val="none"/>
    </w:rPr>
  </w:style>
  <w:style w:type="character" w:customStyle="1" w:styleId="apple-converted-space">
    <w:name w:val="apple-converted-space"/>
    <w:basedOn w:val="DefaultParagraphFont"/>
    <w:uiPriority w:val="99"/>
    <w:rsid w:val="00A86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0923">
      <w:bodyDiv w:val="1"/>
      <w:marLeft w:val="0"/>
      <w:marRight w:val="0"/>
      <w:marTop w:val="0"/>
      <w:marBottom w:val="0"/>
      <w:divBdr>
        <w:top w:val="none" w:sz="0" w:space="0" w:color="auto"/>
        <w:left w:val="none" w:sz="0" w:space="0" w:color="auto"/>
        <w:bottom w:val="none" w:sz="0" w:space="0" w:color="auto"/>
        <w:right w:val="none" w:sz="0" w:space="0" w:color="auto"/>
      </w:divBdr>
    </w:div>
    <w:div w:id="26218824">
      <w:bodyDiv w:val="1"/>
      <w:marLeft w:val="0"/>
      <w:marRight w:val="0"/>
      <w:marTop w:val="0"/>
      <w:marBottom w:val="0"/>
      <w:divBdr>
        <w:top w:val="none" w:sz="0" w:space="0" w:color="auto"/>
        <w:left w:val="none" w:sz="0" w:space="0" w:color="auto"/>
        <w:bottom w:val="none" w:sz="0" w:space="0" w:color="auto"/>
        <w:right w:val="none" w:sz="0" w:space="0" w:color="auto"/>
      </w:divBdr>
      <w:divsChild>
        <w:div w:id="209921387">
          <w:marLeft w:val="0"/>
          <w:marRight w:val="1"/>
          <w:marTop w:val="0"/>
          <w:marBottom w:val="0"/>
          <w:divBdr>
            <w:top w:val="none" w:sz="0" w:space="0" w:color="auto"/>
            <w:left w:val="none" w:sz="0" w:space="0" w:color="auto"/>
            <w:bottom w:val="none" w:sz="0" w:space="0" w:color="auto"/>
            <w:right w:val="none" w:sz="0" w:space="0" w:color="auto"/>
          </w:divBdr>
          <w:divsChild>
            <w:div w:id="1952013025">
              <w:marLeft w:val="0"/>
              <w:marRight w:val="0"/>
              <w:marTop w:val="0"/>
              <w:marBottom w:val="0"/>
              <w:divBdr>
                <w:top w:val="none" w:sz="0" w:space="0" w:color="auto"/>
                <w:left w:val="none" w:sz="0" w:space="0" w:color="auto"/>
                <w:bottom w:val="none" w:sz="0" w:space="0" w:color="auto"/>
                <w:right w:val="none" w:sz="0" w:space="0" w:color="auto"/>
              </w:divBdr>
              <w:divsChild>
                <w:div w:id="693577867">
                  <w:marLeft w:val="0"/>
                  <w:marRight w:val="1"/>
                  <w:marTop w:val="0"/>
                  <w:marBottom w:val="0"/>
                  <w:divBdr>
                    <w:top w:val="none" w:sz="0" w:space="0" w:color="auto"/>
                    <w:left w:val="none" w:sz="0" w:space="0" w:color="auto"/>
                    <w:bottom w:val="none" w:sz="0" w:space="0" w:color="auto"/>
                    <w:right w:val="none" w:sz="0" w:space="0" w:color="auto"/>
                  </w:divBdr>
                  <w:divsChild>
                    <w:div w:id="245848605">
                      <w:marLeft w:val="0"/>
                      <w:marRight w:val="0"/>
                      <w:marTop w:val="0"/>
                      <w:marBottom w:val="0"/>
                      <w:divBdr>
                        <w:top w:val="none" w:sz="0" w:space="0" w:color="auto"/>
                        <w:left w:val="none" w:sz="0" w:space="0" w:color="auto"/>
                        <w:bottom w:val="none" w:sz="0" w:space="0" w:color="auto"/>
                        <w:right w:val="none" w:sz="0" w:space="0" w:color="auto"/>
                      </w:divBdr>
                      <w:divsChild>
                        <w:div w:id="1330521868">
                          <w:marLeft w:val="0"/>
                          <w:marRight w:val="0"/>
                          <w:marTop w:val="0"/>
                          <w:marBottom w:val="0"/>
                          <w:divBdr>
                            <w:top w:val="none" w:sz="0" w:space="0" w:color="auto"/>
                            <w:left w:val="none" w:sz="0" w:space="0" w:color="auto"/>
                            <w:bottom w:val="none" w:sz="0" w:space="0" w:color="auto"/>
                            <w:right w:val="none" w:sz="0" w:space="0" w:color="auto"/>
                          </w:divBdr>
                          <w:divsChild>
                            <w:div w:id="501433888">
                              <w:marLeft w:val="0"/>
                              <w:marRight w:val="0"/>
                              <w:marTop w:val="120"/>
                              <w:marBottom w:val="360"/>
                              <w:divBdr>
                                <w:top w:val="none" w:sz="0" w:space="0" w:color="auto"/>
                                <w:left w:val="none" w:sz="0" w:space="0" w:color="auto"/>
                                <w:bottom w:val="none" w:sz="0" w:space="0" w:color="auto"/>
                                <w:right w:val="none" w:sz="0" w:space="0" w:color="auto"/>
                              </w:divBdr>
                              <w:divsChild>
                                <w:div w:id="1617327303">
                                  <w:marLeft w:val="0"/>
                                  <w:marRight w:val="0"/>
                                  <w:marTop w:val="0"/>
                                  <w:marBottom w:val="0"/>
                                  <w:divBdr>
                                    <w:top w:val="none" w:sz="0" w:space="0" w:color="auto"/>
                                    <w:left w:val="none" w:sz="0" w:space="0" w:color="auto"/>
                                    <w:bottom w:val="none" w:sz="0" w:space="0" w:color="auto"/>
                                    <w:right w:val="none" w:sz="0" w:space="0" w:color="auto"/>
                                  </w:divBdr>
                                  <w:divsChild>
                                    <w:div w:id="20779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74435">
      <w:bodyDiv w:val="1"/>
      <w:marLeft w:val="0"/>
      <w:marRight w:val="0"/>
      <w:marTop w:val="0"/>
      <w:marBottom w:val="0"/>
      <w:divBdr>
        <w:top w:val="none" w:sz="0" w:space="0" w:color="auto"/>
        <w:left w:val="none" w:sz="0" w:space="0" w:color="auto"/>
        <w:bottom w:val="none" w:sz="0" w:space="0" w:color="auto"/>
        <w:right w:val="none" w:sz="0" w:space="0" w:color="auto"/>
      </w:divBdr>
    </w:div>
    <w:div w:id="117575649">
      <w:bodyDiv w:val="1"/>
      <w:marLeft w:val="0"/>
      <w:marRight w:val="0"/>
      <w:marTop w:val="0"/>
      <w:marBottom w:val="0"/>
      <w:divBdr>
        <w:top w:val="none" w:sz="0" w:space="0" w:color="auto"/>
        <w:left w:val="none" w:sz="0" w:space="0" w:color="auto"/>
        <w:bottom w:val="none" w:sz="0" w:space="0" w:color="auto"/>
        <w:right w:val="none" w:sz="0" w:space="0" w:color="auto"/>
      </w:divBdr>
      <w:divsChild>
        <w:div w:id="1727990244">
          <w:marLeft w:val="0"/>
          <w:marRight w:val="1"/>
          <w:marTop w:val="0"/>
          <w:marBottom w:val="0"/>
          <w:divBdr>
            <w:top w:val="none" w:sz="0" w:space="0" w:color="auto"/>
            <w:left w:val="none" w:sz="0" w:space="0" w:color="auto"/>
            <w:bottom w:val="none" w:sz="0" w:space="0" w:color="auto"/>
            <w:right w:val="none" w:sz="0" w:space="0" w:color="auto"/>
          </w:divBdr>
          <w:divsChild>
            <w:div w:id="213470289">
              <w:marLeft w:val="0"/>
              <w:marRight w:val="0"/>
              <w:marTop w:val="0"/>
              <w:marBottom w:val="0"/>
              <w:divBdr>
                <w:top w:val="none" w:sz="0" w:space="0" w:color="auto"/>
                <w:left w:val="none" w:sz="0" w:space="0" w:color="auto"/>
                <w:bottom w:val="none" w:sz="0" w:space="0" w:color="auto"/>
                <w:right w:val="none" w:sz="0" w:space="0" w:color="auto"/>
              </w:divBdr>
              <w:divsChild>
                <w:div w:id="1780955604">
                  <w:marLeft w:val="0"/>
                  <w:marRight w:val="1"/>
                  <w:marTop w:val="0"/>
                  <w:marBottom w:val="0"/>
                  <w:divBdr>
                    <w:top w:val="none" w:sz="0" w:space="0" w:color="auto"/>
                    <w:left w:val="none" w:sz="0" w:space="0" w:color="auto"/>
                    <w:bottom w:val="none" w:sz="0" w:space="0" w:color="auto"/>
                    <w:right w:val="none" w:sz="0" w:space="0" w:color="auto"/>
                  </w:divBdr>
                  <w:divsChild>
                    <w:div w:id="1248929260">
                      <w:marLeft w:val="0"/>
                      <w:marRight w:val="0"/>
                      <w:marTop w:val="0"/>
                      <w:marBottom w:val="0"/>
                      <w:divBdr>
                        <w:top w:val="none" w:sz="0" w:space="0" w:color="auto"/>
                        <w:left w:val="none" w:sz="0" w:space="0" w:color="auto"/>
                        <w:bottom w:val="none" w:sz="0" w:space="0" w:color="auto"/>
                        <w:right w:val="none" w:sz="0" w:space="0" w:color="auto"/>
                      </w:divBdr>
                      <w:divsChild>
                        <w:div w:id="1079449840">
                          <w:marLeft w:val="0"/>
                          <w:marRight w:val="0"/>
                          <w:marTop w:val="0"/>
                          <w:marBottom w:val="0"/>
                          <w:divBdr>
                            <w:top w:val="none" w:sz="0" w:space="0" w:color="auto"/>
                            <w:left w:val="none" w:sz="0" w:space="0" w:color="auto"/>
                            <w:bottom w:val="none" w:sz="0" w:space="0" w:color="auto"/>
                            <w:right w:val="none" w:sz="0" w:space="0" w:color="auto"/>
                          </w:divBdr>
                          <w:divsChild>
                            <w:div w:id="1665353061">
                              <w:marLeft w:val="0"/>
                              <w:marRight w:val="0"/>
                              <w:marTop w:val="120"/>
                              <w:marBottom w:val="360"/>
                              <w:divBdr>
                                <w:top w:val="none" w:sz="0" w:space="0" w:color="auto"/>
                                <w:left w:val="none" w:sz="0" w:space="0" w:color="auto"/>
                                <w:bottom w:val="none" w:sz="0" w:space="0" w:color="auto"/>
                                <w:right w:val="none" w:sz="0" w:space="0" w:color="auto"/>
                              </w:divBdr>
                              <w:divsChild>
                                <w:div w:id="1212420700">
                                  <w:marLeft w:val="0"/>
                                  <w:marRight w:val="0"/>
                                  <w:marTop w:val="0"/>
                                  <w:marBottom w:val="0"/>
                                  <w:divBdr>
                                    <w:top w:val="none" w:sz="0" w:space="0" w:color="auto"/>
                                    <w:left w:val="none" w:sz="0" w:space="0" w:color="auto"/>
                                    <w:bottom w:val="none" w:sz="0" w:space="0" w:color="auto"/>
                                    <w:right w:val="none" w:sz="0" w:space="0" w:color="auto"/>
                                  </w:divBdr>
                                  <w:divsChild>
                                    <w:div w:id="18311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17591">
      <w:bodyDiv w:val="1"/>
      <w:marLeft w:val="0"/>
      <w:marRight w:val="0"/>
      <w:marTop w:val="0"/>
      <w:marBottom w:val="0"/>
      <w:divBdr>
        <w:top w:val="none" w:sz="0" w:space="0" w:color="auto"/>
        <w:left w:val="none" w:sz="0" w:space="0" w:color="auto"/>
        <w:bottom w:val="none" w:sz="0" w:space="0" w:color="auto"/>
        <w:right w:val="none" w:sz="0" w:space="0" w:color="auto"/>
      </w:divBdr>
      <w:divsChild>
        <w:div w:id="1845583258">
          <w:marLeft w:val="0"/>
          <w:marRight w:val="1"/>
          <w:marTop w:val="0"/>
          <w:marBottom w:val="0"/>
          <w:divBdr>
            <w:top w:val="none" w:sz="0" w:space="0" w:color="auto"/>
            <w:left w:val="none" w:sz="0" w:space="0" w:color="auto"/>
            <w:bottom w:val="none" w:sz="0" w:space="0" w:color="auto"/>
            <w:right w:val="none" w:sz="0" w:space="0" w:color="auto"/>
          </w:divBdr>
          <w:divsChild>
            <w:div w:id="2110350022">
              <w:marLeft w:val="0"/>
              <w:marRight w:val="0"/>
              <w:marTop w:val="0"/>
              <w:marBottom w:val="0"/>
              <w:divBdr>
                <w:top w:val="none" w:sz="0" w:space="0" w:color="auto"/>
                <w:left w:val="none" w:sz="0" w:space="0" w:color="auto"/>
                <w:bottom w:val="none" w:sz="0" w:space="0" w:color="auto"/>
                <w:right w:val="none" w:sz="0" w:space="0" w:color="auto"/>
              </w:divBdr>
              <w:divsChild>
                <w:div w:id="1684279827">
                  <w:marLeft w:val="0"/>
                  <w:marRight w:val="1"/>
                  <w:marTop w:val="0"/>
                  <w:marBottom w:val="0"/>
                  <w:divBdr>
                    <w:top w:val="none" w:sz="0" w:space="0" w:color="auto"/>
                    <w:left w:val="none" w:sz="0" w:space="0" w:color="auto"/>
                    <w:bottom w:val="none" w:sz="0" w:space="0" w:color="auto"/>
                    <w:right w:val="none" w:sz="0" w:space="0" w:color="auto"/>
                  </w:divBdr>
                  <w:divsChild>
                    <w:div w:id="541552363">
                      <w:marLeft w:val="0"/>
                      <w:marRight w:val="0"/>
                      <w:marTop w:val="0"/>
                      <w:marBottom w:val="0"/>
                      <w:divBdr>
                        <w:top w:val="none" w:sz="0" w:space="0" w:color="auto"/>
                        <w:left w:val="none" w:sz="0" w:space="0" w:color="auto"/>
                        <w:bottom w:val="none" w:sz="0" w:space="0" w:color="auto"/>
                        <w:right w:val="none" w:sz="0" w:space="0" w:color="auto"/>
                      </w:divBdr>
                      <w:divsChild>
                        <w:div w:id="1844318083">
                          <w:marLeft w:val="0"/>
                          <w:marRight w:val="0"/>
                          <w:marTop w:val="0"/>
                          <w:marBottom w:val="0"/>
                          <w:divBdr>
                            <w:top w:val="none" w:sz="0" w:space="0" w:color="auto"/>
                            <w:left w:val="none" w:sz="0" w:space="0" w:color="auto"/>
                            <w:bottom w:val="none" w:sz="0" w:space="0" w:color="auto"/>
                            <w:right w:val="none" w:sz="0" w:space="0" w:color="auto"/>
                          </w:divBdr>
                          <w:divsChild>
                            <w:div w:id="674916165">
                              <w:marLeft w:val="0"/>
                              <w:marRight w:val="0"/>
                              <w:marTop w:val="120"/>
                              <w:marBottom w:val="360"/>
                              <w:divBdr>
                                <w:top w:val="none" w:sz="0" w:space="0" w:color="auto"/>
                                <w:left w:val="none" w:sz="0" w:space="0" w:color="auto"/>
                                <w:bottom w:val="none" w:sz="0" w:space="0" w:color="auto"/>
                                <w:right w:val="none" w:sz="0" w:space="0" w:color="auto"/>
                              </w:divBdr>
                              <w:divsChild>
                                <w:div w:id="1122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57764">
      <w:bodyDiv w:val="1"/>
      <w:marLeft w:val="0"/>
      <w:marRight w:val="0"/>
      <w:marTop w:val="0"/>
      <w:marBottom w:val="0"/>
      <w:divBdr>
        <w:top w:val="none" w:sz="0" w:space="0" w:color="auto"/>
        <w:left w:val="none" w:sz="0" w:space="0" w:color="auto"/>
        <w:bottom w:val="none" w:sz="0" w:space="0" w:color="auto"/>
        <w:right w:val="none" w:sz="0" w:space="0" w:color="auto"/>
      </w:divBdr>
    </w:div>
    <w:div w:id="180437085">
      <w:bodyDiv w:val="1"/>
      <w:marLeft w:val="0"/>
      <w:marRight w:val="0"/>
      <w:marTop w:val="0"/>
      <w:marBottom w:val="0"/>
      <w:divBdr>
        <w:top w:val="none" w:sz="0" w:space="0" w:color="auto"/>
        <w:left w:val="none" w:sz="0" w:space="0" w:color="auto"/>
        <w:bottom w:val="none" w:sz="0" w:space="0" w:color="auto"/>
        <w:right w:val="none" w:sz="0" w:space="0" w:color="auto"/>
      </w:divBdr>
    </w:div>
    <w:div w:id="242683307">
      <w:bodyDiv w:val="1"/>
      <w:marLeft w:val="0"/>
      <w:marRight w:val="0"/>
      <w:marTop w:val="0"/>
      <w:marBottom w:val="0"/>
      <w:divBdr>
        <w:top w:val="none" w:sz="0" w:space="0" w:color="auto"/>
        <w:left w:val="none" w:sz="0" w:space="0" w:color="auto"/>
        <w:bottom w:val="none" w:sz="0" w:space="0" w:color="auto"/>
        <w:right w:val="none" w:sz="0" w:space="0" w:color="auto"/>
      </w:divBdr>
    </w:div>
    <w:div w:id="248513452">
      <w:bodyDiv w:val="1"/>
      <w:marLeft w:val="0"/>
      <w:marRight w:val="0"/>
      <w:marTop w:val="0"/>
      <w:marBottom w:val="0"/>
      <w:divBdr>
        <w:top w:val="none" w:sz="0" w:space="0" w:color="auto"/>
        <w:left w:val="none" w:sz="0" w:space="0" w:color="auto"/>
        <w:bottom w:val="none" w:sz="0" w:space="0" w:color="auto"/>
        <w:right w:val="none" w:sz="0" w:space="0" w:color="auto"/>
      </w:divBdr>
    </w:div>
    <w:div w:id="253247086">
      <w:bodyDiv w:val="1"/>
      <w:marLeft w:val="0"/>
      <w:marRight w:val="0"/>
      <w:marTop w:val="0"/>
      <w:marBottom w:val="0"/>
      <w:divBdr>
        <w:top w:val="none" w:sz="0" w:space="0" w:color="auto"/>
        <w:left w:val="none" w:sz="0" w:space="0" w:color="auto"/>
        <w:bottom w:val="none" w:sz="0" w:space="0" w:color="auto"/>
        <w:right w:val="none" w:sz="0" w:space="0" w:color="auto"/>
      </w:divBdr>
    </w:div>
    <w:div w:id="257176525">
      <w:bodyDiv w:val="1"/>
      <w:marLeft w:val="0"/>
      <w:marRight w:val="0"/>
      <w:marTop w:val="0"/>
      <w:marBottom w:val="0"/>
      <w:divBdr>
        <w:top w:val="none" w:sz="0" w:space="0" w:color="auto"/>
        <w:left w:val="none" w:sz="0" w:space="0" w:color="auto"/>
        <w:bottom w:val="none" w:sz="0" w:space="0" w:color="auto"/>
        <w:right w:val="none" w:sz="0" w:space="0" w:color="auto"/>
      </w:divBdr>
    </w:div>
    <w:div w:id="270094686">
      <w:bodyDiv w:val="1"/>
      <w:marLeft w:val="0"/>
      <w:marRight w:val="0"/>
      <w:marTop w:val="0"/>
      <w:marBottom w:val="0"/>
      <w:divBdr>
        <w:top w:val="none" w:sz="0" w:space="0" w:color="auto"/>
        <w:left w:val="none" w:sz="0" w:space="0" w:color="auto"/>
        <w:bottom w:val="none" w:sz="0" w:space="0" w:color="auto"/>
        <w:right w:val="none" w:sz="0" w:space="0" w:color="auto"/>
      </w:divBdr>
    </w:div>
    <w:div w:id="282812511">
      <w:bodyDiv w:val="1"/>
      <w:marLeft w:val="0"/>
      <w:marRight w:val="0"/>
      <w:marTop w:val="0"/>
      <w:marBottom w:val="0"/>
      <w:divBdr>
        <w:top w:val="none" w:sz="0" w:space="0" w:color="auto"/>
        <w:left w:val="none" w:sz="0" w:space="0" w:color="auto"/>
        <w:bottom w:val="none" w:sz="0" w:space="0" w:color="auto"/>
        <w:right w:val="none" w:sz="0" w:space="0" w:color="auto"/>
      </w:divBdr>
    </w:div>
    <w:div w:id="298415376">
      <w:bodyDiv w:val="1"/>
      <w:marLeft w:val="0"/>
      <w:marRight w:val="0"/>
      <w:marTop w:val="0"/>
      <w:marBottom w:val="0"/>
      <w:divBdr>
        <w:top w:val="none" w:sz="0" w:space="0" w:color="auto"/>
        <w:left w:val="none" w:sz="0" w:space="0" w:color="auto"/>
        <w:bottom w:val="none" w:sz="0" w:space="0" w:color="auto"/>
        <w:right w:val="none" w:sz="0" w:space="0" w:color="auto"/>
      </w:divBdr>
    </w:div>
    <w:div w:id="306204029">
      <w:bodyDiv w:val="1"/>
      <w:marLeft w:val="0"/>
      <w:marRight w:val="0"/>
      <w:marTop w:val="0"/>
      <w:marBottom w:val="0"/>
      <w:divBdr>
        <w:top w:val="none" w:sz="0" w:space="0" w:color="auto"/>
        <w:left w:val="none" w:sz="0" w:space="0" w:color="auto"/>
        <w:bottom w:val="none" w:sz="0" w:space="0" w:color="auto"/>
        <w:right w:val="none" w:sz="0" w:space="0" w:color="auto"/>
      </w:divBdr>
    </w:div>
    <w:div w:id="315956400">
      <w:bodyDiv w:val="1"/>
      <w:marLeft w:val="0"/>
      <w:marRight w:val="0"/>
      <w:marTop w:val="0"/>
      <w:marBottom w:val="0"/>
      <w:divBdr>
        <w:top w:val="none" w:sz="0" w:space="0" w:color="auto"/>
        <w:left w:val="none" w:sz="0" w:space="0" w:color="auto"/>
        <w:bottom w:val="none" w:sz="0" w:space="0" w:color="auto"/>
        <w:right w:val="none" w:sz="0" w:space="0" w:color="auto"/>
      </w:divBdr>
    </w:div>
    <w:div w:id="329255365">
      <w:bodyDiv w:val="1"/>
      <w:marLeft w:val="0"/>
      <w:marRight w:val="0"/>
      <w:marTop w:val="0"/>
      <w:marBottom w:val="0"/>
      <w:divBdr>
        <w:top w:val="none" w:sz="0" w:space="0" w:color="auto"/>
        <w:left w:val="none" w:sz="0" w:space="0" w:color="auto"/>
        <w:bottom w:val="none" w:sz="0" w:space="0" w:color="auto"/>
        <w:right w:val="none" w:sz="0" w:space="0" w:color="auto"/>
      </w:divBdr>
      <w:divsChild>
        <w:div w:id="140779092">
          <w:marLeft w:val="0"/>
          <w:marRight w:val="1"/>
          <w:marTop w:val="0"/>
          <w:marBottom w:val="0"/>
          <w:divBdr>
            <w:top w:val="none" w:sz="0" w:space="0" w:color="auto"/>
            <w:left w:val="none" w:sz="0" w:space="0" w:color="auto"/>
            <w:bottom w:val="none" w:sz="0" w:space="0" w:color="auto"/>
            <w:right w:val="none" w:sz="0" w:space="0" w:color="auto"/>
          </w:divBdr>
          <w:divsChild>
            <w:div w:id="270282919">
              <w:marLeft w:val="0"/>
              <w:marRight w:val="0"/>
              <w:marTop w:val="0"/>
              <w:marBottom w:val="0"/>
              <w:divBdr>
                <w:top w:val="none" w:sz="0" w:space="0" w:color="auto"/>
                <w:left w:val="none" w:sz="0" w:space="0" w:color="auto"/>
                <w:bottom w:val="none" w:sz="0" w:space="0" w:color="auto"/>
                <w:right w:val="none" w:sz="0" w:space="0" w:color="auto"/>
              </w:divBdr>
              <w:divsChild>
                <w:div w:id="2116437724">
                  <w:marLeft w:val="0"/>
                  <w:marRight w:val="1"/>
                  <w:marTop w:val="0"/>
                  <w:marBottom w:val="0"/>
                  <w:divBdr>
                    <w:top w:val="none" w:sz="0" w:space="0" w:color="auto"/>
                    <w:left w:val="none" w:sz="0" w:space="0" w:color="auto"/>
                    <w:bottom w:val="none" w:sz="0" w:space="0" w:color="auto"/>
                    <w:right w:val="none" w:sz="0" w:space="0" w:color="auto"/>
                  </w:divBdr>
                  <w:divsChild>
                    <w:div w:id="1574467596">
                      <w:marLeft w:val="0"/>
                      <w:marRight w:val="0"/>
                      <w:marTop w:val="0"/>
                      <w:marBottom w:val="0"/>
                      <w:divBdr>
                        <w:top w:val="none" w:sz="0" w:space="0" w:color="auto"/>
                        <w:left w:val="none" w:sz="0" w:space="0" w:color="auto"/>
                        <w:bottom w:val="none" w:sz="0" w:space="0" w:color="auto"/>
                        <w:right w:val="none" w:sz="0" w:space="0" w:color="auto"/>
                      </w:divBdr>
                      <w:divsChild>
                        <w:div w:id="182088739">
                          <w:marLeft w:val="0"/>
                          <w:marRight w:val="0"/>
                          <w:marTop w:val="0"/>
                          <w:marBottom w:val="0"/>
                          <w:divBdr>
                            <w:top w:val="none" w:sz="0" w:space="0" w:color="auto"/>
                            <w:left w:val="none" w:sz="0" w:space="0" w:color="auto"/>
                            <w:bottom w:val="none" w:sz="0" w:space="0" w:color="auto"/>
                            <w:right w:val="none" w:sz="0" w:space="0" w:color="auto"/>
                          </w:divBdr>
                          <w:divsChild>
                            <w:div w:id="1432579083">
                              <w:marLeft w:val="0"/>
                              <w:marRight w:val="0"/>
                              <w:marTop w:val="0"/>
                              <w:marBottom w:val="0"/>
                              <w:divBdr>
                                <w:top w:val="none" w:sz="0" w:space="0" w:color="auto"/>
                                <w:left w:val="none" w:sz="0" w:space="0" w:color="auto"/>
                                <w:bottom w:val="none" w:sz="0" w:space="0" w:color="auto"/>
                                <w:right w:val="none" w:sz="0" w:space="0" w:color="auto"/>
                              </w:divBdr>
                            </w:div>
                          </w:divsChild>
                        </w:div>
                        <w:div w:id="572004579">
                          <w:marLeft w:val="0"/>
                          <w:marRight w:val="0"/>
                          <w:marTop w:val="0"/>
                          <w:marBottom w:val="0"/>
                          <w:divBdr>
                            <w:top w:val="none" w:sz="0" w:space="0" w:color="auto"/>
                            <w:left w:val="none" w:sz="0" w:space="0" w:color="auto"/>
                            <w:bottom w:val="none" w:sz="0" w:space="0" w:color="auto"/>
                            <w:right w:val="none" w:sz="0" w:space="0" w:color="auto"/>
                          </w:divBdr>
                          <w:divsChild>
                            <w:div w:id="964460384">
                              <w:marLeft w:val="0"/>
                              <w:marRight w:val="0"/>
                              <w:marTop w:val="120"/>
                              <w:marBottom w:val="360"/>
                              <w:divBdr>
                                <w:top w:val="none" w:sz="0" w:space="0" w:color="auto"/>
                                <w:left w:val="none" w:sz="0" w:space="0" w:color="auto"/>
                                <w:bottom w:val="none" w:sz="0" w:space="0" w:color="auto"/>
                                <w:right w:val="none" w:sz="0" w:space="0" w:color="auto"/>
                              </w:divBdr>
                              <w:divsChild>
                                <w:div w:id="65959338">
                                  <w:marLeft w:val="0"/>
                                  <w:marRight w:val="0"/>
                                  <w:marTop w:val="0"/>
                                  <w:marBottom w:val="0"/>
                                  <w:divBdr>
                                    <w:top w:val="none" w:sz="0" w:space="0" w:color="auto"/>
                                    <w:left w:val="none" w:sz="0" w:space="0" w:color="auto"/>
                                    <w:bottom w:val="none" w:sz="0" w:space="0" w:color="auto"/>
                                    <w:right w:val="none" w:sz="0" w:space="0" w:color="auto"/>
                                  </w:divBdr>
                                </w:div>
                                <w:div w:id="8392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17223">
      <w:bodyDiv w:val="1"/>
      <w:marLeft w:val="0"/>
      <w:marRight w:val="0"/>
      <w:marTop w:val="0"/>
      <w:marBottom w:val="0"/>
      <w:divBdr>
        <w:top w:val="none" w:sz="0" w:space="0" w:color="auto"/>
        <w:left w:val="none" w:sz="0" w:space="0" w:color="auto"/>
        <w:bottom w:val="none" w:sz="0" w:space="0" w:color="auto"/>
        <w:right w:val="none" w:sz="0" w:space="0" w:color="auto"/>
      </w:divBdr>
    </w:div>
    <w:div w:id="338194541">
      <w:bodyDiv w:val="1"/>
      <w:marLeft w:val="0"/>
      <w:marRight w:val="0"/>
      <w:marTop w:val="0"/>
      <w:marBottom w:val="0"/>
      <w:divBdr>
        <w:top w:val="none" w:sz="0" w:space="0" w:color="auto"/>
        <w:left w:val="none" w:sz="0" w:space="0" w:color="auto"/>
        <w:bottom w:val="none" w:sz="0" w:space="0" w:color="auto"/>
        <w:right w:val="none" w:sz="0" w:space="0" w:color="auto"/>
      </w:divBdr>
    </w:div>
    <w:div w:id="338705399">
      <w:bodyDiv w:val="1"/>
      <w:marLeft w:val="0"/>
      <w:marRight w:val="0"/>
      <w:marTop w:val="0"/>
      <w:marBottom w:val="0"/>
      <w:divBdr>
        <w:top w:val="none" w:sz="0" w:space="0" w:color="auto"/>
        <w:left w:val="none" w:sz="0" w:space="0" w:color="auto"/>
        <w:bottom w:val="none" w:sz="0" w:space="0" w:color="auto"/>
        <w:right w:val="none" w:sz="0" w:space="0" w:color="auto"/>
      </w:divBdr>
    </w:div>
    <w:div w:id="352610115">
      <w:bodyDiv w:val="1"/>
      <w:marLeft w:val="0"/>
      <w:marRight w:val="0"/>
      <w:marTop w:val="0"/>
      <w:marBottom w:val="0"/>
      <w:divBdr>
        <w:top w:val="none" w:sz="0" w:space="0" w:color="auto"/>
        <w:left w:val="none" w:sz="0" w:space="0" w:color="auto"/>
        <w:bottom w:val="none" w:sz="0" w:space="0" w:color="auto"/>
        <w:right w:val="none" w:sz="0" w:space="0" w:color="auto"/>
      </w:divBdr>
    </w:div>
    <w:div w:id="364670787">
      <w:bodyDiv w:val="1"/>
      <w:marLeft w:val="0"/>
      <w:marRight w:val="0"/>
      <w:marTop w:val="0"/>
      <w:marBottom w:val="0"/>
      <w:divBdr>
        <w:top w:val="none" w:sz="0" w:space="0" w:color="auto"/>
        <w:left w:val="none" w:sz="0" w:space="0" w:color="auto"/>
        <w:bottom w:val="none" w:sz="0" w:space="0" w:color="auto"/>
        <w:right w:val="none" w:sz="0" w:space="0" w:color="auto"/>
      </w:divBdr>
    </w:div>
    <w:div w:id="380062224">
      <w:bodyDiv w:val="1"/>
      <w:marLeft w:val="0"/>
      <w:marRight w:val="0"/>
      <w:marTop w:val="0"/>
      <w:marBottom w:val="0"/>
      <w:divBdr>
        <w:top w:val="none" w:sz="0" w:space="0" w:color="auto"/>
        <w:left w:val="none" w:sz="0" w:space="0" w:color="auto"/>
        <w:bottom w:val="none" w:sz="0" w:space="0" w:color="auto"/>
        <w:right w:val="none" w:sz="0" w:space="0" w:color="auto"/>
      </w:divBdr>
    </w:div>
    <w:div w:id="388648339">
      <w:bodyDiv w:val="1"/>
      <w:marLeft w:val="0"/>
      <w:marRight w:val="0"/>
      <w:marTop w:val="0"/>
      <w:marBottom w:val="0"/>
      <w:divBdr>
        <w:top w:val="none" w:sz="0" w:space="0" w:color="auto"/>
        <w:left w:val="none" w:sz="0" w:space="0" w:color="auto"/>
        <w:bottom w:val="none" w:sz="0" w:space="0" w:color="auto"/>
        <w:right w:val="none" w:sz="0" w:space="0" w:color="auto"/>
      </w:divBdr>
      <w:divsChild>
        <w:div w:id="711002273">
          <w:marLeft w:val="0"/>
          <w:marRight w:val="1"/>
          <w:marTop w:val="0"/>
          <w:marBottom w:val="0"/>
          <w:divBdr>
            <w:top w:val="none" w:sz="0" w:space="0" w:color="auto"/>
            <w:left w:val="none" w:sz="0" w:space="0" w:color="auto"/>
            <w:bottom w:val="none" w:sz="0" w:space="0" w:color="auto"/>
            <w:right w:val="none" w:sz="0" w:space="0" w:color="auto"/>
          </w:divBdr>
          <w:divsChild>
            <w:div w:id="312490800">
              <w:marLeft w:val="0"/>
              <w:marRight w:val="0"/>
              <w:marTop w:val="0"/>
              <w:marBottom w:val="0"/>
              <w:divBdr>
                <w:top w:val="none" w:sz="0" w:space="0" w:color="auto"/>
                <w:left w:val="none" w:sz="0" w:space="0" w:color="auto"/>
                <w:bottom w:val="none" w:sz="0" w:space="0" w:color="auto"/>
                <w:right w:val="none" w:sz="0" w:space="0" w:color="auto"/>
              </w:divBdr>
              <w:divsChild>
                <w:div w:id="1317223315">
                  <w:marLeft w:val="0"/>
                  <w:marRight w:val="1"/>
                  <w:marTop w:val="0"/>
                  <w:marBottom w:val="0"/>
                  <w:divBdr>
                    <w:top w:val="none" w:sz="0" w:space="0" w:color="auto"/>
                    <w:left w:val="none" w:sz="0" w:space="0" w:color="auto"/>
                    <w:bottom w:val="none" w:sz="0" w:space="0" w:color="auto"/>
                    <w:right w:val="none" w:sz="0" w:space="0" w:color="auto"/>
                  </w:divBdr>
                  <w:divsChild>
                    <w:div w:id="693309006">
                      <w:marLeft w:val="0"/>
                      <w:marRight w:val="0"/>
                      <w:marTop w:val="0"/>
                      <w:marBottom w:val="0"/>
                      <w:divBdr>
                        <w:top w:val="none" w:sz="0" w:space="0" w:color="auto"/>
                        <w:left w:val="none" w:sz="0" w:space="0" w:color="auto"/>
                        <w:bottom w:val="none" w:sz="0" w:space="0" w:color="auto"/>
                        <w:right w:val="none" w:sz="0" w:space="0" w:color="auto"/>
                      </w:divBdr>
                      <w:divsChild>
                        <w:div w:id="360206506">
                          <w:marLeft w:val="0"/>
                          <w:marRight w:val="0"/>
                          <w:marTop w:val="0"/>
                          <w:marBottom w:val="0"/>
                          <w:divBdr>
                            <w:top w:val="none" w:sz="0" w:space="0" w:color="auto"/>
                            <w:left w:val="none" w:sz="0" w:space="0" w:color="auto"/>
                            <w:bottom w:val="none" w:sz="0" w:space="0" w:color="auto"/>
                            <w:right w:val="none" w:sz="0" w:space="0" w:color="auto"/>
                          </w:divBdr>
                          <w:divsChild>
                            <w:div w:id="446579944">
                              <w:marLeft w:val="0"/>
                              <w:marRight w:val="0"/>
                              <w:marTop w:val="120"/>
                              <w:marBottom w:val="360"/>
                              <w:divBdr>
                                <w:top w:val="none" w:sz="0" w:space="0" w:color="auto"/>
                                <w:left w:val="none" w:sz="0" w:space="0" w:color="auto"/>
                                <w:bottom w:val="none" w:sz="0" w:space="0" w:color="auto"/>
                                <w:right w:val="none" w:sz="0" w:space="0" w:color="auto"/>
                              </w:divBdr>
                              <w:divsChild>
                                <w:div w:id="1135610261">
                                  <w:marLeft w:val="0"/>
                                  <w:marRight w:val="0"/>
                                  <w:marTop w:val="0"/>
                                  <w:marBottom w:val="0"/>
                                  <w:divBdr>
                                    <w:top w:val="none" w:sz="0" w:space="0" w:color="auto"/>
                                    <w:left w:val="none" w:sz="0" w:space="0" w:color="auto"/>
                                    <w:bottom w:val="none" w:sz="0" w:space="0" w:color="auto"/>
                                    <w:right w:val="none" w:sz="0" w:space="0" w:color="auto"/>
                                  </w:divBdr>
                                  <w:divsChild>
                                    <w:div w:id="8904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372803">
      <w:bodyDiv w:val="1"/>
      <w:marLeft w:val="0"/>
      <w:marRight w:val="0"/>
      <w:marTop w:val="0"/>
      <w:marBottom w:val="0"/>
      <w:divBdr>
        <w:top w:val="none" w:sz="0" w:space="0" w:color="auto"/>
        <w:left w:val="none" w:sz="0" w:space="0" w:color="auto"/>
        <w:bottom w:val="none" w:sz="0" w:space="0" w:color="auto"/>
        <w:right w:val="none" w:sz="0" w:space="0" w:color="auto"/>
      </w:divBdr>
    </w:div>
    <w:div w:id="416513357">
      <w:bodyDiv w:val="1"/>
      <w:marLeft w:val="0"/>
      <w:marRight w:val="0"/>
      <w:marTop w:val="0"/>
      <w:marBottom w:val="0"/>
      <w:divBdr>
        <w:top w:val="none" w:sz="0" w:space="0" w:color="auto"/>
        <w:left w:val="none" w:sz="0" w:space="0" w:color="auto"/>
        <w:bottom w:val="none" w:sz="0" w:space="0" w:color="auto"/>
        <w:right w:val="none" w:sz="0" w:space="0" w:color="auto"/>
      </w:divBdr>
      <w:divsChild>
        <w:div w:id="629896691">
          <w:marLeft w:val="0"/>
          <w:marRight w:val="1"/>
          <w:marTop w:val="0"/>
          <w:marBottom w:val="0"/>
          <w:divBdr>
            <w:top w:val="none" w:sz="0" w:space="0" w:color="auto"/>
            <w:left w:val="none" w:sz="0" w:space="0" w:color="auto"/>
            <w:bottom w:val="none" w:sz="0" w:space="0" w:color="auto"/>
            <w:right w:val="none" w:sz="0" w:space="0" w:color="auto"/>
          </w:divBdr>
          <w:divsChild>
            <w:div w:id="1152214030">
              <w:marLeft w:val="0"/>
              <w:marRight w:val="0"/>
              <w:marTop w:val="0"/>
              <w:marBottom w:val="0"/>
              <w:divBdr>
                <w:top w:val="none" w:sz="0" w:space="0" w:color="auto"/>
                <w:left w:val="none" w:sz="0" w:space="0" w:color="auto"/>
                <w:bottom w:val="none" w:sz="0" w:space="0" w:color="auto"/>
                <w:right w:val="none" w:sz="0" w:space="0" w:color="auto"/>
              </w:divBdr>
              <w:divsChild>
                <w:div w:id="100343064">
                  <w:marLeft w:val="0"/>
                  <w:marRight w:val="1"/>
                  <w:marTop w:val="0"/>
                  <w:marBottom w:val="0"/>
                  <w:divBdr>
                    <w:top w:val="none" w:sz="0" w:space="0" w:color="auto"/>
                    <w:left w:val="none" w:sz="0" w:space="0" w:color="auto"/>
                    <w:bottom w:val="none" w:sz="0" w:space="0" w:color="auto"/>
                    <w:right w:val="none" w:sz="0" w:space="0" w:color="auto"/>
                  </w:divBdr>
                  <w:divsChild>
                    <w:div w:id="1054239568">
                      <w:marLeft w:val="0"/>
                      <w:marRight w:val="0"/>
                      <w:marTop w:val="0"/>
                      <w:marBottom w:val="0"/>
                      <w:divBdr>
                        <w:top w:val="none" w:sz="0" w:space="0" w:color="auto"/>
                        <w:left w:val="none" w:sz="0" w:space="0" w:color="auto"/>
                        <w:bottom w:val="none" w:sz="0" w:space="0" w:color="auto"/>
                        <w:right w:val="none" w:sz="0" w:space="0" w:color="auto"/>
                      </w:divBdr>
                      <w:divsChild>
                        <w:div w:id="680354246">
                          <w:marLeft w:val="0"/>
                          <w:marRight w:val="0"/>
                          <w:marTop w:val="0"/>
                          <w:marBottom w:val="0"/>
                          <w:divBdr>
                            <w:top w:val="none" w:sz="0" w:space="0" w:color="auto"/>
                            <w:left w:val="none" w:sz="0" w:space="0" w:color="auto"/>
                            <w:bottom w:val="none" w:sz="0" w:space="0" w:color="auto"/>
                            <w:right w:val="none" w:sz="0" w:space="0" w:color="auto"/>
                          </w:divBdr>
                          <w:divsChild>
                            <w:div w:id="1205408613">
                              <w:marLeft w:val="0"/>
                              <w:marRight w:val="0"/>
                              <w:marTop w:val="0"/>
                              <w:marBottom w:val="0"/>
                              <w:divBdr>
                                <w:top w:val="none" w:sz="0" w:space="0" w:color="auto"/>
                                <w:left w:val="none" w:sz="0" w:space="0" w:color="auto"/>
                                <w:bottom w:val="none" w:sz="0" w:space="0" w:color="auto"/>
                                <w:right w:val="none" w:sz="0" w:space="0" w:color="auto"/>
                              </w:divBdr>
                            </w:div>
                          </w:divsChild>
                        </w:div>
                        <w:div w:id="428549674">
                          <w:marLeft w:val="0"/>
                          <w:marRight w:val="0"/>
                          <w:marTop w:val="0"/>
                          <w:marBottom w:val="0"/>
                          <w:divBdr>
                            <w:top w:val="none" w:sz="0" w:space="0" w:color="auto"/>
                            <w:left w:val="none" w:sz="0" w:space="0" w:color="auto"/>
                            <w:bottom w:val="none" w:sz="0" w:space="0" w:color="auto"/>
                            <w:right w:val="none" w:sz="0" w:space="0" w:color="auto"/>
                          </w:divBdr>
                          <w:divsChild>
                            <w:div w:id="1213693081">
                              <w:marLeft w:val="0"/>
                              <w:marRight w:val="0"/>
                              <w:marTop w:val="120"/>
                              <w:marBottom w:val="360"/>
                              <w:divBdr>
                                <w:top w:val="none" w:sz="0" w:space="0" w:color="auto"/>
                                <w:left w:val="none" w:sz="0" w:space="0" w:color="auto"/>
                                <w:bottom w:val="none" w:sz="0" w:space="0" w:color="auto"/>
                                <w:right w:val="none" w:sz="0" w:space="0" w:color="auto"/>
                              </w:divBdr>
                              <w:divsChild>
                                <w:div w:id="189152168">
                                  <w:marLeft w:val="0"/>
                                  <w:marRight w:val="0"/>
                                  <w:marTop w:val="0"/>
                                  <w:marBottom w:val="0"/>
                                  <w:divBdr>
                                    <w:top w:val="none" w:sz="0" w:space="0" w:color="auto"/>
                                    <w:left w:val="none" w:sz="0" w:space="0" w:color="auto"/>
                                    <w:bottom w:val="none" w:sz="0" w:space="0" w:color="auto"/>
                                    <w:right w:val="none" w:sz="0" w:space="0" w:color="auto"/>
                                  </w:divBdr>
                                </w:div>
                                <w:div w:id="9575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482670">
      <w:bodyDiv w:val="1"/>
      <w:marLeft w:val="0"/>
      <w:marRight w:val="0"/>
      <w:marTop w:val="0"/>
      <w:marBottom w:val="0"/>
      <w:divBdr>
        <w:top w:val="none" w:sz="0" w:space="0" w:color="auto"/>
        <w:left w:val="none" w:sz="0" w:space="0" w:color="auto"/>
        <w:bottom w:val="none" w:sz="0" w:space="0" w:color="auto"/>
        <w:right w:val="none" w:sz="0" w:space="0" w:color="auto"/>
      </w:divBdr>
    </w:div>
    <w:div w:id="489367473">
      <w:bodyDiv w:val="1"/>
      <w:marLeft w:val="0"/>
      <w:marRight w:val="0"/>
      <w:marTop w:val="0"/>
      <w:marBottom w:val="0"/>
      <w:divBdr>
        <w:top w:val="none" w:sz="0" w:space="0" w:color="auto"/>
        <w:left w:val="none" w:sz="0" w:space="0" w:color="auto"/>
        <w:bottom w:val="none" w:sz="0" w:space="0" w:color="auto"/>
        <w:right w:val="none" w:sz="0" w:space="0" w:color="auto"/>
      </w:divBdr>
    </w:div>
    <w:div w:id="497577653">
      <w:bodyDiv w:val="1"/>
      <w:marLeft w:val="0"/>
      <w:marRight w:val="0"/>
      <w:marTop w:val="0"/>
      <w:marBottom w:val="0"/>
      <w:divBdr>
        <w:top w:val="none" w:sz="0" w:space="0" w:color="auto"/>
        <w:left w:val="none" w:sz="0" w:space="0" w:color="auto"/>
        <w:bottom w:val="none" w:sz="0" w:space="0" w:color="auto"/>
        <w:right w:val="none" w:sz="0" w:space="0" w:color="auto"/>
      </w:divBdr>
    </w:div>
    <w:div w:id="545222764">
      <w:bodyDiv w:val="1"/>
      <w:marLeft w:val="0"/>
      <w:marRight w:val="0"/>
      <w:marTop w:val="0"/>
      <w:marBottom w:val="0"/>
      <w:divBdr>
        <w:top w:val="none" w:sz="0" w:space="0" w:color="auto"/>
        <w:left w:val="none" w:sz="0" w:space="0" w:color="auto"/>
        <w:bottom w:val="none" w:sz="0" w:space="0" w:color="auto"/>
        <w:right w:val="none" w:sz="0" w:space="0" w:color="auto"/>
      </w:divBdr>
    </w:div>
    <w:div w:id="550724976">
      <w:bodyDiv w:val="1"/>
      <w:marLeft w:val="0"/>
      <w:marRight w:val="0"/>
      <w:marTop w:val="0"/>
      <w:marBottom w:val="0"/>
      <w:divBdr>
        <w:top w:val="none" w:sz="0" w:space="0" w:color="auto"/>
        <w:left w:val="none" w:sz="0" w:space="0" w:color="auto"/>
        <w:bottom w:val="none" w:sz="0" w:space="0" w:color="auto"/>
        <w:right w:val="none" w:sz="0" w:space="0" w:color="auto"/>
      </w:divBdr>
    </w:div>
    <w:div w:id="565259176">
      <w:bodyDiv w:val="1"/>
      <w:marLeft w:val="0"/>
      <w:marRight w:val="0"/>
      <w:marTop w:val="0"/>
      <w:marBottom w:val="0"/>
      <w:divBdr>
        <w:top w:val="none" w:sz="0" w:space="0" w:color="auto"/>
        <w:left w:val="none" w:sz="0" w:space="0" w:color="auto"/>
        <w:bottom w:val="none" w:sz="0" w:space="0" w:color="auto"/>
        <w:right w:val="none" w:sz="0" w:space="0" w:color="auto"/>
      </w:divBdr>
    </w:div>
    <w:div w:id="576981271">
      <w:bodyDiv w:val="1"/>
      <w:marLeft w:val="0"/>
      <w:marRight w:val="0"/>
      <w:marTop w:val="0"/>
      <w:marBottom w:val="0"/>
      <w:divBdr>
        <w:top w:val="none" w:sz="0" w:space="0" w:color="auto"/>
        <w:left w:val="none" w:sz="0" w:space="0" w:color="auto"/>
        <w:bottom w:val="none" w:sz="0" w:space="0" w:color="auto"/>
        <w:right w:val="none" w:sz="0" w:space="0" w:color="auto"/>
      </w:divBdr>
    </w:div>
    <w:div w:id="591280476">
      <w:bodyDiv w:val="1"/>
      <w:marLeft w:val="0"/>
      <w:marRight w:val="0"/>
      <w:marTop w:val="0"/>
      <w:marBottom w:val="0"/>
      <w:divBdr>
        <w:top w:val="none" w:sz="0" w:space="0" w:color="auto"/>
        <w:left w:val="none" w:sz="0" w:space="0" w:color="auto"/>
        <w:bottom w:val="none" w:sz="0" w:space="0" w:color="auto"/>
        <w:right w:val="none" w:sz="0" w:space="0" w:color="auto"/>
      </w:divBdr>
      <w:divsChild>
        <w:div w:id="1923642203">
          <w:marLeft w:val="0"/>
          <w:marRight w:val="1"/>
          <w:marTop w:val="0"/>
          <w:marBottom w:val="0"/>
          <w:divBdr>
            <w:top w:val="none" w:sz="0" w:space="0" w:color="auto"/>
            <w:left w:val="none" w:sz="0" w:space="0" w:color="auto"/>
            <w:bottom w:val="none" w:sz="0" w:space="0" w:color="auto"/>
            <w:right w:val="none" w:sz="0" w:space="0" w:color="auto"/>
          </w:divBdr>
          <w:divsChild>
            <w:div w:id="1592083157">
              <w:marLeft w:val="0"/>
              <w:marRight w:val="0"/>
              <w:marTop w:val="0"/>
              <w:marBottom w:val="0"/>
              <w:divBdr>
                <w:top w:val="none" w:sz="0" w:space="0" w:color="auto"/>
                <w:left w:val="none" w:sz="0" w:space="0" w:color="auto"/>
                <w:bottom w:val="none" w:sz="0" w:space="0" w:color="auto"/>
                <w:right w:val="none" w:sz="0" w:space="0" w:color="auto"/>
              </w:divBdr>
              <w:divsChild>
                <w:div w:id="758138143">
                  <w:marLeft w:val="0"/>
                  <w:marRight w:val="1"/>
                  <w:marTop w:val="0"/>
                  <w:marBottom w:val="0"/>
                  <w:divBdr>
                    <w:top w:val="none" w:sz="0" w:space="0" w:color="auto"/>
                    <w:left w:val="none" w:sz="0" w:space="0" w:color="auto"/>
                    <w:bottom w:val="none" w:sz="0" w:space="0" w:color="auto"/>
                    <w:right w:val="none" w:sz="0" w:space="0" w:color="auto"/>
                  </w:divBdr>
                  <w:divsChild>
                    <w:div w:id="322856438">
                      <w:marLeft w:val="0"/>
                      <w:marRight w:val="0"/>
                      <w:marTop w:val="0"/>
                      <w:marBottom w:val="0"/>
                      <w:divBdr>
                        <w:top w:val="none" w:sz="0" w:space="0" w:color="auto"/>
                        <w:left w:val="none" w:sz="0" w:space="0" w:color="auto"/>
                        <w:bottom w:val="none" w:sz="0" w:space="0" w:color="auto"/>
                        <w:right w:val="none" w:sz="0" w:space="0" w:color="auto"/>
                      </w:divBdr>
                      <w:divsChild>
                        <w:div w:id="1734156561">
                          <w:marLeft w:val="0"/>
                          <w:marRight w:val="0"/>
                          <w:marTop w:val="0"/>
                          <w:marBottom w:val="0"/>
                          <w:divBdr>
                            <w:top w:val="none" w:sz="0" w:space="0" w:color="auto"/>
                            <w:left w:val="none" w:sz="0" w:space="0" w:color="auto"/>
                            <w:bottom w:val="none" w:sz="0" w:space="0" w:color="auto"/>
                            <w:right w:val="none" w:sz="0" w:space="0" w:color="auto"/>
                          </w:divBdr>
                          <w:divsChild>
                            <w:div w:id="2142190932">
                              <w:marLeft w:val="0"/>
                              <w:marRight w:val="0"/>
                              <w:marTop w:val="120"/>
                              <w:marBottom w:val="360"/>
                              <w:divBdr>
                                <w:top w:val="none" w:sz="0" w:space="0" w:color="auto"/>
                                <w:left w:val="none" w:sz="0" w:space="0" w:color="auto"/>
                                <w:bottom w:val="none" w:sz="0" w:space="0" w:color="auto"/>
                                <w:right w:val="none" w:sz="0" w:space="0" w:color="auto"/>
                              </w:divBdr>
                              <w:divsChild>
                                <w:div w:id="41877509">
                                  <w:marLeft w:val="0"/>
                                  <w:marRight w:val="0"/>
                                  <w:marTop w:val="0"/>
                                  <w:marBottom w:val="0"/>
                                  <w:divBdr>
                                    <w:top w:val="none" w:sz="0" w:space="0" w:color="auto"/>
                                    <w:left w:val="none" w:sz="0" w:space="0" w:color="auto"/>
                                    <w:bottom w:val="none" w:sz="0" w:space="0" w:color="auto"/>
                                    <w:right w:val="none" w:sz="0" w:space="0" w:color="auto"/>
                                  </w:divBdr>
                                </w:div>
                                <w:div w:id="119519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037911">
      <w:bodyDiv w:val="1"/>
      <w:marLeft w:val="0"/>
      <w:marRight w:val="0"/>
      <w:marTop w:val="0"/>
      <w:marBottom w:val="0"/>
      <w:divBdr>
        <w:top w:val="none" w:sz="0" w:space="0" w:color="auto"/>
        <w:left w:val="none" w:sz="0" w:space="0" w:color="auto"/>
        <w:bottom w:val="none" w:sz="0" w:space="0" w:color="auto"/>
        <w:right w:val="none" w:sz="0" w:space="0" w:color="auto"/>
      </w:divBdr>
      <w:divsChild>
        <w:div w:id="947196193">
          <w:marLeft w:val="0"/>
          <w:marRight w:val="1"/>
          <w:marTop w:val="0"/>
          <w:marBottom w:val="0"/>
          <w:divBdr>
            <w:top w:val="none" w:sz="0" w:space="0" w:color="auto"/>
            <w:left w:val="none" w:sz="0" w:space="0" w:color="auto"/>
            <w:bottom w:val="none" w:sz="0" w:space="0" w:color="auto"/>
            <w:right w:val="none" w:sz="0" w:space="0" w:color="auto"/>
          </w:divBdr>
          <w:divsChild>
            <w:div w:id="1196193111">
              <w:marLeft w:val="0"/>
              <w:marRight w:val="0"/>
              <w:marTop w:val="0"/>
              <w:marBottom w:val="0"/>
              <w:divBdr>
                <w:top w:val="none" w:sz="0" w:space="0" w:color="auto"/>
                <w:left w:val="none" w:sz="0" w:space="0" w:color="auto"/>
                <w:bottom w:val="none" w:sz="0" w:space="0" w:color="auto"/>
                <w:right w:val="none" w:sz="0" w:space="0" w:color="auto"/>
              </w:divBdr>
              <w:divsChild>
                <w:div w:id="2139954560">
                  <w:marLeft w:val="0"/>
                  <w:marRight w:val="1"/>
                  <w:marTop w:val="0"/>
                  <w:marBottom w:val="0"/>
                  <w:divBdr>
                    <w:top w:val="none" w:sz="0" w:space="0" w:color="auto"/>
                    <w:left w:val="none" w:sz="0" w:space="0" w:color="auto"/>
                    <w:bottom w:val="none" w:sz="0" w:space="0" w:color="auto"/>
                    <w:right w:val="none" w:sz="0" w:space="0" w:color="auto"/>
                  </w:divBdr>
                  <w:divsChild>
                    <w:div w:id="1476142012">
                      <w:marLeft w:val="0"/>
                      <w:marRight w:val="0"/>
                      <w:marTop w:val="0"/>
                      <w:marBottom w:val="0"/>
                      <w:divBdr>
                        <w:top w:val="none" w:sz="0" w:space="0" w:color="auto"/>
                        <w:left w:val="none" w:sz="0" w:space="0" w:color="auto"/>
                        <w:bottom w:val="none" w:sz="0" w:space="0" w:color="auto"/>
                        <w:right w:val="none" w:sz="0" w:space="0" w:color="auto"/>
                      </w:divBdr>
                      <w:divsChild>
                        <w:div w:id="1431198662">
                          <w:marLeft w:val="0"/>
                          <w:marRight w:val="0"/>
                          <w:marTop w:val="0"/>
                          <w:marBottom w:val="0"/>
                          <w:divBdr>
                            <w:top w:val="none" w:sz="0" w:space="0" w:color="auto"/>
                            <w:left w:val="none" w:sz="0" w:space="0" w:color="auto"/>
                            <w:bottom w:val="none" w:sz="0" w:space="0" w:color="auto"/>
                            <w:right w:val="none" w:sz="0" w:space="0" w:color="auto"/>
                          </w:divBdr>
                          <w:divsChild>
                            <w:div w:id="1854954398">
                              <w:marLeft w:val="0"/>
                              <w:marRight w:val="0"/>
                              <w:marTop w:val="120"/>
                              <w:marBottom w:val="360"/>
                              <w:divBdr>
                                <w:top w:val="none" w:sz="0" w:space="0" w:color="auto"/>
                                <w:left w:val="none" w:sz="0" w:space="0" w:color="auto"/>
                                <w:bottom w:val="none" w:sz="0" w:space="0" w:color="auto"/>
                                <w:right w:val="none" w:sz="0" w:space="0" w:color="auto"/>
                              </w:divBdr>
                              <w:divsChild>
                                <w:div w:id="2033215665">
                                  <w:marLeft w:val="420"/>
                                  <w:marRight w:val="0"/>
                                  <w:marTop w:val="0"/>
                                  <w:marBottom w:val="0"/>
                                  <w:divBdr>
                                    <w:top w:val="none" w:sz="0" w:space="0" w:color="auto"/>
                                    <w:left w:val="none" w:sz="0" w:space="0" w:color="auto"/>
                                    <w:bottom w:val="none" w:sz="0" w:space="0" w:color="auto"/>
                                    <w:right w:val="none" w:sz="0" w:space="0" w:color="auto"/>
                                  </w:divBdr>
                                  <w:divsChild>
                                    <w:div w:id="1112627803">
                                      <w:marLeft w:val="0"/>
                                      <w:marRight w:val="0"/>
                                      <w:marTop w:val="0"/>
                                      <w:marBottom w:val="0"/>
                                      <w:divBdr>
                                        <w:top w:val="none" w:sz="0" w:space="0" w:color="auto"/>
                                        <w:left w:val="none" w:sz="0" w:space="0" w:color="auto"/>
                                        <w:bottom w:val="none" w:sz="0" w:space="0" w:color="auto"/>
                                        <w:right w:val="none" w:sz="0" w:space="0" w:color="auto"/>
                                      </w:divBdr>
                                      <w:divsChild>
                                        <w:div w:id="20747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992008">
      <w:bodyDiv w:val="1"/>
      <w:marLeft w:val="0"/>
      <w:marRight w:val="0"/>
      <w:marTop w:val="0"/>
      <w:marBottom w:val="0"/>
      <w:divBdr>
        <w:top w:val="none" w:sz="0" w:space="0" w:color="auto"/>
        <w:left w:val="none" w:sz="0" w:space="0" w:color="auto"/>
        <w:bottom w:val="none" w:sz="0" w:space="0" w:color="auto"/>
        <w:right w:val="none" w:sz="0" w:space="0" w:color="auto"/>
      </w:divBdr>
    </w:div>
    <w:div w:id="642585166">
      <w:bodyDiv w:val="1"/>
      <w:marLeft w:val="0"/>
      <w:marRight w:val="0"/>
      <w:marTop w:val="0"/>
      <w:marBottom w:val="0"/>
      <w:divBdr>
        <w:top w:val="none" w:sz="0" w:space="0" w:color="auto"/>
        <w:left w:val="none" w:sz="0" w:space="0" w:color="auto"/>
        <w:bottom w:val="none" w:sz="0" w:space="0" w:color="auto"/>
        <w:right w:val="none" w:sz="0" w:space="0" w:color="auto"/>
      </w:divBdr>
      <w:divsChild>
        <w:div w:id="20057343">
          <w:marLeft w:val="0"/>
          <w:marRight w:val="1"/>
          <w:marTop w:val="0"/>
          <w:marBottom w:val="0"/>
          <w:divBdr>
            <w:top w:val="none" w:sz="0" w:space="0" w:color="auto"/>
            <w:left w:val="none" w:sz="0" w:space="0" w:color="auto"/>
            <w:bottom w:val="none" w:sz="0" w:space="0" w:color="auto"/>
            <w:right w:val="none" w:sz="0" w:space="0" w:color="auto"/>
          </w:divBdr>
          <w:divsChild>
            <w:div w:id="597099827">
              <w:marLeft w:val="0"/>
              <w:marRight w:val="0"/>
              <w:marTop w:val="0"/>
              <w:marBottom w:val="0"/>
              <w:divBdr>
                <w:top w:val="none" w:sz="0" w:space="0" w:color="auto"/>
                <w:left w:val="none" w:sz="0" w:space="0" w:color="auto"/>
                <w:bottom w:val="none" w:sz="0" w:space="0" w:color="auto"/>
                <w:right w:val="none" w:sz="0" w:space="0" w:color="auto"/>
              </w:divBdr>
              <w:divsChild>
                <w:div w:id="1862157521">
                  <w:marLeft w:val="0"/>
                  <w:marRight w:val="1"/>
                  <w:marTop w:val="0"/>
                  <w:marBottom w:val="0"/>
                  <w:divBdr>
                    <w:top w:val="none" w:sz="0" w:space="0" w:color="auto"/>
                    <w:left w:val="none" w:sz="0" w:space="0" w:color="auto"/>
                    <w:bottom w:val="none" w:sz="0" w:space="0" w:color="auto"/>
                    <w:right w:val="none" w:sz="0" w:space="0" w:color="auto"/>
                  </w:divBdr>
                  <w:divsChild>
                    <w:div w:id="1346060172">
                      <w:marLeft w:val="0"/>
                      <w:marRight w:val="0"/>
                      <w:marTop w:val="0"/>
                      <w:marBottom w:val="0"/>
                      <w:divBdr>
                        <w:top w:val="none" w:sz="0" w:space="0" w:color="auto"/>
                        <w:left w:val="none" w:sz="0" w:space="0" w:color="auto"/>
                        <w:bottom w:val="none" w:sz="0" w:space="0" w:color="auto"/>
                        <w:right w:val="none" w:sz="0" w:space="0" w:color="auto"/>
                      </w:divBdr>
                      <w:divsChild>
                        <w:div w:id="1380125205">
                          <w:marLeft w:val="0"/>
                          <w:marRight w:val="0"/>
                          <w:marTop w:val="0"/>
                          <w:marBottom w:val="0"/>
                          <w:divBdr>
                            <w:top w:val="none" w:sz="0" w:space="0" w:color="auto"/>
                            <w:left w:val="none" w:sz="0" w:space="0" w:color="auto"/>
                            <w:bottom w:val="none" w:sz="0" w:space="0" w:color="auto"/>
                            <w:right w:val="none" w:sz="0" w:space="0" w:color="auto"/>
                          </w:divBdr>
                          <w:divsChild>
                            <w:div w:id="1834493026">
                              <w:marLeft w:val="0"/>
                              <w:marRight w:val="0"/>
                              <w:marTop w:val="120"/>
                              <w:marBottom w:val="360"/>
                              <w:divBdr>
                                <w:top w:val="none" w:sz="0" w:space="0" w:color="auto"/>
                                <w:left w:val="none" w:sz="0" w:space="0" w:color="auto"/>
                                <w:bottom w:val="none" w:sz="0" w:space="0" w:color="auto"/>
                                <w:right w:val="none" w:sz="0" w:space="0" w:color="auto"/>
                              </w:divBdr>
                              <w:divsChild>
                                <w:div w:id="845824662">
                                  <w:marLeft w:val="0"/>
                                  <w:marRight w:val="0"/>
                                  <w:marTop w:val="0"/>
                                  <w:marBottom w:val="0"/>
                                  <w:divBdr>
                                    <w:top w:val="none" w:sz="0" w:space="0" w:color="auto"/>
                                    <w:left w:val="none" w:sz="0" w:space="0" w:color="auto"/>
                                    <w:bottom w:val="none" w:sz="0" w:space="0" w:color="auto"/>
                                    <w:right w:val="none" w:sz="0" w:space="0" w:color="auto"/>
                                  </w:divBdr>
                                </w:div>
                                <w:div w:id="37338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497415">
      <w:bodyDiv w:val="1"/>
      <w:marLeft w:val="0"/>
      <w:marRight w:val="0"/>
      <w:marTop w:val="0"/>
      <w:marBottom w:val="0"/>
      <w:divBdr>
        <w:top w:val="none" w:sz="0" w:space="0" w:color="auto"/>
        <w:left w:val="none" w:sz="0" w:space="0" w:color="auto"/>
        <w:bottom w:val="none" w:sz="0" w:space="0" w:color="auto"/>
        <w:right w:val="none" w:sz="0" w:space="0" w:color="auto"/>
      </w:divBdr>
    </w:div>
    <w:div w:id="683216581">
      <w:bodyDiv w:val="1"/>
      <w:marLeft w:val="0"/>
      <w:marRight w:val="0"/>
      <w:marTop w:val="0"/>
      <w:marBottom w:val="0"/>
      <w:divBdr>
        <w:top w:val="none" w:sz="0" w:space="0" w:color="auto"/>
        <w:left w:val="none" w:sz="0" w:space="0" w:color="auto"/>
        <w:bottom w:val="none" w:sz="0" w:space="0" w:color="auto"/>
        <w:right w:val="none" w:sz="0" w:space="0" w:color="auto"/>
      </w:divBdr>
      <w:divsChild>
        <w:div w:id="188952597">
          <w:marLeft w:val="0"/>
          <w:marRight w:val="1"/>
          <w:marTop w:val="0"/>
          <w:marBottom w:val="0"/>
          <w:divBdr>
            <w:top w:val="none" w:sz="0" w:space="0" w:color="auto"/>
            <w:left w:val="none" w:sz="0" w:space="0" w:color="auto"/>
            <w:bottom w:val="none" w:sz="0" w:space="0" w:color="auto"/>
            <w:right w:val="none" w:sz="0" w:space="0" w:color="auto"/>
          </w:divBdr>
          <w:divsChild>
            <w:div w:id="1373771628">
              <w:marLeft w:val="0"/>
              <w:marRight w:val="0"/>
              <w:marTop w:val="0"/>
              <w:marBottom w:val="0"/>
              <w:divBdr>
                <w:top w:val="none" w:sz="0" w:space="0" w:color="auto"/>
                <w:left w:val="none" w:sz="0" w:space="0" w:color="auto"/>
                <w:bottom w:val="none" w:sz="0" w:space="0" w:color="auto"/>
                <w:right w:val="none" w:sz="0" w:space="0" w:color="auto"/>
              </w:divBdr>
              <w:divsChild>
                <w:div w:id="560167686">
                  <w:marLeft w:val="0"/>
                  <w:marRight w:val="1"/>
                  <w:marTop w:val="0"/>
                  <w:marBottom w:val="0"/>
                  <w:divBdr>
                    <w:top w:val="none" w:sz="0" w:space="0" w:color="auto"/>
                    <w:left w:val="none" w:sz="0" w:space="0" w:color="auto"/>
                    <w:bottom w:val="none" w:sz="0" w:space="0" w:color="auto"/>
                    <w:right w:val="none" w:sz="0" w:space="0" w:color="auto"/>
                  </w:divBdr>
                  <w:divsChild>
                    <w:div w:id="254440213">
                      <w:marLeft w:val="0"/>
                      <w:marRight w:val="0"/>
                      <w:marTop w:val="0"/>
                      <w:marBottom w:val="0"/>
                      <w:divBdr>
                        <w:top w:val="none" w:sz="0" w:space="0" w:color="auto"/>
                        <w:left w:val="none" w:sz="0" w:space="0" w:color="auto"/>
                        <w:bottom w:val="none" w:sz="0" w:space="0" w:color="auto"/>
                        <w:right w:val="none" w:sz="0" w:space="0" w:color="auto"/>
                      </w:divBdr>
                      <w:divsChild>
                        <w:div w:id="1221360712">
                          <w:marLeft w:val="0"/>
                          <w:marRight w:val="0"/>
                          <w:marTop w:val="0"/>
                          <w:marBottom w:val="0"/>
                          <w:divBdr>
                            <w:top w:val="none" w:sz="0" w:space="0" w:color="auto"/>
                            <w:left w:val="none" w:sz="0" w:space="0" w:color="auto"/>
                            <w:bottom w:val="none" w:sz="0" w:space="0" w:color="auto"/>
                            <w:right w:val="none" w:sz="0" w:space="0" w:color="auto"/>
                          </w:divBdr>
                          <w:divsChild>
                            <w:div w:id="915675626">
                              <w:marLeft w:val="0"/>
                              <w:marRight w:val="0"/>
                              <w:marTop w:val="120"/>
                              <w:marBottom w:val="360"/>
                              <w:divBdr>
                                <w:top w:val="none" w:sz="0" w:space="0" w:color="auto"/>
                                <w:left w:val="none" w:sz="0" w:space="0" w:color="auto"/>
                                <w:bottom w:val="none" w:sz="0" w:space="0" w:color="auto"/>
                                <w:right w:val="none" w:sz="0" w:space="0" w:color="auto"/>
                              </w:divBdr>
                              <w:divsChild>
                                <w:div w:id="228156231">
                                  <w:marLeft w:val="0"/>
                                  <w:marRight w:val="0"/>
                                  <w:marTop w:val="0"/>
                                  <w:marBottom w:val="0"/>
                                  <w:divBdr>
                                    <w:top w:val="none" w:sz="0" w:space="0" w:color="auto"/>
                                    <w:left w:val="none" w:sz="0" w:space="0" w:color="auto"/>
                                    <w:bottom w:val="none" w:sz="0" w:space="0" w:color="auto"/>
                                    <w:right w:val="none" w:sz="0" w:space="0" w:color="auto"/>
                                  </w:divBdr>
                                  <w:divsChild>
                                    <w:div w:id="777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569851">
      <w:bodyDiv w:val="1"/>
      <w:marLeft w:val="0"/>
      <w:marRight w:val="0"/>
      <w:marTop w:val="0"/>
      <w:marBottom w:val="0"/>
      <w:divBdr>
        <w:top w:val="none" w:sz="0" w:space="0" w:color="auto"/>
        <w:left w:val="none" w:sz="0" w:space="0" w:color="auto"/>
        <w:bottom w:val="none" w:sz="0" w:space="0" w:color="auto"/>
        <w:right w:val="none" w:sz="0" w:space="0" w:color="auto"/>
      </w:divBdr>
      <w:divsChild>
        <w:div w:id="1156994976">
          <w:marLeft w:val="0"/>
          <w:marRight w:val="1"/>
          <w:marTop w:val="0"/>
          <w:marBottom w:val="0"/>
          <w:divBdr>
            <w:top w:val="none" w:sz="0" w:space="0" w:color="auto"/>
            <w:left w:val="none" w:sz="0" w:space="0" w:color="auto"/>
            <w:bottom w:val="none" w:sz="0" w:space="0" w:color="auto"/>
            <w:right w:val="none" w:sz="0" w:space="0" w:color="auto"/>
          </w:divBdr>
          <w:divsChild>
            <w:div w:id="126899418">
              <w:marLeft w:val="0"/>
              <w:marRight w:val="0"/>
              <w:marTop w:val="0"/>
              <w:marBottom w:val="0"/>
              <w:divBdr>
                <w:top w:val="none" w:sz="0" w:space="0" w:color="auto"/>
                <w:left w:val="none" w:sz="0" w:space="0" w:color="auto"/>
                <w:bottom w:val="none" w:sz="0" w:space="0" w:color="auto"/>
                <w:right w:val="none" w:sz="0" w:space="0" w:color="auto"/>
              </w:divBdr>
              <w:divsChild>
                <w:div w:id="479267864">
                  <w:marLeft w:val="0"/>
                  <w:marRight w:val="1"/>
                  <w:marTop w:val="0"/>
                  <w:marBottom w:val="0"/>
                  <w:divBdr>
                    <w:top w:val="none" w:sz="0" w:space="0" w:color="auto"/>
                    <w:left w:val="none" w:sz="0" w:space="0" w:color="auto"/>
                    <w:bottom w:val="none" w:sz="0" w:space="0" w:color="auto"/>
                    <w:right w:val="none" w:sz="0" w:space="0" w:color="auto"/>
                  </w:divBdr>
                  <w:divsChild>
                    <w:div w:id="111362036">
                      <w:marLeft w:val="0"/>
                      <w:marRight w:val="0"/>
                      <w:marTop w:val="0"/>
                      <w:marBottom w:val="0"/>
                      <w:divBdr>
                        <w:top w:val="none" w:sz="0" w:space="0" w:color="auto"/>
                        <w:left w:val="none" w:sz="0" w:space="0" w:color="auto"/>
                        <w:bottom w:val="none" w:sz="0" w:space="0" w:color="auto"/>
                        <w:right w:val="none" w:sz="0" w:space="0" w:color="auto"/>
                      </w:divBdr>
                      <w:divsChild>
                        <w:div w:id="1053506754">
                          <w:marLeft w:val="0"/>
                          <w:marRight w:val="0"/>
                          <w:marTop w:val="0"/>
                          <w:marBottom w:val="0"/>
                          <w:divBdr>
                            <w:top w:val="none" w:sz="0" w:space="0" w:color="auto"/>
                            <w:left w:val="none" w:sz="0" w:space="0" w:color="auto"/>
                            <w:bottom w:val="none" w:sz="0" w:space="0" w:color="auto"/>
                            <w:right w:val="none" w:sz="0" w:space="0" w:color="auto"/>
                          </w:divBdr>
                          <w:divsChild>
                            <w:div w:id="1902934630">
                              <w:marLeft w:val="0"/>
                              <w:marRight w:val="0"/>
                              <w:marTop w:val="120"/>
                              <w:marBottom w:val="360"/>
                              <w:divBdr>
                                <w:top w:val="none" w:sz="0" w:space="0" w:color="auto"/>
                                <w:left w:val="none" w:sz="0" w:space="0" w:color="auto"/>
                                <w:bottom w:val="none" w:sz="0" w:space="0" w:color="auto"/>
                                <w:right w:val="none" w:sz="0" w:space="0" w:color="auto"/>
                              </w:divBdr>
                              <w:divsChild>
                                <w:div w:id="299263430">
                                  <w:marLeft w:val="0"/>
                                  <w:marRight w:val="0"/>
                                  <w:marTop w:val="0"/>
                                  <w:marBottom w:val="0"/>
                                  <w:divBdr>
                                    <w:top w:val="none" w:sz="0" w:space="0" w:color="auto"/>
                                    <w:left w:val="none" w:sz="0" w:space="0" w:color="auto"/>
                                    <w:bottom w:val="none" w:sz="0" w:space="0" w:color="auto"/>
                                    <w:right w:val="none" w:sz="0" w:space="0" w:color="auto"/>
                                  </w:divBdr>
                                </w:div>
                                <w:div w:id="21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584750">
      <w:bodyDiv w:val="1"/>
      <w:marLeft w:val="0"/>
      <w:marRight w:val="0"/>
      <w:marTop w:val="0"/>
      <w:marBottom w:val="0"/>
      <w:divBdr>
        <w:top w:val="none" w:sz="0" w:space="0" w:color="auto"/>
        <w:left w:val="none" w:sz="0" w:space="0" w:color="auto"/>
        <w:bottom w:val="none" w:sz="0" w:space="0" w:color="auto"/>
        <w:right w:val="none" w:sz="0" w:space="0" w:color="auto"/>
      </w:divBdr>
    </w:div>
    <w:div w:id="717246215">
      <w:bodyDiv w:val="1"/>
      <w:marLeft w:val="0"/>
      <w:marRight w:val="0"/>
      <w:marTop w:val="0"/>
      <w:marBottom w:val="0"/>
      <w:divBdr>
        <w:top w:val="none" w:sz="0" w:space="0" w:color="auto"/>
        <w:left w:val="none" w:sz="0" w:space="0" w:color="auto"/>
        <w:bottom w:val="none" w:sz="0" w:space="0" w:color="auto"/>
        <w:right w:val="none" w:sz="0" w:space="0" w:color="auto"/>
      </w:divBdr>
    </w:div>
    <w:div w:id="732311545">
      <w:bodyDiv w:val="1"/>
      <w:marLeft w:val="0"/>
      <w:marRight w:val="0"/>
      <w:marTop w:val="0"/>
      <w:marBottom w:val="0"/>
      <w:divBdr>
        <w:top w:val="none" w:sz="0" w:space="0" w:color="auto"/>
        <w:left w:val="none" w:sz="0" w:space="0" w:color="auto"/>
        <w:bottom w:val="none" w:sz="0" w:space="0" w:color="auto"/>
        <w:right w:val="none" w:sz="0" w:space="0" w:color="auto"/>
      </w:divBdr>
    </w:div>
    <w:div w:id="748579833">
      <w:bodyDiv w:val="1"/>
      <w:marLeft w:val="0"/>
      <w:marRight w:val="0"/>
      <w:marTop w:val="0"/>
      <w:marBottom w:val="0"/>
      <w:divBdr>
        <w:top w:val="none" w:sz="0" w:space="0" w:color="auto"/>
        <w:left w:val="none" w:sz="0" w:space="0" w:color="auto"/>
        <w:bottom w:val="none" w:sz="0" w:space="0" w:color="auto"/>
        <w:right w:val="none" w:sz="0" w:space="0" w:color="auto"/>
      </w:divBdr>
      <w:divsChild>
        <w:div w:id="123891801">
          <w:marLeft w:val="0"/>
          <w:marRight w:val="1"/>
          <w:marTop w:val="0"/>
          <w:marBottom w:val="0"/>
          <w:divBdr>
            <w:top w:val="none" w:sz="0" w:space="0" w:color="auto"/>
            <w:left w:val="none" w:sz="0" w:space="0" w:color="auto"/>
            <w:bottom w:val="none" w:sz="0" w:space="0" w:color="auto"/>
            <w:right w:val="none" w:sz="0" w:space="0" w:color="auto"/>
          </w:divBdr>
          <w:divsChild>
            <w:div w:id="1905795808">
              <w:marLeft w:val="0"/>
              <w:marRight w:val="0"/>
              <w:marTop w:val="0"/>
              <w:marBottom w:val="0"/>
              <w:divBdr>
                <w:top w:val="none" w:sz="0" w:space="0" w:color="auto"/>
                <w:left w:val="none" w:sz="0" w:space="0" w:color="auto"/>
                <w:bottom w:val="none" w:sz="0" w:space="0" w:color="auto"/>
                <w:right w:val="none" w:sz="0" w:space="0" w:color="auto"/>
              </w:divBdr>
              <w:divsChild>
                <w:div w:id="445732022">
                  <w:marLeft w:val="0"/>
                  <w:marRight w:val="1"/>
                  <w:marTop w:val="0"/>
                  <w:marBottom w:val="0"/>
                  <w:divBdr>
                    <w:top w:val="none" w:sz="0" w:space="0" w:color="auto"/>
                    <w:left w:val="none" w:sz="0" w:space="0" w:color="auto"/>
                    <w:bottom w:val="none" w:sz="0" w:space="0" w:color="auto"/>
                    <w:right w:val="none" w:sz="0" w:space="0" w:color="auto"/>
                  </w:divBdr>
                  <w:divsChild>
                    <w:div w:id="720448486">
                      <w:marLeft w:val="0"/>
                      <w:marRight w:val="0"/>
                      <w:marTop w:val="0"/>
                      <w:marBottom w:val="0"/>
                      <w:divBdr>
                        <w:top w:val="none" w:sz="0" w:space="0" w:color="auto"/>
                        <w:left w:val="none" w:sz="0" w:space="0" w:color="auto"/>
                        <w:bottom w:val="none" w:sz="0" w:space="0" w:color="auto"/>
                        <w:right w:val="none" w:sz="0" w:space="0" w:color="auto"/>
                      </w:divBdr>
                      <w:divsChild>
                        <w:div w:id="1498301743">
                          <w:marLeft w:val="0"/>
                          <w:marRight w:val="0"/>
                          <w:marTop w:val="0"/>
                          <w:marBottom w:val="0"/>
                          <w:divBdr>
                            <w:top w:val="none" w:sz="0" w:space="0" w:color="auto"/>
                            <w:left w:val="none" w:sz="0" w:space="0" w:color="auto"/>
                            <w:bottom w:val="none" w:sz="0" w:space="0" w:color="auto"/>
                            <w:right w:val="none" w:sz="0" w:space="0" w:color="auto"/>
                          </w:divBdr>
                          <w:divsChild>
                            <w:div w:id="216087535">
                              <w:marLeft w:val="0"/>
                              <w:marRight w:val="0"/>
                              <w:marTop w:val="120"/>
                              <w:marBottom w:val="360"/>
                              <w:divBdr>
                                <w:top w:val="none" w:sz="0" w:space="0" w:color="auto"/>
                                <w:left w:val="none" w:sz="0" w:space="0" w:color="auto"/>
                                <w:bottom w:val="none" w:sz="0" w:space="0" w:color="auto"/>
                                <w:right w:val="none" w:sz="0" w:space="0" w:color="auto"/>
                              </w:divBdr>
                              <w:divsChild>
                                <w:div w:id="1581911845">
                                  <w:marLeft w:val="0"/>
                                  <w:marRight w:val="0"/>
                                  <w:marTop w:val="0"/>
                                  <w:marBottom w:val="0"/>
                                  <w:divBdr>
                                    <w:top w:val="none" w:sz="0" w:space="0" w:color="auto"/>
                                    <w:left w:val="none" w:sz="0" w:space="0" w:color="auto"/>
                                    <w:bottom w:val="none" w:sz="0" w:space="0" w:color="auto"/>
                                    <w:right w:val="none" w:sz="0" w:space="0" w:color="auto"/>
                                  </w:divBdr>
                                </w:div>
                                <w:div w:id="1366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53247">
      <w:bodyDiv w:val="1"/>
      <w:marLeft w:val="0"/>
      <w:marRight w:val="0"/>
      <w:marTop w:val="0"/>
      <w:marBottom w:val="0"/>
      <w:divBdr>
        <w:top w:val="none" w:sz="0" w:space="0" w:color="auto"/>
        <w:left w:val="none" w:sz="0" w:space="0" w:color="auto"/>
        <w:bottom w:val="none" w:sz="0" w:space="0" w:color="auto"/>
        <w:right w:val="none" w:sz="0" w:space="0" w:color="auto"/>
      </w:divBdr>
    </w:div>
    <w:div w:id="769861380">
      <w:bodyDiv w:val="1"/>
      <w:marLeft w:val="0"/>
      <w:marRight w:val="0"/>
      <w:marTop w:val="0"/>
      <w:marBottom w:val="0"/>
      <w:divBdr>
        <w:top w:val="none" w:sz="0" w:space="0" w:color="auto"/>
        <w:left w:val="none" w:sz="0" w:space="0" w:color="auto"/>
        <w:bottom w:val="none" w:sz="0" w:space="0" w:color="auto"/>
        <w:right w:val="none" w:sz="0" w:space="0" w:color="auto"/>
      </w:divBdr>
    </w:div>
    <w:div w:id="823737794">
      <w:bodyDiv w:val="1"/>
      <w:marLeft w:val="0"/>
      <w:marRight w:val="0"/>
      <w:marTop w:val="0"/>
      <w:marBottom w:val="0"/>
      <w:divBdr>
        <w:top w:val="none" w:sz="0" w:space="0" w:color="auto"/>
        <w:left w:val="none" w:sz="0" w:space="0" w:color="auto"/>
        <w:bottom w:val="none" w:sz="0" w:space="0" w:color="auto"/>
        <w:right w:val="none" w:sz="0" w:space="0" w:color="auto"/>
      </w:divBdr>
    </w:div>
    <w:div w:id="835533500">
      <w:bodyDiv w:val="1"/>
      <w:marLeft w:val="0"/>
      <w:marRight w:val="0"/>
      <w:marTop w:val="0"/>
      <w:marBottom w:val="0"/>
      <w:divBdr>
        <w:top w:val="none" w:sz="0" w:space="0" w:color="auto"/>
        <w:left w:val="none" w:sz="0" w:space="0" w:color="auto"/>
        <w:bottom w:val="none" w:sz="0" w:space="0" w:color="auto"/>
        <w:right w:val="none" w:sz="0" w:space="0" w:color="auto"/>
      </w:divBdr>
    </w:div>
    <w:div w:id="853417027">
      <w:bodyDiv w:val="1"/>
      <w:marLeft w:val="0"/>
      <w:marRight w:val="0"/>
      <w:marTop w:val="0"/>
      <w:marBottom w:val="0"/>
      <w:divBdr>
        <w:top w:val="none" w:sz="0" w:space="0" w:color="auto"/>
        <w:left w:val="none" w:sz="0" w:space="0" w:color="auto"/>
        <w:bottom w:val="none" w:sz="0" w:space="0" w:color="auto"/>
        <w:right w:val="none" w:sz="0" w:space="0" w:color="auto"/>
      </w:divBdr>
    </w:div>
    <w:div w:id="855969334">
      <w:bodyDiv w:val="1"/>
      <w:marLeft w:val="0"/>
      <w:marRight w:val="0"/>
      <w:marTop w:val="0"/>
      <w:marBottom w:val="0"/>
      <w:divBdr>
        <w:top w:val="none" w:sz="0" w:space="0" w:color="auto"/>
        <w:left w:val="none" w:sz="0" w:space="0" w:color="auto"/>
        <w:bottom w:val="none" w:sz="0" w:space="0" w:color="auto"/>
        <w:right w:val="none" w:sz="0" w:space="0" w:color="auto"/>
      </w:divBdr>
    </w:div>
    <w:div w:id="878861958">
      <w:bodyDiv w:val="1"/>
      <w:marLeft w:val="0"/>
      <w:marRight w:val="0"/>
      <w:marTop w:val="0"/>
      <w:marBottom w:val="0"/>
      <w:divBdr>
        <w:top w:val="none" w:sz="0" w:space="0" w:color="auto"/>
        <w:left w:val="none" w:sz="0" w:space="0" w:color="auto"/>
        <w:bottom w:val="none" w:sz="0" w:space="0" w:color="auto"/>
        <w:right w:val="none" w:sz="0" w:space="0" w:color="auto"/>
      </w:divBdr>
    </w:div>
    <w:div w:id="948514878">
      <w:bodyDiv w:val="1"/>
      <w:marLeft w:val="0"/>
      <w:marRight w:val="0"/>
      <w:marTop w:val="0"/>
      <w:marBottom w:val="0"/>
      <w:divBdr>
        <w:top w:val="none" w:sz="0" w:space="0" w:color="auto"/>
        <w:left w:val="none" w:sz="0" w:space="0" w:color="auto"/>
        <w:bottom w:val="none" w:sz="0" w:space="0" w:color="auto"/>
        <w:right w:val="none" w:sz="0" w:space="0" w:color="auto"/>
      </w:divBdr>
    </w:div>
    <w:div w:id="948587401">
      <w:bodyDiv w:val="1"/>
      <w:marLeft w:val="0"/>
      <w:marRight w:val="0"/>
      <w:marTop w:val="0"/>
      <w:marBottom w:val="0"/>
      <w:divBdr>
        <w:top w:val="none" w:sz="0" w:space="0" w:color="auto"/>
        <w:left w:val="none" w:sz="0" w:space="0" w:color="auto"/>
        <w:bottom w:val="none" w:sz="0" w:space="0" w:color="auto"/>
        <w:right w:val="none" w:sz="0" w:space="0" w:color="auto"/>
      </w:divBdr>
    </w:div>
    <w:div w:id="956058421">
      <w:bodyDiv w:val="1"/>
      <w:marLeft w:val="0"/>
      <w:marRight w:val="0"/>
      <w:marTop w:val="0"/>
      <w:marBottom w:val="0"/>
      <w:divBdr>
        <w:top w:val="none" w:sz="0" w:space="0" w:color="auto"/>
        <w:left w:val="none" w:sz="0" w:space="0" w:color="auto"/>
        <w:bottom w:val="none" w:sz="0" w:space="0" w:color="auto"/>
        <w:right w:val="none" w:sz="0" w:space="0" w:color="auto"/>
      </w:divBdr>
    </w:div>
    <w:div w:id="961502186">
      <w:bodyDiv w:val="1"/>
      <w:marLeft w:val="0"/>
      <w:marRight w:val="0"/>
      <w:marTop w:val="0"/>
      <w:marBottom w:val="0"/>
      <w:divBdr>
        <w:top w:val="none" w:sz="0" w:space="0" w:color="auto"/>
        <w:left w:val="none" w:sz="0" w:space="0" w:color="auto"/>
        <w:bottom w:val="none" w:sz="0" w:space="0" w:color="auto"/>
        <w:right w:val="none" w:sz="0" w:space="0" w:color="auto"/>
      </w:divBdr>
    </w:div>
    <w:div w:id="1015696756">
      <w:bodyDiv w:val="1"/>
      <w:marLeft w:val="0"/>
      <w:marRight w:val="0"/>
      <w:marTop w:val="0"/>
      <w:marBottom w:val="0"/>
      <w:divBdr>
        <w:top w:val="none" w:sz="0" w:space="0" w:color="auto"/>
        <w:left w:val="none" w:sz="0" w:space="0" w:color="auto"/>
        <w:bottom w:val="none" w:sz="0" w:space="0" w:color="auto"/>
        <w:right w:val="none" w:sz="0" w:space="0" w:color="auto"/>
      </w:divBdr>
    </w:div>
    <w:div w:id="1017198437">
      <w:bodyDiv w:val="1"/>
      <w:marLeft w:val="0"/>
      <w:marRight w:val="0"/>
      <w:marTop w:val="0"/>
      <w:marBottom w:val="0"/>
      <w:divBdr>
        <w:top w:val="none" w:sz="0" w:space="0" w:color="auto"/>
        <w:left w:val="none" w:sz="0" w:space="0" w:color="auto"/>
        <w:bottom w:val="none" w:sz="0" w:space="0" w:color="auto"/>
        <w:right w:val="none" w:sz="0" w:space="0" w:color="auto"/>
      </w:divBdr>
    </w:div>
    <w:div w:id="1057751564">
      <w:bodyDiv w:val="1"/>
      <w:marLeft w:val="0"/>
      <w:marRight w:val="0"/>
      <w:marTop w:val="0"/>
      <w:marBottom w:val="0"/>
      <w:divBdr>
        <w:top w:val="none" w:sz="0" w:space="0" w:color="auto"/>
        <w:left w:val="none" w:sz="0" w:space="0" w:color="auto"/>
        <w:bottom w:val="none" w:sz="0" w:space="0" w:color="auto"/>
        <w:right w:val="none" w:sz="0" w:space="0" w:color="auto"/>
      </w:divBdr>
    </w:div>
    <w:div w:id="1060446799">
      <w:bodyDiv w:val="1"/>
      <w:marLeft w:val="0"/>
      <w:marRight w:val="0"/>
      <w:marTop w:val="0"/>
      <w:marBottom w:val="0"/>
      <w:divBdr>
        <w:top w:val="none" w:sz="0" w:space="0" w:color="auto"/>
        <w:left w:val="none" w:sz="0" w:space="0" w:color="auto"/>
        <w:bottom w:val="none" w:sz="0" w:space="0" w:color="auto"/>
        <w:right w:val="none" w:sz="0" w:space="0" w:color="auto"/>
      </w:divBdr>
    </w:div>
    <w:div w:id="1061371983">
      <w:bodyDiv w:val="1"/>
      <w:marLeft w:val="0"/>
      <w:marRight w:val="0"/>
      <w:marTop w:val="0"/>
      <w:marBottom w:val="0"/>
      <w:divBdr>
        <w:top w:val="none" w:sz="0" w:space="0" w:color="auto"/>
        <w:left w:val="none" w:sz="0" w:space="0" w:color="auto"/>
        <w:bottom w:val="none" w:sz="0" w:space="0" w:color="auto"/>
        <w:right w:val="none" w:sz="0" w:space="0" w:color="auto"/>
      </w:divBdr>
      <w:divsChild>
        <w:div w:id="306976791">
          <w:marLeft w:val="0"/>
          <w:marRight w:val="1"/>
          <w:marTop w:val="0"/>
          <w:marBottom w:val="0"/>
          <w:divBdr>
            <w:top w:val="none" w:sz="0" w:space="0" w:color="auto"/>
            <w:left w:val="none" w:sz="0" w:space="0" w:color="auto"/>
            <w:bottom w:val="none" w:sz="0" w:space="0" w:color="auto"/>
            <w:right w:val="none" w:sz="0" w:space="0" w:color="auto"/>
          </w:divBdr>
          <w:divsChild>
            <w:div w:id="1120025534">
              <w:marLeft w:val="0"/>
              <w:marRight w:val="0"/>
              <w:marTop w:val="0"/>
              <w:marBottom w:val="0"/>
              <w:divBdr>
                <w:top w:val="none" w:sz="0" w:space="0" w:color="auto"/>
                <w:left w:val="none" w:sz="0" w:space="0" w:color="auto"/>
                <w:bottom w:val="none" w:sz="0" w:space="0" w:color="auto"/>
                <w:right w:val="none" w:sz="0" w:space="0" w:color="auto"/>
              </w:divBdr>
              <w:divsChild>
                <w:div w:id="608707271">
                  <w:marLeft w:val="0"/>
                  <w:marRight w:val="1"/>
                  <w:marTop w:val="0"/>
                  <w:marBottom w:val="0"/>
                  <w:divBdr>
                    <w:top w:val="none" w:sz="0" w:space="0" w:color="auto"/>
                    <w:left w:val="none" w:sz="0" w:space="0" w:color="auto"/>
                    <w:bottom w:val="none" w:sz="0" w:space="0" w:color="auto"/>
                    <w:right w:val="none" w:sz="0" w:space="0" w:color="auto"/>
                  </w:divBdr>
                  <w:divsChild>
                    <w:div w:id="1930657788">
                      <w:marLeft w:val="0"/>
                      <w:marRight w:val="0"/>
                      <w:marTop w:val="0"/>
                      <w:marBottom w:val="0"/>
                      <w:divBdr>
                        <w:top w:val="none" w:sz="0" w:space="0" w:color="auto"/>
                        <w:left w:val="none" w:sz="0" w:space="0" w:color="auto"/>
                        <w:bottom w:val="none" w:sz="0" w:space="0" w:color="auto"/>
                        <w:right w:val="none" w:sz="0" w:space="0" w:color="auto"/>
                      </w:divBdr>
                      <w:divsChild>
                        <w:div w:id="38677019">
                          <w:marLeft w:val="0"/>
                          <w:marRight w:val="0"/>
                          <w:marTop w:val="0"/>
                          <w:marBottom w:val="0"/>
                          <w:divBdr>
                            <w:top w:val="none" w:sz="0" w:space="0" w:color="auto"/>
                            <w:left w:val="none" w:sz="0" w:space="0" w:color="auto"/>
                            <w:bottom w:val="none" w:sz="0" w:space="0" w:color="auto"/>
                            <w:right w:val="none" w:sz="0" w:space="0" w:color="auto"/>
                          </w:divBdr>
                          <w:divsChild>
                            <w:div w:id="1608078330">
                              <w:marLeft w:val="240"/>
                              <w:marRight w:val="0"/>
                              <w:marTop w:val="0"/>
                              <w:marBottom w:val="0"/>
                              <w:divBdr>
                                <w:top w:val="none" w:sz="0" w:space="0" w:color="auto"/>
                                <w:left w:val="none" w:sz="0" w:space="0" w:color="auto"/>
                                <w:bottom w:val="none" w:sz="0" w:space="0" w:color="auto"/>
                                <w:right w:val="none" w:sz="0" w:space="0" w:color="auto"/>
                              </w:divBdr>
                            </w:div>
                            <w:div w:id="1164660600">
                              <w:marLeft w:val="0"/>
                              <w:marRight w:val="0"/>
                              <w:marTop w:val="45"/>
                              <w:marBottom w:val="0"/>
                              <w:divBdr>
                                <w:top w:val="single" w:sz="6" w:space="2" w:color="CCCCCC"/>
                                <w:left w:val="single" w:sz="6" w:space="2" w:color="CCCCCC"/>
                                <w:bottom w:val="single" w:sz="6" w:space="2" w:color="CCCCCC"/>
                                <w:right w:val="single" w:sz="6" w:space="2" w:color="CCCCCC"/>
                              </w:divBdr>
                              <w:divsChild>
                                <w:div w:id="1106997733">
                                  <w:marLeft w:val="0"/>
                                  <w:marRight w:val="0"/>
                                  <w:marTop w:val="0"/>
                                  <w:marBottom w:val="0"/>
                                  <w:divBdr>
                                    <w:top w:val="none" w:sz="0" w:space="0" w:color="auto"/>
                                    <w:left w:val="none" w:sz="0" w:space="0" w:color="auto"/>
                                    <w:bottom w:val="none" w:sz="0" w:space="0" w:color="auto"/>
                                    <w:right w:val="none" w:sz="0" w:space="0" w:color="auto"/>
                                  </w:divBdr>
                                </w:div>
                                <w:div w:id="1375691813">
                                  <w:marLeft w:val="0"/>
                                  <w:marRight w:val="0"/>
                                  <w:marTop w:val="0"/>
                                  <w:marBottom w:val="0"/>
                                  <w:divBdr>
                                    <w:top w:val="none" w:sz="0" w:space="0" w:color="auto"/>
                                    <w:left w:val="none" w:sz="0" w:space="0" w:color="auto"/>
                                    <w:bottom w:val="none" w:sz="0" w:space="0" w:color="auto"/>
                                    <w:right w:val="none" w:sz="0" w:space="0" w:color="auto"/>
                                  </w:divBdr>
                                  <w:divsChild>
                                    <w:div w:id="1739011328">
                                      <w:marLeft w:val="0"/>
                                      <w:marRight w:val="0"/>
                                      <w:marTop w:val="0"/>
                                      <w:marBottom w:val="0"/>
                                      <w:divBdr>
                                        <w:top w:val="none" w:sz="0" w:space="0" w:color="auto"/>
                                        <w:left w:val="none" w:sz="0" w:space="0" w:color="auto"/>
                                        <w:bottom w:val="none" w:sz="0" w:space="0" w:color="auto"/>
                                        <w:right w:val="none" w:sz="0" w:space="0" w:color="auto"/>
                                      </w:divBdr>
                                    </w:div>
                                  </w:divsChild>
                                </w:div>
                                <w:div w:id="2144813086">
                                  <w:marLeft w:val="0"/>
                                  <w:marRight w:val="0"/>
                                  <w:marTop w:val="0"/>
                                  <w:marBottom w:val="0"/>
                                  <w:divBdr>
                                    <w:top w:val="none" w:sz="0" w:space="0" w:color="auto"/>
                                    <w:left w:val="none" w:sz="0" w:space="0" w:color="auto"/>
                                    <w:bottom w:val="none" w:sz="0" w:space="0" w:color="auto"/>
                                    <w:right w:val="none" w:sz="0" w:space="0" w:color="auto"/>
                                  </w:divBdr>
                                </w:div>
                                <w:div w:id="1282343832">
                                  <w:marLeft w:val="0"/>
                                  <w:marRight w:val="0"/>
                                  <w:marTop w:val="0"/>
                                  <w:marBottom w:val="0"/>
                                  <w:divBdr>
                                    <w:top w:val="none" w:sz="0" w:space="0" w:color="auto"/>
                                    <w:left w:val="none" w:sz="0" w:space="0" w:color="auto"/>
                                    <w:bottom w:val="none" w:sz="0" w:space="0" w:color="auto"/>
                                    <w:right w:val="none" w:sz="0" w:space="0" w:color="auto"/>
                                  </w:divBdr>
                                </w:div>
                                <w:div w:id="1813907136">
                                  <w:marLeft w:val="0"/>
                                  <w:marRight w:val="0"/>
                                  <w:marTop w:val="0"/>
                                  <w:marBottom w:val="0"/>
                                  <w:divBdr>
                                    <w:top w:val="none" w:sz="0" w:space="0" w:color="auto"/>
                                    <w:left w:val="none" w:sz="0" w:space="0" w:color="auto"/>
                                    <w:bottom w:val="none" w:sz="0" w:space="0" w:color="auto"/>
                                    <w:right w:val="none" w:sz="0" w:space="0" w:color="auto"/>
                                  </w:divBdr>
                                </w:div>
                                <w:div w:id="2134134564">
                                  <w:marLeft w:val="0"/>
                                  <w:marRight w:val="0"/>
                                  <w:marTop w:val="0"/>
                                  <w:marBottom w:val="0"/>
                                  <w:divBdr>
                                    <w:top w:val="none" w:sz="0" w:space="0" w:color="auto"/>
                                    <w:left w:val="none" w:sz="0" w:space="0" w:color="auto"/>
                                    <w:bottom w:val="none" w:sz="0" w:space="0" w:color="auto"/>
                                    <w:right w:val="none" w:sz="0" w:space="0" w:color="auto"/>
                                  </w:divBdr>
                                </w:div>
                                <w:div w:id="763694503">
                                  <w:marLeft w:val="0"/>
                                  <w:marRight w:val="0"/>
                                  <w:marTop w:val="0"/>
                                  <w:marBottom w:val="0"/>
                                  <w:divBdr>
                                    <w:top w:val="none" w:sz="0" w:space="0" w:color="auto"/>
                                    <w:left w:val="none" w:sz="0" w:space="0" w:color="auto"/>
                                    <w:bottom w:val="none" w:sz="0" w:space="0" w:color="auto"/>
                                    <w:right w:val="none" w:sz="0" w:space="0" w:color="auto"/>
                                  </w:divBdr>
                                </w:div>
                              </w:divsChild>
                            </w:div>
                            <w:div w:id="1409882901">
                              <w:marLeft w:val="0"/>
                              <w:marRight w:val="0"/>
                              <w:marTop w:val="0"/>
                              <w:marBottom w:val="0"/>
                              <w:divBdr>
                                <w:top w:val="none" w:sz="0" w:space="0" w:color="auto"/>
                                <w:left w:val="none" w:sz="0" w:space="0" w:color="auto"/>
                                <w:bottom w:val="none" w:sz="0" w:space="0" w:color="auto"/>
                                <w:right w:val="none" w:sz="0" w:space="0" w:color="auto"/>
                              </w:divBdr>
                            </w:div>
                          </w:divsChild>
                        </w:div>
                        <w:div w:id="258680977">
                          <w:marLeft w:val="0"/>
                          <w:marRight w:val="0"/>
                          <w:marTop w:val="0"/>
                          <w:marBottom w:val="0"/>
                          <w:divBdr>
                            <w:top w:val="none" w:sz="0" w:space="0" w:color="auto"/>
                            <w:left w:val="none" w:sz="0" w:space="0" w:color="auto"/>
                            <w:bottom w:val="none" w:sz="0" w:space="0" w:color="auto"/>
                            <w:right w:val="none" w:sz="0" w:space="0" w:color="auto"/>
                          </w:divBdr>
                          <w:divsChild>
                            <w:div w:id="1932228323">
                              <w:marLeft w:val="0"/>
                              <w:marRight w:val="0"/>
                              <w:marTop w:val="0"/>
                              <w:marBottom w:val="0"/>
                              <w:divBdr>
                                <w:top w:val="none" w:sz="0" w:space="0" w:color="auto"/>
                                <w:left w:val="none" w:sz="0" w:space="0" w:color="auto"/>
                                <w:bottom w:val="none" w:sz="0" w:space="0" w:color="auto"/>
                                <w:right w:val="none" w:sz="0" w:space="0" w:color="auto"/>
                              </w:divBdr>
                            </w:div>
                          </w:divsChild>
                        </w:div>
                        <w:div w:id="29885536">
                          <w:marLeft w:val="0"/>
                          <w:marRight w:val="0"/>
                          <w:marTop w:val="0"/>
                          <w:marBottom w:val="0"/>
                          <w:divBdr>
                            <w:top w:val="none" w:sz="0" w:space="0" w:color="auto"/>
                            <w:left w:val="none" w:sz="0" w:space="0" w:color="auto"/>
                            <w:bottom w:val="none" w:sz="0" w:space="0" w:color="auto"/>
                            <w:right w:val="none" w:sz="0" w:space="0" w:color="auto"/>
                          </w:divBdr>
                          <w:divsChild>
                            <w:div w:id="1984433196">
                              <w:marLeft w:val="0"/>
                              <w:marRight w:val="0"/>
                              <w:marTop w:val="120"/>
                              <w:marBottom w:val="360"/>
                              <w:divBdr>
                                <w:top w:val="none" w:sz="0" w:space="0" w:color="auto"/>
                                <w:left w:val="none" w:sz="0" w:space="0" w:color="auto"/>
                                <w:bottom w:val="none" w:sz="0" w:space="0" w:color="auto"/>
                                <w:right w:val="none" w:sz="0" w:space="0" w:color="auto"/>
                              </w:divBdr>
                              <w:divsChild>
                                <w:div w:id="1303929062">
                                  <w:marLeft w:val="0"/>
                                  <w:marRight w:val="0"/>
                                  <w:marTop w:val="0"/>
                                  <w:marBottom w:val="0"/>
                                  <w:divBdr>
                                    <w:top w:val="none" w:sz="0" w:space="0" w:color="auto"/>
                                    <w:left w:val="none" w:sz="0" w:space="0" w:color="auto"/>
                                    <w:bottom w:val="none" w:sz="0" w:space="0" w:color="auto"/>
                                    <w:right w:val="none" w:sz="0" w:space="0" w:color="auto"/>
                                  </w:divBdr>
                                </w:div>
                                <w:div w:id="20881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208478">
      <w:bodyDiv w:val="1"/>
      <w:marLeft w:val="0"/>
      <w:marRight w:val="0"/>
      <w:marTop w:val="0"/>
      <w:marBottom w:val="0"/>
      <w:divBdr>
        <w:top w:val="none" w:sz="0" w:space="0" w:color="auto"/>
        <w:left w:val="none" w:sz="0" w:space="0" w:color="auto"/>
        <w:bottom w:val="none" w:sz="0" w:space="0" w:color="auto"/>
        <w:right w:val="none" w:sz="0" w:space="0" w:color="auto"/>
      </w:divBdr>
    </w:div>
    <w:div w:id="1121915996">
      <w:bodyDiv w:val="1"/>
      <w:marLeft w:val="0"/>
      <w:marRight w:val="0"/>
      <w:marTop w:val="0"/>
      <w:marBottom w:val="0"/>
      <w:divBdr>
        <w:top w:val="none" w:sz="0" w:space="0" w:color="auto"/>
        <w:left w:val="none" w:sz="0" w:space="0" w:color="auto"/>
        <w:bottom w:val="none" w:sz="0" w:space="0" w:color="auto"/>
        <w:right w:val="none" w:sz="0" w:space="0" w:color="auto"/>
      </w:divBdr>
      <w:divsChild>
        <w:div w:id="196895002">
          <w:marLeft w:val="0"/>
          <w:marRight w:val="1"/>
          <w:marTop w:val="0"/>
          <w:marBottom w:val="0"/>
          <w:divBdr>
            <w:top w:val="none" w:sz="0" w:space="0" w:color="auto"/>
            <w:left w:val="none" w:sz="0" w:space="0" w:color="auto"/>
            <w:bottom w:val="none" w:sz="0" w:space="0" w:color="auto"/>
            <w:right w:val="none" w:sz="0" w:space="0" w:color="auto"/>
          </w:divBdr>
          <w:divsChild>
            <w:div w:id="1373653694">
              <w:marLeft w:val="0"/>
              <w:marRight w:val="0"/>
              <w:marTop w:val="0"/>
              <w:marBottom w:val="0"/>
              <w:divBdr>
                <w:top w:val="none" w:sz="0" w:space="0" w:color="auto"/>
                <w:left w:val="none" w:sz="0" w:space="0" w:color="auto"/>
                <w:bottom w:val="none" w:sz="0" w:space="0" w:color="auto"/>
                <w:right w:val="none" w:sz="0" w:space="0" w:color="auto"/>
              </w:divBdr>
              <w:divsChild>
                <w:div w:id="1402220002">
                  <w:marLeft w:val="0"/>
                  <w:marRight w:val="1"/>
                  <w:marTop w:val="0"/>
                  <w:marBottom w:val="0"/>
                  <w:divBdr>
                    <w:top w:val="none" w:sz="0" w:space="0" w:color="auto"/>
                    <w:left w:val="none" w:sz="0" w:space="0" w:color="auto"/>
                    <w:bottom w:val="none" w:sz="0" w:space="0" w:color="auto"/>
                    <w:right w:val="none" w:sz="0" w:space="0" w:color="auto"/>
                  </w:divBdr>
                  <w:divsChild>
                    <w:div w:id="1296832212">
                      <w:marLeft w:val="0"/>
                      <w:marRight w:val="0"/>
                      <w:marTop w:val="0"/>
                      <w:marBottom w:val="0"/>
                      <w:divBdr>
                        <w:top w:val="none" w:sz="0" w:space="0" w:color="auto"/>
                        <w:left w:val="none" w:sz="0" w:space="0" w:color="auto"/>
                        <w:bottom w:val="none" w:sz="0" w:space="0" w:color="auto"/>
                        <w:right w:val="none" w:sz="0" w:space="0" w:color="auto"/>
                      </w:divBdr>
                      <w:divsChild>
                        <w:div w:id="357324">
                          <w:marLeft w:val="0"/>
                          <w:marRight w:val="0"/>
                          <w:marTop w:val="0"/>
                          <w:marBottom w:val="0"/>
                          <w:divBdr>
                            <w:top w:val="none" w:sz="0" w:space="0" w:color="auto"/>
                            <w:left w:val="none" w:sz="0" w:space="0" w:color="auto"/>
                            <w:bottom w:val="none" w:sz="0" w:space="0" w:color="auto"/>
                            <w:right w:val="none" w:sz="0" w:space="0" w:color="auto"/>
                          </w:divBdr>
                          <w:divsChild>
                            <w:div w:id="779028043">
                              <w:marLeft w:val="0"/>
                              <w:marRight w:val="0"/>
                              <w:marTop w:val="0"/>
                              <w:marBottom w:val="0"/>
                              <w:divBdr>
                                <w:top w:val="none" w:sz="0" w:space="0" w:color="auto"/>
                                <w:left w:val="none" w:sz="0" w:space="0" w:color="auto"/>
                                <w:bottom w:val="none" w:sz="0" w:space="0" w:color="auto"/>
                                <w:right w:val="none" w:sz="0" w:space="0" w:color="auto"/>
                              </w:divBdr>
                            </w:div>
                          </w:divsChild>
                        </w:div>
                        <w:div w:id="4673230">
                          <w:marLeft w:val="0"/>
                          <w:marRight w:val="0"/>
                          <w:marTop w:val="0"/>
                          <w:marBottom w:val="0"/>
                          <w:divBdr>
                            <w:top w:val="none" w:sz="0" w:space="0" w:color="auto"/>
                            <w:left w:val="none" w:sz="0" w:space="0" w:color="auto"/>
                            <w:bottom w:val="none" w:sz="0" w:space="0" w:color="auto"/>
                            <w:right w:val="none" w:sz="0" w:space="0" w:color="auto"/>
                          </w:divBdr>
                          <w:divsChild>
                            <w:div w:id="1144547292">
                              <w:marLeft w:val="0"/>
                              <w:marRight w:val="0"/>
                              <w:marTop w:val="120"/>
                              <w:marBottom w:val="360"/>
                              <w:divBdr>
                                <w:top w:val="none" w:sz="0" w:space="0" w:color="auto"/>
                                <w:left w:val="none" w:sz="0" w:space="0" w:color="auto"/>
                                <w:bottom w:val="none" w:sz="0" w:space="0" w:color="auto"/>
                                <w:right w:val="none" w:sz="0" w:space="0" w:color="auto"/>
                              </w:divBdr>
                              <w:divsChild>
                                <w:div w:id="149298246">
                                  <w:marLeft w:val="0"/>
                                  <w:marRight w:val="0"/>
                                  <w:marTop w:val="0"/>
                                  <w:marBottom w:val="0"/>
                                  <w:divBdr>
                                    <w:top w:val="none" w:sz="0" w:space="0" w:color="auto"/>
                                    <w:left w:val="none" w:sz="0" w:space="0" w:color="auto"/>
                                    <w:bottom w:val="none" w:sz="0" w:space="0" w:color="auto"/>
                                    <w:right w:val="none" w:sz="0" w:space="0" w:color="auto"/>
                                  </w:divBdr>
                                </w:div>
                                <w:div w:id="11282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397996">
      <w:bodyDiv w:val="1"/>
      <w:marLeft w:val="0"/>
      <w:marRight w:val="0"/>
      <w:marTop w:val="0"/>
      <w:marBottom w:val="0"/>
      <w:divBdr>
        <w:top w:val="none" w:sz="0" w:space="0" w:color="auto"/>
        <w:left w:val="none" w:sz="0" w:space="0" w:color="auto"/>
        <w:bottom w:val="none" w:sz="0" w:space="0" w:color="auto"/>
        <w:right w:val="none" w:sz="0" w:space="0" w:color="auto"/>
      </w:divBdr>
    </w:div>
    <w:div w:id="1167674773">
      <w:bodyDiv w:val="1"/>
      <w:marLeft w:val="0"/>
      <w:marRight w:val="0"/>
      <w:marTop w:val="0"/>
      <w:marBottom w:val="0"/>
      <w:divBdr>
        <w:top w:val="none" w:sz="0" w:space="0" w:color="auto"/>
        <w:left w:val="none" w:sz="0" w:space="0" w:color="auto"/>
        <w:bottom w:val="none" w:sz="0" w:space="0" w:color="auto"/>
        <w:right w:val="none" w:sz="0" w:space="0" w:color="auto"/>
      </w:divBdr>
    </w:div>
    <w:div w:id="1179538905">
      <w:bodyDiv w:val="1"/>
      <w:marLeft w:val="0"/>
      <w:marRight w:val="0"/>
      <w:marTop w:val="0"/>
      <w:marBottom w:val="0"/>
      <w:divBdr>
        <w:top w:val="none" w:sz="0" w:space="0" w:color="auto"/>
        <w:left w:val="none" w:sz="0" w:space="0" w:color="auto"/>
        <w:bottom w:val="none" w:sz="0" w:space="0" w:color="auto"/>
        <w:right w:val="none" w:sz="0" w:space="0" w:color="auto"/>
      </w:divBdr>
    </w:div>
    <w:div w:id="1200313789">
      <w:bodyDiv w:val="1"/>
      <w:marLeft w:val="0"/>
      <w:marRight w:val="0"/>
      <w:marTop w:val="0"/>
      <w:marBottom w:val="0"/>
      <w:divBdr>
        <w:top w:val="none" w:sz="0" w:space="0" w:color="auto"/>
        <w:left w:val="none" w:sz="0" w:space="0" w:color="auto"/>
        <w:bottom w:val="none" w:sz="0" w:space="0" w:color="auto"/>
        <w:right w:val="none" w:sz="0" w:space="0" w:color="auto"/>
      </w:divBdr>
    </w:div>
    <w:div w:id="1204514999">
      <w:bodyDiv w:val="1"/>
      <w:marLeft w:val="0"/>
      <w:marRight w:val="0"/>
      <w:marTop w:val="0"/>
      <w:marBottom w:val="0"/>
      <w:divBdr>
        <w:top w:val="none" w:sz="0" w:space="0" w:color="auto"/>
        <w:left w:val="none" w:sz="0" w:space="0" w:color="auto"/>
        <w:bottom w:val="none" w:sz="0" w:space="0" w:color="auto"/>
        <w:right w:val="none" w:sz="0" w:space="0" w:color="auto"/>
      </w:divBdr>
    </w:div>
    <w:div w:id="1228153996">
      <w:bodyDiv w:val="1"/>
      <w:marLeft w:val="0"/>
      <w:marRight w:val="0"/>
      <w:marTop w:val="0"/>
      <w:marBottom w:val="0"/>
      <w:divBdr>
        <w:top w:val="none" w:sz="0" w:space="0" w:color="auto"/>
        <w:left w:val="none" w:sz="0" w:space="0" w:color="auto"/>
        <w:bottom w:val="none" w:sz="0" w:space="0" w:color="auto"/>
        <w:right w:val="none" w:sz="0" w:space="0" w:color="auto"/>
      </w:divBdr>
    </w:div>
    <w:div w:id="1247568475">
      <w:bodyDiv w:val="1"/>
      <w:marLeft w:val="0"/>
      <w:marRight w:val="0"/>
      <w:marTop w:val="0"/>
      <w:marBottom w:val="0"/>
      <w:divBdr>
        <w:top w:val="none" w:sz="0" w:space="0" w:color="auto"/>
        <w:left w:val="none" w:sz="0" w:space="0" w:color="auto"/>
        <w:bottom w:val="none" w:sz="0" w:space="0" w:color="auto"/>
        <w:right w:val="none" w:sz="0" w:space="0" w:color="auto"/>
      </w:divBdr>
    </w:div>
    <w:div w:id="1268345877">
      <w:bodyDiv w:val="1"/>
      <w:marLeft w:val="0"/>
      <w:marRight w:val="0"/>
      <w:marTop w:val="0"/>
      <w:marBottom w:val="0"/>
      <w:divBdr>
        <w:top w:val="none" w:sz="0" w:space="0" w:color="auto"/>
        <w:left w:val="none" w:sz="0" w:space="0" w:color="auto"/>
        <w:bottom w:val="none" w:sz="0" w:space="0" w:color="auto"/>
        <w:right w:val="none" w:sz="0" w:space="0" w:color="auto"/>
      </w:divBdr>
    </w:div>
    <w:div w:id="1278298113">
      <w:bodyDiv w:val="1"/>
      <w:marLeft w:val="0"/>
      <w:marRight w:val="0"/>
      <w:marTop w:val="0"/>
      <w:marBottom w:val="0"/>
      <w:divBdr>
        <w:top w:val="none" w:sz="0" w:space="0" w:color="auto"/>
        <w:left w:val="none" w:sz="0" w:space="0" w:color="auto"/>
        <w:bottom w:val="none" w:sz="0" w:space="0" w:color="auto"/>
        <w:right w:val="none" w:sz="0" w:space="0" w:color="auto"/>
      </w:divBdr>
      <w:divsChild>
        <w:div w:id="1943220166">
          <w:marLeft w:val="0"/>
          <w:marRight w:val="1"/>
          <w:marTop w:val="0"/>
          <w:marBottom w:val="0"/>
          <w:divBdr>
            <w:top w:val="none" w:sz="0" w:space="0" w:color="auto"/>
            <w:left w:val="none" w:sz="0" w:space="0" w:color="auto"/>
            <w:bottom w:val="none" w:sz="0" w:space="0" w:color="auto"/>
            <w:right w:val="none" w:sz="0" w:space="0" w:color="auto"/>
          </w:divBdr>
          <w:divsChild>
            <w:div w:id="1221749427">
              <w:marLeft w:val="0"/>
              <w:marRight w:val="0"/>
              <w:marTop w:val="0"/>
              <w:marBottom w:val="0"/>
              <w:divBdr>
                <w:top w:val="none" w:sz="0" w:space="0" w:color="auto"/>
                <w:left w:val="none" w:sz="0" w:space="0" w:color="auto"/>
                <w:bottom w:val="none" w:sz="0" w:space="0" w:color="auto"/>
                <w:right w:val="none" w:sz="0" w:space="0" w:color="auto"/>
              </w:divBdr>
              <w:divsChild>
                <w:div w:id="1869902324">
                  <w:marLeft w:val="0"/>
                  <w:marRight w:val="1"/>
                  <w:marTop w:val="0"/>
                  <w:marBottom w:val="0"/>
                  <w:divBdr>
                    <w:top w:val="none" w:sz="0" w:space="0" w:color="auto"/>
                    <w:left w:val="none" w:sz="0" w:space="0" w:color="auto"/>
                    <w:bottom w:val="none" w:sz="0" w:space="0" w:color="auto"/>
                    <w:right w:val="none" w:sz="0" w:space="0" w:color="auto"/>
                  </w:divBdr>
                  <w:divsChild>
                    <w:div w:id="695277629">
                      <w:marLeft w:val="0"/>
                      <w:marRight w:val="0"/>
                      <w:marTop w:val="0"/>
                      <w:marBottom w:val="0"/>
                      <w:divBdr>
                        <w:top w:val="none" w:sz="0" w:space="0" w:color="auto"/>
                        <w:left w:val="none" w:sz="0" w:space="0" w:color="auto"/>
                        <w:bottom w:val="none" w:sz="0" w:space="0" w:color="auto"/>
                        <w:right w:val="none" w:sz="0" w:space="0" w:color="auto"/>
                      </w:divBdr>
                      <w:divsChild>
                        <w:div w:id="398747346">
                          <w:marLeft w:val="0"/>
                          <w:marRight w:val="0"/>
                          <w:marTop w:val="0"/>
                          <w:marBottom w:val="0"/>
                          <w:divBdr>
                            <w:top w:val="none" w:sz="0" w:space="0" w:color="auto"/>
                            <w:left w:val="none" w:sz="0" w:space="0" w:color="auto"/>
                            <w:bottom w:val="none" w:sz="0" w:space="0" w:color="auto"/>
                            <w:right w:val="none" w:sz="0" w:space="0" w:color="auto"/>
                          </w:divBdr>
                          <w:divsChild>
                            <w:div w:id="1257330167">
                              <w:marLeft w:val="0"/>
                              <w:marRight w:val="0"/>
                              <w:marTop w:val="120"/>
                              <w:marBottom w:val="360"/>
                              <w:divBdr>
                                <w:top w:val="none" w:sz="0" w:space="0" w:color="auto"/>
                                <w:left w:val="none" w:sz="0" w:space="0" w:color="auto"/>
                                <w:bottom w:val="none" w:sz="0" w:space="0" w:color="auto"/>
                                <w:right w:val="none" w:sz="0" w:space="0" w:color="auto"/>
                              </w:divBdr>
                              <w:divsChild>
                                <w:div w:id="1944992648">
                                  <w:marLeft w:val="0"/>
                                  <w:marRight w:val="0"/>
                                  <w:marTop w:val="0"/>
                                  <w:marBottom w:val="0"/>
                                  <w:divBdr>
                                    <w:top w:val="none" w:sz="0" w:space="0" w:color="auto"/>
                                    <w:left w:val="none" w:sz="0" w:space="0" w:color="auto"/>
                                    <w:bottom w:val="none" w:sz="0" w:space="0" w:color="auto"/>
                                    <w:right w:val="none" w:sz="0" w:space="0" w:color="auto"/>
                                  </w:divBdr>
                                </w:div>
                                <w:div w:id="152196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879410">
      <w:bodyDiv w:val="1"/>
      <w:marLeft w:val="0"/>
      <w:marRight w:val="0"/>
      <w:marTop w:val="0"/>
      <w:marBottom w:val="0"/>
      <w:divBdr>
        <w:top w:val="none" w:sz="0" w:space="0" w:color="auto"/>
        <w:left w:val="none" w:sz="0" w:space="0" w:color="auto"/>
        <w:bottom w:val="none" w:sz="0" w:space="0" w:color="auto"/>
        <w:right w:val="none" w:sz="0" w:space="0" w:color="auto"/>
      </w:divBdr>
      <w:divsChild>
        <w:div w:id="1405954330">
          <w:marLeft w:val="0"/>
          <w:marRight w:val="1"/>
          <w:marTop w:val="0"/>
          <w:marBottom w:val="0"/>
          <w:divBdr>
            <w:top w:val="none" w:sz="0" w:space="0" w:color="auto"/>
            <w:left w:val="none" w:sz="0" w:space="0" w:color="auto"/>
            <w:bottom w:val="none" w:sz="0" w:space="0" w:color="auto"/>
            <w:right w:val="none" w:sz="0" w:space="0" w:color="auto"/>
          </w:divBdr>
          <w:divsChild>
            <w:div w:id="1228304451">
              <w:marLeft w:val="0"/>
              <w:marRight w:val="0"/>
              <w:marTop w:val="0"/>
              <w:marBottom w:val="0"/>
              <w:divBdr>
                <w:top w:val="none" w:sz="0" w:space="0" w:color="auto"/>
                <w:left w:val="none" w:sz="0" w:space="0" w:color="auto"/>
                <w:bottom w:val="none" w:sz="0" w:space="0" w:color="auto"/>
                <w:right w:val="none" w:sz="0" w:space="0" w:color="auto"/>
              </w:divBdr>
              <w:divsChild>
                <w:div w:id="1395547448">
                  <w:marLeft w:val="0"/>
                  <w:marRight w:val="1"/>
                  <w:marTop w:val="0"/>
                  <w:marBottom w:val="0"/>
                  <w:divBdr>
                    <w:top w:val="none" w:sz="0" w:space="0" w:color="auto"/>
                    <w:left w:val="none" w:sz="0" w:space="0" w:color="auto"/>
                    <w:bottom w:val="none" w:sz="0" w:space="0" w:color="auto"/>
                    <w:right w:val="none" w:sz="0" w:space="0" w:color="auto"/>
                  </w:divBdr>
                  <w:divsChild>
                    <w:div w:id="530804005">
                      <w:marLeft w:val="0"/>
                      <w:marRight w:val="0"/>
                      <w:marTop w:val="0"/>
                      <w:marBottom w:val="0"/>
                      <w:divBdr>
                        <w:top w:val="none" w:sz="0" w:space="0" w:color="auto"/>
                        <w:left w:val="none" w:sz="0" w:space="0" w:color="auto"/>
                        <w:bottom w:val="none" w:sz="0" w:space="0" w:color="auto"/>
                        <w:right w:val="none" w:sz="0" w:space="0" w:color="auto"/>
                      </w:divBdr>
                      <w:divsChild>
                        <w:div w:id="1511215531">
                          <w:marLeft w:val="0"/>
                          <w:marRight w:val="0"/>
                          <w:marTop w:val="0"/>
                          <w:marBottom w:val="0"/>
                          <w:divBdr>
                            <w:top w:val="none" w:sz="0" w:space="0" w:color="auto"/>
                            <w:left w:val="none" w:sz="0" w:space="0" w:color="auto"/>
                            <w:bottom w:val="none" w:sz="0" w:space="0" w:color="auto"/>
                            <w:right w:val="none" w:sz="0" w:space="0" w:color="auto"/>
                          </w:divBdr>
                          <w:divsChild>
                            <w:div w:id="1588343006">
                              <w:marLeft w:val="0"/>
                              <w:marRight w:val="0"/>
                              <w:marTop w:val="120"/>
                              <w:marBottom w:val="360"/>
                              <w:divBdr>
                                <w:top w:val="none" w:sz="0" w:space="0" w:color="auto"/>
                                <w:left w:val="none" w:sz="0" w:space="0" w:color="auto"/>
                                <w:bottom w:val="none" w:sz="0" w:space="0" w:color="auto"/>
                                <w:right w:val="none" w:sz="0" w:space="0" w:color="auto"/>
                              </w:divBdr>
                              <w:divsChild>
                                <w:div w:id="1520198068">
                                  <w:marLeft w:val="0"/>
                                  <w:marRight w:val="0"/>
                                  <w:marTop w:val="0"/>
                                  <w:marBottom w:val="0"/>
                                  <w:divBdr>
                                    <w:top w:val="none" w:sz="0" w:space="0" w:color="auto"/>
                                    <w:left w:val="none" w:sz="0" w:space="0" w:color="auto"/>
                                    <w:bottom w:val="none" w:sz="0" w:space="0" w:color="auto"/>
                                    <w:right w:val="none" w:sz="0" w:space="0" w:color="auto"/>
                                  </w:divBdr>
                                </w:div>
                                <w:div w:id="13521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651570">
      <w:bodyDiv w:val="1"/>
      <w:marLeft w:val="0"/>
      <w:marRight w:val="0"/>
      <w:marTop w:val="0"/>
      <w:marBottom w:val="0"/>
      <w:divBdr>
        <w:top w:val="none" w:sz="0" w:space="0" w:color="auto"/>
        <w:left w:val="none" w:sz="0" w:space="0" w:color="auto"/>
        <w:bottom w:val="none" w:sz="0" w:space="0" w:color="auto"/>
        <w:right w:val="none" w:sz="0" w:space="0" w:color="auto"/>
      </w:divBdr>
      <w:divsChild>
        <w:div w:id="773212464">
          <w:marLeft w:val="0"/>
          <w:marRight w:val="1"/>
          <w:marTop w:val="0"/>
          <w:marBottom w:val="0"/>
          <w:divBdr>
            <w:top w:val="none" w:sz="0" w:space="0" w:color="auto"/>
            <w:left w:val="none" w:sz="0" w:space="0" w:color="auto"/>
            <w:bottom w:val="none" w:sz="0" w:space="0" w:color="auto"/>
            <w:right w:val="none" w:sz="0" w:space="0" w:color="auto"/>
          </w:divBdr>
          <w:divsChild>
            <w:div w:id="983392551">
              <w:marLeft w:val="0"/>
              <w:marRight w:val="0"/>
              <w:marTop w:val="0"/>
              <w:marBottom w:val="0"/>
              <w:divBdr>
                <w:top w:val="none" w:sz="0" w:space="0" w:color="auto"/>
                <w:left w:val="none" w:sz="0" w:space="0" w:color="auto"/>
                <w:bottom w:val="none" w:sz="0" w:space="0" w:color="auto"/>
                <w:right w:val="none" w:sz="0" w:space="0" w:color="auto"/>
              </w:divBdr>
              <w:divsChild>
                <w:div w:id="1115900941">
                  <w:marLeft w:val="0"/>
                  <w:marRight w:val="1"/>
                  <w:marTop w:val="0"/>
                  <w:marBottom w:val="0"/>
                  <w:divBdr>
                    <w:top w:val="none" w:sz="0" w:space="0" w:color="auto"/>
                    <w:left w:val="none" w:sz="0" w:space="0" w:color="auto"/>
                    <w:bottom w:val="none" w:sz="0" w:space="0" w:color="auto"/>
                    <w:right w:val="none" w:sz="0" w:space="0" w:color="auto"/>
                  </w:divBdr>
                  <w:divsChild>
                    <w:div w:id="1972007839">
                      <w:marLeft w:val="0"/>
                      <w:marRight w:val="0"/>
                      <w:marTop w:val="0"/>
                      <w:marBottom w:val="0"/>
                      <w:divBdr>
                        <w:top w:val="none" w:sz="0" w:space="0" w:color="auto"/>
                        <w:left w:val="none" w:sz="0" w:space="0" w:color="auto"/>
                        <w:bottom w:val="none" w:sz="0" w:space="0" w:color="auto"/>
                        <w:right w:val="none" w:sz="0" w:space="0" w:color="auto"/>
                      </w:divBdr>
                      <w:divsChild>
                        <w:div w:id="1630282497">
                          <w:marLeft w:val="0"/>
                          <w:marRight w:val="0"/>
                          <w:marTop w:val="0"/>
                          <w:marBottom w:val="0"/>
                          <w:divBdr>
                            <w:top w:val="none" w:sz="0" w:space="0" w:color="auto"/>
                            <w:left w:val="none" w:sz="0" w:space="0" w:color="auto"/>
                            <w:bottom w:val="none" w:sz="0" w:space="0" w:color="auto"/>
                            <w:right w:val="none" w:sz="0" w:space="0" w:color="auto"/>
                          </w:divBdr>
                          <w:divsChild>
                            <w:div w:id="1657873696">
                              <w:marLeft w:val="0"/>
                              <w:marRight w:val="0"/>
                              <w:marTop w:val="120"/>
                              <w:marBottom w:val="360"/>
                              <w:divBdr>
                                <w:top w:val="none" w:sz="0" w:space="0" w:color="auto"/>
                                <w:left w:val="none" w:sz="0" w:space="0" w:color="auto"/>
                                <w:bottom w:val="none" w:sz="0" w:space="0" w:color="auto"/>
                                <w:right w:val="none" w:sz="0" w:space="0" w:color="auto"/>
                              </w:divBdr>
                              <w:divsChild>
                                <w:div w:id="1558856662">
                                  <w:marLeft w:val="0"/>
                                  <w:marRight w:val="0"/>
                                  <w:marTop w:val="0"/>
                                  <w:marBottom w:val="0"/>
                                  <w:divBdr>
                                    <w:top w:val="none" w:sz="0" w:space="0" w:color="auto"/>
                                    <w:left w:val="none" w:sz="0" w:space="0" w:color="auto"/>
                                    <w:bottom w:val="none" w:sz="0" w:space="0" w:color="auto"/>
                                    <w:right w:val="none" w:sz="0" w:space="0" w:color="auto"/>
                                  </w:divBdr>
                                </w:div>
                                <w:div w:id="196511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361332">
      <w:bodyDiv w:val="1"/>
      <w:marLeft w:val="0"/>
      <w:marRight w:val="0"/>
      <w:marTop w:val="0"/>
      <w:marBottom w:val="0"/>
      <w:divBdr>
        <w:top w:val="none" w:sz="0" w:space="0" w:color="auto"/>
        <w:left w:val="none" w:sz="0" w:space="0" w:color="auto"/>
        <w:bottom w:val="none" w:sz="0" w:space="0" w:color="auto"/>
        <w:right w:val="none" w:sz="0" w:space="0" w:color="auto"/>
      </w:divBdr>
    </w:div>
    <w:div w:id="1358769630">
      <w:bodyDiv w:val="1"/>
      <w:marLeft w:val="0"/>
      <w:marRight w:val="0"/>
      <w:marTop w:val="0"/>
      <w:marBottom w:val="0"/>
      <w:divBdr>
        <w:top w:val="none" w:sz="0" w:space="0" w:color="auto"/>
        <w:left w:val="none" w:sz="0" w:space="0" w:color="auto"/>
        <w:bottom w:val="none" w:sz="0" w:space="0" w:color="auto"/>
        <w:right w:val="none" w:sz="0" w:space="0" w:color="auto"/>
      </w:divBdr>
    </w:div>
    <w:div w:id="1368798669">
      <w:bodyDiv w:val="1"/>
      <w:marLeft w:val="0"/>
      <w:marRight w:val="0"/>
      <w:marTop w:val="0"/>
      <w:marBottom w:val="0"/>
      <w:divBdr>
        <w:top w:val="none" w:sz="0" w:space="0" w:color="auto"/>
        <w:left w:val="none" w:sz="0" w:space="0" w:color="auto"/>
        <w:bottom w:val="none" w:sz="0" w:space="0" w:color="auto"/>
        <w:right w:val="none" w:sz="0" w:space="0" w:color="auto"/>
      </w:divBdr>
    </w:div>
    <w:div w:id="1382898244">
      <w:bodyDiv w:val="1"/>
      <w:marLeft w:val="0"/>
      <w:marRight w:val="0"/>
      <w:marTop w:val="0"/>
      <w:marBottom w:val="0"/>
      <w:divBdr>
        <w:top w:val="none" w:sz="0" w:space="0" w:color="auto"/>
        <w:left w:val="none" w:sz="0" w:space="0" w:color="auto"/>
        <w:bottom w:val="none" w:sz="0" w:space="0" w:color="auto"/>
        <w:right w:val="none" w:sz="0" w:space="0" w:color="auto"/>
      </w:divBdr>
    </w:div>
    <w:div w:id="1386414633">
      <w:bodyDiv w:val="1"/>
      <w:marLeft w:val="0"/>
      <w:marRight w:val="0"/>
      <w:marTop w:val="0"/>
      <w:marBottom w:val="0"/>
      <w:divBdr>
        <w:top w:val="none" w:sz="0" w:space="0" w:color="auto"/>
        <w:left w:val="none" w:sz="0" w:space="0" w:color="auto"/>
        <w:bottom w:val="none" w:sz="0" w:space="0" w:color="auto"/>
        <w:right w:val="none" w:sz="0" w:space="0" w:color="auto"/>
      </w:divBdr>
    </w:div>
    <w:div w:id="1388335664">
      <w:bodyDiv w:val="1"/>
      <w:marLeft w:val="0"/>
      <w:marRight w:val="0"/>
      <w:marTop w:val="0"/>
      <w:marBottom w:val="0"/>
      <w:divBdr>
        <w:top w:val="none" w:sz="0" w:space="0" w:color="auto"/>
        <w:left w:val="none" w:sz="0" w:space="0" w:color="auto"/>
        <w:bottom w:val="none" w:sz="0" w:space="0" w:color="auto"/>
        <w:right w:val="none" w:sz="0" w:space="0" w:color="auto"/>
      </w:divBdr>
    </w:div>
    <w:div w:id="1391466986">
      <w:bodyDiv w:val="1"/>
      <w:marLeft w:val="0"/>
      <w:marRight w:val="0"/>
      <w:marTop w:val="0"/>
      <w:marBottom w:val="0"/>
      <w:divBdr>
        <w:top w:val="none" w:sz="0" w:space="0" w:color="auto"/>
        <w:left w:val="none" w:sz="0" w:space="0" w:color="auto"/>
        <w:bottom w:val="none" w:sz="0" w:space="0" w:color="auto"/>
        <w:right w:val="none" w:sz="0" w:space="0" w:color="auto"/>
      </w:divBdr>
    </w:div>
    <w:div w:id="1406801333">
      <w:bodyDiv w:val="1"/>
      <w:marLeft w:val="0"/>
      <w:marRight w:val="0"/>
      <w:marTop w:val="0"/>
      <w:marBottom w:val="0"/>
      <w:divBdr>
        <w:top w:val="none" w:sz="0" w:space="0" w:color="auto"/>
        <w:left w:val="none" w:sz="0" w:space="0" w:color="auto"/>
        <w:bottom w:val="none" w:sz="0" w:space="0" w:color="auto"/>
        <w:right w:val="none" w:sz="0" w:space="0" w:color="auto"/>
      </w:divBdr>
    </w:div>
    <w:div w:id="1415592047">
      <w:bodyDiv w:val="1"/>
      <w:marLeft w:val="0"/>
      <w:marRight w:val="0"/>
      <w:marTop w:val="0"/>
      <w:marBottom w:val="0"/>
      <w:divBdr>
        <w:top w:val="none" w:sz="0" w:space="0" w:color="auto"/>
        <w:left w:val="none" w:sz="0" w:space="0" w:color="auto"/>
        <w:bottom w:val="none" w:sz="0" w:space="0" w:color="auto"/>
        <w:right w:val="none" w:sz="0" w:space="0" w:color="auto"/>
      </w:divBdr>
    </w:div>
    <w:div w:id="1451126211">
      <w:bodyDiv w:val="1"/>
      <w:marLeft w:val="0"/>
      <w:marRight w:val="0"/>
      <w:marTop w:val="0"/>
      <w:marBottom w:val="0"/>
      <w:divBdr>
        <w:top w:val="none" w:sz="0" w:space="0" w:color="auto"/>
        <w:left w:val="none" w:sz="0" w:space="0" w:color="auto"/>
        <w:bottom w:val="none" w:sz="0" w:space="0" w:color="auto"/>
        <w:right w:val="none" w:sz="0" w:space="0" w:color="auto"/>
      </w:divBdr>
    </w:div>
    <w:div w:id="1471242428">
      <w:bodyDiv w:val="1"/>
      <w:marLeft w:val="0"/>
      <w:marRight w:val="0"/>
      <w:marTop w:val="0"/>
      <w:marBottom w:val="0"/>
      <w:divBdr>
        <w:top w:val="none" w:sz="0" w:space="0" w:color="auto"/>
        <w:left w:val="none" w:sz="0" w:space="0" w:color="auto"/>
        <w:bottom w:val="none" w:sz="0" w:space="0" w:color="auto"/>
        <w:right w:val="none" w:sz="0" w:space="0" w:color="auto"/>
      </w:divBdr>
    </w:div>
    <w:div w:id="1490904342">
      <w:bodyDiv w:val="1"/>
      <w:marLeft w:val="0"/>
      <w:marRight w:val="0"/>
      <w:marTop w:val="0"/>
      <w:marBottom w:val="0"/>
      <w:divBdr>
        <w:top w:val="none" w:sz="0" w:space="0" w:color="auto"/>
        <w:left w:val="none" w:sz="0" w:space="0" w:color="auto"/>
        <w:bottom w:val="none" w:sz="0" w:space="0" w:color="auto"/>
        <w:right w:val="none" w:sz="0" w:space="0" w:color="auto"/>
      </w:divBdr>
    </w:div>
    <w:div w:id="1502620452">
      <w:bodyDiv w:val="1"/>
      <w:marLeft w:val="0"/>
      <w:marRight w:val="0"/>
      <w:marTop w:val="0"/>
      <w:marBottom w:val="0"/>
      <w:divBdr>
        <w:top w:val="none" w:sz="0" w:space="0" w:color="auto"/>
        <w:left w:val="none" w:sz="0" w:space="0" w:color="auto"/>
        <w:bottom w:val="none" w:sz="0" w:space="0" w:color="auto"/>
        <w:right w:val="none" w:sz="0" w:space="0" w:color="auto"/>
      </w:divBdr>
      <w:divsChild>
        <w:div w:id="2147116952">
          <w:marLeft w:val="0"/>
          <w:marRight w:val="1"/>
          <w:marTop w:val="0"/>
          <w:marBottom w:val="0"/>
          <w:divBdr>
            <w:top w:val="none" w:sz="0" w:space="0" w:color="auto"/>
            <w:left w:val="none" w:sz="0" w:space="0" w:color="auto"/>
            <w:bottom w:val="none" w:sz="0" w:space="0" w:color="auto"/>
            <w:right w:val="none" w:sz="0" w:space="0" w:color="auto"/>
          </w:divBdr>
          <w:divsChild>
            <w:div w:id="786660130">
              <w:marLeft w:val="0"/>
              <w:marRight w:val="0"/>
              <w:marTop w:val="0"/>
              <w:marBottom w:val="0"/>
              <w:divBdr>
                <w:top w:val="none" w:sz="0" w:space="0" w:color="auto"/>
                <w:left w:val="none" w:sz="0" w:space="0" w:color="auto"/>
                <w:bottom w:val="none" w:sz="0" w:space="0" w:color="auto"/>
                <w:right w:val="none" w:sz="0" w:space="0" w:color="auto"/>
              </w:divBdr>
              <w:divsChild>
                <w:div w:id="1619726445">
                  <w:marLeft w:val="0"/>
                  <w:marRight w:val="1"/>
                  <w:marTop w:val="0"/>
                  <w:marBottom w:val="0"/>
                  <w:divBdr>
                    <w:top w:val="none" w:sz="0" w:space="0" w:color="auto"/>
                    <w:left w:val="none" w:sz="0" w:space="0" w:color="auto"/>
                    <w:bottom w:val="none" w:sz="0" w:space="0" w:color="auto"/>
                    <w:right w:val="none" w:sz="0" w:space="0" w:color="auto"/>
                  </w:divBdr>
                  <w:divsChild>
                    <w:div w:id="402995320">
                      <w:marLeft w:val="0"/>
                      <w:marRight w:val="0"/>
                      <w:marTop w:val="0"/>
                      <w:marBottom w:val="0"/>
                      <w:divBdr>
                        <w:top w:val="none" w:sz="0" w:space="0" w:color="auto"/>
                        <w:left w:val="none" w:sz="0" w:space="0" w:color="auto"/>
                        <w:bottom w:val="none" w:sz="0" w:space="0" w:color="auto"/>
                        <w:right w:val="none" w:sz="0" w:space="0" w:color="auto"/>
                      </w:divBdr>
                      <w:divsChild>
                        <w:div w:id="1585188792">
                          <w:marLeft w:val="0"/>
                          <w:marRight w:val="0"/>
                          <w:marTop w:val="0"/>
                          <w:marBottom w:val="0"/>
                          <w:divBdr>
                            <w:top w:val="none" w:sz="0" w:space="0" w:color="auto"/>
                            <w:left w:val="none" w:sz="0" w:space="0" w:color="auto"/>
                            <w:bottom w:val="none" w:sz="0" w:space="0" w:color="auto"/>
                            <w:right w:val="none" w:sz="0" w:space="0" w:color="auto"/>
                          </w:divBdr>
                          <w:divsChild>
                            <w:div w:id="483156554">
                              <w:marLeft w:val="0"/>
                              <w:marRight w:val="0"/>
                              <w:marTop w:val="120"/>
                              <w:marBottom w:val="360"/>
                              <w:divBdr>
                                <w:top w:val="none" w:sz="0" w:space="0" w:color="auto"/>
                                <w:left w:val="none" w:sz="0" w:space="0" w:color="auto"/>
                                <w:bottom w:val="none" w:sz="0" w:space="0" w:color="auto"/>
                                <w:right w:val="none" w:sz="0" w:space="0" w:color="auto"/>
                              </w:divBdr>
                              <w:divsChild>
                                <w:div w:id="1124153335">
                                  <w:marLeft w:val="0"/>
                                  <w:marRight w:val="0"/>
                                  <w:marTop w:val="0"/>
                                  <w:marBottom w:val="0"/>
                                  <w:divBdr>
                                    <w:top w:val="none" w:sz="0" w:space="0" w:color="auto"/>
                                    <w:left w:val="none" w:sz="0" w:space="0" w:color="auto"/>
                                    <w:bottom w:val="none" w:sz="0" w:space="0" w:color="auto"/>
                                    <w:right w:val="none" w:sz="0" w:space="0" w:color="auto"/>
                                  </w:divBdr>
                                  <w:divsChild>
                                    <w:div w:id="19383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503447">
      <w:bodyDiv w:val="1"/>
      <w:marLeft w:val="0"/>
      <w:marRight w:val="0"/>
      <w:marTop w:val="0"/>
      <w:marBottom w:val="0"/>
      <w:divBdr>
        <w:top w:val="none" w:sz="0" w:space="0" w:color="auto"/>
        <w:left w:val="none" w:sz="0" w:space="0" w:color="auto"/>
        <w:bottom w:val="none" w:sz="0" w:space="0" w:color="auto"/>
        <w:right w:val="none" w:sz="0" w:space="0" w:color="auto"/>
      </w:divBdr>
    </w:div>
    <w:div w:id="1521777590">
      <w:bodyDiv w:val="1"/>
      <w:marLeft w:val="0"/>
      <w:marRight w:val="0"/>
      <w:marTop w:val="0"/>
      <w:marBottom w:val="0"/>
      <w:divBdr>
        <w:top w:val="none" w:sz="0" w:space="0" w:color="auto"/>
        <w:left w:val="none" w:sz="0" w:space="0" w:color="auto"/>
        <w:bottom w:val="none" w:sz="0" w:space="0" w:color="auto"/>
        <w:right w:val="none" w:sz="0" w:space="0" w:color="auto"/>
      </w:divBdr>
    </w:div>
    <w:div w:id="1522008123">
      <w:bodyDiv w:val="1"/>
      <w:marLeft w:val="0"/>
      <w:marRight w:val="0"/>
      <w:marTop w:val="0"/>
      <w:marBottom w:val="0"/>
      <w:divBdr>
        <w:top w:val="none" w:sz="0" w:space="0" w:color="auto"/>
        <w:left w:val="none" w:sz="0" w:space="0" w:color="auto"/>
        <w:bottom w:val="none" w:sz="0" w:space="0" w:color="auto"/>
        <w:right w:val="none" w:sz="0" w:space="0" w:color="auto"/>
      </w:divBdr>
    </w:div>
    <w:div w:id="1552494145">
      <w:bodyDiv w:val="1"/>
      <w:marLeft w:val="0"/>
      <w:marRight w:val="0"/>
      <w:marTop w:val="0"/>
      <w:marBottom w:val="0"/>
      <w:divBdr>
        <w:top w:val="none" w:sz="0" w:space="0" w:color="auto"/>
        <w:left w:val="none" w:sz="0" w:space="0" w:color="auto"/>
        <w:bottom w:val="none" w:sz="0" w:space="0" w:color="auto"/>
        <w:right w:val="none" w:sz="0" w:space="0" w:color="auto"/>
      </w:divBdr>
      <w:divsChild>
        <w:div w:id="592394720">
          <w:marLeft w:val="0"/>
          <w:marRight w:val="1"/>
          <w:marTop w:val="0"/>
          <w:marBottom w:val="0"/>
          <w:divBdr>
            <w:top w:val="none" w:sz="0" w:space="0" w:color="auto"/>
            <w:left w:val="none" w:sz="0" w:space="0" w:color="auto"/>
            <w:bottom w:val="none" w:sz="0" w:space="0" w:color="auto"/>
            <w:right w:val="none" w:sz="0" w:space="0" w:color="auto"/>
          </w:divBdr>
          <w:divsChild>
            <w:div w:id="294063259">
              <w:marLeft w:val="0"/>
              <w:marRight w:val="0"/>
              <w:marTop w:val="0"/>
              <w:marBottom w:val="0"/>
              <w:divBdr>
                <w:top w:val="none" w:sz="0" w:space="0" w:color="auto"/>
                <w:left w:val="none" w:sz="0" w:space="0" w:color="auto"/>
                <w:bottom w:val="none" w:sz="0" w:space="0" w:color="auto"/>
                <w:right w:val="none" w:sz="0" w:space="0" w:color="auto"/>
              </w:divBdr>
              <w:divsChild>
                <w:div w:id="1353999037">
                  <w:marLeft w:val="0"/>
                  <w:marRight w:val="1"/>
                  <w:marTop w:val="0"/>
                  <w:marBottom w:val="0"/>
                  <w:divBdr>
                    <w:top w:val="none" w:sz="0" w:space="0" w:color="auto"/>
                    <w:left w:val="none" w:sz="0" w:space="0" w:color="auto"/>
                    <w:bottom w:val="none" w:sz="0" w:space="0" w:color="auto"/>
                    <w:right w:val="none" w:sz="0" w:space="0" w:color="auto"/>
                  </w:divBdr>
                  <w:divsChild>
                    <w:div w:id="1417942260">
                      <w:marLeft w:val="0"/>
                      <w:marRight w:val="0"/>
                      <w:marTop w:val="0"/>
                      <w:marBottom w:val="0"/>
                      <w:divBdr>
                        <w:top w:val="none" w:sz="0" w:space="0" w:color="auto"/>
                        <w:left w:val="none" w:sz="0" w:space="0" w:color="auto"/>
                        <w:bottom w:val="none" w:sz="0" w:space="0" w:color="auto"/>
                        <w:right w:val="none" w:sz="0" w:space="0" w:color="auto"/>
                      </w:divBdr>
                      <w:divsChild>
                        <w:div w:id="1302810048">
                          <w:marLeft w:val="0"/>
                          <w:marRight w:val="0"/>
                          <w:marTop w:val="0"/>
                          <w:marBottom w:val="0"/>
                          <w:divBdr>
                            <w:top w:val="none" w:sz="0" w:space="0" w:color="auto"/>
                            <w:left w:val="none" w:sz="0" w:space="0" w:color="auto"/>
                            <w:bottom w:val="none" w:sz="0" w:space="0" w:color="auto"/>
                            <w:right w:val="none" w:sz="0" w:space="0" w:color="auto"/>
                          </w:divBdr>
                          <w:divsChild>
                            <w:div w:id="196507568">
                              <w:marLeft w:val="0"/>
                              <w:marRight w:val="0"/>
                              <w:marTop w:val="120"/>
                              <w:marBottom w:val="360"/>
                              <w:divBdr>
                                <w:top w:val="none" w:sz="0" w:space="0" w:color="auto"/>
                                <w:left w:val="none" w:sz="0" w:space="0" w:color="auto"/>
                                <w:bottom w:val="none" w:sz="0" w:space="0" w:color="auto"/>
                                <w:right w:val="none" w:sz="0" w:space="0" w:color="auto"/>
                              </w:divBdr>
                              <w:divsChild>
                                <w:div w:id="147290638">
                                  <w:marLeft w:val="0"/>
                                  <w:marRight w:val="0"/>
                                  <w:marTop w:val="0"/>
                                  <w:marBottom w:val="0"/>
                                  <w:divBdr>
                                    <w:top w:val="none" w:sz="0" w:space="0" w:color="auto"/>
                                    <w:left w:val="none" w:sz="0" w:space="0" w:color="auto"/>
                                    <w:bottom w:val="none" w:sz="0" w:space="0" w:color="auto"/>
                                    <w:right w:val="none" w:sz="0" w:space="0" w:color="auto"/>
                                  </w:divBdr>
                                </w:div>
                                <w:div w:id="269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406339">
      <w:bodyDiv w:val="1"/>
      <w:marLeft w:val="0"/>
      <w:marRight w:val="0"/>
      <w:marTop w:val="0"/>
      <w:marBottom w:val="0"/>
      <w:divBdr>
        <w:top w:val="none" w:sz="0" w:space="0" w:color="auto"/>
        <w:left w:val="none" w:sz="0" w:space="0" w:color="auto"/>
        <w:bottom w:val="none" w:sz="0" w:space="0" w:color="auto"/>
        <w:right w:val="none" w:sz="0" w:space="0" w:color="auto"/>
      </w:divBdr>
    </w:div>
    <w:div w:id="1570075585">
      <w:bodyDiv w:val="1"/>
      <w:marLeft w:val="0"/>
      <w:marRight w:val="0"/>
      <w:marTop w:val="0"/>
      <w:marBottom w:val="0"/>
      <w:divBdr>
        <w:top w:val="none" w:sz="0" w:space="0" w:color="auto"/>
        <w:left w:val="none" w:sz="0" w:space="0" w:color="auto"/>
        <w:bottom w:val="none" w:sz="0" w:space="0" w:color="auto"/>
        <w:right w:val="none" w:sz="0" w:space="0" w:color="auto"/>
      </w:divBdr>
    </w:div>
    <w:div w:id="1585803647">
      <w:bodyDiv w:val="1"/>
      <w:marLeft w:val="0"/>
      <w:marRight w:val="0"/>
      <w:marTop w:val="0"/>
      <w:marBottom w:val="0"/>
      <w:divBdr>
        <w:top w:val="none" w:sz="0" w:space="0" w:color="auto"/>
        <w:left w:val="none" w:sz="0" w:space="0" w:color="auto"/>
        <w:bottom w:val="none" w:sz="0" w:space="0" w:color="auto"/>
        <w:right w:val="none" w:sz="0" w:space="0" w:color="auto"/>
      </w:divBdr>
    </w:div>
    <w:div w:id="1590505103">
      <w:bodyDiv w:val="1"/>
      <w:marLeft w:val="0"/>
      <w:marRight w:val="0"/>
      <w:marTop w:val="0"/>
      <w:marBottom w:val="0"/>
      <w:divBdr>
        <w:top w:val="none" w:sz="0" w:space="0" w:color="auto"/>
        <w:left w:val="none" w:sz="0" w:space="0" w:color="auto"/>
        <w:bottom w:val="none" w:sz="0" w:space="0" w:color="auto"/>
        <w:right w:val="none" w:sz="0" w:space="0" w:color="auto"/>
      </w:divBdr>
    </w:div>
    <w:div w:id="1603995925">
      <w:bodyDiv w:val="1"/>
      <w:marLeft w:val="0"/>
      <w:marRight w:val="0"/>
      <w:marTop w:val="0"/>
      <w:marBottom w:val="0"/>
      <w:divBdr>
        <w:top w:val="none" w:sz="0" w:space="0" w:color="auto"/>
        <w:left w:val="none" w:sz="0" w:space="0" w:color="auto"/>
        <w:bottom w:val="none" w:sz="0" w:space="0" w:color="auto"/>
        <w:right w:val="none" w:sz="0" w:space="0" w:color="auto"/>
      </w:divBdr>
      <w:divsChild>
        <w:div w:id="392049603">
          <w:marLeft w:val="0"/>
          <w:marRight w:val="1"/>
          <w:marTop w:val="0"/>
          <w:marBottom w:val="0"/>
          <w:divBdr>
            <w:top w:val="none" w:sz="0" w:space="0" w:color="auto"/>
            <w:left w:val="none" w:sz="0" w:space="0" w:color="auto"/>
            <w:bottom w:val="none" w:sz="0" w:space="0" w:color="auto"/>
            <w:right w:val="none" w:sz="0" w:space="0" w:color="auto"/>
          </w:divBdr>
          <w:divsChild>
            <w:div w:id="1603564846">
              <w:marLeft w:val="0"/>
              <w:marRight w:val="0"/>
              <w:marTop w:val="0"/>
              <w:marBottom w:val="0"/>
              <w:divBdr>
                <w:top w:val="none" w:sz="0" w:space="0" w:color="auto"/>
                <w:left w:val="none" w:sz="0" w:space="0" w:color="auto"/>
                <w:bottom w:val="none" w:sz="0" w:space="0" w:color="auto"/>
                <w:right w:val="none" w:sz="0" w:space="0" w:color="auto"/>
              </w:divBdr>
              <w:divsChild>
                <w:div w:id="1525367521">
                  <w:marLeft w:val="0"/>
                  <w:marRight w:val="1"/>
                  <w:marTop w:val="0"/>
                  <w:marBottom w:val="0"/>
                  <w:divBdr>
                    <w:top w:val="none" w:sz="0" w:space="0" w:color="auto"/>
                    <w:left w:val="none" w:sz="0" w:space="0" w:color="auto"/>
                    <w:bottom w:val="none" w:sz="0" w:space="0" w:color="auto"/>
                    <w:right w:val="none" w:sz="0" w:space="0" w:color="auto"/>
                  </w:divBdr>
                  <w:divsChild>
                    <w:div w:id="1569419091">
                      <w:marLeft w:val="0"/>
                      <w:marRight w:val="0"/>
                      <w:marTop w:val="0"/>
                      <w:marBottom w:val="0"/>
                      <w:divBdr>
                        <w:top w:val="none" w:sz="0" w:space="0" w:color="auto"/>
                        <w:left w:val="none" w:sz="0" w:space="0" w:color="auto"/>
                        <w:bottom w:val="none" w:sz="0" w:space="0" w:color="auto"/>
                        <w:right w:val="none" w:sz="0" w:space="0" w:color="auto"/>
                      </w:divBdr>
                      <w:divsChild>
                        <w:div w:id="669453532">
                          <w:marLeft w:val="0"/>
                          <w:marRight w:val="0"/>
                          <w:marTop w:val="0"/>
                          <w:marBottom w:val="0"/>
                          <w:divBdr>
                            <w:top w:val="none" w:sz="0" w:space="0" w:color="auto"/>
                            <w:left w:val="none" w:sz="0" w:space="0" w:color="auto"/>
                            <w:bottom w:val="none" w:sz="0" w:space="0" w:color="auto"/>
                            <w:right w:val="none" w:sz="0" w:space="0" w:color="auto"/>
                          </w:divBdr>
                          <w:divsChild>
                            <w:div w:id="1040939574">
                              <w:marLeft w:val="0"/>
                              <w:marRight w:val="0"/>
                              <w:marTop w:val="120"/>
                              <w:marBottom w:val="360"/>
                              <w:divBdr>
                                <w:top w:val="none" w:sz="0" w:space="0" w:color="auto"/>
                                <w:left w:val="none" w:sz="0" w:space="0" w:color="auto"/>
                                <w:bottom w:val="none" w:sz="0" w:space="0" w:color="auto"/>
                                <w:right w:val="none" w:sz="0" w:space="0" w:color="auto"/>
                              </w:divBdr>
                              <w:divsChild>
                                <w:div w:id="1319846169">
                                  <w:marLeft w:val="0"/>
                                  <w:marRight w:val="0"/>
                                  <w:marTop w:val="0"/>
                                  <w:marBottom w:val="0"/>
                                  <w:divBdr>
                                    <w:top w:val="none" w:sz="0" w:space="0" w:color="auto"/>
                                    <w:left w:val="none" w:sz="0" w:space="0" w:color="auto"/>
                                    <w:bottom w:val="none" w:sz="0" w:space="0" w:color="auto"/>
                                    <w:right w:val="none" w:sz="0" w:space="0" w:color="auto"/>
                                  </w:divBdr>
                                </w:div>
                                <w:div w:id="667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39282">
      <w:bodyDiv w:val="1"/>
      <w:marLeft w:val="0"/>
      <w:marRight w:val="0"/>
      <w:marTop w:val="0"/>
      <w:marBottom w:val="0"/>
      <w:divBdr>
        <w:top w:val="none" w:sz="0" w:space="0" w:color="auto"/>
        <w:left w:val="none" w:sz="0" w:space="0" w:color="auto"/>
        <w:bottom w:val="none" w:sz="0" w:space="0" w:color="auto"/>
        <w:right w:val="none" w:sz="0" w:space="0" w:color="auto"/>
      </w:divBdr>
    </w:div>
    <w:div w:id="1616209037">
      <w:bodyDiv w:val="1"/>
      <w:marLeft w:val="0"/>
      <w:marRight w:val="0"/>
      <w:marTop w:val="0"/>
      <w:marBottom w:val="0"/>
      <w:divBdr>
        <w:top w:val="none" w:sz="0" w:space="0" w:color="auto"/>
        <w:left w:val="none" w:sz="0" w:space="0" w:color="auto"/>
        <w:bottom w:val="none" w:sz="0" w:space="0" w:color="auto"/>
        <w:right w:val="none" w:sz="0" w:space="0" w:color="auto"/>
      </w:divBdr>
    </w:div>
    <w:div w:id="1627079761">
      <w:bodyDiv w:val="1"/>
      <w:marLeft w:val="0"/>
      <w:marRight w:val="0"/>
      <w:marTop w:val="0"/>
      <w:marBottom w:val="0"/>
      <w:divBdr>
        <w:top w:val="none" w:sz="0" w:space="0" w:color="auto"/>
        <w:left w:val="none" w:sz="0" w:space="0" w:color="auto"/>
        <w:bottom w:val="none" w:sz="0" w:space="0" w:color="auto"/>
        <w:right w:val="none" w:sz="0" w:space="0" w:color="auto"/>
      </w:divBdr>
    </w:div>
    <w:div w:id="1644239885">
      <w:bodyDiv w:val="1"/>
      <w:marLeft w:val="0"/>
      <w:marRight w:val="0"/>
      <w:marTop w:val="0"/>
      <w:marBottom w:val="0"/>
      <w:divBdr>
        <w:top w:val="none" w:sz="0" w:space="0" w:color="auto"/>
        <w:left w:val="none" w:sz="0" w:space="0" w:color="auto"/>
        <w:bottom w:val="none" w:sz="0" w:space="0" w:color="auto"/>
        <w:right w:val="none" w:sz="0" w:space="0" w:color="auto"/>
      </w:divBdr>
    </w:div>
    <w:div w:id="1653366867">
      <w:bodyDiv w:val="1"/>
      <w:marLeft w:val="0"/>
      <w:marRight w:val="0"/>
      <w:marTop w:val="0"/>
      <w:marBottom w:val="0"/>
      <w:divBdr>
        <w:top w:val="none" w:sz="0" w:space="0" w:color="auto"/>
        <w:left w:val="none" w:sz="0" w:space="0" w:color="auto"/>
        <w:bottom w:val="none" w:sz="0" w:space="0" w:color="auto"/>
        <w:right w:val="none" w:sz="0" w:space="0" w:color="auto"/>
      </w:divBdr>
    </w:div>
    <w:div w:id="1657102461">
      <w:bodyDiv w:val="1"/>
      <w:marLeft w:val="0"/>
      <w:marRight w:val="0"/>
      <w:marTop w:val="0"/>
      <w:marBottom w:val="0"/>
      <w:divBdr>
        <w:top w:val="none" w:sz="0" w:space="0" w:color="auto"/>
        <w:left w:val="none" w:sz="0" w:space="0" w:color="auto"/>
        <w:bottom w:val="none" w:sz="0" w:space="0" w:color="auto"/>
        <w:right w:val="none" w:sz="0" w:space="0" w:color="auto"/>
      </w:divBdr>
      <w:divsChild>
        <w:div w:id="1062369444">
          <w:marLeft w:val="0"/>
          <w:marRight w:val="1"/>
          <w:marTop w:val="0"/>
          <w:marBottom w:val="0"/>
          <w:divBdr>
            <w:top w:val="none" w:sz="0" w:space="0" w:color="auto"/>
            <w:left w:val="none" w:sz="0" w:space="0" w:color="auto"/>
            <w:bottom w:val="none" w:sz="0" w:space="0" w:color="auto"/>
            <w:right w:val="none" w:sz="0" w:space="0" w:color="auto"/>
          </w:divBdr>
          <w:divsChild>
            <w:div w:id="582028157">
              <w:marLeft w:val="0"/>
              <w:marRight w:val="0"/>
              <w:marTop w:val="0"/>
              <w:marBottom w:val="0"/>
              <w:divBdr>
                <w:top w:val="none" w:sz="0" w:space="0" w:color="auto"/>
                <w:left w:val="none" w:sz="0" w:space="0" w:color="auto"/>
                <w:bottom w:val="none" w:sz="0" w:space="0" w:color="auto"/>
                <w:right w:val="none" w:sz="0" w:space="0" w:color="auto"/>
              </w:divBdr>
              <w:divsChild>
                <w:div w:id="171991047">
                  <w:marLeft w:val="0"/>
                  <w:marRight w:val="1"/>
                  <w:marTop w:val="0"/>
                  <w:marBottom w:val="0"/>
                  <w:divBdr>
                    <w:top w:val="none" w:sz="0" w:space="0" w:color="auto"/>
                    <w:left w:val="none" w:sz="0" w:space="0" w:color="auto"/>
                    <w:bottom w:val="none" w:sz="0" w:space="0" w:color="auto"/>
                    <w:right w:val="none" w:sz="0" w:space="0" w:color="auto"/>
                  </w:divBdr>
                  <w:divsChild>
                    <w:div w:id="1864434361">
                      <w:marLeft w:val="0"/>
                      <w:marRight w:val="0"/>
                      <w:marTop w:val="0"/>
                      <w:marBottom w:val="0"/>
                      <w:divBdr>
                        <w:top w:val="none" w:sz="0" w:space="0" w:color="auto"/>
                        <w:left w:val="none" w:sz="0" w:space="0" w:color="auto"/>
                        <w:bottom w:val="none" w:sz="0" w:space="0" w:color="auto"/>
                        <w:right w:val="none" w:sz="0" w:space="0" w:color="auto"/>
                      </w:divBdr>
                      <w:divsChild>
                        <w:div w:id="995230993">
                          <w:marLeft w:val="0"/>
                          <w:marRight w:val="0"/>
                          <w:marTop w:val="0"/>
                          <w:marBottom w:val="0"/>
                          <w:divBdr>
                            <w:top w:val="none" w:sz="0" w:space="0" w:color="auto"/>
                            <w:left w:val="none" w:sz="0" w:space="0" w:color="auto"/>
                            <w:bottom w:val="none" w:sz="0" w:space="0" w:color="auto"/>
                            <w:right w:val="none" w:sz="0" w:space="0" w:color="auto"/>
                          </w:divBdr>
                          <w:divsChild>
                            <w:div w:id="1653824500">
                              <w:marLeft w:val="0"/>
                              <w:marRight w:val="0"/>
                              <w:marTop w:val="120"/>
                              <w:marBottom w:val="360"/>
                              <w:divBdr>
                                <w:top w:val="none" w:sz="0" w:space="0" w:color="auto"/>
                                <w:left w:val="none" w:sz="0" w:space="0" w:color="auto"/>
                                <w:bottom w:val="none" w:sz="0" w:space="0" w:color="auto"/>
                                <w:right w:val="none" w:sz="0" w:space="0" w:color="auto"/>
                              </w:divBdr>
                              <w:divsChild>
                                <w:div w:id="1597323110">
                                  <w:marLeft w:val="0"/>
                                  <w:marRight w:val="0"/>
                                  <w:marTop w:val="0"/>
                                  <w:marBottom w:val="0"/>
                                  <w:divBdr>
                                    <w:top w:val="none" w:sz="0" w:space="0" w:color="auto"/>
                                    <w:left w:val="none" w:sz="0" w:space="0" w:color="auto"/>
                                    <w:bottom w:val="none" w:sz="0" w:space="0" w:color="auto"/>
                                    <w:right w:val="none" w:sz="0" w:space="0" w:color="auto"/>
                                  </w:divBdr>
                                </w:div>
                                <w:div w:id="12872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208928">
      <w:bodyDiv w:val="1"/>
      <w:marLeft w:val="0"/>
      <w:marRight w:val="0"/>
      <w:marTop w:val="0"/>
      <w:marBottom w:val="0"/>
      <w:divBdr>
        <w:top w:val="none" w:sz="0" w:space="0" w:color="auto"/>
        <w:left w:val="none" w:sz="0" w:space="0" w:color="auto"/>
        <w:bottom w:val="none" w:sz="0" w:space="0" w:color="auto"/>
        <w:right w:val="none" w:sz="0" w:space="0" w:color="auto"/>
      </w:divBdr>
    </w:div>
    <w:div w:id="1727953030">
      <w:bodyDiv w:val="1"/>
      <w:marLeft w:val="0"/>
      <w:marRight w:val="0"/>
      <w:marTop w:val="0"/>
      <w:marBottom w:val="0"/>
      <w:divBdr>
        <w:top w:val="none" w:sz="0" w:space="0" w:color="auto"/>
        <w:left w:val="none" w:sz="0" w:space="0" w:color="auto"/>
        <w:bottom w:val="none" w:sz="0" w:space="0" w:color="auto"/>
        <w:right w:val="none" w:sz="0" w:space="0" w:color="auto"/>
      </w:divBdr>
    </w:div>
    <w:div w:id="1741173833">
      <w:bodyDiv w:val="1"/>
      <w:marLeft w:val="0"/>
      <w:marRight w:val="0"/>
      <w:marTop w:val="0"/>
      <w:marBottom w:val="0"/>
      <w:divBdr>
        <w:top w:val="none" w:sz="0" w:space="0" w:color="auto"/>
        <w:left w:val="none" w:sz="0" w:space="0" w:color="auto"/>
        <w:bottom w:val="none" w:sz="0" w:space="0" w:color="auto"/>
        <w:right w:val="none" w:sz="0" w:space="0" w:color="auto"/>
      </w:divBdr>
    </w:div>
    <w:div w:id="1763992583">
      <w:bodyDiv w:val="1"/>
      <w:marLeft w:val="0"/>
      <w:marRight w:val="0"/>
      <w:marTop w:val="0"/>
      <w:marBottom w:val="0"/>
      <w:divBdr>
        <w:top w:val="none" w:sz="0" w:space="0" w:color="auto"/>
        <w:left w:val="none" w:sz="0" w:space="0" w:color="auto"/>
        <w:bottom w:val="none" w:sz="0" w:space="0" w:color="auto"/>
        <w:right w:val="none" w:sz="0" w:space="0" w:color="auto"/>
      </w:divBdr>
    </w:div>
    <w:div w:id="1796100553">
      <w:bodyDiv w:val="1"/>
      <w:marLeft w:val="0"/>
      <w:marRight w:val="0"/>
      <w:marTop w:val="0"/>
      <w:marBottom w:val="0"/>
      <w:divBdr>
        <w:top w:val="none" w:sz="0" w:space="0" w:color="auto"/>
        <w:left w:val="none" w:sz="0" w:space="0" w:color="auto"/>
        <w:bottom w:val="none" w:sz="0" w:space="0" w:color="auto"/>
        <w:right w:val="none" w:sz="0" w:space="0" w:color="auto"/>
      </w:divBdr>
    </w:div>
    <w:div w:id="1815675640">
      <w:bodyDiv w:val="1"/>
      <w:marLeft w:val="0"/>
      <w:marRight w:val="0"/>
      <w:marTop w:val="0"/>
      <w:marBottom w:val="0"/>
      <w:divBdr>
        <w:top w:val="none" w:sz="0" w:space="0" w:color="auto"/>
        <w:left w:val="none" w:sz="0" w:space="0" w:color="auto"/>
        <w:bottom w:val="none" w:sz="0" w:space="0" w:color="auto"/>
        <w:right w:val="none" w:sz="0" w:space="0" w:color="auto"/>
      </w:divBdr>
    </w:div>
    <w:div w:id="1848909178">
      <w:bodyDiv w:val="1"/>
      <w:marLeft w:val="0"/>
      <w:marRight w:val="0"/>
      <w:marTop w:val="0"/>
      <w:marBottom w:val="0"/>
      <w:divBdr>
        <w:top w:val="none" w:sz="0" w:space="0" w:color="auto"/>
        <w:left w:val="none" w:sz="0" w:space="0" w:color="auto"/>
        <w:bottom w:val="none" w:sz="0" w:space="0" w:color="auto"/>
        <w:right w:val="none" w:sz="0" w:space="0" w:color="auto"/>
      </w:divBdr>
      <w:divsChild>
        <w:div w:id="793641236">
          <w:marLeft w:val="0"/>
          <w:marRight w:val="1"/>
          <w:marTop w:val="0"/>
          <w:marBottom w:val="0"/>
          <w:divBdr>
            <w:top w:val="none" w:sz="0" w:space="0" w:color="auto"/>
            <w:left w:val="none" w:sz="0" w:space="0" w:color="auto"/>
            <w:bottom w:val="none" w:sz="0" w:space="0" w:color="auto"/>
            <w:right w:val="none" w:sz="0" w:space="0" w:color="auto"/>
          </w:divBdr>
          <w:divsChild>
            <w:div w:id="1161658168">
              <w:marLeft w:val="0"/>
              <w:marRight w:val="0"/>
              <w:marTop w:val="0"/>
              <w:marBottom w:val="0"/>
              <w:divBdr>
                <w:top w:val="none" w:sz="0" w:space="0" w:color="auto"/>
                <w:left w:val="none" w:sz="0" w:space="0" w:color="auto"/>
                <w:bottom w:val="none" w:sz="0" w:space="0" w:color="auto"/>
                <w:right w:val="none" w:sz="0" w:space="0" w:color="auto"/>
              </w:divBdr>
              <w:divsChild>
                <w:div w:id="1978367360">
                  <w:marLeft w:val="0"/>
                  <w:marRight w:val="1"/>
                  <w:marTop w:val="0"/>
                  <w:marBottom w:val="0"/>
                  <w:divBdr>
                    <w:top w:val="none" w:sz="0" w:space="0" w:color="auto"/>
                    <w:left w:val="none" w:sz="0" w:space="0" w:color="auto"/>
                    <w:bottom w:val="none" w:sz="0" w:space="0" w:color="auto"/>
                    <w:right w:val="none" w:sz="0" w:space="0" w:color="auto"/>
                  </w:divBdr>
                  <w:divsChild>
                    <w:div w:id="858665814">
                      <w:marLeft w:val="0"/>
                      <w:marRight w:val="0"/>
                      <w:marTop w:val="0"/>
                      <w:marBottom w:val="0"/>
                      <w:divBdr>
                        <w:top w:val="none" w:sz="0" w:space="0" w:color="auto"/>
                        <w:left w:val="none" w:sz="0" w:space="0" w:color="auto"/>
                        <w:bottom w:val="none" w:sz="0" w:space="0" w:color="auto"/>
                        <w:right w:val="none" w:sz="0" w:space="0" w:color="auto"/>
                      </w:divBdr>
                      <w:divsChild>
                        <w:div w:id="134223114">
                          <w:marLeft w:val="0"/>
                          <w:marRight w:val="0"/>
                          <w:marTop w:val="0"/>
                          <w:marBottom w:val="0"/>
                          <w:divBdr>
                            <w:top w:val="none" w:sz="0" w:space="0" w:color="auto"/>
                            <w:left w:val="none" w:sz="0" w:space="0" w:color="auto"/>
                            <w:bottom w:val="none" w:sz="0" w:space="0" w:color="auto"/>
                            <w:right w:val="none" w:sz="0" w:space="0" w:color="auto"/>
                          </w:divBdr>
                          <w:divsChild>
                            <w:div w:id="1562790954">
                              <w:marLeft w:val="0"/>
                              <w:marRight w:val="0"/>
                              <w:marTop w:val="120"/>
                              <w:marBottom w:val="360"/>
                              <w:divBdr>
                                <w:top w:val="none" w:sz="0" w:space="0" w:color="auto"/>
                                <w:left w:val="none" w:sz="0" w:space="0" w:color="auto"/>
                                <w:bottom w:val="none" w:sz="0" w:space="0" w:color="auto"/>
                                <w:right w:val="none" w:sz="0" w:space="0" w:color="auto"/>
                              </w:divBdr>
                              <w:divsChild>
                                <w:div w:id="1850556683">
                                  <w:marLeft w:val="0"/>
                                  <w:marRight w:val="0"/>
                                  <w:marTop w:val="0"/>
                                  <w:marBottom w:val="0"/>
                                  <w:divBdr>
                                    <w:top w:val="none" w:sz="0" w:space="0" w:color="auto"/>
                                    <w:left w:val="none" w:sz="0" w:space="0" w:color="auto"/>
                                    <w:bottom w:val="none" w:sz="0" w:space="0" w:color="auto"/>
                                    <w:right w:val="none" w:sz="0" w:space="0" w:color="auto"/>
                                  </w:divBdr>
                                  <w:divsChild>
                                    <w:div w:id="60472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999199">
      <w:bodyDiv w:val="1"/>
      <w:marLeft w:val="0"/>
      <w:marRight w:val="0"/>
      <w:marTop w:val="0"/>
      <w:marBottom w:val="0"/>
      <w:divBdr>
        <w:top w:val="none" w:sz="0" w:space="0" w:color="auto"/>
        <w:left w:val="none" w:sz="0" w:space="0" w:color="auto"/>
        <w:bottom w:val="none" w:sz="0" w:space="0" w:color="auto"/>
        <w:right w:val="none" w:sz="0" w:space="0" w:color="auto"/>
      </w:divBdr>
    </w:div>
    <w:div w:id="1890994921">
      <w:bodyDiv w:val="1"/>
      <w:marLeft w:val="0"/>
      <w:marRight w:val="0"/>
      <w:marTop w:val="0"/>
      <w:marBottom w:val="0"/>
      <w:divBdr>
        <w:top w:val="none" w:sz="0" w:space="0" w:color="auto"/>
        <w:left w:val="none" w:sz="0" w:space="0" w:color="auto"/>
        <w:bottom w:val="none" w:sz="0" w:space="0" w:color="auto"/>
        <w:right w:val="none" w:sz="0" w:space="0" w:color="auto"/>
      </w:divBdr>
      <w:divsChild>
        <w:div w:id="395395353">
          <w:marLeft w:val="0"/>
          <w:marRight w:val="1"/>
          <w:marTop w:val="0"/>
          <w:marBottom w:val="0"/>
          <w:divBdr>
            <w:top w:val="none" w:sz="0" w:space="0" w:color="auto"/>
            <w:left w:val="none" w:sz="0" w:space="0" w:color="auto"/>
            <w:bottom w:val="none" w:sz="0" w:space="0" w:color="auto"/>
            <w:right w:val="none" w:sz="0" w:space="0" w:color="auto"/>
          </w:divBdr>
          <w:divsChild>
            <w:div w:id="479737757">
              <w:marLeft w:val="0"/>
              <w:marRight w:val="0"/>
              <w:marTop w:val="0"/>
              <w:marBottom w:val="0"/>
              <w:divBdr>
                <w:top w:val="none" w:sz="0" w:space="0" w:color="auto"/>
                <w:left w:val="none" w:sz="0" w:space="0" w:color="auto"/>
                <w:bottom w:val="none" w:sz="0" w:space="0" w:color="auto"/>
                <w:right w:val="none" w:sz="0" w:space="0" w:color="auto"/>
              </w:divBdr>
              <w:divsChild>
                <w:div w:id="1081869967">
                  <w:marLeft w:val="0"/>
                  <w:marRight w:val="1"/>
                  <w:marTop w:val="0"/>
                  <w:marBottom w:val="0"/>
                  <w:divBdr>
                    <w:top w:val="none" w:sz="0" w:space="0" w:color="auto"/>
                    <w:left w:val="none" w:sz="0" w:space="0" w:color="auto"/>
                    <w:bottom w:val="none" w:sz="0" w:space="0" w:color="auto"/>
                    <w:right w:val="none" w:sz="0" w:space="0" w:color="auto"/>
                  </w:divBdr>
                  <w:divsChild>
                    <w:div w:id="915356411">
                      <w:marLeft w:val="0"/>
                      <w:marRight w:val="0"/>
                      <w:marTop w:val="0"/>
                      <w:marBottom w:val="0"/>
                      <w:divBdr>
                        <w:top w:val="none" w:sz="0" w:space="0" w:color="auto"/>
                        <w:left w:val="none" w:sz="0" w:space="0" w:color="auto"/>
                        <w:bottom w:val="none" w:sz="0" w:space="0" w:color="auto"/>
                        <w:right w:val="none" w:sz="0" w:space="0" w:color="auto"/>
                      </w:divBdr>
                      <w:divsChild>
                        <w:div w:id="889615763">
                          <w:marLeft w:val="0"/>
                          <w:marRight w:val="0"/>
                          <w:marTop w:val="0"/>
                          <w:marBottom w:val="0"/>
                          <w:divBdr>
                            <w:top w:val="none" w:sz="0" w:space="0" w:color="auto"/>
                            <w:left w:val="none" w:sz="0" w:space="0" w:color="auto"/>
                            <w:bottom w:val="none" w:sz="0" w:space="0" w:color="auto"/>
                            <w:right w:val="none" w:sz="0" w:space="0" w:color="auto"/>
                          </w:divBdr>
                          <w:divsChild>
                            <w:div w:id="458112126">
                              <w:marLeft w:val="0"/>
                              <w:marRight w:val="0"/>
                              <w:marTop w:val="120"/>
                              <w:marBottom w:val="360"/>
                              <w:divBdr>
                                <w:top w:val="none" w:sz="0" w:space="0" w:color="auto"/>
                                <w:left w:val="none" w:sz="0" w:space="0" w:color="auto"/>
                                <w:bottom w:val="none" w:sz="0" w:space="0" w:color="auto"/>
                                <w:right w:val="none" w:sz="0" w:space="0" w:color="auto"/>
                              </w:divBdr>
                              <w:divsChild>
                                <w:div w:id="754935422">
                                  <w:marLeft w:val="0"/>
                                  <w:marRight w:val="0"/>
                                  <w:marTop w:val="0"/>
                                  <w:marBottom w:val="0"/>
                                  <w:divBdr>
                                    <w:top w:val="none" w:sz="0" w:space="0" w:color="auto"/>
                                    <w:left w:val="none" w:sz="0" w:space="0" w:color="auto"/>
                                    <w:bottom w:val="none" w:sz="0" w:space="0" w:color="auto"/>
                                    <w:right w:val="none" w:sz="0" w:space="0" w:color="auto"/>
                                  </w:divBdr>
                                </w:div>
                                <w:div w:id="38453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264360">
      <w:bodyDiv w:val="1"/>
      <w:marLeft w:val="0"/>
      <w:marRight w:val="0"/>
      <w:marTop w:val="0"/>
      <w:marBottom w:val="0"/>
      <w:divBdr>
        <w:top w:val="none" w:sz="0" w:space="0" w:color="auto"/>
        <w:left w:val="none" w:sz="0" w:space="0" w:color="auto"/>
        <w:bottom w:val="none" w:sz="0" w:space="0" w:color="auto"/>
        <w:right w:val="none" w:sz="0" w:space="0" w:color="auto"/>
      </w:divBdr>
      <w:divsChild>
        <w:div w:id="1993875314">
          <w:marLeft w:val="0"/>
          <w:marRight w:val="1"/>
          <w:marTop w:val="0"/>
          <w:marBottom w:val="0"/>
          <w:divBdr>
            <w:top w:val="none" w:sz="0" w:space="0" w:color="auto"/>
            <w:left w:val="none" w:sz="0" w:space="0" w:color="auto"/>
            <w:bottom w:val="none" w:sz="0" w:space="0" w:color="auto"/>
            <w:right w:val="none" w:sz="0" w:space="0" w:color="auto"/>
          </w:divBdr>
          <w:divsChild>
            <w:div w:id="2104565982">
              <w:marLeft w:val="0"/>
              <w:marRight w:val="0"/>
              <w:marTop w:val="0"/>
              <w:marBottom w:val="0"/>
              <w:divBdr>
                <w:top w:val="none" w:sz="0" w:space="0" w:color="auto"/>
                <w:left w:val="none" w:sz="0" w:space="0" w:color="auto"/>
                <w:bottom w:val="none" w:sz="0" w:space="0" w:color="auto"/>
                <w:right w:val="none" w:sz="0" w:space="0" w:color="auto"/>
              </w:divBdr>
              <w:divsChild>
                <w:div w:id="440220990">
                  <w:marLeft w:val="0"/>
                  <w:marRight w:val="1"/>
                  <w:marTop w:val="0"/>
                  <w:marBottom w:val="0"/>
                  <w:divBdr>
                    <w:top w:val="none" w:sz="0" w:space="0" w:color="auto"/>
                    <w:left w:val="none" w:sz="0" w:space="0" w:color="auto"/>
                    <w:bottom w:val="none" w:sz="0" w:space="0" w:color="auto"/>
                    <w:right w:val="none" w:sz="0" w:space="0" w:color="auto"/>
                  </w:divBdr>
                  <w:divsChild>
                    <w:div w:id="801575958">
                      <w:marLeft w:val="0"/>
                      <w:marRight w:val="0"/>
                      <w:marTop w:val="0"/>
                      <w:marBottom w:val="0"/>
                      <w:divBdr>
                        <w:top w:val="none" w:sz="0" w:space="0" w:color="auto"/>
                        <w:left w:val="none" w:sz="0" w:space="0" w:color="auto"/>
                        <w:bottom w:val="none" w:sz="0" w:space="0" w:color="auto"/>
                        <w:right w:val="none" w:sz="0" w:space="0" w:color="auto"/>
                      </w:divBdr>
                      <w:divsChild>
                        <w:div w:id="2100442480">
                          <w:marLeft w:val="0"/>
                          <w:marRight w:val="0"/>
                          <w:marTop w:val="0"/>
                          <w:marBottom w:val="0"/>
                          <w:divBdr>
                            <w:top w:val="none" w:sz="0" w:space="0" w:color="auto"/>
                            <w:left w:val="none" w:sz="0" w:space="0" w:color="auto"/>
                            <w:bottom w:val="none" w:sz="0" w:space="0" w:color="auto"/>
                            <w:right w:val="none" w:sz="0" w:space="0" w:color="auto"/>
                          </w:divBdr>
                          <w:divsChild>
                            <w:div w:id="29571052">
                              <w:marLeft w:val="0"/>
                              <w:marRight w:val="0"/>
                              <w:marTop w:val="120"/>
                              <w:marBottom w:val="360"/>
                              <w:divBdr>
                                <w:top w:val="none" w:sz="0" w:space="0" w:color="auto"/>
                                <w:left w:val="none" w:sz="0" w:space="0" w:color="auto"/>
                                <w:bottom w:val="none" w:sz="0" w:space="0" w:color="auto"/>
                                <w:right w:val="none" w:sz="0" w:space="0" w:color="auto"/>
                              </w:divBdr>
                              <w:divsChild>
                                <w:div w:id="1910532370">
                                  <w:marLeft w:val="0"/>
                                  <w:marRight w:val="0"/>
                                  <w:marTop w:val="0"/>
                                  <w:marBottom w:val="0"/>
                                  <w:divBdr>
                                    <w:top w:val="none" w:sz="0" w:space="0" w:color="auto"/>
                                    <w:left w:val="none" w:sz="0" w:space="0" w:color="auto"/>
                                    <w:bottom w:val="none" w:sz="0" w:space="0" w:color="auto"/>
                                    <w:right w:val="none" w:sz="0" w:space="0" w:color="auto"/>
                                  </w:divBdr>
                                </w:div>
                                <w:div w:id="1200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9213">
      <w:bodyDiv w:val="1"/>
      <w:marLeft w:val="0"/>
      <w:marRight w:val="0"/>
      <w:marTop w:val="0"/>
      <w:marBottom w:val="0"/>
      <w:divBdr>
        <w:top w:val="none" w:sz="0" w:space="0" w:color="auto"/>
        <w:left w:val="none" w:sz="0" w:space="0" w:color="auto"/>
        <w:bottom w:val="none" w:sz="0" w:space="0" w:color="auto"/>
        <w:right w:val="none" w:sz="0" w:space="0" w:color="auto"/>
      </w:divBdr>
    </w:div>
    <w:div w:id="1979796877">
      <w:bodyDiv w:val="1"/>
      <w:marLeft w:val="0"/>
      <w:marRight w:val="0"/>
      <w:marTop w:val="0"/>
      <w:marBottom w:val="0"/>
      <w:divBdr>
        <w:top w:val="none" w:sz="0" w:space="0" w:color="auto"/>
        <w:left w:val="none" w:sz="0" w:space="0" w:color="auto"/>
        <w:bottom w:val="none" w:sz="0" w:space="0" w:color="auto"/>
        <w:right w:val="none" w:sz="0" w:space="0" w:color="auto"/>
      </w:divBdr>
    </w:div>
    <w:div w:id="2020036484">
      <w:bodyDiv w:val="1"/>
      <w:marLeft w:val="0"/>
      <w:marRight w:val="0"/>
      <w:marTop w:val="0"/>
      <w:marBottom w:val="0"/>
      <w:divBdr>
        <w:top w:val="none" w:sz="0" w:space="0" w:color="auto"/>
        <w:left w:val="none" w:sz="0" w:space="0" w:color="auto"/>
        <w:bottom w:val="none" w:sz="0" w:space="0" w:color="auto"/>
        <w:right w:val="none" w:sz="0" w:space="0" w:color="auto"/>
      </w:divBdr>
    </w:div>
    <w:div w:id="2025785932">
      <w:bodyDiv w:val="1"/>
      <w:marLeft w:val="0"/>
      <w:marRight w:val="0"/>
      <w:marTop w:val="0"/>
      <w:marBottom w:val="0"/>
      <w:divBdr>
        <w:top w:val="none" w:sz="0" w:space="0" w:color="auto"/>
        <w:left w:val="none" w:sz="0" w:space="0" w:color="auto"/>
        <w:bottom w:val="none" w:sz="0" w:space="0" w:color="auto"/>
        <w:right w:val="none" w:sz="0" w:space="0" w:color="auto"/>
      </w:divBdr>
    </w:div>
    <w:div w:id="2044011306">
      <w:bodyDiv w:val="1"/>
      <w:marLeft w:val="0"/>
      <w:marRight w:val="0"/>
      <w:marTop w:val="0"/>
      <w:marBottom w:val="0"/>
      <w:divBdr>
        <w:top w:val="none" w:sz="0" w:space="0" w:color="auto"/>
        <w:left w:val="none" w:sz="0" w:space="0" w:color="auto"/>
        <w:bottom w:val="none" w:sz="0" w:space="0" w:color="auto"/>
        <w:right w:val="none" w:sz="0" w:space="0" w:color="auto"/>
      </w:divBdr>
    </w:div>
    <w:div w:id="2066026091">
      <w:bodyDiv w:val="1"/>
      <w:marLeft w:val="0"/>
      <w:marRight w:val="0"/>
      <w:marTop w:val="0"/>
      <w:marBottom w:val="0"/>
      <w:divBdr>
        <w:top w:val="none" w:sz="0" w:space="0" w:color="auto"/>
        <w:left w:val="none" w:sz="0" w:space="0" w:color="auto"/>
        <w:bottom w:val="none" w:sz="0" w:space="0" w:color="auto"/>
        <w:right w:val="none" w:sz="0" w:space="0" w:color="auto"/>
      </w:divBdr>
    </w:div>
    <w:div w:id="2067146837">
      <w:bodyDiv w:val="1"/>
      <w:marLeft w:val="0"/>
      <w:marRight w:val="0"/>
      <w:marTop w:val="0"/>
      <w:marBottom w:val="0"/>
      <w:divBdr>
        <w:top w:val="none" w:sz="0" w:space="0" w:color="auto"/>
        <w:left w:val="none" w:sz="0" w:space="0" w:color="auto"/>
        <w:bottom w:val="none" w:sz="0" w:space="0" w:color="auto"/>
        <w:right w:val="none" w:sz="0" w:space="0" w:color="auto"/>
      </w:divBdr>
    </w:div>
    <w:div w:id="2081629905">
      <w:bodyDiv w:val="1"/>
      <w:marLeft w:val="0"/>
      <w:marRight w:val="0"/>
      <w:marTop w:val="0"/>
      <w:marBottom w:val="0"/>
      <w:divBdr>
        <w:top w:val="none" w:sz="0" w:space="0" w:color="auto"/>
        <w:left w:val="none" w:sz="0" w:space="0" w:color="auto"/>
        <w:bottom w:val="none" w:sz="0" w:space="0" w:color="auto"/>
        <w:right w:val="none" w:sz="0" w:space="0" w:color="auto"/>
      </w:divBdr>
    </w:div>
    <w:div w:id="2082557654">
      <w:bodyDiv w:val="1"/>
      <w:marLeft w:val="0"/>
      <w:marRight w:val="0"/>
      <w:marTop w:val="0"/>
      <w:marBottom w:val="0"/>
      <w:divBdr>
        <w:top w:val="none" w:sz="0" w:space="0" w:color="auto"/>
        <w:left w:val="none" w:sz="0" w:space="0" w:color="auto"/>
        <w:bottom w:val="none" w:sz="0" w:space="0" w:color="auto"/>
        <w:right w:val="none" w:sz="0" w:space="0" w:color="auto"/>
      </w:divBdr>
    </w:div>
    <w:div w:id="2085444910">
      <w:bodyDiv w:val="1"/>
      <w:marLeft w:val="0"/>
      <w:marRight w:val="0"/>
      <w:marTop w:val="0"/>
      <w:marBottom w:val="0"/>
      <w:divBdr>
        <w:top w:val="none" w:sz="0" w:space="0" w:color="auto"/>
        <w:left w:val="none" w:sz="0" w:space="0" w:color="auto"/>
        <w:bottom w:val="none" w:sz="0" w:space="0" w:color="auto"/>
        <w:right w:val="none" w:sz="0" w:space="0" w:color="auto"/>
      </w:divBdr>
      <w:divsChild>
        <w:div w:id="1972785775">
          <w:marLeft w:val="0"/>
          <w:marRight w:val="1"/>
          <w:marTop w:val="0"/>
          <w:marBottom w:val="0"/>
          <w:divBdr>
            <w:top w:val="none" w:sz="0" w:space="0" w:color="auto"/>
            <w:left w:val="none" w:sz="0" w:space="0" w:color="auto"/>
            <w:bottom w:val="none" w:sz="0" w:space="0" w:color="auto"/>
            <w:right w:val="none" w:sz="0" w:space="0" w:color="auto"/>
          </w:divBdr>
          <w:divsChild>
            <w:div w:id="784810535">
              <w:marLeft w:val="0"/>
              <w:marRight w:val="0"/>
              <w:marTop w:val="0"/>
              <w:marBottom w:val="0"/>
              <w:divBdr>
                <w:top w:val="none" w:sz="0" w:space="0" w:color="auto"/>
                <w:left w:val="none" w:sz="0" w:space="0" w:color="auto"/>
                <w:bottom w:val="none" w:sz="0" w:space="0" w:color="auto"/>
                <w:right w:val="none" w:sz="0" w:space="0" w:color="auto"/>
              </w:divBdr>
              <w:divsChild>
                <w:div w:id="14693881">
                  <w:marLeft w:val="0"/>
                  <w:marRight w:val="1"/>
                  <w:marTop w:val="0"/>
                  <w:marBottom w:val="0"/>
                  <w:divBdr>
                    <w:top w:val="none" w:sz="0" w:space="0" w:color="auto"/>
                    <w:left w:val="none" w:sz="0" w:space="0" w:color="auto"/>
                    <w:bottom w:val="none" w:sz="0" w:space="0" w:color="auto"/>
                    <w:right w:val="none" w:sz="0" w:space="0" w:color="auto"/>
                  </w:divBdr>
                  <w:divsChild>
                    <w:div w:id="1892230353">
                      <w:marLeft w:val="0"/>
                      <w:marRight w:val="0"/>
                      <w:marTop w:val="0"/>
                      <w:marBottom w:val="0"/>
                      <w:divBdr>
                        <w:top w:val="none" w:sz="0" w:space="0" w:color="auto"/>
                        <w:left w:val="none" w:sz="0" w:space="0" w:color="auto"/>
                        <w:bottom w:val="none" w:sz="0" w:space="0" w:color="auto"/>
                        <w:right w:val="none" w:sz="0" w:space="0" w:color="auto"/>
                      </w:divBdr>
                      <w:divsChild>
                        <w:div w:id="1939408155">
                          <w:marLeft w:val="0"/>
                          <w:marRight w:val="0"/>
                          <w:marTop w:val="0"/>
                          <w:marBottom w:val="0"/>
                          <w:divBdr>
                            <w:top w:val="none" w:sz="0" w:space="0" w:color="auto"/>
                            <w:left w:val="none" w:sz="0" w:space="0" w:color="auto"/>
                            <w:bottom w:val="none" w:sz="0" w:space="0" w:color="auto"/>
                            <w:right w:val="none" w:sz="0" w:space="0" w:color="auto"/>
                          </w:divBdr>
                          <w:divsChild>
                            <w:div w:id="10106937">
                              <w:marLeft w:val="0"/>
                              <w:marRight w:val="0"/>
                              <w:marTop w:val="120"/>
                              <w:marBottom w:val="360"/>
                              <w:divBdr>
                                <w:top w:val="none" w:sz="0" w:space="0" w:color="auto"/>
                                <w:left w:val="none" w:sz="0" w:space="0" w:color="auto"/>
                                <w:bottom w:val="none" w:sz="0" w:space="0" w:color="auto"/>
                                <w:right w:val="none" w:sz="0" w:space="0" w:color="auto"/>
                              </w:divBdr>
                              <w:divsChild>
                                <w:div w:id="1826967699">
                                  <w:marLeft w:val="0"/>
                                  <w:marRight w:val="0"/>
                                  <w:marTop w:val="0"/>
                                  <w:marBottom w:val="0"/>
                                  <w:divBdr>
                                    <w:top w:val="none" w:sz="0" w:space="0" w:color="auto"/>
                                    <w:left w:val="none" w:sz="0" w:space="0" w:color="auto"/>
                                    <w:bottom w:val="none" w:sz="0" w:space="0" w:color="auto"/>
                                    <w:right w:val="none" w:sz="0" w:space="0" w:color="auto"/>
                                  </w:divBdr>
                                </w:div>
                                <w:div w:id="6201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968904">
      <w:bodyDiv w:val="1"/>
      <w:marLeft w:val="0"/>
      <w:marRight w:val="0"/>
      <w:marTop w:val="0"/>
      <w:marBottom w:val="0"/>
      <w:divBdr>
        <w:top w:val="none" w:sz="0" w:space="0" w:color="auto"/>
        <w:left w:val="none" w:sz="0" w:space="0" w:color="auto"/>
        <w:bottom w:val="none" w:sz="0" w:space="0" w:color="auto"/>
        <w:right w:val="none" w:sz="0" w:space="0" w:color="auto"/>
      </w:divBdr>
    </w:div>
    <w:div w:id="2118718786">
      <w:bodyDiv w:val="1"/>
      <w:marLeft w:val="0"/>
      <w:marRight w:val="0"/>
      <w:marTop w:val="0"/>
      <w:marBottom w:val="0"/>
      <w:divBdr>
        <w:top w:val="none" w:sz="0" w:space="0" w:color="auto"/>
        <w:left w:val="none" w:sz="0" w:space="0" w:color="auto"/>
        <w:bottom w:val="none" w:sz="0" w:space="0" w:color="auto"/>
        <w:right w:val="none" w:sz="0" w:space="0" w:color="auto"/>
      </w:divBdr>
      <w:divsChild>
        <w:div w:id="1048649049">
          <w:marLeft w:val="0"/>
          <w:marRight w:val="1"/>
          <w:marTop w:val="0"/>
          <w:marBottom w:val="0"/>
          <w:divBdr>
            <w:top w:val="none" w:sz="0" w:space="0" w:color="auto"/>
            <w:left w:val="none" w:sz="0" w:space="0" w:color="auto"/>
            <w:bottom w:val="none" w:sz="0" w:space="0" w:color="auto"/>
            <w:right w:val="none" w:sz="0" w:space="0" w:color="auto"/>
          </w:divBdr>
          <w:divsChild>
            <w:div w:id="1643925781">
              <w:marLeft w:val="0"/>
              <w:marRight w:val="0"/>
              <w:marTop w:val="0"/>
              <w:marBottom w:val="0"/>
              <w:divBdr>
                <w:top w:val="none" w:sz="0" w:space="0" w:color="auto"/>
                <w:left w:val="none" w:sz="0" w:space="0" w:color="auto"/>
                <w:bottom w:val="none" w:sz="0" w:space="0" w:color="auto"/>
                <w:right w:val="none" w:sz="0" w:space="0" w:color="auto"/>
              </w:divBdr>
              <w:divsChild>
                <w:div w:id="1114247669">
                  <w:marLeft w:val="0"/>
                  <w:marRight w:val="1"/>
                  <w:marTop w:val="0"/>
                  <w:marBottom w:val="0"/>
                  <w:divBdr>
                    <w:top w:val="none" w:sz="0" w:space="0" w:color="auto"/>
                    <w:left w:val="none" w:sz="0" w:space="0" w:color="auto"/>
                    <w:bottom w:val="none" w:sz="0" w:space="0" w:color="auto"/>
                    <w:right w:val="none" w:sz="0" w:space="0" w:color="auto"/>
                  </w:divBdr>
                  <w:divsChild>
                    <w:div w:id="792016751">
                      <w:marLeft w:val="0"/>
                      <w:marRight w:val="0"/>
                      <w:marTop w:val="0"/>
                      <w:marBottom w:val="0"/>
                      <w:divBdr>
                        <w:top w:val="none" w:sz="0" w:space="0" w:color="auto"/>
                        <w:left w:val="none" w:sz="0" w:space="0" w:color="auto"/>
                        <w:bottom w:val="none" w:sz="0" w:space="0" w:color="auto"/>
                        <w:right w:val="none" w:sz="0" w:space="0" w:color="auto"/>
                      </w:divBdr>
                      <w:divsChild>
                        <w:div w:id="917717568">
                          <w:marLeft w:val="0"/>
                          <w:marRight w:val="0"/>
                          <w:marTop w:val="0"/>
                          <w:marBottom w:val="0"/>
                          <w:divBdr>
                            <w:top w:val="none" w:sz="0" w:space="0" w:color="auto"/>
                            <w:left w:val="none" w:sz="0" w:space="0" w:color="auto"/>
                            <w:bottom w:val="none" w:sz="0" w:space="0" w:color="auto"/>
                            <w:right w:val="none" w:sz="0" w:space="0" w:color="auto"/>
                          </w:divBdr>
                          <w:divsChild>
                            <w:div w:id="1059790615">
                              <w:marLeft w:val="0"/>
                              <w:marRight w:val="0"/>
                              <w:marTop w:val="120"/>
                              <w:marBottom w:val="360"/>
                              <w:divBdr>
                                <w:top w:val="none" w:sz="0" w:space="0" w:color="auto"/>
                                <w:left w:val="none" w:sz="0" w:space="0" w:color="auto"/>
                                <w:bottom w:val="none" w:sz="0" w:space="0" w:color="auto"/>
                                <w:right w:val="none" w:sz="0" w:space="0" w:color="auto"/>
                              </w:divBdr>
                              <w:divsChild>
                                <w:div w:id="1462655186">
                                  <w:marLeft w:val="0"/>
                                  <w:marRight w:val="0"/>
                                  <w:marTop w:val="0"/>
                                  <w:marBottom w:val="0"/>
                                  <w:divBdr>
                                    <w:top w:val="none" w:sz="0" w:space="0" w:color="auto"/>
                                    <w:left w:val="none" w:sz="0" w:space="0" w:color="auto"/>
                                    <w:bottom w:val="none" w:sz="0" w:space="0" w:color="auto"/>
                                    <w:right w:val="none" w:sz="0" w:space="0" w:color="auto"/>
                                  </w:divBdr>
                                </w:div>
                                <w:div w:id="2929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279700">
      <w:bodyDiv w:val="1"/>
      <w:marLeft w:val="0"/>
      <w:marRight w:val="0"/>
      <w:marTop w:val="0"/>
      <w:marBottom w:val="0"/>
      <w:divBdr>
        <w:top w:val="none" w:sz="0" w:space="0" w:color="auto"/>
        <w:left w:val="none" w:sz="0" w:space="0" w:color="auto"/>
        <w:bottom w:val="none" w:sz="0" w:space="0" w:color="auto"/>
        <w:right w:val="none" w:sz="0" w:space="0" w:color="auto"/>
      </w:divBdr>
    </w:div>
    <w:div w:id="2133864998">
      <w:bodyDiv w:val="1"/>
      <w:marLeft w:val="0"/>
      <w:marRight w:val="0"/>
      <w:marTop w:val="0"/>
      <w:marBottom w:val="0"/>
      <w:divBdr>
        <w:top w:val="none" w:sz="0" w:space="0" w:color="auto"/>
        <w:left w:val="none" w:sz="0" w:space="0" w:color="auto"/>
        <w:bottom w:val="none" w:sz="0" w:space="0" w:color="auto"/>
        <w:right w:val="none" w:sz="0" w:space="0" w:color="auto"/>
      </w:divBdr>
    </w:div>
    <w:div w:id="213852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F3ACB-BC79-4A65-8B0E-00676ED2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10567</Words>
  <Characters>60232</Characters>
  <Application>Microsoft Office Word</Application>
  <DocSecurity>0</DocSecurity>
  <Lines>501</Lines>
  <Paragraphs>141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70658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2015-09-28T11:15:00Z</dcterms:created>
  <dcterms:modified xsi:type="dcterms:W3CDTF">2015-09-28T11:15:00Z</dcterms:modified>
</cp:coreProperties>
</file>