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602965" w14:textId="77777777" w:rsidR="004F0B9C" w:rsidRPr="00712539" w:rsidRDefault="004F0B9C" w:rsidP="0093109B">
      <w:pPr>
        <w:spacing w:after="0" w:line="360" w:lineRule="auto"/>
        <w:jc w:val="both"/>
        <w:rPr>
          <w:rFonts w:ascii="Book Antiqua" w:hAnsi="Book Antiqua"/>
          <w:sz w:val="24"/>
          <w:szCs w:val="24"/>
          <w:lang w:val="en-US"/>
        </w:rPr>
      </w:pPr>
      <w:r w:rsidRPr="00712539">
        <w:rPr>
          <w:rFonts w:ascii="Book Antiqua" w:hAnsi="Book Antiqua"/>
          <w:b/>
          <w:sz w:val="24"/>
          <w:szCs w:val="24"/>
          <w:lang w:val="en-US"/>
        </w:rPr>
        <w:t xml:space="preserve">Name of Journal: </w:t>
      </w:r>
      <w:r w:rsidRPr="00712539">
        <w:rPr>
          <w:rFonts w:ascii="Book Antiqua" w:hAnsi="Book Antiqua" w:cs="Tahoma"/>
          <w:b/>
          <w:i/>
          <w:sz w:val="24"/>
          <w:szCs w:val="24"/>
          <w:lang w:val="en-US"/>
        </w:rPr>
        <w:t>World Journal of Gastrointestinal Oncology</w:t>
      </w:r>
    </w:p>
    <w:p w14:paraId="6720E2F4" w14:textId="77777777" w:rsidR="004F0B9C" w:rsidRPr="00712539" w:rsidRDefault="004F0B9C" w:rsidP="0093109B">
      <w:pPr>
        <w:spacing w:after="0" w:line="360" w:lineRule="auto"/>
        <w:jc w:val="both"/>
        <w:rPr>
          <w:rFonts w:ascii="Book Antiqua" w:hAnsi="Book Antiqua"/>
          <w:b/>
          <w:sz w:val="24"/>
          <w:szCs w:val="24"/>
          <w:lang w:val="en-US" w:eastAsia="zh-CN"/>
        </w:rPr>
      </w:pPr>
      <w:r w:rsidRPr="00712539">
        <w:rPr>
          <w:rFonts w:ascii="Book Antiqua" w:hAnsi="Book Antiqua"/>
          <w:b/>
          <w:sz w:val="24"/>
          <w:szCs w:val="24"/>
          <w:lang w:val="en-US"/>
        </w:rPr>
        <w:t xml:space="preserve">ESPS Manuscript NO: </w:t>
      </w:r>
      <w:r w:rsidRPr="00712539">
        <w:rPr>
          <w:rFonts w:ascii="Book Antiqua" w:hAnsi="Book Antiqua"/>
          <w:b/>
          <w:sz w:val="24"/>
          <w:szCs w:val="24"/>
          <w:lang w:val="en-US" w:eastAsia="zh-CN"/>
        </w:rPr>
        <w:t>21339</w:t>
      </w:r>
    </w:p>
    <w:p w14:paraId="73AF8D9E" w14:textId="77777777" w:rsidR="004F0B9C" w:rsidRPr="00712539" w:rsidRDefault="004F0B9C" w:rsidP="0093109B">
      <w:pPr>
        <w:spacing w:after="0" w:line="360" w:lineRule="auto"/>
        <w:jc w:val="both"/>
        <w:rPr>
          <w:rFonts w:ascii="Book Antiqua" w:hAnsi="Book Antiqua"/>
          <w:b/>
          <w:sz w:val="24"/>
          <w:szCs w:val="24"/>
          <w:lang w:val="en-US" w:eastAsia="zh-CN"/>
        </w:rPr>
      </w:pPr>
      <w:r w:rsidRPr="00712539">
        <w:rPr>
          <w:rFonts w:ascii="Book Antiqua" w:hAnsi="Book Antiqua"/>
          <w:b/>
          <w:sz w:val="24"/>
          <w:szCs w:val="24"/>
          <w:lang w:val="en-US"/>
        </w:rPr>
        <w:t>Manuscript Type:</w:t>
      </w:r>
      <w:r w:rsidRPr="00712539">
        <w:rPr>
          <w:rFonts w:ascii="Book Antiqua" w:hAnsi="Book Antiqua"/>
          <w:b/>
          <w:sz w:val="24"/>
          <w:szCs w:val="24"/>
          <w:lang w:val="en-US" w:eastAsia="zh-CN"/>
        </w:rPr>
        <w:t xml:space="preserve"> REVIEW</w:t>
      </w:r>
    </w:p>
    <w:p w14:paraId="30D8E494" w14:textId="77777777" w:rsidR="004F0B9C" w:rsidRPr="00712539" w:rsidRDefault="004F0B9C" w:rsidP="0093109B">
      <w:pPr>
        <w:spacing w:after="0" w:line="360" w:lineRule="auto"/>
        <w:jc w:val="both"/>
        <w:rPr>
          <w:rFonts w:ascii="Book Antiqua" w:hAnsi="Book Antiqua"/>
          <w:b/>
          <w:sz w:val="24"/>
          <w:szCs w:val="24"/>
          <w:lang w:val="en-US" w:eastAsia="zh-CN"/>
        </w:rPr>
      </w:pPr>
    </w:p>
    <w:p w14:paraId="0BC5D71D" w14:textId="77777777" w:rsidR="004F0B9C" w:rsidRPr="00712539" w:rsidRDefault="004F0B9C" w:rsidP="0093109B">
      <w:pPr>
        <w:spacing w:after="0" w:line="360" w:lineRule="auto"/>
        <w:jc w:val="both"/>
        <w:rPr>
          <w:rFonts w:ascii="Book Antiqua" w:hAnsi="Book Antiqua"/>
          <w:b/>
          <w:sz w:val="24"/>
          <w:szCs w:val="24"/>
          <w:lang w:val="en-US"/>
        </w:rPr>
      </w:pPr>
      <w:r w:rsidRPr="00712539">
        <w:rPr>
          <w:rFonts w:ascii="Book Antiqua" w:hAnsi="Book Antiqua"/>
          <w:b/>
          <w:sz w:val="24"/>
          <w:szCs w:val="24"/>
          <w:lang w:val="en-US"/>
        </w:rPr>
        <w:t xml:space="preserve">Primary prevention and treatment of venous thromboembolic events in patients with gastrointestinal cancers </w:t>
      </w:r>
      <w:r w:rsidRPr="00712539">
        <w:rPr>
          <w:rFonts w:ascii="Book Antiqua" w:hAnsi="Book Antiqua"/>
          <w:b/>
          <w:sz w:val="24"/>
          <w:szCs w:val="24"/>
          <w:lang w:val="en-US" w:eastAsia="zh-CN"/>
        </w:rPr>
        <w:t>-</w:t>
      </w:r>
      <w:r w:rsidRPr="00712539">
        <w:rPr>
          <w:rFonts w:ascii="Book Antiqua" w:hAnsi="Book Antiqua"/>
          <w:b/>
          <w:sz w:val="24"/>
          <w:szCs w:val="24"/>
          <w:lang w:val="en-US"/>
        </w:rPr>
        <w:t xml:space="preserve"> Review</w:t>
      </w:r>
    </w:p>
    <w:p w14:paraId="3FDA22BE" w14:textId="77777777" w:rsidR="004F0B9C" w:rsidRPr="00712539" w:rsidRDefault="004F0B9C" w:rsidP="0093109B">
      <w:pPr>
        <w:spacing w:after="0" w:line="360" w:lineRule="auto"/>
        <w:jc w:val="both"/>
        <w:rPr>
          <w:rFonts w:ascii="Book Antiqua" w:hAnsi="Book Antiqua"/>
          <w:sz w:val="24"/>
          <w:szCs w:val="24"/>
          <w:lang w:val="en-US" w:eastAsia="zh-CN"/>
        </w:rPr>
      </w:pPr>
    </w:p>
    <w:p w14:paraId="2E739722" w14:textId="37B1114B" w:rsidR="004F0B9C" w:rsidRPr="00712539" w:rsidRDefault="00E97D8A" w:rsidP="0093109B">
      <w:pPr>
        <w:spacing w:after="0" w:line="360" w:lineRule="auto"/>
        <w:jc w:val="both"/>
        <w:rPr>
          <w:rFonts w:ascii="Book Antiqua" w:hAnsi="Book Antiqua"/>
          <w:sz w:val="24"/>
          <w:szCs w:val="24"/>
          <w:lang w:val="en-US" w:eastAsia="zh-CN"/>
        </w:rPr>
      </w:pPr>
      <w:r w:rsidRPr="00712539">
        <w:rPr>
          <w:rFonts w:ascii="Book Antiqua" w:hAnsi="Book Antiqua"/>
          <w:sz w:val="24"/>
          <w:szCs w:val="24"/>
          <w:lang w:val="en-US"/>
        </w:rPr>
        <w:t>Riess</w:t>
      </w:r>
      <w:r w:rsidRPr="00712539">
        <w:rPr>
          <w:rFonts w:ascii="Book Antiqua" w:hAnsi="Book Antiqua"/>
          <w:sz w:val="24"/>
          <w:szCs w:val="24"/>
          <w:lang w:val="en-US" w:eastAsia="zh-CN"/>
        </w:rPr>
        <w:t xml:space="preserve"> H </w:t>
      </w:r>
      <w:r w:rsidRPr="00712539">
        <w:rPr>
          <w:rFonts w:ascii="Book Antiqua" w:hAnsi="Book Antiqua"/>
          <w:i/>
          <w:sz w:val="24"/>
          <w:szCs w:val="24"/>
          <w:lang w:val="en-US" w:eastAsia="zh-CN"/>
        </w:rPr>
        <w:t>et al.</w:t>
      </w:r>
      <w:r w:rsidR="004F0B9C" w:rsidRPr="00712539">
        <w:rPr>
          <w:rFonts w:ascii="Book Antiqua" w:hAnsi="Book Antiqua"/>
          <w:sz w:val="24"/>
          <w:szCs w:val="24"/>
          <w:lang w:val="en-US"/>
        </w:rPr>
        <w:t xml:space="preserve"> </w:t>
      </w:r>
      <w:r w:rsidR="00E43561" w:rsidRPr="00712539">
        <w:rPr>
          <w:rFonts w:ascii="Book Antiqua" w:hAnsi="Book Antiqua"/>
          <w:sz w:val="24"/>
          <w:szCs w:val="24"/>
          <w:lang w:val="en-US"/>
        </w:rPr>
        <w:t>Venous thromboembolism in gastrointestinal cancers</w:t>
      </w:r>
    </w:p>
    <w:p w14:paraId="6053D304" w14:textId="77777777" w:rsidR="00E97D8A" w:rsidRPr="00712539" w:rsidRDefault="00E97D8A" w:rsidP="0093109B">
      <w:pPr>
        <w:spacing w:after="0" w:line="360" w:lineRule="auto"/>
        <w:jc w:val="both"/>
        <w:rPr>
          <w:rFonts w:ascii="Book Antiqua" w:hAnsi="Book Antiqua"/>
          <w:b/>
          <w:sz w:val="24"/>
          <w:szCs w:val="24"/>
          <w:lang w:val="en-US" w:eastAsia="zh-CN"/>
        </w:rPr>
      </w:pPr>
    </w:p>
    <w:p w14:paraId="628A1F8D" w14:textId="77777777" w:rsidR="00E97D8A" w:rsidRPr="00712539" w:rsidRDefault="00E97D8A" w:rsidP="0093109B">
      <w:pPr>
        <w:spacing w:after="0" w:line="360" w:lineRule="auto"/>
        <w:jc w:val="both"/>
        <w:rPr>
          <w:rFonts w:ascii="Book Antiqua" w:hAnsi="Book Antiqua"/>
          <w:b/>
          <w:sz w:val="24"/>
          <w:szCs w:val="24"/>
          <w:lang w:val="en-US" w:eastAsia="zh-CN"/>
        </w:rPr>
      </w:pPr>
      <w:r w:rsidRPr="00712539">
        <w:rPr>
          <w:rFonts w:ascii="Book Antiqua" w:hAnsi="Book Antiqua"/>
          <w:b/>
          <w:sz w:val="24"/>
          <w:szCs w:val="24"/>
          <w:lang w:val="en-US"/>
        </w:rPr>
        <w:t>Hanno Riess, Piet Habbel, Anja Jühling, Marianne Sinn, Uwe Pelzer</w:t>
      </w:r>
    </w:p>
    <w:p w14:paraId="0AD32DA1" w14:textId="77777777" w:rsidR="00E97D8A" w:rsidRPr="00712539" w:rsidRDefault="00E97D8A" w:rsidP="0093109B">
      <w:pPr>
        <w:spacing w:after="0" w:line="360" w:lineRule="auto"/>
        <w:jc w:val="both"/>
        <w:rPr>
          <w:rFonts w:ascii="Book Antiqua" w:eastAsia="Arial Unicode MS" w:hAnsi="Book Antiqua" w:cs="Arial Unicode MS"/>
          <w:sz w:val="24"/>
          <w:szCs w:val="24"/>
          <w:lang w:val="en-US" w:eastAsia="zh-CN"/>
        </w:rPr>
      </w:pPr>
    </w:p>
    <w:p w14:paraId="7D7223FB" w14:textId="1EDB4AF3" w:rsidR="00710DAA" w:rsidRPr="00712539" w:rsidRDefault="00710DAA" w:rsidP="0093109B">
      <w:pPr>
        <w:spacing w:after="0" w:line="360" w:lineRule="auto"/>
        <w:jc w:val="both"/>
        <w:rPr>
          <w:rFonts w:ascii="Book Antiqua" w:hAnsi="Book Antiqua"/>
          <w:b/>
          <w:sz w:val="24"/>
          <w:szCs w:val="24"/>
          <w:lang w:val="en-US" w:eastAsia="zh-CN"/>
        </w:rPr>
      </w:pPr>
      <w:r w:rsidRPr="00712539">
        <w:rPr>
          <w:rFonts w:ascii="Book Antiqua" w:hAnsi="Book Antiqua"/>
          <w:b/>
          <w:sz w:val="24"/>
          <w:szCs w:val="24"/>
          <w:lang w:val="en-US"/>
        </w:rPr>
        <w:t>Hanno Riess, Piet Habbel, Anja Jühling, Marianne Sinn, Uwe Pelzer</w:t>
      </w:r>
      <w:r w:rsidRPr="00712539">
        <w:rPr>
          <w:rFonts w:ascii="Book Antiqua" w:hAnsi="Book Antiqua"/>
          <w:b/>
          <w:sz w:val="24"/>
          <w:szCs w:val="24"/>
          <w:lang w:val="en-US" w:eastAsia="zh-CN"/>
        </w:rPr>
        <w:t xml:space="preserve">, </w:t>
      </w:r>
      <w:r w:rsidRPr="00712539">
        <w:rPr>
          <w:rFonts w:ascii="Book Antiqua" w:hAnsi="Book Antiqua"/>
          <w:sz w:val="24"/>
          <w:szCs w:val="24"/>
          <w:lang w:val="en-US"/>
        </w:rPr>
        <w:t>Department of Hematology, Oncology and Tumor Immunology, Charité University Medicine Berlin, 10117 Berlin, Germany</w:t>
      </w:r>
    </w:p>
    <w:p w14:paraId="6FADE68A" w14:textId="77777777" w:rsidR="00710DAA" w:rsidRPr="00712539" w:rsidRDefault="00710DAA" w:rsidP="0093109B">
      <w:pPr>
        <w:spacing w:after="0" w:line="360" w:lineRule="auto"/>
        <w:jc w:val="both"/>
        <w:rPr>
          <w:rFonts w:ascii="Book Antiqua" w:eastAsia="Arial Unicode MS" w:hAnsi="Book Antiqua" w:cs="Arial Unicode MS"/>
          <w:sz w:val="24"/>
          <w:szCs w:val="24"/>
          <w:lang w:val="en-US" w:eastAsia="zh-CN"/>
        </w:rPr>
      </w:pPr>
    </w:p>
    <w:p w14:paraId="3730691D" w14:textId="2BCF3E71" w:rsidR="00F363EE" w:rsidRPr="00712539" w:rsidRDefault="004F0B9C" w:rsidP="0093109B">
      <w:pPr>
        <w:tabs>
          <w:tab w:val="center" w:pos="4251"/>
        </w:tabs>
        <w:spacing w:after="0" w:line="360" w:lineRule="auto"/>
        <w:jc w:val="both"/>
        <w:rPr>
          <w:rFonts w:ascii="Book Antiqua" w:hAnsi="Book Antiqua"/>
          <w:sz w:val="24"/>
          <w:szCs w:val="24"/>
          <w:lang w:val="en-US" w:eastAsia="zh-CN"/>
        </w:rPr>
      </w:pPr>
      <w:r w:rsidRPr="00712539">
        <w:rPr>
          <w:rFonts w:ascii="Book Antiqua" w:hAnsi="Book Antiqua"/>
          <w:b/>
          <w:sz w:val="24"/>
          <w:szCs w:val="24"/>
          <w:lang w:val="en-US"/>
        </w:rPr>
        <w:t>Author contributions:</w:t>
      </w:r>
      <w:r w:rsidRPr="00712539">
        <w:rPr>
          <w:rFonts w:ascii="Book Antiqua" w:hAnsi="Book Antiqua"/>
          <w:sz w:val="24"/>
          <w:szCs w:val="24"/>
          <w:lang w:val="en-US"/>
        </w:rPr>
        <w:t xml:space="preserve"> </w:t>
      </w:r>
      <w:r w:rsidR="00E97D8A" w:rsidRPr="00594B4A">
        <w:rPr>
          <w:rFonts w:ascii="Book Antiqua" w:hAnsi="Book Antiqua"/>
          <w:sz w:val="24"/>
          <w:szCs w:val="24"/>
          <w:lang w:val="en-US"/>
        </w:rPr>
        <w:t>Riess H</w:t>
      </w:r>
      <w:r w:rsidR="00F363EE" w:rsidRPr="00594B4A">
        <w:rPr>
          <w:rFonts w:ascii="Book Antiqua" w:hAnsi="Book Antiqua"/>
          <w:sz w:val="24"/>
          <w:szCs w:val="24"/>
          <w:lang w:val="en-US"/>
        </w:rPr>
        <w:t xml:space="preserve"> and </w:t>
      </w:r>
      <w:r w:rsidR="00E97D8A" w:rsidRPr="00594B4A">
        <w:rPr>
          <w:rFonts w:ascii="Book Antiqua" w:hAnsi="Book Antiqua"/>
          <w:sz w:val="24"/>
          <w:szCs w:val="24"/>
          <w:lang w:val="en-US"/>
        </w:rPr>
        <w:t>Pelzer U</w:t>
      </w:r>
      <w:r w:rsidR="00F363EE" w:rsidRPr="00594B4A">
        <w:rPr>
          <w:rFonts w:ascii="Book Antiqua" w:hAnsi="Book Antiqua"/>
          <w:sz w:val="24"/>
          <w:szCs w:val="24"/>
          <w:lang w:val="en-US"/>
        </w:rPr>
        <w:t xml:space="preserve"> made substatial contributions to the conception of the review</w:t>
      </w:r>
      <w:r w:rsidR="00E97D8A" w:rsidRPr="00594B4A">
        <w:rPr>
          <w:rFonts w:ascii="Book Antiqua" w:hAnsi="Book Antiqua"/>
          <w:sz w:val="24"/>
          <w:szCs w:val="24"/>
          <w:lang w:val="en-US" w:eastAsia="zh-CN"/>
        </w:rPr>
        <w:t xml:space="preserve">; </w:t>
      </w:r>
      <w:r w:rsidR="00E97D8A" w:rsidRPr="00594B4A">
        <w:rPr>
          <w:rFonts w:ascii="Book Antiqua" w:hAnsi="Book Antiqua"/>
          <w:sz w:val="24"/>
          <w:szCs w:val="24"/>
          <w:lang w:val="en-US"/>
        </w:rPr>
        <w:t>Riess H</w:t>
      </w:r>
      <w:r w:rsidR="00F363EE" w:rsidRPr="00594B4A">
        <w:rPr>
          <w:rFonts w:ascii="Book Antiqua" w:hAnsi="Book Antiqua"/>
          <w:sz w:val="24"/>
          <w:szCs w:val="24"/>
          <w:lang w:val="en-US"/>
        </w:rPr>
        <w:t xml:space="preserve">, </w:t>
      </w:r>
      <w:r w:rsidR="00E97D8A" w:rsidRPr="00594B4A">
        <w:rPr>
          <w:rFonts w:ascii="Book Antiqua" w:hAnsi="Book Antiqua"/>
          <w:sz w:val="24"/>
          <w:szCs w:val="24"/>
          <w:lang w:val="en-US"/>
        </w:rPr>
        <w:t>Habbel P</w:t>
      </w:r>
      <w:r w:rsidR="00F363EE" w:rsidRPr="00594B4A">
        <w:rPr>
          <w:rFonts w:ascii="Book Antiqua" w:hAnsi="Book Antiqua"/>
          <w:sz w:val="24"/>
          <w:szCs w:val="24"/>
          <w:lang w:val="en-US"/>
        </w:rPr>
        <w:t xml:space="preserve">, </w:t>
      </w:r>
      <w:r w:rsidR="00E97D8A" w:rsidRPr="00594B4A">
        <w:rPr>
          <w:rFonts w:ascii="Book Antiqua" w:hAnsi="Book Antiqua"/>
          <w:sz w:val="24"/>
          <w:szCs w:val="24"/>
          <w:lang w:val="en-US"/>
        </w:rPr>
        <w:t>Jühling A</w:t>
      </w:r>
      <w:r w:rsidR="00F363EE" w:rsidRPr="00594B4A">
        <w:rPr>
          <w:rFonts w:ascii="Book Antiqua" w:hAnsi="Book Antiqua"/>
          <w:sz w:val="24"/>
          <w:szCs w:val="24"/>
          <w:lang w:val="en-US"/>
        </w:rPr>
        <w:t xml:space="preserve">, </w:t>
      </w:r>
      <w:r w:rsidR="00E97D8A" w:rsidRPr="00594B4A">
        <w:rPr>
          <w:rFonts w:ascii="Book Antiqua" w:hAnsi="Book Antiqua"/>
          <w:sz w:val="24"/>
          <w:szCs w:val="24"/>
          <w:lang w:val="en-US"/>
        </w:rPr>
        <w:t>Sinn M</w:t>
      </w:r>
      <w:r w:rsidR="00F363EE" w:rsidRPr="00594B4A">
        <w:rPr>
          <w:rFonts w:ascii="Book Antiqua" w:hAnsi="Book Antiqua"/>
          <w:sz w:val="24"/>
          <w:szCs w:val="24"/>
          <w:lang w:val="en-US"/>
        </w:rPr>
        <w:t xml:space="preserve"> and </w:t>
      </w:r>
      <w:r w:rsidR="00E97D8A" w:rsidRPr="00594B4A">
        <w:rPr>
          <w:rFonts w:ascii="Book Antiqua" w:hAnsi="Book Antiqua"/>
          <w:sz w:val="24"/>
          <w:szCs w:val="24"/>
          <w:lang w:val="en-US"/>
        </w:rPr>
        <w:t>Pelzer U</w:t>
      </w:r>
      <w:r w:rsidR="00F363EE" w:rsidRPr="00594B4A">
        <w:rPr>
          <w:rFonts w:ascii="Book Antiqua" w:hAnsi="Book Antiqua"/>
          <w:sz w:val="24"/>
          <w:szCs w:val="24"/>
          <w:lang w:val="en-US"/>
        </w:rPr>
        <w:t xml:space="preserve"> contributed in the acquisition, analysis and interpretation of the published data</w:t>
      </w:r>
      <w:r w:rsidR="00E97D8A" w:rsidRPr="00594B4A">
        <w:rPr>
          <w:rFonts w:ascii="Book Antiqua" w:hAnsi="Book Antiqua"/>
          <w:sz w:val="24"/>
          <w:szCs w:val="24"/>
          <w:lang w:val="en-US" w:eastAsia="zh-CN"/>
        </w:rPr>
        <w:t>;</w:t>
      </w:r>
      <w:r w:rsidR="00F363EE" w:rsidRPr="00594B4A">
        <w:rPr>
          <w:rFonts w:ascii="Book Antiqua" w:hAnsi="Book Antiqua"/>
          <w:sz w:val="24"/>
          <w:szCs w:val="24"/>
          <w:lang w:val="en-US"/>
        </w:rPr>
        <w:t xml:space="preserve"> </w:t>
      </w:r>
      <w:r w:rsidR="00E97D8A" w:rsidRPr="00594B4A">
        <w:rPr>
          <w:rFonts w:ascii="Book Antiqua" w:hAnsi="Book Antiqua"/>
          <w:sz w:val="24"/>
          <w:szCs w:val="24"/>
          <w:lang w:val="en-US"/>
        </w:rPr>
        <w:t>t</w:t>
      </w:r>
      <w:r w:rsidR="00F363EE" w:rsidRPr="00594B4A">
        <w:rPr>
          <w:rFonts w:ascii="Book Antiqua" w:hAnsi="Book Antiqua"/>
          <w:sz w:val="24"/>
          <w:szCs w:val="24"/>
          <w:lang w:val="en-US"/>
        </w:rPr>
        <w:t xml:space="preserve">hey participated in the drafting of the review and gave final approval. </w:t>
      </w:r>
    </w:p>
    <w:p w14:paraId="347E52B8" w14:textId="77777777" w:rsidR="004F0B9C" w:rsidRPr="00712539" w:rsidRDefault="004F0B9C" w:rsidP="0093109B">
      <w:pPr>
        <w:spacing w:after="0" w:line="360" w:lineRule="auto"/>
        <w:jc w:val="both"/>
        <w:rPr>
          <w:rFonts w:ascii="Book Antiqua" w:hAnsi="Book Antiqua"/>
          <w:sz w:val="24"/>
          <w:szCs w:val="24"/>
          <w:lang w:val="en-US" w:eastAsia="zh-CN"/>
        </w:rPr>
      </w:pPr>
    </w:p>
    <w:p w14:paraId="78236B14" w14:textId="45AC06F1" w:rsidR="00581BCD" w:rsidRPr="00712539" w:rsidRDefault="00581BCD" w:rsidP="0093109B">
      <w:pPr>
        <w:spacing w:after="0" w:line="360" w:lineRule="auto"/>
        <w:jc w:val="both"/>
        <w:rPr>
          <w:rFonts w:ascii="Book Antiqua" w:hAnsi="Book Antiqua"/>
          <w:bCs/>
          <w:sz w:val="24"/>
          <w:szCs w:val="24"/>
          <w:lang w:val="en-US"/>
        </w:rPr>
      </w:pPr>
      <w:r w:rsidRPr="00712539">
        <w:rPr>
          <w:rFonts w:ascii="Book Antiqua" w:hAnsi="Book Antiqua" w:cs="TimesNewRomanPS-BoldItalicMT"/>
          <w:b/>
          <w:bCs/>
          <w:iCs/>
          <w:sz w:val="24"/>
          <w:szCs w:val="24"/>
        </w:rPr>
        <w:t>Conflict-of-interest</w:t>
      </w:r>
      <w:r w:rsidRPr="00712539">
        <w:rPr>
          <w:rFonts w:ascii="Book Antiqua" w:hAnsi="Book Antiqua"/>
          <w:sz w:val="24"/>
          <w:szCs w:val="24"/>
        </w:rPr>
        <w:t xml:space="preserve"> </w:t>
      </w:r>
      <w:r w:rsidRPr="00712539">
        <w:rPr>
          <w:rFonts w:ascii="Book Antiqua" w:hAnsi="Book Antiqua" w:cs="TimesNewRomanPS-BoldItalicMT"/>
          <w:b/>
          <w:bCs/>
          <w:iCs/>
          <w:sz w:val="24"/>
          <w:szCs w:val="24"/>
        </w:rPr>
        <w:t xml:space="preserve">statement: </w:t>
      </w:r>
      <w:r w:rsidRPr="00712539">
        <w:rPr>
          <w:rFonts w:ascii="Book Antiqua" w:hAnsi="Book Antiqua"/>
          <w:sz w:val="24"/>
          <w:szCs w:val="24"/>
          <w:lang w:val="en-US"/>
        </w:rPr>
        <w:t xml:space="preserve">Hanno Riess has received fees for serving as a speaker for </w:t>
      </w:r>
      <w:r w:rsidRPr="00712539">
        <w:rPr>
          <w:rFonts w:ascii="Book Antiqua" w:hAnsi="Book Antiqua"/>
          <w:bCs/>
          <w:sz w:val="24"/>
          <w:szCs w:val="24"/>
          <w:lang w:val="en-US"/>
        </w:rPr>
        <w:t>Aspen Europa, Bayer Healthcare AG, Bristol Myers Squipp, Boehringer Ingelheim, Daiichi-Sankyo, Leo Pharma, Novartis Pharma, Pfizer Pharma and Sanofi-Aventis.</w:t>
      </w:r>
      <w:r w:rsidRPr="00712539">
        <w:rPr>
          <w:rFonts w:ascii="Book Antiqua" w:hAnsi="Book Antiqua"/>
          <w:bCs/>
          <w:sz w:val="24"/>
          <w:szCs w:val="24"/>
          <w:lang w:val="en-US" w:eastAsia="zh-CN"/>
        </w:rPr>
        <w:t xml:space="preserve"> </w:t>
      </w:r>
      <w:r w:rsidRPr="00712539">
        <w:rPr>
          <w:rFonts w:ascii="Book Antiqua" w:hAnsi="Book Antiqua"/>
          <w:bCs/>
          <w:sz w:val="24"/>
          <w:szCs w:val="24"/>
          <w:lang w:val="en-US"/>
        </w:rPr>
        <w:t>Piet Habbel and Anja Jüling have no conflict of interest to declare.</w:t>
      </w:r>
      <w:r w:rsidRPr="00712539">
        <w:rPr>
          <w:rFonts w:ascii="Book Antiqua" w:hAnsi="Book Antiqua"/>
          <w:bCs/>
          <w:sz w:val="24"/>
          <w:szCs w:val="24"/>
          <w:lang w:val="en-US" w:eastAsia="zh-CN"/>
        </w:rPr>
        <w:t xml:space="preserve"> </w:t>
      </w:r>
      <w:r w:rsidRPr="00712539">
        <w:rPr>
          <w:rFonts w:ascii="Book Antiqua" w:hAnsi="Book Antiqua"/>
          <w:bCs/>
          <w:sz w:val="24"/>
          <w:szCs w:val="24"/>
          <w:lang w:val="en-US"/>
        </w:rPr>
        <w:t xml:space="preserve">Marianne Sinn received travel support and honoraria for scientific presentations from Bayer Healthcare, Celgene, Roche Pharma, </w:t>
      </w:r>
      <w:proofErr w:type="gramStart"/>
      <w:r w:rsidRPr="00712539">
        <w:rPr>
          <w:rFonts w:ascii="Book Antiqua" w:hAnsi="Book Antiqua"/>
          <w:bCs/>
          <w:sz w:val="24"/>
          <w:szCs w:val="24"/>
          <w:lang w:val="en-US"/>
        </w:rPr>
        <w:t>Leo</w:t>
      </w:r>
      <w:proofErr w:type="gramEnd"/>
      <w:r w:rsidRPr="00712539">
        <w:rPr>
          <w:rFonts w:ascii="Book Antiqua" w:hAnsi="Book Antiqua"/>
          <w:bCs/>
          <w:sz w:val="24"/>
          <w:szCs w:val="24"/>
          <w:lang w:val="en-US"/>
        </w:rPr>
        <w:t xml:space="preserve"> Pharma.</w:t>
      </w:r>
      <w:r w:rsidRPr="00712539">
        <w:rPr>
          <w:rFonts w:ascii="Book Antiqua" w:hAnsi="Book Antiqua"/>
          <w:bCs/>
          <w:sz w:val="24"/>
          <w:szCs w:val="24"/>
          <w:lang w:val="en-US" w:eastAsia="zh-CN"/>
        </w:rPr>
        <w:t xml:space="preserve"> </w:t>
      </w:r>
      <w:r w:rsidRPr="00712539">
        <w:rPr>
          <w:rFonts w:ascii="Book Antiqua" w:hAnsi="Book Antiqua"/>
          <w:bCs/>
          <w:sz w:val="24"/>
          <w:szCs w:val="24"/>
          <w:lang w:val="en-US"/>
        </w:rPr>
        <w:t xml:space="preserve">Uwe Pelzer received travel support and honoraria for scientific presentations from Celgene, Amgen, </w:t>
      </w:r>
      <w:proofErr w:type="gramStart"/>
      <w:r w:rsidRPr="00712539">
        <w:rPr>
          <w:rFonts w:ascii="Book Antiqua" w:hAnsi="Book Antiqua"/>
          <w:bCs/>
          <w:sz w:val="24"/>
          <w:szCs w:val="24"/>
          <w:lang w:val="en-US"/>
        </w:rPr>
        <w:t>Braun</w:t>
      </w:r>
      <w:proofErr w:type="gramEnd"/>
      <w:r w:rsidRPr="00712539">
        <w:rPr>
          <w:rFonts w:ascii="Book Antiqua" w:hAnsi="Book Antiqua"/>
          <w:bCs/>
          <w:sz w:val="24"/>
          <w:szCs w:val="24"/>
          <w:lang w:val="en-US"/>
        </w:rPr>
        <w:t>.</w:t>
      </w:r>
    </w:p>
    <w:p w14:paraId="247F719E" w14:textId="77777777" w:rsidR="00581BCD" w:rsidRPr="00712539" w:rsidRDefault="00581BCD" w:rsidP="0093109B">
      <w:pPr>
        <w:spacing w:after="0" w:line="360" w:lineRule="auto"/>
        <w:jc w:val="both"/>
        <w:rPr>
          <w:rFonts w:ascii="Book Antiqua" w:hAnsi="Book Antiqua" w:cs="Garamond"/>
          <w:sz w:val="24"/>
          <w:szCs w:val="24"/>
          <w:lang w:eastAsia="zh-CN"/>
        </w:rPr>
      </w:pPr>
    </w:p>
    <w:p w14:paraId="48369151" w14:textId="77777777" w:rsidR="00581BCD" w:rsidRPr="00712539" w:rsidRDefault="00581BCD" w:rsidP="0093109B">
      <w:pPr>
        <w:spacing w:after="0" w:line="360" w:lineRule="auto"/>
        <w:jc w:val="both"/>
        <w:rPr>
          <w:rFonts w:ascii="Book Antiqua" w:hAnsi="Book Antiqua"/>
          <w:sz w:val="24"/>
          <w:szCs w:val="24"/>
        </w:rPr>
      </w:pPr>
      <w:bookmarkStart w:id="0" w:name="OLE_LINK507"/>
      <w:bookmarkStart w:id="1" w:name="OLE_LINK506"/>
      <w:bookmarkStart w:id="2" w:name="OLE_LINK496"/>
      <w:bookmarkStart w:id="3" w:name="OLE_LINK479"/>
      <w:r w:rsidRPr="00712539">
        <w:rPr>
          <w:rFonts w:ascii="Book Antiqua" w:hAnsi="Book Antiqua"/>
          <w:b/>
          <w:sz w:val="24"/>
          <w:szCs w:val="24"/>
        </w:rPr>
        <w:t xml:space="preserve">Open-Access: </w:t>
      </w:r>
      <w:r w:rsidRPr="00712539">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Non </w:t>
      </w:r>
      <w:r w:rsidRPr="00712539">
        <w:rPr>
          <w:rFonts w:ascii="Book Antiqua" w:hAnsi="Book Antiqua"/>
          <w:sz w:val="24"/>
          <w:szCs w:val="24"/>
        </w:rPr>
        <w:lastRenderedPageBreak/>
        <w:t xml:space="preserve">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712539">
          <w:rPr>
            <w:rStyle w:val="a6"/>
            <w:rFonts w:ascii="Book Antiqua" w:hAnsi="Book Antiqua"/>
            <w:color w:val="auto"/>
            <w:sz w:val="24"/>
            <w:szCs w:val="24"/>
            <w:u w:val="none"/>
          </w:rPr>
          <w:t>http://creativecommons.org/licenses/by-nc/4.0/</w:t>
        </w:r>
      </w:hyperlink>
      <w:bookmarkEnd w:id="0"/>
      <w:bookmarkEnd w:id="1"/>
      <w:bookmarkEnd w:id="2"/>
      <w:bookmarkEnd w:id="3"/>
    </w:p>
    <w:p w14:paraId="340D5F61" w14:textId="77777777" w:rsidR="00581BCD" w:rsidRPr="00712539" w:rsidRDefault="00581BCD" w:rsidP="0093109B">
      <w:pPr>
        <w:spacing w:after="0" w:line="360" w:lineRule="auto"/>
        <w:jc w:val="both"/>
        <w:rPr>
          <w:rFonts w:ascii="Book Antiqua" w:hAnsi="Book Antiqua"/>
          <w:sz w:val="24"/>
          <w:szCs w:val="24"/>
          <w:lang w:val="en-US" w:eastAsia="zh-CN"/>
        </w:rPr>
      </w:pPr>
    </w:p>
    <w:p w14:paraId="1DE4D3CA" w14:textId="77E443E5" w:rsidR="004F0B9C" w:rsidRPr="00712539" w:rsidRDefault="00393B3B" w:rsidP="0093109B">
      <w:pPr>
        <w:spacing w:after="0" w:line="360" w:lineRule="auto"/>
        <w:jc w:val="both"/>
        <w:rPr>
          <w:rFonts w:ascii="Book Antiqua" w:hAnsi="Book Antiqua"/>
          <w:sz w:val="24"/>
          <w:szCs w:val="24"/>
          <w:lang w:val="en-US" w:eastAsia="zh-CN"/>
        </w:rPr>
      </w:pPr>
      <w:r w:rsidRPr="00712539">
        <w:rPr>
          <w:rFonts w:ascii="Book Antiqua" w:hAnsi="Book Antiqua"/>
          <w:b/>
          <w:sz w:val="24"/>
          <w:szCs w:val="24"/>
        </w:rPr>
        <w:t>Correspondence to:</w:t>
      </w:r>
      <w:r w:rsidRPr="00712539">
        <w:rPr>
          <w:rFonts w:ascii="Book Antiqua" w:hAnsi="Book Antiqua"/>
          <w:b/>
          <w:sz w:val="24"/>
          <w:szCs w:val="24"/>
          <w:lang w:eastAsia="zh-CN"/>
        </w:rPr>
        <w:t xml:space="preserve"> </w:t>
      </w:r>
      <w:r w:rsidR="004F0B9C" w:rsidRPr="00712539">
        <w:rPr>
          <w:rFonts w:ascii="Book Antiqua" w:hAnsi="Book Antiqua"/>
          <w:b/>
          <w:sz w:val="24"/>
          <w:szCs w:val="24"/>
          <w:lang w:val="en-US"/>
        </w:rPr>
        <w:t>Dr. Hanno Riess</w:t>
      </w:r>
      <w:r w:rsidR="00E97D8A" w:rsidRPr="00712539">
        <w:rPr>
          <w:rFonts w:ascii="Book Antiqua" w:hAnsi="Book Antiqua"/>
          <w:b/>
          <w:sz w:val="24"/>
          <w:szCs w:val="24"/>
          <w:lang w:val="en-US" w:eastAsia="zh-CN"/>
        </w:rPr>
        <w:t>,</w:t>
      </w:r>
      <w:r w:rsidR="00E97D8A" w:rsidRPr="00712539">
        <w:rPr>
          <w:rFonts w:ascii="Book Antiqua" w:hAnsi="Book Antiqua"/>
          <w:b/>
          <w:sz w:val="24"/>
          <w:szCs w:val="24"/>
          <w:lang w:val="en-US"/>
        </w:rPr>
        <w:t xml:space="preserve"> </w:t>
      </w:r>
      <w:r w:rsidRPr="00712539">
        <w:rPr>
          <w:rFonts w:ascii="Book Antiqua" w:hAnsi="Book Antiqua"/>
          <w:b/>
          <w:sz w:val="24"/>
          <w:szCs w:val="24"/>
          <w:lang w:val="en-US"/>
        </w:rPr>
        <w:t>Prof</w:t>
      </w:r>
      <w:r w:rsidRPr="00712539">
        <w:rPr>
          <w:rFonts w:ascii="Book Antiqua" w:hAnsi="Book Antiqua"/>
          <w:b/>
          <w:sz w:val="24"/>
          <w:szCs w:val="24"/>
          <w:lang w:val="en-US" w:eastAsia="zh-CN"/>
        </w:rPr>
        <w:t>essor,</w:t>
      </w:r>
      <w:r w:rsidRPr="00712539">
        <w:rPr>
          <w:rFonts w:ascii="Book Antiqua" w:hAnsi="Book Antiqua"/>
          <w:b/>
          <w:sz w:val="24"/>
          <w:szCs w:val="24"/>
          <w:lang w:val="en-US"/>
        </w:rPr>
        <w:t xml:space="preserve"> </w:t>
      </w:r>
      <w:r w:rsidR="00E97D8A" w:rsidRPr="00712539">
        <w:rPr>
          <w:rFonts w:ascii="Book Antiqua" w:hAnsi="Book Antiqua"/>
          <w:sz w:val="24"/>
          <w:szCs w:val="24"/>
          <w:lang w:val="en-US"/>
        </w:rPr>
        <w:t>Department of Hematology, Oncology and Tumor Immunology, Charité University Medicine Berlin, Charitéplatz 1, 10117 Berlin, Germany</w:t>
      </w:r>
      <w:r w:rsidRPr="00712539">
        <w:rPr>
          <w:rFonts w:ascii="Book Antiqua" w:hAnsi="Book Antiqua"/>
          <w:sz w:val="24"/>
          <w:szCs w:val="24"/>
          <w:lang w:val="en-US" w:eastAsia="zh-CN"/>
        </w:rPr>
        <w:t xml:space="preserve">. </w:t>
      </w:r>
      <w:hyperlink r:id="rId9" w:history="1">
        <w:r w:rsidRPr="00712539">
          <w:rPr>
            <w:rStyle w:val="a6"/>
            <w:rFonts w:ascii="Book Antiqua" w:hAnsi="Book Antiqua"/>
            <w:color w:val="auto"/>
            <w:sz w:val="24"/>
            <w:szCs w:val="24"/>
            <w:u w:val="none"/>
            <w:lang w:val="en-US"/>
          </w:rPr>
          <w:t>hanno.riess@charite.de</w:t>
        </w:r>
      </w:hyperlink>
    </w:p>
    <w:p w14:paraId="005974A1" w14:textId="3AE6E814" w:rsidR="00393B3B" w:rsidRPr="00712539" w:rsidRDefault="00393B3B" w:rsidP="0093109B">
      <w:pPr>
        <w:spacing w:after="0" w:line="360" w:lineRule="auto"/>
        <w:jc w:val="both"/>
        <w:rPr>
          <w:rFonts w:ascii="Book Antiqua" w:hAnsi="Book Antiqua"/>
          <w:b/>
          <w:sz w:val="24"/>
          <w:szCs w:val="24"/>
        </w:rPr>
      </w:pPr>
      <w:r w:rsidRPr="00712539">
        <w:rPr>
          <w:rFonts w:ascii="Book Antiqua" w:hAnsi="Book Antiqua"/>
          <w:b/>
          <w:sz w:val="24"/>
          <w:szCs w:val="24"/>
        </w:rPr>
        <w:t xml:space="preserve">Telephone: </w:t>
      </w:r>
      <w:r w:rsidRPr="00712539">
        <w:rPr>
          <w:rFonts w:ascii="Book Antiqua" w:hAnsi="Book Antiqua"/>
          <w:sz w:val="24"/>
          <w:szCs w:val="24"/>
          <w:lang w:val="en-US"/>
        </w:rPr>
        <w:t>+49-30-450513002</w:t>
      </w:r>
    </w:p>
    <w:p w14:paraId="02DBF532" w14:textId="1E70D884" w:rsidR="00393B3B" w:rsidRPr="00712539" w:rsidRDefault="00393B3B" w:rsidP="0093109B">
      <w:pPr>
        <w:spacing w:after="0" w:line="360" w:lineRule="auto"/>
        <w:jc w:val="both"/>
        <w:rPr>
          <w:rFonts w:ascii="Book Antiqua" w:hAnsi="Book Antiqua"/>
          <w:b/>
          <w:sz w:val="24"/>
          <w:szCs w:val="24"/>
        </w:rPr>
      </w:pPr>
      <w:r w:rsidRPr="00712539">
        <w:rPr>
          <w:rFonts w:ascii="Book Antiqua" w:hAnsi="Book Antiqua"/>
          <w:b/>
          <w:sz w:val="24"/>
          <w:szCs w:val="24"/>
        </w:rPr>
        <w:t>Fax:</w:t>
      </w:r>
      <w:r w:rsidRPr="00712539">
        <w:rPr>
          <w:rFonts w:ascii="Book Antiqua" w:hAnsi="Book Antiqua"/>
          <w:sz w:val="24"/>
          <w:szCs w:val="24"/>
          <w:lang w:val="en-US"/>
        </w:rPr>
        <w:t xml:space="preserve"> +49-30-450513002</w:t>
      </w:r>
    </w:p>
    <w:p w14:paraId="68B8F0C7" w14:textId="77777777" w:rsidR="004F0B9C" w:rsidRPr="00712539" w:rsidRDefault="004F0B9C" w:rsidP="0093109B">
      <w:pPr>
        <w:spacing w:after="0" w:line="360" w:lineRule="auto"/>
        <w:jc w:val="both"/>
        <w:rPr>
          <w:rFonts w:ascii="Book Antiqua" w:hAnsi="Book Antiqua"/>
          <w:sz w:val="24"/>
          <w:szCs w:val="24"/>
          <w:lang w:val="en-US" w:eastAsia="zh-CN"/>
        </w:rPr>
      </w:pPr>
    </w:p>
    <w:p w14:paraId="14F21BB7" w14:textId="0FC41DFE" w:rsidR="00581BCD" w:rsidRPr="00712539" w:rsidRDefault="00581BCD" w:rsidP="0093109B">
      <w:pPr>
        <w:spacing w:after="0" w:line="360" w:lineRule="auto"/>
        <w:jc w:val="both"/>
        <w:rPr>
          <w:rFonts w:ascii="Book Antiqua" w:hAnsi="Book Antiqua"/>
          <w:b/>
          <w:sz w:val="24"/>
          <w:szCs w:val="24"/>
        </w:rPr>
      </w:pPr>
      <w:r w:rsidRPr="00712539">
        <w:rPr>
          <w:rFonts w:ascii="Book Antiqua" w:hAnsi="Book Antiqua"/>
          <w:b/>
          <w:sz w:val="24"/>
          <w:szCs w:val="24"/>
        </w:rPr>
        <w:t xml:space="preserve">Received: </w:t>
      </w:r>
      <w:r w:rsidRPr="00712539">
        <w:rPr>
          <w:rFonts w:ascii="Book Antiqua" w:hAnsi="Book Antiqua"/>
          <w:sz w:val="24"/>
          <w:szCs w:val="24"/>
          <w:lang w:eastAsia="zh-CN"/>
        </w:rPr>
        <w:t>July 7, 2015</w:t>
      </w:r>
      <w:r w:rsidR="00451163" w:rsidRPr="00712539">
        <w:rPr>
          <w:rFonts w:ascii="Book Antiqua" w:hAnsi="Book Antiqua"/>
          <w:sz w:val="24"/>
          <w:szCs w:val="24"/>
        </w:rPr>
        <w:t xml:space="preserve"> </w:t>
      </w:r>
    </w:p>
    <w:p w14:paraId="271E0895" w14:textId="56402D45" w:rsidR="00581BCD" w:rsidRPr="00712539" w:rsidRDefault="00581BCD" w:rsidP="0093109B">
      <w:pPr>
        <w:spacing w:after="0" w:line="360" w:lineRule="auto"/>
        <w:jc w:val="both"/>
        <w:rPr>
          <w:rFonts w:ascii="Book Antiqua" w:hAnsi="Book Antiqua"/>
          <w:b/>
          <w:sz w:val="24"/>
          <w:szCs w:val="24"/>
        </w:rPr>
      </w:pPr>
      <w:r w:rsidRPr="00712539">
        <w:rPr>
          <w:rFonts w:ascii="Book Antiqua" w:hAnsi="Book Antiqua"/>
          <w:b/>
          <w:sz w:val="24"/>
          <w:szCs w:val="24"/>
        </w:rPr>
        <w:t>Peer-review started:</w:t>
      </w:r>
      <w:r w:rsidRPr="00712539">
        <w:rPr>
          <w:rFonts w:ascii="Book Antiqua" w:hAnsi="Book Antiqua"/>
          <w:sz w:val="24"/>
          <w:szCs w:val="24"/>
          <w:lang w:eastAsia="zh-CN"/>
        </w:rPr>
        <w:t xml:space="preserve"> July 8, 2015</w:t>
      </w:r>
      <w:r w:rsidR="00451163" w:rsidRPr="00712539">
        <w:rPr>
          <w:rFonts w:ascii="Book Antiqua" w:hAnsi="Book Antiqua"/>
          <w:sz w:val="24"/>
          <w:szCs w:val="24"/>
        </w:rPr>
        <w:t xml:space="preserve"> </w:t>
      </w:r>
    </w:p>
    <w:p w14:paraId="463C1272" w14:textId="64311A27" w:rsidR="00581BCD" w:rsidRPr="00712539" w:rsidRDefault="00581BCD" w:rsidP="0093109B">
      <w:pPr>
        <w:spacing w:after="0" w:line="360" w:lineRule="auto"/>
        <w:jc w:val="both"/>
        <w:rPr>
          <w:rFonts w:ascii="Book Antiqua" w:hAnsi="Book Antiqua"/>
          <w:b/>
          <w:sz w:val="24"/>
          <w:szCs w:val="24"/>
          <w:lang w:eastAsia="zh-CN"/>
        </w:rPr>
      </w:pPr>
      <w:r w:rsidRPr="00712539">
        <w:rPr>
          <w:rFonts w:ascii="Book Antiqua" w:hAnsi="Book Antiqua"/>
          <w:b/>
          <w:sz w:val="24"/>
          <w:szCs w:val="24"/>
        </w:rPr>
        <w:t>First decision:</w:t>
      </w:r>
      <w:r w:rsidRPr="00712539">
        <w:rPr>
          <w:rFonts w:ascii="Book Antiqua" w:hAnsi="Book Antiqua"/>
          <w:sz w:val="24"/>
          <w:szCs w:val="24"/>
          <w:lang w:eastAsia="zh-CN"/>
        </w:rPr>
        <w:t xml:space="preserve"> October 13, 2015</w:t>
      </w:r>
    </w:p>
    <w:p w14:paraId="099C82D9" w14:textId="4AC52F3F" w:rsidR="00581BCD" w:rsidRPr="00712539" w:rsidRDefault="00581BCD" w:rsidP="0093109B">
      <w:pPr>
        <w:spacing w:after="0" w:line="360" w:lineRule="auto"/>
        <w:jc w:val="both"/>
        <w:rPr>
          <w:rFonts w:ascii="Book Antiqua" w:hAnsi="Book Antiqua"/>
          <w:b/>
          <w:sz w:val="24"/>
          <w:szCs w:val="24"/>
        </w:rPr>
      </w:pPr>
      <w:r w:rsidRPr="00712539">
        <w:rPr>
          <w:rFonts w:ascii="Book Antiqua" w:hAnsi="Book Antiqua"/>
          <w:b/>
          <w:sz w:val="24"/>
          <w:szCs w:val="24"/>
        </w:rPr>
        <w:t xml:space="preserve">Revised: </w:t>
      </w:r>
      <w:r w:rsidRPr="00712539">
        <w:rPr>
          <w:rFonts w:ascii="Book Antiqua" w:hAnsi="Book Antiqua"/>
          <w:sz w:val="24"/>
          <w:szCs w:val="24"/>
          <w:lang w:eastAsia="zh-CN"/>
        </w:rPr>
        <w:t>December 7, 2015</w:t>
      </w:r>
      <w:r w:rsidRPr="00712539">
        <w:rPr>
          <w:rFonts w:ascii="Book Antiqua" w:hAnsi="Book Antiqua"/>
          <w:sz w:val="24"/>
          <w:szCs w:val="24"/>
        </w:rPr>
        <w:t xml:space="preserve"> </w:t>
      </w:r>
    </w:p>
    <w:p w14:paraId="545473BB" w14:textId="15C2F80E" w:rsidR="00581BCD" w:rsidRPr="00F96FE1" w:rsidRDefault="00581BCD" w:rsidP="00F96FE1">
      <w:pPr>
        <w:rPr>
          <w:rFonts w:ascii="Book Antiqua" w:hAnsi="Book Antiqua"/>
          <w:iCs/>
          <w:sz w:val="24"/>
        </w:rPr>
      </w:pPr>
      <w:r w:rsidRPr="00712539">
        <w:rPr>
          <w:rFonts w:ascii="Book Antiqua" w:hAnsi="Book Antiqua"/>
          <w:b/>
          <w:sz w:val="24"/>
          <w:szCs w:val="24"/>
        </w:rPr>
        <w:t>Accepted:</w:t>
      </w:r>
      <w:r w:rsidR="00451163" w:rsidRPr="00712539">
        <w:rPr>
          <w:rFonts w:ascii="Book Antiqua" w:hAnsi="Book Antiqua"/>
          <w:b/>
          <w:sz w:val="24"/>
          <w:szCs w:val="24"/>
        </w:rPr>
        <w:t xml:space="preserve"> </w:t>
      </w:r>
      <w:r w:rsidR="00F96FE1">
        <w:rPr>
          <w:rStyle w:val="af"/>
        </w:rPr>
        <w:t xml:space="preserve">December </w:t>
      </w:r>
      <w:r w:rsidR="00F96FE1">
        <w:rPr>
          <w:rStyle w:val="af"/>
          <w:rFonts w:ascii="宋体" w:hAnsi="宋体" w:cs="宋体" w:hint="eastAsia"/>
        </w:rPr>
        <w:t>29</w:t>
      </w:r>
      <w:r w:rsidR="00F96FE1" w:rsidRPr="00235CD4">
        <w:rPr>
          <w:rStyle w:val="af"/>
        </w:rPr>
        <w:t>,</w:t>
      </w:r>
      <w:r w:rsidR="00F96FE1">
        <w:rPr>
          <w:rStyle w:val="af"/>
        </w:rPr>
        <w:t xml:space="preserve"> 2015</w:t>
      </w:r>
    </w:p>
    <w:p w14:paraId="46E8AFEA" w14:textId="260BFF49" w:rsidR="00581BCD" w:rsidRPr="00712539" w:rsidRDefault="00581BCD" w:rsidP="0093109B">
      <w:pPr>
        <w:spacing w:after="0" w:line="360" w:lineRule="auto"/>
        <w:jc w:val="both"/>
        <w:rPr>
          <w:rFonts w:ascii="Book Antiqua" w:hAnsi="Book Antiqua"/>
          <w:b/>
          <w:sz w:val="24"/>
          <w:szCs w:val="24"/>
        </w:rPr>
      </w:pPr>
      <w:r w:rsidRPr="00712539">
        <w:rPr>
          <w:rFonts w:ascii="Book Antiqua" w:hAnsi="Book Antiqua"/>
          <w:b/>
          <w:sz w:val="24"/>
          <w:szCs w:val="24"/>
        </w:rPr>
        <w:t>Article in press:</w:t>
      </w:r>
      <w:r w:rsidR="00451163" w:rsidRPr="00712539">
        <w:rPr>
          <w:rFonts w:ascii="Book Antiqua" w:hAnsi="Book Antiqua"/>
          <w:sz w:val="24"/>
          <w:szCs w:val="24"/>
        </w:rPr>
        <w:t xml:space="preserve"> </w:t>
      </w:r>
    </w:p>
    <w:p w14:paraId="67B17BD2" w14:textId="77777777" w:rsidR="00581BCD" w:rsidRPr="00712539" w:rsidRDefault="00581BCD" w:rsidP="0093109B">
      <w:pPr>
        <w:spacing w:after="0" w:line="360" w:lineRule="auto"/>
        <w:jc w:val="both"/>
        <w:rPr>
          <w:rFonts w:ascii="Book Antiqua" w:hAnsi="Book Antiqua"/>
          <w:b/>
          <w:sz w:val="24"/>
          <w:szCs w:val="24"/>
        </w:rPr>
      </w:pPr>
      <w:r w:rsidRPr="00712539">
        <w:rPr>
          <w:rFonts w:ascii="Book Antiqua" w:hAnsi="Book Antiqua"/>
          <w:b/>
          <w:sz w:val="24"/>
          <w:szCs w:val="24"/>
        </w:rPr>
        <w:t xml:space="preserve">Published online: </w:t>
      </w:r>
    </w:p>
    <w:p w14:paraId="6CD6B286" w14:textId="77777777" w:rsidR="004F0B9C" w:rsidRPr="00712539" w:rsidRDefault="004F0B9C" w:rsidP="0093109B">
      <w:pPr>
        <w:spacing w:after="0" w:line="360" w:lineRule="auto"/>
        <w:jc w:val="both"/>
        <w:rPr>
          <w:rFonts w:ascii="Book Antiqua" w:hAnsi="Book Antiqua"/>
          <w:b/>
          <w:i/>
          <w:sz w:val="24"/>
          <w:szCs w:val="24"/>
          <w:lang w:val="en-US"/>
        </w:rPr>
      </w:pPr>
    </w:p>
    <w:p w14:paraId="1187C39D" w14:textId="77777777" w:rsidR="00581BCD" w:rsidRPr="00712539" w:rsidRDefault="00581BCD" w:rsidP="0093109B">
      <w:pPr>
        <w:spacing w:after="0" w:line="360" w:lineRule="auto"/>
        <w:jc w:val="both"/>
        <w:rPr>
          <w:rFonts w:ascii="Book Antiqua" w:hAnsi="Book Antiqua"/>
          <w:b/>
          <w:sz w:val="24"/>
          <w:szCs w:val="24"/>
          <w:lang w:val="en-US"/>
        </w:rPr>
      </w:pPr>
      <w:r w:rsidRPr="00712539">
        <w:rPr>
          <w:rFonts w:ascii="Book Antiqua" w:hAnsi="Book Antiqua"/>
          <w:b/>
          <w:sz w:val="24"/>
          <w:szCs w:val="24"/>
          <w:lang w:val="en-US"/>
        </w:rPr>
        <w:br w:type="page"/>
      </w:r>
    </w:p>
    <w:p w14:paraId="71009862" w14:textId="4396F6D3" w:rsidR="004F0B9C" w:rsidRPr="00712539" w:rsidRDefault="004F0B9C" w:rsidP="0093109B">
      <w:pPr>
        <w:spacing w:after="0" w:line="360" w:lineRule="auto"/>
        <w:jc w:val="both"/>
        <w:rPr>
          <w:rFonts w:ascii="Book Antiqua" w:hAnsi="Book Antiqua"/>
          <w:b/>
          <w:sz w:val="24"/>
          <w:szCs w:val="24"/>
          <w:lang w:val="en-US"/>
        </w:rPr>
      </w:pPr>
      <w:r w:rsidRPr="00712539">
        <w:rPr>
          <w:rFonts w:ascii="Book Antiqua" w:hAnsi="Book Antiqua" w:cs="Arial"/>
          <w:b/>
          <w:sz w:val="24"/>
          <w:szCs w:val="24"/>
          <w:lang w:val="en-GB"/>
        </w:rPr>
        <w:lastRenderedPageBreak/>
        <w:t>Abstract</w:t>
      </w:r>
    </w:p>
    <w:p w14:paraId="3EE2CC9B" w14:textId="327D0B1C" w:rsidR="004F0B9C" w:rsidRPr="00712539" w:rsidRDefault="004F0B9C" w:rsidP="0093109B">
      <w:pPr>
        <w:spacing w:after="0" w:line="360" w:lineRule="auto"/>
        <w:jc w:val="both"/>
        <w:rPr>
          <w:rFonts w:ascii="Book Antiqua" w:hAnsi="Book Antiqua" w:cs="Arial"/>
          <w:sz w:val="24"/>
          <w:szCs w:val="24"/>
          <w:lang w:val="en-GB" w:eastAsia="zh-CN"/>
        </w:rPr>
      </w:pPr>
      <w:r w:rsidRPr="00712539">
        <w:rPr>
          <w:rFonts w:ascii="Book Antiqua" w:hAnsi="Book Antiqua" w:cs="Arial"/>
          <w:sz w:val="24"/>
          <w:szCs w:val="24"/>
          <w:lang w:val="en-GB"/>
        </w:rPr>
        <w:t xml:space="preserve">Venous thromboembolism </w:t>
      </w:r>
      <w:r w:rsidR="00520AF4" w:rsidRPr="00712539">
        <w:rPr>
          <w:rFonts w:ascii="Book Antiqua" w:hAnsi="Book Antiqua" w:cs="Arial"/>
          <w:sz w:val="24"/>
          <w:szCs w:val="24"/>
          <w:lang w:val="en-GB" w:eastAsia="zh-CN"/>
        </w:rPr>
        <w:t xml:space="preserve">event </w:t>
      </w:r>
      <w:r w:rsidRPr="00712539">
        <w:rPr>
          <w:rFonts w:ascii="Book Antiqua" w:hAnsi="Book Antiqua" w:cs="Arial"/>
          <w:sz w:val="24"/>
          <w:szCs w:val="24"/>
          <w:lang w:val="en-GB"/>
        </w:rPr>
        <w:t xml:space="preserve">(VTE) is a common and morbid complication in cancer patients. Patients with gastrointestinal cancers often suffer from symptomatic or incidental splanchnic vein thrombosis, impaired liver function and/or thrombocytopenia. These characteristics require a thorough risk/benefit evaluation for individual patients. Considering the risk factors for the development of </w:t>
      </w:r>
      <w:r w:rsidR="001B52EB" w:rsidRPr="00712539">
        <w:rPr>
          <w:rFonts w:ascii="Book Antiqua" w:hAnsi="Book Antiqua" w:cs="Arial"/>
          <w:sz w:val="24"/>
          <w:szCs w:val="24"/>
          <w:lang w:val="en-GB"/>
        </w:rPr>
        <w:t>VTE</w:t>
      </w:r>
      <w:r w:rsidRPr="00712539">
        <w:rPr>
          <w:rFonts w:ascii="Book Antiqua" w:hAnsi="Book Antiqua" w:cs="Arial"/>
          <w:sz w:val="24"/>
          <w:szCs w:val="24"/>
          <w:lang w:val="en-GB"/>
        </w:rPr>
        <w:t xml:space="preserve"> and bleeding events in addition to recent study results may be helpful for correct initiation of primary pharmacological prevention and treatment of cancer-associated thrombosis (CAT), preferably with low molecular weight heparins (LMWH). Whereas thromboprophylaxis is most often recommended in hospitalized surgical and non-surgical patients with malignancy, there is less agreement as to its duration. With regard to ambulatory cancer patients, the lack of robust data results in low grade recommendations against routine use of anticoagulant drugs. Anticoagulation with LMWH for the first months is the evidence-based treatment for acute CAT, but duration of secondary prevention and the drug of choice are unclear. Based on published guidelines and literature, this review will focus on prevention and treatment strategies of VTE in patients with gastrointestinal cancers.</w:t>
      </w:r>
    </w:p>
    <w:p w14:paraId="1DD02A75" w14:textId="77777777" w:rsidR="004F0B9C" w:rsidRPr="00712539" w:rsidRDefault="004F0B9C" w:rsidP="0093109B">
      <w:pPr>
        <w:spacing w:after="0" w:line="360" w:lineRule="auto"/>
        <w:jc w:val="both"/>
        <w:rPr>
          <w:rFonts w:ascii="Book Antiqua" w:hAnsi="Book Antiqua" w:cs="Arial"/>
          <w:sz w:val="24"/>
          <w:szCs w:val="24"/>
          <w:lang w:val="en-GB" w:eastAsia="zh-CN"/>
        </w:rPr>
      </w:pPr>
    </w:p>
    <w:p w14:paraId="5F48F905" w14:textId="5FF38DD1" w:rsidR="004F0B9C" w:rsidRPr="00712539" w:rsidRDefault="004F0B9C" w:rsidP="0093109B">
      <w:pPr>
        <w:spacing w:after="0" w:line="360" w:lineRule="auto"/>
        <w:jc w:val="both"/>
        <w:rPr>
          <w:rFonts w:ascii="Book Antiqua" w:hAnsi="Book Antiqua"/>
          <w:sz w:val="24"/>
          <w:szCs w:val="24"/>
          <w:lang w:val="en-US" w:eastAsia="zh-CN"/>
        </w:rPr>
      </w:pPr>
      <w:r w:rsidRPr="00712539">
        <w:rPr>
          <w:rFonts w:ascii="Book Antiqua" w:hAnsi="Book Antiqua"/>
          <w:b/>
          <w:sz w:val="24"/>
          <w:szCs w:val="24"/>
          <w:lang w:val="en-US"/>
        </w:rPr>
        <w:t>Key words:</w:t>
      </w:r>
      <w:r w:rsidR="001B52EB" w:rsidRPr="00712539">
        <w:rPr>
          <w:rFonts w:ascii="Book Antiqua" w:hAnsi="Book Antiqua"/>
          <w:b/>
          <w:sz w:val="24"/>
          <w:szCs w:val="24"/>
          <w:lang w:val="en-US" w:eastAsia="zh-CN"/>
        </w:rPr>
        <w:t xml:space="preserve"> </w:t>
      </w:r>
      <w:r w:rsidRPr="00712539">
        <w:rPr>
          <w:rFonts w:ascii="Book Antiqua" w:hAnsi="Book Antiqua"/>
          <w:sz w:val="24"/>
          <w:szCs w:val="24"/>
          <w:lang w:val="en-US"/>
        </w:rPr>
        <w:t>Thromboembolism</w:t>
      </w:r>
      <w:r w:rsidR="001B52EB" w:rsidRPr="00712539">
        <w:rPr>
          <w:rFonts w:ascii="Book Antiqua" w:hAnsi="Book Antiqua"/>
          <w:sz w:val="24"/>
          <w:szCs w:val="24"/>
          <w:lang w:val="en-US" w:eastAsia="zh-CN"/>
        </w:rPr>
        <w:t>;</w:t>
      </w:r>
      <w:r w:rsidRPr="00712539">
        <w:rPr>
          <w:rFonts w:ascii="Book Antiqua" w:hAnsi="Book Antiqua"/>
          <w:sz w:val="24"/>
          <w:szCs w:val="24"/>
          <w:lang w:val="en-US"/>
        </w:rPr>
        <w:t xml:space="preserve"> </w:t>
      </w:r>
      <w:r w:rsidR="001B52EB" w:rsidRPr="00712539">
        <w:rPr>
          <w:rFonts w:ascii="Book Antiqua" w:hAnsi="Book Antiqua"/>
          <w:sz w:val="24"/>
          <w:szCs w:val="24"/>
          <w:lang w:val="en-US"/>
        </w:rPr>
        <w:t>G</w:t>
      </w:r>
      <w:r w:rsidRPr="00712539">
        <w:rPr>
          <w:rFonts w:ascii="Book Antiqua" w:hAnsi="Book Antiqua"/>
          <w:sz w:val="24"/>
          <w:szCs w:val="24"/>
          <w:lang w:val="en-US"/>
        </w:rPr>
        <w:t>astrointestinal cancer</w:t>
      </w:r>
      <w:r w:rsidR="001B52EB" w:rsidRPr="00712539">
        <w:rPr>
          <w:rFonts w:ascii="Book Antiqua" w:hAnsi="Book Antiqua"/>
          <w:sz w:val="24"/>
          <w:szCs w:val="24"/>
          <w:lang w:val="en-US" w:eastAsia="zh-CN"/>
        </w:rPr>
        <w:t>;</w:t>
      </w:r>
      <w:r w:rsidRPr="00712539">
        <w:rPr>
          <w:rFonts w:ascii="Book Antiqua" w:hAnsi="Book Antiqua"/>
          <w:sz w:val="24"/>
          <w:szCs w:val="24"/>
          <w:lang w:val="en-US"/>
        </w:rPr>
        <w:t xml:space="preserve"> </w:t>
      </w:r>
      <w:r w:rsidR="001B52EB" w:rsidRPr="00712539">
        <w:rPr>
          <w:rFonts w:ascii="Book Antiqua" w:hAnsi="Book Antiqua"/>
          <w:sz w:val="24"/>
          <w:szCs w:val="24"/>
          <w:lang w:val="en-US"/>
        </w:rPr>
        <w:t>P</w:t>
      </w:r>
      <w:r w:rsidRPr="00712539">
        <w:rPr>
          <w:rFonts w:ascii="Book Antiqua" w:hAnsi="Book Antiqua"/>
          <w:sz w:val="24"/>
          <w:szCs w:val="24"/>
          <w:lang w:val="en-US"/>
        </w:rPr>
        <w:t>rophylaxis</w:t>
      </w:r>
      <w:r w:rsidR="001B52EB" w:rsidRPr="00712539">
        <w:rPr>
          <w:rFonts w:ascii="Book Antiqua" w:hAnsi="Book Antiqua"/>
          <w:sz w:val="24"/>
          <w:szCs w:val="24"/>
          <w:lang w:val="en-US" w:eastAsia="zh-CN"/>
        </w:rPr>
        <w:t>;</w:t>
      </w:r>
      <w:r w:rsidR="001B52EB" w:rsidRPr="00712539">
        <w:rPr>
          <w:rFonts w:ascii="Book Antiqua" w:hAnsi="Book Antiqua"/>
          <w:sz w:val="24"/>
          <w:szCs w:val="24"/>
          <w:lang w:val="en-US"/>
        </w:rPr>
        <w:t xml:space="preserve"> T</w:t>
      </w:r>
      <w:r w:rsidRPr="00712539">
        <w:rPr>
          <w:rFonts w:ascii="Book Antiqua" w:hAnsi="Book Antiqua"/>
          <w:sz w:val="24"/>
          <w:szCs w:val="24"/>
          <w:lang w:val="en-US"/>
        </w:rPr>
        <w:t>reatment</w:t>
      </w:r>
      <w:r w:rsidR="001B52EB" w:rsidRPr="00712539">
        <w:rPr>
          <w:rFonts w:ascii="Book Antiqua" w:hAnsi="Book Antiqua"/>
          <w:sz w:val="24"/>
          <w:szCs w:val="24"/>
          <w:lang w:val="en-US" w:eastAsia="zh-CN"/>
        </w:rPr>
        <w:t>;</w:t>
      </w:r>
      <w:r w:rsidRPr="00712539">
        <w:rPr>
          <w:rFonts w:ascii="Book Antiqua" w:hAnsi="Book Antiqua"/>
          <w:sz w:val="24"/>
          <w:szCs w:val="24"/>
          <w:lang w:val="en-US"/>
        </w:rPr>
        <w:t xml:space="preserve"> </w:t>
      </w:r>
      <w:r w:rsidR="001B52EB" w:rsidRPr="00712539">
        <w:rPr>
          <w:rFonts w:ascii="Book Antiqua" w:hAnsi="Book Antiqua"/>
          <w:sz w:val="24"/>
          <w:szCs w:val="24"/>
          <w:lang w:val="en-US"/>
        </w:rPr>
        <w:t>A</w:t>
      </w:r>
      <w:r w:rsidRPr="00712539">
        <w:rPr>
          <w:rFonts w:ascii="Book Antiqua" w:hAnsi="Book Antiqua"/>
          <w:sz w:val="24"/>
          <w:szCs w:val="24"/>
          <w:lang w:val="en-US"/>
        </w:rPr>
        <w:t>nticoagulation</w:t>
      </w:r>
    </w:p>
    <w:p w14:paraId="1D947135" w14:textId="77777777" w:rsidR="001B52EB" w:rsidRPr="00712539" w:rsidRDefault="001B52EB" w:rsidP="0093109B">
      <w:pPr>
        <w:spacing w:after="0" w:line="360" w:lineRule="auto"/>
        <w:jc w:val="both"/>
        <w:rPr>
          <w:rFonts w:ascii="Book Antiqua" w:hAnsi="Book Antiqua"/>
          <w:b/>
          <w:sz w:val="24"/>
          <w:szCs w:val="24"/>
          <w:lang w:val="en-US" w:eastAsia="zh-CN"/>
        </w:rPr>
      </w:pPr>
    </w:p>
    <w:p w14:paraId="21D115F8" w14:textId="254C8149" w:rsidR="001B52EB" w:rsidRPr="00712539" w:rsidRDefault="001B52EB" w:rsidP="0093109B">
      <w:pPr>
        <w:spacing w:after="0" w:line="360" w:lineRule="auto"/>
        <w:jc w:val="both"/>
        <w:rPr>
          <w:rFonts w:ascii="Book Antiqua" w:hAnsi="Book Antiqua" w:cs="Arial"/>
          <w:sz w:val="24"/>
          <w:szCs w:val="24"/>
        </w:rPr>
      </w:pPr>
      <w:r w:rsidRPr="00712539">
        <w:rPr>
          <w:rFonts w:ascii="Book Antiqua" w:hAnsi="Book Antiqua"/>
          <w:b/>
          <w:sz w:val="24"/>
          <w:szCs w:val="24"/>
        </w:rPr>
        <w:t xml:space="preserve">© </w:t>
      </w:r>
      <w:r w:rsidRPr="00712539">
        <w:rPr>
          <w:rFonts w:ascii="Book Antiqua" w:hAnsi="Book Antiqua" w:cs="Arial"/>
          <w:b/>
          <w:sz w:val="24"/>
          <w:szCs w:val="24"/>
        </w:rPr>
        <w:t>The Author(s) 201</w:t>
      </w:r>
      <w:r w:rsidR="00220A0D">
        <w:rPr>
          <w:rFonts w:ascii="Book Antiqua" w:hAnsi="Book Antiqua" w:cs="Arial" w:hint="eastAsia"/>
          <w:b/>
          <w:sz w:val="24"/>
          <w:szCs w:val="24"/>
          <w:lang w:eastAsia="zh-CN"/>
        </w:rPr>
        <w:t>6</w:t>
      </w:r>
      <w:r w:rsidRPr="00712539">
        <w:rPr>
          <w:rFonts w:ascii="Book Antiqua" w:hAnsi="Book Antiqua" w:cs="Arial"/>
          <w:b/>
          <w:sz w:val="24"/>
          <w:szCs w:val="24"/>
        </w:rPr>
        <w:t>.</w:t>
      </w:r>
      <w:r w:rsidRPr="00712539">
        <w:rPr>
          <w:rFonts w:ascii="Book Antiqua" w:hAnsi="Book Antiqua" w:cs="Arial"/>
          <w:sz w:val="24"/>
          <w:szCs w:val="24"/>
        </w:rPr>
        <w:t xml:space="preserve"> Published by Baishideng Publishing Group Inc. All rights reserved.</w:t>
      </w:r>
    </w:p>
    <w:p w14:paraId="39D45517" w14:textId="77777777" w:rsidR="001B52EB" w:rsidRPr="00712539" w:rsidRDefault="001B52EB" w:rsidP="0093109B">
      <w:pPr>
        <w:spacing w:after="0" w:line="360" w:lineRule="auto"/>
        <w:jc w:val="both"/>
        <w:rPr>
          <w:rFonts w:ascii="Book Antiqua" w:hAnsi="Book Antiqua"/>
          <w:b/>
          <w:sz w:val="24"/>
          <w:szCs w:val="24"/>
          <w:lang w:val="en-US" w:eastAsia="zh-CN"/>
        </w:rPr>
      </w:pPr>
    </w:p>
    <w:p w14:paraId="0D860CEF" w14:textId="76B1A614" w:rsidR="004F0B9C" w:rsidRPr="00712539" w:rsidRDefault="004F0B9C" w:rsidP="0093109B">
      <w:pPr>
        <w:spacing w:after="0" w:line="360" w:lineRule="auto"/>
        <w:jc w:val="both"/>
        <w:rPr>
          <w:rFonts w:ascii="Book Antiqua" w:hAnsi="Book Antiqua"/>
          <w:sz w:val="24"/>
          <w:szCs w:val="24"/>
          <w:lang w:val="en-US"/>
        </w:rPr>
      </w:pPr>
      <w:r w:rsidRPr="00712539">
        <w:rPr>
          <w:rFonts w:ascii="Book Antiqua" w:hAnsi="Book Antiqua" w:cs="Arial"/>
          <w:b/>
          <w:sz w:val="24"/>
          <w:szCs w:val="24"/>
          <w:lang w:val="en-US" w:eastAsia="zh-CN"/>
        </w:rPr>
        <w:t>Core tip:</w:t>
      </w:r>
      <w:r w:rsidRPr="00712539">
        <w:rPr>
          <w:rFonts w:ascii="Book Antiqua" w:hAnsi="Book Antiqua"/>
          <w:b/>
          <w:sz w:val="24"/>
          <w:szCs w:val="24"/>
          <w:lang w:val="en-US"/>
        </w:rPr>
        <w:t xml:space="preserve"> </w:t>
      </w:r>
      <w:r w:rsidRPr="00712539">
        <w:rPr>
          <w:rFonts w:ascii="Book Antiqua" w:hAnsi="Book Antiqua"/>
          <w:sz w:val="24"/>
          <w:szCs w:val="24"/>
          <w:lang w:val="en-US"/>
        </w:rPr>
        <w:t>The risk for venous thrombosis and pulmonary embolism is clearly elevated in patients with gastrointestinal cancers.</w:t>
      </w:r>
      <w:r w:rsidRPr="00712539">
        <w:rPr>
          <w:rFonts w:ascii="Book Antiqua" w:hAnsi="Book Antiqua" w:cs="Arial"/>
          <w:sz w:val="24"/>
          <w:szCs w:val="24"/>
          <w:lang w:val="en-GB"/>
        </w:rPr>
        <w:t xml:space="preserve"> </w:t>
      </w:r>
      <w:r w:rsidRPr="00712539">
        <w:rPr>
          <w:rFonts w:ascii="Book Antiqua" w:hAnsi="Book Antiqua"/>
          <w:sz w:val="24"/>
          <w:szCs w:val="24"/>
          <w:lang w:val="en-US"/>
        </w:rPr>
        <w:t xml:space="preserve">This risk is highest for patients with pancreatic, gastric or colorectal cancer and those receiving anti-cancer therapies. Available guidelines usually refer to thromboembolism in cancer patients without differentiating between types of cancer. Those patients with gastrointestinal cancers are more likely to present with additional problems such as hepatopathy-associated low platelet counts and/or prolonged </w:t>
      </w:r>
      <w:r w:rsidRPr="00712539">
        <w:rPr>
          <w:rFonts w:ascii="Book Antiqua" w:hAnsi="Book Antiqua"/>
          <w:sz w:val="24"/>
          <w:szCs w:val="24"/>
          <w:lang w:val="en-US"/>
        </w:rPr>
        <w:lastRenderedPageBreak/>
        <w:t xml:space="preserve">prothrombin times. Furthermore, symptomatic or incidental thromboembolism of the visceral veins may occur more often. </w:t>
      </w:r>
      <w:r w:rsidRPr="00712539">
        <w:rPr>
          <w:rFonts w:ascii="Book Antiqua" w:hAnsi="Book Antiqua" w:cs="Arial"/>
          <w:sz w:val="24"/>
          <w:szCs w:val="24"/>
          <w:lang w:val="en-GB"/>
        </w:rPr>
        <w:t>Identifying the risk factors for the develo</w:t>
      </w:r>
      <w:r w:rsidR="00520AF4" w:rsidRPr="00712539">
        <w:rPr>
          <w:rFonts w:ascii="Book Antiqua" w:hAnsi="Book Antiqua" w:cs="Arial"/>
          <w:sz w:val="24"/>
          <w:szCs w:val="24"/>
          <w:lang w:val="en-GB"/>
        </w:rPr>
        <w:t>pment of venous thromboembolism</w:t>
      </w:r>
      <w:r w:rsidR="001B52EB" w:rsidRPr="00712539">
        <w:rPr>
          <w:rFonts w:ascii="Book Antiqua" w:hAnsi="Book Antiqua" w:cs="Arial"/>
          <w:sz w:val="24"/>
          <w:szCs w:val="24"/>
          <w:lang w:val="en-GB"/>
        </w:rPr>
        <w:t xml:space="preserve"> </w:t>
      </w:r>
      <w:r w:rsidRPr="00712539">
        <w:rPr>
          <w:rFonts w:ascii="Book Antiqua" w:hAnsi="Book Antiqua" w:cs="Arial"/>
          <w:sz w:val="24"/>
          <w:szCs w:val="24"/>
          <w:lang w:val="en-GB"/>
        </w:rPr>
        <w:t xml:space="preserve">and bleeding events may be helpful for correct initiation of primary pharmacological prevention and treatment of cancer-associated thromboembolism. Based on published guidelines and literature, this review will focus on prevention and treatment strategies of </w:t>
      </w:r>
      <w:r w:rsidR="00520AF4" w:rsidRPr="00712539">
        <w:rPr>
          <w:rFonts w:ascii="Book Antiqua" w:hAnsi="Book Antiqua" w:cs="Arial"/>
          <w:sz w:val="24"/>
          <w:szCs w:val="24"/>
          <w:lang w:val="en-GB"/>
        </w:rPr>
        <w:t>venous thromboembolism</w:t>
      </w:r>
      <w:r w:rsidRPr="00712539">
        <w:rPr>
          <w:rFonts w:ascii="Book Antiqua" w:hAnsi="Book Antiqua" w:cs="Arial"/>
          <w:sz w:val="24"/>
          <w:szCs w:val="24"/>
          <w:lang w:val="en-GB"/>
        </w:rPr>
        <w:t xml:space="preserve"> in patients with gastrointestinal cancers.</w:t>
      </w:r>
    </w:p>
    <w:p w14:paraId="33185EF6" w14:textId="77777777" w:rsidR="00520AF4" w:rsidRPr="00712539" w:rsidRDefault="00520AF4" w:rsidP="0093109B">
      <w:pPr>
        <w:spacing w:after="0" w:line="360" w:lineRule="auto"/>
        <w:jc w:val="both"/>
        <w:rPr>
          <w:rFonts w:ascii="Book Antiqua" w:hAnsi="Book Antiqua"/>
          <w:sz w:val="24"/>
          <w:szCs w:val="24"/>
          <w:lang w:val="en-US" w:eastAsia="zh-CN"/>
        </w:rPr>
      </w:pPr>
    </w:p>
    <w:p w14:paraId="4BCDBCD7" w14:textId="7AB94C3E" w:rsidR="00712499" w:rsidRPr="00712539" w:rsidRDefault="00712499" w:rsidP="0093109B">
      <w:pPr>
        <w:spacing w:after="0" w:line="360" w:lineRule="auto"/>
        <w:jc w:val="both"/>
        <w:rPr>
          <w:rFonts w:ascii="Book Antiqua" w:hAnsi="Book Antiqua"/>
          <w:sz w:val="24"/>
          <w:szCs w:val="24"/>
          <w:lang w:val="en-US" w:eastAsia="zh-CN"/>
        </w:rPr>
      </w:pPr>
      <w:r w:rsidRPr="00712539">
        <w:rPr>
          <w:rFonts w:ascii="Book Antiqua" w:hAnsi="Book Antiqua"/>
          <w:sz w:val="24"/>
          <w:szCs w:val="24"/>
          <w:lang w:val="en-US"/>
        </w:rPr>
        <w:t>Riess</w:t>
      </w:r>
      <w:r w:rsidRPr="00712539">
        <w:rPr>
          <w:rFonts w:ascii="Book Antiqua" w:hAnsi="Book Antiqua"/>
          <w:sz w:val="24"/>
          <w:szCs w:val="24"/>
          <w:lang w:val="en-US" w:eastAsia="zh-CN"/>
        </w:rPr>
        <w:t xml:space="preserve"> H</w:t>
      </w:r>
      <w:r w:rsidRPr="00712539">
        <w:rPr>
          <w:rFonts w:ascii="Book Antiqua" w:hAnsi="Book Antiqua"/>
          <w:sz w:val="24"/>
          <w:szCs w:val="24"/>
          <w:lang w:val="en-US"/>
        </w:rPr>
        <w:t>, Habbel</w:t>
      </w:r>
      <w:r w:rsidRPr="00712539">
        <w:rPr>
          <w:rFonts w:ascii="Book Antiqua" w:hAnsi="Book Antiqua"/>
          <w:sz w:val="24"/>
          <w:szCs w:val="24"/>
          <w:lang w:val="en-US" w:eastAsia="zh-CN"/>
        </w:rPr>
        <w:t xml:space="preserve"> P</w:t>
      </w:r>
      <w:r w:rsidRPr="00712539">
        <w:rPr>
          <w:rFonts w:ascii="Book Antiqua" w:hAnsi="Book Antiqua"/>
          <w:sz w:val="24"/>
          <w:szCs w:val="24"/>
          <w:lang w:val="en-US"/>
        </w:rPr>
        <w:t>, Jühling</w:t>
      </w:r>
      <w:r w:rsidRPr="00712539">
        <w:rPr>
          <w:rFonts w:ascii="Book Antiqua" w:hAnsi="Book Antiqua"/>
          <w:sz w:val="24"/>
          <w:szCs w:val="24"/>
          <w:lang w:val="en-US" w:eastAsia="zh-CN"/>
        </w:rPr>
        <w:t xml:space="preserve"> A</w:t>
      </w:r>
      <w:r w:rsidRPr="00712539">
        <w:rPr>
          <w:rFonts w:ascii="Book Antiqua" w:hAnsi="Book Antiqua"/>
          <w:sz w:val="24"/>
          <w:szCs w:val="24"/>
          <w:lang w:val="en-US"/>
        </w:rPr>
        <w:t>, Sinn</w:t>
      </w:r>
      <w:r w:rsidRPr="00712539">
        <w:rPr>
          <w:rFonts w:ascii="Book Antiqua" w:hAnsi="Book Antiqua"/>
          <w:sz w:val="24"/>
          <w:szCs w:val="24"/>
          <w:lang w:val="en-US" w:eastAsia="zh-CN"/>
        </w:rPr>
        <w:t xml:space="preserve"> M</w:t>
      </w:r>
      <w:r w:rsidRPr="00712539">
        <w:rPr>
          <w:rFonts w:ascii="Book Antiqua" w:hAnsi="Book Antiqua"/>
          <w:sz w:val="24"/>
          <w:szCs w:val="24"/>
          <w:lang w:val="en-US"/>
        </w:rPr>
        <w:t>, Pelzer</w:t>
      </w:r>
      <w:r w:rsidRPr="00712539">
        <w:rPr>
          <w:rFonts w:ascii="Book Antiqua" w:hAnsi="Book Antiqua"/>
          <w:sz w:val="24"/>
          <w:szCs w:val="24"/>
          <w:lang w:val="en-US" w:eastAsia="zh-CN"/>
        </w:rPr>
        <w:t xml:space="preserve"> U.</w:t>
      </w:r>
      <w:r w:rsidRPr="00712539">
        <w:rPr>
          <w:rFonts w:ascii="Book Antiqua" w:hAnsi="Book Antiqua"/>
          <w:sz w:val="24"/>
          <w:szCs w:val="24"/>
          <w:lang w:val="en-US"/>
        </w:rPr>
        <w:t xml:space="preserve"> Primary prevention and treatment of venous thromboembolic events in patients with gastrointestinal cancers </w:t>
      </w:r>
      <w:r w:rsidRPr="00712539">
        <w:rPr>
          <w:rFonts w:ascii="Book Antiqua" w:hAnsi="Book Antiqua"/>
          <w:sz w:val="24"/>
          <w:szCs w:val="24"/>
          <w:lang w:val="en-US" w:eastAsia="zh-CN"/>
        </w:rPr>
        <w:t>–</w:t>
      </w:r>
      <w:r w:rsidRPr="00712539">
        <w:rPr>
          <w:rFonts w:ascii="Book Antiqua" w:hAnsi="Book Antiqua"/>
          <w:sz w:val="24"/>
          <w:szCs w:val="24"/>
          <w:lang w:val="en-US"/>
        </w:rPr>
        <w:t xml:space="preserve"> Review</w:t>
      </w:r>
      <w:r w:rsidRPr="00712539">
        <w:rPr>
          <w:rFonts w:ascii="Book Antiqua" w:hAnsi="Book Antiqua"/>
          <w:sz w:val="24"/>
          <w:szCs w:val="24"/>
          <w:lang w:val="en-US" w:eastAsia="zh-CN"/>
        </w:rPr>
        <w:t>.</w:t>
      </w:r>
      <w:r w:rsidRPr="00712539">
        <w:rPr>
          <w:rFonts w:ascii="Book Antiqua" w:hAnsi="Book Antiqua"/>
          <w:i/>
          <w:iCs/>
          <w:sz w:val="24"/>
          <w:szCs w:val="24"/>
        </w:rPr>
        <w:t xml:space="preserve"> World J Gastrointest Oncol</w:t>
      </w:r>
      <w:r w:rsidRPr="00712539">
        <w:rPr>
          <w:rFonts w:ascii="Book Antiqua" w:hAnsi="Book Antiqua"/>
          <w:i/>
          <w:iCs/>
          <w:sz w:val="24"/>
          <w:szCs w:val="24"/>
          <w:lang w:eastAsia="zh-CN"/>
        </w:rPr>
        <w:t xml:space="preserve"> </w:t>
      </w:r>
      <w:r w:rsidRPr="00712539">
        <w:rPr>
          <w:rFonts w:ascii="Book Antiqua" w:hAnsi="Book Antiqua"/>
          <w:iCs/>
          <w:sz w:val="24"/>
          <w:szCs w:val="24"/>
          <w:lang w:eastAsia="zh-CN"/>
        </w:rPr>
        <w:t>201</w:t>
      </w:r>
      <w:r w:rsidR="00220A0D">
        <w:rPr>
          <w:rFonts w:ascii="Book Antiqua" w:hAnsi="Book Antiqua" w:hint="eastAsia"/>
          <w:iCs/>
          <w:sz w:val="24"/>
          <w:szCs w:val="24"/>
          <w:lang w:eastAsia="zh-CN"/>
        </w:rPr>
        <w:t>6</w:t>
      </w:r>
      <w:r w:rsidRPr="00712539">
        <w:rPr>
          <w:rFonts w:ascii="Book Antiqua" w:hAnsi="Book Antiqua"/>
          <w:iCs/>
          <w:sz w:val="24"/>
          <w:szCs w:val="24"/>
          <w:lang w:eastAsia="zh-CN"/>
        </w:rPr>
        <w:t>; In</w:t>
      </w:r>
      <w:bookmarkStart w:id="4" w:name="_GoBack"/>
      <w:bookmarkEnd w:id="4"/>
      <w:r w:rsidRPr="00712539">
        <w:rPr>
          <w:rFonts w:ascii="Book Antiqua" w:hAnsi="Book Antiqua"/>
          <w:iCs/>
          <w:sz w:val="24"/>
          <w:szCs w:val="24"/>
          <w:lang w:eastAsia="zh-CN"/>
        </w:rPr>
        <w:t xml:space="preserve"> press</w:t>
      </w:r>
    </w:p>
    <w:p w14:paraId="543A7576" w14:textId="64A94435" w:rsidR="00712499" w:rsidRPr="00712539" w:rsidRDefault="00712499" w:rsidP="0093109B">
      <w:pPr>
        <w:spacing w:after="0" w:line="360" w:lineRule="auto"/>
        <w:jc w:val="both"/>
        <w:rPr>
          <w:rFonts w:ascii="Book Antiqua" w:hAnsi="Book Antiqua"/>
          <w:b/>
          <w:sz w:val="24"/>
          <w:szCs w:val="24"/>
          <w:lang w:val="en-US" w:eastAsia="zh-CN"/>
        </w:rPr>
      </w:pPr>
    </w:p>
    <w:p w14:paraId="2329332A" w14:textId="77777777" w:rsidR="00712499" w:rsidRPr="00712539" w:rsidRDefault="00712499" w:rsidP="0093109B">
      <w:pPr>
        <w:spacing w:after="0" w:line="360" w:lineRule="auto"/>
        <w:jc w:val="both"/>
        <w:rPr>
          <w:rFonts w:ascii="Book Antiqua" w:hAnsi="Book Antiqua"/>
          <w:b/>
          <w:sz w:val="24"/>
          <w:szCs w:val="24"/>
          <w:lang w:val="en-US"/>
        </w:rPr>
      </w:pPr>
      <w:r w:rsidRPr="00712539">
        <w:rPr>
          <w:rFonts w:ascii="Book Antiqua" w:hAnsi="Book Antiqua"/>
          <w:b/>
          <w:sz w:val="24"/>
          <w:szCs w:val="24"/>
          <w:lang w:val="en-US"/>
        </w:rPr>
        <w:br w:type="page"/>
      </w:r>
    </w:p>
    <w:p w14:paraId="583DB32C" w14:textId="492ECADC" w:rsidR="004F0B9C" w:rsidRPr="00712539" w:rsidRDefault="00712499" w:rsidP="0093109B">
      <w:pPr>
        <w:spacing w:after="0" w:line="360" w:lineRule="auto"/>
        <w:jc w:val="both"/>
        <w:rPr>
          <w:rFonts w:ascii="Book Antiqua" w:hAnsi="Book Antiqua"/>
          <w:b/>
          <w:sz w:val="24"/>
          <w:szCs w:val="24"/>
          <w:lang w:val="en-US"/>
        </w:rPr>
      </w:pPr>
      <w:r w:rsidRPr="00712539">
        <w:rPr>
          <w:rFonts w:ascii="Book Antiqua" w:hAnsi="Book Antiqua"/>
          <w:b/>
          <w:sz w:val="24"/>
          <w:szCs w:val="24"/>
          <w:lang w:val="en-US"/>
        </w:rPr>
        <w:lastRenderedPageBreak/>
        <w:t xml:space="preserve">INTRODUCTION </w:t>
      </w:r>
    </w:p>
    <w:p w14:paraId="520F8FE7" w14:textId="023A205D" w:rsidR="004F0B9C" w:rsidRPr="00712539" w:rsidRDefault="004F0B9C" w:rsidP="0093109B">
      <w:pPr>
        <w:spacing w:after="0" w:line="360" w:lineRule="auto"/>
        <w:jc w:val="both"/>
        <w:rPr>
          <w:rFonts w:ascii="Book Antiqua" w:hAnsi="Book Antiqua"/>
          <w:sz w:val="24"/>
          <w:szCs w:val="24"/>
          <w:lang w:val="en-US"/>
        </w:rPr>
      </w:pPr>
      <w:r w:rsidRPr="00712539">
        <w:rPr>
          <w:rFonts w:ascii="Book Antiqua" w:hAnsi="Book Antiqua"/>
          <w:sz w:val="24"/>
          <w:szCs w:val="24"/>
          <w:lang w:val="en-US"/>
        </w:rPr>
        <w:t>Venous thromboembolism (VTE) commonly presents as deep vein thrombosis (DVT) or pulmonary embolism (PE), occasionally as thrombosis of the hepatic, portal, or splanchnic veins. Patients with cance</w:t>
      </w:r>
      <w:r w:rsidR="003C03FC" w:rsidRPr="00712539">
        <w:rPr>
          <w:rFonts w:ascii="Book Antiqua" w:hAnsi="Book Antiqua"/>
          <w:sz w:val="24"/>
          <w:szCs w:val="24"/>
          <w:lang w:val="en-US"/>
        </w:rPr>
        <w:t xml:space="preserve">r are at increased risk for </w:t>
      </w:r>
      <w:proofErr w:type="gramStart"/>
      <w:r w:rsidR="003C03FC" w:rsidRPr="00712539">
        <w:rPr>
          <w:rFonts w:ascii="Book Antiqua" w:hAnsi="Book Antiqua"/>
          <w:sz w:val="24"/>
          <w:szCs w:val="24"/>
          <w:lang w:val="en-US"/>
        </w:rPr>
        <w:t>VTE</w:t>
      </w:r>
      <w:r w:rsidRPr="00712539">
        <w:rPr>
          <w:rFonts w:ascii="Book Antiqua" w:hAnsi="Book Antiqua" w:cs="Calibri"/>
          <w:sz w:val="24"/>
          <w:szCs w:val="24"/>
          <w:vertAlign w:val="superscript"/>
          <w:lang w:val="en-US"/>
        </w:rPr>
        <w:t>[</w:t>
      </w:r>
      <w:proofErr w:type="gramEnd"/>
      <w:r w:rsidRPr="00712539">
        <w:rPr>
          <w:rFonts w:ascii="Book Antiqua" w:hAnsi="Book Antiqua" w:cs="Calibri"/>
          <w:sz w:val="24"/>
          <w:szCs w:val="24"/>
          <w:vertAlign w:val="superscript"/>
          <w:lang w:val="en-US"/>
        </w:rPr>
        <w:t>1</w:t>
      </w:r>
      <w:r w:rsidR="00D5321E" w:rsidRPr="00712539">
        <w:rPr>
          <w:rFonts w:ascii="Book Antiqua" w:hAnsi="Book Antiqua" w:cs="Calibri"/>
          <w:sz w:val="24"/>
          <w:szCs w:val="24"/>
          <w:vertAlign w:val="superscript"/>
          <w:lang w:val="en-US" w:eastAsia="zh-CN"/>
        </w:rPr>
        <w:t>-</w:t>
      </w:r>
      <w:r w:rsidRPr="00712539">
        <w:rPr>
          <w:rFonts w:ascii="Book Antiqua" w:hAnsi="Book Antiqua" w:cs="Calibri"/>
          <w:sz w:val="24"/>
          <w:szCs w:val="24"/>
          <w:vertAlign w:val="superscript"/>
          <w:lang w:val="en-US"/>
        </w:rPr>
        <w:t>4]</w:t>
      </w:r>
      <w:r w:rsidRPr="00712539">
        <w:rPr>
          <w:rFonts w:ascii="Book Antiqua" w:hAnsi="Book Antiqua"/>
          <w:sz w:val="24"/>
          <w:szCs w:val="24"/>
          <w:lang w:val="en-US"/>
        </w:rPr>
        <w:t>. In addition to prothrombogenic cancer-related factors, the risk for symptomatic VTE is modulated by patient-specific and treatment-related factors (Table 1). Among the different subtypes of malignancy, some gastrointestinal cancers have a clinically relevant VTE incidence of more than 5% in the first year after cancer diagnosis (Figure 1), such as pancreatic (16</w:t>
      </w:r>
      <w:r w:rsidR="003C03FC" w:rsidRPr="00712539">
        <w:rPr>
          <w:rFonts w:ascii="Book Antiqua" w:hAnsi="Book Antiqua"/>
          <w:sz w:val="24"/>
          <w:szCs w:val="24"/>
          <w:lang w:val="en-US" w:eastAsia="zh-CN"/>
        </w:rPr>
        <w:t>%</w:t>
      </w:r>
      <w:r w:rsidRPr="00712539">
        <w:rPr>
          <w:rFonts w:ascii="Book Antiqua" w:hAnsi="Book Antiqua"/>
          <w:sz w:val="24"/>
          <w:szCs w:val="24"/>
          <w:lang w:val="en-US"/>
        </w:rPr>
        <w:t>-22%), gastric (12</w:t>
      </w:r>
      <w:r w:rsidR="003C03FC" w:rsidRPr="00712539">
        <w:rPr>
          <w:rFonts w:ascii="Book Antiqua" w:hAnsi="Book Antiqua"/>
          <w:sz w:val="24"/>
          <w:szCs w:val="24"/>
          <w:lang w:val="en-US" w:eastAsia="zh-CN"/>
        </w:rPr>
        <w:t>%</w:t>
      </w:r>
      <w:r w:rsidRPr="00712539">
        <w:rPr>
          <w:rFonts w:ascii="Book Antiqua" w:hAnsi="Book Antiqua"/>
          <w:sz w:val="24"/>
          <w:szCs w:val="24"/>
          <w:lang w:val="en-US"/>
        </w:rPr>
        <w:t>-17%)</w:t>
      </w:r>
      <w:r w:rsidR="003C03FC" w:rsidRPr="00712539">
        <w:rPr>
          <w:rFonts w:ascii="Book Antiqua" w:hAnsi="Book Antiqua"/>
          <w:sz w:val="24"/>
          <w:szCs w:val="24"/>
          <w:lang w:val="en-US"/>
        </w:rPr>
        <w:t xml:space="preserve"> and colorectal (8</w:t>
      </w:r>
      <w:r w:rsidR="003C03FC" w:rsidRPr="00712539">
        <w:rPr>
          <w:rFonts w:ascii="Book Antiqua" w:hAnsi="Book Antiqua"/>
          <w:sz w:val="24"/>
          <w:szCs w:val="24"/>
          <w:lang w:val="en-US" w:eastAsia="zh-CN"/>
        </w:rPr>
        <w:t>%</w:t>
      </w:r>
      <w:r w:rsidR="003C03FC" w:rsidRPr="00712539">
        <w:rPr>
          <w:rFonts w:ascii="Book Antiqua" w:hAnsi="Book Antiqua"/>
          <w:sz w:val="24"/>
          <w:szCs w:val="24"/>
          <w:lang w:val="en-US"/>
        </w:rPr>
        <w:t xml:space="preserve">-12%) </w:t>
      </w:r>
      <w:proofErr w:type="gramStart"/>
      <w:r w:rsidR="003C03FC" w:rsidRPr="00712539">
        <w:rPr>
          <w:rFonts w:ascii="Book Antiqua" w:hAnsi="Book Antiqua"/>
          <w:sz w:val="24"/>
          <w:szCs w:val="24"/>
          <w:lang w:val="en-US"/>
        </w:rPr>
        <w:t>cancers</w:t>
      </w:r>
      <w:r w:rsidRPr="00712539">
        <w:rPr>
          <w:rFonts w:ascii="Book Antiqua" w:hAnsi="Book Antiqua" w:cs="Calibri"/>
          <w:sz w:val="24"/>
          <w:szCs w:val="24"/>
          <w:vertAlign w:val="superscript"/>
          <w:lang w:val="en-US"/>
        </w:rPr>
        <w:t>[</w:t>
      </w:r>
      <w:proofErr w:type="gramEnd"/>
      <w:r w:rsidRPr="00712539">
        <w:rPr>
          <w:rFonts w:ascii="Book Antiqua" w:hAnsi="Book Antiqua" w:cs="Calibri"/>
          <w:sz w:val="24"/>
          <w:szCs w:val="24"/>
          <w:vertAlign w:val="superscript"/>
          <w:lang w:val="en-US"/>
        </w:rPr>
        <w:t>2,5</w:t>
      </w:r>
      <w:r w:rsidR="00D5321E" w:rsidRPr="00712539">
        <w:rPr>
          <w:rFonts w:ascii="Book Antiqua" w:hAnsi="Book Antiqua" w:cs="Calibri"/>
          <w:sz w:val="24"/>
          <w:szCs w:val="24"/>
          <w:vertAlign w:val="superscript"/>
          <w:lang w:val="en-US" w:eastAsia="zh-CN"/>
        </w:rPr>
        <w:t>-</w:t>
      </w:r>
      <w:r w:rsidRPr="00712539">
        <w:rPr>
          <w:rFonts w:ascii="Book Antiqua" w:hAnsi="Book Antiqua" w:cs="Calibri"/>
          <w:sz w:val="24"/>
          <w:szCs w:val="24"/>
          <w:vertAlign w:val="superscript"/>
          <w:lang w:val="en-US"/>
        </w:rPr>
        <w:t>8]</w:t>
      </w:r>
      <w:r w:rsidRPr="00712539">
        <w:rPr>
          <w:rFonts w:ascii="Book Antiqua" w:hAnsi="Book Antiqua"/>
          <w:sz w:val="24"/>
          <w:szCs w:val="24"/>
          <w:lang w:val="en-US"/>
        </w:rPr>
        <w:t>. Symptomatic VTE is not only associated with substantial morbidity and complications in clinical management, but has been shown to have a detrim</w:t>
      </w:r>
      <w:r w:rsidR="0093109B" w:rsidRPr="00712539">
        <w:rPr>
          <w:rFonts w:ascii="Book Antiqua" w:hAnsi="Book Antiqua"/>
          <w:sz w:val="24"/>
          <w:szCs w:val="24"/>
          <w:lang w:val="en-US"/>
        </w:rPr>
        <w:t xml:space="preserve">ental effect on cancer </w:t>
      </w:r>
      <w:proofErr w:type="gramStart"/>
      <w:r w:rsidR="0093109B" w:rsidRPr="00712539">
        <w:rPr>
          <w:rFonts w:ascii="Book Antiqua" w:hAnsi="Book Antiqua"/>
          <w:sz w:val="24"/>
          <w:szCs w:val="24"/>
          <w:lang w:val="en-US"/>
        </w:rPr>
        <w:t>survival</w:t>
      </w:r>
      <w:r w:rsidRPr="00712539">
        <w:rPr>
          <w:rFonts w:ascii="Book Antiqua" w:hAnsi="Book Antiqua" w:cs="Calibri"/>
          <w:sz w:val="24"/>
          <w:szCs w:val="24"/>
          <w:vertAlign w:val="superscript"/>
          <w:lang w:val="en-US"/>
        </w:rPr>
        <w:t>[</w:t>
      </w:r>
      <w:proofErr w:type="gramEnd"/>
      <w:r w:rsidRPr="00712539">
        <w:rPr>
          <w:rFonts w:ascii="Book Antiqua" w:hAnsi="Book Antiqua" w:cs="Calibri"/>
          <w:sz w:val="24"/>
          <w:szCs w:val="24"/>
          <w:vertAlign w:val="superscript"/>
          <w:lang w:val="en-US"/>
        </w:rPr>
        <w:t>9</w:t>
      </w:r>
      <w:r w:rsidR="00264574">
        <w:rPr>
          <w:rFonts w:ascii="Book Antiqua" w:hAnsi="Book Antiqua" w:cs="Calibri" w:hint="eastAsia"/>
          <w:sz w:val="24"/>
          <w:szCs w:val="24"/>
          <w:vertAlign w:val="superscript"/>
          <w:lang w:val="en-US" w:eastAsia="zh-CN"/>
        </w:rPr>
        <w:t>-</w:t>
      </w:r>
      <w:r w:rsidRPr="00712539">
        <w:rPr>
          <w:rFonts w:ascii="Book Antiqua" w:hAnsi="Book Antiqua" w:cs="Calibri"/>
          <w:sz w:val="24"/>
          <w:szCs w:val="24"/>
          <w:vertAlign w:val="superscript"/>
          <w:lang w:val="en-US"/>
        </w:rPr>
        <w:t>11]</w:t>
      </w:r>
      <w:r w:rsidRPr="00712539">
        <w:rPr>
          <w:rFonts w:ascii="Book Antiqua" w:hAnsi="Book Antiqua"/>
          <w:sz w:val="24"/>
          <w:szCs w:val="24"/>
          <w:lang w:val="en-US"/>
        </w:rPr>
        <w:t>.</w:t>
      </w:r>
      <w:r w:rsidR="00451163" w:rsidRPr="00712539">
        <w:rPr>
          <w:rFonts w:ascii="Book Antiqua" w:hAnsi="Book Antiqua"/>
          <w:sz w:val="24"/>
          <w:szCs w:val="24"/>
          <w:lang w:val="en-US"/>
        </w:rPr>
        <w:t xml:space="preserve"> </w:t>
      </w:r>
      <w:r w:rsidRPr="00712539">
        <w:rPr>
          <w:rFonts w:ascii="Book Antiqua" w:hAnsi="Book Antiqua"/>
          <w:sz w:val="24"/>
          <w:szCs w:val="24"/>
          <w:lang w:val="en-US"/>
        </w:rPr>
        <w:t>Acute and follow-up complications such as intestinal necrosis and esophageal bleeding due to portal hypertension may be life threatening if int</w:t>
      </w:r>
      <w:r w:rsidR="0093109B" w:rsidRPr="00712539">
        <w:rPr>
          <w:rFonts w:ascii="Book Antiqua" w:hAnsi="Book Antiqua"/>
          <w:sz w:val="24"/>
          <w:szCs w:val="24"/>
          <w:lang w:val="en-US"/>
        </w:rPr>
        <w:t xml:space="preserve">ra-abdominal veins are </w:t>
      </w:r>
      <w:proofErr w:type="gramStart"/>
      <w:r w:rsidR="0093109B" w:rsidRPr="00712539">
        <w:rPr>
          <w:rFonts w:ascii="Book Antiqua" w:hAnsi="Book Antiqua"/>
          <w:sz w:val="24"/>
          <w:szCs w:val="24"/>
          <w:lang w:val="en-US"/>
        </w:rPr>
        <w:t>involved</w:t>
      </w:r>
      <w:r w:rsidRPr="00712539">
        <w:rPr>
          <w:rFonts w:ascii="Book Antiqua" w:hAnsi="Book Antiqua" w:cs="Calibri"/>
          <w:sz w:val="24"/>
          <w:szCs w:val="24"/>
          <w:vertAlign w:val="superscript"/>
          <w:lang w:val="en-US"/>
        </w:rPr>
        <w:t>[</w:t>
      </w:r>
      <w:proofErr w:type="gramEnd"/>
      <w:r w:rsidRPr="00712539">
        <w:rPr>
          <w:rFonts w:ascii="Book Antiqua" w:hAnsi="Book Antiqua" w:cs="Calibri"/>
          <w:sz w:val="24"/>
          <w:szCs w:val="24"/>
          <w:vertAlign w:val="superscript"/>
          <w:lang w:val="en-US"/>
        </w:rPr>
        <w:t>12</w:t>
      </w:r>
      <w:r w:rsidR="00D5321E" w:rsidRPr="00712539">
        <w:rPr>
          <w:rFonts w:ascii="Book Antiqua" w:hAnsi="Book Antiqua" w:cs="Calibri"/>
          <w:sz w:val="24"/>
          <w:szCs w:val="24"/>
          <w:vertAlign w:val="superscript"/>
          <w:lang w:val="en-US" w:eastAsia="zh-CN"/>
        </w:rPr>
        <w:t>-</w:t>
      </w:r>
      <w:r w:rsidRPr="00712539">
        <w:rPr>
          <w:rFonts w:ascii="Book Antiqua" w:hAnsi="Book Antiqua" w:cs="Calibri"/>
          <w:sz w:val="24"/>
          <w:szCs w:val="24"/>
          <w:vertAlign w:val="superscript"/>
          <w:lang w:val="en-US"/>
        </w:rPr>
        <w:t>15]</w:t>
      </w:r>
      <w:r w:rsidRPr="00712539">
        <w:rPr>
          <w:rFonts w:ascii="Book Antiqua" w:hAnsi="Book Antiqua"/>
          <w:sz w:val="24"/>
          <w:szCs w:val="24"/>
          <w:lang w:val="en-US"/>
        </w:rPr>
        <w:t>.</w:t>
      </w:r>
      <w:r w:rsidR="00451163" w:rsidRPr="00712539">
        <w:rPr>
          <w:rFonts w:ascii="Book Antiqua" w:hAnsi="Book Antiqua"/>
          <w:sz w:val="24"/>
          <w:szCs w:val="24"/>
          <w:lang w:val="en-US"/>
        </w:rPr>
        <w:t xml:space="preserve"> </w:t>
      </w:r>
    </w:p>
    <w:p w14:paraId="16A4147D" w14:textId="77777777" w:rsidR="00D5321E" w:rsidRPr="00712539" w:rsidRDefault="004F0B9C" w:rsidP="00D5321E">
      <w:pPr>
        <w:spacing w:after="0" w:line="360" w:lineRule="auto"/>
        <w:ind w:firstLineChars="100" w:firstLine="240"/>
        <w:jc w:val="both"/>
        <w:rPr>
          <w:rFonts w:ascii="Book Antiqua" w:hAnsi="Book Antiqua"/>
          <w:sz w:val="24"/>
          <w:szCs w:val="24"/>
          <w:lang w:val="en-US" w:eastAsia="zh-CN"/>
        </w:rPr>
      </w:pPr>
      <w:r w:rsidRPr="00712539">
        <w:rPr>
          <w:rFonts w:ascii="Book Antiqua" w:hAnsi="Book Antiqua"/>
          <w:sz w:val="24"/>
          <w:szCs w:val="24"/>
          <w:lang w:val="en-US"/>
        </w:rPr>
        <w:t>Furthermore, anticoagulation with a vitamin K antagonist (VKA), such as warfarin, is complicated by drug interactions and variable drug absorption due to the changing nutrit</w:t>
      </w:r>
      <w:r w:rsidR="00D5321E" w:rsidRPr="00712539">
        <w:rPr>
          <w:rFonts w:ascii="Book Antiqua" w:hAnsi="Book Antiqua"/>
          <w:sz w:val="24"/>
          <w:szCs w:val="24"/>
          <w:lang w:val="en-US"/>
        </w:rPr>
        <w:t xml:space="preserve">ional status of cancer </w:t>
      </w:r>
      <w:proofErr w:type="gramStart"/>
      <w:r w:rsidR="00D5321E" w:rsidRPr="00712539">
        <w:rPr>
          <w:rFonts w:ascii="Book Antiqua" w:hAnsi="Book Antiqua"/>
          <w:sz w:val="24"/>
          <w:szCs w:val="24"/>
          <w:lang w:val="en-US"/>
        </w:rPr>
        <w:t>patients</w:t>
      </w:r>
      <w:r w:rsidRPr="00712539">
        <w:rPr>
          <w:rFonts w:ascii="Book Antiqua" w:hAnsi="Book Antiqua" w:cs="Calibri"/>
          <w:sz w:val="24"/>
          <w:szCs w:val="24"/>
          <w:vertAlign w:val="superscript"/>
          <w:lang w:val="en-US"/>
        </w:rPr>
        <w:t>[</w:t>
      </w:r>
      <w:proofErr w:type="gramEnd"/>
      <w:r w:rsidRPr="00712539">
        <w:rPr>
          <w:rFonts w:ascii="Book Antiqua" w:hAnsi="Book Antiqua" w:cs="Calibri"/>
          <w:sz w:val="24"/>
          <w:szCs w:val="24"/>
          <w:vertAlign w:val="superscript"/>
          <w:lang w:val="en-US"/>
        </w:rPr>
        <w:t>16]</w:t>
      </w:r>
      <w:r w:rsidRPr="00712539">
        <w:rPr>
          <w:rFonts w:ascii="Book Antiqua" w:hAnsi="Book Antiqua"/>
          <w:sz w:val="24"/>
          <w:szCs w:val="24"/>
          <w:lang w:val="en-US"/>
        </w:rPr>
        <w:t>. In fact, therapeutic anticoagulation with VKA does not prevent VTE recurrences as effectively as in non-cancer patients, and major bleeding complications are</w:t>
      </w:r>
      <w:r w:rsidR="00D5321E" w:rsidRPr="00712539">
        <w:rPr>
          <w:rFonts w:ascii="Book Antiqua" w:hAnsi="Book Antiqua"/>
          <w:sz w:val="24"/>
          <w:szCs w:val="24"/>
          <w:lang w:val="en-US"/>
        </w:rPr>
        <w:t xml:space="preserve"> also more than twice as </w:t>
      </w:r>
      <w:proofErr w:type="gramStart"/>
      <w:r w:rsidR="00D5321E" w:rsidRPr="00712539">
        <w:rPr>
          <w:rFonts w:ascii="Book Antiqua" w:hAnsi="Book Antiqua"/>
          <w:sz w:val="24"/>
          <w:szCs w:val="24"/>
          <w:lang w:val="en-US"/>
        </w:rPr>
        <w:t>common</w:t>
      </w:r>
      <w:r w:rsidRPr="00712539">
        <w:rPr>
          <w:rFonts w:ascii="Book Antiqua" w:hAnsi="Book Antiqua" w:cs="Calibri"/>
          <w:sz w:val="24"/>
          <w:szCs w:val="24"/>
          <w:vertAlign w:val="superscript"/>
          <w:lang w:val="en-US"/>
        </w:rPr>
        <w:t>[</w:t>
      </w:r>
      <w:proofErr w:type="gramEnd"/>
      <w:r w:rsidRPr="00712539">
        <w:rPr>
          <w:rFonts w:ascii="Book Antiqua" w:hAnsi="Book Antiqua" w:cs="Calibri"/>
          <w:sz w:val="24"/>
          <w:szCs w:val="24"/>
          <w:vertAlign w:val="superscript"/>
          <w:lang w:val="en-US"/>
        </w:rPr>
        <w:t>17]</w:t>
      </w:r>
      <w:r w:rsidRPr="00712539">
        <w:rPr>
          <w:rFonts w:ascii="Book Antiqua" w:hAnsi="Book Antiqua"/>
          <w:sz w:val="24"/>
          <w:szCs w:val="24"/>
          <w:lang w:val="en-US"/>
        </w:rPr>
        <w:t>. Acute anticoagulation and secondary prevention with low molecular weight heparin (LMWH) has been established as an effective trea</w:t>
      </w:r>
      <w:r w:rsidR="00D5321E" w:rsidRPr="00712539">
        <w:rPr>
          <w:rFonts w:ascii="Book Antiqua" w:hAnsi="Book Antiqua"/>
          <w:sz w:val="24"/>
          <w:szCs w:val="24"/>
          <w:lang w:val="en-US"/>
        </w:rPr>
        <w:t xml:space="preserve">tment of VTE in cancer </w:t>
      </w:r>
      <w:proofErr w:type="gramStart"/>
      <w:r w:rsidR="00D5321E" w:rsidRPr="00712539">
        <w:rPr>
          <w:rFonts w:ascii="Book Antiqua" w:hAnsi="Book Antiqua"/>
          <w:sz w:val="24"/>
          <w:szCs w:val="24"/>
          <w:lang w:val="en-US"/>
        </w:rPr>
        <w:t>patients</w:t>
      </w:r>
      <w:r w:rsidRPr="00712539">
        <w:rPr>
          <w:rFonts w:ascii="Book Antiqua" w:hAnsi="Book Antiqua" w:cs="Calibri"/>
          <w:sz w:val="24"/>
          <w:szCs w:val="24"/>
          <w:vertAlign w:val="superscript"/>
          <w:lang w:val="en-US"/>
        </w:rPr>
        <w:t>[</w:t>
      </w:r>
      <w:proofErr w:type="gramEnd"/>
      <w:r w:rsidRPr="00712539">
        <w:rPr>
          <w:rFonts w:ascii="Book Antiqua" w:hAnsi="Book Antiqua" w:cs="Calibri"/>
          <w:sz w:val="24"/>
          <w:szCs w:val="24"/>
          <w:vertAlign w:val="superscript"/>
          <w:lang w:val="en-US"/>
        </w:rPr>
        <w:t>18]</w:t>
      </w:r>
      <w:r w:rsidRPr="00712539">
        <w:rPr>
          <w:rFonts w:ascii="Book Antiqua" w:hAnsi="Book Antiqua"/>
          <w:sz w:val="24"/>
          <w:szCs w:val="24"/>
          <w:lang w:val="en-US"/>
        </w:rPr>
        <w:t>, but daily subcutaneous application may result in local complications such as hematoma or infections, thus negatively influencing quality of life.</w:t>
      </w:r>
    </w:p>
    <w:p w14:paraId="7FED4893" w14:textId="77777777" w:rsidR="00D5321E" w:rsidRPr="00712539" w:rsidRDefault="004F0B9C" w:rsidP="00D5321E">
      <w:pPr>
        <w:spacing w:after="0" w:line="360" w:lineRule="auto"/>
        <w:ind w:firstLineChars="100" w:firstLine="240"/>
        <w:jc w:val="both"/>
        <w:rPr>
          <w:rFonts w:ascii="Book Antiqua" w:hAnsi="Book Antiqua"/>
          <w:sz w:val="24"/>
          <w:szCs w:val="24"/>
          <w:lang w:val="en-US" w:eastAsia="zh-CN"/>
        </w:rPr>
      </w:pPr>
      <w:r w:rsidRPr="00712539">
        <w:rPr>
          <w:rFonts w:ascii="Book Antiqua" w:hAnsi="Book Antiqua"/>
          <w:sz w:val="24"/>
          <w:szCs w:val="24"/>
          <w:lang w:val="en-US"/>
        </w:rPr>
        <w:t>Most research into the primary prevention and treatment of VTE included both cancer and non-cancer patients. Recommendations for patients with malignancies are therefore based on the sparse available evidence and the guidelines d</w:t>
      </w:r>
      <w:r w:rsidR="00D5321E" w:rsidRPr="00712539">
        <w:rPr>
          <w:rFonts w:ascii="Book Antiqua" w:hAnsi="Book Antiqua"/>
          <w:sz w:val="24"/>
          <w:szCs w:val="24"/>
          <w:lang w:val="en-US"/>
        </w:rPr>
        <w:t>iffer only marginally (Table 2)</w:t>
      </w:r>
      <w:r w:rsidRPr="00712539">
        <w:rPr>
          <w:rFonts w:ascii="Book Antiqua" w:hAnsi="Book Antiqua" w:cs="Calibri"/>
          <w:sz w:val="24"/>
          <w:szCs w:val="24"/>
          <w:vertAlign w:val="superscript"/>
          <w:lang w:val="en-US"/>
        </w:rPr>
        <w:t>[19</w:t>
      </w:r>
      <w:r w:rsidR="00D5321E" w:rsidRPr="00712539">
        <w:rPr>
          <w:rFonts w:ascii="Book Antiqua" w:hAnsi="Book Antiqua" w:cs="Calibri"/>
          <w:sz w:val="24"/>
          <w:szCs w:val="24"/>
          <w:vertAlign w:val="superscript"/>
          <w:lang w:val="en-US" w:eastAsia="zh-CN"/>
        </w:rPr>
        <w:t>-</w:t>
      </w:r>
      <w:r w:rsidRPr="00712539">
        <w:rPr>
          <w:rFonts w:ascii="Book Antiqua" w:hAnsi="Book Antiqua" w:cs="Calibri"/>
          <w:sz w:val="24"/>
          <w:szCs w:val="24"/>
          <w:vertAlign w:val="superscript"/>
          <w:lang w:val="en-US"/>
        </w:rPr>
        <w:t>27]</w:t>
      </w:r>
      <w:r w:rsidRPr="00712539">
        <w:rPr>
          <w:rFonts w:ascii="Book Antiqua" w:hAnsi="Book Antiqua"/>
          <w:sz w:val="24"/>
          <w:szCs w:val="24"/>
          <w:lang w:val="en-US"/>
        </w:rPr>
        <w:t xml:space="preserve">. Most clinical studies focusing on VTE in cancer patients do not differentiate between different kinds of cancer, resulting in a lack of specific data concerning VTE in gastrointestinal cancers. </w:t>
      </w:r>
    </w:p>
    <w:p w14:paraId="7FB691FD" w14:textId="77777777" w:rsidR="00D5321E" w:rsidRPr="00712539" w:rsidRDefault="00D5321E" w:rsidP="00D5321E">
      <w:pPr>
        <w:spacing w:after="0" w:line="360" w:lineRule="auto"/>
        <w:jc w:val="both"/>
        <w:rPr>
          <w:rFonts w:ascii="Book Antiqua" w:hAnsi="Book Antiqua"/>
          <w:sz w:val="24"/>
          <w:szCs w:val="24"/>
          <w:lang w:val="en-US" w:eastAsia="zh-CN"/>
        </w:rPr>
      </w:pPr>
    </w:p>
    <w:p w14:paraId="7898EE2C" w14:textId="4D062497" w:rsidR="004F0B9C" w:rsidRPr="00712539" w:rsidRDefault="00D5321E" w:rsidP="00D5321E">
      <w:pPr>
        <w:spacing w:after="0" w:line="360" w:lineRule="auto"/>
        <w:jc w:val="both"/>
        <w:rPr>
          <w:rFonts w:ascii="Book Antiqua" w:hAnsi="Book Antiqua"/>
          <w:sz w:val="24"/>
          <w:szCs w:val="24"/>
          <w:lang w:val="en-US"/>
        </w:rPr>
      </w:pPr>
      <w:r w:rsidRPr="00712539">
        <w:rPr>
          <w:rFonts w:ascii="Book Antiqua" w:hAnsi="Book Antiqua"/>
          <w:b/>
          <w:sz w:val="24"/>
          <w:szCs w:val="24"/>
          <w:lang w:val="en-US"/>
        </w:rPr>
        <w:lastRenderedPageBreak/>
        <w:t>PERIOPERATIVE PROPHYLAXIS OF VTE IN CANCER PATIENTS UNDERGOING SURGERY</w:t>
      </w:r>
    </w:p>
    <w:p w14:paraId="1DF5F59D" w14:textId="49699F28" w:rsidR="004F0B9C" w:rsidRPr="00712539" w:rsidRDefault="004F0B9C" w:rsidP="0093109B">
      <w:pPr>
        <w:tabs>
          <w:tab w:val="left" w:pos="7371"/>
        </w:tabs>
        <w:spacing w:after="0" w:line="360" w:lineRule="auto"/>
        <w:jc w:val="both"/>
        <w:rPr>
          <w:rFonts w:ascii="Book Antiqua" w:hAnsi="Book Antiqua"/>
          <w:sz w:val="24"/>
          <w:szCs w:val="24"/>
          <w:lang w:val="en-US"/>
        </w:rPr>
      </w:pPr>
      <w:r w:rsidRPr="00712539">
        <w:rPr>
          <w:rFonts w:ascii="Book Antiqua" w:hAnsi="Book Antiqua"/>
          <w:sz w:val="24"/>
          <w:szCs w:val="24"/>
          <w:lang w:val="en-US"/>
        </w:rPr>
        <w:t xml:space="preserve">The risk for VTE is higher in cancer patients undergoing surgery without prophylaxis in comparison </w:t>
      </w:r>
      <w:r w:rsidR="00117840" w:rsidRPr="00712539">
        <w:rPr>
          <w:rFonts w:ascii="Book Antiqua" w:hAnsi="Book Antiqua"/>
          <w:sz w:val="24"/>
          <w:szCs w:val="24"/>
          <w:lang w:val="en-US"/>
        </w:rPr>
        <w:t xml:space="preserve">to non-cancer surgical </w:t>
      </w:r>
      <w:proofErr w:type="gramStart"/>
      <w:r w:rsidR="00117840" w:rsidRPr="00712539">
        <w:rPr>
          <w:rFonts w:ascii="Book Antiqua" w:hAnsi="Book Antiqua"/>
          <w:sz w:val="24"/>
          <w:szCs w:val="24"/>
          <w:lang w:val="en-US"/>
        </w:rPr>
        <w:t>patients</w:t>
      </w:r>
      <w:r w:rsidRPr="00712539">
        <w:rPr>
          <w:rFonts w:ascii="Book Antiqua" w:hAnsi="Book Antiqua" w:cs="Calibri"/>
          <w:sz w:val="24"/>
          <w:szCs w:val="24"/>
          <w:vertAlign w:val="superscript"/>
          <w:lang w:val="en-US"/>
        </w:rPr>
        <w:t>[</w:t>
      </w:r>
      <w:proofErr w:type="gramEnd"/>
      <w:r w:rsidRPr="00712539">
        <w:rPr>
          <w:rFonts w:ascii="Book Antiqua" w:hAnsi="Book Antiqua" w:cs="Calibri"/>
          <w:sz w:val="24"/>
          <w:szCs w:val="24"/>
          <w:vertAlign w:val="superscript"/>
          <w:lang w:val="en-US"/>
        </w:rPr>
        <w:t>27,28]</w:t>
      </w:r>
      <w:r w:rsidRPr="00712539">
        <w:rPr>
          <w:rFonts w:ascii="Book Antiqua" w:hAnsi="Book Antiqua"/>
          <w:sz w:val="24"/>
          <w:szCs w:val="24"/>
          <w:lang w:val="en-US"/>
        </w:rPr>
        <w:t>. Administration of LMWH or fondaparinux (FPX) in these patients signif</w:t>
      </w:r>
      <w:r w:rsidR="00117840" w:rsidRPr="00712539">
        <w:rPr>
          <w:rFonts w:ascii="Book Antiqua" w:hAnsi="Book Antiqua"/>
          <w:sz w:val="24"/>
          <w:szCs w:val="24"/>
          <w:lang w:val="en-US"/>
        </w:rPr>
        <w:t xml:space="preserve">icantly reduces the rate of </w:t>
      </w:r>
      <w:proofErr w:type="gramStart"/>
      <w:r w:rsidR="00117840" w:rsidRPr="00712539">
        <w:rPr>
          <w:rFonts w:ascii="Book Antiqua" w:hAnsi="Book Antiqua"/>
          <w:sz w:val="24"/>
          <w:szCs w:val="24"/>
          <w:lang w:val="en-US"/>
        </w:rPr>
        <w:t>VTE</w:t>
      </w:r>
      <w:r w:rsidRPr="00712539">
        <w:rPr>
          <w:rFonts w:ascii="Book Antiqua" w:hAnsi="Book Antiqua" w:cs="Calibri"/>
          <w:sz w:val="24"/>
          <w:szCs w:val="24"/>
          <w:vertAlign w:val="superscript"/>
          <w:lang w:val="en-US"/>
        </w:rPr>
        <w:t>[</w:t>
      </w:r>
      <w:proofErr w:type="gramEnd"/>
      <w:r w:rsidRPr="00712539">
        <w:rPr>
          <w:rFonts w:ascii="Book Antiqua" w:hAnsi="Book Antiqua" w:cs="Calibri"/>
          <w:sz w:val="24"/>
          <w:szCs w:val="24"/>
          <w:vertAlign w:val="superscript"/>
          <w:lang w:val="en-US"/>
        </w:rPr>
        <w:t>29,30]</w:t>
      </w:r>
      <w:r w:rsidRPr="00712539">
        <w:rPr>
          <w:rFonts w:ascii="Book Antiqua" w:hAnsi="Book Antiqua"/>
          <w:sz w:val="24"/>
          <w:szCs w:val="24"/>
          <w:lang w:val="en-US"/>
        </w:rPr>
        <w:t>. Dosages of LMWH in the range of 3000-5000 anti-FXa units per day are more effective than and as safe as lower doses.</w:t>
      </w:r>
      <w:r w:rsidR="00451163" w:rsidRPr="00712539">
        <w:rPr>
          <w:rFonts w:ascii="Book Antiqua" w:hAnsi="Book Antiqua"/>
          <w:sz w:val="24"/>
          <w:szCs w:val="24"/>
          <w:lang w:val="en-US"/>
        </w:rPr>
        <w:t xml:space="preserve"> </w:t>
      </w:r>
      <w:r w:rsidRPr="00712539">
        <w:rPr>
          <w:rFonts w:ascii="Book Antiqua" w:hAnsi="Book Antiqua"/>
          <w:sz w:val="24"/>
          <w:szCs w:val="24"/>
          <w:lang w:val="en-US"/>
        </w:rPr>
        <w:t>Patients undergoing major abdominal or pelvic surgery for malignancy remain at risk for VTE for up to five weeks after surgery. Thus, a prolonged pharmacologic thromboprophylaxis (LMWH or FPX once daily) should be considered, unless contraindicated because of high b</w:t>
      </w:r>
      <w:r w:rsidR="00117840" w:rsidRPr="00712539">
        <w:rPr>
          <w:rFonts w:ascii="Book Antiqua" w:hAnsi="Book Antiqua"/>
          <w:sz w:val="24"/>
          <w:szCs w:val="24"/>
          <w:lang w:val="en-US"/>
        </w:rPr>
        <w:t xml:space="preserve">leeding risk or active </w:t>
      </w:r>
      <w:proofErr w:type="gramStart"/>
      <w:r w:rsidR="00117840" w:rsidRPr="00712539">
        <w:rPr>
          <w:rFonts w:ascii="Book Antiqua" w:hAnsi="Book Antiqua"/>
          <w:sz w:val="24"/>
          <w:szCs w:val="24"/>
          <w:lang w:val="en-US"/>
        </w:rPr>
        <w:t>bleeding</w:t>
      </w:r>
      <w:r w:rsidRPr="00712539">
        <w:rPr>
          <w:rFonts w:ascii="Book Antiqua" w:hAnsi="Book Antiqua" w:cs="Calibri"/>
          <w:sz w:val="24"/>
          <w:szCs w:val="24"/>
          <w:vertAlign w:val="superscript"/>
          <w:lang w:val="en-US"/>
        </w:rPr>
        <w:t>[</w:t>
      </w:r>
      <w:proofErr w:type="gramEnd"/>
      <w:r w:rsidRPr="00712539">
        <w:rPr>
          <w:rFonts w:ascii="Book Antiqua" w:hAnsi="Book Antiqua" w:cs="Calibri"/>
          <w:sz w:val="24"/>
          <w:szCs w:val="24"/>
          <w:vertAlign w:val="superscript"/>
          <w:lang w:val="en-US"/>
        </w:rPr>
        <w:t>31,32]</w:t>
      </w:r>
      <w:r w:rsidRPr="00712539">
        <w:rPr>
          <w:rFonts w:ascii="Book Antiqua" w:hAnsi="Book Antiqua"/>
          <w:sz w:val="24"/>
          <w:szCs w:val="24"/>
          <w:lang w:val="en-US"/>
        </w:rPr>
        <w:t>. Prophylactic regimens begin 12-24 h pre- or 6-24 h</w:t>
      </w:r>
      <w:r w:rsidR="00117840" w:rsidRPr="00712539">
        <w:rPr>
          <w:rFonts w:ascii="Book Antiqua" w:hAnsi="Book Antiqua"/>
          <w:sz w:val="24"/>
          <w:szCs w:val="24"/>
          <w:lang w:val="en-US"/>
        </w:rPr>
        <w:t xml:space="preserve"> </w:t>
      </w:r>
      <w:proofErr w:type="gramStart"/>
      <w:r w:rsidR="00117840" w:rsidRPr="00712539">
        <w:rPr>
          <w:rFonts w:ascii="Book Antiqua" w:hAnsi="Book Antiqua"/>
          <w:sz w:val="24"/>
          <w:szCs w:val="24"/>
          <w:lang w:val="en-US"/>
        </w:rPr>
        <w:t>postoperatively</w:t>
      </w:r>
      <w:r w:rsidRPr="00712539">
        <w:rPr>
          <w:rFonts w:ascii="Book Antiqua" w:hAnsi="Book Antiqua" w:cs="Calibri"/>
          <w:sz w:val="24"/>
          <w:szCs w:val="24"/>
          <w:vertAlign w:val="superscript"/>
          <w:lang w:val="en-US"/>
        </w:rPr>
        <w:t>[</w:t>
      </w:r>
      <w:proofErr w:type="gramEnd"/>
      <w:r w:rsidRPr="00712539">
        <w:rPr>
          <w:rFonts w:ascii="Book Antiqua" w:hAnsi="Book Antiqua" w:cs="Calibri"/>
          <w:sz w:val="24"/>
          <w:szCs w:val="24"/>
          <w:vertAlign w:val="superscript"/>
          <w:lang w:val="en-US"/>
        </w:rPr>
        <w:t>29–32]</w:t>
      </w:r>
      <w:r w:rsidRPr="00712539">
        <w:rPr>
          <w:rFonts w:ascii="Book Antiqua" w:hAnsi="Book Antiqua"/>
          <w:sz w:val="24"/>
          <w:szCs w:val="24"/>
          <w:lang w:val="en-US"/>
        </w:rPr>
        <w:t>. B</w:t>
      </w:r>
      <w:r w:rsidR="00117840" w:rsidRPr="00712539">
        <w:rPr>
          <w:rFonts w:ascii="Book Antiqua" w:hAnsi="Book Antiqua"/>
          <w:sz w:val="24"/>
          <w:szCs w:val="24"/>
          <w:lang w:val="en-US"/>
        </w:rPr>
        <w:t xml:space="preserve">ased on these </w:t>
      </w:r>
      <w:proofErr w:type="gramStart"/>
      <w:r w:rsidR="00117840" w:rsidRPr="00712539">
        <w:rPr>
          <w:rFonts w:ascii="Book Antiqua" w:hAnsi="Book Antiqua"/>
          <w:sz w:val="24"/>
          <w:szCs w:val="24"/>
          <w:lang w:val="en-US"/>
        </w:rPr>
        <w:t>studies</w:t>
      </w:r>
      <w:r w:rsidRPr="00712539">
        <w:rPr>
          <w:rFonts w:ascii="Book Antiqua" w:hAnsi="Book Antiqua" w:cs="Calibri"/>
          <w:sz w:val="24"/>
          <w:szCs w:val="24"/>
          <w:vertAlign w:val="superscript"/>
          <w:lang w:val="en-US"/>
        </w:rPr>
        <w:t>[</w:t>
      </w:r>
      <w:proofErr w:type="gramEnd"/>
      <w:r w:rsidRPr="00712539">
        <w:rPr>
          <w:rFonts w:ascii="Book Antiqua" w:hAnsi="Book Antiqua" w:cs="Calibri"/>
          <w:sz w:val="24"/>
          <w:szCs w:val="24"/>
          <w:vertAlign w:val="superscript"/>
          <w:lang w:val="en-US"/>
        </w:rPr>
        <w:t>31</w:t>
      </w:r>
      <w:r w:rsidR="00117840" w:rsidRPr="00712539">
        <w:rPr>
          <w:rFonts w:ascii="Book Antiqua" w:hAnsi="Book Antiqua" w:cs="Calibri"/>
          <w:sz w:val="24"/>
          <w:szCs w:val="24"/>
          <w:vertAlign w:val="superscript"/>
          <w:lang w:val="en-US" w:eastAsia="zh-CN"/>
        </w:rPr>
        <w:t>-</w:t>
      </w:r>
      <w:r w:rsidRPr="00712539">
        <w:rPr>
          <w:rFonts w:ascii="Book Antiqua" w:hAnsi="Book Antiqua" w:cs="Calibri"/>
          <w:sz w:val="24"/>
          <w:szCs w:val="24"/>
          <w:vertAlign w:val="superscript"/>
          <w:lang w:val="en-US"/>
        </w:rPr>
        <w:t>33]</w:t>
      </w:r>
      <w:r w:rsidRPr="00712539">
        <w:rPr>
          <w:rFonts w:ascii="Book Antiqua" w:hAnsi="Book Antiqua"/>
          <w:sz w:val="24"/>
          <w:szCs w:val="24"/>
          <w:lang w:val="en-US"/>
        </w:rPr>
        <w:t>, and according to the different guidelines (Table 2), antithrombotic prophylaxis is recommended for a minimum of 7 d and up to 35 d postoperatively.</w:t>
      </w:r>
      <w:r w:rsidR="00451163" w:rsidRPr="00712539">
        <w:rPr>
          <w:rFonts w:ascii="Book Antiqua" w:hAnsi="Book Antiqua"/>
          <w:sz w:val="24"/>
          <w:szCs w:val="24"/>
          <w:lang w:val="en-US"/>
        </w:rPr>
        <w:t xml:space="preserve"> </w:t>
      </w:r>
      <w:r w:rsidRPr="00712539">
        <w:rPr>
          <w:rFonts w:ascii="Book Antiqua" w:hAnsi="Book Antiqua"/>
          <w:sz w:val="24"/>
          <w:szCs w:val="24"/>
          <w:lang w:val="en-US"/>
        </w:rPr>
        <w:t>FPX (2.5 mg/d) was found to be as effective and safe in preventing VTE after abdominal surgery as the LMWH dalteparin (5000 antiFXa uni</w:t>
      </w:r>
      <w:r w:rsidR="00117840" w:rsidRPr="00712539">
        <w:rPr>
          <w:rFonts w:ascii="Book Antiqua" w:hAnsi="Book Antiqua"/>
          <w:sz w:val="24"/>
          <w:szCs w:val="24"/>
          <w:lang w:val="en-US"/>
        </w:rPr>
        <w:t>ts/d). A post-hoc analysis of 1407 (out of 2</w:t>
      </w:r>
      <w:r w:rsidRPr="00712539">
        <w:rPr>
          <w:rFonts w:ascii="Book Antiqua" w:hAnsi="Book Antiqua"/>
          <w:sz w:val="24"/>
          <w:szCs w:val="24"/>
          <w:lang w:val="en-US"/>
        </w:rPr>
        <w:t>048) patients with cancer demonstrated a signific</w:t>
      </w:r>
      <w:r w:rsidR="00117840" w:rsidRPr="00712539">
        <w:rPr>
          <w:rFonts w:ascii="Book Antiqua" w:hAnsi="Book Antiqua"/>
          <w:sz w:val="24"/>
          <w:szCs w:val="24"/>
          <w:lang w:val="en-US"/>
        </w:rPr>
        <w:t xml:space="preserve">ant (39%) risk reduction of </w:t>
      </w:r>
      <w:proofErr w:type="gramStart"/>
      <w:r w:rsidR="00117840" w:rsidRPr="00712539">
        <w:rPr>
          <w:rFonts w:ascii="Book Antiqua" w:hAnsi="Book Antiqua"/>
          <w:sz w:val="24"/>
          <w:szCs w:val="24"/>
          <w:lang w:val="en-US"/>
        </w:rPr>
        <w:t>VTE</w:t>
      </w:r>
      <w:r w:rsidRPr="00712539">
        <w:rPr>
          <w:rFonts w:ascii="Book Antiqua" w:hAnsi="Book Antiqua" w:cs="Calibri"/>
          <w:sz w:val="24"/>
          <w:szCs w:val="24"/>
          <w:vertAlign w:val="superscript"/>
          <w:lang w:val="en-US"/>
        </w:rPr>
        <w:t>[</w:t>
      </w:r>
      <w:proofErr w:type="gramEnd"/>
      <w:r w:rsidRPr="00712539">
        <w:rPr>
          <w:rFonts w:ascii="Book Antiqua" w:hAnsi="Book Antiqua" w:cs="Calibri"/>
          <w:sz w:val="24"/>
          <w:szCs w:val="24"/>
          <w:vertAlign w:val="superscript"/>
          <w:lang w:val="en-US"/>
        </w:rPr>
        <w:t>29]</w:t>
      </w:r>
      <w:r w:rsidRPr="00712539">
        <w:rPr>
          <w:rFonts w:ascii="Book Antiqua" w:hAnsi="Book Antiqua"/>
          <w:sz w:val="24"/>
          <w:szCs w:val="24"/>
          <w:lang w:val="en-US"/>
        </w:rPr>
        <w:t>. Accordingly</w:t>
      </w:r>
      <w:r w:rsidR="00264574">
        <w:rPr>
          <w:rFonts w:ascii="Book Antiqua" w:hAnsi="Book Antiqua"/>
          <w:sz w:val="24"/>
          <w:szCs w:val="24"/>
          <w:lang w:val="en-US"/>
        </w:rPr>
        <w:t xml:space="preserve">, the European (ESMO) </w:t>
      </w:r>
      <w:proofErr w:type="gramStart"/>
      <w:r w:rsidR="00264574">
        <w:rPr>
          <w:rFonts w:ascii="Book Antiqua" w:hAnsi="Book Antiqua"/>
          <w:sz w:val="24"/>
          <w:szCs w:val="24"/>
          <w:lang w:val="en-US"/>
        </w:rPr>
        <w:t>guideline</w:t>
      </w:r>
      <w:r w:rsidRPr="00264574">
        <w:rPr>
          <w:rFonts w:ascii="Book Antiqua" w:hAnsi="Book Antiqua" w:cs="Calibri"/>
          <w:sz w:val="24"/>
          <w:szCs w:val="24"/>
          <w:vertAlign w:val="superscript"/>
          <w:lang w:val="en-US"/>
        </w:rPr>
        <w:t>[</w:t>
      </w:r>
      <w:proofErr w:type="gramEnd"/>
      <w:r w:rsidRPr="00264574">
        <w:rPr>
          <w:rFonts w:ascii="Book Antiqua" w:hAnsi="Book Antiqua" w:cs="Calibri"/>
          <w:sz w:val="24"/>
          <w:szCs w:val="24"/>
          <w:vertAlign w:val="superscript"/>
          <w:lang w:val="en-US"/>
        </w:rPr>
        <w:t>20]</w:t>
      </w:r>
      <w:r w:rsidRPr="00712539">
        <w:rPr>
          <w:rFonts w:ascii="Book Antiqua" w:hAnsi="Book Antiqua"/>
          <w:sz w:val="24"/>
          <w:szCs w:val="24"/>
          <w:lang w:val="en-US"/>
        </w:rPr>
        <w:t xml:space="preserve"> recommends extended prophylaxis for all patients undergoing elective cancer surgery. In the A</w:t>
      </w:r>
      <w:r w:rsidR="00264574">
        <w:rPr>
          <w:rFonts w:ascii="Book Antiqua" w:hAnsi="Book Antiqua"/>
          <w:sz w:val="24"/>
          <w:szCs w:val="24"/>
          <w:lang w:val="en-US"/>
        </w:rPr>
        <w:t>merican guidelines (ASCO, NCCN)</w:t>
      </w:r>
      <w:r w:rsidRPr="00264574">
        <w:rPr>
          <w:rFonts w:ascii="Book Antiqua" w:hAnsi="Book Antiqua" w:cs="Calibri"/>
          <w:sz w:val="24"/>
          <w:szCs w:val="24"/>
          <w:vertAlign w:val="superscript"/>
          <w:lang w:val="en-US"/>
        </w:rPr>
        <w:t>[19,34]</w:t>
      </w:r>
      <w:r w:rsidRPr="00712539">
        <w:rPr>
          <w:rFonts w:ascii="Book Antiqua" w:hAnsi="Book Antiqua"/>
          <w:sz w:val="24"/>
          <w:szCs w:val="24"/>
          <w:lang w:val="en-US"/>
        </w:rPr>
        <w:t>, extended prophylaxis is only</w:t>
      </w:r>
      <w:r w:rsidR="00451163" w:rsidRPr="00712539">
        <w:rPr>
          <w:rFonts w:ascii="Book Antiqua" w:hAnsi="Book Antiqua"/>
          <w:sz w:val="24"/>
          <w:szCs w:val="24"/>
          <w:lang w:val="en-US"/>
        </w:rPr>
        <w:t xml:space="preserve"> </w:t>
      </w:r>
      <w:r w:rsidRPr="00712539">
        <w:rPr>
          <w:rFonts w:ascii="Book Antiqua" w:hAnsi="Book Antiqua"/>
          <w:sz w:val="24"/>
          <w:szCs w:val="24"/>
          <w:lang w:val="en-US"/>
        </w:rPr>
        <w:t>recommended in the presence of high thromboembolic risk factors such as residual or advanced cancer, aged 60 or older, obesity, previous history of VTE, duration of surgery longer than 2 h or prolonged postoperative immobilization. In patients with contraindications to pharmacological anticoagulant prevention strategies (</w:t>
      </w:r>
      <w:r w:rsidRPr="00712539">
        <w:rPr>
          <w:rFonts w:ascii="Book Antiqua" w:hAnsi="Book Antiqua"/>
          <w:i/>
          <w:sz w:val="24"/>
          <w:szCs w:val="24"/>
          <w:lang w:val="en-US"/>
        </w:rPr>
        <w:t>e.g</w:t>
      </w:r>
      <w:r w:rsidRPr="00712539">
        <w:rPr>
          <w:rFonts w:ascii="Book Antiqua" w:hAnsi="Book Antiqua"/>
          <w:sz w:val="24"/>
          <w:szCs w:val="24"/>
          <w:lang w:val="en-US"/>
        </w:rPr>
        <w:t>.</w:t>
      </w:r>
      <w:r w:rsidR="00451163" w:rsidRPr="00712539">
        <w:rPr>
          <w:rFonts w:ascii="Book Antiqua" w:hAnsi="Book Antiqua"/>
          <w:sz w:val="24"/>
          <w:szCs w:val="24"/>
          <w:lang w:val="en-US" w:eastAsia="zh-CN"/>
        </w:rPr>
        <w:t>,</w:t>
      </w:r>
      <w:r w:rsidRPr="00712539">
        <w:rPr>
          <w:rFonts w:ascii="Book Antiqua" w:hAnsi="Book Antiqua"/>
          <w:sz w:val="24"/>
          <w:szCs w:val="24"/>
          <w:lang w:val="en-US"/>
        </w:rPr>
        <w:t xml:space="preserve"> increased risk of hemorrhage), the use of intermittent pneumatic compression devices or c</w:t>
      </w:r>
      <w:r w:rsidR="00451163" w:rsidRPr="00712539">
        <w:rPr>
          <w:rFonts w:ascii="Book Antiqua" w:hAnsi="Book Antiqua"/>
          <w:sz w:val="24"/>
          <w:szCs w:val="24"/>
          <w:lang w:val="en-US"/>
        </w:rPr>
        <w:t xml:space="preserve">ompression stockings is </w:t>
      </w:r>
      <w:proofErr w:type="gramStart"/>
      <w:r w:rsidR="00451163" w:rsidRPr="00712539">
        <w:rPr>
          <w:rFonts w:ascii="Book Antiqua" w:hAnsi="Book Antiqua"/>
          <w:sz w:val="24"/>
          <w:szCs w:val="24"/>
          <w:lang w:val="en-US"/>
        </w:rPr>
        <w:t>advised</w:t>
      </w:r>
      <w:r w:rsidRPr="00712539">
        <w:rPr>
          <w:rFonts w:ascii="Book Antiqua" w:hAnsi="Book Antiqua" w:cs="Calibri"/>
          <w:sz w:val="24"/>
          <w:szCs w:val="24"/>
          <w:vertAlign w:val="superscript"/>
          <w:lang w:val="en-US"/>
        </w:rPr>
        <w:t>[</w:t>
      </w:r>
      <w:proofErr w:type="gramEnd"/>
      <w:r w:rsidRPr="00712539">
        <w:rPr>
          <w:rFonts w:ascii="Book Antiqua" w:hAnsi="Book Antiqua" w:cs="Calibri"/>
          <w:sz w:val="24"/>
          <w:szCs w:val="24"/>
          <w:vertAlign w:val="superscript"/>
          <w:lang w:val="en-US"/>
        </w:rPr>
        <w:t>19</w:t>
      </w:r>
      <w:r w:rsidR="00451163" w:rsidRPr="00712539">
        <w:rPr>
          <w:rFonts w:ascii="Book Antiqua" w:hAnsi="Book Antiqua" w:cs="Calibri"/>
          <w:sz w:val="24"/>
          <w:szCs w:val="24"/>
          <w:vertAlign w:val="superscript"/>
          <w:lang w:val="en-US" w:eastAsia="zh-CN"/>
        </w:rPr>
        <w:t>-</w:t>
      </w:r>
      <w:r w:rsidRPr="00712539">
        <w:rPr>
          <w:rFonts w:ascii="Book Antiqua" w:hAnsi="Book Antiqua" w:cs="Calibri"/>
          <w:sz w:val="24"/>
          <w:szCs w:val="24"/>
          <w:vertAlign w:val="superscript"/>
          <w:lang w:val="en-US"/>
        </w:rPr>
        <w:t>27]</w:t>
      </w:r>
      <w:r w:rsidRPr="00712539">
        <w:rPr>
          <w:rFonts w:ascii="Book Antiqua" w:hAnsi="Book Antiqua"/>
          <w:sz w:val="24"/>
          <w:szCs w:val="24"/>
          <w:lang w:val="en-US"/>
        </w:rPr>
        <w:t>.</w:t>
      </w:r>
    </w:p>
    <w:p w14:paraId="7FDC4399" w14:textId="3CE25BEF" w:rsidR="004F0B9C" w:rsidRPr="00712539" w:rsidRDefault="004F0B9C" w:rsidP="00451163">
      <w:pPr>
        <w:tabs>
          <w:tab w:val="left" w:pos="7371"/>
        </w:tabs>
        <w:spacing w:after="0" w:line="360" w:lineRule="auto"/>
        <w:ind w:firstLineChars="100" w:firstLine="240"/>
        <w:jc w:val="both"/>
        <w:rPr>
          <w:rFonts w:ascii="Book Antiqua" w:hAnsi="Book Antiqua"/>
          <w:sz w:val="24"/>
          <w:szCs w:val="24"/>
          <w:lang w:val="en-US" w:eastAsia="zh-CN"/>
        </w:rPr>
      </w:pPr>
      <w:r w:rsidRPr="00712539">
        <w:rPr>
          <w:rFonts w:ascii="Book Antiqua" w:hAnsi="Book Antiqua"/>
          <w:sz w:val="24"/>
          <w:szCs w:val="24"/>
          <w:lang w:val="en-US"/>
        </w:rPr>
        <w:t xml:space="preserve">The recommendations for patients undergoing minimally invasive or laparoscopic surgery are even less evidence-based. In a recently published randomized study evaluating postoperative antithrombotic prophylaxis with LMWH for one versus four weeks in patients undergoing laparoscopic surgery for colorectal cancer, extended antithrombotic prophylaxis was safe and </w:t>
      </w:r>
      <w:r w:rsidRPr="00712539">
        <w:rPr>
          <w:rFonts w:ascii="Book Antiqua" w:hAnsi="Book Antiqua"/>
          <w:sz w:val="24"/>
          <w:szCs w:val="24"/>
          <w:lang w:val="en-US"/>
        </w:rPr>
        <w:lastRenderedPageBreak/>
        <w:t>reduced the 3-mo risk of VTE by more than 90%, and that of proximal DVT by 50%, as c</w:t>
      </w:r>
      <w:r w:rsidR="00E571D5" w:rsidRPr="00712539">
        <w:rPr>
          <w:rFonts w:ascii="Book Antiqua" w:hAnsi="Book Antiqua"/>
          <w:sz w:val="24"/>
          <w:szCs w:val="24"/>
          <w:lang w:val="en-US"/>
        </w:rPr>
        <w:t xml:space="preserve">ompared to the one week </w:t>
      </w:r>
      <w:proofErr w:type="gramStart"/>
      <w:r w:rsidR="00E571D5" w:rsidRPr="00712539">
        <w:rPr>
          <w:rFonts w:ascii="Book Antiqua" w:hAnsi="Book Antiqua"/>
          <w:sz w:val="24"/>
          <w:szCs w:val="24"/>
          <w:lang w:val="en-US"/>
        </w:rPr>
        <w:t>regimen</w:t>
      </w:r>
      <w:r w:rsidRPr="00712539">
        <w:rPr>
          <w:rFonts w:ascii="Book Antiqua" w:hAnsi="Book Antiqua" w:cs="Calibri"/>
          <w:sz w:val="24"/>
          <w:szCs w:val="24"/>
          <w:vertAlign w:val="superscript"/>
          <w:lang w:val="en-US"/>
        </w:rPr>
        <w:t>[</w:t>
      </w:r>
      <w:proofErr w:type="gramEnd"/>
      <w:r w:rsidRPr="00712539">
        <w:rPr>
          <w:rFonts w:ascii="Book Antiqua" w:hAnsi="Book Antiqua" w:cs="Calibri"/>
          <w:sz w:val="24"/>
          <w:szCs w:val="24"/>
          <w:vertAlign w:val="superscript"/>
          <w:lang w:val="en-US"/>
        </w:rPr>
        <w:t>35]</w:t>
      </w:r>
      <w:r w:rsidRPr="00712539">
        <w:rPr>
          <w:rFonts w:ascii="Book Antiqua" w:hAnsi="Book Antiqua"/>
          <w:sz w:val="24"/>
          <w:szCs w:val="24"/>
          <w:lang w:val="en-US"/>
        </w:rPr>
        <w:t xml:space="preserve">. These data are consistent with the suggestion to follow the same recommendations regardless of whether a cancer patient is to undergo an open or laparoscopic surgical </w:t>
      </w:r>
      <w:proofErr w:type="gramStart"/>
      <w:r w:rsidRPr="00712539">
        <w:rPr>
          <w:rFonts w:ascii="Book Antiqua" w:hAnsi="Book Antiqua"/>
          <w:sz w:val="24"/>
          <w:szCs w:val="24"/>
          <w:lang w:val="en-US"/>
        </w:rPr>
        <w:t>interven</w:t>
      </w:r>
      <w:r w:rsidR="00E571D5" w:rsidRPr="00712539">
        <w:rPr>
          <w:rFonts w:ascii="Book Antiqua" w:hAnsi="Book Antiqua"/>
          <w:sz w:val="24"/>
          <w:szCs w:val="24"/>
          <w:lang w:val="en-US"/>
        </w:rPr>
        <w:t>tion</w:t>
      </w:r>
      <w:r w:rsidRPr="00712539">
        <w:rPr>
          <w:rFonts w:ascii="Book Antiqua" w:hAnsi="Book Antiqua" w:cs="Calibri"/>
          <w:sz w:val="24"/>
          <w:szCs w:val="24"/>
          <w:vertAlign w:val="superscript"/>
          <w:lang w:val="en-US"/>
        </w:rPr>
        <w:t>[</w:t>
      </w:r>
      <w:proofErr w:type="gramEnd"/>
      <w:r w:rsidRPr="00712539">
        <w:rPr>
          <w:rFonts w:ascii="Book Antiqua" w:hAnsi="Book Antiqua" w:cs="Calibri"/>
          <w:sz w:val="24"/>
          <w:szCs w:val="24"/>
          <w:vertAlign w:val="superscript"/>
          <w:lang w:val="en-US"/>
        </w:rPr>
        <w:t>36,37]</w:t>
      </w:r>
      <w:r w:rsidRPr="00712539">
        <w:rPr>
          <w:rFonts w:ascii="Book Antiqua" w:hAnsi="Book Antiqua"/>
          <w:sz w:val="24"/>
          <w:szCs w:val="24"/>
          <w:lang w:val="en-US"/>
        </w:rPr>
        <w:t xml:space="preserve">. </w:t>
      </w:r>
    </w:p>
    <w:p w14:paraId="25D2B3E3" w14:textId="77777777" w:rsidR="00E571D5" w:rsidRPr="00712539" w:rsidRDefault="00E571D5" w:rsidP="00451163">
      <w:pPr>
        <w:tabs>
          <w:tab w:val="left" w:pos="7371"/>
        </w:tabs>
        <w:spacing w:after="0" w:line="360" w:lineRule="auto"/>
        <w:ind w:firstLineChars="100" w:firstLine="240"/>
        <w:jc w:val="both"/>
        <w:rPr>
          <w:rFonts w:ascii="Book Antiqua" w:hAnsi="Book Antiqua"/>
          <w:sz w:val="24"/>
          <w:szCs w:val="24"/>
          <w:lang w:val="en-US" w:eastAsia="zh-CN"/>
        </w:rPr>
      </w:pPr>
    </w:p>
    <w:p w14:paraId="401A544B" w14:textId="77777777" w:rsidR="004F0B9C" w:rsidRPr="00712539" w:rsidRDefault="004F0B9C" w:rsidP="0093109B">
      <w:pPr>
        <w:spacing w:after="0" w:line="360" w:lineRule="auto"/>
        <w:jc w:val="both"/>
        <w:rPr>
          <w:rFonts w:ascii="Book Antiqua" w:hAnsi="Book Antiqua"/>
          <w:b/>
          <w:sz w:val="24"/>
          <w:szCs w:val="24"/>
          <w:lang w:val="en-US"/>
        </w:rPr>
      </w:pPr>
      <w:r w:rsidRPr="00712539">
        <w:rPr>
          <w:rFonts w:ascii="Book Antiqua" w:hAnsi="Book Antiqua"/>
          <w:b/>
          <w:i/>
          <w:sz w:val="24"/>
          <w:szCs w:val="24"/>
          <w:lang w:val="en-US"/>
        </w:rPr>
        <w:t>Prevention of portal vein thrombosis</w:t>
      </w:r>
    </w:p>
    <w:p w14:paraId="4D20AA12" w14:textId="22C390D4" w:rsidR="004F0B9C" w:rsidRPr="00712539" w:rsidRDefault="004F0B9C" w:rsidP="0093109B">
      <w:pPr>
        <w:tabs>
          <w:tab w:val="left" w:pos="7371"/>
        </w:tabs>
        <w:spacing w:after="0" w:line="360" w:lineRule="auto"/>
        <w:jc w:val="both"/>
        <w:rPr>
          <w:rFonts w:ascii="Book Antiqua" w:hAnsi="Book Antiqua"/>
          <w:sz w:val="24"/>
          <w:szCs w:val="24"/>
          <w:lang w:val="en-US" w:eastAsia="zh-CN"/>
        </w:rPr>
      </w:pPr>
      <w:r w:rsidRPr="00712539">
        <w:rPr>
          <w:rFonts w:ascii="Book Antiqua" w:hAnsi="Book Antiqua"/>
          <w:sz w:val="24"/>
          <w:szCs w:val="24"/>
          <w:lang w:val="en-US"/>
        </w:rPr>
        <w:t>Splanchnic vein thromboses (SVT), including portal vein thrombosis (PVT), mesenteric vein thrombosis, splenic vein thrombosis and the Budd Chiari syndrome are frequent events in patients with hepato-biliary-pancreatic cancers, with cancer-associated PVT</w:t>
      </w:r>
      <w:r w:rsidR="00451163" w:rsidRPr="00712539">
        <w:rPr>
          <w:rFonts w:ascii="Book Antiqua" w:hAnsi="Book Antiqua"/>
          <w:sz w:val="24"/>
          <w:szCs w:val="24"/>
          <w:lang w:val="en-US"/>
        </w:rPr>
        <w:t xml:space="preserve"> </w:t>
      </w:r>
      <w:r w:rsidRPr="00712539">
        <w:rPr>
          <w:rFonts w:ascii="Book Antiqua" w:hAnsi="Book Antiqua"/>
          <w:sz w:val="24"/>
          <w:szCs w:val="24"/>
          <w:lang w:val="en-US"/>
        </w:rPr>
        <w:t>r</w:t>
      </w:r>
      <w:r w:rsidR="006264CF" w:rsidRPr="00712539">
        <w:rPr>
          <w:rFonts w:ascii="Book Antiqua" w:hAnsi="Book Antiqua"/>
          <w:sz w:val="24"/>
          <w:szCs w:val="24"/>
          <w:lang w:val="en-US"/>
        </w:rPr>
        <w:t xml:space="preserve">esponsible for 21% of all </w:t>
      </w:r>
      <w:proofErr w:type="gramStart"/>
      <w:r w:rsidR="006264CF" w:rsidRPr="00712539">
        <w:rPr>
          <w:rFonts w:ascii="Book Antiqua" w:hAnsi="Book Antiqua"/>
          <w:sz w:val="24"/>
          <w:szCs w:val="24"/>
          <w:lang w:val="en-US"/>
        </w:rPr>
        <w:t>cases</w:t>
      </w:r>
      <w:r w:rsidRPr="00712539">
        <w:rPr>
          <w:rFonts w:ascii="Book Antiqua" w:hAnsi="Book Antiqua" w:cs="Calibri"/>
          <w:sz w:val="24"/>
          <w:szCs w:val="24"/>
          <w:vertAlign w:val="superscript"/>
          <w:lang w:val="en-US"/>
        </w:rPr>
        <w:t>[</w:t>
      </w:r>
      <w:proofErr w:type="gramEnd"/>
      <w:r w:rsidRPr="00712539">
        <w:rPr>
          <w:rFonts w:ascii="Book Antiqua" w:hAnsi="Book Antiqua" w:cs="Calibri"/>
          <w:sz w:val="24"/>
          <w:szCs w:val="24"/>
          <w:vertAlign w:val="superscript"/>
          <w:lang w:val="en-US"/>
        </w:rPr>
        <w:t>14]</w:t>
      </w:r>
      <w:r w:rsidRPr="00712539">
        <w:rPr>
          <w:rFonts w:ascii="Book Antiqua" w:hAnsi="Book Antiqua"/>
          <w:sz w:val="24"/>
          <w:szCs w:val="24"/>
          <w:lang w:val="en-US"/>
        </w:rPr>
        <w:t>. The risk of VTE and SVT is incre</w:t>
      </w:r>
      <w:r w:rsidR="006264CF" w:rsidRPr="00712539">
        <w:rPr>
          <w:rFonts w:ascii="Book Antiqua" w:hAnsi="Book Antiqua"/>
          <w:sz w:val="24"/>
          <w:szCs w:val="24"/>
          <w:lang w:val="en-US"/>
        </w:rPr>
        <w:t xml:space="preserve">ased in patients with </w:t>
      </w:r>
      <w:proofErr w:type="gramStart"/>
      <w:r w:rsidR="006264CF" w:rsidRPr="00712539">
        <w:rPr>
          <w:rFonts w:ascii="Book Antiqua" w:hAnsi="Book Antiqua"/>
          <w:sz w:val="24"/>
          <w:szCs w:val="24"/>
          <w:lang w:val="en-US"/>
        </w:rPr>
        <w:t>cirrhosis</w:t>
      </w:r>
      <w:r w:rsidRPr="00712539">
        <w:rPr>
          <w:rFonts w:ascii="Book Antiqua" w:hAnsi="Book Antiqua" w:cs="Calibri"/>
          <w:sz w:val="24"/>
          <w:szCs w:val="24"/>
          <w:vertAlign w:val="superscript"/>
          <w:lang w:val="en-US"/>
        </w:rPr>
        <w:t>[</w:t>
      </w:r>
      <w:proofErr w:type="gramEnd"/>
      <w:r w:rsidRPr="00712539">
        <w:rPr>
          <w:rFonts w:ascii="Book Antiqua" w:hAnsi="Book Antiqua" w:cs="Calibri"/>
          <w:sz w:val="24"/>
          <w:szCs w:val="24"/>
          <w:vertAlign w:val="superscript"/>
          <w:lang w:val="en-US"/>
        </w:rPr>
        <w:t>38,39]</w:t>
      </w:r>
      <w:r w:rsidRPr="00712539">
        <w:rPr>
          <w:rFonts w:ascii="Book Antiqua" w:hAnsi="Book Antiqua"/>
          <w:sz w:val="24"/>
          <w:szCs w:val="24"/>
          <w:lang w:val="en-US"/>
        </w:rPr>
        <w:t>, and PVT is a relevant complication of he</w:t>
      </w:r>
      <w:r w:rsidR="006264CF" w:rsidRPr="00712539">
        <w:rPr>
          <w:rFonts w:ascii="Book Antiqua" w:hAnsi="Book Antiqua"/>
          <w:sz w:val="24"/>
          <w:szCs w:val="24"/>
          <w:lang w:val="en-US"/>
        </w:rPr>
        <w:t>pato-biliary-pancreatic surgery</w:t>
      </w:r>
      <w:r w:rsidRPr="00712539">
        <w:rPr>
          <w:rFonts w:ascii="Book Antiqua" w:hAnsi="Book Antiqua" w:cs="Calibri"/>
          <w:sz w:val="24"/>
          <w:szCs w:val="24"/>
          <w:vertAlign w:val="superscript"/>
          <w:lang w:val="en-US"/>
        </w:rPr>
        <w:t>[40]</w:t>
      </w:r>
      <w:r w:rsidRPr="00712539">
        <w:rPr>
          <w:rFonts w:ascii="Book Antiqua" w:hAnsi="Book Antiqua"/>
          <w:sz w:val="24"/>
          <w:szCs w:val="24"/>
          <w:lang w:val="en-US"/>
        </w:rPr>
        <w:t xml:space="preserve">, reported to occur in 9% of </w:t>
      </w:r>
      <w:r w:rsidR="006264CF" w:rsidRPr="00712539">
        <w:rPr>
          <w:rFonts w:ascii="Book Antiqua" w:hAnsi="Book Antiqua"/>
          <w:sz w:val="24"/>
          <w:szCs w:val="24"/>
          <w:lang w:val="en-US"/>
        </w:rPr>
        <w:t>patients after liver resections</w:t>
      </w:r>
      <w:r w:rsidRPr="00712539">
        <w:rPr>
          <w:rFonts w:ascii="Book Antiqua" w:hAnsi="Book Antiqua" w:cs="Calibri"/>
          <w:sz w:val="24"/>
          <w:szCs w:val="24"/>
          <w:vertAlign w:val="superscript"/>
          <w:lang w:val="en-US"/>
        </w:rPr>
        <w:t>[41]</w:t>
      </w:r>
      <w:r w:rsidRPr="00712539">
        <w:rPr>
          <w:rFonts w:ascii="Book Antiqua" w:hAnsi="Book Antiqua"/>
          <w:sz w:val="24"/>
          <w:szCs w:val="24"/>
          <w:lang w:val="en-US"/>
        </w:rPr>
        <w:t>. In this context, thromboprophylaxis with LMWH was demonstrated to be effective and safe in a retrospective comparative cohort study of 201 patients undergoing liver resections for liver cancers, with a redu</w:t>
      </w:r>
      <w:r w:rsidR="006264CF" w:rsidRPr="00712539">
        <w:rPr>
          <w:rFonts w:ascii="Book Antiqua" w:hAnsi="Book Antiqua"/>
          <w:sz w:val="24"/>
          <w:szCs w:val="24"/>
          <w:lang w:val="en-US"/>
        </w:rPr>
        <w:t>ction in PVT from 10</w:t>
      </w:r>
      <w:r w:rsidR="006264CF" w:rsidRPr="00712539">
        <w:rPr>
          <w:rFonts w:ascii="Book Antiqua" w:hAnsi="Book Antiqua"/>
          <w:sz w:val="24"/>
          <w:szCs w:val="24"/>
          <w:lang w:val="en-US" w:eastAsia="zh-CN"/>
        </w:rPr>
        <w:t>%</w:t>
      </w:r>
      <w:r w:rsidR="006264CF" w:rsidRPr="00712539">
        <w:rPr>
          <w:rFonts w:ascii="Book Antiqua" w:hAnsi="Book Antiqua"/>
          <w:sz w:val="24"/>
          <w:szCs w:val="24"/>
          <w:lang w:val="en-US"/>
        </w:rPr>
        <w:t xml:space="preserve"> to 2%</w:t>
      </w:r>
      <w:r w:rsidRPr="00712539">
        <w:rPr>
          <w:rFonts w:ascii="Book Antiqua" w:hAnsi="Book Antiqua" w:cs="Calibri"/>
          <w:sz w:val="24"/>
          <w:szCs w:val="24"/>
          <w:vertAlign w:val="superscript"/>
          <w:lang w:val="en-US"/>
        </w:rPr>
        <w:t>[42]</w:t>
      </w:r>
      <w:r w:rsidRPr="00712539">
        <w:rPr>
          <w:rFonts w:ascii="Book Antiqua" w:hAnsi="Book Antiqua"/>
          <w:sz w:val="24"/>
          <w:szCs w:val="24"/>
          <w:lang w:val="en-US"/>
        </w:rPr>
        <w:t xml:space="preserve">. These data suggest that prophylactic anticoagulation with LMWH </w:t>
      </w:r>
      <w:r w:rsidR="00B15790" w:rsidRPr="00712539">
        <w:rPr>
          <w:rFonts w:ascii="Book Antiqua" w:hAnsi="Book Antiqua"/>
          <w:sz w:val="24"/>
          <w:szCs w:val="24"/>
          <w:lang w:val="en-US" w:eastAsia="zh-CN"/>
        </w:rPr>
        <w:t>-</w:t>
      </w:r>
      <w:r w:rsidRPr="00712539">
        <w:rPr>
          <w:rFonts w:ascii="Book Antiqua" w:hAnsi="Book Antiqua"/>
          <w:sz w:val="24"/>
          <w:szCs w:val="24"/>
          <w:lang w:val="en-US"/>
        </w:rPr>
        <w:t xml:space="preserve"> as recommended in patients undergoing major abdominal cancer surgery - is also effective in cancer patients undergoing liver resection.</w:t>
      </w:r>
      <w:r w:rsidR="00451163" w:rsidRPr="00712539">
        <w:rPr>
          <w:rFonts w:ascii="Book Antiqua" w:hAnsi="Book Antiqua"/>
          <w:sz w:val="24"/>
          <w:szCs w:val="24"/>
          <w:lang w:val="en-US"/>
        </w:rPr>
        <w:t xml:space="preserve"> </w:t>
      </w:r>
    </w:p>
    <w:p w14:paraId="4397CF3C" w14:textId="77777777" w:rsidR="00B15790" w:rsidRPr="00712539" w:rsidRDefault="00B15790" w:rsidP="0093109B">
      <w:pPr>
        <w:tabs>
          <w:tab w:val="left" w:pos="7371"/>
        </w:tabs>
        <w:spacing w:after="0" w:line="360" w:lineRule="auto"/>
        <w:jc w:val="both"/>
        <w:rPr>
          <w:rFonts w:ascii="Book Antiqua" w:hAnsi="Book Antiqua"/>
          <w:sz w:val="24"/>
          <w:szCs w:val="24"/>
          <w:lang w:val="en-US" w:eastAsia="zh-CN"/>
        </w:rPr>
      </w:pPr>
    </w:p>
    <w:p w14:paraId="31F60FCF" w14:textId="6F4D8A73" w:rsidR="00B15790" w:rsidRPr="00712539" w:rsidRDefault="00B15790" w:rsidP="0093109B">
      <w:pPr>
        <w:spacing w:after="0" w:line="360" w:lineRule="auto"/>
        <w:jc w:val="both"/>
        <w:rPr>
          <w:rFonts w:ascii="Book Antiqua" w:hAnsi="Book Antiqua"/>
          <w:b/>
          <w:sz w:val="24"/>
          <w:szCs w:val="24"/>
          <w:lang w:val="en-US" w:eastAsia="zh-CN"/>
        </w:rPr>
      </w:pPr>
      <w:r w:rsidRPr="00712539">
        <w:rPr>
          <w:rFonts w:ascii="Book Antiqua" w:hAnsi="Book Antiqua"/>
          <w:b/>
          <w:sz w:val="24"/>
          <w:szCs w:val="24"/>
          <w:lang w:val="en-US"/>
        </w:rPr>
        <w:t>PROPHYLAXIS OF VTE IN HOSPITALIZED MEDICAL PATIENTS WITH CANCER</w:t>
      </w:r>
    </w:p>
    <w:p w14:paraId="792952CC" w14:textId="562A6B90" w:rsidR="004F0B9C" w:rsidRPr="00712539" w:rsidRDefault="004F0B9C" w:rsidP="0093109B">
      <w:pPr>
        <w:spacing w:after="0" w:line="360" w:lineRule="auto"/>
        <w:jc w:val="both"/>
        <w:rPr>
          <w:rFonts w:ascii="Book Antiqua" w:hAnsi="Book Antiqua"/>
          <w:sz w:val="24"/>
          <w:szCs w:val="24"/>
          <w:lang w:val="en-US"/>
        </w:rPr>
      </w:pPr>
      <w:r w:rsidRPr="00712539">
        <w:rPr>
          <w:rFonts w:ascii="Book Antiqua" w:hAnsi="Book Antiqua"/>
          <w:sz w:val="24"/>
          <w:szCs w:val="24"/>
          <w:lang w:val="en-US"/>
        </w:rPr>
        <w:t xml:space="preserve">Hospitalized patients with active cancer </w:t>
      </w:r>
      <w:r w:rsidR="00DA3A0D" w:rsidRPr="00712539">
        <w:rPr>
          <w:rFonts w:ascii="Book Antiqua" w:hAnsi="Book Antiqua"/>
          <w:i/>
          <w:sz w:val="24"/>
          <w:szCs w:val="24"/>
          <w:lang w:val="en-US" w:eastAsia="zh-CN"/>
        </w:rPr>
        <w:t>-</w:t>
      </w:r>
      <w:r w:rsidRPr="00712539">
        <w:rPr>
          <w:rFonts w:ascii="Book Antiqua" w:hAnsi="Book Antiqua"/>
          <w:sz w:val="24"/>
          <w:szCs w:val="24"/>
          <w:lang w:val="en-US"/>
        </w:rPr>
        <w:t xml:space="preserve"> a term not uniformly defined </w:t>
      </w:r>
      <w:r w:rsidR="00DA3A0D" w:rsidRPr="00712539">
        <w:rPr>
          <w:rFonts w:ascii="Book Antiqua" w:hAnsi="Book Antiqua"/>
          <w:sz w:val="24"/>
          <w:szCs w:val="24"/>
          <w:lang w:val="en-US" w:eastAsia="zh-CN"/>
        </w:rPr>
        <w:t>-</w:t>
      </w:r>
      <w:r w:rsidRPr="00712539">
        <w:rPr>
          <w:rFonts w:ascii="Book Antiqua" w:hAnsi="Book Antiqua"/>
          <w:sz w:val="24"/>
          <w:szCs w:val="24"/>
          <w:lang w:val="en-US"/>
        </w:rPr>
        <w:t xml:space="preserve"> were included in all published randomized clinical trials investigating the role of unfractionated heparin (UFH), LMWH or FPX for the prevention of VTE. Treatment of hospitalized patients for 6-14 d with low-dose enoxaparin</w:t>
      </w:r>
      <w:r w:rsidR="00DA3A0D" w:rsidRPr="00712539">
        <w:rPr>
          <w:rFonts w:ascii="Book Antiqua" w:hAnsi="Book Antiqua"/>
          <w:sz w:val="24"/>
          <w:szCs w:val="24"/>
          <w:lang w:val="en-US"/>
        </w:rPr>
        <w:t xml:space="preserve"> (20 mg/d s.c.) was </w:t>
      </w:r>
      <w:proofErr w:type="gramStart"/>
      <w:r w:rsidR="00DA3A0D" w:rsidRPr="00712539">
        <w:rPr>
          <w:rFonts w:ascii="Book Antiqua" w:hAnsi="Book Antiqua"/>
          <w:sz w:val="24"/>
          <w:szCs w:val="24"/>
          <w:lang w:val="en-US"/>
        </w:rPr>
        <w:t>ineffective</w:t>
      </w:r>
      <w:r w:rsidRPr="00712539">
        <w:rPr>
          <w:rFonts w:ascii="Book Antiqua" w:hAnsi="Book Antiqua" w:cs="Calibri"/>
          <w:sz w:val="24"/>
          <w:szCs w:val="24"/>
          <w:vertAlign w:val="superscript"/>
          <w:lang w:val="en-US"/>
        </w:rPr>
        <w:t>[</w:t>
      </w:r>
      <w:proofErr w:type="gramEnd"/>
      <w:r w:rsidRPr="00712539">
        <w:rPr>
          <w:rFonts w:ascii="Book Antiqua" w:hAnsi="Book Antiqua" w:cs="Calibri"/>
          <w:sz w:val="24"/>
          <w:szCs w:val="24"/>
          <w:vertAlign w:val="superscript"/>
          <w:lang w:val="en-US"/>
        </w:rPr>
        <w:t>43]</w:t>
      </w:r>
      <w:r w:rsidRPr="00712539">
        <w:rPr>
          <w:rFonts w:ascii="Book Antiqua" w:hAnsi="Book Antiqua"/>
          <w:sz w:val="24"/>
          <w:szCs w:val="24"/>
          <w:lang w:val="en-US"/>
        </w:rPr>
        <w:t>, whereas higher prophylactic doses of LMWH (enoxaparin 40 mg/d, or da</w:t>
      </w:r>
      <w:r w:rsidR="00DA3A0D" w:rsidRPr="00712539">
        <w:rPr>
          <w:rFonts w:ascii="Book Antiqua" w:hAnsi="Book Antiqua"/>
          <w:sz w:val="24"/>
          <w:szCs w:val="24"/>
          <w:lang w:val="en-US"/>
        </w:rPr>
        <w:t>lteparin 5000 anti FXa units/d)</w:t>
      </w:r>
      <w:r w:rsidRPr="00712539">
        <w:rPr>
          <w:rFonts w:ascii="Book Antiqua" w:hAnsi="Book Antiqua" w:cs="Calibri"/>
          <w:sz w:val="24"/>
          <w:szCs w:val="24"/>
          <w:vertAlign w:val="superscript"/>
          <w:lang w:val="en-US"/>
        </w:rPr>
        <w:t>[43,44]</w:t>
      </w:r>
      <w:r w:rsidR="00DA3A0D" w:rsidRPr="00712539">
        <w:rPr>
          <w:rFonts w:ascii="Book Antiqua" w:hAnsi="Book Antiqua"/>
          <w:sz w:val="24"/>
          <w:szCs w:val="24"/>
          <w:lang w:val="en-US"/>
        </w:rPr>
        <w:t xml:space="preserve"> or FPX (2.5 mg/d)</w:t>
      </w:r>
      <w:r w:rsidRPr="00712539">
        <w:rPr>
          <w:rFonts w:ascii="Book Antiqua" w:hAnsi="Book Antiqua" w:cs="Calibri"/>
          <w:sz w:val="24"/>
          <w:szCs w:val="24"/>
          <w:vertAlign w:val="superscript"/>
          <w:lang w:val="en-US"/>
        </w:rPr>
        <w:t>[45]</w:t>
      </w:r>
      <w:r w:rsidRPr="00712539">
        <w:rPr>
          <w:rFonts w:ascii="Book Antiqua" w:hAnsi="Book Antiqua"/>
          <w:sz w:val="24"/>
          <w:szCs w:val="24"/>
          <w:lang w:val="en-US"/>
        </w:rPr>
        <w:t xml:space="preserve"> demonstrated superiority compared to placebo in the prevention of VTE with minimal or no increase in major bleeding events. Subgroup analyses failed to identify a subgroup which did not benefit from pharmacological </w:t>
      </w:r>
      <w:proofErr w:type="gramStart"/>
      <w:r w:rsidR="00DA3A0D" w:rsidRPr="00712539">
        <w:rPr>
          <w:rFonts w:ascii="Book Antiqua" w:hAnsi="Book Antiqua"/>
          <w:sz w:val="24"/>
          <w:szCs w:val="24"/>
          <w:lang w:val="en-US"/>
        </w:rPr>
        <w:lastRenderedPageBreak/>
        <w:t>thromboprophylaxis</w:t>
      </w:r>
      <w:r w:rsidRPr="00712539">
        <w:rPr>
          <w:rFonts w:ascii="Book Antiqua" w:hAnsi="Book Antiqua" w:cs="Calibri"/>
          <w:sz w:val="24"/>
          <w:szCs w:val="24"/>
          <w:vertAlign w:val="superscript"/>
          <w:lang w:val="en-US"/>
        </w:rPr>
        <w:t>[</w:t>
      </w:r>
      <w:proofErr w:type="gramEnd"/>
      <w:r w:rsidRPr="00712539">
        <w:rPr>
          <w:rFonts w:ascii="Book Antiqua" w:hAnsi="Book Antiqua" w:cs="Calibri"/>
          <w:sz w:val="24"/>
          <w:szCs w:val="24"/>
          <w:vertAlign w:val="superscript"/>
          <w:lang w:val="en-US"/>
        </w:rPr>
        <w:t>46]</w:t>
      </w:r>
      <w:r w:rsidRPr="00712539">
        <w:rPr>
          <w:rFonts w:ascii="Book Antiqua" w:hAnsi="Book Antiqua"/>
          <w:sz w:val="24"/>
          <w:szCs w:val="24"/>
          <w:lang w:val="en-US"/>
        </w:rPr>
        <w:t>. This was also true for a small subgroup (5</w:t>
      </w:r>
      <w:r w:rsidR="00DA3A0D" w:rsidRPr="00712539">
        <w:rPr>
          <w:rFonts w:ascii="Book Antiqua" w:hAnsi="Book Antiqua"/>
          <w:sz w:val="24"/>
          <w:szCs w:val="24"/>
          <w:lang w:val="en-US" w:eastAsia="zh-CN"/>
        </w:rPr>
        <w:t>%</w:t>
      </w:r>
      <w:r w:rsidRPr="00712539">
        <w:rPr>
          <w:rFonts w:ascii="Book Antiqua" w:hAnsi="Book Antiqua"/>
          <w:sz w:val="24"/>
          <w:szCs w:val="24"/>
          <w:lang w:val="en-US"/>
        </w:rPr>
        <w:t xml:space="preserve">-15% of the study population) of cancer patients. </w:t>
      </w:r>
    </w:p>
    <w:p w14:paraId="18D71F2A" w14:textId="5FA64244" w:rsidR="006D0D29" w:rsidRPr="00712539" w:rsidRDefault="004F0B9C" w:rsidP="00DA3A0D">
      <w:pPr>
        <w:spacing w:after="0" w:line="360" w:lineRule="auto"/>
        <w:ind w:firstLineChars="100" w:firstLine="240"/>
        <w:jc w:val="both"/>
        <w:rPr>
          <w:rFonts w:ascii="Book Antiqua" w:hAnsi="Book Antiqua"/>
          <w:sz w:val="24"/>
          <w:szCs w:val="24"/>
          <w:lang w:val="en-US" w:eastAsia="zh-CN"/>
        </w:rPr>
      </w:pPr>
      <w:r w:rsidRPr="00712539">
        <w:rPr>
          <w:rFonts w:ascii="Book Antiqua" w:hAnsi="Book Antiqua"/>
          <w:sz w:val="24"/>
          <w:szCs w:val="24"/>
          <w:lang w:val="en-US"/>
        </w:rPr>
        <w:t>Subgroup analysis of 274 patients with active cancer from the CE</w:t>
      </w:r>
      <w:r w:rsidR="001E5CB9" w:rsidRPr="00712539">
        <w:rPr>
          <w:rFonts w:ascii="Book Antiqua" w:hAnsi="Book Antiqua"/>
          <w:sz w:val="24"/>
          <w:szCs w:val="24"/>
          <w:lang w:val="en-US"/>
        </w:rPr>
        <w:t>RTIFY study comparing UFH (3</w:t>
      </w:r>
      <w:r w:rsidR="001E5CB9" w:rsidRPr="00712539">
        <w:rPr>
          <w:rFonts w:ascii="Book Antiqua" w:hAnsi="Book Antiqua"/>
          <w:sz w:val="24"/>
          <w:szCs w:val="24"/>
          <w:lang w:val="en-US" w:eastAsia="zh-CN"/>
        </w:rPr>
        <w:t xml:space="preserve"> </w:t>
      </w:r>
      <w:r w:rsidR="001E5CB9" w:rsidRPr="00712539">
        <w:rPr>
          <w:rFonts w:ascii="Book Antiqua" w:hAnsi="Book Antiqua"/>
          <w:color w:val="000000"/>
          <w:sz w:val="24"/>
          <w:szCs w:val="24"/>
        </w:rPr>
        <w:t>×</w:t>
      </w:r>
      <w:r w:rsidR="001E5CB9" w:rsidRPr="00712539">
        <w:rPr>
          <w:rFonts w:ascii="Book Antiqua" w:hAnsi="Book Antiqua"/>
          <w:sz w:val="24"/>
          <w:szCs w:val="24"/>
          <w:lang w:val="en-US"/>
        </w:rPr>
        <w:t xml:space="preserve"> 5</w:t>
      </w:r>
      <w:r w:rsidRPr="00712539">
        <w:rPr>
          <w:rFonts w:ascii="Book Antiqua" w:hAnsi="Book Antiqua"/>
          <w:sz w:val="24"/>
          <w:szCs w:val="24"/>
          <w:lang w:val="en-US"/>
        </w:rPr>
        <w:t>000 IU/d) with LMWH (certoparin 3000 anti FXa units/d) demonstrated a similar VTE</w:t>
      </w:r>
      <w:r w:rsidR="001E5CB9" w:rsidRPr="00712539">
        <w:rPr>
          <w:rFonts w:ascii="Book Antiqua" w:hAnsi="Book Antiqua"/>
          <w:sz w:val="24"/>
          <w:szCs w:val="24"/>
          <w:lang w:val="en-US"/>
        </w:rPr>
        <w:t xml:space="preserve"> risk (5.3</w:t>
      </w:r>
      <w:r w:rsidR="001E5CB9" w:rsidRPr="00712539">
        <w:rPr>
          <w:rFonts w:ascii="Book Antiqua" w:hAnsi="Book Antiqua"/>
          <w:sz w:val="24"/>
          <w:szCs w:val="24"/>
          <w:lang w:val="en-US" w:eastAsia="zh-CN"/>
        </w:rPr>
        <w:t>%</w:t>
      </w:r>
      <w:r w:rsidR="001E5CB9" w:rsidRPr="00712539">
        <w:rPr>
          <w:rFonts w:ascii="Book Antiqua" w:hAnsi="Book Antiqua"/>
          <w:sz w:val="24"/>
          <w:szCs w:val="24"/>
          <w:lang w:val="en-US"/>
        </w:rPr>
        <w:t xml:space="preserve"> </w:t>
      </w:r>
      <w:r w:rsidR="001E5CB9" w:rsidRPr="00712539">
        <w:rPr>
          <w:rFonts w:ascii="Book Antiqua" w:hAnsi="Book Antiqua"/>
          <w:i/>
          <w:sz w:val="24"/>
          <w:szCs w:val="24"/>
          <w:lang w:val="en-US"/>
        </w:rPr>
        <w:t>vs</w:t>
      </w:r>
      <w:r w:rsidRPr="00712539">
        <w:rPr>
          <w:rFonts w:ascii="Book Antiqua" w:hAnsi="Book Antiqua"/>
          <w:sz w:val="24"/>
          <w:szCs w:val="24"/>
          <w:lang w:val="en-US"/>
        </w:rPr>
        <w:t xml:space="preserve"> 4.1%) a</w:t>
      </w:r>
      <w:r w:rsidR="001E5CB9" w:rsidRPr="00712539">
        <w:rPr>
          <w:rFonts w:ascii="Book Antiqua" w:hAnsi="Book Antiqua"/>
          <w:sz w:val="24"/>
          <w:szCs w:val="24"/>
          <w:lang w:val="en-US"/>
        </w:rPr>
        <w:t xml:space="preserve">nd similar rates of any (4.0 </w:t>
      </w:r>
      <w:r w:rsidR="001E5CB9" w:rsidRPr="00712539">
        <w:rPr>
          <w:rFonts w:ascii="Book Antiqua" w:hAnsi="Book Antiqua"/>
          <w:i/>
          <w:sz w:val="24"/>
          <w:szCs w:val="24"/>
          <w:lang w:val="en-US"/>
        </w:rPr>
        <w:t>vs</w:t>
      </w:r>
      <w:r w:rsidRPr="00712539">
        <w:rPr>
          <w:rFonts w:ascii="Book Antiqua" w:hAnsi="Book Antiqua"/>
          <w:sz w:val="24"/>
          <w:szCs w:val="24"/>
          <w:lang w:val="en-US"/>
        </w:rPr>
        <w:t xml:space="preserve"> 3.9) or major (0.7</w:t>
      </w:r>
      <w:r w:rsidR="001E5CB9" w:rsidRPr="00712539">
        <w:rPr>
          <w:rFonts w:ascii="Book Antiqua" w:hAnsi="Book Antiqua"/>
          <w:sz w:val="24"/>
          <w:szCs w:val="24"/>
          <w:lang w:val="en-US" w:eastAsia="zh-CN"/>
        </w:rPr>
        <w:t>%</w:t>
      </w:r>
      <w:r w:rsidR="001E5CB9" w:rsidRPr="00712539">
        <w:rPr>
          <w:rFonts w:ascii="Book Antiqua" w:hAnsi="Book Antiqua"/>
          <w:i/>
          <w:sz w:val="24"/>
          <w:szCs w:val="24"/>
          <w:lang w:val="en-US"/>
        </w:rPr>
        <w:t xml:space="preserve"> vs</w:t>
      </w:r>
      <w:r w:rsidRPr="00712539">
        <w:rPr>
          <w:rFonts w:ascii="Book Antiqua" w:hAnsi="Book Antiqua"/>
          <w:sz w:val="24"/>
          <w:szCs w:val="24"/>
          <w:lang w:val="en-US"/>
        </w:rPr>
        <w:t xml:space="preserve"> 0.5%) bleeding compared to t</w:t>
      </w:r>
      <w:r w:rsidR="006D0D29" w:rsidRPr="00712539">
        <w:rPr>
          <w:rFonts w:ascii="Book Antiqua" w:hAnsi="Book Antiqua"/>
          <w:sz w:val="24"/>
          <w:szCs w:val="24"/>
          <w:lang w:val="en-US"/>
        </w:rPr>
        <w:t>he 2965 patients without cancer</w:t>
      </w:r>
      <w:r w:rsidRPr="00712539">
        <w:rPr>
          <w:rFonts w:ascii="Book Antiqua" w:hAnsi="Book Antiqua" w:cs="Calibri"/>
          <w:sz w:val="24"/>
          <w:szCs w:val="24"/>
          <w:vertAlign w:val="superscript"/>
          <w:lang w:val="en-US"/>
        </w:rPr>
        <w:t>[47,48]</w:t>
      </w:r>
      <w:r w:rsidRPr="00712539">
        <w:rPr>
          <w:rFonts w:ascii="Book Antiqua" w:hAnsi="Book Antiqua"/>
          <w:sz w:val="24"/>
          <w:szCs w:val="24"/>
          <w:lang w:val="en-US"/>
        </w:rPr>
        <w:t xml:space="preserve">. </w:t>
      </w:r>
    </w:p>
    <w:p w14:paraId="415A4948" w14:textId="24F1DBBF" w:rsidR="004F0B9C" w:rsidRPr="00712539" w:rsidRDefault="004F0B9C" w:rsidP="006D0D29">
      <w:pPr>
        <w:spacing w:after="0" w:line="360" w:lineRule="auto"/>
        <w:ind w:firstLineChars="100" w:firstLine="240"/>
        <w:jc w:val="both"/>
        <w:rPr>
          <w:rFonts w:ascii="Book Antiqua" w:hAnsi="Book Antiqua"/>
          <w:sz w:val="24"/>
          <w:szCs w:val="24"/>
          <w:lang w:val="en-US"/>
        </w:rPr>
      </w:pPr>
      <w:r w:rsidRPr="00712539">
        <w:rPr>
          <w:rFonts w:ascii="Book Antiqua" w:hAnsi="Book Antiqua"/>
          <w:sz w:val="24"/>
          <w:szCs w:val="24"/>
          <w:lang w:val="en-US"/>
        </w:rPr>
        <w:t>Based on three studies, extended prophylaxis wi</w:t>
      </w:r>
      <w:r w:rsidR="006D0D29" w:rsidRPr="00712539">
        <w:rPr>
          <w:rFonts w:ascii="Book Antiqua" w:hAnsi="Book Antiqua"/>
          <w:sz w:val="24"/>
          <w:szCs w:val="24"/>
          <w:lang w:val="en-US"/>
        </w:rPr>
        <w:t xml:space="preserve">th the anticoagulant drugs </w:t>
      </w:r>
      <w:proofErr w:type="gramStart"/>
      <w:r w:rsidR="006D0D29" w:rsidRPr="00712539">
        <w:rPr>
          <w:rFonts w:ascii="Book Antiqua" w:hAnsi="Book Antiqua"/>
          <w:sz w:val="24"/>
          <w:szCs w:val="24"/>
          <w:lang w:val="en-US"/>
        </w:rPr>
        <w:t>LMWH</w:t>
      </w:r>
      <w:r w:rsidRPr="00712539">
        <w:rPr>
          <w:rFonts w:ascii="Book Antiqua" w:hAnsi="Book Antiqua" w:cs="Calibri"/>
          <w:sz w:val="24"/>
          <w:szCs w:val="24"/>
          <w:vertAlign w:val="superscript"/>
          <w:lang w:val="en-US"/>
        </w:rPr>
        <w:t>[</w:t>
      </w:r>
      <w:proofErr w:type="gramEnd"/>
      <w:r w:rsidRPr="00712539">
        <w:rPr>
          <w:rFonts w:ascii="Book Antiqua" w:hAnsi="Book Antiqua" w:cs="Calibri"/>
          <w:sz w:val="24"/>
          <w:szCs w:val="24"/>
          <w:vertAlign w:val="superscript"/>
          <w:lang w:val="en-US"/>
        </w:rPr>
        <w:t>49]</w:t>
      </w:r>
      <w:r w:rsidR="00451163" w:rsidRPr="00712539">
        <w:rPr>
          <w:rFonts w:ascii="Book Antiqua" w:hAnsi="Book Antiqua"/>
          <w:sz w:val="24"/>
          <w:szCs w:val="24"/>
          <w:vertAlign w:val="superscript"/>
          <w:lang w:val="en-US"/>
        </w:rPr>
        <w:t xml:space="preserve"> </w:t>
      </w:r>
      <w:r w:rsidRPr="00712539">
        <w:rPr>
          <w:rFonts w:ascii="Book Antiqua" w:hAnsi="Book Antiqua"/>
          <w:sz w:val="24"/>
          <w:szCs w:val="24"/>
          <w:lang w:val="en-US"/>
        </w:rPr>
        <w:t>or non-vitamin K oral a</w:t>
      </w:r>
      <w:r w:rsidR="006D0D29" w:rsidRPr="00712539">
        <w:rPr>
          <w:rFonts w:ascii="Book Antiqua" w:hAnsi="Book Antiqua"/>
          <w:sz w:val="24"/>
          <w:szCs w:val="24"/>
          <w:lang w:val="en-US"/>
        </w:rPr>
        <w:t>nticoagulant drugs (NOACs)</w:t>
      </w:r>
      <w:r w:rsidRPr="00712539">
        <w:rPr>
          <w:rFonts w:ascii="Book Antiqua" w:hAnsi="Book Antiqua" w:cs="Calibri"/>
          <w:sz w:val="24"/>
          <w:szCs w:val="24"/>
          <w:vertAlign w:val="superscript"/>
          <w:lang w:val="en-US"/>
        </w:rPr>
        <w:t>[50,51]</w:t>
      </w:r>
      <w:r w:rsidRPr="00712539">
        <w:rPr>
          <w:rFonts w:ascii="Book Antiqua" w:hAnsi="Book Antiqua"/>
          <w:sz w:val="24"/>
          <w:szCs w:val="24"/>
          <w:lang w:val="en-US"/>
        </w:rPr>
        <w:t xml:space="preserve"> cannot be recommended in medical </w:t>
      </w:r>
      <w:r w:rsidR="006D0D29" w:rsidRPr="00712539">
        <w:rPr>
          <w:rFonts w:ascii="Book Antiqua" w:hAnsi="Book Antiqua"/>
          <w:sz w:val="24"/>
          <w:szCs w:val="24"/>
          <w:lang w:val="en-US"/>
        </w:rPr>
        <w:t xml:space="preserve">patients. In the MAGELLAN </w:t>
      </w:r>
      <w:proofErr w:type="gramStart"/>
      <w:r w:rsidR="006D0D29" w:rsidRPr="00712539">
        <w:rPr>
          <w:rFonts w:ascii="Book Antiqua" w:hAnsi="Book Antiqua"/>
          <w:sz w:val="24"/>
          <w:szCs w:val="24"/>
          <w:lang w:val="en-US"/>
        </w:rPr>
        <w:t>trial</w:t>
      </w:r>
      <w:r w:rsidRPr="00712539">
        <w:rPr>
          <w:rFonts w:ascii="Book Antiqua" w:hAnsi="Book Antiqua" w:cs="Calibri"/>
          <w:sz w:val="24"/>
          <w:szCs w:val="24"/>
          <w:vertAlign w:val="superscript"/>
          <w:lang w:val="en-US"/>
        </w:rPr>
        <w:t>[</w:t>
      </w:r>
      <w:proofErr w:type="gramEnd"/>
      <w:r w:rsidRPr="00712539">
        <w:rPr>
          <w:rFonts w:ascii="Book Antiqua" w:hAnsi="Book Antiqua" w:cs="Calibri"/>
          <w:sz w:val="24"/>
          <w:szCs w:val="24"/>
          <w:vertAlign w:val="superscript"/>
          <w:lang w:val="en-US"/>
        </w:rPr>
        <w:t>51]</w:t>
      </w:r>
      <w:r w:rsidRPr="00712539">
        <w:rPr>
          <w:rFonts w:ascii="Book Antiqua" w:hAnsi="Book Antiqua"/>
          <w:sz w:val="24"/>
          <w:szCs w:val="24"/>
          <w:lang w:val="en-US"/>
        </w:rPr>
        <w:t>, cancer patients (</w:t>
      </w:r>
      <w:r w:rsidRPr="00712539">
        <w:rPr>
          <w:rFonts w:ascii="Book Antiqua" w:hAnsi="Book Antiqua"/>
          <w:i/>
          <w:sz w:val="24"/>
          <w:szCs w:val="24"/>
          <w:lang w:val="en-US"/>
        </w:rPr>
        <w:t>n</w:t>
      </w:r>
      <w:r w:rsidR="006D0D29" w:rsidRPr="00712539">
        <w:rPr>
          <w:rFonts w:ascii="Book Antiqua" w:hAnsi="Book Antiqua"/>
          <w:sz w:val="24"/>
          <w:szCs w:val="24"/>
          <w:lang w:val="en-US" w:eastAsia="zh-CN"/>
        </w:rPr>
        <w:t xml:space="preserve"> </w:t>
      </w:r>
      <w:r w:rsidRPr="00712539">
        <w:rPr>
          <w:rFonts w:ascii="Book Antiqua" w:hAnsi="Book Antiqua"/>
          <w:sz w:val="24"/>
          <w:szCs w:val="24"/>
          <w:lang w:val="en-US"/>
        </w:rPr>
        <w:t>=</w:t>
      </w:r>
      <w:r w:rsidR="006D0D29" w:rsidRPr="00712539">
        <w:rPr>
          <w:rFonts w:ascii="Book Antiqua" w:hAnsi="Book Antiqua"/>
          <w:sz w:val="24"/>
          <w:szCs w:val="24"/>
          <w:lang w:val="en-US" w:eastAsia="zh-CN"/>
        </w:rPr>
        <w:t xml:space="preserve"> </w:t>
      </w:r>
      <w:r w:rsidRPr="00712539">
        <w:rPr>
          <w:rFonts w:ascii="Book Antiqua" w:hAnsi="Book Antiqua"/>
          <w:sz w:val="24"/>
          <w:szCs w:val="24"/>
          <w:lang w:val="en-US"/>
        </w:rPr>
        <w:t>592; 7.3%) had higher rates of VTE when prophylaxis with rivaroxaban was extended from 10 to 35 d.</w:t>
      </w:r>
    </w:p>
    <w:p w14:paraId="3FBA1BA9" w14:textId="5B44C878" w:rsidR="004F0B9C" w:rsidRPr="00712539" w:rsidRDefault="004F0B9C" w:rsidP="006D0D29">
      <w:pPr>
        <w:spacing w:after="0" w:line="360" w:lineRule="auto"/>
        <w:ind w:firstLineChars="100" w:firstLine="240"/>
        <w:jc w:val="both"/>
        <w:rPr>
          <w:rFonts w:ascii="Book Antiqua" w:hAnsi="Book Antiqua"/>
          <w:sz w:val="24"/>
          <w:szCs w:val="24"/>
          <w:lang w:val="en-US"/>
        </w:rPr>
      </w:pPr>
      <w:r w:rsidRPr="00712539">
        <w:rPr>
          <w:rFonts w:ascii="Book Antiqua" w:hAnsi="Book Antiqua"/>
          <w:sz w:val="24"/>
          <w:szCs w:val="24"/>
          <w:lang w:val="en-US"/>
        </w:rPr>
        <w:t>Discussion is ongoing as to whether all cancer patients</w:t>
      </w:r>
      <w:r w:rsidR="00451163" w:rsidRPr="00712539">
        <w:rPr>
          <w:rFonts w:ascii="Book Antiqua" w:hAnsi="Book Antiqua"/>
          <w:sz w:val="24"/>
          <w:szCs w:val="24"/>
          <w:lang w:val="en-US"/>
        </w:rPr>
        <w:t xml:space="preserve"> </w:t>
      </w:r>
      <w:r w:rsidRPr="00712539">
        <w:rPr>
          <w:rFonts w:ascii="Book Antiqua" w:hAnsi="Book Antiqua"/>
          <w:sz w:val="24"/>
          <w:szCs w:val="24"/>
          <w:lang w:val="en-US"/>
        </w:rPr>
        <w:t>hospitalized for reasons such as infectious complications or complex chemotherapy regimens</w:t>
      </w:r>
      <w:r w:rsidR="00451163" w:rsidRPr="00712539">
        <w:rPr>
          <w:rFonts w:ascii="Book Antiqua" w:hAnsi="Book Antiqua"/>
          <w:sz w:val="24"/>
          <w:szCs w:val="24"/>
          <w:lang w:val="en-US"/>
        </w:rPr>
        <w:t xml:space="preserve"> </w:t>
      </w:r>
      <w:r w:rsidRPr="00712539">
        <w:rPr>
          <w:rFonts w:ascii="Book Antiqua" w:hAnsi="Book Antiqua"/>
          <w:sz w:val="24"/>
          <w:szCs w:val="24"/>
          <w:lang w:val="en-US"/>
        </w:rPr>
        <w:t>should generally receive medical thromboprophylaxis unless contraindicated by active</w:t>
      </w:r>
      <w:r w:rsidR="000B56D5" w:rsidRPr="00712539">
        <w:rPr>
          <w:rFonts w:ascii="Book Antiqua" w:hAnsi="Book Antiqua"/>
          <w:sz w:val="24"/>
          <w:szCs w:val="24"/>
          <w:lang w:val="en-US"/>
        </w:rPr>
        <w:t xml:space="preserve"> bleeding or high bleeding </w:t>
      </w:r>
      <w:proofErr w:type="gramStart"/>
      <w:r w:rsidR="000B56D5" w:rsidRPr="00712539">
        <w:rPr>
          <w:rFonts w:ascii="Book Antiqua" w:hAnsi="Book Antiqua"/>
          <w:sz w:val="24"/>
          <w:szCs w:val="24"/>
          <w:lang w:val="en-US"/>
        </w:rPr>
        <w:t>risk</w:t>
      </w:r>
      <w:r w:rsidRPr="00712539">
        <w:rPr>
          <w:rFonts w:ascii="Book Antiqua" w:hAnsi="Book Antiqua" w:cs="Calibri"/>
          <w:sz w:val="24"/>
          <w:szCs w:val="24"/>
          <w:vertAlign w:val="superscript"/>
          <w:lang w:val="en-US"/>
        </w:rPr>
        <w:t>[</w:t>
      </w:r>
      <w:proofErr w:type="gramEnd"/>
      <w:r w:rsidRPr="00712539">
        <w:rPr>
          <w:rFonts w:ascii="Book Antiqua" w:hAnsi="Book Antiqua" w:cs="Calibri"/>
          <w:sz w:val="24"/>
          <w:szCs w:val="24"/>
          <w:vertAlign w:val="superscript"/>
          <w:lang w:val="en-US"/>
        </w:rPr>
        <w:t>52–55]</w:t>
      </w:r>
      <w:r w:rsidRPr="00712539">
        <w:rPr>
          <w:rFonts w:ascii="Book Antiqua" w:hAnsi="Book Antiqua"/>
          <w:sz w:val="24"/>
          <w:szCs w:val="24"/>
          <w:lang w:val="en-US"/>
        </w:rPr>
        <w:t>.</w:t>
      </w:r>
      <w:r w:rsidR="00451163" w:rsidRPr="00712539">
        <w:rPr>
          <w:rFonts w:ascii="Book Antiqua" w:hAnsi="Book Antiqua"/>
          <w:sz w:val="24"/>
          <w:szCs w:val="24"/>
          <w:lang w:val="en-US"/>
        </w:rPr>
        <w:t xml:space="preserve"> </w:t>
      </w:r>
      <w:r w:rsidRPr="00712539">
        <w:rPr>
          <w:rFonts w:ascii="Book Antiqua" w:hAnsi="Book Antiqua"/>
          <w:sz w:val="24"/>
          <w:szCs w:val="24"/>
          <w:lang w:val="en-US"/>
        </w:rPr>
        <w:t xml:space="preserve">According to the available guidelines (Table 2), routine thromboprophylaxis should at least be considered. Italian investigators assessing the risk of VTE in hospitalized medical patients confirmed cancer to be a major predisposing factor for VTE (PADUA prediction score), without </w:t>
      </w:r>
      <w:r w:rsidR="000B56D5" w:rsidRPr="00712539">
        <w:rPr>
          <w:rFonts w:ascii="Book Antiqua" w:hAnsi="Book Antiqua"/>
          <w:sz w:val="24"/>
          <w:szCs w:val="24"/>
          <w:lang w:val="en-US"/>
        </w:rPr>
        <w:t>differentiating between cancers</w:t>
      </w:r>
      <w:r w:rsidRPr="00712539">
        <w:rPr>
          <w:rFonts w:ascii="Book Antiqua" w:hAnsi="Book Antiqua" w:cs="Calibri"/>
          <w:sz w:val="24"/>
          <w:szCs w:val="24"/>
          <w:vertAlign w:val="superscript"/>
          <w:lang w:val="en-US"/>
        </w:rPr>
        <w:t>[56]</w:t>
      </w:r>
      <w:r w:rsidRPr="00712539">
        <w:rPr>
          <w:rFonts w:ascii="Book Antiqua" w:hAnsi="Book Antiqua"/>
          <w:sz w:val="24"/>
          <w:szCs w:val="24"/>
          <w:lang w:val="en-US"/>
        </w:rPr>
        <w:t xml:space="preserve">. However, the existence of active cancer on its own does not classify as a high VTE risk unless additional risk factors are present (Table 1). </w:t>
      </w:r>
    </w:p>
    <w:p w14:paraId="61C3E754" w14:textId="7B28B975" w:rsidR="004F0B9C" w:rsidRPr="00712539" w:rsidRDefault="004F0B9C" w:rsidP="0093109B">
      <w:pPr>
        <w:spacing w:after="0" w:line="360" w:lineRule="auto"/>
        <w:jc w:val="both"/>
        <w:rPr>
          <w:rFonts w:ascii="Book Antiqua" w:hAnsi="Book Antiqua"/>
          <w:sz w:val="24"/>
          <w:szCs w:val="24"/>
          <w:lang w:val="en-US"/>
        </w:rPr>
      </w:pPr>
      <w:r w:rsidRPr="00712539">
        <w:rPr>
          <w:rFonts w:ascii="Book Antiqua" w:hAnsi="Book Antiqua"/>
          <w:sz w:val="24"/>
          <w:szCs w:val="24"/>
          <w:lang w:val="en-US"/>
        </w:rPr>
        <w:br/>
      </w:r>
      <w:r w:rsidR="000B56D5" w:rsidRPr="00712539">
        <w:rPr>
          <w:rFonts w:ascii="Book Antiqua" w:hAnsi="Book Antiqua"/>
          <w:b/>
          <w:sz w:val="24"/>
          <w:szCs w:val="24"/>
          <w:lang w:val="en-US"/>
        </w:rPr>
        <w:t>VTE PROPHYLAXIS IN OUTPATIENTS WITH CANCER</w:t>
      </w:r>
      <w:r w:rsidR="000B56D5" w:rsidRPr="00712539">
        <w:rPr>
          <w:rFonts w:ascii="Book Antiqua" w:hAnsi="Book Antiqua"/>
          <w:sz w:val="24"/>
          <w:szCs w:val="24"/>
          <w:lang w:val="en-US"/>
        </w:rPr>
        <w:t xml:space="preserve"> </w:t>
      </w:r>
    </w:p>
    <w:p w14:paraId="338E5F8D" w14:textId="77777777" w:rsidR="004F0B9C" w:rsidRPr="00712539" w:rsidRDefault="004F0B9C" w:rsidP="0093109B">
      <w:pPr>
        <w:spacing w:after="0" w:line="360" w:lineRule="auto"/>
        <w:jc w:val="both"/>
        <w:rPr>
          <w:rFonts w:ascii="Book Antiqua" w:hAnsi="Book Antiqua"/>
          <w:b/>
          <w:i/>
          <w:sz w:val="24"/>
          <w:szCs w:val="24"/>
          <w:lang w:val="en-US"/>
        </w:rPr>
      </w:pPr>
      <w:r w:rsidRPr="00712539">
        <w:rPr>
          <w:rFonts w:ascii="Book Antiqua" w:hAnsi="Book Antiqua"/>
          <w:b/>
          <w:i/>
          <w:sz w:val="24"/>
          <w:szCs w:val="24"/>
          <w:lang w:val="en-US"/>
        </w:rPr>
        <w:t>Prevention of catheter-related VTE</w:t>
      </w:r>
    </w:p>
    <w:p w14:paraId="77F47C7C" w14:textId="60EB9F1D" w:rsidR="004F0B9C" w:rsidRPr="00712539" w:rsidRDefault="004F0B9C" w:rsidP="0093109B">
      <w:pPr>
        <w:spacing w:after="0" w:line="360" w:lineRule="auto"/>
        <w:jc w:val="both"/>
        <w:rPr>
          <w:rFonts w:ascii="Book Antiqua" w:hAnsi="Book Antiqua"/>
          <w:sz w:val="24"/>
          <w:szCs w:val="24"/>
          <w:lang w:val="en-US" w:eastAsia="zh-CN"/>
        </w:rPr>
      </w:pPr>
      <w:r w:rsidRPr="00712539">
        <w:rPr>
          <w:rFonts w:ascii="Book Antiqua" w:hAnsi="Book Antiqua"/>
          <w:sz w:val="24"/>
          <w:szCs w:val="24"/>
          <w:lang w:val="en-US"/>
        </w:rPr>
        <w:t xml:space="preserve">Patients who have been recently diagnosed with </w:t>
      </w:r>
      <w:r w:rsidR="000B56D5" w:rsidRPr="00712539">
        <w:rPr>
          <w:rFonts w:ascii="Book Antiqua" w:hAnsi="Book Antiqua"/>
          <w:sz w:val="24"/>
          <w:szCs w:val="24"/>
          <w:lang w:val="en-US"/>
        </w:rPr>
        <w:t xml:space="preserve">cancer are at high risk for </w:t>
      </w:r>
      <w:proofErr w:type="gramStart"/>
      <w:r w:rsidR="000B56D5" w:rsidRPr="00712539">
        <w:rPr>
          <w:rFonts w:ascii="Book Antiqua" w:hAnsi="Book Antiqua"/>
          <w:sz w:val="24"/>
          <w:szCs w:val="24"/>
          <w:lang w:val="en-US"/>
        </w:rPr>
        <w:t>VTE</w:t>
      </w:r>
      <w:r w:rsidRPr="00712539">
        <w:rPr>
          <w:rFonts w:ascii="Book Antiqua" w:hAnsi="Book Antiqua" w:cs="Calibri"/>
          <w:sz w:val="24"/>
          <w:szCs w:val="24"/>
          <w:vertAlign w:val="superscript"/>
          <w:lang w:val="en-US"/>
        </w:rPr>
        <w:t>[</w:t>
      </w:r>
      <w:proofErr w:type="gramEnd"/>
      <w:r w:rsidRPr="00712539">
        <w:rPr>
          <w:rFonts w:ascii="Book Antiqua" w:hAnsi="Book Antiqua" w:cs="Calibri"/>
          <w:sz w:val="24"/>
          <w:szCs w:val="24"/>
          <w:vertAlign w:val="superscript"/>
          <w:lang w:val="en-US"/>
        </w:rPr>
        <w:t>57,58]</w:t>
      </w:r>
      <w:r w:rsidRPr="00712539">
        <w:rPr>
          <w:rFonts w:ascii="Book Antiqua" w:hAnsi="Book Antiqua"/>
          <w:sz w:val="24"/>
          <w:szCs w:val="24"/>
          <w:lang w:val="en-US"/>
        </w:rPr>
        <w:t>. Nowadays these patients usually receive non-surgical therapies such as radiation, chemotherapy or radiochemotherapy in an outpatient setting. Long-term central venous catheters (</w:t>
      </w:r>
      <w:r w:rsidRPr="00712539">
        <w:rPr>
          <w:rFonts w:ascii="Book Antiqua" w:hAnsi="Book Antiqua"/>
          <w:i/>
          <w:sz w:val="24"/>
          <w:szCs w:val="24"/>
          <w:lang w:val="en-US"/>
        </w:rPr>
        <w:t>e.g.</w:t>
      </w:r>
      <w:r w:rsidR="000B56D5" w:rsidRPr="00712539">
        <w:rPr>
          <w:rFonts w:ascii="Book Antiqua" w:hAnsi="Book Antiqua"/>
          <w:sz w:val="24"/>
          <w:szCs w:val="24"/>
          <w:lang w:val="en-US" w:eastAsia="zh-CN"/>
        </w:rPr>
        <w:t>,</w:t>
      </w:r>
      <w:r w:rsidRPr="00712539">
        <w:rPr>
          <w:rFonts w:ascii="Book Antiqua" w:hAnsi="Book Antiqua"/>
          <w:sz w:val="24"/>
          <w:szCs w:val="24"/>
          <w:lang w:val="en-US"/>
        </w:rPr>
        <w:t xml:space="preserve"> port or picc line catheters) are used to facilitate drug administration in many of these patients. There is an increased risk of DVT in the subclavian or jugularis interna veins after insertion of a central line, with an estimated incidence of asymptomatic catheter-related DVT </w:t>
      </w:r>
      <w:r w:rsidRPr="00712539">
        <w:rPr>
          <w:rFonts w:ascii="Book Antiqua" w:hAnsi="Book Antiqua"/>
          <w:sz w:val="24"/>
          <w:szCs w:val="24"/>
          <w:lang w:val="en-US"/>
        </w:rPr>
        <w:lastRenderedPageBreak/>
        <w:t>of about 20%, although</w:t>
      </w:r>
      <w:r w:rsidR="00451163" w:rsidRPr="00712539">
        <w:rPr>
          <w:rFonts w:ascii="Book Antiqua" w:hAnsi="Book Antiqua"/>
          <w:sz w:val="24"/>
          <w:szCs w:val="24"/>
          <w:lang w:val="en-US"/>
        </w:rPr>
        <w:t xml:space="preserve"> </w:t>
      </w:r>
      <w:r w:rsidRPr="00712539">
        <w:rPr>
          <w:rFonts w:ascii="Book Antiqua" w:hAnsi="Book Antiqua"/>
          <w:sz w:val="24"/>
          <w:szCs w:val="24"/>
          <w:lang w:val="en-US"/>
        </w:rPr>
        <w:t>less than 5%</w:t>
      </w:r>
      <w:r w:rsidR="00451163" w:rsidRPr="00712539">
        <w:rPr>
          <w:rFonts w:ascii="Book Antiqua" w:hAnsi="Book Antiqua"/>
          <w:sz w:val="24"/>
          <w:szCs w:val="24"/>
          <w:lang w:val="en-US"/>
        </w:rPr>
        <w:t xml:space="preserve"> </w:t>
      </w:r>
      <w:r w:rsidRPr="00712539">
        <w:rPr>
          <w:rFonts w:ascii="Book Antiqua" w:hAnsi="Book Antiqua"/>
          <w:sz w:val="24"/>
          <w:szCs w:val="24"/>
          <w:lang w:val="en-US"/>
        </w:rPr>
        <w:t>develop clinical symptoms, which very rarely result in symptomatic PE or re</w:t>
      </w:r>
      <w:r w:rsidR="00DD0945" w:rsidRPr="00712539">
        <w:rPr>
          <w:rFonts w:ascii="Book Antiqua" w:hAnsi="Book Antiqua"/>
          <w:sz w:val="24"/>
          <w:szCs w:val="24"/>
          <w:lang w:val="en-US"/>
        </w:rPr>
        <w:t xml:space="preserve">levant post-thrombotic </w:t>
      </w:r>
      <w:proofErr w:type="gramStart"/>
      <w:r w:rsidR="00DD0945" w:rsidRPr="00712539">
        <w:rPr>
          <w:rFonts w:ascii="Book Antiqua" w:hAnsi="Book Antiqua"/>
          <w:sz w:val="24"/>
          <w:szCs w:val="24"/>
          <w:lang w:val="en-US"/>
        </w:rPr>
        <w:t>sequelae</w:t>
      </w:r>
      <w:r w:rsidRPr="00712539">
        <w:rPr>
          <w:rFonts w:ascii="Book Antiqua" w:hAnsi="Book Antiqua" w:cs="Calibri"/>
          <w:sz w:val="24"/>
          <w:szCs w:val="24"/>
          <w:vertAlign w:val="superscript"/>
          <w:lang w:val="en-US"/>
        </w:rPr>
        <w:t>[</w:t>
      </w:r>
      <w:proofErr w:type="gramEnd"/>
      <w:r w:rsidRPr="00712539">
        <w:rPr>
          <w:rFonts w:ascii="Book Antiqua" w:hAnsi="Book Antiqua" w:cs="Calibri"/>
          <w:sz w:val="24"/>
          <w:szCs w:val="24"/>
          <w:vertAlign w:val="superscript"/>
          <w:lang w:val="en-US"/>
        </w:rPr>
        <w:t>59</w:t>
      </w:r>
      <w:r w:rsidR="00D36884">
        <w:rPr>
          <w:rFonts w:ascii="Book Antiqua" w:hAnsi="Book Antiqua" w:cs="Calibri" w:hint="eastAsia"/>
          <w:sz w:val="24"/>
          <w:szCs w:val="24"/>
          <w:vertAlign w:val="superscript"/>
          <w:lang w:val="en-US" w:eastAsia="zh-CN"/>
        </w:rPr>
        <w:t>-</w:t>
      </w:r>
      <w:r w:rsidRPr="00712539">
        <w:rPr>
          <w:rFonts w:ascii="Book Antiqua" w:hAnsi="Book Antiqua" w:cs="Calibri"/>
          <w:sz w:val="24"/>
          <w:szCs w:val="24"/>
          <w:vertAlign w:val="superscript"/>
          <w:lang w:val="en-US"/>
        </w:rPr>
        <w:t>64]</w:t>
      </w:r>
      <w:r w:rsidRPr="00712539">
        <w:rPr>
          <w:rFonts w:ascii="Book Antiqua" w:hAnsi="Book Antiqua"/>
          <w:sz w:val="24"/>
          <w:szCs w:val="24"/>
          <w:lang w:val="en-US"/>
        </w:rPr>
        <w:t>. Multicenter randomized double blind placebo-controlled studies to assess the efficacy and safety of LMWH or VKA demonstrated a significant reduction in asymptomatic catheter-related thrombi, but failed to show significant benefit with regar</w:t>
      </w:r>
      <w:r w:rsidR="00DD0945" w:rsidRPr="00712539">
        <w:rPr>
          <w:rFonts w:ascii="Book Antiqua" w:hAnsi="Book Antiqua"/>
          <w:sz w:val="24"/>
          <w:szCs w:val="24"/>
          <w:lang w:val="en-US"/>
        </w:rPr>
        <w:t xml:space="preserve">d to clinically symptomatic </w:t>
      </w:r>
      <w:proofErr w:type="gramStart"/>
      <w:r w:rsidR="00DD0945" w:rsidRPr="00712539">
        <w:rPr>
          <w:rFonts w:ascii="Book Antiqua" w:hAnsi="Book Antiqua"/>
          <w:sz w:val="24"/>
          <w:szCs w:val="24"/>
          <w:lang w:val="en-US"/>
        </w:rPr>
        <w:t>DVT</w:t>
      </w:r>
      <w:r w:rsidRPr="00712539">
        <w:rPr>
          <w:rFonts w:ascii="Book Antiqua" w:hAnsi="Book Antiqua" w:cs="Calibri"/>
          <w:sz w:val="24"/>
          <w:szCs w:val="24"/>
          <w:vertAlign w:val="superscript"/>
          <w:lang w:val="en-US"/>
        </w:rPr>
        <w:t>[</w:t>
      </w:r>
      <w:proofErr w:type="gramEnd"/>
      <w:r w:rsidRPr="00712539">
        <w:rPr>
          <w:rFonts w:ascii="Book Antiqua" w:hAnsi="Book Antiqua" w:cs="Calibri"/>
          <w:sz w:val="24"/>
          <w:szCs w:val="24"/>
          <w:vertAlign w:val="superscript"/>
          <w:lang w:val="en-US"/>
        </w:rPr>
        <w:t>59]</w:t>
      </w:r>
      <w:r w:rsidRPr="00712539">
        <w:rPr>
          <w:rFonts w:ascii="Book Antiqua" w:hAnsi="Book Antiqua"/>
          <w:sz w:val="24"/>
          <w:szCs w:val="24"/>
          <w:lang w:val="en-US"/>
        </w:rPr>
        <w:t>. International guidelines therefore recommend against routine prophylaxis for this indication.</w:t>
      </w:r>
    </w:p>
    <w:p w14:paraId="592F7242" w14:textId="77777777" w:rsidR="00DD0945" w:rsidRPr="00712539" w:rsidRDefault="00DD0945" w:rsidP="0093109B">
      <w:pPr>
        <w:spacing w:after="0" w:line="360" w:lineRule="auto"/>
        <w:jc w:val="both"/>
        <w:rPr>
          <w:rFonts w:ascii="Book Antiqua" w:hAnsi="Book Antiqua"/>
          <w:sz w:val="24"/>
          <w:szCs w:val="24"/>
          <w:lang w:val="en-US" w:eastAsia="zh-CN"/>
        </w:rPr>
      </w:pPr>
    </w:p>
    <w:p w14:paraId="7958A032" w14:textId="6EB0858B" w:rsidR="004F0B9C" w:rsidRPr="00712539" w:rsidRDefault="004F0B9C" w:rsidP="0093109B">
      <w:pPr>
        <w:spacing w:after="0" w:line="360" w:lineRule="auto"/>
        <w:jc w:val="both"/>
        <w:rPr>
          <w:rFonts w:ascii="Book Antiqua" w:hAnsi="Book Antiqua"/>
          <w:b/>
          <w:i/>
          <w:sz w:val="24"/>
          <w:szCs w:val="24"/>
          <w:lang w:val="en-US" w:eastAsia="zh-CN"/>
        </w:rPr>
      </w:pPr>
      <w:r w:rsidRPr="00712539">
        <w:rPr>
          <w:rFonts w:ascii="Book Antiqua" w:hAnsi="Book Antiqua"/>
          <w:b/>
          <w:i/>
          <w:sz w:val="24"/>
          <w:szCs w:val="24"/>
          <w:lang w:val="en-US"/>
        </w:rPr>
        <w:t>Antithrombotic prophylaxis in cancer out</w:t>
      </w:r>
      <w:r w:rsidR="00DD0945" w:rsidRPr="00712539">
        <w:rPr>
          <w:rFonts w:ascii="Book Antiqua" w:hAnsi="Book Antiqua"/>
          <w:b/>
          <w:i/>
          <w:sz w:val="24"/>
          <w:szCs w:val="24"/>
          <w:lang w:val="en-US"/>
        </w:rPr>
        <w:t>patients receiving chemotherapy</w:t>
      </w:r>
    </w:p>
    <w:p w14:paraId="5806A7CE" w14:textId="0FDCB3CE" w:rsidR="004F0B9C" w:rsidRPr="00712539" w:rsidRDefault="004F0B9C" w:rsidP="0093109B">
      <w:pPr>
        <w:spacing w:after="0" w:line="360" w:lineRule="auto"/>
        <w:jc w:val="both"/>
        <w:rPr>
          <w:rFonts w:ascii="Book Antiqua" w:hAnsi="Book Antiqua"/>
          <w:sz w:val="24"/>
          <w:szCs w:val="24"/>
          <w:lang w:val="en-US"/>
        </w:rPr>
      </w:pPr>
      <w:r w:rsidRPr="00712539">
        <w:rPr>
          <w:rFonts w:ascii="Book Antiqua" w:hAnsi="Book Antiqua"/>
          <w:sz w:val="24"/>
          <w:szCs w:val="24"/>
          <w:lang w:val="en-US"/>
        </w:rPr>
        <w:t>The risk of VTE in cancer patients is especially high during the first week</w:t>
      </w:r>
      <w:r w:rsidR="00DD0945" w:rsidRPr="00712539">
        <w:rPr>
          <w:rFonts w:ascii="Book Antiqua" w:hAnsi="Book Antiqua"/>
          <w:sz w:val="24"/>
          <w:szCs w:val="24"/>
          <w:lang w:val="en-US"/>
        </w:rPr>
        <w:t xml:space="preserve">s or months of specific </w:t>
      </w:r>
      <w:proofErr w:type="gramStart"/>
      <w:r w:rsidR="00DD0945" w:rsidRPr="00712539">
        <w:rPr>
          <w:rFonts w:ascii="Book Antiqua" w:hAnsi="Book Antiqua"/>
          <w:sz w:val="24"/>
          <w:szCs w:val="24"/>
          <w:lang w:val="en-US"/>
        </w:rPr>
        <w:t>therapy</w:t>
      </w:r>
      <w:r w:rsidRPr="00712539">
        <w:rPr>
          <w:rFonts w:ascii="Book Antiqua" w:hAnsi="Book Antiqua" w:cs="Calibri"/>
          <w:sz w:val="24"/>
          <w:szCs w:val="24"/>
          <w:vertAlign w:val="superscript"/>
          <w:lang w:val="en-US"/>
        </w:rPr>
        <w:t>[</w:t>
      </w:r>
      <w:proofErr w:type="gramEnd"/>
      <w:r w:rsidRPr="00712539">
        <w:rPr>
          <w:rFonts w:ascii="Book Antiqua" w:hAnsi="Book Antiqua" w:cs="Calibri"/>
          <w:sz w:val="24"/>
          <w:szCs w:val="24"/>
          <w:vertAlign w:val="superscript"/>
          <w:lang w:val="en-US"/>
        </w:rPr>
        <w:t>4,62,65]</w:t>
      </w:r>
      <w:r w:rsidRPr="00712539">
        <w:rPr>
          <w:rFonts w:ascii="Book Antiqua" w:hAnsi="Book Antiqua"/>
          <w:sz w:val="24"/>
          <w:szCs w:val="24"/>
          <w:lang w:val="en-US"/>
        </w:rPr>
        <w:t>. Several clinical trials have evaluated the role of primary prevention in outpatients with selected or unselected malignancies. An early study on patients receiving chemotherapy for advanced breast cancer found low dose warfarin to be safe and efficacious, with 85% relative reduc</w:t>
      </w:r>
      <w:r w:rsidR="00DD0945" w:rsidRPr="00712539">
        <w:rPr>
          <w:rFonts w:ascii="Book Antiqua" w:hAnsi="Book Antiqua"/>
          <w:sz w:val="24"/>
          <w:szCs w:val="24"/>
          <w:lang w:val="en-US"/>
        </w:rPr>
        <w:t xml:space="preserve">tion in VTE compared to </w:t>
      </w:r>
      <w:proofErr w:type="gramStart"/>
      <w:r w:rsidR="00DD0945" w:rsidRPr="00712539">
        <w:rPr>
          <w:rFonts w:ascii="Book Antiqua" w:hAnsi="Book Antiqua"/>
          <w:sz w:val="24"/>
          <w:szCs w:val="24"/>
          <w:lang w:val="en-US"/>
        </w:rPr>
        <w:t>placebo</w:t>
      </w:r>
      <w:r w:rsidRPr="00712539">
        <w:rPr>
          <w:rFonts w:ascii="Book Antiqua" w:hAnsi="Book Antiqua" w:cs="Calibri"/>
          <w:sz w:val="24"/>
          <w:szCs w:val="24"/>
          <w:vertAlign w:val="superscript"/>
          <w:lang w:val="en-US"/>
        </w:rPr>
        <w:t>[</w:t>
      </w:r>
      <w:proofErr w:type="gramEnd"/>
      <w:r w:rsidRPr="00712539">
        <w:rPr>
          <w:rFonts w:ascii="Book Antiqua" w:hAnsi="Book Antiqua" w:cs="Calibri"/>
          <w:sz w:val="24"/>
          <w:szCs w:val="24"/>
          <w:vertAlign w:val="superscript"/>
          <w:lang w:val="en-US"/>
        </w:rPr>
        <w:t>66]</w:t>
      </w:r>
      <w:r w:rsidRPr="00712539">
        <w:rPr>
          <w:rFonts w:ascii="Book Antiqua" w:hAnsi="Book Antiqua"/>
          <w:sz w:val="24"/>
          <w:szCs w:val="24"/>
          <w:lang w:val="en-US"/>
        </w:rPr>
        <w:t>. Two other randomized trials in patients with breast or lung cancers using prophylactic dosages o</w:t>
      </w:r>
      <w:r w:rsidR="00DD0945" w:rsidRPr="00712539">
        <w:rPr>
          <w:rFonts w:ascii="Book Antiqua" w:hAnsi="Book Antiqua"/>
          <w:sz w:val="24"/>
          <w:szCs w:val="24"/>
          <w:lang w:val="en-US"/>
        </w:rPr>
        <w:t xml:space="preserve">f LMWH failed to show a </w:t>
      </w:r>
      <w:proofErr w:type="gramStart"/>
      <w:r w:rsidR="00DD0945" w:rsidRPr="00712539">
        <w:rPr>
          <w:rFonts w:ascii="Book Antiqua" w:hAnsi="Book Antiqua"/>
          <w:sz w:val="24"/>
          <w:szCs w:val="24"/>
          <w:lang w:val="en-US"/>
        </w:rPr>
        <w:t>benefit</w:t>
      </w:r>
      <w:r w:rsidRPr="00712539">
        <w:rPr>
          <w:rFonts w:ascii="Book Antiqua" w:hAnsi="Book Antiqua" w:cs="Calibri"/>
          <w:sz w:val="24"/>
          <w:szCs w:val="24"/>
          <w:vertAlign w:val="superscript"/>
          <w:lang w:val="en-US"/>
        </w:rPr>
        <w:t>[</w:t>
      </w:r>
      <w:proofErr w:type="gramEnd"/>
      <w:r w:rsidRPr="00712539">
        <w:rPr>
          <w:rFonts w:ascii="Book Antiqua" w:hAnsi="Book Antiqua" w:cs="Calibri"/>
          <w:sz w:val="24"/>
          <w:szCs w:val="24"/>
          <w:vertAlign w:val="superscript"/>
          <w:lang w:val="en-US"/>
        </w:rPr>
        <w:t>67]</w:t>
      </w:r>
      <w:r w:rsidRPr="00712539">
        <w:rPr>
          <w:rFonts w:ascii="Book Antiqua" w:hAnsi="Book Antiqua"/>
          <w:sz w:val="24"/>
          <w:szCs w:val="24"/>
          <w:lang w:val="en-US"/>
        </w:rPr>
        <w:t>. The PROTECHT study, however, showed a statistically significant relative risk reduction of 50% for symptomatic VTE in cancer outpatients receiving chemotherapy for different types of malignancy (including gastrointestinal cancers) in favor of prophylactic dosages o</w:t>
      </w:r>
      <w:r w:rsidR="00DD0945" w:rsidRPr="00712539">
        <w:rPr>
          <w:rFonts w:ascii="Book Antiqua" w:hAnsi="Book Antiqua"/>
          <w:sz w:val="24"/>
          <w:szCs w:val="24"/>
          <w:lang w:val="en-US"/>
        </w:rPr>
        <w:t>f the LMWH nadroparin (Table 3)</w:t>
      </w:r>
      <w:r w:rsidRPr="00712539">
        <w:rPr>
          <w:rFonts w:ascii="Book Antiqua" w:hAnsi="Book Antiqua" w:cs="Calibri"/>
          <w:sz w:val="24"/>
          <w:szCs w:val="24"/>
          <w:vertAlign w:val="superscript"/>
          <w:lang w:val="en-US"/>
        </w:rPr>
        <w:t>[68]</w:t>
      </w:r>
      <w:r w:rsidRPr="00712539">
        <w:rPr>
          <w:rFonts w:ascii="Book Antiqua" w:hAnsi="Book Antiqua"/>
          <w:sz w:val="24"/>
          <w:szCs w:val="24"/>
          <w:lang w:val="en-US"/>
        </w:rPr>
        <w:t>. Moreover, despite a relatively low event rate of less than 3% in the placebo group, prophylactic dosages of semuloparin, an ultralow molecular weight heparin (not further developed), demonstrated</w:t>
      </w:r>
      <w:r w:rsidR="00451163" w:rsidRPr="00712539">
        <w:rPr>
          <w:rFonts w:ascii="Book Antiqua" w:hAnsi="Book Antiqua"/>
          <w:sz w:val="24"/>
          <w:szCs w:val="24"/>
          <w:lang w:val="en-US"/>
        </w:rPr>
        <w:t xml:space="preserve"> </w:t>
      </w:r>
      <w:r w:rsidRPr="00712539">
        <w:rPr>
          <w:rFonts w:ascii="Book Antiqua" w:hAnsi="Book Antiqua"/>
          <w:sz w:val="24"/>
          <w:szCs w:val="24"/>
          <w:lang w:val="en-US"/>
        </w:rPr>
        <w:t>a highly significant reduction (65%) of VTE in patients with metastatic or locally advanced solid cancers (1590 of 3212 with pancreatic, gastric or colorectal cancers)</w:t>
      </w:r>
      <w:r w:rsidR="00451163" w:rsidRPr="00712539">
        <w:rPr>
          <w:rFonts w:ascii="Book Antiqua" w:hAnsi="Book Antiqua"/>
          <w:sz w:val="24"/>
          <w:szCs w:val="24"/>
          <w:lang w:val="en-US"/>
        </w:rPr>
        <w:t xml:space="preserve"> </w:t>
      </w:r>
      <w:r w:rsidR="00DD0945" w:rsidRPr="00712539">
        <w:rPr>
          <w:rFonts w:ascii="Book Antiqua" w:hAnsi="Book Antiqua"/>
          <w:sz w:val="24"/>
          <w:szCs w:val="24"/>
          <w:lang w:val="en-US"/>
        </w:rPr>
        <w:t xml:space="preserve">receiving </w:t>
      </w:r>
      <w:proofErr w:type="gramStart"/>
      <w:r w:rsidR="00DD0945" w:rsidRPr="00712539">
        <w:rPr>
          <w:rFonts w:ascii="Book Antiqua" w:hAnsi="Book Antiqua"/>
          <w:sz w:val="24"/>
          <w:szCs w:val="24"/>
          <w:lang w:val="en-US"/>
        </w:rPr>
        <w:t>chemotherapy</w:t>
      </w:r>
      <w:r w:rsidRPr="00712539">
        <w:rPr>
          <w:rFonts w:ascii="Book Antiqua" w:hAnsi="Book Antiqua" w:cs="Calibri"/>
          <w:sz w:val="24"/>
          <w:szCs w:val="24"/>
          <w:vertAlign w:val="superscript"/>
          <w:lang w:val="en-US"/>
        </w:rPr>
        <w:t>[</w:t>
      </w:r>
      <w:proofErr w:type="gramEnd"/>
      <w:r w:rsidRPr="00712539">
        <w:rPr>
          <w:rFonts w:ascii="Book Antiqua" w:hAnsi="Book Antiqua" w:cs="Calibri"/>
          <w:sz w:val="24"/>
          <w:szCs w:val="24"/>
          <w:vertAlign w:val="superscript"/>
          <w:lang w:val="en-US"/>
        </w:rPr>
        <w:t>69]</w:t>
      </w:r>
      <w:r w:rsidRPr="00712539">
        <w:rPr>
          <w:rFonts w:ascii="Book Antiqua" w:hAnsi="Book Antiqua"/>
          <w:sz w:val="24"/>
          <w:szCs w:val="24"/>
          <w:lang w:val="en-US"/>
        </w:rPr>
        <w:t xml:space="preserve"> (Table 3), without an increase in the incidence of clinically relevant or major bleeding complications. Whereas these trials investigated the effect of prophylactic dosages of antithrombotic drugs, two randomized open-label studies in patients with advanced pancreatic cancer undergoing chemotherapy investigated primary prophylaxis with higher doses of LMWH</w:t>
      </w:r>
      <w:r w:rsidR="00451163" w:rsidRPr="00712539">
        <w:rPr>
          <w:rFonts w:ascii="Book Antiqua" w:hAnsi="Book Antiqua"/>
          <w:sz w:val="24"/>
          <w:szCs w:val="24"/>
          <w:lang w:val="en-US"/>
        </w:rPr>
        <w:t xml:space="preserve"> </w:t>
      </w:r>
      <w:r w:rsidRPr="00712539">
        <w:rPr>
          <w:rFonts w:ascii="Book Antiqua" w:hAnsi="Book Antiqua"/>
          <w:sz w:val="24"/>
          <w:szCs w:val="24"/>
          <w:lang w:val="en-US"/>
        </w:rPr>
        <w:t xml:space="preserve">(Table 3). The phase </w:t>
      </w:r>
      <w:r w:rsidR="00DD0945" w:rsidRPr="00712539">
        <w:rPr>
          <w:rFonts w:ascii="Book Antiqua" w:hAnsi="Book Antiqua"/>
          <w:sz w:val="24"/>
          <w:szCs w:val="24"/>
          <w:lang w:val="en-US"/>
        </w:rPr>
        <w:t>II FRAGEM-</w:t>
      </w:r>
      <w:proofErr w:type="gramStart"/>
      <w:r w:rsidR="00DD0945" w:rsidRPr="00712539">
        <w:rPr>
          <w:rFonts w:ascii="Book Antiqua" w:hAnsi="Book Antiqua"/>
          <w:sz w:val="24"/>
          <w:szCs w:val="24"/>
          <w:lang w:val="en-US"/>
        </w:rPr>
        <w:t>trial</w:t>
      </w:r>
      <w:r w:rsidRPr="00712539">
        <w:rPr>
          <w:rFonts w:ascii="Book Antiqua" w:hAnsi="Book Antiqua" w:cs="Calibri"/>
          <w:sz w:val="24"/>
          <w:szCs w:val="24"/>
          <w:vertAlign w:val="superscript"/>
          <w:lang w:val="en-US"/>
        </w:rPr>
        <w:t>[</w:t>
      </w:r>
      <w:proofErr w:type="gramEnd"/>
      <w:r w:rsidRPr="00712539">
        <w:rPr>
          <w:rFonts w:ascii="Book Antiqua" w:hAnsi="Book Antiqua" w:cs="Calibri"/>
          <w:sz w:val="24"/>
          <w:szCs w:val="24"/>
          <w:vertAlign w:val="superscript"/>
          <w:lang w:val="en-US"/>
        </w:rPr>
        <w:t>70]</w:t>
      </w:r>
      <w:r w:rsidRPr="00712539">
        <w:rPr>
          <w:rFonts w:ascii="Book Antiqua" w:hAnsi="Book Antiqua"/>
          <w:sz w:val="24"/>
          <w:szCs w:val="24"/>
          <w:lang w:val="en-US"/>
        </w:rPr>
        <w:t xml:space="preserve"> examined the therapeutic dose of dalteparin (200 anti FXa units/kg</w:t>
      </w:r>
      <w:r w:rsidR="00DD0945" w:rsidRPr="00712539">
        <w:rPr>
          <w:rFonts w:ascii="Book Antiqua" w:hAnsi="Book Antiqua"/>
          <w:sz w:val="24"/>
          <w:szCs w:val="24"/>
          <w:lang w:val="en-US" w:eastAsia="zh-CN"/>
        </w:rPr>
        <w:t xml:space="preserve"> per </w:t>
      </w:r>
      <w:r w:rsidRPr="00712539">
        <w:rPr>
          <w:rFonts w:ascii="Book Antiqua" w:hAnsi="Book Antiqua"/>
          <w:sz w:val="24"/>
          <w:szCs w:val="24"/>
          <w:lang w:val="en-US"/>
        </w:rPr>
        <w:t>d</w:t>
      </w:r>
      <w:r w:rsidR="00DD0945" w:rsidRPr="00712539">
        <w:rPr>
          <w:rFonts w:ascii="Book Antiqua" w:hAnsi="Book Antiqua"/>
          <w:sz w:val="24"/>
          <w:szCs w:val="24"/>
          <w:lang w:val="en-US" w:eastAsia="zh-CN"/>
        </w:rPr>
        <w:t>ay</w:t>
      </w:r>
      <w:r w:rsidRPr="00712539">
        <w:rPr>
          <w:rFonts w:ascii="Book Antiqua" w:hAnsi="Book Antiqua"/>
          <w:sz w:val="24"/>
          <w:szCs w:val="24"/>
          <w:lang w:val="en-US"/>
        </w:rPr>
        <w:t>), an</w:t>
      </w:r>
      <w:r w:rsidR="00DD0945" w:rsidRPr="00712539">
        <w:rPr>
          <w:rFonts w:ascii="Book Antiqua" w:hAnsi="Book Antiqua"/>
          <w:sz w:val="24"/>
          <w:szCs w:val="24"/>
          <w:lang w:val="en-US"/>
        </w:rPr>
        <w:t>d the phase III CONKO-</w:t>
      </w:r>
      <w:r w:rsidR="00DD0945" w:rsidRPr="00712539">
        <w:rPr>
          <w:rFonts w:ascii="Book Antiqua" w:hAnsi="Book Antiqua"/>
          <w:sz w:val="24"/>
          <w:szCs w:val="24"/>
          <w:lang w:val="en-US"/>
        </w:rPr>
        <w:lastRenderedPageBreak/>
        <w:t>004 trial</w:t>
      </w:r>
      <w:r w:rsidRPr="00712539">
        <w:rPr>
          <w:rFonts w:ascii="Book Antiqua" w:hAnsi="Book Antiqua" w:cs="Calibri"/>
          <w:sz w:val="24"/>
          <w:szCs w:val="24"/>
          <w:vertAlign w:val="superscript"/>
          <w:lang w:val="en-US"/>
        </w:rPr>
        <w:t>[71]</w:t>
      </w:r>
      <w:r w:rsidRPr="00712539">
        <w:rPr>
          <w:rFonts w:ascii="Book Antiqua" w:hAnsi="Book Antiqua"/>
          <w:sz w:val="24"/>
          <w:szCs w:val="24"/>
          <w:lang w:val="en-US"/>
        </w:rPr>
        <w:t xml:space="preserve"> used half the therapeutic dosage of the LMWH enoxaparin (1</w:t>
      </w:r>
      <w:r w:rsidR="00DD0945" w:rsidRPr="00712539">
        <w:rPr>
          <w:rFonts w:ascii="Book Antiqua" w:hAnsi="Book Antiqua"/>
          <w:sz w:val="24"/>
          <w:szCs w:val="24"/>
          <w:lang w:val="en-US" w:eastAsia="zh-CN"/>
        </w:rPr>
        <w:t xml:space="preserve"> </w:t>
      </w:r>
      <w:r w:rsidRPr="00712539">
        <w:rPr>
          <w:rFonts w:ascii="Book Antiqua" w:hAnsi="Book Antiqua"/>
          <w:sz w:val="24"/>
          <w:szCs w:val="24"/>
          <w:lang w:val="en-US"/>
        </w:rPr>
        <w:t>mg/kg</w:t>
      </w:r>
      <w:r w:rsidR="00DD0945" w:rsidRPr="00712539">
        <w:rPr>
          <w:rFonts w:ascii="Book Antiqua" w:hAnsi="Book Antiqua"/>
          <w:sz w:val="24"/>
          <w:szCs w:val="24"/>
          <w:lang w:val="en-US" w:eastAsia="zh-CN"/>
        </w:rPr>
        <w:t xml:space="preserve"> per </w:t>
      </w:r>
      <w:r w:rsidR="00DD0945" w:rsidRPr="00712539">
        <w:rPr>
          <w:rFonts w:ascii="Book Antiqua" w:hAnsi="Book Antiqua"/>
          <w:sz w:val="24"/>
          <w:szCs w:val="24"/>
          <w:lang w:val="en-US"/>
        </w:rPr>
        <w:t>d</w:t>
      </w:r>
      <w:r w:rsidR="00DD0945" w:rsidRPr="00712539">
        <w:rPr>
          <w:rFonts w:ascii="Book Antiqua" w:hAnsi="Book Antiqua"/>
          <w:sz w:val="24"/>
          <w:szCs w:val="24"/>
          <w:lang w:val="en-US" w:eastAsia="zh-CN"/>
        </w:rPr>
        <w:t>ay</w:t>
      </w:r>
      <w:r w:rsidRPr="00712539">
        <w:rPr>
          <w:rFonts w:ascii="Book Antiqua" w:hAnsi="Book Antiqua"/>
          <w:sz w:val="24"/>
          <w:szCs w:val="24"/>
          <w:lang w:val="en-US"/>
        </w:rPr>
        <w:t>).</w:t>
      </w:r>
      <w:r w:rsidR="00451163" w:rsidRPr="00712539">
        <w:rPr>
          <w:rFonts w:ascii="Book Antiqua" w:hAnsi="Book Antiqua"/>
          <w:sz w:val="24"/>
          <w:szCs w:val="24"/>
          <w:lang w:val="en-US"/>
        </w:rPr>
        <w:t xml:space="preserve"> </w:t>
      </w:r>
      <w:r w:rsidRPr="00712539">
        <w:rPr>
          <w:rFonts w:ascii="Book Antiqua" w:hAnsi="Book Antiqua"/>
          <w:sz w:val="24"/>
          <w:szCs w:val="24"/>
          <w:lang w:val="en-US"/>
        </w:rPr>
        <w:t xml:space="preserve">Despite differences in study design and primary endpoint of effectiveness, both trials found this intensity of anticoagulation to be safe and reported a more than 80% relative risk reduction of thromboembolic events compared to observation (Table 3). </w:t>
      </w:r>
    </w:p>
    <w:p w14:paraId="12607D9A" w14:textId="6728DB94" w:rsidR="004F0B9C" w:rsidRPr="00712539" w:rsidRDefault="004F0B9C" w:rsidP="00DD0945">
      <w:pPr>
        <w:spacing w:after="0" w:line="360" w:lineRule="auto"/>
        <w:ind w:firstLineChars="100" w:firstLine="240"/>
        <w:jc w:val="both"/>
        <w:rPr>
          <w:rFonts w:ascii="Book Antiqua" w:hAnsi="Book Antiqua"/>
          <w:sz w:val="24"/>
          <w:szCs w:val="24"/>
          <w:lang w:val="en-US"/>
        </w:rPr>
      </w:pPr>
      <w:r w:rsidRPr="00712539">
        <w:rPr>
          <w:rFonts w:ascii="Book Antiqua" w:hAnsi="Book Antiqua"/>
          <w:sz w:val="24"/>
          <w:szCs w:val="24"/>
          <w:lang w:val="en-US"/>
        </w:rPr>
        <w:t>Nevertheless, available international guidelines do not recommend routine prophylaxis in all ambulatory cancer patients receiving anti-cancer chemotherapy (Tab</w:t>
      </w:r>
      <w:r w:rsidR="00DD0945" w:rsidRPr="00712539">
        <w:rPr>
          <w:rFonts w:ascii="Book Antiqua" w:hAnsi="Book Antiqua"/>
          <w:sz w:val="24"/>
          <w:szCs w:val="24"/>
          <w:lang w:val="en-US"/>
        </w:rPr>
        <w:t xml:space="preserve">le 2). ACCP and ASCO </w:t>
      </w:r>
      <w:proofErr w:type="gramStart"/>
      <w:r w:rsidR="00DD0945" w:rsidRPr="00712539">
        <w:rPr>
          <w:rFonts w:ascii="Book Antiqua" w:hAnsi="Book Antiqua"/>
          <w:sz w:val="24"/>
          <w:szCs w:val="24"/>
          <w:lang w:val="en-US"/>
        </w:rPr>
        <w:t>guidelines</w:t>
      </w:r>
      <w:r w:rsidRPr="00712539">
        <w:rPr>
          <w:rFonts w:ascii="Book Antiqua" w:hAnsi="Book Antiqua" w:cs="Calibri"/>
          <w:sz w:val="24"/>
          <w:szCs w:val="24"/>
          <w:vertAlign w:val="superscript"/>
          <w:lang w:val="en-US"/>
        </w:rPr>
        <w:t>[</w:t>
      </w:r>
      <w:proofErr w:type="gramEnd"/>
      <w:r w:rsidRPr="00712539">
        <w:rPr>
          <w:rFonts w:ascii="Book Antiqua" w:hAnsi="Book Antiqua" w:cs="Calibri"/>
          <w:sz w:val="24"/>
          <w:szCs w:val="24"/>
          <w:vertAlign w:val="superscript"/>
          <w:lang w:val="en-US"/>
        </w:rPr>
        <w:t>19,62]</w:t>
      </w:r>
      <w:r w:rsidRPr="00712539">
        <w:rPr>
          <w:rFonts w:ascii="Book Antiqua" w:hAnsi="Book Antiqua"/>
          <w:sz w:val="24"/>
          <w:szCs w:val="24"/>
          <w:lang w:val="en-US"/>
        </w:rPr>
        <w:t xml:space="preserve"> suggest considering antithrombotic prophylaxis in outpatients receiving chemotherapy with unspecified solid tumors and additional risk factors, whereas others recommend</w:t>
      </w:r>
      <w:r w:rsidR="00451163" w:rsidRPr="00712539">
        <w:rPr>
          <w:rFonts w:ascii="Book Antiqua" w:hAnsi="Book Antiqua"/>
          <w:sz w:val="24"/>
          <w:szCs w:val="24"/>
          <w:lang w:val="en-US"/>
        </w:rPr>
        <w:t xml:space="preserve"> </w:t>
      </w:r>
      <w:r w:rsidRPr="00712539">
        <w:rPr>
          <w:rFonts w:ascii="Book Antiqua" w:hAnsi="Book Antiqua"/>
          <w:sz w:val="24"/>
          <w:szCs w:val="24"/>
          <w:lang w:val="en-US"/>
        </w:rPr>
        <w:t>considering primary prevention, especially in patients</w:t>
      </w:r>
      <w:r w:rsidR="00DD0945" w:rsidRPr="00712539">
        <w:rPr>
          <w:rFonts w:ascii="Book Antiqua" w:hAnsi="Book Antiqua"/>
          <w:sz w:val="24"/>
          <w:szCs w:val="24"/>
          <w:lang w:val="en-US"/>
        </w:rPr>
        <w:t xml:space="preserve"> with lung or pancreatic cancer</w:t>
      </w:r>
      <w:r w:rsidRPr="00712539">
        <w:rPr>
          <w:rFonts w:ascii="Book Antiqua" w:hAnsi="Book Antiqua" w:cs="Calibri"/>
          <w:sz w:val="24"/>
          <w:szCs w:val="24"/>
          <w:vertAlign w:val="superscript"/>
          <w:lang w:val="en-US"/>
        </w:rPr>
        <w:t>[21]</w:t>
      </w:r>
      <w:r w:rsidRPr="00712539">
        <w:rPr>
          <w:rFonts w:ascii="Book Antiqua" w:hAnsi="Book Antiqua"/>
          <w:sz w:val="24"/>
          <w:szCs w:val="24"/>
          <w:lang w:val="en-US"/>
        </w:rPr>
        <w:t xml:space="preserve"> in accorda</w:t>
      </w:r>
      <w:r w:rsidR="00DD0945" w:rsidRPr="00712539">
        <w:rPr>
          <w:rFonts w:ascii="Book Antiqua" w:hAnsi="Book Antiqua"/>
          <w:sz w:val="24"/>
          <w:szCs w:val="24"/>
          <w:lang w:val="en-US"/>
        </w:rPr>
        <w:t>nce with a recent meta-analysis</w:t>
      </w:r>
      <w:r w:rsidRPr="00712539">
        <w:rPr>
          <w:rFonts w:ascii="Book Antiqua" w:hAnsi="Book Antiqua" w:cs="Calibri"/>
          <w:sz w:val="24"/>
          <w:szCs w:val="24"/>
          <w:vertAlign w:val="superscript"/>
          <w:lang w:val="en-US"/>
        </w:rPr>
        <w:t>[72]</w:t>
      </w:r>
      <w:r w:rsidRPr="00712539">
        <w:rPr>
          <w:rFonts w:ascii="Book Antiqua" w:hAnsi="Book Antiqua"/>
          <w:sz w:val="24"/>
          <w:szCs w:val="24"/>
          <w:lang w:val="en-US"/>
        </w:rPr>
        <w:t xml:space="preserve">. </w:t>
      </w:r>
    </w:p>
    <w:p w14:paraId="1ABF48C6" w14:textId="41BEF6BD" w:rsidR="004F0B9C" w:rsidRPr="00712539" w:rsidRDefault="004F0B9C" w:rsidP="00DD0945">
      <w:pPr>
        <w:spacing w:after="0" w:line="360" w:lineRule="auto"/>
        <w:ind w:firstLineChars="100" w:firstLine="240"/>
        <w:jc w:val="both"/>
        <w:rPr>
          <w:rFonts w:ascii="Book Antiqua" w:hAnsi="Book Antiqua"/>
          <w:sz w:val="24"/>
          <w:szCs w:val="24"/>
          <w:lang w:val="en-US"/>
        </w:rPr>
      </w:pPr>
      <w:r w:rsidRPr="00712539">
        <w:rPr>
          <w:rFonts w:ascii="Book Antiqua" w:hAnsi="Book Antiqua"/>
          <w:sz w:val="24"/>
          <w:szCs w:val="24"/>
          <w:lang w:val="en-US"/>
        </w:rPr>
        <w:t>A number of attempts have been made to classify individual cancer outpatients receiving chemotherapy more precisely according to VTE risk. In this context, the scoring sys</w:t>
      </w:r>
      <w:r w:rsidR="00DD0945" w:rsidRPr="00712539">
        <w:rPr>
          <w:rFonts w:ascii="Book Antiqua" w:hAnsi="Book Antiqua"/>
          <w:sz w:val="24"/>
          <w:szCs w:val="24"/>
          <w:lang w:val="en-US"/>
        </w:rPr>
        <w:t xml:space="preserve">tem developed by Khorana </w:t>
      </w:r>
      <w:r w:rsidR="00DD0945" w:rsidRPr="00712539">
        <w:rPr>
          <w:rFonts w:ascii="Book Antiqua" w:hAnsi="Book Antiqua"/>
          <w:i/>
          <w:sz w:val="24"/>
          <w:szCs w:val="24"/>
          <w:lang w:val="en-US"/>
        </w:rPr>
        <w:t>et al</w:t>
      </w:r>
      <w:r w:rsidRPr="00712539">
        <w:rPr>
          <w:rFonts w:ascii="Book Antiqua" w:hAnsi="Book Antiqua" w:cs="Calibri"/>
          <w:sz w:val="24"/>
          <w:szCs w:val="24"/>
          <w:vertAlign w:val="superscript"/>
          <w:lang w:val="en-US"/>
        </w:rPr>
        <w:t>[73]</w:t>
      </w:r>
      <w:r w:rsidRPr="00712539">
        <w:rPr>
          <w:rFonts w:ascii="Book Antiqua" w:hAnsi="Book Antiqua"/>
          <w:sz w:val="24"/>
          <w:szCs w:val="24"/>
          <w:lang w:val="en-US"/>
        </w:rPr>
        <w:t xml:space="preserve"> (Table 4), which associates pancreatic and stomach cancer with a very high VTE risk, demonstrated potential for the identification of cancer outpatients at risk for VTE prior to the start of chemotherapy</w:t>
      </w:r>
      <w:r w:rsidRPr="00712539" w:rsidDel="00E43029">
        <w:rPr>
          <w:rFonts w:ascii="Book Antiqua" w:hAnsi="Book Antiqua"/>
          <w:sz w:val="24"/>
          <w:szCs w:val="24"/>
          <w:lang w:val="en-US"/>
        </w:rPr>
        <w:t xml:space="preserve"> </w:t>
      </w:r>
      <w:r w:rsidRPr="00712539">
        <w:rPr>
          <w:rFonts w:ascii="Book Antiqua" w:hAnsi="Book Antiqua"/>
          <w:sz w:val="24"/>
          <w:szCs w:val="24"/>
          <w:lang w:val="en-US"/>
        </w:rPr>
        <w:t>with simple and commonly available criteria.</w:t>
      </w:r>
      <w:r w:rsidR="00451163" w:rsidRPr="00712539">
        <w:rPr>
          <w:rFonts w:ascii="Book Antiqua" w:hAnsi="Book Antiqua"/>
          <w:sz w:val="24"/>
          <w:szCs w:val="24"/>
          <w:lang w:val="en-US"/>
        </w:rPr>
        <w:t xml:space="preserve"> </w:t>
      </w:r>
      <w:r w:rsidRPr="00712539">
        <w:rPr>
          <w:rFonts w:ascii="Book Antiqua" w:hAnsi="Book Antiqua"/>
          <w:sz w:val="24"/>
          <w:szCs w:val="24"/>
          <w:lang w:val="en-US"/>
        </w:rPr>
        <w:t>A prospective randomized trial investigating the benefit of primary antithrombotic prophylaxis in high risk patients according to this score is ongoing. Until results from this study become available, the initiation of pharmacological prophylaxis in high risk patients is suggested by the standardization subco</w:t>
      </w:r>
      <w:r w:rsidR="00DD0945" w:rsidRPr="00712539">
        <w:rPr>
          <w:rFonts w:ascii="Book Antiqua" w:hAnsi="Book Antiqua"/>
          <w:sz w:val="24"/>
          <w:szCs w:val="24"/>
          <w:lang w:val="en-US"/>
        </w:rPr>
        <w:t xml:space="preserve">mmittee of the </w:t>
      </w:r>
      <w:proofErr w:type="gramStart"/>
      <w:r w:rsidR="00DD0945" w:rsidRPr="00712539">
        <w:rPr>
          <w:rFonts w:ascii="Book Antiqua" w:hAnsi="Book Antiqua"/>
          <w:sz w:val="24"/>
          <w:szCs w:val="24"/>
          <w:lang w:val="en-US"/>
        </w:rPr>
        <w:t>ISTH</w:t>
      </w:r>
      <w:r w:rsidRPr="00712539">
        <w:rPr>
          <w:rFonts w:ascii="Book Antiqua" w:hAnsi="Book Antiqua" w:cs="Calibri"/>
          <w:sz w:val="24"/>
          <w:szCs w:val="24"/>
          <w:vertAlign w:val="superscript"/>
          <w:lang w:val="en-US"/>
        </w:rPr>
        <w:t>[</w:t>
      </w:r>
      <w:proofErr w:type="gramEnd"/>
      <w:r w:rsidRPr="00712539">
        <w:rPr>
          <w:rFonts w:ascii="Book Antiqua" w:hAnsi="Book Antiqua" w:cs="Calibri"/>
          <w:sz w:val="24"/>
          <w:szCs w:val="24"/>
          <w:vertAlign w:val="superscript"/>
          <w:lang w:val="en-US"/>
        </w:rPr>
        <w:t>74]</w:t>
      </w:r>
      <w:r w:rsidRPr="00712539">
        <w:rPr>
          <w:rFonts w:ascii="Book Antiqua" w:hAnsi="Book Antiqua"/>
          <w:sz w:val="24"/>
          <w:szCs w:val="24"/>
          <w:lang w:val="en-US"/>
        </w:rPr>
        <w:t xml:space="preserve">. Supplementing the Khorana score with lab parameters such as </w:t>
      </w:r>
      <w:r w:rsidR="00DD0945" w:rsidRPr="00712539">
        <w:rPr>
          <w:rFonts w:ascii="Book Antiqua" w:hAnsi="Book Antiqua"/>
          <w:sz w:val="24"/>
          <w:szCs w:val="24"/>
          <w:lang w:val="en-US"/>
        </w:rPr>
        <w:t>D-dimer and soluble P-</w:t>
      </w:r>
      <w:proofErr w:type="gramStart"/>
      <w:r w:rsidR="00DD0945" w:rsidRPr="00712539">
        <w:rPr>
          <w:rFonts w:ascii="Book Antiqua" w:hAnsi="Book Antiqua"/>
          <w:sz w:val="24"/>
          <w:szCs w:val="24"/>
          <w:lang w:val="en-US"/>
        </w:rPr>
        <w:t>selectine</w:t>
      </w:r>
      <w:r w:rsidRPr="00712539">
        <w:rPr>
          <w:rFonts w:ascii="Book Antiqua" w:hAnsi="Book Antiqua" w:cs="Calibri"/>
          <w:sz w:val="24"/>
          <w:szCs w:val="24"/>
          <w:vertAlign w:val="superscript"/>
          <w:lang w:val="en-US"/>
        </w:rPr>
        <w:t>[</w:t>
      </w:r>
      <w:proofErr w:type="gramEnd"/>
      <w:r w:rsidRPr="00712539">
        <w:rPr>
          <w:rFonts w:ascii="Book Antiqua" w:hAnsi="Book Antiqua" w:cs="Calibri"/>
          <w:sz w:val="24"/>
          <w:szCs w:val="24"/>
          <w:vertAlign w:val="superscript"/>
          <w:lang w:val="en-US"/>
        </w:rPr>
        <w:t>75]</w:t>
      </w:r>
      <w:r w:rsidRPr="00712539">
        <w:rPr>
          <w:rFonts w:ascii="Book Antiqua" w:hAnsi="Book Antiqua"/>
          <w:sz w:val="24"/>
          <w:szCs w:val="24"/>
          <w:lang w:val="en-US"/>
        </w:rPr>
        <w:t xml:space="preserve"> or chemotherapy components such as gemc</w:t>
      </w:r>
      <w:r w:rsidR="00DD0945" w:rsidRPr="00712539">
        <w:rPr>
          <w:rFonts w:ascii="Book Antiqua" w:hAnsi="Book Antiqua"/>
          <w:sz w:val="24"/>
          <w:szCs w:val="24"/>
          <w:lang w:val="en-US"/>
        </w:rPr>
        <w:t>itabine and cis- or car</w:t>
      </w:r>
      <w:r w:rsidR="00DD0945" w:rsidRPr="00712539">
        <w:rPr>
          <w:rFonts w:ascii="Book Antiqua" w:hAnsi="Book Antiqua"/>
          <w:sz w:val="24"/>
          <w:szCs w:val="24"/>
          <w:lang w:val="en-US" w:eastAsia="zh-CN"/>
        </w:rPr>
        <w:t>-</w:t>
      </w:r>
      <w:r w:rsidR="00DD0945" w:rsidRPr="00712539">
        <w:rPr>
          <w:rFonts w:ascii="Book Antiqua" w:hAnsi="Book Antiqua"/>
          <w:sz w:val="24"/>
          <w:szCs w:val="24"/>
          <w:lang w:val="en-US"/>
        </w:rPr>
        <w:t>boplatin</w:t>
      </w:r>
      <w:r w:rsidRPr="00712539">
        <w:rPr>
          <w:rFonts w:ascii="Book Antiqua" w:hAnsi="Book Antiqua" w:cs="Calibri"/>
          <w:sz w:val="24"/>
          <w:szCs w:val="24"/>
          <w:vertAlign w:val="superscript"/>
          <w:lang w:val="en-US"/>
        </w:rPr>
        <w:t>[76]</w:t>
      </w:r>
      <w:r w:rsidRPr="00712539">
        <w:rPr>
          <w:rFonts w:ascii="Book Antiqua" w:hAnsi="Book Antiqua"/>
          <w:sz w:val="24"/>
          <w:szCs w:val="24"/>
          <w:lang w:val="en-US"/>
        </w:rPr>
        <w:t xml:space="preserve"> may further categorize patients according to their VTE risk.</w:t>
      </w:r>
    </w:p>
    <w:p w14:paraId="3757A6E0" w14:textId="360CB899" w:rsidR="004F0B9C" w:rsidRPr="00712539" w:rsidRDefault="004F0B9C" w:rsidP="00DD0945">
      <w:pPr>
        <w:spacing w:after="0" w:line="360" w:lineRule="auto"/>
        <w:ind w:firstLineChars="100" w:firstLine="240"/>
        <w:jc w:val="both"/>
        <w:rPr>
          <w:rFonts w:ascii="Book Antiqua" w:hAnsi="Book Antiqua"/>
          <w:sz w:val="24"/>
          <w:szCs w:val="24"/>
          <w:lang w:val="en-US"/>
        </w:rPr>
      </w:pPr>
      <w:r w:rsidRPr="00712539">
        <w:rPr>
          <w:rFonts w:ascii="Book Antiqua" w:hAnsi="Book Antiqua"/>
          <w:sz w:val="24"/>
          <w:szCs w:val="24"/>
          <w:lang w:val="en-US"/>
        </w:rPr>
        <w:t xml:space="preserve">With the exception of patients suffering from pancreatic cancer, for whom primary prophylaxis with LMWH is highly warranted unless contraindicated by increased bleeding risk, insufficient evidence is available regarding other gastrointestinal cancers to recommend routine primary prevention with anticoagulant drugs. Until further evidence has accumulated, the Khorana score is helpful for classification of patients with gastrointestinal cancer according to </w:t>
      </w:r>
      <w:r w:rsidRPr="00712539">
        <w:rPr>
          <w:rFonts w:ascii="Book Antiqua" w:hAnsi="Book Antiqua"/>
          <w:sz w:val="24"/>
          <w:szCs w:val="24"/>
          <w:lang w:val="en-US"/>
        </w:rPr>
        <w:lastRenderedPageBreak/>
        <w:t>their VTE risk and as an aid in decision-making regarding</w:t>
      </w:r>
      <w:r w:rsidR="00451163" w:rsidRPr="00712539">
        <w:rPr>
          <w:rFonts w:ascii="Book Antiqua" w:hAnsi="Book Antiqua"/>
          <w:sz w:val="24"/>
          <w:szCs w:val="24"/>
          <w:lang w:val="en-US"/>
        </w:rPr>
        <w:t xml:space="preserve"> </w:t>
      </w:r>
      <w:r w:rsidRPr="00712539">
        <w:rPr>
          <w:rFonts w:ascii="Book Antiqua" w:hAnsi="Book Antiqua"/>
          <w:sz w:val="24"/>
          <w:szCs w:val="24"/>
          <w:lang w:val="en-US"/>
        </w:rPr>
        <w:t>initiation of pharmacologic prophylaxis. While prophylactic dosages of LMWH may be effective in most gastrointestinal cancers,</w:t>
      </w:r>
      <w:r w:rsidR="00451163" w:rsidRPr="00712539">
        <w:rPr>
          <w:rFonts w:ascii="Book Antiqua" w:hAnsi="Book Antiqua"/>
          <w:sz w:val="24"/>
          <w:szCs w:val="24"/>
          <w:lang w:val="en-US"/>
        </w:rPr>
        <w:t xml:space="preserve"> </w:t>
      </w:r>
      <w:r w:rsidRPr="00712539">
        <w:rPr>
          <w:rFonts w:ascii="Book Antiqua" w:hAnsi="Book Antiqua"/>
          <w:sz w:val="24"/>
          <w:szCs w:val="24"/>
          <w:lang w:val="en-US"/>
        </w:rPr>
        <w:t xml:space="preserve">half-therapeutic dosages of LMWH should be considered for patients with advanced pancreatic cancer in the first three months of chemotherapy. </w:t>
      </w:r>
    </w:p>
    <w:p w14:paraId="38A9BC23" w14:textId="77777777" w:rsidR="004F0B9C" w:rsidRPr="00712539" w:rsidRDefault="004F0B9C" w:rsidP="0093109B">
      <w:pPr>
        <w:spacing w:after="0" w:line="360" w:lineRule="auto"/>
        <w:jc w:val="both"/>
        <w:rPr>
          <w:rFonts w:ascii="Book Antiqua" w:hAnsi="Book Antiqua"/>
          <w:sz w:val="24"/>
          <w:szCs w:val="24"/>
          <w:lang w:val="en-US"/>
        </w:rPr>
      </w:pPr>
    </w:p>
    <w:p w14:paraId="62A35F9B" w14:textId="77777777" w:rsidR="004F0B9C" w:rsidRPr="00712539" w:rsidRDefault="004F0B9C" w:rsidP="0093109B">
      <w:pPr>
        <w:spacing w:after="0" w:line="360" w:lineRule="auto"/>
        <w:jc w:val="both"/>
        <w:rPr>
          <w:rFonts w:ascii="Book Antiqua" w:hAnsi="Book Antiqua"/>
          <w:b/>
          <w:i/>
          <w:sz w:val="24"/>
          <w:szCs w:val="24"/>
          <w:lang w:val="en-US"/>
        </w:rPr>
      </w:pPr>
      <w:r w:rsidRPr="00712539">
        <w:rPr>
          <w:rFonts w:ascii="Book Antiqua" w:hAnsi="Book Antiqua"/>
          <w:b/>
          <w:i/>
          <w:sz w:val="24"/>
          <w:szCs w:val="24"/>
          <w:lang w:val="en-US"/>
        </w:rPr>
        <w:t>VTE risk and new drugs</w:t>
      </w:r>
    </w:p>
    <w:p w14:paraId="3097B5CB" w14:textId="3C07B814" w:rsidR="004F0B9C" w:rsidRPr="00712539" w:rsidRDefault="004F0B9C" w:rsidP="0093109B">
      <w:pPr>
        <w:spacing w:after="0" w:line="360" w:lineRule="auto"/>
        <w:jc w:val="both"/>
        <w:rPr>
          <w:rFonts w:ascii="Book Antiqua" w:hAnsi="Book Antiqua"/>
          <w:sz w:val="24"/>
          <w:szCs w:val="24"/>
          <w:lang w:val="en-US"/>
        </w:rPr>
      </w:pPr>
      <w:r w:rsidRPr="00712539">
        <w:rPr>
          <w:rFonts w:ascii="Book Antiqua" w:hAnsi="Book Antiqua"/>
          <w:sz w:val="24"/>
          <w:szCs w:val="24"/>
          <w:lang w:val="en-US"/>
        </w:rPr>
        <w:t>The introduction of new drugs which target angiogenesis, tumor stroma or immunity in gastrointestinal cancer medicine led to</w:t>
      </w:r>
      <w:r w:rsidR="00451163" w:rsidRPr="00712539">
        <w:rPr>
          <w:rFonts w:ascii="Book Antiqua" w:hAnsi="Book Antiqua"/>
          <w:sz w:val="24"/>
          <w:szCs w:val="24"/>
          <w:lang w:val="en-US"/>
        </w:rPr>
        <w:t xml:space="preserve"> </w:t>
      </w:r>
      <w:r w:rsidRPr="00712539">
        <w:rPr>
          <w:rFonts w:ascii="Book Antiqua" w:hAnsi="Book Antiqua"/>
          <w:sz w:val="24"/>
          <w:szCs w:val="24"/>
          <w:lang w:val="en-US"/>
        </w:rPr>
        <w:t>the realization that</w:t>
      </w:r>
      <w:r w:rsidR="00451163" w:rsidRPr="00712539">
        <w:rPr>
          <w:rFonts w:ascii="Book Antiqua" w:hAnsi="Book Antiqua"/>
          <w:sz w:val="24"/>
          <w:szCs w:val="24"/>
          <w:lang w:val="en-US"/>
        </w:rPr>
        <w:t xml:space="preserve"> </w:t>
      </w:r>
      <w:r w:rsidRPr="00712539">
        <w:rPr>
          <w:rFonts w:ascii="Book Antiqua" w:hAnsi="Book Antiqua"/>
          <w:sz w:val="24"/>
          <w:szCs w:val="24"/>
          <w:lang w:val="en-US"/>
        </w:rPr>
        <w:t>individual VTE risk may be strongly influenced by the drugs. For example, the introduction of bevacizumab for the treatment of advanced colorectal cancer not only resulted in a clinically relevant increase in bleeding, but</w:t>
      </w:r>
      <w:r w:rsidR="00451163" w:rsidRPr="00712539">
        <w:rPr>
          <w:rFonts w:ascii="Book Antiqua" w:hAnsi="Book Antiqua"/>
          <w:sz w:val="24"/>
          <w:szCs w:val="24"/>
          <w:lang w:val="en-US"/>
        </w:rPr>
        <w:t xml:space="preserve"> </w:t>
      </w:r>
      <w:r w:rsidRPr="00712539">
        <w:rPr>
          <w:rFonts w:ascii="Book Antiqua" w:hAnsi="Book Antiqua"/>
          <w:sz w:val="24"/>
          <w:szCs w:val="24"/>
          <w:lang w:val="en-US"/>
        </w:rPr>
        <w:t>in throm</w:t>
      </w:r>
      <w:r w:rsidR="00B843E7" w:rsidRPr="00712539">
        <w:rPr>
          <w:rFonts w:ascii="Book Antiqua" w:hAnsi="Book Antiqua"/>
          <w:sz w:val="24"/>
          <w:szCs w:val="24"/>
          <w:lang w:val="en-US"/>
        </w:rPr>
        <w:t xml:space="preserve">boembolic complications as </w:t>
      </w:r>
      <w:proofErr w:type="gramStart"/>
      <w:r w:rsidR="00B843E7" w:rsidRPr="00712539">
        <w:rPr>
          <w:rFonts w:ascii="Book Antiqua" w:hAnsi="Book Antiqua"/>
          <w:sz w:val="24"/>
          <w:szCs w:val="24"/>
          <w:lang w:val="en-US"/>
        </w:rPr>
        <w:t>well</w:t>
      </w:r>
      <w:r w:rsidRPr="00712539">
        <w:rPr>
          <w:rFonts w:ascii="Book Antiqua" w:hAnsi="Book Antiqua"/>
          <w:sz w:val="24"/>
          <w:szCs w:val="24"/>
          <w:vertAlign w:val="superscript"/>
          <w:lang w:val="en-US"/>
        </w:rPr>
        <w:t>[</w:t>
      </w:r>
      <w:proofErr w:type="gramEnd"/>
      <w:r w:rsidRPr="00712539">
        <w:rPr>
          <w:rFonts w:ascii="Book Antiqua" w:hAnsi="Book Antiqua" w:cs="Calibri"/>
          <w:sz w:val="24"/>
          <w:szCs w:val="24"/>
          <w:vertAlign w:val="superscript"/>
          <w:lang w:val="en-US"/>
        </w:rPr>
        <w:t>75,77,78</w:t>
      </w:r>
      <w:r w:rsidRPr="00712539">
        <w:rPr>
          <w:rFonts w:ascii="Book Antiqua" w:hAnsi="Book Antiqua"/>
          <w:sz w:val="24"/>
          <w:szCs w:val="24"/>
          <w:vertAlign w:val="superscript"/>
          <w:lang w:val="en-US"/>
        </w:rPr>
        <w:t>]</w:t>
      </w:r>
      <w:r w:rsidRPr="00712539">
        <w:rPr>
          <w:rFonts w:ascii="Book Antiqua" w:hAnsi="Book Antiqua"/>
          <w:sz w:val="24"/>
          <w:szCs w:val="24"/>
          <w:lang w:val="en-US"/>
        </w:rPr>
        <w:t xml:space="preserve">. </w:t>
      </w:r>
    </w:p>
    <w:p w14:paraId="47260995" w14:textId="2D70E6CE" w:rsidR="004F0B9C" w:rsidRPr="00712539" w:rsidRDefault="004F0B9C" w:rsidP="00B843E7">
      <w:pPr>
        <w:spacing w:after="0" w:line="360" w:lineRule="auto"/>
        <w:ind w:firstLineChars="100" w:firstLine="240"/>
        <w:jc w:val="both"/>
        <w:rPr>
          <w:rFonts w:ascii="Book Antiqua" w:hAnsi="Book Antiqua"/>
          <w:sz w:val="24"/>
          <w:szCs w:val="24"/>
          <w:lang w:val="en-US"/>
        </w:rPr>
      </w:pPr>
      <w:r w:rsidRPr="00712539">
        <w:rPr>
          <w:rFonts w:ascii="Book Antiqua" w:hAnsi="Book Antiqua"/>
          <w:sz w:val="24"/>
          <w:szCs w:val="24"/>
          <w:lang w:val="en-US"/>
        </w:rPr>
        <w:t>Moreover, drug-associated VTE may become an important factor limiting further cancer therapy development. At the ASCO meetin</w:t>
      </w:r>
      <w:r w:rsidR="00B843E7" w:rsidRPr="00712539">
        <w:rPr>
          <w:rFonts w:ascii="Book Antiqua" w:hAnsi="Book Antiqua"/>
          <w:sz w:val="24"/>
          <w:szCs w:val="24"/>
          <w:lang w:val="en-US"/>
        </w:rPr>
        <w:t>g in May 2015, Hingorani</w:t>
      </w:r>
      <w:r w:rsidR="00B843E7" w:rsidRPr="00712539">
        <w:rPr>
          <w:rFonts w:ascii="Book Antiqua" w:hAnsi="Book Antiqua"/>
          <w:i/>
          <w:sz w:val="24"/>
          <w:szCs w:val="24"/>
          <w:lang w:val="en-US"/>
        </w:rPr>
        <w:t xml:space="preserve"> et </w:t>
      </w:r>
      <w:proofErr w:type="gramStart"/>
      <w:r w:rsidR="00B843E7" w:rsidRPr="00712539">
        <w:rPr>
          <w:rFonts w:ascii="Book Antiqua" w:hAnsi="Book Antiqua"/>
          <w:i/>
          <w:sz w:val="24"/>
          <w:szCs w:val="24"/>
          <w:lang w:val="en-US"/>
        </w:rPr>
        <w:t>al</w:t>
      </w:r>
      <w:r w:rsidRPr="00712539">
        <w:rPr>
          <w:rFonts w:ascii="Book Antiqua" w:hAnsi="Book Antiqua" w:cs="Calibri"/>
          <w:sz w:val="24"/>
          <w:szCs w:val="24"/>
          <w:vertAlign w:val="superscript"/>
          <w:lang w:val="en-US"/>
        </w:rPr>
        <w:t>[</w:t>
      </w:r>
      <w:proofErr w:type="gramEnd"/>
      <w:r w:rsidRPr="00712539">
        <w:rPr>
          <w:rFonts w:ascii="Book Antiqua" w:hAnsi="Book Antiqua" w:cs="Calibri"/>
          <w:sz w:val="24"/>
          <w:szCs w:val="24"/>
          <w:vertAlign w:val="superscript"/>
          <w:lang w:val="en-US"/>
        </w:rPr>
        <w:t>79]</w:t>
      </w:r>
      <w:r w:rsidRPr="00712539">
        <w:rPr>
          <w:rFonts w:ascii="Book Antiqua" w:hAnsi="Book Antiqua"/>
          <w:sz w:val="24"/>
          <w:szCs w:val="24"/>
          <w:lang w:val="en-US"/>
        </w:rPr>
        <w:t xml:space="preserve"> presented</w:t>
      </w:r>
      <w:r w:rsidR="00451163" w:rsidRPr="00712539">
        <w:rPr>
          <w:rFonts w:ascii="Book Antiqua" w:hAnsi="Book Antiqua"/>
          <w:sz w:val="24"/>
          <w:szCs w:val="24"/>
          <w:lang w:val="en-US"/>
        </w:rPr>
        <w:t xml:space="preserve"> </w:t>
      </w:r>
      <w:r w:rsidRPr="00712539">
        <w:rPr>
          <w:rFonts w:ascii="Book Antiqua" w:hAnsi="Book Antiqua"/>
          <w:sz w:val="24"/>
          <w:szCs w:val="24"/>
          <w:lang w:val="en-US"/>
        </w:rPr>
        <w:t>a phase II trial in pancreatic cancer patients treated with gemcitabine, nab-paclitaxel</w:t>
      </w:r>
      <w:r w:rsidR="00451163" w:rsidRPr="00712539">
        <w:rPr>
          <w:rFonts w:ascii="Book Antiqua" w:hAnsi="Book Antiqua"/>
          <w:sz w:val="24"/>
          <w:szCs w:val="24"/>
          <w:lang w:val="en-US"/>
        </w:rPr>
        <w:t xml:space="preserve"> </w:t>
      </w:r>
      <w:r w:rsidRPr="00712539">
        <w:rPr>
          <w:rFonts w:ascii="Book Antiqua" w:hAnsi="Book Antiqua"/>
          <w:sz w:val="24"/>
          <w:szCs w:val="24"/>
          <w:lang w:val="en-US"/>
        </w:rPr>
        <w:t xml:space="preserve">and recombinant pegylated hyaluronidase </w:t>
      </w:r>
      <w:r w:rsidR="00D36884">
        <w:rPr>
          <w:rFonts w:ascii="Book Antiqua" w:hAnsi="Book Antiqua" w:hint="eastAsia"/>
          <w:sz w:val="24"/>
          <w:szCs w:val="24"/>
          <w:lang w:val="en-US" w:eastAsia="zh-CN"/>
        </w:rPr>
        <w:t>-</w:t>
      </w:r>
      <w:r w:rsidRPr="00712539">
        <w:rPr>
          <w:rFonts w:ascii="Book Antiqua" w:hAnsi="Book Antiqua"/>
          <w:sz w:val="24"/>
          <w:szCs w:val="24"/>
          <w:lang w:val="en-US"/>
        </w:rPr>
        <w:t xml:space="preserve"> an experimental drug </w:t>
      </w:r>
      <w:r w:rsidR="00B843E7" w:rsidRPr="00712539">
        <w:rPr>
          <w:rFonts w:ascii="Book Antiqua" w:hAnsi="Book Antiqua"/>
          <w:sz w:val="24"/>
          <w:szCs w:val="24"/>
          <w:lang w:val="en-US" w:eastAsia="zh-CN"/>
        </w:rPr>
        <w:t>-</w:t>
      </w:r>
      <w:r w:rsidRPr="00712539">
        <w:rPr>
          <w:rFonts w:ascii="Book Antiqua" w:hAnsi="Book Antiqua"/>
          <w:sz w:val="24"/>
          <w:szCs w:val="24"/>
          <w:lang w:val="en-US"/>
        </w:rPr>
        <w:t xml:space="preserve"> which had to be stopped due to high numbers of VTEs. A prophylactic dose of LMWH (40 mg enoxaparin/d) was not effective, but the use of half therapeutic doses of enoxaparin (1</w:t>
      </w:r>
      <w:r w:rsidR="00264574">
        <w:rPr>
          <w:rFonts w:ascii="Book Antiqua" w:hAnsi="Book Antiqua" w:hint="eastAsia"/>
          <w:sz w:val="24"/>
          <w:szCs w:val="24"/>
          <w:lang w:val="en-US" w:eastAsia="zh-CN"/>
        </w:rPr>
        <w:t xml:space="preserve"> </w:t>
      </w:r>
      <w:r w:rsidRPr="00712539">
        <w:rPr>
          <w:rFonts w:ascii="Book Antiqua" w:hAnsi="Book Antiqua"/>
          <w:sz w:val="24"/>
          <w:szCs w:val="24"/>
          <w:lang w:val="en-US"/>
        </w:rPr>
        <w:t>mg enoxaparin/kg</w:t>
      </w:r>
      <w:r w:rsidR="00B843E7" w:rsidRPr="00712539">
        <w:rPr>
          <w:rFonts w:ascii="Book Antiqua" w:hAnsi="Book Antiqua"/>
          <w:sz w:val="24"/>
          <w:szCs w:val="24"/>
          <w:lang w:val="en-US" w:eastAsia="zh-CN"/>
        </w:rPr>
        <w:t xml:space="preserve"> per </w:t>
      </w:r>
      <w:r w:rsidR="00B843E7" w:rsidRPr="00712539">
        <w:rPr>
          <w:rFonts w:ascii="Book Antiqua" w:hAnsi="Book Antiqua"/>
          <w:sz w:val="24"/>
          <w:szCs w:val="24"/>
          <w:lang w:val="en-US"/>
        </w:rPr>
        <w:t>d</w:t>
      </w:r>
      <w:r w:rsidR="00B843E7" w:rsidRPr="00712539">
        <w:rPr>
          <w:rFonts w:ascii="Book Antiqua" w:hAnsi="Book Antiqua"/>
          <w:sz w:val="24"/>
          <w:szCs w:val="24"/>
          <w:lang w:val="en-US" w:eastAsia="zh-CN"/>
        </w:rPr>
        <w:t>ay</w:t>
      </w:r>
      <w:r w:rsidRPr="00712539">
        <w:rPr>
          <w:rFonts w:ascii="Book Antiqua" w:hAnsi="Book Antiqua"/>
          <w:sz w:val="24"/>
          <w:szCs w:val="24"/>
          <w:lang w:val="en-US"/>
        </w:rPr>
        <w:t>) allowed the</w:t>
      </w:r>
      <w:r w:rsidR="00451163" w:rsidRPr="00712539">
        <w:rPr>
          <w:rFonts w:ascii="Book Antiqua" w:hAnsi="Book Antiqua"/>
          <w:sz w:val="24"/>
          <w:szCs w:val="24"/>
          <w:lang w:val="en-US"/>
        </w:rPr>
        <w:t xml:space="preserve"> </w:t>
      </w:r>
      <w:r w:rsidRPr="00712539">
        <w:rPr>
          <w:rFonts w:ascii="Book Antiqua" w:hAnsi="Book Antiqua"/>
          <w:sz w:val="24"/>
          <w:szCs w:val="24"/>
          <w:lang w:val="en-US"/>
        </w:rPr>
        <w:t>continuation of the study.</w:t>
      </w:r>
    </w:p>
    <w:p w14:paraId="194A74FE" w14:textId="4F489D81" w:rsidR="004F0B9C" w:rsidRPr="00712539" w:rsidRDefault="00B843E7" w:rsidP="0093109B">
      <w:pPr>
        <w:spacing w:after="0" w:line="360" w:lineRule="auto"/>
        <w:jc w:val="both"/>
        <w:rPr>
          <w:rFonts w:ascii="Book Antiqua" w:hAnsi="Book Antiqua"/>
          <w:sz w:val="24"/>
          <w:szCs w:val="24"/>
          <w:lang w:val="en-US"/>
        </w:rPr>
      </w:pPr>
      <w:r w:rsidRPr="00712539">
        <w:rPr>
          <w:rFonts w:ascii="Book Antiqua" w:hAnsi="Book Antiqua"/>
          <w:sz w:val="24"/>
          <w:szCs w:val="24"/>
          <w:lang w:val="en-US"/>
        </w:rPr>
        <w:t xml:space="preserve"> </w:t>
      </w:r>
    </w:p>
    <w:p w14:paraId="689F14A3" w14:textId="3DCC2CB7" w:rsidR="004F0B9C" w:rsidRPr="00712539" w:rsidRDefault="00B843E7" w:rsidP="0093109B">
      <w:pPr>
        <w:spacing w:after="0" w:line="360" w:lineRule="auto"/>
        <w:jc w:val="both"/>
        <w:rPr>
          <w:rFonts w:ascii="Book Antiqua" w:hAnsi="Book Antiqua"/>
          <w:b/>
          <w:sz w:val="24"/>
          <w:szCs w:val="24"/>
          <w:lang w:val="en-US"/>
        </w:rPr>
      </w:pPr>
      <w:r w:rsidRPr="00712539">
        <w:rPr>
          <w:rFonts w:ascii="Book Antiqua" w:hAnsi="Book Antiqua"/>
          <w:b/>
          <w:sz w:val="24"/>
          <w:szCs w:val="24"/>
          <w:lang w:val="en-US"/>
        </w:rPr>
        <w:t>TREATMENT OF ACUTE VTE IN CANCER PATIENTS</w:t>
      </w:r>
    </w:p>
    <w:p w14:paraId="39E7AFEB" w14:textId="4FCC8243" w:rsidR="004F0B9C" w:rsidRPr="00712539" w:rsidRDefault="004F0B9C" w:rsidP="0093109B">
      <w:pPr>
        <w:spacing w:after="0" w:line="360" w:lineRule="auto"/>
        <w:jc w:val="both"/>
        <w:rPr>
          <w:rFonts w:ascii="Book Antiqua" w:hAnsi="Book Antiqua"/>
          <w:sz w:val="24"/>
          <w:szCs w:val="24"/>
          <w:lang w:val="en-US"/>
        </w:rPr>
      </w:pPr>
      <w:r w:rsidRPr="00712539">
        <w:rPr>
          <w:rFonts w:ascii="Book Antiqua" w:hAnsi="Book Antiqua"/>
          <w:sz w:val="24"/>
          <w:szCs w:val="24"/>
          <w:lang w:val="en-US"/>
        </w:rPr>
        <w:t>The treatment of patients with active cancer and acute VTE with the standard treatment for non-cancer VTE patients (LMWH or FPX plus concurrent introduction of anticoagulation</w:t>
      </w:r>
      <w:r w:rsidR="00451163" w:rsidRPr="00712539">
        <w:rPr>
          <w:rFonts w:ascii="Book Antiqua" w:hAnsi="Book Antiqua"/>
          <w:sz w:val="24"/>
          <w:szCs w:val="24"/>
          <w:lang w:val="en-US"/>
        </w:rPr>
        <w:t xml:space="preserve"> </w:t>
      </w:r>
      <w:r w:rsidRPr="00712539">
        <w:rPr>
          <w:rFonts w:ascii="Book Antiqua" w:hAnsi="Book Antiqua"/>
          <w:sz w:val="24"/>
          <w:szCs w:val="24"/>
          <w:lang w:val="en-US"/>
        </w:rPr>
        <w:t>with VKA) resulted in a two- to three</w:t>
      </w:r>
      <w:r w:rsidR="00B843E7" w:rsidRPr="00712539">
        <w:rPr>
          <w:rFonts w:ascii="Book Antiqua" w:hAnsi="Book Antiqua"/>
          <w:sz w:val="24"/>
          <w:szCs w:val="24"/>
          <w:lang w:val="en-US" w:eastAsia="zh-CN"/>
        </w:rPr>
        <w:t>-</w:t>
      </w:r>
      <w:r w:rsidRPr="00712539">
        <w:rPr>
          <w:rFonts w:ascii="Book Antiqua" w:hAnsi="Book Antiqua"/>
          <w:sz w:val="24"/>
          <w:szCs w:val="24"/>
          <w:lang w:val="en-US"/>
        </w:rPr>
        <w:t>fold increase of both re-thrombosis and bl</w:t>
      </w:r>
      <w:r w:rsidR="00B843E7" w:rsidRPr="00712539">
        <w:rPr>
          <w:rFonts w:ascii="Book Antiqua" w:hAnsi="Book Antiqua"/>
          <w:sz w:val="24"/>
          <w:szCs w:val="24"/>
          <w:lang w:val="en-US"/>
        </w:rPr>
        <w:t>eeding</w:t>
      </w:r>
      <w:r w:rsidRPr="00712539">
        <w:rPr>
          <w:rFonts w:ascii="Book Antiqua" w:hAnsi="Book Antiqua" w:cs="Calibri"/>
          <w:sz w:val="24"/>
          <w:szCs w:val="24"/>
          <w:vertAlign w:val="superscript"/>
          <w:lang w:val="en-US"/>
        </w:rPr>
        <w:t>[17,18]</w:t>
      </w:r>
      <w:r w:rsidRPr="00712539">
        <w:rPr>
          <w:rFonts w:ascii="Book Antiqua" w:hAnsi="Book Antiqua"/>
          <w:sz w:val="24"/>
          <w:szCs w:val="24"/>
          <w:lang w:val="en-US"/>
        </w:rPr>
        <w:t>.</w:t>
      </w:r>
      <w:r w:rsidR="00451163" w:rsidRPr="00712539">
        <w:rPr>
          <w:rFonts w:ascii="Book Antiqua" w:hAnsi="Book Antiqua"/>
          <w:sz w:val="24"/>
          <w:szCs w:val="24"/>
          <w:lang w:val="en-US"/>
        </w:rPr>
        <w:t xml:space="preserve"> </w:t>
      </w:r>
      <w:r w:rsidRPr="00712539">
        <w:rPr>
          <w:rFonts w:ascii="Book Antiqua" w:hAnsi="Book Antiqua"/>
          <w:sz w:val="24"/>
          <w:szCs w:val="24"/>
          <w:lang w:val="en-US"/>
        </w:rPr>
        <w:t>Several randomized controlled trials compared prolonged application of LMWH to oral anticoagulation with VKA in patients with cancer-associated thrombosis (CAT) and demonstrated superior efficacy of LMWH with no increase in bleeding complications (Table 5), res</w:t>
      </w:r>
      <w:r w:rsidR="00B843E7" w:rsidRPr="00712539">
        <w:rPr>
          <w:rFonts w:ascii="Book Antiqua" w:hAnsi="Book Antiqua"/>
          <w:sz w:val="24"/>
          <w:szCs w:val="24"/>
          <w:lang w:val="en-US"/>
        </w:rPr>
        <w:t>ults confirmed by meta-analysis</w:t>
      </w:r>
      <w:r w:rsidRPr="00712539">
        <w:rPr>
          <w:rFonts w:ascii="Book Antiqua" w:hAnsi="Book Antiqua" w:cs="Calibri"/>
          <w:sz w:val="24"/>
          <w:szCs w:val="24"/>
          <w:vertAlign w:val="superscript"/>
          <w:lang w:val="en-US"/>
        </w:rPr>
        <w:t>[18,19,80,81]</w:t>
      </w:r>
      <w:r w:rsidRPr="00712539">
        <w:rPr>
          <w:rFonts w:ascii="Book Antiqua" w:hAnsi="Book Antiqua"/>
          <w:sz w:val="24"/>
          <w:szCs w:val="24"/>
          <w:lang w:val="en-US"/>
        </w:rPr>
        <w:t xml:space="preserve">. Based on these results, guidelines recommend a standard treatment of three to six </w:t>
      </w:r>
      <w:r w:rsidRPr="00712539">
        <w:rPr>
          <w:rFonts w:ascii="Book Antiqua" w:hAnsi="Book Antiqua"/>
          <w:sz w:val="24"/>
          <w:szCs w:val="24"/>
          <w:lang w:val="en-US"/>
        </w:rPr>
        <w:lastRenderedPageBreak/>
        <w:t>months of weight-adjusted LMWH regardless of whether the patient suffers from gastrointestinal or another type of cancer (Table 2). The underlying malignancy, probably representing the most important risk factor for VTE, continues beyond six months after the initial VTE in most of these patients. Therefore, anticoagulation beyond this period may be warranted and is recommended in most guidelines (Table 2). Nevertheless, evidence for this recommendation is clearly weaker, as prospective randomized trials investigating type of anticoagulation, dosage of anticoagulant drugs or duration of prolonged anticoagulation have not been reported. Available data suggest that the pro-thrombotic risk correlates with disease progression due to increasing tumor load, decreasing performance status, progressive mobility reduction and increased</w:t>
      </w:r>
      <w:r w:rsidR="00B843E7" w:rsidRPr="00712539">
        <w:rPr>
          <w:rFonts w:ascii="Book Antiqua" w:hAnsi="Book Antiqua"/>
          <w:sz w:val="24"/>
          <w:szCs w:val="24"/>
          <w:lang w:val="en-US"/>
        </w:rPr>
        <w:t xml:space="preserve"> use of palliative </w:t>
      </w:r>
      <w:proofErr w:type="gramStart"/>
      <w:r w:rsidR="00B843E7" w:rsidRPr="00712539">
        <w:rPr>
          <w:rFonts w:ascii="Book Antiqua" w:hAnsi="Book Antiqua"/>
          <w:sz w:val="24"/>
          <w:szCs w:val="24"/>
          <w:lang w:val="en-US"/>
        </w:rPr>
        <w:t>chemotherapy</w:t>
      </w:r>
      <w:r w:rsidRPr="00712539">
        <w:rPr>
          <w:rFonts w:ascii="Book Antiqua" w:hAnsi="Book Antiqua" w:cs="Calibri"/>
          <w:sz w:val="24"/>
          <w:szCs w:val="24"/>
          <w:vertAlign w:val="superscript"/>
          <w:lang w:val="en-US"/>
        </w:rPr>
        <w:t>[</w:t>
      </w:r>
      <w:proofErr w:type="gramEnd"/>
      <w:r w:rsidRPr="00712539">
        <w:rPr>
          <w:rFonts w:ascii="Book Antiqua" w:hAnsi="Book Antiqua" w:cs="Calibri"/>
          <w:sz w:val="24"/>
          <w:szCs w:val="24"/>
          <w:vertAlign w:val="superscript"/>
          <w:lang w:val="en-US"/>
        </w:rPr>
        <w:t>82</w:t>
      </w:r>
      <w:r w:rsidR="00B843E7" w:rsidRPr="00712539">
        <w:rPr>
          <w:rFonts w:ascii="Book Antiqua" w:hAnsi="Book Antiqua" w:cs="Calibri"/>
          <w:sz w:val="24"/>
          <w:szCs w:val="24"/>
          <w:vertAlign w:val="superscript"/>
          <w:lang w:val="en-US" w:eastAsia="zh-CN"/>
        </w:rPr>
        <w:t>-</w:t>
      </w:r>
      <w:r w:rsidRPr="00712539">
        <w:rPr>
          <w:rFonts w:ascii="Book Antiqua" w:hAnsi="Book Antiqua" w:cs="Calibri"/>
          <w:sz w:val="24"/>
          <w:szCs w:val="24"/>
          <w:vertAlign w:val="superscript"/>
          <w:lang w:val="en-US"/>
        </w:rPr>
        <w:t>84]</w:t>
      </w:r>
      <w:r w:rsidRPr="00712539">
        <w:rPr>
          <w:rFonts w:ascii="Book Antiqua" w:hAnsi="Book Antiqua"/>
          <w:sz w:val="24"/>
          <w:szCs w:val="24"/>
          <w:lang w:val="en-US"/>
        </w:rPr>
        <w:t>. On the other hand, an increased bleeding risk, associated with progression of cancer, prolonged anticoagulation and prolonged chemotherapy needs to be considered in order to balance the benefit of preventing recurrent V</w:t>
      </w:r>
      <w:r w:rsidR="00B843E7" w:rsidRPr="00712539">
        <w:rPr>
          <w:rFonts w:ascii="Book Antiqua" w:hAnsi="Book Antiqua"/>
          <w:sz w:val="24"/>
          <w:szCs w:val="24"/>
          <w:lang w:val="en-US"/>
        </w:rPr>
        <w:t>TE against the risk of bleeding</w:t>
      </w:r>
      <w:r w:rsidRPr="00712539">
        <w:rPr>
          <w:rFonts w:ascii="Book Antiqua" w:hAnsi="Book Antiqua" w:cs="Calibri"/>
          <w:sz w:val="24"/>
          <w:szCs w:val="24"/>
          <w:vertAlign w:val="superscript"/>
          <w:lang w:val="en-US"/>
        </w:rPr>
        <w:t>[83,84]</w:t>
      </w:r>
      <w:r w:rsidRPr="00712539">
        <w:rPr>
          <w:rFonts w:ascii="Book Antiqua" w:hAnsi="Book Antiqua"/>
          <w:sz w:val="24"/>
          <w:szCs w:val="24"/>
          <w:lang w:val="en-US"/>
        </w:rPr>
        <w:t>.</w:t>
      </w:r>
      <w:r w:rsidR="00451163" w:rsidRPr="00712539">
        <w:rPr>
          <w:rFonts w:ascii="Book Antiqua" w:hAnsi="Book Antiqua"/>
          <w:sz w:val="24"/>
          <w:szCs w:val="24"/>
          <w:lang w:val="en-US"/>
        </w:rPr>
        <w:t xml:space="preserve"> </w:t>
      </w:r>
      <w:r w:rsidRPr="00712539">
        <w:rPr>
          <w:rFonts w:ascii="Book Antiqua" w:hAnsi="Book Antiqua"/>
          <w:sz w:val="24"/>
          <w:szCs w:val="24"/>
          <w:lang w:val="en-US"/>
        </w:rPr>
        <w:t xml:space="preserve">Furthermore, the impact of prolonged anticoagulation on the quality of life of cancer patients needs to be considered. </w:t>
      </w:r>
    </w:p>
    <w:p w14:paraId="0854AA22" w14:textId="77777777" w:rsidR="004F0B9C" w:rsidRPr="00712539" w:rsidRDefault="004F0B9C" w:rsidP="00B843E7">
      <w:pPr>
        <w:spacing w:after="0" w:line="360" w:lineRule="auto"/>
        <w:ind w:firstLineChars="100" w:firstLine="240"/>
        <w:jc w:val="both"/>
        <w:rPr>
          <w:rFonts w:ascii="Book Antiqua" w:hAnsi="Book Antiqua"/>
          <w:sz w:val="24"/>
          <w:szCs w:val="24"/>
          <w:lang w:val="en-US"/>
        </w:rPr>
      </w:pPr>
      <w:r w:rsidRPr="00712539">
        <w:rPr>
          <w:rFonts w:ascii="Book Antiqua" w:hAnsi="Book Antiqua"/>
          <w:sz w:val="24"/>
          <w:szCs w:val="24"/>
          <w:lang w:val="en-US"/>
        </w:rPr>
        <w:t xml:space="preserve">Although clinical guidelines (Table 2) currently recommend considering indefinite anticoagulation in patients with advanced malignancy, they do not recommend a specific anticoagulant drug due to the limited evidence available. </w:t>
      </w:r>
    </w:p>
    <w:p w14:paraId="330F9313" w14:textId="77777777" w:rsidR="004F0B9C" w:rsidRPr="00712539" w:rsidRDefault="004F0B9C" w:rsidP="0093109B">
      <w:pPr>
        <w:spacing w:after="0" w:line="360" w:lineRule="auto"/>
        <w:jc w:val="both"/>
        <w:rPr>
          <w:rFonts w:ascii="Book Antiqua" w:hAnsi="Book Antiqua"/>
          <w:i/>
          <w:sz w:val="24"/>
          <w:szCs w:val="24"/>
          <w:lang w:val="en-US"/>
        </w:rPr>
      </w:pPr>
    </w:p>
    <w:p w14:paraId="778A06A2" w14:textId="2247729D" w:rsidR="004F0B9C" w:rsidRPr="00712539" w:rsidRDefault="004F0B9C" w:rsidP="0093109B">
      <w:pPr>
        <w:spacing w:after="0" w:line="360" w:lineRule="auto"/>
        <w:jc w:val="both"/>
        <w:rPr>
          <w:rFonts w:ascii="Book Antiqua" w:hAnsi="Book Antiqua"/>
          <w:b/>
          <w:i/>
          <w:sz w:val="24"/>
          <w:szCs w:val="24"/>
          <w:lang w:val="en-US"/>
        </w:rPr>
      </w:pPr>
      <w:r w:rsidRPr="00712539">
        <w:rPr>
          <w:rFonts w:ascii="Book Antiqua" w:hAnsi="Book Antiqua"/>
          <w:b/>
          <w:i/>
          <w:sz w:val="24"/>
          <w:szCs w:val="24"/>
          <w:lang w:val="en-US"/>
        </w:rPr>
        <w:t xml:space="preserve">Treatment of acute </w:t>
      </w:r>
      <w:r w:rsidR="00B843E7" w:rsidRPr="00712539">
        <w:rPr>
          <w:rFonts w:ascii="Book Antiqua" w:hAnsi="Book Antiqua"/>
          <w:b/>
          <w:i/>
          <w:sz w:val="24"/>
          <w:szCs w:val="24"/>
          <w:lang w:val="en-US"/>
        </w:rPr>
        <w:t>PVT</w:t>
      </w:r>
    </w:p>
    <w:p w14:paraId="052D60AD" w14:textId="73D44782" w:rsidR="004F0B9C" w:rsidRPr="00712539" w:rsidRDefault="004F0B9C" w:rsidP="0093109B">
      <w:pPr>
        <w:spacing w:after="0" w:line="360" w:lineRule="auto"/>
        <w:jc w:val="both"/>
        <w:rPr>
          <w:rFonts w:ascii="Book Antiqua" w:hAnsi="Book Antiqua"/>
          <w:sz w:val="24"/>
          <w:szCs w:val="24"/>
          <w:lang w:val="en-US"/>
        </w:rPr>
      </w:pPr>
      <w:r w:rsidRPr="00712539">
        <w:rPr>
          <w:rFonts w:ascii="Book Antiqua" w:hAnsi="Book Antiqua"/>
          <w:sz w:val="24"/>
          <w:szCs w:val="24"/>
          <w:lang w:val="en-US"/>
        </w:rPr>
        <w:t xml:space="preserve">Acute thrombosis of splanchnic veins - PVT in particular </w:t>
      </w:r>
      <w:r w:rsidR="004F1F1A" w:rsidRPr="00712539">
        <w:rPr>
          <w:rFonts w:ascii="Book Antiqua" w:hAnsi="Book Antiqua"/>
          <w:sz w:val="24"/>
          <w:szCs w:val="24"/>
          <w:lang w:val="en-US" w:eastAsia="zh-CN"/>
        </w:rPr>
        <w:t>-</w:t>
      </w:r>
      <w:r w:rsidRPr="00712539">
        <w:rPr>
          <w:rFonts w:ascii="Book Antiqua" w:hAnsi="Book Antiqua"/>
          <w:sz w:val="24"/>
          <w:szCs w:val="24"/>
          <w:lang w:val="en-US"/>
        </w:rPr>
        <w:t xml:space="preserve"> is a frequent complication in patients with cancers of the h</w:t>
      </w:r>
      <w:r w:rsidR="004F1F1A" w:rsidRPr="00712539">
        <w:rPr>
          <w:rFonts w:ascii="Book Antiqua" w:hAnsi="Book Antiqua"/>
          <w:sz w:val="24"/>
          <w:szCs w:val="24"/>
          <w:lang w:val="en-US"/>
        </w:rPr>
        <w:t xml:space="preserve">epato-biliary-pancreatic </w:t>
      </w:r>
      <w:proofErr w:type="gramStart"/>
      <w:r w:rsidR="004F1F1A" w:rsidRPr="00712539">
        <w:rPr>
          <w:rFonts w:ascii="Book Antiqua" w:hAnsi="Book Antiqua"/>
          <w:sz w:val="24"/>
          <w:szCs w:val="24"/>
          <w:lang w:val="en-US"/>
        </w:rPr>
        <w:t>system</w:t>
      </w:r>
      <w:r w:rsidRPr="00712539">
        <w:rPr>
          <w:rFonts w:ascii="Book Antiqua" w:hAnsi="Book Antiqua" w:cs="Calibri"/>
          <w:sz w:val="24"/>
          <w:szCs w:val="24"/>
          <w:vertAlign w:val="superscript"/>
          <w:lang w:val="en-US"/>
        </w:rPr>
        <w:t>[</w:t>
      </w:r>
      <w:proofErr w:type="gramEnd"/>
      <w:r w:rsidRPr="00712539">
        <w:rPr>
          <w:rFonts w:ascii="Book Antiqua" w:hAnsi="Book Antiqua" w:cs="Calibri"/>
          <w:sz w:val="24"/>
          <w:szCs w:val="24"/>
          <w:vertAlign w:val="superscript"/>
          <w:lang w:val="en-US"/>
        </w:rPr>
        <w:t>23,85]</w:t>
      </w:r>
      <w:r w:rsidRPr="00712539">
        <w:rPr>
          <w:rFonts w:ascii="Book Antiqua" w:hAnsi="Book Antiqua"/>
          <w:sz w:val="24"/>
          <w:szCs w:val="24"/>
          <w:lang w:val="en-US"/>
        </w:rPr>
        <w:t>. PVT results in portal hypertension and impairment of liver perfusion. Spread of thrombosis to splenic or mesenteric veins can result in fatal complications such as splenic or intestinal infarction. Anticoagulation is the therapy of choice in non-cirrhotic, non-cancer patients, with successful recanalization i</w:t>
      </w:r>
      <w:r w:rsidR="004F1F1A" w:rsidRPr="00712539">
        <w:rPr>
          <w:rFonts w:ascii="Book Antiqua" w:hAnsi="Book Antiqua"/>
          <w:sz w:val="24"/>
          <w:szCs w:val="24"/>
          <w:lang w:val="en-US"/>
        </w:rPr>
        <w:t xml:space="preserve">n about half of acute PVT </w:t>
      </w:r>
      <w:proofErr w:type="gramStart"/>
      <w:r w:rsidR="004F1F1A" w:rsidRPr="00712539">
        <w:rPr>
          <w:rFonts w:ascii="Book Antiqua" w:hAnsi="Book Antiqua"/>
          <w:sz w:val="24"/>
          <w:szCs w:val="24"/>
          <w:lang w:val="en-US"/>
        </w:rPr>
        <w:t>cases</w:t>
      </w:r>
      <w:r w:rsidRPr="00712539">
        <w:rPr>
          <w:rFonts w:ascii="Book Antiqua" w:hAnsi="Book Antiqua" w:cs="Calibri"/>
          <w:sz w:val="24"/>
          <w:szCs w:val="24"/>
          <w:vertAlign w:val="superscript"/>
          <w:lang w:val="en-US"/>
        </w:rPr>
        <w:t>[</w:t>
      </w:r>
      <w:proofErr w:type="gramEnd"/>
      <w:r w:rsidRPr="00712539">
        <w:rPr>
          <w:rFonts w:ascii="Book Antiqua" w:hAnsi="Book Antiqua" w:cs="Calibri"/>
          <w:sz w:val="24"/>
          <w:szCs w:val="24"/>
          <w:vertAlign w:val="superscript"/>
          <w:lang w:val="en-US"/>
        </w:rPr>
        <w:t>86,87]</w:t>
      </w:r>
      <w:r w:rsidRPr="00712539">
        <w:rPr>
          <w:rFonts w:ascii="Book Antiqua" w:hAnsi="Book Antiqua"/>
          <w:sz w:val="24"/>
          <w:szCs w:val="24"/>
          <w:lang w:val="en-US"/>
        </w:rPr>
        <w:t>. Anticoagulation is considered in patients with cirrhosis and PVT with a small inc</w:t>
      </w:r>
      <w:r w:rsidR="004F1F1A" w:rsidRPr="00712539">
        <w:rPr>
          <w:rFonts w:ascii="Book Antiqua" w:hAnsi="Book Antiqua"/>
          <w:sz w:val="24"/>
          <w:szCs w:val="24"/>
          <w:lang w:val="en-US"/>
        </w:rPr>
        <w:t xml:space="preserve">rease in bleeding </w:t>
      </w:r>
      <w:proofErr w:type="gramStart"/>
      <w:r w:rsidR="004F1F1A" w:rsidRPr="00712539">
        <w:rPr>
          <w:rFonts w:ascii="Book Antiqua" w:hAnsi="Book Antiqua"/>
          <w:sz w:val="24"/>
          <w:szCs w:val="24"/>
          <w:lang w:val="en-US"/>
        </w:rPr>
        <w:t>complications</w:t>
      </w:r>
      <w:r w:rsidRPr="00712539">
        <w:rPr>
          <w:rFonts w:ascii="Book Antiqua" w:hAnsi="Book Antiqua" w:cs="Calibri"/>
          <w:sz w:val="24"/>
          <w:szCs w:val="24"/>
          <w:vertAlign w:val="superscript"/>
          <w:lang w:val="en-US"/>
        </w:rPr>
        <w:t>[</w:t>
      </w:r>
      <w:proofErr w:type="gramEnd"/>
      <w:r w:rsidRPr="00712539">
        <w:rPr>
          <w:rFonts w:ascii="Book Antiqua" w:hAnsi="Book Antiqua" w:cs="Calibri"/>
          <w:sz w:val="24"/>
          <w:szCs w:val="24"/>
          <w:vertAlign w:val="superscript"/>
          <w:lang w:val="en-US"/>
        </w:rPr>
        <w:t>86]</w:t>
      </w:r>
      <w:r w:rsidRPr="00712539">
        <w:rPr>
          <w:rFonts w:ascii="Book Antiqua" w:hAnsi="Book Antiqua"/>
          <w:sz w:val="24"/>
          <w:szCs w:val="24"/>
          <w:lang w:val="en-US"/>
        </w:rPr>
        <w:t xml:space="preserve">, and can safely be combined with placement of transjugular </w:t>
      </w:r>
      <w:r w:rsidRPr="00712539">
        <w:rPr>
          <w:rFonts w:ascii="Book Antiqua" w:hAnsi="Book Antiqua"/>
          <w:sz w:val="24"/>
          <w:szCs w:val="24"/>
          <w:lang w:val="en-US"/>
        </w:rPr>
        <w:lastRenderedPageBreak/>
        <w:t>in</w:t>
      </w:r>
      <w:r w:rsidR="004F1F1A" w:rsidRPr="00712539">
        <w:rPr>
          <w:rFonts w:ascii="Book Antiqua" w:hAnsi="Book Antiqua"/>
          <w:sz w:val="24"/>
          <w:szCs w:val="24"/>
          <w:lang w:val="en-US"/>
        </w:rPr>
        <w:t>trahepatic portosystemic shunts</w:t>
      </w:r>
      <w:r w:rsidRPr="00712539">
        <w:rPr>
          <w:rFonts w:ascii="Book Antiqua" w:hAnsi="Book Antiqua" w:cs="Calibri"/>
          <w:sz w:val="24"/>
          <w:szCs w:val="24"/>
          <w:vertAlign w:val="superscript"/>
          <w:lang w:val="en-US"/>
        </w:rPr>
        <w:t>[87]</w:t>
      </w:r>
      <w:r w:rsidRPr="00712539">
        <w:rPr>
          <w:rFonts w:ascii="Book Antiqua" w:hAnsi="Book Antiqua"/>
          <w:sz w:val="24"/>
          <w:szCs w:val="24"/>
          <w:lang w:val="en-US"/>
        </w:rPr>
        <w:t xml:space="preserve">. Unfortunately cancer patients, </w:t>
      </w:r>
      <w:r w:rsidRPr="00712539">
        <w:rPr>
          <w:rFonts w:ascii="Book Antiqua" w:hAnsi="Book Antiqua"/>
          <w:i/>
          <w:sz w:val="24"/>
          <w:szCs w:val="24"/>
          <w:lang w:val="en-US"/>
        </w:rPr>
        <w:t>e.g</w:t>
      </w:r>
      <w:r w:rsidRPr="00712539">
        <w:rPr>
          <w:rFonts w:ascii="Book Antiqua" w:hAnsi="Book Antiqua"/>
          <w:sz w:val="24"/>
          <w:szCs w:val="24"/>
          <w:lang w:val="en-US"/>
        </w:rPr>
        <w:t>.</w:t>
      </w:r>
      <w:r w:rsidR="004F1F1A" w:rsidRPr="00712539">
        <w:rPr>
          <w:rFonts w:ascii="Book Antiqua" w:hAnsi="Book Antiqua"/>
          <w:sz w:val="24"/>
          <w:szCs w:val="24"/>
          <w:lang w:val="en-US" w:eastAsia="zh-CN"/>
        </w:rPr>
        <w:t>,</w:t>
      </w:r>
      <w:r w:rsidRPr="00712539">
        <w:rPr>
          <w:rFonts w:ascii="Book Antiqua" w:hAnsi="Book Antiqua"/>
          <w:sz w:val="24"/>
          <w:szCs w:val="24"/>
          <w:lang w:val="en-US"/>
        </w:rPr>
        <w:t xml:space="preserve"> those with gastrointestinal cancers,</w:t>
      </w:r>
      <w:r w:rsidR="00451163" w:rsidRPr="00712539">
        <w:rPr>
          <w:rFonts w:ascii="Book Antiqua" w:hAnsi="Book Antiqua"/>
          <w:sz w:val="24"/>
          <w:szCs w:val="24"/>
          <w:lang w:val="en-US"/>
        </w:rPr>
        <w:t xml:space="preserve"> </w:t>
      </w:r>
      <w:r w:rsidR="004F1F1A" w:rsidRPr="00712539">
        <w:rPr>
          <w:rFonts w:ascii="Book Antiqua" w:hAnsi="Book Antiqua"/>
          <w:sz w:val="24"/>
          <w:szCs w:val="24"/>
          <w:lang w:val="en-US"/>
        </w:rPr>
        <w:t xml:space="preserve">were excluded from these </w:t>
      </w:r>
      <w:proofErr w:type="gramStart"/>
      <w:r w:rsidR="004F1F1A" w:rsidRPr="00712539">
        <w:rPr>
          <w:rFonts w:ascii="Book Antiqua" w:hAnsi="Book Antiqua"/>
          <w:sz w:val="24"/>
          <w:szCs w:val="24"/>
          <w:lang w:val="en-US"/>
        </w:rPr>
        <w:t>trials</w:t>
      </w:r>
      <w:r w:rsidRPr="00712539">
        <w:rPr>
          <w:rFonts w:ascii="Book Antiqua" w:hAnsi="Book Antiqua" w:cs="Calibri"/>
          <w:sz w:val="24"/>
          <w:szCs w:val="24"/>
          <w:vertAlign w:val="superscript"/>
          <w:lang w:val="en-US"/>
        </w:rPr>
        <w:t>[</w:t>
      </w:r>
      <w:proofErr w:type="gramEnd"/>
      <w:r w:rsidRPr="00712539">
        <w:rPr>
          <w:rFonts w:ascii="Book Antiqua" w:hAnsi="Book Antiqua" w:cs="Calibri"/>
          <w:sz w:val="24"/>
          <w:szCs w:val="24"/>
          <w:vertAlign w:val="superscript"/>
          <w:lang w:val="en-US"/>
        </w:rPr>
        <w:t>86,87]</w:t>
      </w:r>
      <w:r w:rsidRPr="00712539">
        <w:rPr>
          <w:rFonts w:ascii="Book Antiqua" w:hAnsi="Book Antiqua"/>
          <w:sz w:val="24"/>
          <w:szCs w:val="24"/>
          <w:lang w:val="en-US"/>
        </w:rPr>
        <w:t>.</w:t>
      </w:r>
      <w:r w:rsidR="00451163" w:rsidRPr="00712539">
        <w:rPr>
          <w:rFonts w:ascii="Book Antiqua" w:hAnsi="Book Antiqua"/>
          <w:sz w:val="24"/>
          <w:szCs w:val="24"/>
          <w:lang w:val="en-US"/>
        </w:rPr>
        <w:t xml:space="preserve"> </w:t>
      </w:r>
    </w:p>
    <w:p w14:paraId="38E28F03" w14:textId="2259643C" w:rsidR="004F0B9C" w:rsidRPr="00712539" w:rsidRDefault="004F0B9C" w:rsidP="004F1F1A">
      <w:pPr>
        <w:spacing w:after="0" w:line="360" w:lineRule="auto"/>
        <w:ind w:firstLineChars="100" w:firstLine="240"/>
        <w:jc w:val="both"/>
        <w:rPr>
          <w:rFonts w:ascii="Book Antiqua" w:hAnsi="Book Antiqua"/>
          <w:sz w:val="24"/>
          <w:szCs w:val="24"/>
          <w:lang w:val="en-US" w:eastAsia="zh-CN"/>
        </w:rPr>
      </w:pPr>
      <w:r w:rsidRPr="00712539">
        <w:rPr>
          <w:rFonts w:ascii="Book Antiqua" w:hAnsi="Book Antiqua"/>
          <w:sz w:val="24"/>
          <w:szCs w:val="24"/>
          <w:lang w:val="en-US"/>
        </w:rPr>
        <w:t xml:space="preserve">Treatment of cancer-associated PVT is therefore based on evidence from non-cancer patients with or without cirrhosis. Despite the fact that prophylactic and therapeutic anticoagulation seems to be effective </w:t>
      </w:r>
      <w:r w:rsidR="00CA1BA2" w:rsidRPr="00712539">
        <w:rPr>
          <w:rFonts w:ascii="Book Antiqua" w:hAnsi="Book Antiqua"/>
          <w:sz w:val="24"/>
          <w:szCs w:val="24"/>
          <w:lang w:val="en-US"/>
        </w:rPr>
        <w:t xml:space="preserve">and safe for cirrhotic </w:t>
      </w:r>
      <w:proofErr w:type="gramStart"/>
      <w:r w:rsidR="00CA1BA2" w:rsidRPr="00712539">
        <w:rPr>
          <w:rFonts w:ascii="Book Antiqua" w:hAnsi="Book Antiqua"/>
          <w:sz w:val="24"/>
          <w:szCs w:val="24"/>
          <w:lang w:val="en-US"/>
        </w:rPr>
        <w:t>patients</w:t>
      </w:r>
      <w:r w:rsidRPr="00712539">
        <w:rPr>
          <w:rFonts w:ascii="Book Antiqua" w:hAnsi="Book Antiqua" w:cs="Calibri"/>
          <w:sz w:val="24"/>
          <w:szCs w:val="24"/>
          <w:vertAlign w:val="superscript"/>
          <w:lang w:val="en-US"/>
        </w:rPr>
        <w:t>[</w:t>
      </w:r>
      <w:proofErr w:type="gramEnd"/>
      <w:r w:rsidRPr="00712539">
        <w:rPr>
          <w:rFonts w:ascii="Book Antiqua" w:hAnsi="Book Antiqua" w:cs="Calibri"/>
          <w:sz w:val="24"/>
          <w:szCs w:val="24"/>
          <w:vertAlign w:val="superscript"/>
          <w:lang w:val="en-US"/>
        </w:rPr>
        <w:t>86</w:t>
      </w:r>
      <w:r w:rsidR="00CA1BA2" w:rsidRPr="00712539">
        <w:rPr>
          <w:rFonts w:ascii="Book Antiqua" w:hAnsi="Book Antiqua" w:cs="Calibri"/>
          <w:sz w:val="24"/>
          <w:szCs w:val="24"/>
          <w:vertAlign w:val="superscript"/>
          <w:lang w:val="en-US" w:eastAsia="zh-CN"/>
        </w:rPr>
        <w:t>-</w:t>
      </w:r>
      <w:r w:rsidRPr="00712539">
        <w:rPr>
          <w:rFonts w:ascii="Book Antiqua" w:hAnsi="Book Antiqua" w:cs="Calibri"/>
          <w:sz w:val="24"/>
          <w:szCs w:val="24"/>
          <w:vertAlign w:val="superscript"/>
          <w:lang w:val="en-US"/>
        </w:rPr>
        <w:t>88]</w:t>
      </w:r>
      <w:r w:rsidRPr="00712539">
        <w:rPr>
          <w:rFonts w:ascii="Book Antiqua" w:hAnsi="Book Antiqua"/>
          <w:sz w:val="24"/>
          <w:szCs w:val="24"/>
          <w:lang w:val="en-US"/>
        </w:rPr>
        <w:t>, an individual risk/benefit evaluation which takes prognosis, anticancer treatment options and acute anticoagulation-associated bleeding risk, as well as future complications with the associated consequences for surgical interventions and the risk of variceal hemorrhage into consideration is challenging.</w:t>
      </w:r>
    </w:p>
    <w:p w14:paraId="5A67141B" w14:textId="77777777" w:rsidR="00CA1BA2" w:rsidRPr="00712539" w:rsidRDefault="00CA1BA2" w:rsidP="004F1F1A">
      <w:pPr>
        <w:spacing w:after="0" w:line="360" w:lineRule="auto"/>
        <w:ind w:firstLineChars="100" w:firstLine="240"/>
        <w:jc w:val="both"/>
        <w:rPr>
          <w:rFonts w:ascii="Book Antiqua" w:hAnsi="Book Antiqua"/>
          <w:sz w:val="24"/>
          <w:szCs w:val="24"/>
          <w:lang w:val="en-US" w:eastAsia="zh-CN"/>
        </w:rPr>
      </w:pPr>
    </w:p>
    <w:p w14:paraId="66952879" w14:textId="3C97AF7F" w:rsidR="004F0B9C" w:rsidRPr="00712539" w:rsidRDefault="004F0B9C" w:rsidP="0093109B">
      <w:pPr>
        <w:spacing w:after="0" w:line="360" w:lineRule="auto"/>
        <w:jc w:val="both"/>
        <w:rPr>
          <w:rFonts w:ascii="Book Antiqua" w:hAnsi="Book Antiqua"/>
          <w:b/>
          <w:i/>
          <w:sz w:val="24"/>
          <w:szCs w:val="24"/>
          <w:lang w:val="en-US"/>
        </w:rPr>
      </w:pPr>
      <w:r w:rsidRPr="00712539">
        <w:rPr>
          <w:rFonts w:ascii="Book Antiqua" w:hAnsi="Book Antiqua"/>
          <w:b/>
          <w:i/>
          <w:sz w:val="24"/>
          <w:szCs w:val="24"/>
          <w:lang w:val="en-US"/>
        </w:rPr>
        <w:t xml:space="preserve">Treatment of </w:t>
      </w:r>
      <w:r w:rsidR="001B52EB" w:rsidRPr="00712539">
        <w:rPr>
          <w:rFonts w:ascii="Book Antiqua" w:hAnsi="Book Antiqua" w:cs="Arial"/>
          <w:b/>
          <w:i/>
          <w:sz w:val="24"/>
          <w:szCs w:val="24"/>
          <w:lang w:val="en-GB"/>
        </w:rPr>
        <w:t>CAT</w:t>
      </w:r>
      <w:r w:rsidRPr="00712539">
        <w:rPr>
          <w:rFonts w:ascii="Book Antiqua" w:hAnsi="Book Antiqua"/>
          <w:b/>
          <w:i/>
          <w:sz w:val="24"/>
          <w:szCs w:val="24"/>
          <w:lang w:val="en-US"/>
        </w:rPr>
        <w:t xml:space="preserve"> in particular situations</w:t>
      </w:r>
    </w:p>
    <w:p w14:paraId="033EA79E" w14:textId="3A917DE0" w:rsidR="004F0B9C" w:rsidRPr="00712539" w:rsidRDefault="004F0B9C" w:rsidP="0093109B">
      <w:pPr>
        <w:spacing w:after="0" w:line="360" w:lineRule="auto"/>
        <w:jc w:val="both"/>
        <w:rPr>
          <w:rFonts w:ascii="Book Antiqua" w:hAnsi="Book Antiqua"/>
          <w:sz w:val="24"/>
          <w:szCs w:val="24"/>
          <w:vertAlign w:val="superscript"/>
          <w:lang w:val="en-US"/>
        </w:rPr>
      </w:pPr>
      <w:r w:rsidRPr="00712539">
        <w:rPr>
          <w:rFonts w:ascii="Book Antiqua" w:hAnsi="Book Antiqua"/>
          <w:sz w:val="24"/>
          <w:szCs w:val="24"/>
          <w:lang w:val="en-US"/>
        </w:rPr>
        <w:t>Thrombocytopenia is a well-known effect of chemotherapy in cancer patients and higher degrees of thrombocytopenia increase the risk of hemorrhage. Anticoagulation should therefore be administered to thrombocytopenic patients after thorough evaluation of the risks and benefits. The risk of recurrent VTE is high in the month following the initial diagno</w:t>
      </w:r>
      <w:r w:rsidR="00285CE9" w:rsidRPr="00712539">
        <w:rPr>
          <w:rFonts w:ascii="Book Antiqua" w:hAnsi="Book Antiqua"/>
          <w:sz w:val="24"/>
          <w:szCs w:val="24"/>
          <w:lang w:val="en-US"/>
        </w:rPr>
        <w:t xml:space="preserve">sis on beginning cancer </w:t>
      </w:r>
      <w:proofErr w:type="gramStart"/>
      <w:r w:rsidR="00285CE9" w:rsidRPr="00712539">
        <w:rPr>
          <w:rFonts w:ascii="Book Antiqua" w:hAnsi="Book Antiqua"/>
          <w:sz w:val="24"/>
          <w:szCs w:val="24"/>
          <w:lang w:val="en-US"/>
        </w:rPr>
        <w:t>therapy</w:t>
      </w:r>
      <w:r w:rsidRPr="00712539">
        <w:rPr>
          <w:rFonts w:ascii="Book Antiqua" w:hAnsi="Book Antiqua" w:cs="Calibri"/>
          <w:sz w:val="24"/>
          <w:szCs w:val="24"/>
          <w:vertAlign w:val="superscript"/>
          <w:lang w:val="en-US"/>
        </w:rPr>
        <w:t>[</w:t>
      </w:r>
      <w:proofErr w:type="gramEnd"/>
      <w:r w:rsidRPr="00712539">
        <w:rPr>
          <w:rFonts w:ascii="Book Antiqua" w:hAnsi="Book Antiqua" w:cs="Calibri"/>
          <w:sz w:val="24"/>
          <w:szCs w:val="24"/>
          <w:vertAlign w:val="superscript"/>
          <w:lang w:val="en-US"/>
        </w:rPr>
        <w:t>1,4]</w:t>
      </w:r>
      <w:r w:rsidRPr="00712539">
        <w:rPr>
          <w:rFonts w:ascii="Book Antiqua" w:hAnsi="Book Antiqua"/>
          <w:sz w:val="24"/>
          <w:szCs w:val="24"/>
          <w:lang w:val="en-US"/>
        </w:rPr>
        <w:t>. Full therapeutic anticoagulation with LMWH is considered appropriate in these situations when</w:t>
      </w:r>
      <w:r w:rsidR="00285CE9" w:rsidRPr="00712539">
        <w:rPr>
          <w:rFonts w:ascii="Book Antiqua" w:hAnsi="Book Antiqua"/>
          <w:sz w:val="24"/>
          <w:szCs w:val="24"/>
          <w:lang w:val="en-US"/>
        </w:rPr>
        <w:t xml:space="preserve"> the platelet count is above 50</w:t>
      </w:r>
      <w:r w:rsidRPr="00712539">
        <w:rPr>
          <w:rFonts w:ascii="Book Antiqua" w:hAnsi="Book Antiqua"/>
          <w:sz w:val="24"/>
          <w:szCs w:val="24"/>
          <w:lang w:val="en-US"/>
        </w:rPr>
        <w:t>000/µ</w:t>
      </w:r>
      <w:r w:rsidR="00285CE9" w:rsidRPr="00712539">
        <w:rPr>
          <w:rFonts w:ascii="Book Antiqua" w:hAnsi="Book Antiqua"/>
          <w:sz w:val="24"/>
          <w:szCs w:val="24"/>
          <w:lang w:val="en-US"/>
        </w:rPr>
        <w:t>L</w:t>
      </w:r>
      <w:r w:rsidRPr="00712539">
        <w:rPr>
          <w:rFonts w:ascii="Book Antiqua" w:hAnsi="Book Antiqua"/>
          <w:sz w:val="24"/>
          <w:szCs w:val="24"/>
          <w:lang w:val="en-US"/>
        </w:rPr>
        <w:t>, and a reduction of anticoagulation intensity to 75</w:t>
      </w:r>
      <w:r w:rsidR="00285CE9" w:rsidRPr="00712539">
        <w:rPr>
          <w:rFonts w:ascii="Book Antiqua" w:hAnsi="Book Antiqua"/>
          <w:sz w:val="24"/>
          <w:szCs w:val="24"/>
          <w:lang w:val="en-US" w:eastAsia="zh-CN"/>
        </w:rPr>
        <w:t>%</w:t>
      </w:r>
      <w:r w:rsidRPr="00712539">
        <w:rPr>
          <w:rFonts w:ascii="Book Antiqua" w:hAnsi="Book Antiqua"/>
          <w:sz w:val="24"/>
          <w:szCs w:val="24"/>
          <w:lang w:val="en-US"/>
        </w:rPr>
        <w:t xml:space="preserve"> or even 50% may be reasonable later in the course of treatme</w:t>
      </w:r>
      <w:r w:rsidR="00285CE9" w:rsidRPr="00712539">
        <w:rPr>
          <w:rFonts w:ascii="Book Antiqua" w:hAnsi="Book Antiqua"/>
          <w:sz w:val="24"/>
          <w:szCs w:val="24"/>
          <w:lang w:val="en-US"/>
        </w:rPr>
        <w:t>nt. When platelets are below 50</w:t>
      </w:r>
      <w:r w:rsidRPr="00712539">
        <w:rPr>
          <w:rFonts w:ascii="Book Antiqua" w:hAnsi="Book Antiqua"/>
          <w:sz w:val="24"/>
          <w:szCs w:val="24"/>
          <w:lang w:val="en-US"/>
        </w:rPr>
        <w:t>000/µ</w:t>
      </w:r>
      <w:r w:rsidR="00285CE9" w:rsidRPr="00712539">
        <w:rPr>
          <w:rFonts w:ascii="Book Antiqua" w:hAnsi="Book Antiqua"/>
          <w:sz w:val="24"/>
          <w:szCs w:val="24"/>
          <w:lang w:val="en-US"/>
        </w:rPr>
        <w:t>L but above 20</w:t>
      </w:r>
      <w:r w:rsidRPr="00712539">
        <w:rPr>
          <w:rFonts w:ascii="Book Antiqua" w:hAnsi="Book Antiqua"/>
          <w:sz w:val="24"/>
          <w:szCs w:val="24"/>
          <w:lang w:val="en-US"/>
        </w:rPr>
        <w:t>000/µ</w:t>
      </w:r>
      <w:r w:rsidR="00285CE9" w:rsidRPr="00712539">
        <w:rPr>
          <w:rFonts w:ascii="Book Antiqua" w:hAnsi="Book Antiqua"/>
          <w:sz w:val="24"/>
          <w:szCs w:val="24"/>
          <w:lang w:val="en-US"/>
        </w:rPr>
        <w:t>L</w:t>
      </w:r>
      <w:r w:rsidRPr="00712539">
        <w:rPr>
          <w:rFonts w:ascii="Book Antiqua" w:hAnsi="Book Antiqua"/>
          <w:sz w:val="24"/>
          <w:szCs w:val="24"/>
          <w:lang w:val="en-US"/>
        </w:rPr>
        <w:t>, a half-therapeutic to prophyl</w:t>
      </w:r>
      <w:r w:rsidR="00285CE9" w:rsidRPr="00712539">
        <w:rPr>
          <w:rFonts w:ascii="Book Antiqua" w:hAnsi="Book Antiqua"/>
          <w:sz w:val="24"/>
          <w:szCs w:val="24"/>
          <w:lang w:val="en-US"/>
        </w:rPr>
        <w:t xml:space="preserve">actic dose should be </w:t>
      </w:r>
      <w:proofErr w:type="gramStart"/>
      <w:r w:rsidR="00285CE9" w:rsidRPr="00712539">
        <w:rPr>
          <w:rFonts w:ascii="Book Antiqua" w:hAnsi="Book Antiqua"/>
          <w:sz w:val="24"/>
          <w:szCs w:val="24"/>
          <w:lang w:val="en-US"/>
        </w:rPr>
        <w:t>considered</w:t>
      </w:r>
      <w:r w:rsidRPr="00712539">
        <w:rPr>
          <w:rFonts w:ascii="Book Antiqua" w:hAnsi="Book Antiqua" w:cs="Calibri"/>
          <w:sz w:val="24"/>
          <w:szCs w:val="24"/>
          <w:vertAlign w:val="superscript"/>
          <w:lang w:val="en-US"/>
        </w:rPr>
        <w:t>[</w:t>
      </w:r>
      <w:proofErr w:type="gramEnd"/>
      <w:r w:rsidRPr="00712539">
        <w:rPr>
          <w:rFonts w:ascii="Book Antiqua" w:hAnsi="Book Antiqua" w:cs="Calibri"/>
          <w:sz w:val="24"/>
          <w:szCs w:val="24"/>
          <w:vertAlign w:val="superscript"/>
          <w:lang w:val="en-US"/>
        </w:rPr>
        <w:t>89]</w:t>
      </w:r>
      <w:r w:rsidRPr="00712539">
        <w:rPr>
          <w:rFonts w:ascii="Book Antiqua" w:hAnsi="Book Antiqua"/>
          <w:sz w:val="24"/>
          <w:szCs w:val="24"/>
          <w:lang w:val="en-US"/>
        </w:rPr>
        <w:t xml:space="preserve">. </w:t>
      </w:r>
    </w:p>
    <w:p w14:paraId="15B0FCF7" w14:textId="524BF46D" w:rsidR="004F0B9C" w:rsidRPr="00712539" w:rsidRDefault="004F0B9C" w:rsidP="00285CE9">
      <w:pPr>
        <w:spacing w:after="0" w:line="360" w:lineRule="auto"/>
        <w:ind w:firstLineChars="200" w:firstLine="480"/>
        <w:jc w:val="both"/>
        <w:rPr>
          <w:rFonts w:ascii="Book Antiqua" w:hAnsi="Book Antiqua"/>
          <w:sz w:val="24"/>
          <w:szCs w:val="24"/>
          <w:lang w:val="en-US"/>
        </w:rPr>
      </w:pPr>
      <w:r w:rsidRPr="00712539">
        <w:rPr>
          <w:rFonts w:ascii="Book Antiqua" w:hAnsi="Book Antiqua"/>
          <w:sz w:val="24"/>
          <w:szCs w:val="24"/>
          <w:lang w:val="en-US"/>
        </w:rPr>
        <w:t>It should be recognized that increased prothrombin times and elevated international normalized ratios (INR) as a result of hepatic dysfunction only reflect reduced synthesis of coagulation factors. In fact coagulation inhibitors are also decreased, resulting in a well-balanced but more labile equilibrium with norm</w:t>
      </w:r>
      <w:r w:rsidR="00D15D20" w:rsidRPr="00712539">
        <w:rPr>
          <w:rFonts w:ascii="Book Antiqua" w:hAnsi="Book Antiqua"/>
          <w:sz w:val="24"/>
          <w:szCs w:val="24"/>
          <w:lang w:val="en-US"/>
        </w:rPr>
        <w:t xml:space="preserve">al thrombin generation </w:t>
      </w:r>
      <w:proofErr w:type="gramStart"/>
      <w:r w:rsidR="00D15D20" w:rsidRPr="00712539">
        <w:rPr>
          <w:rFonts w:ascii="Book Antiqua" w:hAnsi="Book Antiqua"/>
          <w:sz w:val="24"/>
          <w:szCs w:val="24"/>
          <w:lang w:val="en-US"/>
        </w:rPr>
        <w:t>capacity</w:t>
      </w:r>
      <w:r w:rsidRPr="00712539">
        <w:rPr>
          <w:rFonts w:ascii="Book Antiqua" w:hAnsi="Book Antiqua" w:cs="Calibri"/>
          <w:sz w:val="24"/>
          <w:szCs w:val="24"/>
          <w:vertAlign w:val="superscript"/>
          <w:lang w:val="en-US"/>
        </w:rPr>
        <w:t>[</w:t>
      </w:r>
      <w:proofErr w:type="gramEnd"/>
      <w:r w:rsidRPr="00712539">
        <w:rPr>
          <w:rFonts w:ascii="Book Antiqua" w:hAnsi="Book Antiqua" w:cs="Calibri"/>
          <w:sz w:val="24"/>
          <w:szCs w:val="24"/>
          <w:vertAlign w:val="superscript"/>
          <w:lang w:val="en-US"/>
        </w:rPr>
        <w:t>90,91]</w:t>
      </w:r>
      <w:r w:rsidRPr="00712539">
        <w:rPr>
          <w:rFonts w:ascii="Book Antiqua" w:hAnsi="Book Antiqua"/>
          <w:sz w:val="24"/>
          <w:szCs w:val="24"/>
          <w:lang w:val="en-US"/>
        </w:rPr>
        <w:t xml:space="preserve">. For this reason patients with reduced hepatic capability are not protected against VTE, despite an increased INR, but patients with cancer and hepatic dysfunction have an increased VTE </w:t>
      </w:r>
      <w:proofErr w:type="gramStart"/>
      <w:r w:rsidRPr="00712539">
        <w:rPr>
          <w:rFonts w:ascii="Book Antiqua" w:hAnsi="Book Antiqua"/>
          <w:sz w:val="24"/>
          <w:szCs w:val="24"/>
          <w:lang w:val="en-US"/>
        </w:rPr>
        <w:t>risk</w:t>
      </w:r>
      <w:r w:rsidRPr="00712539">
        <w:rPr>
          <w:rFonts w:ascii="Book Antiqua" w:hAnsi="Book Antiqua" w:cs="Calibri"/>
          <w:sz w:val="24"/>
          <w:szCs w:val="24"/>
          <w:vertAlign w:val="superscript"/>
          <w:lang w:val="en-US"/>
        </w:rPr>
        <w:t>[</w:t>
      </w:r>
      <w:proofErr w:type="gramEnd"/>
      <w:r w:rsidRPr="00712539">
        <w:rPr>
          <w:rFonts w:ascii="Book Antiqua" w:hAnsi="Book Antiqua" w:cs="Calibri"/>
          <w:sz w:val="24"/>
          <w:szCs w:val="24"/>
          <w:vertAlign w:val="superscript"/>
          <w:lang w:val="en-US"/>
        </w:rPr>
        <w:t>90,92]</w:t>
      </w:r>
      <w:r w:rsidRPr="00712539">
        <w:rPr>
          <w:rFonts w:ascii="Book Antiqua" w:hAnsi="Book Antiqua"/>
          <w:sz w:val="24"/>
          <w:szCs w:val="24"/>
          <w:lang w:val="en-US"/>
        </w:rPr>
        <w:t xml:space="preserve">. Again, higher grade evidence in favor of or against full-dose anticoagulation in patients with CAT and reduced liver function due to pre-existing cirrhosis or advanced hepatic metastasis resulting in increased INR is </w:t>
      </w:r>
      <w:r w:rsidRPr="00712539">
        <w:rPr>
          <w:rFonts w:ascii="Book Antiqua" w:hAnsi="Book Antiqua"/>
          <w:sz w:val="24"/>
          <w:szCs w:val="24"/>
          <w:lang w:val="en-US"/>
        </w:rPr>
        <w:lastRenderedPageBreak/>
        <w:t>lacking.</w:t>
      </w:r>
      <w:r w:rsidR="00451163" w:rsidRPr="00712539">
        <w:rPr>
          <w:rFonts w:ascii="Book Antiqua" w:hAnsi="Book Antiqua"/>
          <w:sz w:val="24"/>
          <w:szCs w:val="24"/>
          <w:lang w:val="en-US"/>
        </w:rPr>
        <w:t xml:space="preserve"> </w:t>
      </w:r>
      <w:r w:rsidRPr="00712539">
        <w:rPr>
          <w:rFonts w:ascii="Book Antiqua" w:hAnsi="Book Antiqua"/>
          <w:sz w:val="24"/>
          <w:szCs w:val="24"/>
          <w:lang w:val="en-US"/>
        </w:rPr>
        <w:t>Clinical experience suggests a cautiously balanced approach of 75% to 100% of the therapeutic LMWH</w:t>
      </w:r>
      <w:r w:rsidR="00451163" w:rsidRPr="00712539">
        <w:rPr>
          <w:rFonts w:ascii="Book Antiqua" w:hAnsi="Book Antiqua"/>
          <w:sz w:val="24"/>
          <w:szCs w:val="24"/>
          <w:lang w:val="en-US"/>
        </w:rPr>
        <w:t xml:space="preserve"> </w:t>
      </w:r>
      <w:r w:rsidRPr="00712539">
        <w:rPr>
          <w:rFonts w:ascii="Book Antiqua" w:hAnsi="Book Antiqua"/>
          <w:sz w:val="24"/>
          <w:szCs w:val="24"/>
          <w:lang w:val="en-US"/>
        </w:rPr>
        <w:t xml:space="preserve">anticoagulation dose for acute VTE. </w:t>
      </w:r>
    </w:p>
    <w:p w14:paraId="41E55BC9" w14:textId="1849C185" w:rsidR="004F0B9C" w:rsidRPr="00712539" w:rsidRDefault="004F0B9C" w:rsidP="00D15D20">
      <w:pPr>
        <w:spacing w:after="0" w:line="360" w:lineRule="auto"/>
        <w:ind w:firstLineChars="200" w:firstLine="480"/>
        <w:jc w:val="both"/>
        <w:rPr>
          <w:rFonts w:ascii="Book Antiqua" w:hAnsi="Book Antiqua"/>
          <w:sz w:val="24"/>
          <w:szCs w:val="24"/>
          <w:lang w:val="en-US"/>
        </w:rPr>
      </w:pPr>
      <w:r w:rsidRPr="00712539">
        <w:rPr>
          <w:rFonts w:ascii="Book Antiqua" w:hAnsi="Book Antiqua"/>
          <w:sz w:val="24"/>
          <w:szCs w:val="24"/>
          <w:lang w:val="en-US"/>
        </w:rPr>
        <w:t xml:space="preserve">VTE recurrences are to be expected in more than 5% of patients within the first months despite CAT therapy according to guidelines with LMWH (Table 5). Again, there is sparse evidence on treatment of these patients. Based </w:t>
      </w:r>
      <w:r w:rsidR="00D15D20" w:rsidRPr="00712539">
        <w:rPr>
          <w:rFonts w:ascii="Book Antiqua" w:hAnsi="Book Antiqua"/>
          <w:sz w:val="24"/>
          <w:szCs w:val="24"/>
          <w:lang w:val="en-US"/>
        </w:rPr>
        <w:t xml:space="preserve">on a report from Carrier </w:t>
      </w:r>
      <w:r w:rsidR="00D15D20" w:rsidRPr="00712539">
        <w:rPr>
          <w:rFonts w:ascii="Book Antiqua" w:hAnsi="Book Antiqua"/>
          <w:i/>
          <w:sz w:val="24"/>
          <w:szCs w:val="24"/>
          <w:lang w:val="en-US"/>
        </w:rPr>
        <w:t xml:space="preserve">et </w:t>
      </w:r>
      <w:proofErr w:type="gramStart"/>
      <w:r w:rsidR="00D15D20" w:rsidRPr="00712539">
        <w:rPr>
          <w:rFonts w:ascii="Book Antiqua" w:hAnsi="Book Antiqua"/>
          <w:i/>
          <w:sz w:val="24"/>
          <w:szCs w:val="24"/>
          <w:lang w:val="en-US"/>
        </w:rPr>
        <w:t>al</w:t>
      </w:r>
      <w:r w:rsidRPr="00712539">
        <w:rPr>
          <w:rFonts w:ascii="Book Antiqua" w:hAnsi="Book Antiqua" w:cs="Calibri"/>
          <w:sz w:val="24"/>
          <w:szCs w:val="24"/>
          <w:vertAlign w:val="superscript"/>
          <w:lang w:val="en-US"/>
        </w:rPr>
        <w:t>[</w:t>
      </w:r>
      <w:proofErr w:type="gramEnd"/>
      <w:r w:rsidRPr="00712539">
        <w:rPr>
          <w:rFonts w:ascii="Book Antiqua" w:hAnsi="Book Antiqua" w:cs="Calibri"/>
          <w:sz w:val="24"/>
          <w:szCs w:val="24"/>
          <w:vertAlign w:val="superscript"/>
          <w:lang w:val="en-US"/>
        </w:rPr>
        <w:t>93]</w:t>
      </w:r>
      <w:r w:rsidRPr="00712539">
        <w:rPr>
          <w:rFonts w:ascii="Book Antiqua" w:hAnsi="Book Antiqua"/>
          <w:sz w:val="24"/>
          <w:szCs w:val="24"/>
          <w:lang w:val="en-US"/>
        </w:rPr>
        <w:t>, a 20% increase in LMWH dose</w:t>
      </w:r>
      <w:r w:rsidR="00451163" w:rsidRPr="00712539">
        <w:rPr>
          <w:rFonts w:ascii="Book Antiqua" w:hAnsi="Book Antiqua"/>
          <w:sz w:val="24"/>
          <w:szCs w:val="24"/>
          <w:lang w:val="en-US"/>
        </w:rPr>
        <w:t xml:space="preserve"> </w:t>
      </w:r>
      <w:r w:rsidR="00D15D20" w:rsidRPr="00712539">
        <w:rPr>
          <w:rFonts w:ascii="Book Antiqua" w:hAnsi="Book Antiqua"/>
          <w:sz w:val="24"/>
          <w:szCs w:val="24"/>
          <w:lang w:val="en-US" w:eastAsia="zh-CN"/>
        </w:rPr>
        <w:t>-</w:t>
      </w:r>
      <w:r w:rsidRPr="00712539">
        <w:rPr>
          <w:rFonts w:ascii="Book Antiqua" w:hAnsi="Book Antiqua"/>
          <w:sz w:val="24"/>
          <w:szCs w:val="24"/>
          <w:lang w:val="en-US"/>
        </w:rPr>
        <w:t xml:space="preserve"> without adjustment to laboratory parameters - is a practical, safe and effective approach.</w:t>
      </w:r>
    </w:p>
    <w:p w14:paraId="16FF0683" w14:textId="0FACC2E9" w:rsidR="004F0B9C" w:rsidRPr="00712539" w:rsidRDefault="00451163" w:rsidP="0093109B">
      <w:pPr>
        <w:spacing w:after="0" w:line="360" w:lineRule="auto"/>
        <w:jc w:val="both"/>
        <w:rPr>
          <w:rFonts w:ascii="Book Antiqua" w:hAnsi="Book Antiqua"/>
          <w:sz w:val="24"/>
          <w:szCs w:val="24"/>
          <w:lang w:val="en-US"/>
        </w:rPr>
      </w:pPr>
      <w:r w:rsidRPr="00712539">
        <w:rPr>
          <w:rFonts w:ascii="Book Antiqua" w:hAnsi="Book Antiqua"/>
          <w:sz w:val="24"/>
          <w:szCs w:val="24"/>
          <w:lang w:val="en-US"/>
        </w:rPr>
        <w:t xml:space="preserve"> </w:t>
      </w:r>
      <w:r w:rsidR="004F0B9C" w:rsidRPr="00712539">
        <w:rPr>
          <w:rFonts w:ascii="Book Antiqua" w:hAnsi="Book Antiqua"/>
          <w:sz w:val="24"/>
          <w:szCs w:val="24"/>
          <w:lang w:val="en-US"/>
        </w:rPr>
        <w:t xml:space="preserve"> </w:t>
      </w:r>
    </w:p>
    <w:p w14:paraId="50A996EC" w14:textId="754E2A81" w:rsidR="004F0B9C" w:rsidRPr="00712539" w:rsidRDefault="00D15D20" w:rsidP="0093109B">
      <w:pPr>
        <w:spacing w:after="0" w:line="360" w:lineRule="auto"/>
        <w:jc w:val="both"/>
        <w:rPr>
          <w:rFonts w:ascii="Book Antiqua" w:hAnsi="Book Antiqua"/>
          <w:b/>
          <w:sz w:val="24"/>
          <w:szCs w:val="24"/>
          <w:lang w:val="en-US"/>
        </w:rPr>
      </w:pPr>
      <w:r w:rsidRPr="00712539">
        <w:rPr>
          <w:rFonts w:ascii="Book Antiqua" w:hAnsi="Book Antiqua"/>
          <w:b/>
          <w:sz w:val="24"/>
          <w:szCs w:val="24"/>
          <w:lang w:val="en-US"/>
        </w:rPr>
        <w:t xml:space="preserve">NON-VITAMIN-K ANTAGONIST ORAL ANTICOAGULANTS IN THE PREVENTION OR TREATMENT OF </w:t>
      </w:r>
      <w:r w:rsidRPr="00712539">
        <w:rPr>
          <w:rFonts w:ascii="Book Antiqua" w:hAnsi="Book Antiqua" w:cs="Arial"/>
          <w:sz w:val="24"/>
          <w:szCs w:val="24"/>
          <w:lang w:val="en-GB"/>
        </w:rPr>
        <w:t>CAT</w:t>
      </w:r>
    </w:p>
    <w:p w14:paraId="150FB294" w14:textId="28379C8A" w:rsidR="004F0B9C" w:rsidRPr="00712539" w:rsidRDefault="004F0B9C" w:rsidP="0093109B">
      <w:pPr>
        <w:spacing w:after="0" w:line="360" w:lineRule="auto"/>
        <w:jc w:val="both"/>
        <w:rPr>
          <w:rFonts w:ascii="Book Antiqua" w:hAnsi="Book Antiqua"/>
          <w:sz w:val="24"/>
          <w:szCs w:val="24"/>
          <w:lang w:val="en-US"/>
        </w:rPr>
      </w:pPr>
      <w:r w:rsidRPr="00712539">
        <w:rPr>
          <w:rFonts w:ascii="Book Antiqua" w:hAnsi="Book Antiqua"/>
          <w:sz w:val="24"/>
          <w:szCs w:val="24"/>
          <w:lang w:val="en-US"/>
        </w:rPr>
        <w:t>A number of new oral anticoagulants (NOAC) have been introduced and licensed for prevention and t</w:t>
      </w:r>
      <w:r w:rsidR="009D7CE1" w:rsidRPr="00712539">
        <w:rPr>
          <w:rFonts w:ascii="Book Antiqua" w:hAnsi="Book Antiqua"/>
          <w:sz w:val="24"/>
          <w:szCs w:val="24"/>
          <w:lang w:val="en-US"/>
        </w:rPr>
        <w:t xml:space="preserve">reatment of VTE in recent </w:t>
      </w:r>
      <w:proofErr w:type="gramStart"/>
      <w:r w:rsidR="009D7CE1" w:rsidRPr="00712539">
        <w:rPr>
          <w:rFonts w:ascii="Book Antiqua" w:hAnsi="Book Antiqua"/>
          <w:sz w:val="24"/>
          <w:szCs w:val="24"/>
          <w:lang w:val="en-US"/>
        </w:rPr>
        <w:t>years</w:t>
      </w:r>
      <w:r w:rsidRPr="00712539">
        <w:rPr>
          <w:rFonts w:ascii="Book Antiqua" w:hAnsi="Book Antiqua" w:cs="Calibri"/>
          <w:sz w:val="24"/>
          <w:szCs w:val="24"/>
          <w:vertAlign w:val="superscript"/>
          <w:lang w:val="en-US"/>
        </w:rPr>
        <w:t>[</w:t>
      </w:r>
      <w:proofErr w:type="gramEnd"/>
      <w:r w:rsidRPr="00712539">
        <w:rPr>
          <w:rFonts w:ascii="Book Antiqua" w:hAnsi="Book Antiqua" w:cs="Calibri"/>
          <w:sz w:val="24"/>
          <w:szCs w:val="24"/>
          <w:vertAlign w:val="superscript"/>
          <w:lang w:val="en-US"/>
        </w:rPr>
        <w:t>94]</w:t>
      </w:r>
      <w:r w:rsidRPr="00712539">
        <w:rPr>
          <w:rFonts w:ascii="Book Antiqua" w:hAnsi="Book Antiqua"/>
          <w:sz w:val="24"/>
          <w:szCs w:val="24"/>
          <w:lang w:val="en-US"/>
        </w:rPr>
        <w:t>. These drugs work by direct inhibition of active coagulation factors (direct oral anticoagulants = DOAC), namely factor IIa/thrombin (dabigatran) or factor Xa (apixaban, edoxaban, rivarooxaban). The term non-vitamin K oral anticoagulant was created in order to maintain the acronym NOAC. Although</w:t>
      </w:r>
      <w:r w:rsidR="00451163" w:rsidRPr="00712539">
        <w:rPr>
          <w:rFonts w:ascii="Book Antiqua" w:hAnsi="Book Antiqua"/>
          <w:sz w:val="24"/>
          <w:szCs w:val="24"/>
          <w:lang w:val="en-US"/>
        </w:rPr>
        <w:t xml:space="preserve"> </w:t>
      </w:r>
      <w:r w:rsidRPr="00712539">
        <w:rPr>
          <w:rFonts w:ascii="Book Antiqua" w:hAnsi="Book Antiqua"/>
          <w:sz w:val="24"/>
          <w:szCs w:val="24"/>
          <w:lang w:val="en-US"/>
        </w:rPr>
        <w:t>these drugs have been successfully tested and licensed in trials investigating NOACs in the post-operative setting of elective hip or knee replacement, drug development for other surgical patients was never initiated and the programs for medi</w:t>
      </w:r>
      <w:r w:rsidR="009D7CE1" w:rsidRPr="00712539">
        <w:rPr>
          <w:rFonts w:ascii="Book Antiqua" w:hAnsi="Book Antiqua"/>
          <w:sz w:val="24"/>
          <w:szCs w:val="24"/>
          <w:lang w:val="en-US"/>
        </w:rPr>
        <w:t>cal patients were stopped early</w:t>
      </w:r>
      <w:r w:rsidRPr="00712539">
        <w:rPr>
          <w:rFonts w:ascii="Book Antiqua" w:hAnsi="Book Antiqua" w:cs="Calibri"/>
          <w:sz w:val="24"/>
          <w:szCs w:val="24"/>
          <w:vertAlign w:val="superscript"/>
          <w:lang w:val="en-US"/>
        </w:rPr>
        <w:t>[50,51]</w:t>
      </w:r>
      <w:r w:rsidRPr="00712539">
        <w:rPr>
          <w:rFonts w:ascii="Book Antiqua" w:hAnsi="Book Antiqua"/>
          <w:sz w:val="24"/>
          <w:szCs w:val="24"/>
          <w:lang w:val="en-US"/>
        </w:rPr>
        <w:t>.</w:t>
      </w:r>
      <w:r w:rsidR="00451163" w:rsidRPr="00712539">
        <w:rPr>
          <w:rFonts w:ascii="Book Antiqua" w:hAnsi="Book Antiqua"/>
          <w:sz w:val="24"/>
          <w:szCs w:val="24"/>
          <w:lang w:val="en-US"/>
        </w:rPr>
        <w:t xml:space="preserve"> </w:t>
      </w:r>
      <w:r w:rsidRPr="00712539">
        <w:rPr>
          <w:rFonts w:ascii="Book Antiqua" w:hAnsi="Book Antiqua"/>
          <w:sz w:val="24"/>
          <w:szCs w:val="24"/>
          <w:lang w:val="en-US"/>
        </w:rPr>
        <w:t>A placebo-controlled dose-finding phase II trial for primary prophylaxis of VTE in ambulatory cancer patients undergoing chemot</w:t>
      </w:r>
      <w:r w:rsidR="009D7CE1" w:rsidRPr="00712539">
        <w:rPr>
          <w:rFonts w:ascii="Book Antiqua" w:hAnsi="Book Antiqua"/>
          <w:sz w:val="24"/>
          <w:szCs w:val="24"/>
          <w:lang w:val="en-US"/>
        </w:rPr>
        <w:t xml:space="preserve">herapy showed relevant </w:t>
      </w:r>
      <w:proofErr w:type="gramStart"/>
      <w:r w:rsidR="009D7CE1" w:rsidRPr="00712539">
        <w:rPr>
          <w:rFonts w:ascii="Book Antiqua" w:hAnsi="Book Antiqua"/>
          <w:sz w:val="24"/>
          <w:szCs w:val="24"/>
          <w:lang w:val="en-US"/>
        </w:rPr>
        <w:t>activity</w:t>
      </w:r>
      <w:r w:rsidRPr="00712539">
        <w:rPr>
          <w:rFonts w:ascii="Book Antiqua" w:hAnsi="Book Antiqua" w:cs="Calibri"/>
          <w:sz w:val="24"/>
          <w:szCs w:val="24"/>
          <w:vertAlign w:val="superscript"/>
          <w:lang w:val="en-US"/>
        </w:rPr>
        <w:t>[</w:t>
      </w:r>
      <w:proofErr w:type="gramEnd"/>
      <w:r w:rsidRPr="00712539">
        <w:rPr>
          <w:rFonts w:ascii="Book Antiqua" w:hAnsi="Book Antiqua" w:cs="Calibri"/>
          <w:sz w:val="24"/>
          <w:szCs w:val="24"/>
          <w:vertAlign w:val="superscript"/>
          <w:lang w:val="en-US"/>
        </w:rPr>
        <w:t>95]</w:t>
      </w:r>
      <w:r w:rsidRPr="00712539">
        <w:rPr>
          <w:rFonts w:ascii="Book Antiqua" w:hAnsi="Book Antiqua"/>
          <w:sz w:val="24"/>
          <w:szCs w:val="24"/>
          <w:lang w:val="en-US"/>
        </w:rPr>
        <w:t xml:space="preserve">, but this indication has not yet been further developed. There is therefore no evidence for the use of NOACs for primary prevention in hospitalized or ambulatory cancer patients undergoing surgery or any other kind of anticancer therapy. </w:t>
      </w:r>
    </w:p>
    <w:p w14:paraId="16429F40" w14:textId="62D6D2A8" w:rsidR="004F0B9C" w:rsidRPr="00712539" w:rsidRDefault="004F0B9C" w:rsidP="009D7CE1">
      <w:pPr>
        <w:spacing w:after="0" w:line="360" w:lineRule="auto"/>
        <w:ind w:firstLineChars="200" w:firstLine="480"/>
        <w:jc w:val="both"/>
        <w:rPr>
          <w:rFonts w:ascii="Book Antiqua" w:hAnsi="Book Antiqua"/>
          <w:sz w:val="24"/>
          <w:szCs w:val="24"/>
          <w:lang w:val="en-US" w:eastAsia="zh-CN"/>
        </w:rPr>
      </w:pPr>
      <w:r w:rsidRPr="00712539">
        <w:rPr>
          <w:rFonts w:ascii="Book Antiqua" w:hAnsi="Book Antiqua"/>
          <w:sz w:val="24"/>
          <w:szCs w:val="24"/>
          <w:lang w:val="en-US"/>
        </w:rPr>
        <w:t xml:space="preserve">The four drugs mentioned above have all been compared to VKA (warfarin) in randomized phase III trials for the treatment of </w:t>
      </w:r>
      <w:r w:rsidR="009D7CE1" w:rsidRPr="00712539">
        <w:rPr>
          <w:rFonts w:ascii="Book Antiqua" w:hAnsi="Book Antiqua"/>
          <w:sz w:val="24"/>
          <w:szCs w:val="24"/>
          <w:lang w:val="en-US"/>
        </w:rPr>
        <w:t xml:space="preserve">DVT, PE and atrial </w:t>
      </w:r>
      <w:proofErr w:type="gramStart"/>
      <w:r w:rsidR="009D7CE1" w:rsidRPr="00712539">
        <w:rPr>
          <w:rFonts w:ascii="Book Antiqua" w:hAnsi="Book Antiqua"/>
          <w:sz w:val="24"/>
          <w:szCs w:val="24"/>
          <w:lang w:val="en-US"/>
        </w:rPr>
        <w:t>fibrillation</w:t>
      </w:r>
      <w:r w:rsidRPr="00712539">
        <w:rPr>
          <w:rFonts w:ascii="Book Antiqua" w:hAnsi="Book Antiqua" w:cs="Calibri"/>
          <w:sz w:val="24"/>
          <w:szCs w:val="24"/>
          <w:vertAlign w:val="superscript"/>
          <w:lang w:val="en-US"/>
        </w:rPr>
        <w:t>[</w:t>
      </w:r>
      <w:proofErr w:type="gramEnd"/>
      <w:r w:rsidRPr="00712539">
        <w:rPr>
          <w:rFonts w:ascii="Book Antiqua" w:hAnsi="Book Antiqua" w:cs="Calibri"/>
          <w:sz w:val="24"/>
          <w:szCs w:val="24"/>
          <w:vertAlign w:val="superscript"/>
          <w:lang w:val="en-US"/>
        </w:rPr>
        <w:t>96</w:t>
      </w:r>
      <w:r w:rsidR="009D7CE1" w:rsidRPr="00712539">
        <w:rPr>
          <w:rFonts w:ascii="Book Antiqua" w:hAnsi="Book Antiqua" w:cs="Calibri"/>
          <w:sz w:val="24"/>
          <w:szCs w:val="24"/>
          <w:vertAlign w:val="superscript"/>
          <w:lang w:val="en-US" w:eastAsia="zh-CN"/>
        </w:rPr>
        <w:t>-</w:t>
      </w:r>
      <w:r w:rsidRPr="00712539">
        <w:rPr>
          <w:rFonts w:ascii="Book Antiqua" w:hAnsi="Book Antiqua" w:cs="Calibri"/>
          <w:sz w:val="24"/>
          <w:szCs w:val="24"/>
          <w:vertAlign w:val="superscript"/>
          <w:lang w:val="en-US"/>
        </w:rPr>
        <w:t>101]</w:t>
      </w:r>
      <w:r w:rsidRPr="00712539">
        <w:rPr>
          <w:rFonts w:ascii="Book Antiqua" w:hAnsi="Book Antiqua"/>
          <w:sz w:val="24"/>
          <w:szCs w:val="24"/>
          <w:lang w:val="en-US"/>
        </w:rPr>
        <w:t>. All of these trials demonstrated that NOACs are at least as effective and safe as VKA. As confirmed by meta-analysis, the study data for these NOACs showed a clinically relevant reduction in bleeding, most pronounced fo</w:t>
      </w:r>
      <w:r w:rsidR="009D7CE1" w:rsidRPr="00712539">
        <w:rPr>
          <w:rFonts w:ascii="Book Antiqua" w:hAnsi="Book Antiqua"/>
          <w:sz w:val="24"/>
          <w:szCs w:val="24"/>
          <w:lang w:val="en-US"/>
        </w:rPr>
        <w:t xml:space="preserve">r intracerebral bleeding </w:t>
      </w:r>
      <w:proofErr w:type="gramStart"/>
      <w:r w:rsidR="009D7CE1" w:rsidRPr="00712539">
        <w:rPr>
          <w:rFonts w:ascii="Book Antiqua" w:hAnsi="Book Antiqua"/>
          <w:sz w:val="24"/>
          <w:szCs w:val="24"/>
          <w:lang w:val="en-US"/>
        </w:rPr>
        <w:t>events</w:t>
      </w:r>
      <w:r w:rsidRPr="00712539">
        <w:rPr>
          <w:rFonts w:ascii="Book Antiqua" w:hAnsi="Book Antiqua" w:cs="Calibri"/>
          <w:sz w:val="24"/>
          <w:szCs w:val="24"/>
          <w:vertAlign w:val="superscript"/>
          <w:lang w:val="en-US"/>
        </w:rPr>
        <w:t>[</w:t>
      </w:r>
      <w:proofErr w:type="gramEnd"/>
      <w:r w:rsidRPr="00712539">
        <w:rPr>
          <w:rFonts w:ascii="Book Antiqua" w:hAnsi="Book Antiqua" w:cs="Calibri"/>
          <w:sz w:val="24"/>
          <w:szCs w:val="24"/>
          <w:vertAlign w:val="superscript"/>
          <w:lang w:val="en-US"/>
        </w:rPr>
        <w:t>102]</w:t>
      </w:r>
      <w:r w:rsidRPr="00712539">
        <w:rPr>
          <w:rFonts w:ascii="Book Antiqua" w:hAnsi="Book Antiqua"/>
          <w:sz w:val="24"/>
          <w:szCs w:val="24"/>
          <w:lang w:val="en-US"/>
        </w:rPr>
        <w:t xml:space="preserve">. Depending on the inclusion and exclusion criteria of the individual studies and on the definition of </w:t>
      </w:r>
      <w:r w:rsidRPr="00712539">
        <w:rPr>
          <w:rFonts w:ascii="Book Antiqua" w:hAnsi="Book Antiqua"/>
          <w:sz w:val="24"/>
          <w:szCs w:val="24"/>
          <w:lang w:val="en-US"/>
        </w:rPr>
        <w:lastRenderedPageBreak/>
        <w:t>“patients with active cancer”, all six trials included cancer patients, a subgroup ad</w:t>
      </w:r>
      <w:r w:rsidR="009D7CE1" w:rsidRPr="00712539">
        <w:rPr>
          <w:rFonts w:ascii="Book Antiqua" w:hAnsi="Book Antiqua"/>
          <w:sz w:val="24"/>
          <w:szCs w:val="24"/>
          <w:lang w:val="en-US"/>
        </w:rPr>
        <w:t xml:space="preserve">ding up to 2.5% of more than 25000 </w:t>
      </w:r>
      <w:proofErr w:type="gramStart"/>
      <w:r w:rsidR="009D7CE1" w:rsidRPr="00712539">
        <w:rPr>
          <w:rFonts w:ascii="Book Antiqua" w:hAnsi="Book Antiqua"/>
          <w:sz w:val="24"/>
          <w:szCs w:val="24"/>
          <w:lang w:val="en-US"/>
        </w:rPr>
        <w:t>patients</w:t>
      </w:r>
      <w:r w:rsidRPr="00712539">
        <w:rPr>
          <w:rFonts w:ascii="Book Antiqua" w:hAnsi="Book Antiqua" w:cs="Calibri"/>
          <w:sz w:val="24"/>
          <w:szCs w:val="24"/>
          <w:vertAlign w:val="superscript"/>
          <w:lang w:val="en-US"/>
        </w:rPr>
        <w:t>[</w:t>
      </w:r>
      <w:proofErr w:type="gramEnd"/>
      <w:r w:rsidRPr="00712539">
        <w:rPr>
          <w:rFonts w:ascii="Book Antiqua" w:hAnsi="Book Antiqua" w:cs="Calibri"/>
          <w:sz w:val="24"/>
          <w:szCs w:val="24"/>
          <w:vertAlign w:val="superscript"/>
          <w:lang w:val="en-US"/>
        </w:rPr>
        <w:t>102]</w:t>
      </w:r>
      <w:r w:rsidRPr="00712539">
        <w:rPr>
          <w:rFonts w:ascii="Book Antiqua" w:hAnsi="Book Antiqua"/>
          <w:sz w:val="24"/>
          <w:szCs w:val="24"/>
          <w:lang w:val="en-US"/>
        </w:rPr>
        <w:t>. Meta-analysis of these patients suggests a potential role for NOACs in patients with CAT, with a similar risk/benefit relationship as demo</w:t>
      </w:r>
      <w:r w:rsidR="00264574">
        <w:rPr>
          <w:rFonts w:ascii="Book Antiqua" w:hAnsi="Book Antiqua"/>
          <w:sz w:val="24"/>
          <w:szCs w:val="24"/>
          <w:lang w:val="en-US"/>
        </w:rPr>
        <w:t xml:space="preserve">nstrated in non-cancer </w:t>
      </w:r>
      <w:proofErr w:type="gramStart"/>
      <w:r w:rsidR="00264574">
        <w:rPr>
          <w:rFonts w:ascii="Book Antiqua" w:hAnsi="Book Antiqua"/>
          <w:sz w:val="24"/>
          <w:szCs w:val="24"/>
          <w:lang w:val="en-US"/>
        </w:rPr>
        <w:t>patients</w:t>
      </w:r>
      <w:r w:rsidRPr="00264574">
        <w:rPr>
          <w:rFonts w:ascii="Book Antiqua" w:hAnsi="Book Antiqua" w:cs="Calibri"/>
          <w:sz w:val="24"/>
          <w:szCs w:val="24"/>
          <w:vertAlign w:val="superscript"/>
          <w:lang w:val="en-US"/>
        </w:rPr>
        <w:t>[</w:t>
      </w:r>
      <w:proofErr w:type="gramEnd"/>
      <w:r w:rsidRPr="00264574">
        <w:rPr>
          <w:rFonts w:ascii="Book Antiqua" w:hAnsi="Book Antiqua" w:cs="Calibri"/>
          <w:sz w:val="24"/>
          <w:szCs w:val="24"/>
          <w:vertAlign w:val="superscript"/>
          <w:lang w:val="en-US"/>
        </w:rPr>
        <w:t>76]</w:t>
      </w:r>
      <w:r w:rsidRPr="00712539">
        <w:rPr>
          <w:rFonts w:ascii="Book Antiqua" w:hAnsi="Book Antiqua" w:cs="Calibri"/>
          <w:sz w:val="24"/>
          <w:szCs w:val="24"/>
          <w:lang w:val="en-US"/>
        </w:rPr>
        <w:t xml:space="preserve">. </w:t>
      </w:r>
      <w:r w:rsidRPr="00712539">
        <w:rPr>
          <w:rFonts w:ascii="Book Antiqua" w:hAnsi="Book Antiqua"/>
          <w:sz w:val="24"/>
          <w:szCs w:val="24"/>
          <w:lang w:val="en-US"/>
        </w:rPr>
        <w:t xml:space="preserve">There are major drawbacks to the use of NOACs for this indication, however. First of all, standard therapy of CAT is LMWH for several months and not LMWH followed by VKA </w:t>
      </w:r>
      <w:r w:rsidR="009D7CE1" w:rsidRPr="00712539">
        <w:rPr>
          <w:rFonts w:ascii="Book Antiqua" w:hAnsi="Book Antiqua"/>
          <w:sz w:val="24"/>
          <w:szCs w:val="24"/>
          <w:lang w:val="en-US" w:eastAsia="zh-CN"/>
        </w:rPr>
        <w:t>-</w:t>
      </w:r>
      <w:r w:rsidRPr="00712539">
        <w:rPr>
          <w:rFonts w:ascii="Book Antiqua" w:hAnsi="Book Antiqua"/>
          <w:sz w:val="24"/>
          <w:szCs w:val="24"/>
          <w:lang w:val="en-US"/>
        </w:rPr>
        <w:t xml:space="preserve"> the standard treatment arm in the VTE trials. Secondly, “patients with active cancer”</w:t>
      </w:r>
      <w:r w:rsidR="00451163" w:rsidRPr="00712539">
        <w:rPr>
          <w:rFonts w:ascii="Book Antiqua" w:hAnsi="Book Antiqua"/>
          <w:sz w:val="24"/>
          <w:szCs w:val="24"/>
          <w:lang w:val="en-US"/>
        </w:rPr>
        <w:t xml:space="preserve"> </w:t>
      </w:r>
      <w:r w:rsidRPr="00712539">
        <w:rPr>
          <w:rFonts w:ascii="Book Antiqua" w:hAnsi="Book Antiqua"/>
          <w:sz w:val="24"/>
          <w:szCs w:val="24"/>
          <w:lang w:val="en-US"/>
        </w:rPr>
        <w:t>included in the phase III trials demonstrate a three-m</w:t>
      </w:r>
      <w:r w:rsidR="009D7CE1" w:rsidRPr="00712539">
        <w:rPr>
          <w:rFonts w:ascii="Book Antiqua" w:hAnsi="Book Antiqua"/>
          <w:sz w:val="24"/>
          <w:szCs w:val="24"/>
          <w:lang w:val="en-US"/>
        </w:rPr>
        <w:t>onth-mortality of less than 15%</w:t>
      </w:r>
      <w:r w:rsidRPr="00712539">
        <w:rPr>
          <w:rFonts w:ascii="Book Antiqua" w:hAnsi="Book Antiqua" w:cs="Calibri"/>
          <w:sz w:val="24"/>
          <w:szCs w:val="24"/>
          <w:vertAlign w:val="superscript"/>
          <w:lang w:val="en-US"/>
        </w:rPr>
        <w:t>[103</w:t>
      </w:r>
      <w:r w:rsidR="009D7CE1" w:rsidRPr="00712539">
        <w:rPr>
          <w:rFonts w:ascii="Book Antiqua" w:hAnsi="Book Antiqua" w:cs="Calibri"/>
          <w:sz w:val="24"/>
          <w:szCs w:val="24"/>
          <w:vertAlign w:val="superscript"/>
          <w:lang w:val="en-US" w:eastAsia="zh-CN"/>
        </w:rPr>
        <w:t>-</w:t>
      </w:r>
      <w:r w:rsidRPr="00712539">
        <w:rPr>
          <w:rFonts w:ascii="Book Antiqua" w:hAnsi="Book Antiqua" w:cs="Calibri"/>
          <w:sz w:val="24"/>
          <w:szCs w:val="24"/>
          <w:vertAlign w:val="superscript"/>
          <w:lang w:val="en-US"/>
        </w:rPr>
        <w:t>105]</w:t>
      </w:r>
      <w:r w:rsidRPr="00712539">
        <w:rPr>
          <w:rFonts w:ascii="Book Antiqua" w:hAnsi="Book Antiqua"/>
          <w:sz w:val="24"/>
          <w:szCs w:val="24"/>
          <w:lang w:val="en-US"/>
        </w:rPr>
        <w:t>, whereas those included in the two pivotal CAT</w:t>
      </w:r>
      <w:r w:rsidR="00451163" w:rsidRPr="00712539">
        <w:rPr>
          <w:rFonts w:ascii="Book Antiqua" w:hAnsi="Book Antiqua"/>
          <w:sz w:val="24"/>
          <w:szCs w:val="24"/>
          <w:lang w:val="en-US"/>
        </w:rPr>
        <w:t xml:space="preserve"> </w:t>
      </w:r>
      <w:r w:rsidRPr="00712539">
        <w:rPr>
          <w:rFonts w:ascii="Book Antiqua" w:hAnsi="Book Antiqua"/>
          <w:sz w:val="24"/>
          <w:szCs w:val="24"/>
          <w:lang w:val="en-US"/>
        </w:rPr>
        <w:t xml:space="preserve">trials (CLOT, CATCH) recruiting cancer patients ten years apart, have a six-month-mortality </w:t>
      </w:r>
      <w:r w:rsidR="009D7CE1" w:rsidRPr="00712539">
        <w:rPr>
          <w:rFonts w:ascii="Book Antiqua" w:hAnsi="Book Antiqua"/>
          <w:sz w:val="24"/>
          <w:szCs w:val="24"/>
          <w:lang w:val="en-US"/>
        </w:rPr>
        <w:t>of 40%</w:t>
      </w:r>
      <w:r w:rsidRPr="00712539">
        <w:rPr>
          <w:rFonts w:ascii="Book Antiqua" w:hAnsi="Book Antiqua" w:cs="Calibri"/>
          <w:sz w:val="24"/>
          <w:szCs w:val="24"/>
          <w:vertAlign w:val="superscript"/>
          <w:lang w:val="en-US"/>
        </w:rPr>
        <w:t>[80,81]</w:t>
      </w:r>
      <w:r w:rsidRPr="00712539">
        <w:rPr>
          <w:rFonts w:ascii="Book Antiqua" w:hAnsi="Book Antiqua"/>
          <w:sz w:val="24"/>
          <w:szCs w:val="24"/>
          <w:lang w:val="en-US"/>
        </w:rPr>
        <w:t xml:space="preserve"> (Table 5). Obviously these patient groups differ to a great extent. Thirdly, despite having less interactions with other drugs compared to VKA, NOAC still bear a largely unclear risk of interactions with cytotoxic or targeted drugs. A CLOT- or CATCH-like head to head comparison of NOACs versus LMWH, the current standard of care, is eagerly awaited, especially as the oral application of NOACs might provide an improvement in quality of life compared to s.c. administered LMWH. Unless study data are available, NOACs are not to be considered the first choice in patients with acute CAT. As an alternative to LMWH or VKA (Table 2), anticoagulant treatment with NOACs beyond six months may be reasonable in many CAT patients, as there are no studies defining the optimal drug in this period. </w:t>
      </w:r>
    </w:p>
    <w:p w14:paraId="3AC4CEDE" w14:textId="77777777" w:rsidR="009D7CE1" w:rsidRPr="00712539" w:rsidRDefault="009D7CE1" w:rsidP="009D7CE1">
      <w:pPr>
        <w:spacing w:after="0" w:line="360" w:lineRule="auto"/>
        <w:ind w:firstLineChars="200" w:firstLine="480"/>
        <w:jc w:val="both"/>
        <w:rPr>
          <w:rFonts w:ascii="Book Antiqua" w:hAnsi="Book Antiqua"/>
          <w:sz w:val="24"/>
          <w:szCs w:val="24"/>
          <w:lang w:val="en-US" w:eastAsia="zh-CN"/>
        </w:rPr>
      </w:pPr>
    </w:p>
    <w:p w14:paraId="14E418AB" w14:textId="290655F1" w:rsidR="004F0B9C" w:rsidRPr="00712539" w:rsidRDefault="009D7CE1" w:rsidP="0093109B">
      <w:pPr>
        <w:spacing w:after="0" w:line="360" w:lineRule="auto"/>
        <w:jc w:val="both"/>
        <w:rPr>
          <w:rFonts w:ascii="Book Antiqua" w:hAnsi="Book Antiqua"/>
          <w:b/>
          <w:sz w:val="24"/>
          <w:szCs w:val="24"/>
          <w:lang w:val="en-US"/>
        </w:rPr>
      </w:pPr>
      <w:r w:rsidRPr="00712539">
        <w:rPr>
          <w:rFonts w:ascii="Book Antiqua" w:hAnsi="Book Antiqua"/>
          <w:b/>
          <w:sz w:val="24"/>
          <w:szCs w:val="24"/>
          <w:lang w:val="en-US"/>
        </w:rPr>
        <w:t xml:space="preserve">CONCLUSION </w:t>
      </w:r>
    </w:p>
    <w:p w14:paraId="0D93175D" w14:textId="0A3E7490" w:rsidR="004F0B9C" w:rsidRPr="00712539" w:rsidRDefault="004F0B9C" w:rsidP="0093109B">
      <w:pPr>
        <w:spacing w:after="0" w:line="360" w:lineRule="auto"/>
        <w:jc w:val="both"/>
        <w:rPr>
          <w:rFonts w:ascii="Book Antiqua" w:hAnsi="Book Antiqua"/>
          <w:sz w:val="24"/>
          <w:szCs w:val="24"/>
          <w:lang w:val="en-US" w:eastAsia="zh-CN"/>
        </w:rPr>
      </w:pPr>
      <w:r w:rsidRPr="00712539">
        <w:rPr>
          <w:rFonts w:ascii="Book Antiqua" w:hAnsi="Book Antiqua"/>
          <w:sz w:val="24"/>
          <w:szCs w:val="24"/>
          <w:lang w:val="en-US"/>
        </w:rPr>
        <w:t>The risk for VTE is clearly elevated in patients with (gastrointestinal) cancer. This risk is highest for patients with pancreatic cancer and those receiving anti-cancer therapies. VTE is the second leading cause of death in patients with cancer, and mortality is in</w:t>
      </w:r>
      <w:r w:rsidR="009D7CE1" w:rsidRPr="00712539">
        <w:rPr>
          <w:rFonts w:ascii="Book Antiqua" w:hAnsi="Book Antiqua"/>
          <w:sz w:val="24"/>
          <w:szCs w:val="24"/>
          <w:lang w:val="en-US"/>
        </w:rPr>
        <w:t xml:space="preserve">creased among patients with </w:t>
      </w:r>
      <w:proofErr w:type="gramStart"/>
      <w:r w:rsidR="009D7CE1" w:rsidRPr="00712539">
        <w:rPr>
          <w:rFonts w:ascii="Book Antiqua" w:hAnsi="Book Antiqua"/>
          <w:sz w:val="24"/>
          <w:szCs w:val="24"/>
          <w:lang w:val="en-US"/>
        </w:rPr>
        <w:t>CAT</w:t>
      </w:r>
      <w:r w:rsidRPr="00712539">
        <w:rPr>
          <w:rFonts w:ascii="Book Antiqua" w:hAnsi="Book Antiqua" w:cs="Calibri"/>
          <w:sz w:val="24"/>
          <w:szCs w:val="24"/>
          <w:vertAlign w:val="superscript"/>
          <w:lang w:val="en-US"/>
        </w:rPr>
        <w:t>[</w:t>
      </w:r>
      <w:proofErr w:type="gramEnd"/>
      <w:r w:rsidRPr="00712539">
        <w:rPr>
          <w:rFonts w:ascii="Book Antiqua" w:hAnsi="Book Antiqua" w:cs="Calibri"/>
          <w:sz w:val="24"/>
          <w:szCs w:val="24"/>
          <w:vertAlign w:val="superscript"/>
          <w:lang w:val="en-US"/>
        </w:rPr>
        <w:t>10,106]</w:t>
      </w:r>
      <w:r w:rsidRPr="00712539">
        <w:rPr>
          <w:rFonts w:ascii="Book Antiqua" w:hAnsi="Book Antiqua"/>
          <w:sz w:val="24"/>
          <w:szCs w:val="24"/>
          <w:lang w:val="en-US"/>
        </w:rPr>
        <w:t xml:space="preserve">. Whereas available guidelines usually refer to VTE in cancer patients without differentiating between types of cancer, those with gastrointestinal cancers are more likely to present with additional problems such as hepatopathy-associated low platelet counts and/or prolonged prothrombin times. Furthermore, </w:t>
      </w:r>
      <w:r w:rsidRPr="00712539">
        <w:rPr>
          <w:rFonts w:ascii="Book Antiqua" w:hAnsi="Book Antiqua"/>
          <w:sz w:val="24"/>
          <w:szCs w:val="24"/>
          <w:lang w:val="en-US"/>
        </w:rPr>
        <w:lastRenderedPageBreak/>
        <w:t>symptomatic or incidental VTEs of the visceral veins may occur more often. Despite limited data, prophylactic anticoagulation must be endorsed in most hospitalized patients with malignancies. In ambulatory patients undergoing chemotherapy, an assessment of individual prothrombotic and prohemorrhagic factors may help transfer the beneficial effect of pharmacologic prophylaxis demonstrated in a number of trials to those patients with the highest VTE risk, in particular those suffering from pancreatic cancer. Treatment recommendations for CAT with LMWH have been reconfirmed by recent evidence. Further progress will help clarify the risk/benefit relationship of NOACs in this field, identifying economic and quality of life aspects as well</w:t>
      </w:r>
      <w:r w:rsidR="009D7CE1" w:rsidRPr="00712539">
        <w:rPr>
          <w:rFonts w:ascii="Book Antiqua" w:hAnsi="Book Antiqua"/>
          <w:sz w:val="24"/>
          <w:szCs w:val="24"/>
          <w:lang w:val="en-US" w:eastAsia="zh-CN"/>
        </w:rPr>
        <w:t xml:space="preserve"> </w:t>
      </w:r>
      <w:r w:rsidR="009D7CE1" w:rsidRPr="00712539">
        <w:rPr>
          <w:rFonts w:ascii="Book Antiqua" w:hAnsi="Book Antiqua"/>
          <w:sz w:val="24"/>
          <w:szCs w:val="24"/>
          <w:lang w:val="en-US"/>
        </w:rPr>
        <w:t>(Table 6)</w:t>
      </w:r>
      <w:r w:rsidRPr="00712539">
        <w:rPr>
          <w:rFonts w:ascii="Book Antiqua" w:hAnsi="Book Antiqua"/>
          <w:sz w:val="24"/>
          <w:szCs w:val="24"/>
          <w:lang w:val="en-US"/>
        </w:rPr>
        <w:t>.</w:t>
      </w:r>
    </w:p>
    <w:p w14:paraId="6E61D239" w14:textId="77777777" w:rsidR="00581BCD" w:rsidRPr="00712539" w:rsidRDefault="00581BCD" w:rsidP="0093109B">
      <w:pPr>
        <w:spacing w:after="0" w:line="360" w:lineRule="auto"/>
        <w:jc w:val="both"/>
        <w:rPr>
          <w:rFonts w:ascii="Book Antiqua" w:hAnsi="Book Antiqua"/>
          <w:sz w:val="24"/>
          <w:szCs w:val="24"/>
          <w:lang w:val="en-US" w:eastAsia="zh-CN"/>
        </w:rPr>
      </w:pPr>
    </w:p>
    <w:p w14:paraId="39CAB73D" w14:textId="7C3E8C5A" w:rsidR="00581BCD" w:rsidRPr="00712539" w:rsidRDefault="00581BCD" w:rsidP="0093109B">
      <w:pPr>
        <w:spacing w:after="0" w:line="360" w:lineRule="auto"/>
        <w:jc w:val="both"/>
        <w:rPr>
          <w:rFonts w:ascii="Book Antiqua" w:hAnsi="Book Antiqua"/>
          <w:b/>
          <w:sz w:val="24"/>
          <w:szCs w:val="24"/>
          <w:lang w:val="en-US" w:eastAsia="zh-CN"/>
        </w:rPr>
      </w:pPr>
      <w:r w:rsidRPr="00712539">
        <w:rPr>
          <w:rFonts w:ascii="Book Antiqua" w:hAnsi="Book Antiqua"/>
          <w:b/>
          <w:sz w:val="24"/>
          <w:szCs w:val="24"/>
          <w:lang w:val="en-US"/>
        </w:rPr>
        <w:t>ACKNOWLEDGE</w:t>
      </w:r>
      <w:r w:rsidRPr="00712539">
        <w:rPr>
          <w:rFonts w:ascii="Book Antiqua" w:hAnsi="Book Antiqua"/>
          <w:b/>
          <w:sz w:val="24"/>
          <w:szCs w:val="24"/>
          <w:lang w:val="en-US" w:eastAsia="zh-CN"/>
        </w:rPr>
        <w:t>MENTS</w:t>
      </w:r>
    </w:p>
    <w:p w14:paraId="539CCE20" w14:textId="77777777" w:rsidR="00581BCD" w:rsidRPr="00712539" w:rsidRDefault="00581BCD" w:rsidP="0093109B">
      <w:pPr>
        <w:spacing w:after="0" w:line="360" w:lineRule="auto"/>
        <w:jc w:val="both"/>
        <w:rPr>
          <w:rFonts w:ascii="Book Antiqua" w:hAnsi="Book Antiqua"/>
          <w:b/>
          <w:sz w:val="24"/>
          <w:szCs w:val="24"/>
          <w:lang w:val="en-US"/>
        </w:rPr>
      </w:pPr>
      <w:r w:rsidRPr="00712539">
        <w:rPr>
          <w:rFonts w:ascii="Book Antiqua" w:hAnsi="Book Antiqua"/>
          <w:sz w:val="24"/>
          <w:szCs w:val="24"/>
          <w:lang w:val="en-US"/>
        </w:rPr>
        <w:t>The authors gratefully acknowledge the help of Mrs. Sue Travis to improve the English style.</w:t>
      </w:r>
    </w:p>
    <w:p w14:paraId="5966D25B" w14:textId="77777777" w:rsidR="009D7CE1" w:rsidRPr="00712539" w:rsidRDefault="009D7CE1">
      <w:pPr>
        <w:spacing w:after="0" w:line="240" w:lineRule="auto"/>
        <w:rPr>
          <w:rFonts w:ascii="Book Antiqua" w:hAnsi="Book Antiqua"/>
          <w:b/>
          <w:sz w:val="24"/>
          <w:szCs w:val="24"/>
        </w:rPr>
      </w:pPr>
      <w:r w:rsidRPr="00712539">
        <w:rPr>
          <w:rFonts w:ascii="Book Antiqua" w:hAnsi="Book Antiqua"/>
          <w:b/>
          <w:sz w:val="24"/>
          <w:szCs w:val="24"/>
        </w:rPr>
        <w:br w:type="page"/>
      </w:r>
    </w:p>
    <w:p w14:paraId="1CACE488" w14:textId="65431418" w:rsidR="009B4AD9" w:rsidRPr="00845A83" w:rsidRDefault="009B4AD9" w:rsidP="00845A83">
      <w:pPr>
        <w:spacing w:after="0" w:line="360" w:lineRule="auto"/>
        <w:jc w:val="both"/>
        <w:rPr>
          <w:rFonts w:ascii="Book Antiqua" w:hAnsi="Book Antiqua"/>
          <w:b/>
          <w:sz w:val="24"/>
          <w:szCs w:val="24"/>
          <w:lang w:eastAsia="zh-CN"/>
        </w:rPr>
      </w:pPr>
      <w:r w:rsidRPr="00845A83">
        <w:rPr>
          <w:rFonts w:ascii="Book Antiqua" w:hAnsi="Book Antiqua"/>
          <w:b/>
          <w:sz w:val="24"/>
          <w:szCs w:val="24"/>
        </w:rPr>
        <w:lastRenderedPageBreak/>
        <w:t>REFERENCES</w:t>
      </w:r>
    </w:p>
    <w:p w14:paraId="2F0D41E6" w14:textId="0CC05BD9" w:rsidR="00845A83" w:rsidRPr="00845A83" w:rsidRDefault="00845A83" w:rsidP="00845A83">
      <w:pPr>
        <w:spacing w:after="0" w:line="360" w:lineRule="auto"/>
        <w:jc w:val="both"/>
        <w:rPr>
          <w:rFonts w:ascii="Book Antiqua" w:hAnsi="Book Antiqua" w:cs="宋体"/>
          <w:sz w:val="24"/>
          <w:szCs w:val="24"/>
          <w:lang w:val="en-US" w:eastAsia="zh-CN"/>
        </w:rPr>
      </w:pPr>
      <w:r w:rsidRPr="00845A83">
        <w:rPr>
          <w:rFonts w:ascii="Book Antiqua" w:hAnsi="Book Antiqua" w:cs="宋体"/>
          <w:sz w:val="24"/>
          <w:szCs w:val="24"/>
          <w:lang w:val="en-US" w:eastAsia="zh-CN"/>
        </w:rPr>
        <w:t xml:space="preserve">1 </w:t>
      </w:r>
      <w:r w:rsidRPr="00845A83">
        <w:rPr>
          <w:rFonts w:ascii="Book Antiqua" w:hAnsi="Book Antiqua" w:cs="宋体"/>
          <w:b/>
          <w:bCs/>
          <w:sz w:val="24"/>
          <w:szCs w:val="24"/>
          <w:lang w:val="en-US" w:eastAsia="zh-CN"/>
        </w:rPr>
        <w:t>Heit JA</w:t>
      </w:r>
      <w:r w:rsidRPr="00845A83">
        <w:rPr>
          <w:rFonts w:ascii="Book Antiqua" w:hAnsi="Book Antiqua" w:cs="宋体"/>
          <w:sz w:val="24"/>
          <w:szCs w:val="24"/>
          <w:lang w:val="en-US" w:eastAsia="zh-CN"/>
        </w:rPr>
        <w:t xml:space="preserve">, O'Fallon WM, Petterson TM, Lohse CM, Silverstein MD, Mohr DN, Melton LJ. Relative impact of risk factors for deep vein thrombosis and pulmonary embolism: a population-based study. </w:t>
      </w:r>
      <w:r w:rsidRPr="00845A83">
        <w:rPr>
          <w:rFonts w:ascii="Book Antiqua" w:hAnsi="Book Antiqua" w:cs="宋体"/>
          <w:i/>
          <w:iCs/>
          <w:sz w:val="24"/>
          <w:szCs w:val="24"/>
          <w:lang w:val="en-US" w:eastAsia="zh-CN"/>
        </w:rPr>
        <w:t>Arch Intern Med</w:t>
      </w:r>
      <w:r w:rsidRPr="00845A83">
        <w:rPr>
          <w:rFonts w:ascii="Book Antiqua" w:hAnsi="Book Antiqua" w:cs="宋体"/>
          <w:sz w:val="24"/>
          <w:szCs w:val="24"/>
          <w:lang w:val="en-US" w:eastAsia="zh-CN"/>
        </w:rPr>
        <w:t xml:space="preserve"> 2002; </w:t>
      </w:r>
      <w:r w:rsidRPr="00845A83">
        <w:rPr>
          <w:rFonts w:ascii="Book Antiqua" w:hAnsi="Book Antiqua" w:cs="宋体"/>
          <w:b/>
          <w:bCs/>
          <w:sz w:val="24"/>
          <w:szCs w:val="24"/>
          <w:lang w:val="en-US" w:eastAsia="zh-CN"/>
        </w:rPr>
        <w:t>162</w:t>
      </w:r>
      <w:r w:rsidRPr="00845A83">
        <w:rPr>
          <w:rFonts w:ascii="Book Antiqua" w:hAnsi="Book Antiqua" w:cs="宋体"/>
          <w:sz w:val="24"/>
          <w:szCs w:val="24"/>
          <w:lang w:val="en-US" w:eastAsia="zh-CN"/>
        </w:rPr>
        <w:t>: 1245-1248 [PMID: 12038942 DOI: 10.1001/arc</w:t>
      </w:r>
      <w:r w:rsidR="000B30EC">
        <w:rPr>
          <w:rFonts w:ascii="Book Antiqua" w:hAnsi="Book Antiqua" w:cs="宋体"/>
          <w:sz w:val="24"/>
          <w:szCs w:val="24"/>
          <w:lang w:val="en-US" w:eastAsia="zh-CN"/>
        </w:rPr>
        <w:t>hinte.162.11.1245]</w:t>
      </w:r>
    </w:p>
    <w:p w14:paraId="2AA5DF2F" w14:textId="29BD4B2B" w:rsidR="00845A83" w:rsidRPr="00845A83" w:rsidRDefault="00845A83" w:rsidP="00845A83">
      <w:pPr>
        <w:spacing w:after="0" w:line="360" w:lineRule="auto"/>
        <w:jc w:val="both"/>
        <w:rPr>
          <w:rFonts w:ascii="Book Antiqua" w:hAnsi="Book Antiqua" w:cs="宋体"/>
          <w:sz w:val="24"/>
          <w:szCs w:val="24"/>
          <w:lang w:val="en-US" w:eastAsia="zh-CN"/>
        </w:rPr>
      </w:pPr>
      <w:r w:rsidRPr="00845A83">
        <w:rPr>
          <w:rFonts w:ascii="Book Antiqua" w:hAnsi="Book Antiqua" w:cs="宋体"/>
          <w:sz w:val="24"/>
          <w:szCs w:val="24"/>
          <w:lang w:val="en-US" w:eastAsia="zh-CN"/>
        </w:rPr>
        <w:t xml:space="preserve">2 </w:t>
      </w:r>
      <w:r w:rsidRPr="00845A83">
        <w:rPr>
          <w:rFonts w:ascii="Book Antiqua" w:hAnsi="Book Antiqua" w:cs="宋体"/>
          <w:b/>
          <w:bCs/>
          <w:sz w:val="24"/>
          <w:szCs w:val="24"/>
          <w:lang w:val="en-US" w:eastAsia="zh-CN"/>
        </w:rPr>
        <w:t>Chew HK</w:t>
      </w:r>
      <w:r w:rsidRPr="00845A83">
        <w:rPr>
          <w:rFonts w:ascii="Book Antiqua" w:hAnsi="Book Antiqua" w:cs="宋体"/>
          <w:sz w:val="24"/>
          <w:szCs w:val="24"/>
          <w:lang w:val="en-US" w:eastAsia="zh-CN"/>
        </w:rPr>
        <w:t xml:space="preserve">, Wun T, Harvey D, Zhou H, White RH. </w:t>
      </w:r>
      <w:proofErr w:type="gramStart"/>
      <w:r w:rsidRPr="00845A83">
        <w:rPr>
          <w:rFonts w:ascii="Book Antiqua" w:hAnsi="Book Antiqua" w:cs="宋体"/>
          <w:sz w:val="24"/>
          <w:szCs w:val="24"/>
          <w:lang w:val="en-US" w:eastAsia="zh-CN"/>
        </w:rPr>
        <w:t>Incidence of venous thromboembolism and its effect on survival among patients with common cancers.</w:t>
      </w:r>
      <w:proofErr w:type="gramEnd"/>
      <w:r w:rsidRPr="00845A83">
        <w:rPr>
          <w:rFonts w:ascii="Book Antiqua" w:hAnsi="Book Antiqua" w:cs="宋体"/>
          <w:sz w:val="24"/>
          <w:szCs w:val="24"/>
          <w:lang w:val="en-US" w:eastAsia="zh-CN"/>
        </w:rPr>
        <w:t xml:space="preserve"> </w:t>
      </w:r>
      <w:r w:rsidRPr="00845A83">
        <w:rPr>
          <w:rFonts w:ascii="Book Antiqua" w:hAnsi="Book Antiqua" w:cs="宋体"/>
          <w:i/>
          <w:iCs/>
          <w:sz w:val="24"/>
          <w:szCs w:val="24"/>
          <w:lang w:val="en-US" w:eastAsia="zh-CN"/>
        </w:rPr>
        <w:t>Arch Intern Med</w:t>
      </w:r>
      <w:r w:rsidRPr="00845A83">
        <w:rPr>
          <w:rFonts w:ascii="Book Antiqua" w:hAnsi="Book Antiqua" w:cs="宋体"/>
          <w:sz w:val="24"/>
          <w:szCs w:val="24"/>
          <w:lang w:val="en-US" w:eastAsia="zh-CN"/>
        </w:rPr>
        <w:t xml:space="preserve"> 2006; </w:t>
      </w:r>
      <w:r w:rsidRPr="00845A83">
        <w:rPr>
          <w:rFonts w:ascii="Book Antiqua" w:hAnsi="Book Antiqua" w:cs="宋体"/>
          <w:b/>
          <w:bCs/>
          <w:sz w:val="24"/>
          <w:szCs w:val="24"/>
          <w:lang w:val="en-US" w:eastAsia="zh-CN"/>
        </w:rPr>
        <w:t>166</w:t>
      </w:r>
      <w:r w:rsidRPr="00845A83">
        <w:rPr>
          <w:rFonts w:ascii="Book Antiqua" w:hAnsi="Book Antiqua" w:cs="宋体"/>
          <w:sz w:val="24"/>
          <w:szCs w:val="24"/>
          <w:lang w:val="en-US" w:eastAsia="zh-CN"/>
        </w:rPr>
        <w:t>: 458-464 [PMID: 16505267 DO</w:t>
      </w:r>
      <w:r w:rsidR="000B30EC">
        <w:rPr>
          <w:rFonts w:ascii="Book Antiqua" w:hAnsi="Book Antiqua" w:cs="宋体"/>
          <w:sz w:val="24"/>
          <w:szCs w:val="24"/>
          <w:lang w:val="en-US" w:eastAsia="zh-CN"/>
        </w:rPr>
        <w:t>I: 10.1001/archinte.166.4.458]</w:t>
      </w:r>
    </w:p>
    <w:p w14:paraId="386FE49E" w14:textId="085C2CD0" w:rsidR="00845A83" w:rsidRPr="00845A83" w:rsidRDefault="00845A83" w:rsidP="00845A83">
      <w:pPr>
        <w:spacing w:after="0" w:line="360" w:lineRule="auto"/>
        <w:jc w:val="both"/>
        <w:rPr>
          <w:rFonts w:ascii="Book Antiqua" w:hAnsi="Book Antiqua" w:cs="宋体"/>
          <w:sz w:val="24"/>
          <w:szCs w:val="24"/>
          <w:lang w:val="en-US" w:eastAsia="zh-CN"/>
        </w:rPr>
      </w:pPr>
      <w:r w:rsidRPr="00845A83">
        <w:rPr>
          <w:rFonts w:ascii="Book Antiqua" w:hAnsi="Book Antiqua" w:cs="宋体"/>
          <w:sz w:val="24"/>
          <w:szCs w:val="24"/>
          <w:lang w:val="en-US" w:eastAsia="zh-CN"/>
        </w:rPr>
        <w:t xml:space="preserve">3 </w:t>
      </w:r>
      <w:r w:rsidRPr="00845A83">
        <w:rPr>
          <w:rFonts w:ascii="Book Antiqua" w:hAnsi="Book Antiqua" w:cs="宋体"/>
          <w:b/>
          <w:bCs/>
          <w:sz w:val="24"/>
          <w:szCs w:val="24"/>
          <w:lang w:val="en-US" w:eastAsia="zh-CN"/>
        </w:rPr>
        <w:t>Khorana AA</w:t>
      </w:r>
      <w:r w:rsidRPr="00845A83">
        <w:rPr>
          <w:rFonts w:ascii="Book Antiqua" w:hAnsi="Book Antiqua" w:cs="宋体"/>
          <w:sz w:val="24"/>
          <w:szCs w:val="24"/>
          <w:lang w:val="en-US" w:eastAsia="zh-CN"/>
        </w:rPr>
        <w:t xml:space="preserve">, Francis CW, Culakova E, Kuderer NM, Lyman GH. Frequency, risk factors, and trends for venous thromboembolism among hospitalized cancer patients. </w:t>
      </w:r>
      <w:r w:rsidRPr="00845A83">
        <w:rPr>
          <w:rFonts w:ascii="Book Antiqua" w:hAnsi="Book Antiqua" w:cs="宋体"/>
          <w:i/>
          <w:iCs/>
          <w:sz w:val="24"/>
          <w:szCs w:val="24"/>
          <w:lang w:val="en-US" w:eastAsia="zh-CN"/>
        </w:rPr>
        <w:t>Cancer</w:t>
      </w:r>
      <w:r w:rsidRPr="00845A83">
        <w:rPr>
          <w:rFonts w:ascii="Book Antiqua" w:hAnsi="Book Antiqua" w:cs="宋体"/>
          <w:sz w:val="24"/>
          <w:szCs w:val="24"/>
          <w:lang w:val="en-US" w:eastAsia="zh-CN"/>
        </w:rPr>
        <w:t xml:space="preserve"> 2007; </w:t>
      </w:r>
      <w:r w:rsidRPr="00845A83">
        <w:rPr>
          <w:rFonts w:ascii="Book Antiqua" w:hAnsi="Book Antiqua" w:cs="宋体"/>
          <w:b/>
          <w:bCs/>
          <w:sz w:val="24"/>
          <w:szCs w:val="24"/>
          <w:lang w:val="en-US" w:eastAsia="zh-CN"/>
        </w:rPr>
        <w:t>110</w:t>
      </w:r>
      <w:r w:rsidRPr="00845A83">
        <w:rPr>
          <w:rFonts w:ascii="Book Antiqua" w:hAnsi="Book Antiqua" w:cs="宋体"/>
          <w:sz w:val="24"/>
          <w:szCs w:val="24"/>
          <w:lang w:val="en-US" w:eastAsia="zh-CN"/>
        </w:rPr>
        <w:t>: 2339-2346 [PMID: 179</w:t>
      </w:r>
      <w:r w:rsidR="000B30EC">
        <w:rPr>
          <w:rFonts w:ascii="Book Antiqua" w:hAnsi="Book Antiqua" w:cs="宋体"/>
          <w:sz w:val="24"/>
          <w:szCs w:val="24"/>
          <w:lang w:val="en-US" w:eastAsia="zh-CN"/>
        </w:rPr>
        <w:t>18266 DOI: 10.1002/cncr.23062]</w:t>
      </w:r>
    </w:p>
    <w:p w14:paraId="37A2535F" w14:textId="4EB4BA8A" w:rsidR="00845A83" w:rsidRPr="00845A83" w:rsidRDefault="00845A83" w:rsidP="00845A83">
      <w:pPr>
        <w:spacing w:after="0" w:line="360" w:lineRule="auto"/>
        <w:jc w:val="both"/>
        <w:rPr>
          <w:rFonts w:ascii="Book Antiqua" w:hAnsi="Book Antiqua" w:cs="宋体"/>
          <w:sz w:val="24"/>
          <w:szCs w:val="24"/>
          <w:lang w:val="en-US" w:eastAsia="zh-CN"/>
        </w:rPr>
      </w:pPr>
      <w:proofErr w:type="gramStart"/>
      <w:r w:rsidRPr="00845A83">
        <w:rPr>
          <w:rFonts w:ascii="Book Antiqua" w:hAnsi="Book Antiqua" w:cs="宋体"/>
          <w:sz w:val="24"/>
          <w:szCs w:val="24"/>
          <w:lang w:val="en-US" w:eastAsia="zh-CN"/>
        </w:rPr>
        <w:t xml:space="preserve">4 </w:t>
      </w:r>
      <w:r w:rsidRPr="00845A83">
        <w:rPr>
          <w:rFonts w:ascii="Book Antiqua" w:hAnsi="Book Antiqua" w:cs="宋体"/>
          <w:b/>
          <w:bCs/>
          <w:sz w:val="24"/>
          <w:szCs w:val="24"/>
          <w:lang w:val="en-US" w:eastAsia="zh-CN"/>
        </w:rPr>
        <w:t>Lee AY</w:t>
      </w:r>
      <w:r w:rsidRPr="00845A83">
        <w:rPr>
          <w:rFonts w:ascii="Book Antiqua" w:hAnsi="Book Antiqua" w:cs="宋体"/>
          <w:sz w:val="24"/>
          <w:szCs w:val="24"/>
          <w:lang w:val="en-US" w:eastAsia="zh-CN"/>
        </w:rPr>
        <w:t>.</w:t>
      </w:r>
      <w:proofErr w:type="gramEnd"/>
      <w:r w:rsidRPr="00845A83">
        <w:rPr>
          <w:rFonts w:ascii="Book Antiqua" w:hAnsi="Book Antiqua" w:cs="宋体"/>
          <w:sz w:val="24"/>
          <w:szCs w:val="24"/>
          <w:lang w:val="en-US" w:eastAsia="zh-CN"/>
        </w:rPr>
        <w:t xml:space="preserve"> </w:t>
      </w:r>
      <w:proofErr w:type="gramStart"/>
      <w:r w:rsidRPr="00845A83">
        <w:rPr>
          <w:rFonts w:ascii="Book Antiqua" w:hAnsi="Book Antiqua" w:cs="宋体"/>
          <w:sz w:val="24"/>
          <w:szCs w:val="24"/>
          <w:lang w:val="en-US" w:eastAsia="zh-CN"/>
        </w:rPr>
        <w:t>Epidemiology and management of venous thromboembolism in patients with cancer.</w:t>
      </w:r>
      <w:proofErr w:type="gramEnd"/>
      <w:r w:rsidRPr="00845A83">
        <w:rPr>
          <w:rFonts w:ascii="Book Antiqua" w:hAnsi="Book Antiqua" w:cs="宋体"/>
          <w:sz w:val="24"/>
          <w:szCs w:val="24"/>
          <w:lang w:val="en-US" w:eastAsia="zh-CN"/>
        </w:rPr>
        <w:t xml:space="preserve"> </w:t>
      </w:r>
      <w:r w:rsidRPr="00845A83">
        <w:rPr>
          <w:rFonts w:ascii="Book Antiqua" w:hAnsi="Book Antiqua" w:cs="宋体"/>
          <w:i/>
          <w:iCs/>
          <w:sz w:val="24"/>
          <w:szCs w:val="24"/>
          <w:lang w:val="en-US" w:eastAsia="zh-CN"/>
        </w:rPr>
        <w:t>Thromb Res</w:t>
      </w:r>
      <w:r w:rsidRPr="00845A83">
        <w:rPr>
          <w:rFonts w:ascii="Book Antiqua" w:hAnsi="Book Antiqua" w:cs="宋体"/>
          <w:sz w:val="24"/>
          <w:szCs w:val="24"/>
          <w:lang w:val="en-US" w:eastAsia="zh-CN"/>
        </w:rPr>
        <w:t xml:space="preserve"> 2003; </w:t>
      </w:r>
      <w:r w:rsidRPr="00845A83">
        <w:rPr>
          <w:rFonts w:ascii="Book Antiqua" w:hAnsi="Book Antiqua" w:cs="宋体"/>
          <w:b/>
          <w:bCs/>
          <w:sz w:val="24"/>
          <w:szCs w:val="24"/>
          <w:lang w:val="en-US" w:eastAsia="zh-CN"/>
        </w:rPr>
        <w:t>110</w:t>
      </w:r>
      <w:r w:rsidRPr="00845A83">
        <w:rPr>
          <w:rFonts w:ascii="Book Antiqua" w:hAnsi="Book Antiqua" w:cs="宋体"/>
          <w:sz w:val="24"/>
          <w:szCs w:val="24"/>
          <w:lang w:val="en-US" w:eastAsia="zh-CN"/>
        </w:rPr>
        <w:t xml:space="preserve">: 167-172 [PMID: 14512077 DOI: </w:t>
      </w:r>
      <w:r w:rsidR="000B30EC">
        <w:rPr>
          <w:rFonts w:ascii="Book Antiqua" w:hAnsi="Book Antiqua" w:cs="宋体"/>
          <w:sz w:val="24"/>
          <w:szCs w:val="24"/>
          <w:lang w:val="en-US" w:eastAsia="zh-CN"/>
        </w:rPr>
        <w:t>10.1016/S0049-3848(03)00347-5]</w:t>
      </w:r>
    </w:p>
    <w:p w14:paraId="69653269" w14:textId="444DF352" w:rsidR="00845A83" w:rsidRPr="00845A83" w:rsidRDefault="00845A83" w:rsidP="00845A83">
      <w:pPr>
        <w:spacing w:after="0" w:line="360" w:lineRule="auto"/>
        <w:jc w:val="both"/>
        <w:rPr>
          <w:rFonts w:ascii="Book Antiqua" w:hAnsi="Book Antiqua" w:cs="宋体"/>
          <w:sz w:val="24"/>
          <w:szCs w:val="24"/>
          <w:lang w:val="en-US" w:eastAsia="zh-CN"/>
        </w:rPr>
      </w:pPr>
      <w:r w:rsidRPr="00845A83">
        <w:rPr>
          <w:rFonts w:ascii="Book Antiqua" w:hAnsi="Book Antiqua" w:cs="宋体"/>
          <w:sz w:val="24"/>
          <w:szCs w:val="24"/>
          <w:lang w:val="en-US" w:eastAsia="zh-CN"/>
        </w:rPr>
        <w:t xml:space="preserve">5 </w:t>
      </w:r>
      <w:r w:rsidRPr="00845A83">
        <w:rPr>
          <w:rFonts w:ascii="Book Antiqua" w:hAnsi="Book Antiqua" w:cs="宋体"/>
          <w:b/>
          <w:bCs/>
          <w:sz w:val="24"/>
          <w:szCs w:val="24"/>
          <w:lang w:val="en-US" w:eastAsia="zh-CN"/>
        </w:rPr>
        <w:t>Wun T</w:t>
      </w:r>
      <w:r w:rsidRPr="00845A83">
        <w:rPr>
          <w:rFonts w:ascii="Book Antiqua" w:hAnsi="Book Antiqua" w:cs="宋体"/>
          <w:sz w:val="24"/>
          <w:szCs w:val="24"/>
          <w:lang w:val="en-US" w:eastAsia="zh-CN"/>
        </w:rPr>
        <w:t xml:space="preserve">, White RH. Venous thromboembolism (VTE) in patients with cancer: epidemiology and risk factors. </w:t>
      </w:r>
      <w:r w:rsidRPr="00845A83">
        <w:rPr>
          <w:rFonts w:ascii="Book Antiqua" w:hAnsi="Book Antiqua" w:cs="宋体"/>
          <w:i/>
          <w:iCs/>
          <w:sz w:val="24"/>
          <w:szCs w:val="24"/>
          <w:lang w:val="en-US" w:eastAsia="zh-CN"/>
        </w:rPr>
        <w:t>Cancer Invest</w:t>
      </w:r>
      <w:r w:rsidRPr="00845A83">
        <w:rPr>
          <w:rFonts w:ascii="Book Antiqua" w:hAnsi="Book Antiqua" w:cs="宋体"/>
          <w:sz w:val="24"/>
          <w:szCs w:val="24"/>
          <w:lang w:val="en-US" w:eastAsia="zh-CN"/>
        </w:rPr>
        <w:t xml:space="preserve"> 2009; </w:t>
      </w:r>
      <w:r w:rsidRPr="00845A83">
        <w:rPr>
          <w:rFonts w:ascii="Book Antiqua" w:hAnsi="Book Antiqua" w:cs="宋体"/>
          <w:b/>
          <w:bCs/>
          <w:sz w:val="24"/>
          <w:szCs w:val="24"/>
          <w:lang w:val="en-US" w:eastAsia="zh-CN"/>
        </w:rPr>
        <w:t xml:space="preserve">27 </w:t>
      </w:r>
      <w:r w:rsidRPr="00845A83">
        <w:rPr>
          <w:rFonts w:ascii="Book Antiqua" w:hAnsi="Book Antiqua" w:cs="宋体"/>
          <w:bCs/>
          <w:sz w:val="24"/>
          <w:szCs w:val="24"/>
          <w:lang w:val="en-US" w:eastAsia="zh-CN"/>
        </w:rPr>
        <w:t>Suppl 1</w:t>
      </w:r>
      <w:r w:rsidRPr="00845A83">
        <w:rPr>
          <w:rFonts w:ascii="Book Antiqua" w:hAnsi="Book Antiqua" w:cs="宋体"/>
          <w:sz w:val="24"/>
          <w:szCs w:val="24"/>
          <w:lang w:val="en-US" w:eastAsia="zh-CN"/>
        </w:rPr>
        <w:t>: 63-74 [PMID: 19291526 DOI: 10.1080/07357900802656681]</w:t>
      </w:r>
    </w:p>
    <w:p w14:paraId="6A4BCA3F" w14:textId="1032A6FF" w:rsidR="00845A83" w:rsidRPr="00845A83" w:rsidRDefault="00845A83" w:rsidP="00845A83">
      <w:pPr>
        <w:spacing w:after="0" w:line="360" w:lineRule="auto"/>
        <w:jc w:val="both"/>
        <w:rPr>
          <w:rFonts w:ascii="Book Antiqua" w:hAnsi="Book Antiqua" w:cs="宋体"/>
          <w:sz w:val="24"/>
          <w:szCs w:val="24"/>
          <w:lang w:val="en-US" w:eastAsia="zh-CN"/>
        </w:rPr>
      </w:pPr>
      <w:r w:rsidRPr="00845A83">
        <w:rPr>
          <w:rFonts w:ascii="Book Antiqua" w:hAnsi="Book Antiqua" w:cs="宋体"/>
          <w:sz w:val="24"/>
          <w:szCs w:val="24"/>
          <w:lang w:val="en-US" w:eastAsia="zh-CN"/>
        </w:rPr>
        <w:t xml:space="preserve">6 </w:t>
      </w:r>
      <w:r w:rsidRPr="00845A83">
        <w:rPr>
          <w:rFonts w:ascii="Book Antiqua" w:hAnsi="Book Antiqua" w:cs="宋体"/>
          <w:b/>
          <w:bCs/>
          <w:sz w:val="24"/>
          <w:szCs w:val="24"/>
          <w:lang w:val="en-US" w:eastAsia="zh-CN"/>
        </w:rPr>
        <w:t>Lyman GH</w:t>
      </w:r>
      <w:r w:rsidRPr="00845A83">
        <w:rPr>
          <w:rFonts w:ascii="Book Antiqua" w:hAnsi="Book Antiqua" w:cs="宋体"/>
          <w:sz w:val="24"/>
          <w:szCs w:val="24"/>
          <w:lang w:val="en-US" w:eastAsia="zh-CN"/>
        </w:rPr>
        <w:t xml:space="preserve">, Eckert L, Wang Y, Wang H, Cohen A. Venous thromboembolism risk in patients with cancer receiving chemotherapy: a real-world analysis. </w:t>
      </w:r>
      <w:r w:rsidRPr="00845A83">
        <w:rPr>
          <w:rFonts w:ascii="Book Antiqua" w:hAnsi="Book Antiqua" w:cs="宋体"/>
          <w:i/>
          <w:iCs/>
          <w:sz w:val="24"/>
          <w:szCs w:val="24"/>
          <w:lang w:val="en-US" w:eastAsia="zh-CN"/>
        </w:rPr>
        <w:t>Oncologist</w:t>
      </w:r>
      <w:r w:rsidRPr="00845A83">
        <w:rPr>
          <w:rFonts w:ascii="Book Antiqua" w:hAnsi="Book Antiqua" w:cs="宋体"/>
          <w:sz w:val="24"/>
          <w:szCs w:val="24"/>
          <w:lang w:val="en-US" w:eastAsia="zh-CN"/>
        </w:rPr>
        <w:t xml:space="preserve"> 2013; </w:t>
      </w:r>
      <w:r w:rsidRPr="00845A83">
        <w:rPr>
          <w:rFonts w:ascii="Book Antiqua" w:hAnsi="Book Antiqua" w:cs="宋体"/>
          <w:b/>
          <w:bCs/>
          <w:sz w:val="24"/>
          <w:szCs w:val="24"/>
          <w:lang w:val="en-US" w:eastAsia="zh-CN"/>
        </w:rPr>
        <w:t>18</w:t>
      </w:r>
      <w:r w:rsidRPr="00845A83">
        <w:rPr>
          <w:rFonts w:ascii="Book Antiqua" w:hAnsi="Book Antiqua" w:cs="宋体"/>
          <w:sz w:val="24"/>
          <w:szCs w:val="24"/>
          <w:lang w:val="en-US" w:eastAsia="zh-CN"/>
        </w:rPr>
        <w:t>: 1321-1329 [PMID: 24212499 DOI: 10</w:t>
      </w:r>
      <w:r w:rsidR="000B30EC">
        <w:rPr>
          <w:rFonts w:ascii="Book Antiqua" w:hAnsi="Book Antiqua" w:cs="宋体"/>
          <w:sz w:val="24"/>
          <w:szCs w:val="24"/>
          <w:lang w:val="en-US" w:eastAsia="zh-CN"/>
        </w:rPr>
        <w:t>.1634/theoncologist.2013-0226]</w:t>
      </w:r>
    </w:p>
    <w:p w14:paraId="789AC67F" w14:textId="0CEFB610" w:rsidR="00845A83" w:rsidRPr="00845A83" w:rsidRDefault="00845A83" w:rsidP="00845A83">
      <w:pPr>
        <w:spacing w:after="0" w:line="360" w:lineRule="auto"/>
        <w:jc w:val="both"/>
        <w:rPr>
          <w:rFonts w:ascii="Book Antiqua" w:hAnsi="Book Antiqua" w:cs="宋体"/>
          <w:sz w:val="24"/>
          <w:szCs w:val="24"/>
          <w:lang w:val="en-US" w:eastAsia="zh-CN"/>
        </w:rPr>
      </w:pPr>
      <w:r w:rsidRPr="00845A83">
        <w:rPr>
          <w:rFonts w:ascii="Book Antiqua" w:hAnsi="Book Antiqua" w:cs="宋体"/>
          <w:sz w:val="24"/>
          <w:szCs w:val="24"/>
          <w:lang w:val="en-US" w:eastAsia="zh-CN"/>
        </w:rPr>
        <w:t xml:space="preserve">7 </w:t>
      </w:r>
      <w:r w:rsidRPr="00845A83">
        <w:rPr>
          <w:rFonts w:ascii="Book Antiqua" w:hAnsi="Book Antiqua" w:cs="宋体"/>
          <w:b/>
          <w:bCs/>
          <w:sz w:val="24"/>
          <w:szCs w:val="24"/>
          <w:lang w:val="en-US" w:eastAsia="zh-CN"/>
        </w:rPr>
        <w:t>Larsen AC</w:t>
      </w:r>
      <w:r w:rsidRPr="00845A83">
        <w:rPr>
          <w:rFonts w:ascii="Book Antiqua" w:hAnsi="Book Antiqua" w:cs="宋体"/>
          <w:sz w:val="24"/>
          <w:szCs w:val="24"/>
          <w:lang w:val="en-US" w:eastAsia="zh-CN"/>
        </w:rPr>
        <w:t xml:space="preserve">, Frøkjær JB, Fisker RV, Iyer V, Mortensen PB, Yilmaz MK, Møller B, Kristensen SR, Thorlacius-Ussing O. Treatment-related frequency of venous thrombosis in lower esophageal, gastro-esophageal and gastric cancer--a clinical prospective study of outcome and prognostic factors. </w:t>
      </w:r>
      <w:r w:rsidRPr="00845A83">
        <w:rPr>
          <w:rFonts w:ascii="Book Antiqua" w:hAnsi="Book Antiqua" w:cs="宋体"/>
          <w:i/>
          <w:iCs/>
          <w:sz w:val="24"/>
          <w:szCs w:val="24"/>
          <w:lang w:val="en-US" w:eastAsia="zh-CN"/>
        </w:rPr>
        <w:t>Thromb Res</w:t>
      </w:r>
      <w:r w:rsidRPr="00845A83">
        <w:rPr>
          <w:rFonts w:ascii="Book Antiqua" w:hAnsi="Book Antiqua" w:cs="宋体"/>
          <w:sz w:val="24"/>
          <w:szCs w:val="24"/>
          <w:lang w:val="en-US" w:eastAsia="zh-CN"/>
        </w:rPr>
        <w:t xml:space="preserve"> 2015; </w:t>
      </w:r>
      <w:r w:rsidRPr="00845A83">
        <w:rPr>
          <w:rFonts w:ascii="Book Antiqua" w:hAnsi="Book Antiqua" w:cs="宋体"/>
          <w:b/>
          <w:bCs/>
          <w:sz w:val="24"/>
          <w:szCs w:val="24"/>
          <w:lang w:val="en-US" w:eastAsia="zh-CN"/>
        </w:rPr>
        <w:t>135</w:t>
      </w:r>
      <w:r w:rsidRPr="00845A83">
        <w:rPr>
          <w:rFonts w:ascii="Book Antiqua" w:hAnsi="Book Antiqua" w:cs="宋体"/>
          <w:sz w:val="24"/>
          <w:szCs w:val="24"/>
          <w:lang w:val="en-US" w:eastAsia="zh-CN"/>
        </w:rPr>
        <w:t>: 802-808 [PMID: 25743885 DOI: 1</w:t>
      </w:r>
      <w:r w:rsidR="000B30EC">
        <w:rPr>
          <w:rFonts w:ascii="Book Antiqua" w:hAnsi="Book Antiqua" w:cs="宋体"/>
          <w:sz w:val="24"/>
          <w:szCs w:val="24"/>
          <w:lang w:val="en-US" w:eastAsia="zh-CN"/>
        </w:rPr>
        <w:t>0.1016/j.thromres.2015.01.021]</w:t>
      </w:r>
    </w:p>
    <w:p w14:paraId="64BE00C1" w14:textId="42FF3044" w:rsidR="00845A83" w:rsidRPr="00845A83" w:rsidRDefault="00845A83" w:rsidP="00845A83">
      <w:pPr>
        <w:spacing w:after="0" w:line="360" w:lineRule="auto"/>
        <w:jc w:val="both"/>
        <w:rPr>
          <w:rFonts w:ascii="Book Antiqua" w:hAnsi="Book Antiqua" w:cs="宋体"/>
          <w:sz w:val="24"/>
          <w:szCs w:val="24"/>
          <w:lang w:val="en-US" w:eastAsia="zh-CN"/>
        </w:rPr>
      </w:pPr>
      <w:proofErr w:type="gramStart"/>
      <w:r w:rsidRPr="00845A83">
        <w:rPr>
          <w:rFonts w:ascii="Book Antiqua" w:hAnsi="Book Antiqua" w:cs="宋体"/>
          <w:sz w:val="24"/>
          <w:szCs w:val="24"/>
          <w:lang w:val="en-US" w:eastAsia="zh-CN"/>
        </w:rPr>
        <w:t xml:space="preserve">8 </w:t>
      </w:r>
      <w:r w:rsidRPr="00845A83">
        <w:rPr>
          <w:rFonts w:ascii="Book Antiqua" w:hAnsi="Book Antiqua" w:cs="宋体"/>
          <w:b/>
          <w:bCs/>
          <w:sz w:val="24"/>
          <w:szCs w:val="24"/>
          <w:lang w:val="en-US" w:eastAsia="zh-CN"/>
        </w:rPr>
        <w:t>Petterson TM</w:t>
      </w:r>
      <w:r w:rsidRPr="00845A83">
        <w:rPr>
          <w:rFonts w:ascii="Book Antiqua" w:hAnsi="Book Antiqua" w:cs="宋体"/>
          <w:sz w:val="24"/>
          <w:szCs w:val="24"/>
          <w:lang w:val="en-US" w:eastAsia="zh-CN"/>
        </w:rPr>
        <w:t>, Marks RS, Ashrani AA, Bailey KR, Heit JA.</w:t>
      </w:r>
      <w:proofErr w:type="gramEnd"/>
      <w:r w:rsidRPr="00845A83">
        <w:rPr>
          <w:rFonts w:ascii="Book Antiqua" w:hAnsi="Book Antiqua" w:cs="宋体"/>
          <w:sz w:val="24"/>
          <w:szCs w:val="24"/>
          <w:lang w:val="en-US" w:eastAsia="zh-CN"/>
        </w:rPr>
        <w:t xml:space="preserve"> Risk of site-specific cancer in incident venous thromboembolism: a population-based study. </w:t>
      </w:r>
      <w:r w:rsidRPr="00845A83">
        <w:rPr>
          <w:rFonts w:ascii="Book Antiqua" w:hAnsi="Book Antiqua" w:cs="宋体"/>
          <w:i/>
          <w:iCs/>
          <w:sz w:val="24"/>
          <w:szCs w:val="24"/>
          <w:lang w:val="en-US" w:eastAsia="zh-CN"/>
        </w:rPr>
        <w:t>Thromb Res</w:t>
      </w:r>
      <w:r w:rsidRPr="00845A83">
        <w:rPr>
          <w:rFonts w:ascii="Book Antiqua" w:hAnsi="Book Antiqua" w:cs="宋体"/>
          <w:sz w:val="24"/>
          <w:szCs w:val="24"/>
          <w:lang w:val="en-US" w:eastAsia="zh-CN"/>
        </w:rPr>
        <w:t xml:space="preserve"> 2015; </w:t>
      </w:r>
      <w:r w:rsidRPr="00845A83">
        <w:rPr>
          <w:rFonts w:ascii="Book Antiqua" w:hAnsi="Book Antiqua" w:cs="宋体"/>
          <w:b/>
          <w:bCs/>
          <w:sz w:val="24"/>
          <w:szCs w:val="24"/>
          <w:lang w:val="en-US" w:eastAsia="zh-CN"/>
        </w:rPr>
        <w:t>135</w:t>
      </w:r>
      <w:r w:rsidRPr="00845A83">
        <w:rPr>
          <w:rFonts w:ascii="Book Antiqua" w:hAnsi="Book Antiqua" w:cs="宋体"/>
          <w:sz w:val="24"/>
          <w:szCs w:val="24"/>
          <w:lang w:val="en-US" w:eastAsia="zh-CN"/>
        </w:rPr>
        <w:t>: 472-478 [PMID: 25547213 DOI: 1</w:t>
      </w:r>
      <w:r w:rsidR="000B30EC">
        <w:rPr>
          <w:rFonts w:ascii="Book Antiqua" w:hAnsi="Book Antiqua" w:cs="宋体"/>
          <w:sz w:val="24"/>
          <w:szCs w:val="24"/>
          <w:lang w:val="en-US" w:eastAsia="zh-CN"/>
        </w:rPr>
        <w:t>0.1016/j.thromres.2014.12.013]</w:t>
      </w:r>
    </w:p>
    <w:p w14:paraId="682FC74D" w14:textId="59329653" w:rsidR="00845A83" w:rsidRPr="00845A83" w:rsidRDefault="00845A83" w:rsidP="00845A83">
      <w:pPr>
        <w:spacing w:after="0" w:line="360" w:lineRule="auto"/>
        <w:jc w:val="both"/>
        <w:rPr>
          <w:rFonts w:ascii="Book Antiqua" w:hAnsi="Book Antiqua" w:cs="宋体"/>
          <w:sz w:val="24"/>
          <w:szCs w:val="24"/>
          <w:lang w:val="en-US" w:eastAsia="zh-CN"/>
        </w:rPr>
      </w:pPr>
      <w:r w:rsidRPr="00845A83">
        <w:rPr>
          <w:rFonts w:ascii="Book Antiqua" w:hAnsi="Book Antiqua" w:cs="宋体"/>
          <w:sz w:val="24"/>
          <w:szCs w:val="24"/>
          <w:lang w:val="en-US" w:eastAsia="zh-CN"/>
        </w:rPr>
        <w:lastRenderedPageBreak/>
        <w:t xml:space="preserve">9 </w:t>
      </w:r>
      <w:r w:rsidRPr="00845A83">
        <w:rPr>
          <w:rFonts w:ascii="Book Antiqua" w:hAnsi="Book Antiqua" w:cs="宋体"/>
          <w:b/>
          <w:bCs/>
          <w:sz w:val="24"/>
          <w:szCs w:val="24"/>
          <w:lang w:val="en-US" w:eastAsia="zh-CN"/>
        </w:rPr>
        <w:t>Sørensen HT</w:t>
      </w:r>
      <w:r w:rsidRPr="00845A83">
        <w:rPr>
          <w:rFonts w:ascii="Book Antiqua" w:hAnsi="Book Antiqua" w:cs="宋体"/>
          <w:sz w:val="24"/>
          <w:szCs w:val="24"/>
          <w:lang w:val="en-US" w:eastAsia="zh-CN"/>
        </w:rPr>
        <w:t xml:space="preserve">, Mellemkjaer L, Olsen JH, Baron JA. Prognosis of cancers associated with venous thromboembolism. </w:t>
      </w:r>
      <w:r w:rsidRPr="00845A83">
        <w:rPr>
          <w:rFonts w:ascii="Book Antiqua" w:hAnsi="Book Antiqua" w:cs="宋体"/>
          <w:i/>
          <w:iCs/>
          <w:sz w:val="24"/>
          <w:szCs w:val="24"/>
          <w:lang w:val="en-US" w:eastAsia="zh-CN"/>
        </w:rPr>
        <w:t>N Engl J Med</w:t>
      </w:r>
      <w:r w:rsidRPr="00845A83">
        <w:rPr>
          <w:rFonts w:ascii="Book Antiqua" w:hAnsi="Book Antiqua" w:cs="宋体"/>
          <w:sz w:val="24"/>
          <w:szCs w:val="24"/>
          <w:lang w:val="en-US" w:eastAsia="zh-CN"/>
        </w:rPr>
        <w:t xml:space="preserve"> 2000; </w:t>
      </w:r>
      <w:r w:rsidRPr="00845A83">
        <w:rPr>
          <w:rFonts w:ascii="Book Antiqua" w:hAnsi="Book Antiqua" w:cs="宋体"/>
          <w:b/>
          <w:bCs/>
          <w:sz w:val="24"/>
          <w:szCs w:val="24"/>
          <w:lang w:val="en-US" w:eastAsia="zh-CN"/>
        </w:rPr>
        <w:t>343</w:t>
      </w:r>
      <w:r w:rsidRPr="00845A83">
        <w:rPr>
          <w:rFonts w:ascii="Book Antiqua" w:hAnsi="Book Antiqua" w:cs="宋体"/>
          <w:sz w:val="24"/>
          <w:szCs w:val="24"/>
          <w:lang w:val="en-US" w:eastAsia="zh-CN"/>
        </w:rPr>
        <w:t>: 1846-1850 [PMID: 11117976 DOI</w:t>
      </w:r>
      <w:r w:rsidR="000B30EC">
        <w:rPr>
          <w:rFonts w:ascii="Book Antiqua" w:hAnsi="Book Antiqua" w:cs="宋体"/>
          <w:sz w:val="24"/>
          <w:szCs w:val="24"/>
          <w:lang w:val="en-US" w:eastAsia="zh-CN"/>
        </w:rPr>
        <w:t>: 10.1056/NEJM200012213432504]</w:t>
      </w:r>
    </w:p>
    <w:p w14:paraId="0BFDB0FD" w14:textId="3FA21881" w:rsidR="00845A83" w:rsidRPr="00845A83" w:rsidRDefault="00845A83" w:rsidP="00845A83">
      <w:pPr>
        <w:spacing w:after="0" w:line="360" w:lineRule="auto"/>
        <w:jc w:val="both"/>
        <w:rPr>
          <w:rFonts w:ascii="Book Antiqua" w:hAnsi="Book Antiqua" w:cs="宋体"/>
          <w:sz w:val="24"/>
          <w:szCs w:val="24"/>
          <w:lang w:val="en-US" w:eastAsia="zh-CN"/>
        </w:rPr>
      </w:pPr>
      <w:proofErr w:type="gramStart"/>
      <w:r w:rsidRPr="00845A83">
        <w:rPr>
          <w:rFonts w:ascii="Book Antiqua" w:hAnsi="Book Antiqua" w:cs="宋体"/>
          <w:sz w:val="24"/>
          <w:szCs w:val="24"/>
          <w:lang w:val="en-US" w:eastAsia="zh-CN"/>
        </w:rPr>
        <w:t xml:space="preserve">10 </w:t>
      </w:r>
      <w:r w:rsidRPr="00845A83">
        <w:rPr>
          <w:rFonts w:ascii="Book Antiqua" w:hAnsi="Book Antiqua" w:cs="宋体"/>
          <w:b/>
          <w:bCs/>
          <w:sz w:val="24"/>
          <w:szCs w:val="24"/>
          <w:lang w:val="en-US" w:eastAsia="zh-CN"/>
        </w:rPr>
        <w:t>Kuderer NM</w:t>
      </w:r>
      <w:r w:rsidRPr="00845A83">
        <w:rPr>
          <w:rFonts w:ascii="Book Antiqua" w:hAnsi="Book Antiqua" w:cs="宋体"/>
          <w:sz w:val="24"/>
          <w:szCs w:val="24"/>
          <w:lang w:val="en-US" w:eastAsia="zh-CN"/>
        </w:rPr>
        <w:t>, Ortel TL, Francis CW. Impact of venous thromboembolism and anticoagulation on cancer and cancer survival.</w:t>
      </w:r>
      <w:proofErr w:type="gramEnd"/>
      <w:r w:rsidRPr="00845A83">
        <w:rPr>
          <w:rFonts w:ascii="Book Antiqua" w:hAnsi="Book Antiqua" w:cs="宋体"/>
          <w:sz w:val="24"/>
          <w:szCs w:val="24"/>
          <w:lang w:val="en-US" w:eastAsia="zh-CN"/>
        </w:rPr>
        <w:t xml:space="preserve"> </w:t>
      </w:r>
      <w:r w:rsidRPr="00845A83">
        <w:rPr>
          <w:rFonts w:ascii="Book Antiqua" w:hAnsi="Book Antiqua" w:cs="宋体"/>
          <w:i/>
          <w:iCs/>
          <w:sz w:val="24"/>
          <w:szCs w:val="24"/>
          <w:lang w:val="en-US" w:eastAsia="zh-CN"/>
        </w:rPr>
        <w:t>J Clin Oncol</w:t>
      </w:r>
      <w:r w:rsidRPr="00845A83">
        <w:rPr>
          <w:rFonts w:ascii="Book Antiqua" w:hAnsi="Book Antiqua" w:cs="宋体"/>
          <w:sz w:val="24"/>
          <w:szCs w:val="24"/>
          <w:lang w:val="en-US" w:eastAsia="zh-CN"/>
        </w:rPr>
        <w:t xml:space="preserve"> 2009; </w:t>
      </w:r>
      <w:r w:rsidRPr="00845A83">
        <w:rPr>
          <w:rFonts w:ascii="Book Antiqua" w:hAnsi="Book Antiqua" w:cs="宋体"/>
          <w:b/>
          <w:bCs/>
          <w:sz w:val="24"/>
          <w:szCs w:val="24"/>
          <w:lang w:val="en-US" w:eastAsia="zh-CN"/>
        </w:rPr>
        <w:t>27</w:t>
      </w:r>
      <w:r w:rsidRPr="00845A83">
        <w:rPr>
          <w:rFonts w:ascii="Book Antiqua" w:hAnsi="Book Antiqua" w:cs="宋体"/>
          <w:sz w:val="24"/>
          <w:szCs w:val="24"/>
          <w:lang w:val="en-US" w:eastAsia="zh-CN"/>
        </w:rPr>
        <w:t xml:space="preserve">: 4902-4911 [PMID: 19738120 </w:t>
      </w:r>
      <w:r w:rsidR="000B30EC">
        <w:rPr>
          <w:rFonts w:ascii="Book Antiqua" w:hAnsi="Book Antiqua" w:cs="宋体"/>
          <w:sz w:val="24"/>
          <w:szCs w:val="24"/>
          <w:lang w:val="en-US" w:eastAsia="zh-CN"/>
        </w:rPr>
        <w:t>DOI: 10.1200/JCO.2009.22.4584]</w:t>
      </w:r>
    </w:p>
    <w:p w14:paraId="1E7B8F7C" w14:textId="0B5204C5" w:rsidR="00845A83" w:rsidRPr="00845A83" w:rsidRDefault="00845A83" w:rsidP="00845A83">
      <w:pPr>
        <w:spacing w:after="0" w:line="360" w:lineRule="auto"/>
        <w:jc w:val="both"/>
        <w:rPr>
          <w:rFonts w:ascii="Book Antiqua" w:hAnsi="Book Antiqua" w:cs="宋体"/>
          <w:sz w:val="24"/>
          <w:szCs w:val="24"/>
          <w:lang w:val="en-US" w:eastAsia="zh-CN"/>
        </w:rPr>
      </w:pPr>
      <w:r w:rsidRPr="00845A83">
        <w:rPr>
          <w:rFonts w:ascii="Book Antiqua" w:hAnsi="Book Antiqua" w:cs="宋体"/>
          <w:sz w:val="24"/>
          <w:szCs w:val="24"/>
          <w:lang w:val="en-US" w:eastAsia="zh-CN"/>
        </w:rPr>
        <w:t xml:space="preserve">11 </w:t>
      </w:r>
      <w:r w:rsidRPr="00845A83">
        <w:rPr>
          <w:rFonts w:ascii="Book Antiqua" w:hAnsi="Book Antiqua" w:cs="宋体"/>
          <w:b/>
          <w:bCs/>
          <w:sz w:val="24"/>
          <w:szCs w:val="24"/>
          <w:lang w:val="en-US" w:eastAsia="zh-CN"/>
        </w:rPr>
        <w:t>Khanna A</w:t>
      </w:r>
      <w:r w:rsidRPr="00845A83">
        <w:rPr>
          <w:rFonts w:ascii="Book Antiqua" w:hAnsi="Book Antiqua" w:cs="宋体"/>
          <w:sz w:val="24"/>
          <w:szCs w:val="24"/>
          <w:lang w:val="en-US" w:eastAsia="zh-CN"/>
        </w:rPr>
        <w:t xml:space="preserve">, Reece-Smith AM, Cunnell M, Madhusudan S, Thomas A, Bowrey DJ, Parsons SL. Venous thromboembolism in patients receiving perioperative chemotherapy for esophagogastric cancer. </w:t>
      </w:r>
      <w:r w:rsidRPr="00845A83">
        <w:rPr>
          <w:rFonts w:ascii="Book Antiqua" w:hAnsi="Book Antiqua" w:cs="宋体"/>
          <w:i/>
          <w:iCs/>
          <w:sz w:val="24"/>
          <w:szCs w:val="24"/>
          <w:lang w:val="en-US" w:eastAsia="zh-CN"/>
        </w:rPr>
        <w:t>Dis Esophagus</w:t>
      </w:r>
      <w:r w:rsidRPr="00845A83">
        <w:rPr>
          <w:rFonts w:ascii="Book Antiqua" w:hAnsi="Book Antiqua" w:cs="宋体"/>
          <w:sz w:val="24"/>
          <w:szCs w:val="24"/>
          <w:lang w:val="en-US" w:eastAsia="zh-CN"/>
        </w:rPr>
        <w:t xml:space="preserve"> 2014; </w:t>
      </w:r>
      <w:r w:rsidRPr="00845A83">
        <w:rPr>
          <w:rFonts w:ascii="Book Antiqua" w:hAnsi="Book Antiqua" w:cs="宋体"/>
          <w:b/>
          <w:bCs/>
          <w:sz w:val="24"/>
          <w:szCs w:val="24"/>
          <w:lang w:val="en-US" w:eastAsia="zh-CN"/>
        </w:rPr>
        <w:t>27</w:t>
      </w:r>
      <w:r w:rsidRPr="00845A83">
        <w:rPr>
          <w:rFonts w:ascii="Book Antiqua" w:hAnsi="Book Antiqua" w:cs="宋体"/>
          <w:sz w:val="24"/>
          <w:szCs w:val="24"/>
          <w:lang w:val="en-US" w:eastAsia="zh-CN"/>
        </w:rPr>
        <w:t>: 242-247 [PMID: 236</w:t>
      </w:r>
      <w:r w:rsidR="000B30EC">
        <w:rPr>
          <w:rFonts w:ascii="Book Antiqua" w:hAnsi="Book Antiqua" w:cs="宋体"/>
          <w:sz w:val="24"/>
          <w:szCs w:val="24"/>
          <w:lang w:val="en-US" w:eastAsia="zh-CN"/>
        </w:rPr>
        <w:t>51074 DOI: 10.1111/dote.12084]</w:t>
      </w:r>
    </w:p>
    <w:p w14:paraId="053C5D05" w14:textId="5163172C" w:rsidR="00845A83" w:rsidRPr="00845A83" w:rsidRDefault="00845A83" w:rsidP="00845A83">
      <w:pPr>
        <w:spacing w:after="0" w:line="360" w:lineRule="auto"/>
        <w:jc w:val="both"/>
        <w:rPr>
          <w:rFonts w:ascii="Book Antiqua" w:hAnsi="Book Antiqua" w:cs="宋体"/>
          <w:sz w:val="24"/>
          <w:szCs w:val="24"/>
          <w:lang w:val="en-US" w:eastAsia="zh-CN"/>
        </w:rPr>
      </w:pPr>
      <w:r w:rsidRPr="00845A83">
        <w:rPr>
          <w:rFonts w:ascii="Book Antiqua" w:hAnsi="Book Antiqua" w:cs="宋体"/>
          <w:sz w:val="24"/>
          <w:szCs w:val="24"/>
          <w:lang w:val="en-US" w:eastAsia="zh-CN"/>
        </w:rPr>
        <w:t xml:space="preserve">12 </w:t>
      </w:r>
      <w:r w:rsidRPr="00845A83">
        <w:rPr>
          <w:rFonts w:ascii="Book Antiqua" w:hAnsi="Book Antiqua" w:cs="宋体"/>
          <w:b/>
          <w:bCs/>
          <w:sz w:val="24"/>
          <w:szCs w:val="24"/>
          <w:lang w:val="en-US" w:eastAsia="zh-CN"/>
        </w:rPr>
        <w:t>Cohen J</w:t>
      </w:r>
      <w:r w:rsidRPr="00845A83">
        <w:rPr>
          <w:rFonts w:ascii="Book Antiqua" w:hAnsi="Book Antiqua" w:cs="宋体"/>
          <w:sz w:val="24"/>
          <w:szCs w:val="24"/>
          <w:lang w:val="en-US" w:eastAsia="zh-CN"/>
        </w:rPr>
        <w:t xml:space="preserve">, Edelman RR, Chopra S. Portal vein thrombosis: a review. </w:t>
      </w:r>
      <w:r w:rsidRPr="00845A83">
        <w:rPr>
          <w:rFonts w:ascii="Book Antiqua" w:hAnsi="Book Antiqua" w:cs="宋体"/>
          <w:i/>
          <w:iCs/>
          <w:sz w:val="24"/>
          <w:szCs w:val="24"/>
          <w:lang w:val="en-US" w:eastAsia="zh-CN"/>
        </w:rPr>
        <w:t>Am J Med</w:t>
      </w:r>
      <w:r w:rsidRPr="00845A83">
        <w:rPr>
          <w:rFonts w:ascii="Book Antiqua" w:hAnsi="Book Antiqua" w:cs="宋体"/>
          <w:sz w:val="24"/>
          <w:szCs w:val="24"/>
          <w:lang w:val="en-US" w:eastAsia="zh-CN"/>
        </w:rPr>
        <w:t xml:space="preserve"> 1992; </w:t>
      </w:r>
      <w:r w:rsidRPr="00845A83">
        <w:rPr>
          <w:rFonts w:ascii="Book Antiqua" w:hAnsi="Book Antiqua" w:cs="宋体"/>
          <w:b/>
          <w:bCs/>
          <w:sz w:val="24"/>
          <w:szCs w:val="24"/>
          <w:lang w:val="en-US" w:eastAsia="zh-CN"/>
        </w:rPr>
        <w:t>92</w:t>
      </w:r>
      <w:r w:rsidRPr="00845A83">
        <w:rPr>
          <w:rFonts w:ascii="Book Antiqua" w:hAnsi="Book Antiqua" w:cs="宋体"/>
          <w:sz w:val="24"/>
          <w:szCs w:val="24"/>
          <w:lang w:val="en-US" w:eastAsia="zh-CN"/>
        </w:rPr>
        <w:t>: 173-182 [PMID: 1543202 DOI: 10.1016/0002-9343(92)90109-</w:t>
      </w:r>
      <w:r w:rsidR="000B30EC">
        <w:rPr>
          <w:rFonts w:ascii="Book Antiqua" w:hAnsi="Book Antiqua" w:cs="宋体"/>
          <w:sz w:val="24"/>
          <w:szCs w:val="24"/>
          <w:lang w:val="en-US" w:eastAsia="zh-CN"/>
        </w:rPr>
        <w:t>O]</w:t>
      </w:r>
    </w:p>
    <w:p w14:paraId="77C93B8A" w14:textId="6F9E8B9C" w:rsidR="00845A83" w:rsidRPr="00845A83" w:rsidRDefault="00845A83" w:rsidP="00845A83">
      <w:pPr>
        <w:spacing w:after="0" w:line="360" w:lineRule="auto"/>
        <w:jc w:val="both"/>
        <w:rPr>
          <w:rFonts w:ascii="Book Antiqua" w:hAnsi="Book Antiqua" w:cs="宋体"/>
          <w:sz w:val="24"/>
          <w:szCs w:val="24"/>
          <w:lang w:val="en-US" w:eastAsia="zh-CN"/>
        </w:rPr>
      </w:pPr>
      <w:r w:rsidRPr="00845A83">
        <w:rPr>
          <w:rFonts w:ascii="Book Antiqua" w:hAnsi="Book Antiqua" w:cs="宋体"/>
          <w:sz w:val="24"/>
          <w:szCs w:val="24"/>
          <w:lang w:val="en-US" w:eastAsia="zh-CN"/>
        </w:rPr>
        <w:t xml:space="preserve">13 </w:t>
      </w:r>
      <w:r w:rsidRPr="00845A83">
        <w:rPr>
          <w:rFonts w:ascii="Book Antiqua" w:hAnsi="Book Antiqua" w:cs="宋体"/>
          <w:b/>
          <w:bCs/>
          <w:sz w:val="24"/>
          <w:szCs w:val="24"/>
          <w:lang w:val="en-US" w:eastAsia="zh-CN"/>
        </w:rPr>
        <w:t>Francoz C</w:t>
      </w:r>
      <w:r w:rsidRPr="00845A83">
        <w:rPr>
          <w:rFonts w:ascii="Book Antiqua" w:hAnsi="Book Antiqua" w:cs="宋体"/>
          <w:sz w:val="24"/>
          <w:szCs w:val="24"/>
          <w:lang w:val="en-US" w:eastAsia="zh-CN"/>
        </w:rPr>
        <w:t xml:space="preserve">, Belghiti J, Vilgrain V, Sommacale D, Paradis V, Condat B, Denninger MH, Sauvanet A, Valla D, Durand F. Splanchnic vein thrombosis in candidates for liver transplantation: usefulness of screening and anticoagulation. </w:t>
      </w:r>
      <w:r w:rsidRPr="00845A83">
        <w:rPr>
          <w:rFonts w:ascii="Book Antiqua" w:hAnsi="Book Antiqua" w:cs="宋体"/>
          <w:i/>
          <w:iCs/>
          <w:sz w:val="24"/>
          <w:szCs w:val="24"/>
          <w:lang w:val="en-US" w:eastAsia="zh-CN"/>
        </w:rPr>
        <w:t>Gut</w:t>
      </w:r>
      <w:r w:rsidRPr="00845A83">
        <w:rPr>
          <w:rFonts w:ascii="Book Antiqua" w:hAnsi="Book Antiqua" w:cs="宋体"/>
          <w:sz w:val="24"/>
          <w:szCs w:val="24"/>
          <w:lang w:val="en-US" w:eastAsia="zh-CN"/>
        </w:rPr>
        <w:t xml:space="preserve"> 2005; </w:t>
      </w:r>
      <w:r w:rsidRPr="00845A83">
        <w:rPr>
          <w:rFonts w:ascii="Book Antiqua" w:hAnsi="Book Antiqua" w:cs="宋体"/>
          <w:b/>
          <w:bCs/>
          <w:sz w:val="24"/>
          <w:szCs w:val="24"/>
          <w:lang w:val="en-US" w:eastAsia="zh-CN"/>
        </w:rPr>
        <w:t>54</w:t>
      </w:r>
      <w:r w:rsidRPr="00845A83">
        <w:rPr>
          <w:rFonts w:ascii="Book Antiqua" w:hAnsi="Book Antiqua" w:cs="宋体"/>
          <w:sz w:val="24"/>
          <w:szCs w:val="24"/>
          <w:lang w:val="en-US" w:eastAsia="zh-CN"/>
        </w:rPr>
        <w:t>: 691-697 [PMID: 15831918</w:t>
      </w:r>
      <w:r w:rsidR="000B30EC">
        <w:rPr>
          <w:rFonts w:ascii="Book Antiqua" w:hAnsi="Book Antiqua" w:cs="宋体"/>
          <w:sz w:val="24"/>
          <w:szCs w:val="24"/>
          <w:lang w:val="en-US" w:eastAsia="zh-CN"/>
        </w:rPr>
        <w:t xml:space="preserve"> DOI: 10.1136/gut.2004.042796]</w:t>
      </w:r>
    </w:p>
    <w:p w14:paraId="7DFE1C35" w14:textId="44B57CAE" w:rsidR="00845A83" w:rsidRPr="00845A83" w:rsidRDefault="00845A83" w:rsidP="00845A83">
      <w:pPr>
        <w:spacing w:after="0" w:line="360" w:lineRule="auto"/>
        <w:jc w:val="both"/>
        <w:rPr>
          <w:rFonts w:ascii="Book Antiqua" w:hAnsi="Book Antiqua" w:cs="宋体"/>
          <w:sz w:val="24"/>
          <w:szCs w:val="24"/>
          <w:lang w:val="en-US" w:eastAsia="zh-CN"/>
        </w:rPr>
      </w:pPr>
      <w:r w:rsidRPr="00845A83">
        <w:rPr>
          <w:rFonts w:ascii="Book Antiqua" w:hAnsi="Book Antiqua" w:cs="宋体"/>
          <w:sz w:val="24"/>
          <w:szCs w:val="24"/>
          <w:lang w:val="en-US" w:eastAsia="zh-CN"/>
        </w:rPr>
        <w:t xml:space="preserve">14 </w:t>
      </w:r>
      <w:r w:rsidRPr="00845A83">
        <w:rPr>
          <w:rFonts w:ascii="Book Antiqua" w:hAnsi="Book Antiqua" w:cs="宋体"/>
          <w:b/>
          <w:bCs/>
          <w:sz w:val="24"/>
          <w:szCs w:val="24"/>
          <w:lang w:val="en-US" w:eastAsia="zh-CN"/>
        </w:rPr>
        <w:t>Rajani R</w:t>
      </w:r>
      <w:r w:rsidRPr="00845A83">
        <w:rPr>
          <w:rFonts w:ascii="Book Antiqua" w:hAnsi="Book Antiqua" w:cs="宋体"/>
          <w:sz w:val="24"/>
          <w:szCs w:val="24"/>
          <w:lang w:val="en-US" w:eastAsia="zh-CN"/>
        </w:rPr>
        <w:t xml:space="preserve">, Björnsson E, Bergquist A, Danielsson A, Gustavsson A, Grip O, Melin T, Sangfelt P, Wallerstedt S, Almer S. The epidemiology and clinical features of portal vein thrombosis: a multicentre study. </w:t>
      </w:r>
      <w:r w:rsidRPr="00845A83">
        <w:rPr>
          <w:rFonts w:ascii="Book Antiqua" w:hAnsi="Book Antiqua" w:cs="宋体"/>
          <w:i/>
          <w:iCs/>
          <w:sz w:val="24"/>
          <w:szCs w:val="24"/>
          <w:lang w:val="en-US" w:eastAsia="zh-CN"/>
        </w:rPr>
        <w:t>Aliment Pharmacol Ther</w:t>
      </w:r>
      <w:r w:rsidRPr="00845A83">
        <w:rPr>
          <w:rFonts w:ascii="Book Antiqua" w:hAnsi="Book Antiqua" w:cs="宋体"/>
          <w:sz w:val="24"/>
          <w:szCs w:val="24"/>
          <w:lang w:val="en-US" w:eastAsia="zh-CN"/>
        </w:rPr>
        <w:t xml:space="preserve"> 2010; </w:t>
      </w:r>
      <w:r w:rsidRPr="00845A83">
        <w:rPr>
          <w:rFonts w:ascii="Book Antiqua" w:hAnsi="Book Antiqua" w:cs="宋体"/>
          <w:b/>
          <w:bCs/>
          <w:sz w:val="24"/>
          <w:szCs w:val="24"/>
          <w:lang w:val="en-US" w:eastAsia="zh-CN"/>
        </w:rPr>
        <w:t>32</w:t>
      </w:r>
      <w:r w:rsidRPr="00845A83">
        <w:rPr>
          <w:rFonts w:ascii="Book Antiqua" w:hAnsi="Book Antiqua" w:cs="宋体"/>
          <w:sz w:val="24"/>
          <w:szCs w:val="24"/>
          <w:lang w:val="en-US" w:eastAsia="zh-CN"/>
        </w:rPr>
        <w:t>: 1154-1162 [PMID: 21039677 DOI: 10.</w:t>
      </w:r>
      <w:r w:rsidR="000B30EC">
        <w:rPr>
          <w:rFonts w:ascii="Book Antiqua" w:hAnsi="Book Antiqua" w:cs="宋体"/>
          <w:sz w:val="24"/>
          <w:szCs w:val="24"/>
          <w:lang w:val="en-US" w:eastAsia="zh-CN"/>
        </w:rPr>
        <w:t>1111/j.1365-2036.2010.04454.x]</w:t>
      </w:r>
    </w:p>
    <w:p w14:paraId="188D1FDB" w14:textId="0216FDD1" w:rsidR="00845A83" w:rsidRPr="00845A83" w:rsidRDefault="00845A83" w:rsidP="00845A83">
      <w:pPr>
        <w:spacing w:after="0" w:line="360" w:lineRule="auto"/>
        <w:jc w:val="both"/>
        <w:rPr>
          <w:rFonts w:ascii="Book Antiqua" w:hAnsi="Book Antiqua" w:cs="宋体"/>
          <w:sz w:val="24"/>
          <w:szCs w:val="24"/>
          <w:lang w:val="en-US" w:eastAsia="zh-CN"/>
        </w:rPr>
      </w:pPr>
      <w:r w:rsidRPr="00845A83">
        <w:rPr>
          <w:rFonts w:ascii="Book Antiqua" w:hAnsi="Book Antiqua" w:cs="宋体"/>
          <w:sz w:val="24"/>
          <w:szCs w:val="24"/>
          <w:lang w:val="en-US" w:eastAsia="zh-CN"/>
        </w:rPr>
        <w:t xml:space="preserve">15 </w:t>
      </w:r>
      <w:r w:rsidRPr="00845A83">
        <w:rPr>
          <w:rFonts w:ascii="Book Antiqua" w:hAnsi="Book Antiqua" w:cs="宋体"/>
          <w:b/>
          <w:bCs/>
          <w:sz w:val="24"/>
          <w:szCs w:val="24"/>
          <w:lang w:val="en-US" w:eastAsia="zh-CN"/>
        </w:rPr>
        <w:t>Amitrano L</w:t>
      </w:r>
      <w:r w:rsidRPr="00845A83">
        <w:rPr>
          <w:rFonts w:ascii="Book Antiqua" w:hAnsi="Book Antiqua" w:cs="宋体"/>
          <w:sz w:val="24"/>
          <w:szCs w:val="24"/>
          <w:lang w:val="en-US" w:eastAsia="zh-CN"/>
        </w:rPr>
        <w:t xml:space="preserve">, Guardascione MA. </w:t>
      </w:r>
      <w:proofErr w:type="gramStart"/>
      <w:r w:rsidRPr="00845A83">
        <w:rPr>
          <w:rFonts w:ascii="Book Antiqua" w:hAnsi="Book Antiqua" w:cs="宋体"/>
          <w:sz w:val="24"/>
          <w:szCs w:val="24"/>
          <w:lang w:val="en-US" w:eastAsia="zh-CN"/>
        </w:rPr>
        <w:t>Management of portal vein thrombosis in cirrhotic patients.</w:t>
      </w:r>
      <w:proofErr w:type="gramEnd"/>
      <w:r w:rsidRPr="00845A83">
        <w:rPr>
          <w:rFonts w:ascii="Book Antiqua" w:hAnsi="Book Antiqua" w:cs="宋体"/>
          <w:sz w:val="24"/>
          <w:szCs w:val="24"/>
          <w:lang w:val="en-US" w:eastAsia="zh-CN"/>
        </w:rPr>
        <w:t xml:space="preserve"> </w:t>
      </w:r>
      <w:r w:rsidRPr="00845A83">
        <w:rPr>
          <w:rFonts w:ascii="Book Antiqua" w:hAnsi="Book Antiqua" w:cs="宋体"/>
          <w:i/>
          <w:iCs/>
          <w:sz w:val="24"/>
          <w:szCs w:val="24"/>
          <w:lang w:val="en-US" w:eastAsia="zh-CN"/>
        </w:rPr>
        <w:t>Mediterr J Hematol Infect Dis</w:t>
      </w:r>
      <w:r w:rsidRPr="00845A83">
        <w:rPr>
          <w:rFonts w:ascii="Book Antiqua" w:hAnsi="Book Antiqua" w:cs="宋体"/>
          <w:sz w:val="24"/>
          <w:szCs w:val="24"/>
          <w:lang w:val="en-US" w:eastAsia="zh-CN"/>
        </w:rPr>
        <w:t xml:space="preserve"> 2009; </w:t>
      </w:r>
      <w:r w:rsidRPr="00845A83">
        <w:rPr>
          <w:rFonts w:ascii="Book Antiqua" w:hAnsi="Book Antiqua" w:cs="宋体"/>
          <w:b/>
          <w:bCs/>
          <w:sz w:val="24"/>
          <w:szCs w:val="24"/>
          <w:lang w:val="en-US" w:eastAsia="zh-CN"/>
        </w:rPr>
        <w:t>1</w:t>
      </w:r>
      <w:r w:rsidRPr="00845A83">
        <w:rPr>
          <w:rFonts w:ascii="Book Antiqua" w:hAnsi="Book Antiqua" w:cs="宋体"/>
          <w:sz w:val="24"/>
          <w:szCs w:val="24"/>
          <w:lang w:val="en-US" w:eastAsia="zh-CN"/>
        </w:rPr>
        <w:t xml:space="preserve">: e2009014 [PMID: 21415954 </w:t>
      </w:r>
      <w:r w:rsidR="000B30EC">
        <w:rPr>
          <w:rFonts w:ascii="Book Antiqua" w:hAnsi="Book Antiqua" w:cs="宋体"/>
          <w:sz w:val="24"/>
          <w:szCs w:val="24"/>
          <w:lang w:val="en-US" w:eastAsia="zh-CN"/>
        </w:rPr>
        <w:t>DOI: 10.4084/MJHID.2009.014]</w:t>
      </w:r>
    </w:p>
    <w:p w14:paraId="790BDF1C" w14:textId="452FD653" w:rsidR="00845A83" w:rsidRPr="00845A83" w:rsidRDefault="00845A83" w:rsidP="00845A83">
      <w:pPr>
        <w:spacing w:after="0" w:line="360" w:lineRule="auto"/>
        <w:jc w:val="both"/>
        <w:rPr>
          <w:rFonts w:ascii="Book Antiqua" w:hAnsi="Book Antiqua" w:cs="宋体"/>
          <w:sz w:val="24"/>
          <w:szCs w:val="24"/>
          <w:lang w:val="en-US" w:eastAsia="zh-CN"/>
        </w:rPr>
      </w:pPr>
      <w:r w:rsidRPr="00845A83">
        <w:rPr>
          <w:rFonts w:ascii="Book Antiqua" w:hAnsi="Book Antiqua" w:cs="宋体"/>
          <w:sz w:val="24"/>
          <w:szCs w:val="24"/>
          <w:lang w:val="en-US" w:eastAsia="zh-CN"/>
        </w:rPr>
        <w:t xml:space="preserve">16 </w:t>
      </w:r>
      <w:r w:rsidRPr="00845A83">
        <w:rPr>
          <w:rFonts w:ascii="Book Antiqua" w:hAnsi="Book Antiqua" w:cs="宋体"/>
          <w:b/>
          <w:bCs/>
          <w:sz w:val="24"/>
          <w:szCs w:val="24"/>
          <w:lang w:val="en-US" w:eastAsia="zh-CN"/>
        </w:rPr>
        <w:t>Noble SI</w:t>
      </w:r>
      <w:r w:rsidRPr="00845A83">
        <w:rPr>
          <w:rFonts w:ascii="Book Antiqua" w:hAnsi="Book Antiqua" w:cs="宋体"/>
          <w:sz w:val="24"/>
          <w:szCs w:val="24"/>
          <w:lang w:val="en-US" w:eastAsia="zh-CN"/>
        </w:rPr>
        <w:t xml:space="preserve">, Shelley MD, Coles B, Williams SM, Wilcock A, Johnson MJ. Management of venous thromboembolism in patients with advanced cancer: a systematic review and meta-analysis. </w:t>
      </w:r>
      <w:r w:rsidRPr="00845A83">
        <w:rPr>
          <w:rFonts w:ascii="Book Antiqua" w:hAnsi="Book Antiqua" w:cs="宋体"/>
          <w:i/>
          <w:iCs/>
          <w:sz w:val="24"/>
          <w:szCs w:val="24"/>
          <w:lang w:val="en-US" w:eastAsia="zh-CN"/>
        </w:rPr>
        <w:t>Lancet Oncol</w:t>
      </w:r>
      <w:r w:rsidRPr="00845A83">
        <w:rPr>
          <w:rFonts w:ascii="Book Antiqua" w:hAnsi="Book Antiqua" w:cs="宋体"/>
          <w:sz w:val="24"/>
          <w:szCs w:val="24"/>
          <w:lang w:val="en-US" w:eastAsia="zh-CN"/>
        </w:rPr>
        <w:t xml:space="preserve"> 2008; </w:t>
      </w:r>
      <w:r w:rsidRPr="00845A83">
        <w:rPr>
          <w:rFonts w:ascii="Book Antiqua" w:hAnsi="Book Antiqua" w:cs="宋体"/>
          <w:b/>
          <w:bCs/>
          <w:sz w:val="24"/>
          <w:szCs w:val="24"/>
          <w:lang w:val="en-US" w:eastAsia="zh-CN"/>
        </w:rPr>
        <w:t>9</w:t>
      </w:r>
      <w:r w:rsidRPr="00845A83">
        <w:rPr>
          <w:rFonts w:ascii="Book Antiqua" w:hAnsi="Book Antiqua" w:cs="宋体"/>
          <w:sz w:val="24"/>
          <w:szCs w:val="24"/>
          <w:lang w:val="en-US" w:eastAsia="zh-CN"/>
        </w:rPr>
        <w:t xml:space="preserve">: 577-584 [PMID: 18510989 DOI: </w:t>
      </w:r>
      <w:r w:rsidR="000B30EC">
        <w:rPr>
          <w:rFonts w:ascii="Book Antiqua" w:hAnsi="Book Antiqua" w:cs="宋体"/>
          <w:sz w:val="24"/>
          <w:szCs w:val="24"/>
          <w:lang w:val="en-US" w:eastAsia="zh-CN"/>
        </w:rPr>
        <w:t>10.1016/S1470-2045(08)70149-9]</w:t>
      </w:r>
    </w:p>
    <w:p w14:paraId="577B2B1C" w14:textId="352C7F49" w:rsidR="00845A83" w:rsidRPr="00845A83" w:rsidRDefault="00845A83" w:rsidP="00845A83">
      <w:pPr>
        <w:spacing w:after="0" w:line="360" w:lineRule="auto"/>
        <w:jc w:val="both"/>
        <w:rPr>
          <w:rFonts w:ascii="Book Antiqua" w:hAnsi="Book Antiqua" w:cs="宋体"/>
          <w:sz w:val="24"/>
          <w:szCs w:val="24"/>
          <w:lang w:val="en-US" w:eastAsia="zh-CN"/>
        </w:rPr>
      </w:pPr>
      <w:r w:rsidRPr="00845A83">
        <w:rPr>
          <w:rFonts w:ascii="Book Antiqua" w:hAnsi="Book Antiqua" w:cs="宋体"/>
          <w:sz w:val="24"/>
          <w:szCs w:val="24"/>
          <w:lang w:val="en-US" w:eastAsia="zh-CN"/>
        </w:rPr>
        <w:t xml:space="preserve">17 </w:t>
      </w:r>
      <w:r w:rsidRPr="00845A83">
        <w:rPr>
          <w:rFonts w:ascii="Book Antiqua" w:hAnsi="Book Antiqua" w:cs="宋体"/>
          <w:b/>
          <w:bCs/>
          <w:sz w:val="24"/>
          <w:szCs w:val="24"/>
          <w:lang w:val="en-US" w:eastAsia="zh-CN"/>
        </w:rPr>
        <w:t>Prandoni P</w:t>
      </w:r>
      <w:r w:rsidRPr="00845A83">
        <w:rPr>
          <w:rFonts w:ascii="Book Antiqua" w:hAnsi="Book Antiqua" w:cs="宋体"/>
          <w:sz w:val="24"/>
          <w:szCs w:val="24"/>
          <w:lang w:val="en-US" w:eastAsia="zh-CN"/>
        </w:rPr>
        <w:t xml:space="preserve">, Lensing AW, Piccioli A, Bernardi E, Simioni P, Girolami B, Marchiori A, Sabbion P, Prins MH, Noventa F, Girolami A. Recurrent venous thromboembolism and bleeding complications during anticoagulant treatment in patients with cancer and venous thrombosis. </w:t>
      </w:r>
      <w:r w:rsidRPr="00845A83">
        <w:rPr>
          <w:rFonts w:ascii="Book Antiqua" w:hAnsi="Book Antiqua" w:cs="宋体"/>
          <w:i/>
          <w:iCs/>
          <w:sz w:val="24"/>
          <w:szCs w:val="24"/>
          <w:lang w:val="en-US" w:eastAsia="zh-CN"/>
        </w:rPr>
        <w:t>Blood</w:t>
      </w:r>
      <w:r w:rsidRPr="00845A83">
        <w:rPr>
          <w:rFonts w:ascii="Book Antiqua" w:hAnsi="Book Antiqua" w:cs="宋体"/>
          <w:sz w:val="24"/>
          <w:szCs w:val="24"/>
          <w:lang w:val="en-US" w:eastAsia="zh-CN"/>
        </w:rPr>
        <w:t xml:space="preserve"> 2002; </w:t>
      </w:r>
      <w:r w:rsidRPr="00845A83">
        <w:rPr>
          <w:rFonts w:ascii="Book Antiqua" w:hAnsi="Book Antiqua" w:cs="宋体"/>
          <w:b/>
          <w:bCs/>
          <w:sz w:val="24"/>
          <w:szCs w:val="24"/>
          <w:lang w:val="en-US" w:eastAsia="zh-CN"/>
        </w:rPr>
        <w:t>100</w:t>
      </w:r>
      <w:r w:rsidRPr="00845A83">
        <w:rPr>
          <w:rFonts w:ascii="Book Antiqua" w:hAnsi="Book Antiqua" w:cs="宋体"/>
          <w:sz w:val="24"/>
          <w:szCs w:val="24"/>
          <w:lang w:val="en-US" w:eastAsia="zh-CN"/>
        </w:rPr>
        <w:t>: 3484-3488 [PMID: 12393647 DO</w:t>
      </w:r>
      <w:r w:rsidR="000B30EC">
        <w:rPr>
          <w:rFonts w:ascii="Book Antiqua" w:hAnsi="Book Antiqua" w:cs="宋体"/>
          <w:sz w:val="24"/>
          <w:szCs w:val="24"/>
          <w:lang w:val="en-US" w:eastAsia="zh-CN"/>
        </w:rPr>
        <w:t>I: 10.1182/blood-2002-01-0108]</w:t>
      </w:r>
    </w:p>
    <w:p w14:paraId="2B31A744" w14:textId="11EA5F10" w:rsidR="00845A83" w:rsidRPr="00845A83" w:rsidRDefault="00845A83" w:rsidP="00845A83">
      <w:pPr>
        <w:spacing w:after="0" w:line="360" w:lineRule="auto"/>
        <w:jc w:val="both"/>
        <w:rPr>
          <w:rFonts w:ascii="Book Antiqua" w:hAnsi="Book Antiqua" w:cs="宋体"/>
          <w:sz w:val="24"/>
          <w:szCs w:val="24"/>
          <w:lang w:val="en-US" w:eastAsia="zh-CN"/>
        </w:rPr>
      </w:pPr>
      <w:r w:rsidRPr="00845A83">
        <w:rPr>
          <w:rFonts w:ascii="Book Antiqua" w:hAnsi="Book Antiqua" w:cs="宋体"/>
          <w:sz w:val="24"/>
          <w:szCs w:val="24"/>
          <w:lang w:val="en-US" w:eastAsia="zh-CN"/>
        </w:rPr>
        <w:lastRenderedPageBreak/>
        <w:t xml:space="preserve">18 </w:t>
      </w:r>
      <w:r w:rsidRPr="00845A83">
        <w:rPr>
          <w:rFonts w:ascii="Book Antiqua" w:hAnsi="Book Antiqua" w:cs="宋体"/>
          <w:b/>
          <w:bCs/>
          <w:sz w:val="24"/>
          <w:szCs w:val="24"/>
          <w:lang w:val="en-US" w:eastAsia="zh-CN"/>
        </w:rPr>
        <w:t>Akl EA</w:t>
      </w:r>
      <w:r w:rsidRPr="00845A83">
        <w:rPr>
          <w:rFonts w:ascii="Book Antiqua" w:hAnsi="Book Antiqua" w:cs="宋体"/>
          <w:sz w:val="24"/>
          <w:szCs w:val="24"/>
          <w:lang w:val="en-US" w:eastAsia="zh-CN"/>
        </w:rPr>
        <w:t xml:space="preserve">, Labedi N, Barba M, Terrenato I, Sperati F, Muti P, Schünemann H. Anticoagulation for the long-term treatment of venous thromboembolism in patients with cancer. </w:t>
      </w:r>
      <w:r w:rsidRPr="00845A83">
        <w:rPr>
          <w:rFonts w:ascii="Book Antiqua" w:hAnsi="Book Antiqua" w:cs="宋体"/>
          <w:i/>
          <w:iCs/>
          <w:sz w:val="24"/>
          <w:szCs w:val="24"/>
          <w:lang w:val="en-US" w:eastAsia="zh-CN"/>
        </w:rPr>
        <w:t>Cochrane Database Syst Rev</w:t>
      </w:r>
      <w:r w:rsidRPr="00845A83">
        <w:rPr>
          <w:rFonts w:ascii="Book Antiqua" w:hAnsi="Book Antiqua" w:cs="宋体"/>
          <w:sz w:val="24"/>
          <w:szCs w:val="24"/>
          <w:lang w:val="en-US" w:eastAsia="zh-CN"/>
        </w:rPr>
        <w:t xml:space="preserve"> 2011; </w:t>
      </w:r>
      <w:r w:rsidR="000B30EC">
        <w:rPr>
          <w:rFonts w:ascii="Book Antiqua" w:hAnsi="Book Antiqua" w:cs="宋体" w:hint="eastAsia"/>
          <w:b/>
          <w:sz w:val="24"/>
          <w:szCs w:val="24"/>
          <w:lang w:val="en-US" w:eastAsia="zh-CN"/>
        </w:rPr>
        <w:t>7</w:t>
      </w:r>
      <w:r w:rsidRPr="00845A83">
        <w:rPr>
          <w:rFonts w:ascii="Book Antiqua" w:hAnsi="Book Antiqua" w:cs="宋体"/>
          <w:sz w:val="24"/>
          <w:szCs w:val="24"/>
          <w:lang w:val="en-US" w:eastAsia="zh-CN"/>
        </w:rPr>
        <w:t>: CD006650 [PMID: 21678361 DOI: 1</w:t>
      </w:r>
      <w:r w:rsidR="000B30EC">
        <w:rPr>
          <w:rFonts w:ascii="Book Antiqua" w:hAnsi="Book Antiqua" w:cs="宋体"/>
          <w:sz w:val="24"/>
          <w:szCs w:val="24"/>
          <w:lang w:val="en-US" w:eastAsia="zh-CN"/>
        </w:rPr>
        <w:t>0.1002/14651858.CD006650.pub3]</w:t>
      </w:r>
    </w:p>
    <w:p w14:paraId="2AEAAA3B" w14:textId="260E66D6" w:rsidR="00845A83" w:rsidRPr="00845A83" w:rsidRDefault="00845A83" w:rsidP="00845A83">
      <w:pPr>
        <w:spacing w:after="0" w:line="360" w:lineRule="auto"/>
        <w:jc w:val="both"/>
        <w:rPr>
          <w:rFonts w:ascii="Book Antiqua" w:hAnsi="Book Antiqua" w:cs="宋体"/>
          <w:sz w:val="24"/>
          <w:szCs w:val="24"/>
          <w:lang w:val="en-US" w:eastAsia="zh-CN"/>
        </w:rPr>
      </w:pPr>
      <w:r w:rsidRPr="00845A83">
        <w:rPr>
          <w:rFonts w:ascii="Book Antiqua" w:hAnsi="Book Antiqua" w:cs="宋体"/>
          <w:sz w:val="24"/>
          <w:szCs w:val="24"/>
          <w:lang w:val="en-US" w:eastAsia="zh-CN"/>
        </w:rPr>
        <w:t xml:space="preserve">19 </w:t>
      </w:r>
      <w:r w:rsidRPr="00845A83">
        <w:rPr>
          <w:rFonts w:ascii="Book Antiqua" w:hAnsi="Book Antiqua" w:cs="宋体"/>
          <w:b/>
          <w:bCs/>
          <w:sz w:val="24"/>
          <w:szCs w:val="24"/>
          <w:lang w:val="en-US" w:eastAsia="zh-CN"/>
        </w:rPr>
        <w:t>Lyman GH</w:t>
      </w:r>
      <w:r w:rsidRPr="00845A83">
        <w:rPr>
          <w:rFonts w:ascii="Book Antiqua" w:hAnsi="Book Antiqua" w:cs="宋体"/>
          <w:sz w:val="24"/>
          <w:szCs w:val="24"/>
          <w:lang w:val="en-US" w:eastAsia="zh-CN"/>
        </w:rPr>
        <w:t xml:space="preserve">, Khorana AA, Kuderer NM, Lee AY, Arcelus JI, Balaban EP, Clarke JM, Flowers CR, Francis CW, Gates LE, Kakkar AK, Key NS, Levine MN, Liebman HA, Tempero MA, Wong SL, Prestrud AA, Falanga A. Venous thromboembolism prophylaxis and treatment in patients with cancer: American Society of Clinical Oncology clinical practice guideline update. </w:t>
      </w:r>
      <w:r w:rsidRPr="00845A83">
        <w:rPr>
          <w:rFonts w:ascii="Book Antiqua" w:hAnsi="Book Antiqua" w:cs="宋体"/>
          <w:i/>
          <w:iCs/>
          <w:sz w:val="24"/>
          <w:szCs w:val="24"/>
          <w:lang w:val="en-US" w:eastAsia="zh-CN"/>
        </w:rPr>
        <w:t>J Clin Oncol</w:t>
      </w:r>
      <w:r w:rsidRPr="00845A83">
        <w:rPr>
          <w:rFonts w:ascii="Book Antiqua" w:hAnsi="Book Antiqua" w:cs="宋体"/>
          <w:sz w:val="24"/>
          <w:szCs w:val="24"/>
          <w:lang w:val="en-US" w:eastAsia="zh-CN"/>
        </w:rPr>
        <w:t xml:space="preserve"> 2013; </w:t>
      </w:r>
      <w:r w:rsidRPr="00845A83">
        <w:rPr>
          <w:rFonts w:ascii="Book Antiqua" w:hAnsi="Book Antiqua" w:cs="宋体"/>
          <w:b/>
          <w:bCs/>
          <w:sz w:val="24"/>
          <w:szCs w:val="24"/>
          <w:lang w:val="en-US" w:eastAsia="zh-CN"/>
        </w:rPr>
        <w:t>31</w:t>
      </w:r>
      <w:r w:rsidRPr="00845A83">
        <w:rPr>
          <w:rFonts w:ascii="Book Antiqua" w:hAnsi="Book Antiqua" w:cs="宋体"/>
          <w:sz w:val="24"/>
          <w:szCs w:val="24"/>
          <w:lang w:val="en-US" w:eastAsia="zh-CN"/>
        </w:rPr>
        <w:t xml:space="preserve">: 2189-2204 [PMID: 23669224 </w:t>
      </w:r>
      <w:r w:rsidR="000B30EC">
        <w:rPr>
          <w:rFonts w:ascii="Book Antiqua" w:hAnsi="Book Antiqua" w:cs="宋体"/>
          <w:sz w:val="24"/>
          <w:szCs w:val="24"/>
          <w:lang w:val="en-US" w:eastAsia="zh-CN"/>
        </w:rPr>
        <w:t>DOI: 10.1200/JCO.2013.49.1118]</w:t>
      </w:r>
    </w:p>
    <w:p w14:paraId="07915AB3" w14:textId="35B2C440" w:rsidR="00845A83" w:rsidRPr="00845A83" w:rsidRDefault="00845A83" w:rsidP="00845A83">
      <w:pPr>
        <w:spacing w:after="0" w:line="360" w:lineRule="auto"/>
        <w:jc w:val="both"/>
        <w:rPr>
          <w:rFonts w:ascii="Book Antiqua" w:hAnsi="Book Antiqua" w:cs="宋体"/>
          <w:sz w:val="24"/>
          <w:szCs w:val="24"/>
          <w:lang w:val="en-US" w:eastAsia="zh-CN"/>
        </w:rPr>
      </w:pPr>
      <w:r w:rsidRPr="00845A83">
        <w:rPr>
          <w:rFonts w:ascii="Book Antiqua" w:hAnsi="Book Antiqua" w:cs="宋体"/>
          <w:sz w:val="24"/>
          <w:szCs w:val="24"/>
          <w:lang w:val="en-US" w:eastAsia="zh-CN"/>
        </w:rPr>
        <w:t xml:space="preserve">20 </w:t>
      </w:r>
      <w:r w:rsidRPr="00845A83">
        <w:rPr>
          <w:rFonts w:ascii="Book Antiqua" w:hAnsi="Book Antiqua" w:cs="宋体"/>
          <w:b/>
          <w:bCs/>
          <w:sz w:val="24"/>
          <w:szCs w:val="24"/>
          <w:lang w:val="en-US" w:eastAsia="zh-CN"/>
        </w:rPr>
        <w:t>Mandalà M</w:t>
      </w:r>
      <w:r w:rsidRPr="00845A83">
        <w:rPr>
          <w:rFonts w:ascii="Book Antiqua" w:hAnsi="Book Antiqua" w:cs="宋体"/>
          <w:sz w:val="24"/>
          <w:szCs w:val="24"/>
          <w:lang w:val="en-US" w:eastAsia="zh-CN"/>
        </w:rPr>
        <w:t xml:space="preserve">, Falanga A, Roila F. Management of venous thromboembolism (VTE) in cancer patients: ESMO Clinical Practice Guidelines. </w:t>
      </w:r>
      <w:r w:rsidRPr="00845A83">
        <w:rPr>
          <w:rFonts w:ascii="Book Antiqua" w:hAnsi="Book Antiqua" w:cs="宋体"/>
          <w:i/>
          <w:iCs/>
          <w:sz w:val="24"/>
          <w:szCs w:val="24"/>
          <w:lang w:val="en-US" w:eastAsia="zh-CN"/>
        </w:rPr>
        <w:t>Ann Oncol</w:t>
      </w:r>
      <w:r w:rsidRPr="00845A83">
        <w:rPr>
          <w:rFonts w:ascii="Book Antiqua" w:hAnsi="Book Antiqua" w:cs="宋体"/>
          <w:sz w:val="24"/>
          <w:szCs w:val="24"/>
          <w:lang w:val="en-US" w:eastAsia="zh-CN"/>
        </w:rPr>
        <w:t xml:space="preserve"> 2011; </w:t>
      </w:r>
      <w:r w:rsidRPr="00845A83">
        <w:rPr>
          <w:rFonts w:ascii="Book Antiqua" w:hAnsi="Book Antiqua" w:cs="宋体"/>
          <w:b/>
          <w:bCs/>
          <w:sz w:val="24"/>
          <w:szCs w:val="24"/>
          <w:lang w:val="en-US" w:eastAsia="zh-CN"/>
        </w:rPr>
        <w:t xml:space="preserve">22 </w:t>
      </w:r>
      <w:r w:rsidRPr="00845A83">
        <w:rPr>
          <w:rFonts w:ascii="Book Antiqua" w:hAnsi="Book Antiqua" w:cs="宋体"/>
          <w:bCs/>
          <w:sz w:val="24"/>
          <w:szCs w:val="24"/>
          <w:lang w:val="en-US" w:eastAsia="zh-CN"/>
        </w:rPr>
        <w:t>Suppl 6</w:t>
      </w:r>
      <w:r w:rsidRPr="00845A83">
        <w:rPr>
          <w:rFonts w:ascii="Book Antiqua" w:hAnsi="Book Antiqua" w:cs="宋体"/>
          <w:sz w:val="24"/>
          <w:szCs w:val="24"/>
          <w:lang w:val="en-US" w:eastAsia="zh-CN"/>
        </w:rPr>
        <w:t>: vi85-vi92 [PMID: 21908511 DOI: 10</w:t>
      </w:r>
      <w:r w:rsidR="000B30EC">
        <w:rPr>
          <w:rFonts w:ascii="Book Antiqua" w:hAnsi="Book Antiqua" w:cs="宋体"/>
          <w:sz w:val="24"/>
          <w:szCs w:val="24"/>
          <w:lang w:val="en-US" w:eastAsia="zh-CN"/>
        </w:rPr>
        <w:t>.1093/annonc/mdr392]</w:t>
      </w:r>
    </w:p>
    <w:p w14:paraId="6E514085" w14:textId="28D5E19F" w:rsidR="00845A83" w:rsidRPr="00845A83" w:rsidRDefault="00845A83" w:rsidP="00845A83">
      <w:pPr>
        <w:spacing w:after="0" w:line="360" w:lineRule="auto"/>
        <w:jc w:val="both"/>
        <w:rPr>
          <w:rFonts w:ascii="Book Antiqua" w:hAnsi="Book Antiqua" w:cs="宋体"/>
          <w:sz w:val="24"/>
          <w:szCs w:val="24"/>
          <w:lang w:val="en-US" w:eastAsia="zh-CN"/>
        </w:rPr>
      </w:pPr>
      <w:r w:rsidRPr="00845A83">
        <w:rPr>
          <w:rFonts w:ascii="Book Antiqua" w:hAnsi="Book Antiqua" w:cs="宋体"/>
          <w:sz w:val="24"/>
          <w:szCs w:val="24"/>
          <w:lang w:val="en-US" w:eastAsia="zh-CN"/>
        </w:rPr>
        <w:t xml:space="preserve">21 </w:t>
      </w:r>
      <w:r w:rsidRPr="00845A83">
        <w:rPr>
          <w:rFonts w:ascii="Book Antiqua" w:hAnsi="Book Antiqua" w:cs="宋体"/>
          <w:b/>
          <w:bCs/>
          <w:sz w:val="24"/>
          <w:szCs w:val="24"/>
          <w:lang w:val="en-US" w:eastAsia="zh-CN"/>
        </w:rPr>
        <w:t>Debourdeau P</w:t>
      </w:r>
      <w:r w:rsidRPr="00845A83">
        <w:rPr>
          <w:rFonts w:ascii="Book Antiqua" w:hAnsi="Book Antiqua" w:cs="宋体"/>
          <w:sz w:val="24"/>
          <w:szCs w:val="24"/>
          <w:lang w:val="en-US" w:eastAsia="zh-CN"/>
        </w:rPr>
        <w:t xml:space="preserve">, Farge D, Beckers M, Baglin C, Bauersachs RM, Brenner B, Brilhante D, Falanga A, Gerotzafias GT, Haim N, Kakkar AK, Khorana AA, Lecumberri R, Mandala M, Marty M, Monreal M, Mousa SA, Noble S, Pabinger I, Prandoni P, Prins MH, Qari MH, Streiff MB, Syrigos K, Büller HR, Bounameaux H. International clinical practice guidelines for the treatment and prophylaxis of thrombosis associated with central venous catheters in patients with cancer. </w:t>
      </w:r>
      <w:r w:rsidRPr="00845A83">
        <w:rPr>
          <w:rFonts w:ascii="Book Antiqua" w:hAnsi="Book Antiqua" w:cs="宋体"/>
          <w:i/>
          <w:iCs/>
          <w:sz w:val="24"/>
          <w:szCs w:val="24"/>
          <w:lang w:val="en-US" w:eastAsia="zh-CN"/>
        </w:rPr>
        <w:t>J Thromb Haemost</w:t>
      </w:r>
      <w:r w:rsidRPr="00845A83">
        <w:rPr>
          <w:rFonts w:ascii="Book Antiqua" w:hAnsi="Book Antiqua" w:cs="宋体"/>
          <w:sz w:val="24"/>
          <w:szCs w:val="24"/>
          <w:lang w:val="en-US" w:eastAsia="zh-CN"/>
        </w:rPr>
        <w:t xml:space="preserve"> 2013; </w:t>
      </w:r>
      <w:r w:rsidRPr="00845A83">
        <w:rPr>
          <w:rFonts w:ascii="Book Antiqua" w:hAnsi="Book Antiqua" w:cs="宋体"/>
          <w:b/>
          <w:bCs/>
          <w:sz w:val="24"/>
          <w:szCs w:val="24"/>
          <w:lang w:val="en-US" w:eastAsia="zh-CN"/>
        </w:rPr>
        <w:t>11</w:t>
      </w:r>
      <w:r w:rsidRPr="00845A83">
        <w:rPr>
          <w:rFonts w:ascii="Book Antiqua" w:hAnsi="Book Antiqua" w:cs="宋体"/>
          <w:sz w:val="24"/>
          <w:szCs w:val="24"/>
          <w:lang w:val="en-US" w:eastAsia="zh-CN"/>
        </w:rPr>
        <w:t>: 71-80 [PMID: 23</w:t>
      </w:r>
      <w:r w:rsidR="000B30EC">
        <w:rPr>
          <w:rFonts w:ascii="Book Antiqua" w:hAnsi="Book Antiqua" w:cs="宋体"/>
          <w:sz w:val="24"/>
          <w:szCs w:val="24"/>
          <w:lang w:val="en-US" w:eastAsia="zh-CN"/>
        </w:rPr>
        <w:t>217208 DOI: 10.1111/jth.12071]</w:t>
      </w:r>
    </w:p>
    <w:p w14:paraId="3E2510B3" w14:textId="24A48655" w:rsidR="00845A83" w:rsidRPr="00845A83" w:rsidRDefault="00845A83" w:rsidP="00845A83">
      <w:pPr>
        <w:spacing w:after="0" w:line="360" w:lineRule="auto"/>
        <w:jc w:val="both"/>
        <w:rPr>
          <w:rFonts w:ascii="Book Antiqua" w:hAnsi="Book Antiqua" w:cs="宋体"/>
          <w:sz w:val="24"/>
          <w:szCs w:val="24"/>
          <w:lang w:val="en-US" w:eastAsia="zh-CN"/>
        </w:rPr>
      </w:pPr>
      <w:r w:rsidRPr="00845A83">
        <w:rPr>
          <w:rFonts w:ascii="Book Antiqua" w:hAnsi="Book Antiqua" w:cs="宋体"/>
          <w:sz w:val="24"/>
          <w:szCs w:val="24"/>
          <w:lang w:val="en-US" w:eastAsia="zh-CN"/>
        </w:rPr>
        <w:t xml:space="preserve">22 </w:t>
      </w:r>
      <w:r w:rsidRPr="00845A83">
        <w:rPr>
          <w:rFonts w:ascii="Book Antiqua" w:hAnsi="Book Antiqua" w:cs="宋体"/>
          <w:b/>
          <w:bCs/>
          <w:sz w:val="24"/>
          <w:szCs w:val="24"/>
          <w:lang w:val="en-US" w:eastAsia="zh-CN"/>
        </w:rPr>
        <w:t>Watson HG</w:t>
      </w:r>
      <w:r w:rsidRPr="00845A83">
        <w:rPr>
          <w:rFonts w:ascii="Book Antiqua" w:hAnsi="Book Antiqua" w:cs="宋体"/>
          <w:sz w:val="24"/>
          <w:szCs w:val="24"/>
          <w:lang w:val="en-US" w:eastAsia="zh-CN"/>
        </w:rPr>
        <w:t xml:space="preserve">, Keeling DM, Laffan M, Tait RC, Makris M. Guideline on aspects of cancer-related venous thrombosis. </w:t>
      </w:r>
      <w:r w:rsidRPr="00845A83">
        <w:rPr>
          <w:rFonts w:ascii="Book Antiqua" w:hAnsi="Book Antiqua" w:cs="宋体"/>
          <w:i/>
          <w:iCs/>
          <w:sz w:val="24"/>
          <w:szCs w:val="24"/>
          <w:lang w:val="en-US" w:eastAsia="zh-CN"/>
        </w:rPr>
        <w:t>Br J Haematol</w:t>
      </w:r>
      <w:r w:rsidRPr="00845A83">
        <w:rPr>
          <w:rFonts w:ascii="Book Antiqua" w:hAnsi="Book Antiqua" w:cs="宋体"/>
          <w:sz w:val="24"/>
          <w:szCs w:val="24"/>
          <w:lang w:val="en-US" w:eastAsia="zh-CN"/>
        </w:rPr>
        <w:t xml:space="preserve"> 2015; </w:t>
      </w:r>
      <w:r w:rsidRPr="00845A83">
        <w:rPr>
          <w:rFonts w:ascii="Book Antiqua" w:hAnsi="Book Antiqua" w:cs="宋体"/>
          <w:b/>
          <w:bCs/>
          <w:sz w:val="24"/>
          <w:szCs w:val="24"/>
          <w:lang w:val="en-US" w:eastAsia="zh-CN"/>
        </w:rPr>
        <w:t>170</w:t>
      </w:r>
      <w:r w:rsidRPr="00845A83">
        <w:rPr>
          <w:rFonts w:ascii="Book Antiqua" w:hAnsi="Book Antiqua" w:cs="宋体"/>
          <w:sz w:val="24"/>
          <w:szCs w:val="24"/>
          <w:lang w:val="en-US" w:eastAsia="zh-CN"/>
        </w:rPr>
        <w:t>: 640-648 [PMID: 26</w:t>
      </w:r>
      <w:r w:rsidR="000B30EC">
        <w:rPr>
          <w:rFonts w:ascii="Book Antiqua" w:hAnsi="Book Antiqua" w:cs="宋体"/>
          <w:sz w:val="24"/>
          <w:szCs w:val="24"/>
          <w:lang w:val="en-US" w:eastAsia="zh-CN"/>
        </w:rPr>
        <w:t>114207 DOI: 10.1111/bjh.13556]</w:t>
      </w:r>
    </w:p>
    <w:p w14:paraId="2EFE6989" w14:textId="0CC2F090" w:rsidR="00845A83" w:rsidRPr="00845A83" w:rsidRDefault="00845A83" w:rsidP="00845A83">
      <w:pPr>
        <w:spacing w:after="0" w:line="360" w:lineRule="auto"/>
        <w:jc w:val="both"/>
        <w:rPr>
          <w:rFonts w:ascii="Book Antiqua" w:hAnsi="Book Antiqua" w:cs="宋体"/>
          <w:sz w:val="24"/>
          <w:szCs w:val="24"/>
          <w:lang w:val="en-US" w:eastAsia="zh-CN"/>
        </w:rPr>
      </w:pPr>
      <w:r w:rsidRPr="00845A83">
        <w:rPr>
          <w:rFonts w:ascii="Book Antiqua" w:hAnsi="Book Antiqua" w:cs="宋体"/>
          <w:sz w:val="24"/>
          <w:szCs w:val="24"/>
          <w:lang w:val="en-US" w:eastAsia="zh-CN"/>
        </w:rPr>
        <w:t xml:space="preserve">23 </w:t>
      </w:r>
      <w:r w:rsidRPr="00845A83">
        <w:rPr>
          <w:rFonts w:ascii="Book Antiqua" w:hAnsi="Book Antiqua" w:cs="宋体"/>
          <w:b/>
          <w:bCs/>
          <w:sz w:val="24"/>
          <w:szCs w:val="24"/>
          <w:lang w:val="en-US" w:eastAsia="zh-CN"/>
        </w:rPr>
        <w:t>Wickham N</w:t>
      </w:r>
      <w:r w:rsidRPr="00845A83">
        <w:rPr>
          <w:rFonts w:ascii="Book Antiqua" w:hAnsi="Book Antiqua" w:cs="宋体"/>
          <w:sz w:val="24"/>
          <w:szCs w:val="24"/>
          <w:lang w:val="en-US" w:eastAsia="zh-CN"/>
        </w:rPr>
        <w:t xml:space="preserve">, Gallus AS, Walters BN, Wilson A. Prevention of venous thromboembolism in patients admitted to Australian hospitals: summary of National Health and Medical Research Council clinical practice guideline. </w:t>
      </w:r>
      <w:r w:rsidRPr="00845A83">
        <w:rPr>
          <w:rFonts w:ascii="Book Antiqua" w:hAnsi="Book Antiqua" w:cs="宋体"/>
          <w:i/>
          <w:iCs/>
          <w:sz w:val="24"/>
          <w:szCs w:val="24"/>
          <w:lang w:val="en-US" w:eastAsia="zh-CN"/>
        </w:rPr>
        <w:t>Intern Med J</w:t>
      </w:r>
      <w:r w:rsidRPr="00845A83">
        <w:rPr>
          <w:rFonts w:ascii="Book Antiqua" w:hAnsi="Book Antiqua" w:cs="宋体"/>
          <w:sz w:val="24"/>
          <w:szCs w:val="24"/>
          <w:lang w:val="en-US" w:eastAsia="zh-CN"/>
        </w:rPr>
        <w:t xml:space="preserve"> 2012; </w:t>
      </w:r>
      <w:r w:rsidRPr="00845A83">
        <w:rPr>
          <w:rFonts w:ascii="Book Antiqua" w:hAnsi="Book Antiqua" w:cs="宋体"/>
          <w:b/>
          <w:bCs/>
          <w:sz w:val="24"/>
          <w:szCs w:val="24"/>
          <w:lang w:val="en-US" w:eastAsia="zh-CN"/>
        </w:rPr>
        <w:t>42</w:t>
      </w:r>
      <w:r w:rsidRPr="00845A83">
        <w:rPr>
          <w:rFonts w:ascii="Book Antiqua" w:hAnsi="Book Antiqua" w:cs="宋体"/>
          <w:sz w:val="24"/>
          <w:szCs w:val="24"/>
          <w:lang w:val="en-US" w:eastAsia="zh-CN"/>
        </w:rPr>
        <w:t>: 698-708 [PMID: 22697152 DOI: 10.1111/j.1445-</w:t>
      </w:r>
      <w:r w:rsidR="000B30EC">
        <w:rPr>
          <w:rFonts w:ascii="Book Antiqua" w:hAnsi="Book Antiqua" w:cs="宋体"/>
          <w:sz w:val="24"/>
          <w:szCs w:val="24"/>
          <w:lang w:val="en-US" w:eastAsia="zh-CN"/>
        </w:rPr>
        <w:t>5994.2012.02808.x]</w:t>
      </w:r>
    </w:p>
    <w:p w14:paraId="712383AF" w14:textId="0C0C3121" w:rsidR="00845A83" w:rsidRPr="00845A83" w:rsidRDefault="00845A83" w:rsidP="00845A83">
      <w:pPr>
        <w:spacing w:after="0" w:line="360" w:lineRule="auto"/>
        <w:jc w:val="both"/>
        <w:rPr>
          <w:rFonts w:ascii="Book Antiqua" w:hAnsi="Book Antiqua" w:cs="宋体"/>
          <w:sz w:val="24"/>
          <w:szCs w:val="24"/>
          <w:lang w:val="en-US" w:eastAsia="zh-CN"/>
        </w:rPr>
      </w:pPr>
      <w:proofErr w:type="gramStart"/>
      <w:r w:rsidRPr="00845A83">
        <w:rPr>
          <w:rFonts w:ascii="Book Antiqua" w:hAnsi="Book Antiqua" w:cs="宋体"/>
          <w:sz w:val="24"/>
          <w:szCs w:val="24"/>
          <w:lang w:val="en-US" w:eastAsia="zh-CN"/>
        </w:rPr>
        <w:t xml:space="preserve">24 </w:t>
      </w:r>
      <w:r w:rsidRPr="00845A83">
        <w:rPr>
          <w:rFonts w:ascii="Book Antiqua" w:hAnsi="Book Antiqua" w:cs="宋体"/>
          <w:b/>
          <w:bCs/>
          <w:sz w:val="24"/>
          <w:szCs w:val="24"/>
          <w:lang w:val="en-US" w:eastAsia="zh-CN"/>
        </w:rPr>
        <w:t>Pollak AW</w:t>
      </w:r>
      <w:r w:rsidRPr="00845A83">
        <w:rPr>
          <w:rFonts w:ascii="Book Antiqua" w:hAnsi="Book Antiqua" w:cs="宋体"/>
          <w:sz w:val="24"/>
          <w:szCs w:val="24"/>
          <w:lang w:val="en-US" w:eastAsia="zh-CN"/>
        </w:rPr>
        <w:t>, McBane RD. Succinct review of the new VTE prevention and management guidelines.</w:t>
      </w:r>
      <w:proofErr w:type="gramEnd"/>
      <w:r w:rsidRPr="00845A83">
        <w:rPr>
          <w:rFonts w:ascii="Book Antiqua" w:hAnsi="Book Antiqua" w:cs="宋体"/>
          <w:sz w:val="24"/>
          <w:szCs w:val="24"/>
          <w:lang w:val="en-US" w:eastAsia="zh-CN"/>
        </w:rPr>
        <w:t xml:space="preserve"> </w:t>
      </w:r>
      <w:r w:rsidRPr="00845A83">
        <w:rPr>
          <w:rFonts w:ascii="Book Antiqua" w:hAnsi="Book Antiqua" w:cs="宋体"/>
          <w:i/>
          <w:iCs/>
          <w:sz w:val="24"/>
          <w:szCs w:val="24"/>
          <w:lang w:val="en-US" w:eastAsia="zh-CN"/>
        </w:rPr>
        <w:t>Mayo Clin Proc</w:t>
      </w:r>
      <w:r w:rsidRPr="00845A83">
        <w:rPr>
          <w:rFonts w:ascii="Book Antiqua" w:hAnsi="Book Antiqua" w:cs="宋体"/>
          <w:sz w:val="24"/>
          <w:szCs w:val="24"/>
          <w:lang w:val="en-US" w:eastAsia="zh-CN"/>
        </w:rPr>
        <w:t xml:space="preserve"> 2014; </w:t>
      </w:r>
      <w:r w:rsidRPr="00845A83">
        <w:rPr>
          <w:rFonts w:ascii="Book Antiqua" w:hAnsi="Book Antiqua" w:cs="宋体"/>
          <w:b/>
          <w:bCs/>
          <w:sz w:val="24"/>
          <w:szCs w:val="24"/>
          <w:lang w:val="en-US" w:eastAsia="zh-CN"/>
        </w:rPr>
        <w:t>89</w:t>
      </w:r>
      <w:r w:rsidRPr="00845A83">
        <w:rPr>
          <w:rFonts w:ascii="Book Antiqua" w:hAnsi="Book Antiqua" w:cs="宋体"/>
          <w:sz w:val="24"/>
          <w:szCs w:val="24"/>
          <w:lang w:val="en-US" w:eastAsia="zh-CN"/>
        </w:rPr>
        <w:t>: 394-408 [PMID: 24582197 DOI:</w:t>
      </w:r>
      <w:r w:rsidR="000B30EC">
        <w:rPr>
          <w:rFonts w:ascii="Book Antiqua" w:hAnsi="Book Antiqua" w:cs="宋体"/>
          <w:sz w:val="24"/>
          <w:szCs w:val="24"/>
          <w:lang w:val="en-US" w:eastAsia="zh-CN"/>
        </w:rPr>
        <w:t xml:space="preserve"> 10.1016/j.mayocp.2013.11.015]</w:t>
      </w:r>
    </w:p>
    <w:p w14:paraId="7A7FC562" w14:textId="4A929C84" w:rsidR="00845A83" w:rsidRPr="00845A83" w:rsidRDefault="00845A83" w:rsidP="00845A83">
      <w:pPr>
        <w:spacing w:after="0" w:line="360" w:lineRule="auto"/>
        <w:jc w:val="both"/>
        <w:rPr>
          <w:rFonts w:ascii="Book Antiqua" w:hAnsi="Book Antiqua" w:cs="宋体"/>
          <w:sz w:val="24"/>
          <w:szCs w:val="24"/>
          <w:lang w:val="en-US" w:eastAsia="zh-CN"/>
        </w:rPr>
      </w:pPr>
      <w:proofErr w:type="gramStart"/>
      <w:r w:rsidRPr="00845A83">
        <w:rPr>
          <w:rFonts w:ascii="Book Antiqua" w:hAnsi="Book Antiqua" w:cs="宋体"/>
          <w:sz w:val="24"/>
          <w:szCs w:val="24"/>
          <w:lang w:val="en-US" w:eastAsia="zh-CN"/>
        </w:rPr>
        <w:lastRenderedPageBreak/>
        <w:t xml:space="preserve">25 </w:t>
      </w:r>
      <w:r w:rsidRPr="00845A83">
        <w:rPr>
          <w:rFonts w:ascii="Book Antiqua" w:hAnsi="Book Antiqua" w:cs="宋体"/>
          <w:b/>
          <w:bCs/>
          <w:sz w:val="24"/>
          <w:szCs w:val="24"/>
          <w:lang w:val="en-US" w:eastAsia="zh-CN"/>
        </w:rPr>
        <w:t>Connolly GC</w:t>
      </w:r>
      <w:r w:rsidRPr="00845A83">
        <w:rPr>
          <w:rFonts w:ascii="Book Antiqua" w:hAnsi="Book Antiqua" w:cs="宋体"/>
          <w:sz w:val="24"/>
          <w:szCs w:val="24"/>
          <w:lang w:val="en-US" w:eastAsia="zh-CN"/>
        </w:rPr>
        <w:t>, Francis CW. Cancer-associated thrombosis.</w:t>
      </w:r>
      <w:proofErr w:type="gramEnd"/>
      <w:r w:rsidRPr="00845A83">
        <w:rPr>
          <w:rFonts w:ascii="Book Antiqua" w:hAnsi="Book Antiqua" w:cs="宋体"/>
          <w:sz w:val="24"/>
          <w:szCs w:val="24"/>
          <w:lang w:val="en-US" w:eastAsia="zh-CN"/>
        </w:rPr>
        <w:t xml:space="preserve"> </w:t>
      </w:r>
      <w:r w:rsidRPr="00845A83">
        <w:rPr>
          <w:rFonts w:ascii="Book Antiqua" w:hAnsi="Book Antiqua" w:cs="宋体"/>
          <w:i/>
          <w:iCs/>
          <w:sz w:val="24"/>
          <w:szCs w:val="24"/>
          <w:lang w:val="en-US" w:eastAsia="zh-CN"/>
        </w:rPr>
        <w:t>Hematology Am Soc Hematol Educ Program</w:t>
      </w:r>
      <w:r w:rsidRPr="00845A83">
        <w:rPr>
          <w:rFonts w:ascii="Book Antiqua" w:hAnsi="Book Antiqua" w:cs="宋体"/>
          <w:sz w:val="24"/>
          <w:szCs w:val="24"/>
          <w:lang w:val="en-US" w:eastAsia="zh-CN"/>
        </w:rPr>
        <w:t xml:space="preserve"> 2013; </w:t>
      </w:r>
      <w:r w:rsidRPr="00845A83">
        <w:rPr>
          <w:rFonts w:ascii="Book Antiqua" w:hAnsi="Book Antiqua" w:cs="宋体"/>
          <w:b/>
          <w:bCs/>
          <w:sz w:val="24"/>
          <w:szCs w:val="24"/>
          <w:lang w:val="en-US" w:eastAsia="zh-CN"/>
        </w:rPr>
        <w:t>2013</w:t>
      </w:r>
      <w:r w:rsidRPr="00845A83">
        <w:rPr>
          <w:rFonts w:ascii="Book Antiqua" w:hAnsi="Book Antiqua" w:cs="宋体"/>
          <w:sz w:val="24"/>
          <w:szCs w:val="24"/>
          <w:lang w:val="en-US" w:eastAsia="zh-CN"/>
        </w:rPr>
        <w:t>: 684-691 [PMID: 24319253 DOI: 10</w:t>
      </w:r>
      <w:r w:rsidR="000B30EC">
        <w:rPr>
          <w:rFonts w:ascii="Book Antiqua" w:hAnsi="Book Antiqua" w:cs="宋体"/>
          <w:sz w:val="24"/>
          <w:szCs w:val="24"/>
          <w:lang w:val="en-US" w:eastAsia="zh-CN"/>
        </w:rPr>
        <w:t>.1182/asheducation-2013.1.684]</w:t>
      </w:r>
    </w:p>
    <w:p w14:paraId="12C447B3" w14:textId="379EE92B" w:rsidR="00845A83" w:rsidRPr="00845A83" w:rsidRDefault="00845A83" w:rsidP="00845A83">
      <w:pPr>
        <w:spacing w:after="0" w:line="360" w:lineRule="auto"/>
        <w:jc w:val="both"/>
        <w:rPr>
          <w:rFonts w:ascii="Book Antiqua" w:hAnsi="Book Antiqua" w:cs="宋体"/>
          <w:sz w:val="24"/>
          <w:szCs w:val="24"/>
          <w:lang w:val="en-US" w:eastAsia="zh-CN"/>
        </w:rPr>
      </w:pPr>
      <w:proofErr w:type="gramStart"/>
      <w:r w:rsidRPr="00845A83">
        <w:rPr>
          <w:rFonts w:ascii="Book Antiqua" w:hAnsi="Book Antiqua" w:cs="宋体"/>
          <w:sz w:val="24"/>
          <w:szCs w:val="24"/>
          <w:lang w:val="en-US" w:eastAsia="zh-CN"/>
        </w:rPr>
        <w:t>26 S3-Leitlinie Prophylaxe der Ven</w:t>
      </w:r>
      <w:r w:rsidR="00545897" w:rsidRPr="009B4AD9">
        <w:rPr>
          <w:rFonts w:ascii="Book Antiqua" w:hAnsi="Book Antiqua" w:cs="Calibri"/>
          <w:sz w:val="24"/>
          <w:szCs w:val="24"/>
        </w:rPr>
        <w:t>ö</w:t>
      </w:r>
      <w:r w:rsidRPr="00845A83">
        <w:rPr>
          <w:rFonts w:ascii="Book Antiqua" w:hAnsi="Book Antiqua" w:cs="宋体"/>
          <w:sz w:val="24"/>
          <w:szCs w:val="24"/>
          <w:lang w:val="en-US" w:eastAsia="zh-CN"/>
        </w:rPr>
        <w:t>sen Thromboembolie (VTE), Version vom 18.</w:t>
      </w:r>
      <w:proofErr w:type="gramEnd"/>
      <w:r w:rsidRPr="00845A83">
        <w:rPr>
          <w:rFonts w:ascii="Book Antiqua" w:hAnsi="Book Antiqua" w:cs="宋体"/>
          <w:sz w:val="24"/>
          <w:szCs w:val="24"/>
          <w:lang w:val="en-US" w:eastAsia="zh-CN"/>
        </w:rPr>
        <w:t xml:space="preserve"> </w:t>
      </w:r>
      <w:proofErr w:type="gramStart"/>
      <w:r w:rsidRPr="00845A83">
        <w:rPr>
          <w:rFonts w:ascii="Book Antiqua" w:hAnsi="Book Antiqua" w:cs="宋体"/>
          <w:sz w:val="24"/>
          <w:szCs w:val="24"/>
          <w:lang w:val="en-US" w:eastAsia="zh-CN"/>
        </w:rPr>
        <w:t>M</w:t>
      </w:r>
      <w:r w:rsidR="00545897" w:rsidRPr="009B4AD9">
        <w:rPr>
          <w:rFonts w:ascii="Book Antiqua" w:hAnsi="Book Antiqua" w:cs="Calibri"/>
          <w:sz w:val="24"/>
          <w:szCs w:val="24"/>
        </w:rPr>
        <w:t>ä</w:t>
      </w:r>
      <w:r w:rsidRPr="00845A83">
        <w:rPr>
          <w:rFonts w:ascii="Book Antiqua" w:hAnsi="Book Antiqua" w:cs="宋体"/>
          <w:sz w:val="24"/>
          <w:szCs w:val="24"/>
          <w:lang w:val="en-US" w:eastAsia="zh-CN"/>
        </w:rPr>
        <w:t>rz 2009 mit Addendum vom 08.</w:t>
      </w:r>
      <w:proofErr w:type="gramEnd"/>
      <w:r w:rsidRPr="00845A83">
        <w:rPr>
          <w:rFonts w:ascii="Book Antiqua" w:hAnsi="Book Antiqua" w:cs="宋体"/>
          <w:sz w:val="24"/>
          <w:szCs w:val="24"/>
          <w:lang w:val="en-US" w:eastAsia="zh-CN"/>
        </w:rPr>
        <w:t xml:space="preserve"> Mai 2010, </w:t>
      </w:r>
      <w:r w:rsidR="00545897">
        <w:rPr>
          <w:rFonts w:ascii="Book Antiqua" w:hAnsi="Book Antiqua" w:cs="Calibri"/>
          <w:sz w:val="24"/>
          <w:szCs w:val="24"/>
        </w:rPr>
        <w:t>©</w:t>
      </w:r>
      <w:r w:rsidRPr="00845A83">
        <w:rPr>
          <w:rFonts w:ascii="Book Antiqua" w:hAnsi="Book Antiqua" w:cs="宋体"/>
          <w:sz w:val="24"/>
          <w:szCs w:val="24"/>
          <w:lang w:val="en-US" w:eastAsia="zh-CN"/>
        </w:rPr>
        <w:t>AWMF Arbeitsgemeinschaft der Wissenschaftlichen Medizinischen Fachgesellschaften e.V. Autorisiert f</w:t>
      </w:r>
      <w:r w:rsidR="00545897" w:rsidRPr="009B4AD9">
        <w:rPr>
          <w:rFonts w:ascii="Book Antiqua" w:hAnsi="Book Antiqua" w:cs="Calibri"/>
          <w:sz w:val="24"/>
          <w:szCs w:val="24"/>
        </w:rPr>
        <w:t>ü</w:t>
      </w:r>
      <w:r w:rsidRPr="00845A83">
        <w:rPr>
          <w:rFonts w:ascii="Book Antiqua" w:hAnsi="Book Antiqua" w:cs="宋体"/>
          <w:sz w:val="24"/>
          <w:szCs w:val="24"/>
          <w:lang w:val="en-US" w:eastAsia="zh-CN"/>
        </w:rPr>
        <w:t>r elektronische Publikation: AWMF online Aktuelle PDF-Datei erzeugt: 14. 07. 2011 AWMF-Register Nr. 003-001</w:t>
      </w:r>
    </w:p>
    <w:p w14:paraId="0EFF64B0" w14:textId="32E931B2" w:rsidR="00845A83" w:rsidRPr="00845A83" w:rsidRDefault="00845A83" w:rsidP="00845A83">
      <w:pPr>
        <w:spacing w:after="0" w:line="360" w:lineRule="auto"/>
        <w:jc w:val="both"/>
        <w:rPr>
          <w:rFonts w:ascii="Book Antiqua" w:hAnsi="Book Antiqua" w:cs="宋体"/>
          <w:sz w:val="24"/>
          <w:szCs w:val="24"/>
          <w:lang w:val="en-US" w:eastAsia="zh-CN"/>
        </w:rPr>
      </w:pPr>
      <w:proofErr w:type="gramStart"/>
      <w:r w:rsidRPr="00845A83">
        <w:rPr>
          <w:rFonts w:ascii="Book Antiqua" w:hAnsi="Book Antiqua" w:cs="宋体"/>
          <w:sz w:val="24"/>
          <w:szCs w:val="24"/>
          <w:lang w:val="en-US" w:eastAsia="zh-CN"/>
        </w:rPr>
        <w:t>27 Interdisziplin</w:t>
      </w:r>
      <w:r w:rsidR="00545897" w:rsidRPr="009B4AD9">
        <w:rPr>
          <w:rFonts w:ascii="Book Antiqua" w:hAnsi="Book Antiqua" w:cs="Calibri"/>
          <w:sz w:val="24"/>
          <w:szCs w:val="24"/>
        </w:rPr>
        <w:t>ä</w:t>
      </w:r>
      <w:r w:rsidRPr="00845A83">
        <w:rPr>
          <w:rFonts w:ascii="Book Antiqua" w:hAnsi="Book Antiqua" w:cs="宋体"/>
          <w:sz w:val="24"/>
          <w:szCs w:val="24"/>
          <w:lang w:val="en-US" w:eastAsia="zh-CN"/>
        </w:rPr>
        <w:t>re S2-Leitlinie- Diagnostik und Therapie der Venenthrombose und der Lungenembolie.</w:t>
      </w:r>
      <w:proofErr w:type="gramEnd"/>
      <w:r w:rsidRPr="00845A83">
        <w:rPr>
          <w:rFonts w:ascii="Book Antiqua" w:hAnsi="Book Antiqua" w:cs="宋体"/>
          <w:sz w:val="24"/>
          <w:szCs w:val="24"/>
          <w:lang w:val="en-US" w:eastAsia="zh-CN"/>
        </w:rPr>
        <w:t xml:space="preserve"> </w:t>
      </w:r>
      <w:proofErr w:type="gramStart"/>
      <w:r w:rsidRPr="00845A83">
        <w:rPr>
          <w:rFonts w:ascii="Book Antiqua" w:hAnsi="Book Antiqua" w:cs="宋体"/>
          <w:sz w:val="24"/>
          <w:szCs w:val="24"/>
          <w:lang w:val="en-US" w:eastAsia="zh-CN"/>
        </w:rPr>
        <w:t>European Journal of Vascular Medicine, Volume 39 S/78.</w:t>
      </w:r>
      <w:proofErr w:type="gramEnd"/>
      <w:r w:rsidRPr="00845A83">
        <w:rPr>
          <w:rFonts w:ascii="Book Antiqua" w:hAnsi="Book Antiqua" w:cs="宋体"/>
          <w:sz w:val="24"/>
          <w:szCs w:val="24"/>
          <w:lang w:val="en-US" w:eastAsia="zh-CN"/>
        </w:rPr>
        <w:t xml:space="preserve"> August 2010, AWMF-Registernummer 065/002, VASA 2010; S/78 </w:t>
      </w:r>
      <w:r w:rsidR="00545897">
        <w:rPr>
          <w:rFonts w:ascii="Book Antiqua" w:hAnsi="Book Antiqua" w:cs="Calibri"/>
          <w:sz w:val="24"/>
          <w:szCs w:val="24"/>
          <w:lang w:val="en-US"/>
        </w:rPr>
        <w:t>©</w:t>
      </w:r>
      <w:r w:rsidRPr="00845A83">
        <w:rPr>
          <w:rFonts w:ascii="Book Antiqua" w:hAnsi="Book Antiqua" w:cs="宋体"/>
          <w:sz w:val="24"/>
          <w:szCs w:val="24"/>
          <w:lang w:val="en-US" w:eastAsia="zh-CN"/>
        </w:rPr>
        <w:t>2010 by Verlag Hans Huber, Hogrefe AG, Bern Supplement 78, August 2010</w:t>
      </w:r>
    </w:p>
    <w:p w14:paraId="76C6726D" w14:textId="77777777" w:rsidR="00845A83" w:rsidRPr="00845A83" w:rsidRDefault="00845A83" w:rsidP="00845A83">
      <w:pPr>
        <w:spacing w:after="0" w:line="360" w:lineRule="auto"/>
        <w:jc w:val="both"/>
        <w:rPr>
          <w:rFonts w:ascii="Book Antiqua" w:hAnsi="Book Antiqua" w:cs="宋体"/>
          <w:sz w:val="24"/>
          <w:szCs w:val="24"/>
          <w:lang w:val="en-US" w:eastAsia="zh-CN"/>
        </w:rPr>
      </w:pPr>
      <w:r w:rsidRPr="00845A83">
        <w:rPr>
          <w:rFonts w:ascii="Book Antiqua" w:hAnsi="Book Antiqua" w:cs="宋体"/>
          <w:sz w:val="24"/>
          <w:szCs w:val="24"/>
          <w:lang w:val="en-US" w:eastAsia="zh-CN"/>
        </w:rPr>
        <w:t xml:space="preserve">28 </w:t>
      </w:r>
      <w:r w:rsidRPr="00845A83">
        <w:rPr>
          <w:rFonts w:ascii="Book Antiqua" w:hAnsi="Book Antiqua" w:cs="宋体"/>
          <w:b/>
          <w:bCs/>
          <w:sz w:val="24"/>
          <w:szCs w:val="24"/>
          <w:lang w:val="en-US" w:eastAsia="zh-CN"/>
        </w:rPr>
        <w:t>Agnelli G</w:t>
      </w:r>
      <w:r w:rsidRPr="00845A83">
        <w:rPr>
          <w:rFonts w:ascii="Book Antiqua" w:hAnsi="Book Antiqua" w:cs="宋体"/>
          <w:sz w:val="24"/>
          <w:szCs w:val="24"/>
          <w:lang w:val="en-US" w:eastAsia="zh-CN"/>
        </w:rPr>
        <w:t xml:space="preserve">, Bolis G, Capussotti L, Scarpa RM, Tonelli F, Bonizzoni E, Moia M, Parazzini F, Rossi R, Sonaglia F, Valarani B, Bianchini C, Gussoni G. A clinical outcome-based prospective study on venous thromboembolism after cancer surgery: the @RISTOS project. </w:t>
      </w:r>
      <w:r w:rsidRPr="00845A83">
        <w:rPr>
          <w:rFonts w:ascii="Book Antiqua" w:hAnsi="Book Antiqua" w:cs="宋体"/>
          <w:i/>
          <w:iCs/>
          <w:sz w:val="24"/>
          <w:szCs w:val="24"/>
          <w:lang w:val="en-US" w:eastAsia="zh-CN"/>
        </w:rPr>
        <w:t>Ann Surg</w:t>
      </w:r>
      <w:r w:rsidRPr="00845A83">
        <w:rPr>
          <w:rFonts w:ascii="Book Antiqua" w:hAnsi="Book Antiqua" w:cs="宋体"/>
          <w:sz w:val="24"/>
          <w:szCs w:val="24"/>
          <w:lang w:val="en-US" w:eastAsia="zh-CN"/>
        </w:rPr>
        <w:t xml:space="preserve"> 2006; </w:t>
      </w:r>
      <w:r w:rsidRPr="00845A83">
        <w:rPr>
          <w:rFonts w:ascii="Book Antiqua" w:hAnsi="Book Antiqua" w:cs="宋体"/>
          <w:b/>
          <w:bCs/>
          <w:sz w:val="24"/>
          <w:szCs w:val="24"/>
          <w:lang w:val="en-US" w:eastAsia="zh-CN"/>
        </w:rPr>
        <w:t>243</w:t>
      </w:r>
      <w:r w:rsidRPr="00845A83">
        <w:rPr>
          <w:rFonts w:ascii="Book Antiqua" w:hAnsi="Book Antiqua" w:cs="宋体"/>
          <w:sz w:val="24"/>
          <w:szCs w:val="24"/>
          <w:lang w:val="en-US" w:eastAsia="zh-CN"/>
        </w:rPr>
        <w:t>: 89-95 [PMID: 16371741 DOI: 10.1097/01.sla.0000193959.44677.48]</w:t>
      </w:r>
    </w:p>
    <w:p w14:paraId="3620AC2B" w14:textId="6E170267" w:rsidR="00845A83" w:rsidRPr="00845A83" w:rsidRDefault="00845A83" w:rsidP="00845A83">
      <w:pPr>
        <w:spacing w:after="0" w:line="360" w:lineRule="auto"/>
        <w:jc w:val="both"/>
        <w:rPr>
          <w:rFonts w:ascii="Book Antiqua" w:hAnsi="Book Antiqua" w:cs="宋体"/>
          <w:sz w:val="24"/>
          <w:szCs w:val="24"/>
          <w:lang w:val="en-US" w:eastAsia="zh-CN"/>
        </w:rPr>
      </w:pPr>
      <w:r w:rsidRPr="00845A83">
        <w:rPr>
          <w:rFonts w:ascii="Book Antiqua" w:hAnsi="Book Antiqua" w:cs="宋体"/>
          <w:sz w:val="24"/>
          <w:szCs w:val="24"/>
          <w:lang w:val="en-US" w:eastAsia="zh-CN"/>
        </w:rPr>
        <w:t xml:space="preserve">29 </w:t>
      </w:r>
      <w:r w:rsidRPr="00845A83">
        <w:rPr>
          <w:rFonts w:ascii="Book Antiqua" w:hAnsi="Book Antiqua" w:cs="宋体"/>
          <w:b/>
          <w:bCs/>
          <w:sz w:val="24"/>
          <w:szCs w:val="24"/>
          <w:lang w:val="en-US" w:eastAsia="zh-CN"/>
        </w:rPr>
        <w:t>Agnelli G</w:t>
      </w:r>
      <w:r w:rsidRPr="00845A83">
        <w:rPr>
          <w:rFonts w:ascii="Book Antiqua" w:hAnsi="Book Antiqua" w:cs="宋体"/>
          <w:sz w:val="24"/>
          <w:szCs w:val="24"/>
          <w:lang w:val="en-US" w:eastAsia="zh-CN"/>
        </w:rPr>
        <w:t xml:space="preserve">, Bergqvist D, Cohen AT, Gallus AS, Gent M. Randomized clinical trial of postoperative fondaparinux versus perioperative dalteparin for prevention of venous thromboembolism in high-risk abdominal surgery. </w:t>
      </w:r>
      <w:r w:rsidRPr="00845A83">
        <w:rPr>
          <w:rFonts w:ascii="Book Antiqua" w:hAnsi="Book Antiqua" w:cs="宋体"/>
          <w:i/>
          <w:iCs/>
          <w:sz w:val="24"/>
          <w:szCs w:val="24"/>
          <w:lang w:val="en-US" w:eastAsia="zh-CN"/>
        </w:rPr>
        <w:t>Br J Surg</w:t>
      </w:r>
      <w:r w:rsidRPr="00845A83">
        <w:rPr>
          <w:rFonts w:ascii="Book Antiqua" w:hAnsi="Book Antiqua" w:cs="宋体"/>
          <w:sz w:val="24"/>
          <w:szCs w:val="24"/>
          <w:lang w:val="en-US" w:eastAsia="zh-CN"/>
        </w:rPr>
        <w:t xml:space="preserve"> 2005; </w:t>
      </w:r>
      <w:r w:rsidRPr="00845A83">
        <w:rPr>
          <w:rFonts w:ascii="Book Antiqua" w:hAnsi="Book Antiqua" w:cs="宋体"/>
          <w:b/>
          <w:bCs/>
          <w:sz w:val="24"/>
          <w:szCs w:val="24"/>
          <w:lang w:val="en-US" w:eastAsia="zh-CN"/>
        </w:rPr>
        <w:t>92</w:t>
      </w:r>
      <w:r w:rsidRPr="00845A83">
        <w:rPr>
          <w:rFonts w:ascii="Book Antiqua" w:hAnsi="Book Antiqua" w:cs="宋体"/>
          <w:sz w:val="24"/>
          <w:szCs w:val="24"/>
          <w:lang w:val="en-US" w:eastAsia="zh-CN"/>
        </w:rPr>
        <w:t>: 1212-1220 [PMID: 16</w:t>
      </w:r>
      <w:r w:rsidR="004E47C0">
        <w:rPr>
          <w:rFonts w:ascii="Book Antiqua" w:hAnsi="Book Antiqua" w:cs="宋体"/>
          <w:sz w:val="24"/>
          <w:szCs w:val="24"/>
          <w:lang w:val="en-US" w:eastAsia="zh-CN"/>
        </w:rPr>
        <w:t>175516 DOI: 10.1002/bjs.5154]</w:t>
      </w:r>
    </w:p>
    <w:p w14:paraId="1E79CF1B" w14:textId="183A1893" w:rsidR="00845A83" w:rsidRPr="00845A83" w:rsidRDefault="00845A83" w:rsidP="00845A83">
      <w:pPr>
        <w:spacing w:after="0" w:line="360" w:lineRule="auto"/>
        <w:jc w:val="both"/>
        <w:rPr>
          <w:rFonts w:ascii="Book Antiqua" w:hAnsi="Book Antiqua" w:cs="宋体"/>
          <w:sz w:val="24"/>
          <w:szCs w:val="24"/>
          <w:lang w:val="en-US" w:eastAsia="zh-CN"/>
        </w:rPr>
      </w:pPr>
      <w:r w:rsidRPr="00845A83">
        <w:rPr>
          <w:rFonts w:ascii="Book Antiqua" w:hAnsi="Book Antiqua" w:cs="宋体"/>
          <w:sz w:val="24"/>
          <w:szCs w:val="24"/>
          <w:lang w:val="en-US" w:eastAsia="zh-CN"/>
        </w:rPr>
        <w:t xml:space="preserve">30 </w:t>
      </w:r>
      <w:r w:rsidRPr="00845A83">
        <w:rPr>
          <w:rFonts w:ascii="Book Antiqua" w:hAnsi="Book Antiqua" w:cs="宋体"/>
          <w:b/>
          <w:bCs/>
          <w:sz w:val="24"/>
          <w:szCs w:val="24"/>
          <w:lang w:val="en-US" w:eastAsia="zh-CN"/>
        </w:rPr>
        <w:t>Bergqvist D</w:t>
      </w:r>
      <w:r w:rsidRPr="00845A83">
        <w:rPr>
          <w:rFonts w:ascii="Book Antiqua" w:hAnsi="Book Antiqua" w:cs="宋体"/>
          <w:sz w:val="24"/>
          <w:szCs w:val="24"/>
          <w:lang w:val="en-US" w:eastAsia="zh-CN"/>
        </w:rPr>
        <w:t xml:space="preserve">, Burmark US, Flordal PA, Frisell J, Hallböök T, Hedberg M, Horn A, Kelty E, Kvitting P, Lindhagen A. Low molecular weight heparin started before surgery as prophylaxis against deep vein thrombosis: 2500 versus 5000 XaI units in 2070 patients. </w:t>
      </w:r>
      <w:r w:rsidRPr="00845A83">
        <w:rPr>
          <w:rFonts w:ascii="Book Antiqua" w:hAnsi="Book Antiqua" w:cs="宋体"/>
          <w:i/>
          <w:iCs/>
          <w:sz w:val="24"/>
          <w:szCs w:val="24"/>
          <w:lang w:val="en-US" w:eastAsia="zh-CN"/>
        </w:rPr>
        <w:t>Br J Surg</w:t>
      </w:r>
      <w:r w:rsidRPr="00845A83">
        <w:rPr>
          <w:rFonts w:ascii="Book Antiqua" w:hAnsi="Book Antiqua" w:cs="宋体"/>
          <w:sz w:val="24"/>
          <w:szCs w:val="24"/>
          <w:lang w:val="en-US" w:eastAsia="zh-CN"/>
        </w:rPr>
        <w:t xml:space="preserve"> 1995; </w:t>
      </w:r>
      <w:r w:rsidRPr="00845A83">
        <w:rPr>
          <w:rFonts w:ascii="Book Antiqua" w:hAnsi="Book Antiqua" w:cs="宋体"/>
          <w:b/>
          <w:bCs/>
          <w:sz w:val="24"/>
          <w:szCs w:val="24"/>
          <w:lang w:val="en-US" w:eastAsia="zh-CN"/>
        </w:rPr>
        <w:t>82</w:t>
      </w:r>
      <w:r w:rsidRPr="00845A83">
        <w:rPr>
          <w:rFonts w:ascii="Book Antiqua" w:hAnsi="Book Antiqua" w:cs="宋体"/>
          <w:sz w:val="24"/>
          <w:szCs w:val="24"/>
          <w:lang w:val="en-US" w:eastAsia="zh-CN"/>
        </w:rPr>
        <w:t>: 496-501 [PMID: 7613894</w:t>
      </w:r>
      <w:r w:rsidR="004E47C0">
        <w:rPr>
          <w:rFonts w:ascii="Book Antiqua" w:hAnsi="Book Antiqua" w:cs="宋体"/>
          <w:sz w:val="24"/>
          <w:szCs w:val="24"/>
          <w:lang w:val="en-US" w:eastAsia="zh-CN"/>
        </w:rPr>
        <w:t xml:space="preserve"> DOI: 10.1002/bjs.1800820421]</w:t>
      </w:r>
    </w:p>
    <w:p w14:paraId="420AFE59" w14:textId="49130D56" w:rsidR="00845A83" w:rsidRPr="00845A83" w:rsidRDefault="00845A83" w:rsidP="00845A83">
      <w:pPr>
        <w:spacing w:after="0" w:line="360" w:lineRule="auto"/>
        <w:jc w:val="both"/>
        <w:rPr>
          <w:rFonts w:ascii="Book Antiqua" w:hAnsi="Book Antiqua" w:cs="宋体"/>
          <w:sz w:val="24"/>
          <w:szCs w:val="24"/>
          <w:lang w:val="en-US" w:eastAsia="zh-CN"/>
        </w:rPr>
      </w:pPr>
      <w:r w:rsidRPr="00845A83">
        <w:rPr>
          <w:rFonts w:ascii="Book Antiqua" w:hAnsi="Book Antiqua" w:cs="宋体"/>
          <w:sz w:val="24"/>
          <w:szCs w:val="24"/>
          <w:lang w:val="en-US" w:eastAsia="zh-CN"/>
        </w:rPr>
        <w:t xml:space="preserve">31 </w:t>
      </w:r>
      <w:r w:rsidRPr="00845A83">
        <w:rPr>
          <w:rFonts w:ascii="Book Antiqua" w:hAnsi="Book Antiqua" w:cs="宋体"/>
          <w:b/>
          <w:bCs/>
          <w:sz w:val="24"/>
          <w:szCs w:val="24"/>
          <w:lang w:val="en-US" w:eastAsia="zh-CN"/>
        </w:rPr>
        <w:t>Bergqvist D</w:t>
      </w:r>
      <w:r w:rsidRPr="00845A83">
        <w:rPr>
          <w:rFonts w:ascii="Book Antiqua" w:hAnsi="Book Antiqua" w:cs="宋体"/>
          <w:sz w:val="24"/>
          <w:szCs w:val="24"/>
          <w:lang w:val="en-US" w:eastAsia="zh-CN"/>
        </w:rPr>
        <w:t xml:space="preserve">, Agnelli G, Cohen AT, Eldor A, Nilsson PE, Le Moigne-Amrani A, Dietrich-Neto F. Duration of prophylaxis against venous thromboembolism with enoxaparin after surgery for cancer. </w:t>
      </w:r>
      <w:r w:rsidRPr="00845A83">
        <w:rPr>
          <w:rFonts w:ascii="Book Antiqua" w:hAnsi="Book Antiqua" w:cs="宋体"/>
          <w:i/>
          <w:iCs/>
          <w:sz w:val="24"/>
          <w:szCs w:val="24"/>
          <w:lang w:val="en-US" w:eastAsia="zh-CN"/>
        </w:rPr>
        <w:t>N Engl J Med</w:t>
      </w:r>
      <w:r w:rsidRPr="00845A83">
        <w:rPr>
          <w:rFonts w:ascii="Book Antiqua" w:hAnsi="Book Antiqua" w:cs="宋体"/>
          <w:sz w:val="24"/>
          <w:szCs w:val="24"/>
          <w:lang w:val="en-US" w:eastAsia="zh-CN"/>
        </w:rPr>
        <w:t xml:space="preserve"> 2002; </w:t>
      </w:r>
      <w:r w:rsidRPr="00845A83">
        <w:rPr>
          <w:rFonts w:ascii="Book Antiqua" w:hAnsi="Book Antiqua" w:cs="宋体"/>
          <w:b/>
          <w:bCs/>
          <w:sz w:val="24"/>
          <w:szCs w:val="24"/>
          <w:lang w:val="en-US" w:eastAsia="zh-CN"/>
        </w:rPr>
        <w:t>346</w:t>
      </w:r>
      <w:r w:rsidRPr="00845A83">
        <w:rPr>
          <w:rFonts w:ascii="Book Antiqua" w:hAnsi="Book Antiqua" w:cs="宋体"/>
          <w:sz w:val="24"/>
          <w:szCs w:val="24"/>
          <w:lang w:val="en-US" w:eastAsia="zh-CN"/>
        </w:rPr>
        <w:t>: 975-980 [PMID: 119193</w:t>
      </w:r>
      <w:r w:rsidR="004E47C0">
        <w:rPr>
          <w:rFonts w:ascii="Book Antiqua" w:hAnsi="Book Antiqua" w:cs="宋体"/>
          <w:sz w:val="24"/>
          <w:szCs w:val="24"/>
          <w:lang w:val="en-US" w:eastAsia="zh-CN"/>
        </w:rPr>
        <w:t>06 DOI: 10.1056/NEJMoa012385]</w:t>
      </w:r>
    </w:p>
    <w:p w14:paraId="3ACC775F" w14:textId="25DF4228" w:rsidR="00845A83" w:rsidRPr="00845A83" w:rsidRDefault="00845A83" w:rsidP="00845A83">
      <w:pPr>
        <w:spacing w:after="0" w:line="360" w:lineRule="auto"/>
        <w:jc w:val="both"/>
        <w:rPr>
          <w:rFonts w:ascii="Book Antiqua" w:hAnsi="Book Antiqua" w:cs="宋体"/>
          <w:sz w:val="24"/>
          <w:szCs w:val="24"/>
          <w:lang w:val="en-US" w:eastAsia="zh-CN"/>
        </w:rPr>
      </w:pPr>
      <w:r w:rsidRPr="00845A83">
        <w:rPr>
          <w:rFonts w:ascii="Book Antiqua" w:hAnsi="Book Antiqua" w:cs="宋体"/>
          <w:sz w:val="24"/>
          <w:szCs w:val="24"/>
          <w:lang w:val="en-US" w:eastAsia="zh-CN"/>
        </w:rPr>
        <w:t xml:space="preserve">32 </w:t>
      </w:r>
      <w:r w:rsidRPr="00845A83">
        <w:rPr>
          <w:rFonts w:ascii="Book Antiqua" w:hAnsi="Book Antiqua" w:cs="宋体"/>
          <w:b/>
          <w:bCs/>
          <w:sz w:val="24"/>
          <w:szCs w:val="24"/>
          <w:lang w:val="en-US" w:eastAsia="zh-CN"/>
        </w:rPr>
        <w:t>Rasmussen MS</w:t>
      </w:r>
      <w:r w:rsidRPr="00845A83">
        <w:rPr>
          <w:rFonts w:ascii="Book Antiqua" w:hAnsi="Book Antiqua" w:cs="宋体"/>
          <w:sz w:val="24"/>
          <w:szCs w:val="24"/>
          <w:lang w:val="en-US" w:eastAsia="zh-CN"/>
        </w:rPr>
        <w:t xml:space="preserve">, Jørgensen LN, Wille-Jørgensen P. Prolonged thromboprophylaxis with low molecular weight heparin for abdominal or </w:t>
      </w:r>
      <w:r w:rsidRPr="00845A83">
        <w:rPr>
          <w:rFonts w:ascii="Book Antiqua" w:hAnsi="Book Antiqua" w:cs="宋体"/>
          <w:sz w:val="24"/>
          <w:szCs w:val="24"/>
          <w:lang w:val="en-US" w:eastAsia="zh-CN"/>
        </w:rPr>
        <w:lastRenderedPageBreak/>
        <w:t xml:space="preserve">pelvic surgery. </w:t>
      </w:r>
      <w:r w:rsidRPr="00845A83">
        <w:rPr>
          <w:rFonts w:ascii="Book Antiqua" w:hAnsi="Book Antiqua" w:cs="宋体"/>
          <w:i/>
          <w:iCs/>
          <w:sz w:val="24"/>
          <w:szCs w:val="24"/>
          <w:lang w:val="en-US" w:eastAsia="zh-CN"/>
        </w:rPr>
        <w:t>Cochrane Database Syst Rev</w:t>
      </w:r>
      <w:r w:rsidRPr="00845A83">
        <w:rPr>
          <w:rFonts w:ascii="Book Antiqua" w:hAnsi="Book Antiqua" w:cs="宋体"/>
          <w:sz w:val="24"/>
          <w:szCs w:val="24"/>
          <w:lang w:val="en-US" w:eastAsia="zh-CN"/>
        </w:rPr>
        <w:t xml:space="preserve"> 2009; </w:t>
      </w:r>
      <w:r w:rsidR="004E47C0">
        <w:rPr>
          <w:rFonts w:ascii="Book Antiqua" w:hAnsi="Book Antiqua" w:cs="宋体" w:hint="eastAsia"/>
          <w:b/>
          <w:sz w:val="24"/>
          <w:szCs w:val="24"/>
          <w:lang w:val="en-US" w:eastAsia="zh-CN"/>
        </w:rPr>
        <w:t>(1)</w:t>
      </w:r>
      <w:r w:rsidRPr="00845A83">
        <w:rPr>
          <w:rFonts w:ascii="Book Antiqua" w:hAnsi="Book Antiqua" w:cs="宋体"/>
          <w:sz w:val="24"/>
          <w:szCs w:val="24"/>
          <w:lang w:val="en-US" w:eastAsia="zh-CN"/>
        </w:rPr>
        <w:t>: CD004318 [PMID: 19160234 DOI: 10</w:t>
      </w:r>
      <w:r w:rsidR="004E47C0">
        <w:rPr>
          <w:rFonts w:ascii="Book Antiqua" w:hAnsi="Book Antiqua" w:cs="宋体"/>
          <w:sz w:val="24"/>
          <w:szCs w:val="24"/>
          <w:lang w:val="en-US" w:eastAsia="zh-CN"/>
        </w:rPr>
        <w:t>.1002/14651858.CD004318.pub2]</w:t>
      </w:r>
    </w:p>
    <w:p w14:paraId="510C4596" w14:textId="09114ED2" w:rsidR="00845A83" w:rsidRPr="00845A83" w:rsidRDefault="00845A83" w:rsidP="00845A83">
      <w:pPr>
        <w:spacing w:after="0" w:line="360" w:lineRule="auto"/>
        <w:jc w:val="both"/>
        <w:rPr>
          <w:rFonts w:ascii="Book Antiqua" w:hAnsi="Book Antiqua" w:cs="宋体"/>
          <w:sz w:val="24"/>
          <w:szCs w:val="24"/>
          <w:lang w:val="en-US" w:eastAsia="zh-CN"/>
        </w:rPr>
      </w:pPr>
      <w:r w:rsidRPr="00845A83">
        <w:rPr>
          <w:rFonts w:ascii="Book Antiqua" w:hAnsi="Book Antiqua" w:cs="宋体"/>
          <w:sz w:val="24"/>
          <w:szCs w:val="24"/>
          <w:lang w:val="en-US" w:eastAsia="zh-CN"/>
        </w:rPr>
        <w:t xml:space="preserve">33 </w:t>
      </w:r>
      <w:r w:rsidRPr="00845A83">
        <w:rPr>
          <w:rFonts w:ascii="Book Antiqua" w:hAnsi="Book Antiqua" w:cs="宋体"/>
          <w:b/>
          <w:bCs/>
          <w:sz w:val="24"/>
          <w:szCs w:val="24"/>
          <w:lang w:val="en-US" w:eastAsia="zh-CN"/>
        </w:rPr>
        <w:t>Kakkar VV</w:t>
      </w:r>
      <w:r w:rsidRPr="00845A83">
        <w:rPr>
          <w:rFonts w:ascii="Book Antiqua" w:hAnsi="Book Antiqua" w:cs="宋体"/>
          <w:sz w:val="24"/>
          <w:szCs w:val="24"/>
          <w:lang w:val="en-US" w:eastAsia="zh-CN"/>
        </w:rPr>
        <w:t xml:space="preserve">, Balibrea JL, Martínez-González J, Prandoni P. Extended prophylaxis with bemiparin for the prevention of venous thromboembolism after abdominal or pelvic surgery for cancer: the CANBESURE randomized study. </w:t>
      </w:r>
      <w:r w:rsidRPr="00845A83">
        <w:rPr>
          <w:rFonts w:ascii="Book Antiqua" w:hAnsi="Book Antiqua" w:cs="宋体"/>
          <w:i/>
          <w:iCs/>
          <w:sz w:val="24"/>
          <w:szCs w:val="24"/>
          <w:lang w:val="en-US" w:eastAsia="zh-CN"/>
        </w:rPr>
        <w:t>J Thromb Haemost</w:t>
      </w:r>
      <w:r w:rsidRPr="00845A83">
        <w:rPr>
          <w:rFonts w:ascii="Book Antiqua" w:hAnsi="Book Antiqua" w:cs="宋体"/>
          <w:sz w:val="24"/>
          <w:szCs w:val="24"/>
          <w:lang w:val="en-US" w:eastAsia="zh-CN"/>
        </w:rPr>
        <w:t xml:space="preserve"> 2010; </w:t>
      </w:r>
      <w:r w:rsidRPr="00845A83">
        <w:rPr>
          <w:rFonts w:ascii="Book Antiqua" w:hAnsi="Book Antiqua" w:cs="宋体"/>
          <w:b/>
          <w:bCs/>
          <w:sz w:val="24"/>
          <w:szCs w:val="24"/>
          <w:lang w:val="en-US" w:eastAsia="zh-CN"/>
        </w:rPr>
        <w:t>8</w:t>
      </w:r>
      <w:r w:rsidRPr="00845A83">
        <w:rPr>
          <w:rFonts w:ascii="Book Antiqua" w:hAnsi="Book Antiqua" w:cs="宋体"/>
          <w:sz w:val="24"/>
          <w:szCs w:val="24"/>
          <w:lang w:val="en-US" w:eastAsia="zh-CN"/>
        </w:rPr>
        <w:t>: 1223-1229 [PMID: 20456751 DOI: 10.1111/j.1538-7836.2010.0389</w:t>
      </w:r>
      <w:r w:rsidR="004E47C0">
        <w:rPr>
          <w:rFonts w:ascii="Book Antiqua" w:hAnsi="Book Antiqua" w:cs="宋体"/>
          <w:sz w:val="24"/>
          <w:szCs w:val="24"/>
          <w:lang w:val="en-US" w:eastAsia="zh-CN"/>
        </w:rPr>
        <w:t>2.x</w:t>
      </w:r>
      <w:r w:rsidRPr="00845A83">
        <w:rPr>
          <w:rFonts w:ascii="Book Antiqua" w:hAnsi="Book Antiqua" w:cs="宋体"/>
          <w:sz w:val="24"/>
          <w:szCs w:val="24"/>
          <w:lang w:val="en-US" w:eastAsia="zh-CN"/>
        </w:rPr>
        <w:t>]</w:t>
      </w:r>
    </w:p>
    <w:p w14:paraId="5ED66FAB" w14:textId="128D954A" w:rsidR="00845A83" w:rsidRPr="00845A83" w:rsidRDefault="00845A83" w:rsidP="00845A83">
      <w:pPr>
        <w:spacing w:after="0" w:line="360" w:lineRule="auto"/>
        <w:jc w:val="both"/>
        <w:rPr>
          <w:rFonts w:ascii="Book Antiqua" w:hAnsi="Book Antiqua" w:cs="宋体"/>
          <w:sz w:val="24"/>
          <w:szCs w:val="24"/>
          <w:lang w:val="en-US" w:eastAsia="zh-CN"/>
        </w:rPr>
      </w:pPr>
      <w:r w:rsidRPr="00845A83">
        <w:rPr>
          <w:rFonts w:ascii="Book Antiqua" w:hAnsi="Book Antiqua" w:cs="宋体"/>
          <w:sz w:val="24"/>
          <w:szCs w:val="24"/>
          <w:lang w:val="en-US" w:eastAsia="zh-CN"/>
        </w:rPr>
        <w:t xml:space="preserve">34 </w:t>
      </w:r>
      <w:r w:rsidRPr="00845A83">
        <w:rPr>
          <w:rFonts w:ascii="Book Antiqua" w:hAnsi="Book Antiqua" w:cs="宋体"/>
          <w:b/>
          <w:sz w:val="24"/>
          <w:szCs w:val="24"/>
          <w:lang w:val="en-US" w:eastAsia="zh-CN"/>
        </w:rPr>
        <w:t xml:space="preserve">National </w:t>
      </w:r>
      <w:proofErr w:type="gramStart"/>
      <w:r w:rsidRPr="00845A83">
        <w:rPr>
          <w:rFonts w:ascii="Book Antiqua" w:hAnsi="Book Antiqua" w:cs="宋体"/>
          <w:b/>
          <w:sz w:val="24"/>
          <w:szCs w:val="24"/>
          <w:lang w:val="en-US" w:eastAsia="zh-CN"/>
        </w:rPr>
        <w:t>Health</w:t>
      </w:r>
      <w:proofErr w:type="gramEnd"/>
      <w:r w:rsidRPr="00845A83">
        <w:rPr>
          <w:rFonts w:ascii="Book Antiqua" w:hAnsi="Book Antiqua" w:cs="宋体"/>
          <w:b/>
          <w:sz w:val="24"/>
          <w:szCs w:val="24"/>
          <w:lang w:val="en-US" w:eastAsia="zh-CN"/>
        </w:rPr>
        <w:t xml:space="preserve"> and Medical Research Council</w:t>
      </w:r>
      <w:r w:rsidRPr="00845A83">
        <w:rPr>
          <w:rFonts w:ascii="Book Antiqua" w:hAnsi="Book Antiqua" w:cs="宋体"/>
          <w:sz w:val="24"/>
          <w:szCs w:val="24"/>
          <w:lang w:val="en-US" w:eastAsia="zh-CN"/>
        </w:rPr>
        <w:t>. Clinical practice guideline for the prevention of venous thromboembolism (deep vein thrombosis and pulmonary embolism) in patients admitted to Australian hospitals. Melbourne: National Health and Medical Research Council; 2009. ACT 2600 [ISBN Online: 1864964480</w:t>
      </w:r>
      <w:r w:rsidR="00B23213">
        <w:rPr>
          <w:rFonts w:ascii="Book Antiqua" w:hAnsi="Book Antiqua" w:cs="宋体"/>
          <w:sz w:val="24"/>
          <w:szCs w:val="24"/>
          <w:lang w:val="en-US" w:eastAsia="zh-CN"/>
        </w:rPr>
        <w:t>;</w:t>
      </w:r>
      <w:r w:rsidRPr="00845A83">
        <w:rPr>
          <w:rFonts w:ascii="Book Antiqua" w:hAnsi="Book Antiqua" w:cs="宋体"/>
          <w:sz w:val="24"/>
          <w:szCs w:val="24"/>
          <w:lang w:val="en-US" w:eastAsia="zh-CN"/>
        </w:rPr>
        <w:t xml:space="preserve"> Published: 20</w:t>
      </w:r>
      <w:r w:rsidR="004E47C0">
        <w:rPr>
          <w:rFonts w:ascii="Book Antiqua" w:hAnsi="Book Antiqua" w:cs="宋体"/>
          <w:sz w:val="24"/>
          <w:szCs w:val="24"/>
          <w:lang w:val="en-US" w:eastAsia="zh-CN"/>
        </w:rPr>
        <w:t>09</w:t>
      </w:r>
      <w:r w:rsidR="00B23213" w:rsidRPr="00B23213">
        <w:rPr>
          <w:rFonts w:ascii="Book Antiqua" w:hAnsi="Book Antiqua" w:cs="宋体"/>
          <w:sz w:val="24"/>
          <w:szCs w:val="24"/>
          <w:lang w:val="en-US" w:eastAsia="zh-CN"/>
        </w:rPr>
        <w:t xml:space="preserve"> </w:t>
      </w:r>
      <w:r w:rsidR="00B23213" w:rsidRPr="00845A83">
        <w:rPr>
          <w:rFonts w:ascii="Book Antiqua" w:hAnsi="Book Antiqua" w:cs="宋体"/>
          <w:sz w:val="24"/>
          <w:szCs w:val="24"/>
          <w:lang w:val="en-US" w:eastAsia="zh-CN"/>
        </w:rPr>
        <w:t>Nov</w:t>
      </w:r>
      <w:r w:rsidR="004E47C0">
        <w:rPr>
          <w:rFonts w:ascii="Book Antiqua" w:hAnsi="Book Antiqua" w:cs="宋体"/>
          <w:sz w:val="24"/>
          <w:szCs w:val="24"/>
          <w:lang w:val="en-US" w:eastAsia="zh-CN"/>
        </w:rPr>
        <w:t>]. Available from: URL: http:</w:t>
      </w:r>
      <w:r w:rsidRPr="00845A83">
        <w:rPr>
          <w:rFonts w:ascii="Book Antiqua" w:hAnsi="Book Antiqua" w:cs="宋体"/>
          <w:sz w:val="24"/>
          <w:szCs w:val="24"/>
          <w:lang w:val="en-US" w:eastAsia="zh-CN"/>
        </w:rPr>
        <w:t>//www.ag.gov.au/cca</w:t>
      </w:r>
    </w:p>
    <w:p w14:paraId="6386EDB4" w14:textId="091B2E04" w:rsidR="00845A83" w:rsidRPr="00845A83" w:rsidRDefault="00845A83" w:rsidP="00845A83">
      <w:pPr>
        <w:spacing w:after="0" w:line="360" w:lineRule="auto"/>
        <w:jc w:val="both"/>
        <w:rPr>
          <w:rFonts w:ascii="Book Antiqua" w:hAnsi="Book Antiqua" w:cs="宋体"/>
          <w:sz w:val="24"/>
          <w:szCs w:val="24"/>
          <w:lang w:val="en-US" w:eastAsia="zh-CN"/>
        </w:rPr>
      </w:pPr>
      <w:r w:rsidRPr="00845A83">
        <w:rPr>
          <w:rFonts w:ascii="Book Antiqua" w:hAnsi="Book Antiqua" w:cs="宋体"/>
          <w:sz w:val="24"/>
          <w:szCs w:val="24"/>
          <w:lang w:val="en-US" w:eastAsia="zh-CN"/>
        </w:rPr>
        <w:t xml:space="preserve">35 </w:t>
      </w:r>
      <w:r w:rsidRPr="00845A83">
        <w:rPr>
          <w:rFonts w:ascii="Book Antiqua" w:hAnsi="Book Antiqua" w:cs="宋体"/>
          <w:b/>
          <w:bCs/>
          <w:sz w:val="24"/>
          <w:szCs w:val="24"/>
          <w:lang w:val="en-US" w:eastAsia="zh-CN"/>
        </w:rPr>
        <w:t>Vedovati MC</w:t>
      </w:r>
      <w:r w:rsidRPr="00845A83">
        <w:rPr>
          <w:rFonts w:ascii="Book Antiqua" w:hAnsi="Book Antiqua" w:cs="宋体"/>
          <w:sz w:val="24"/>
          <w:szCs w:val="24"/>
          <w:lang w:val="en-US" w:eastAsia="zh-CN"/>
        </w:rPr>
        <w:t xml:space="preserve">, Becattini C, Rondelli F, Boncompagni M, Camporese G, Balzarotti R, Mariani E, Flamini O, Pucciarelli S, Donini A, Agnelli G. </w:t>
      </w:r>
      <w:proofErr w:type="gramStart"/>
      <w:r w:rsidRPr="00845A83">
        <w:rPr>
          <w:rFonts w:ascii="Book Antiqua" w:hAnsi="Book Antiqua" w:cs="宋体"/>
          <w:sz w:val="24"/>
          <w:szCs w:val="24"/>
          <w:lang w:val="en-US" w:eastAsia="zh-CN"/>
        </w:rPr>
        <w:t>A randomized study on 1-week versus 4-week prophylaxis for venous thromboembolism after laparoscopic surgery for colorectal cancer.</w:t>
      </w:r>
      <w:proofErr w:type="gramEnd"/>
      <w:r w:rsidRPr="00845A83">
        <w:rPr>
          <w:rFonts w:ascii="Book Antiqua" w:hAnsi="Book Antiqua" w:cs="宋体"/>
          <w:sz w:val="24"/>
          <w:szCs w:val="24"/>
          <w:lang w:val="en-US" w:eastAsia="zh-CN"/>
        </w:rPr>
        <w:t xml:space="preserve"> </w:t>
      </w:r>
      <w:r w:rsidRPr="00845A83">
        <w:rPr>
          <w:rFonts w:ascii="Book Antiqua" w:hAnsi="Book Antiqua" w:cs="宋体"/>
          <w:i/>
          <w:iCs/>
          <w:sz w:val="24"/>
          <w:szCs w:val="24"/>
          <w:lang w:val="en-US" w:eastAsia="zh-CN"/>
        </w:rPr>
        <w:t>Ann Surg</w:t>
      </w:r>
      <w:r w:rsidRPr="00845A83">
        <w:rPr>
          <w:rFonts w:ascii="Book Antiqua" w:hAnsi="Book Antiqua" w:cs="宋体"/>
          <w:sz w:val="24"/>
          <w:szCs w:val="24"/>
          <w:lang w:val="en-US" w:eastAsia="zh-CN"/>
        </w:rPr>
        <w:t xml:space="preserve"> 2014; </w:t>
      </w:r>
      <w:r w:rsidRPr="00845A83">
        <w:rPr>
          <w:rFonts w:ascii="Book Antiqua" w:hAnsi="Book Antiqua" w:cs="宋体"/>
          <w:b/>
          <w:bCs/>
          <w:sz w:val="24"/>
          <w:szCs w:val="24"/>
          <w:lang w:val="en-US" w:eastAsia="zh-CN"/>
        </w:rPr>
        <w:t>259</w:t>
      </w:r>
      <w:r w:rsidRPr="00845A83">
        <w:rPr>
          <w:rFonts w:ascii="Book Antiqua" w:hAnsi="Book Antiqua" w:cs="宋体"/>
          <w:sz w:val="24"/>
          <w:szCs w:val="24"/>
          <w:lang w:val="en-US" w:eastAsia="zh-CN"/>
        </w:rPr>
        <w:t xml:space="preserve">: 665-669 [PMID: 24253138 DOI: </w:t>
      </w:r>
      <w:r w:rsidR="004E47C0">
        <w:rPr>
          <w:rFonts w:ascii="Book Antiqua" w:hAnsi="Book Antiqua" w:cs="宋体"/>
          <w:sz w:val="24"/>
          <w:szCs w:val="24"/>
          <w:lang w:val="en-US" w:eastAsia="zh-CN"/>
        </w:rPr>
        <w:t>10.1097/SLA.0000000000000340]</w:t>
      </w:r>
    </w:p>
    <w:p w14:paraId="4A59F286" w14:textId="6B7EC76A" w:rsidR="00845A83" w:rsidRPr="00845A83" w:rsidRDefault="00845A83" w:rsidP="00845A83">
      <w:pPr>
        <w:spacing w:after="0" w:line="360" w:lineRule="auto"/>
        <w:jc w:val="both"/>
        <w:rPr>
          <w:rFonts w:ascii="Book Antiqua" w:hAnsi="Book Antiqua" w:cs="宋体"/>
          <w:sz w:val="24"/>
          <w:szCs w:val="24"/>
          <w:lang w:val="en-US" w:eastAsia="zh-CN"/>
        </w:rPr>
      </w:pPr>
      <w:r w:rsidRPr="00845A83">
        <w:rPr>
          <w:rFonts w:ascii="Book Antiqua" w:hAnsi="Book Antiqua" w:cs="宋体"/>
          <w:sz w:val="24"/>
          <w:szCs w:val="24"/>
          <w:lang w:val="en-US" w:eastAsia="zh-CN"/>
        </w:rPr>
        <w:t xml:space="preserve">36 </w:t>
      </w:r>
      <w:proofErr w:type="gramStart"/>
      <w:r w:rsidRPr="00845A83">
        <w:rPr>
          <w:rFonts w:ascii="Book Antiqua" w:hAnsi="Book Antiqua" w:cs="宋体"/>
          <w:b/>
          <w:bCs/>
          <w:sz w:val="24"/>
          <w:szCs w:val="24"/>
          <w:lang w:val="en-US" w:eastAsia="zh-CN"/>
        </w:rPr>
        <w:t>Verso</w:t>
      </w:r>
      <w:proofErr w:type="gramEnd"/>
      <w:r w:rsidRPr="00845A83">
        <w:rPr>
          <w:rFonts w:ascii="Book Antiqua" w:hAnsi="Book Antiqua" w:cs="宋体"/>
          <w:b/>
          <w:bCs/>
          <w:sz w:val="24"/>
          <w:szCs w:val="24"/>
          <w:lang w:val="en-US" w:eastAsia="zh-CN"/>
        </w:rPr>
        <w:t xml:space="preserve"> M</w:t>
      </w:r>
      <w:r w:rsidRPr="00845A83">
        <w:rPr>
          <w:rFonts w:ascii="Book Antiqua" w:hAnsi="Book Antiqua" w:cs="宋体"/>
          <w:sz w:val="24"/>
          <w:szCs w:val="24"/>
          <w:lang w:val="en-US" w:eastAsia="zh-CN"/>
        </w:rPr>
        <w:t xml:space="preserve">, Agnelli G. </w:t>
      </w:r>
      <w:proofErr w:type="gramStart"/>
      <w:r w:rsidRPr="00845A83">
        <w:rPr>
          <w:rFonts w:ascii="Book Antiqua" w:hAnsi="Book Antiqua" w:cs="宋体"/>
          <w:sz w:val="24"/>
          <w:szCs w:val="24"/>
          <w:lang w:val="en-US" w:eastAsia="zh-CN"/>
        </w:rPr>
        <w:t>New strategies of VTE prevention in cancer patients.</w:t>
      </w:r>
      <w:proofErr w:type="gramEnd"/>
      <w:r w:rsidRPr="00845A83">
        <w:rPr>
          <w:rFonts w:ascii="Book Antiqua" w:hAnsi="Book Antiqua" w:cs="宋体"/>
          <w:sz w:val="24"/>
          <w:szCs w:val="24"/>
          <w:lang w:val="en-US" w:eastAsia="zh-CN"/>
        </w:rPr>
        <w:t xml:space="preserve"> </w:t>
      </w:r>
      <w:r w:rsidRPr="00845A83">
        <w:rPr>
          <w:rFonts w:ascii="Book Antiqua" w:hAnsi="Book Antiqua" w:cs="宋体"/>
          <w:i/>
          <w:iCs/>
          <w:sz w:val="24"/>
          <w:szCs w:val="24"/>
          <w:lang w:val="en-US" w:eastAsia="zh-CN"/>
        </w:rPr>
        <w:t>Thromb Res</w:t>
      </w:r>
      <w:r w:rsidRPr="00845A83">
        <w:rPr>
          <w:rFonts w:ascii="Book Antiqua" w:hAnsi="Book Antiqua" w:cs="宋体"/>
          <w:sz w:val="24"/>
          <w:szCs w:val="24"/>
          <w:lang w:val="en-US" w:eastAsia="zh-CN"/>
        </w:rPr>
        <w:t xml:space="preserve"> 2014; </w:t>
      </w:r>
      <w:r w:rsidRPr="00845A83">
        <w:rPr>
          <w:rFonts w:ascii="Book Antiqua" w:hAnsi="Book Antiqua" w:cs="宋体"/>
          <w:b/>
          <w:bCs/>
          <w:sz w:val="24"/>
          <w:szCs w:val="24"/>
          <w:lang w:val="en-US" w:eastAsia="zh-CN"/>
        </w:rPr>
        <w:t xml:space="preserve">133 </w:t>
      </w:r>
      <w:r w:rsidRPr="00845A83">
        <w:rPr>
          <w:rFonts w:ascii="Book Antiqua" w:hAnsi="Book Antiqua" w:cs="宋体"/>
          <w:bCs/>
          <w:sz w:val="24"/>
          <w:szCs w:val="24"/>
          <w:lang w:val="en-US" w:eastAsia="zh-CN"/>
        </w:rPr>
        <w:t>Suppl 2</w:t>
      </w:r>
      <w:r w:rsidRPr="00845A83">
        <w:rPr>
          <w:rFonts w:ascii="Book Antiqua" w:hAnsi="Book Antiqua" w:cs="宋体"/>
          <w:sz w:val="24"/>
          <w:szCs w:val="24"/>
          <w:lang w:val="en-US" w:eastAsia="zh-CN"/>
        </w:rPr>
        <w:t>: S128-S132 [PMID: 24862133 DOI: 1</w:t>
      </w:r>
      <w:r w:rsidR="004E47C0">
        <w:rPr>
          <w:rFonts w:ascii="Book Antiqua" w:hAnsi="Book Antiqua" w:cs="宋体"/>
          <w:sz w:val="24"/>
          <w:szCs w:val="24"/>
          <w:lang w:val="en-US" w:eastAsia="zh-CN"/>
        </w:rPr>
        <w:t>0.1016/S0049-3848(14)50022-9]</w:t>
      </w:r>
    </w:p>
    <w:p w14:paraId="77B9DA3D" w14:textId="795AB94B" w:rsidR="00845A83" w:rsidRPr="00845A83" w:rsidRDefault="00845A83" w:rsidP="00845A83">
      <w:pPr>
        <w:spacing w:after="0" w:line="360" w:lineRule="auto"/>
        <w:jc w:val="both"/>
        <w:rPr>
          <w:rFonts w:ascii="Book Antiqua" w:hAnsi="Book Antiqua" w:cs="宋体"/>
          <w:sz w:val="24"/>
          <w:szCs w:val="24"/>
          <w:lang w:val="en-US" w:eastAsia="zh-CN"/>
        </w:rPr>
      </w:pPr>
      <w:r w:rsidRPr="00845A83">
        <w:rPr>
          <w:rFonts w:ascii="Book Antiqua" w:hAnsi="Book Antiqua" w:cs="宋体"/>
          <w:sz w:val="24"/>
          <w:szCs w:val="24"/>
          <w:lang w:val="en-US" w:eastAsia="zh-CN"/>
        </w:rPr>
        <w:t xml:space="preserve">37 </w:t>
      </w:r>
      <w:r w:rsidRPr="00845A83">
        <w:rPr>
          <w:rFonts w:ascii="Book Antiqua" w:hAnsi="Book Antiqua" w:cs="宋体"/>
          <w:b/>
          <w:bCs/>
          <w:sz w:val="24"/>
          <w:szCs w:val="24"/>
          <w:lang w:val="en-US" w:eastAsia="zh-CN"/>
        </w:rPr>
        <w:t>Gould MK</w:t>
      </w:r>
      <w:r w:rsidRPr="00845A83">
        <w:rPr>
          <w:rFonts w:ascii="Book Antiqua" w:hAnsi="Book Antiqua" w:cs="宋体"/>
          <w:sz w:val="24"/>
          <w:szCs w:val="24"/>
          <w:lang w:val="en-US" w:eastAsia="zh-CN"/>
        </w:rPr>
        <w:t xml:space="preserve">, Garcia DA, Wren SM, Karanicolas PJ, Arcelus JI, Heit JA, Samama CM. Prevention of VTE in nonorthopedic surgical patients: Antithrombotic Therapy and Prevention of Thrombosis, 9th ed: American College of Chest Physicians Evidence-Based Clinical Practice Guidelines. </w:t>
      </w:r>
      <w:r w:rsidRPr="00845A83">
        <w:rPr>
          <w:rFonts w:ascii="Book Antiqua" w:hAnsi="Book Antiqua" w:cs="宋体"/>
          <w:i/>
          <w:iCs/>
          <w:sz w:val="24"/>
          <w:szCs w:val="24"/>
          <w:lang w:val="en-US" w:eastAsia="zh-CN"/>
        </w:rPr>
        <w:t>Chest</w:t>
      </w:r>
      <w:r w:rsidRPr="00845A83">
        <w:rPr>
          <w:rFonts w:ascii="Book Antiqua" w:hAnsi="Book Antiqua" w:cs="宋体"/>
          <w:sz w:val="24"/>
          <w:szCs w:val="24"/>
          <w:lang w:val="en-US" w:eastAsia="zh-CN"/>
        </w:rPr>
        <w:t xml:space="preserve"> 2012; </w:t>
      </w:r>
      <w:r w:rsidRPr="00845A83">
        <w:rPr>
          <w:rFonts w:ascii="Book Antiqua" w:hAnsi="Book Antiqua" w:cs="宋体"/>
          <w:b/>
          <w:bCs/>
          <w:sz w:val="24"/>
          <w:szCs w:val="24"/>
          <w:lang w:val="en-US" w:eastAsia="zh-CN"/>
        </w:rPr>
        <w:t>141</w:t>
      </w:r>
      <w:r w:rsidRPr="00845A83">
        <w:rPr>
          <w:rFonts w:ascii="Book Antiqua" w:hAnsi="Book Antiqua" w:cs="宋体"/>
          <w:sz w:val="24"/>
          <w:szCs w:val="24"/>
          <w:lang w:val="en-US" w:eastAsia="zh-CN"/>
        </w:rPr>
        <w:t>: e227S-e277S [PMID: 2231526</w:t>
      </w:r>
      <w:r w:rsidR="004E47C0">
        <w:rPr>
          <w:rFonts w:ascii="Book Antiqua" w:hAnsi="Book Antiqua" w:cs="宋体"/>
          <w:sz w:val="24"/>
          <w:szCs w:val="24"/>
          <w:lang w:val="en-US" w:eastAsia="zh-CN"/>
        </w:rPr>
        <w:t>3 DOI: 10.1378/chest.11-2297]</w:t>
      </w:r>
    </w:p>
    <w:p w14:paraId="2FF65504" w14:textId="4C936F6F" w:rsidR="00845A83" w:rsidRPr="00845A83" w:rsidRDefault="00845A83" w:rsidP="00845A83">
      <w:pPr>
        <w:spacing w:after="0" w:line="360" w:lineRule="auto"/>
        <w:jc w:val="both"/>
        <w:rPr>
          <w:rFonts w:ascii="Book Antiqua" w:hAnsi="Book Antiqua" w:cs="宋体"/>
          <w:sz w:val="24"/>
          <w:szCs w:val="24"/>
          <w:lang w:val="en-US" w:eastAsia="zh-CN"/>
        </w:rPr>
      </w:pPr>
      <w:r w:rsidRPr="00845A83">
        <w:rPr>
          <w:rFonts w:ascii="Book Antiqua" w:hAnsi="Book Antiqua" w:cs="宋体"/>
          <w:sz w:val="24"/>
          <w:szCs w:val="24"/>
          <w:lang w:val="en-US" w:eastAsia="zh-CN"/>
        </w:rPr>
        <w:t xml:space="preserve">38 </w:t>
      </w:r>
      <w:r w:rsidRPr="00845A83">
        <w:rPr>
          <w:rFonts w:ascii="Book Antiqua" w:hAnsi="Book Antiqua" w:cs="宋体"/>
          <w:b/>
          <w:bCs/>
          <w:sz w:val="24"/>
          <w:szCs w:val="24"/>
          <w:lang w:val="en-US" w:eastAsia="zh-CN"/>
        </w:rPr>
        <w:t>Søgaard KK</w:t>
      </w:r>
      <w:r w:rsidRPr="00845A83">
        <w:rPr>
          <w:rFonts w:ascii="Book Antiqua" w:hAnsi="Book Antiqua" w:cs="宋体"/>
          <w:sz w:val="24"/>
          <w:szCs w:val="24"/>
          <w:lang w:val="en-US" w:eastAsia="zh-CN"/>
        </w:rPr>
        <w:t xml:space="preserve">, Horváth-Puhó E, Grønbaek H, Jepsen P, Vilstrup H, Sørensen HT. Risk of venous thromboembolism in patients with liver disease: a nationwide population-based case-control study. </w:t>
      </w:r>
      <w:r w:rsidRPr="00845A83">
        <w:rPr>
          <w:rFonts w:ascii="Book Antiqua" w:hAnsi="Book Antiqua" w:cs="宋体"/>
          <w:i/>
          <w:iCs/>
          <w:sz w:val="24"/>
          <w:szCs w:val="24"/>
          <w:lang w:val="en-US" w:eastAsia="zh-CN"/>
        </w:rPr>
        <w:t>Am J Gastroenterol</w:t>
      </w:r>
      <w:r w:rsidRPr="00845A83">
        <w:rPr>
          <w:rFonts w:ascii="Book Antiqua" w:hAnsi="Book Antiqua" w:cs="宋体"/>
          <w:sz w:val="24"/>
          <w:szCs w:val="24"/>
          <w:lang w:val="en-US" w:eastAsia="zh-CN"/>
        </w:rPr>
        <w:t xml:space="preserve"> 2009; </w:t>
      </w:r>
      <w:r w:rsidRPr="00845A83">
        <w:rPr>
          <w:rFonts w:ascii="Book Antiqua" w:hAnsi="Book Antiqua" w:cs="宋体"/>
          <w:b/>
          <w:bCs/>
          <w:sz w:val="24"/>
          <w:szCs w:val="24"/>
          <w:lang w:val="en-US" w:eastAsia="zh-CN"/>
        </w:rPr>
        <w:t>104</w:t>
      </w:r>
      <w:r w:rsidRPr="00845A83">
        <w:rPr>
          <w:rFonts w:ascii="Book Antiqua" w:hAnsi="Book Antiqua" w:cs="宋体"/>
          <w:sz w:val="24"/>
          <w:szCs w:val="24"/>
          <w:lang w:val="en-US" w:eastAsia="zh-CN"/>
        </w:rPr>
        <w:t>: 96-101 [PMID: 19098856 DOI: 10.1038/ajg.200</w:t>
      </w:r>
      <w:r w:rsidR="004E47C0">
        <w:rPr>
          <w:rFonts w:ascii="Book Antiqua" w:hAnsi="Book Antiqua" w:cs="宋体"/>
          <w:sz w:val="24"/>
          <w:szCs w:val="24"/>
          <w:lang w:val="en-US" w:eastAsia="zh-CN"/>
        </w:rPr>
        <w:t>8.34]</w:t>
      </w:r>
    </w:p>
    <w:p w14:paraId="182841DD" w14:textId="5AF9625A" w:rsidR="00845A83" w:rsidRPr="00845A83" w:rsidRDefault="00845A83" w:rsidP="00845A83">
      <w:pPr>
        <w:spacing w:after="0" w:line="360" w:lineRule="auto"/>
        <w:jc w:val="both"/>
        <w:rPr>
          <w:rFonts w:ascii="Book Antiqua" w:hAnsi="Book Antiqua" w:cs="宋体"/>
          <w:sz w:val="24"/>
          <w:szCs w:val="24"/>
          <w:lang w:val="en-US" w:eastAsia="zh-CN"/>
        </w:rPr>
      </w:pPr>
      <w:r w:rsidRPr="00845A83">
        <w:rPr>
          <w:rFonts w:ascii="Book Antiqua" w:hAnsi="Book Antiqua" w:cs="宋体"/>
          <w:sz w:val="24"/>
          <w:szCs w:val="24"/>
          <w:lang w:val="en-US" w:eastAsia="zh-CN"/>
        </w:rPr>
        <w:t xml:space="preserve">39 </w:t>
      </w:r>
      <w:r w:rsidRPr="00845A83">
        <w:rPr>
          <w:rFonts w:ascii="Book Antiqua" w:hAnsi="Book Antiqua" w:cs="宋体"/>
          <w:b/>
          <w:bCs/>
          <w:sz w:val="24"/>
          <w:szCs w:val="24"/>
          <w:lang w:val="en-US" w:eastAsia="zh-CN"/>
        </w:rPr>
        <w:t>Zocco MA</w:t>
      </w:r>
      <w:r w:rsidRPr="00845A83">
        <w:rPr>
          <w:rFonts w:ascii="Book Antiqua" w:hAnsi="Book Antiqua" w:cs="宋体"/>
          <w:sz w:val="24"/>
          <w:szCs w:val="24"/>
          <w:lang w:val="en-US" w:eastAsia="zh-CN"/>
        </w:rPr>
        <w:t xml:space="preserve">, Di Stasio E, De Cristofaro R, Novi M, Ainora ME, Ponziani F, Riccardi L, Lancellotti S, Santoliquido A, Flore R, Pompili M, Rapaccini GL, </w:t>
      </w:r>
      <w:r w:rsidRPr="00845A83">
        <w:rPr>
          <w:rFonts w:ascii="Book Antiqua" w:hAnsi="Book Antiqua" w:cs="宋体"/>
          <w:sz w:val="24"/>
          <w:szCs w:val="24"/>
          <w:lang w:val="en-US" w:eastAsia="zh-CN"/>
        </w:rPr>
        <w:lastRenderedPageBreak/>
        <w:t xml:space="preserve">Tondi P, Gasbarrini GB, Landolfi R, Gasbarrini A. Thrombotic risk factors in patients with liver cirrhosis: correlation with MELD scoring system and portal vein thrombosis development. </w:t>
      </w:r>
      <w:r w:rsidRPr="00845A83">
        <w:rPr>
          <w:rFonts w:ascii="Book Antiqua" w:hAnsi="Book Antiqua" w:cs="宋体"/>
          <w:i/>
          <w:iCs/>
          <w:sz w:val="24"/>
          <w:szCs w:val="24"/>
          <w:lang w:val="en-US" w:eastAsia="zh-CN"/>
        </w:rPr>
        <w:t>J Hepatol</w:t>
      </w:r>
      <w:r w:rsidRPr="00845A83">
        <w:rPr>
          <w:rFonts w:ascii="Book Antiqua" w:hAnsi="Book Antiqua" w:cs="宋体"/>
          <w:sz w:val="24"/>
          <w:szCs w:val="24"/>
          <w:lang w:val="en-US" w:eastAsia="zh-CN"/>
        </w:rPr>
        <w:t xml:space="preserve"> 2009; </w:t>
      </w:r>
      <w:r w:rsidRPr="00845A83">
        <w:rPr>
          <w:rFonts w:ascii="Book Antiqua" w:hAnsi="Book Antiqua" w:cs="宋体"/>
          <w:b/>
          <w:bCs/>
          <w:sz w:val="24"/>
          <w:szCs w:val="24"/>
          <w:lang w:val="en-US" w:eastAsia="zh-CN"/>
        </w:rPr>
        <w:t>51</w:t>
      </w:r>
      <w:r w:rsidRPr="00845A83">
        <w:rPr>
          <w:rFonts w:ascii="Book Antiqua" w:hAnsi="Book Antiqua" w:cs="宋体"/>
          <w:sz w:val="24"/>
          <w:szCs w:val="24"/>
          <w:lang w:val="en-US" w:eastAsia="zh-CN"/>
        </w:rPr>
        <w:t>: 682-689 [PMID: 19464747 DOI</w:t>
      </w:r>
      <w:r w:rsidR="004E47C0">
        <w:rPr>
          <w:rFonts w:ascii="Book Antiqua" w:hAnsi="Book Antiqua" w:cs="宋体"/>
          <w:sz w:val="24"/>
          <w:szCs w:val="24"/>
          <w:lang w:val="en-US" w:eastAsia="zh-CN"/>
        </w:rPr>
        <w:t>: 10.1016/j.jhep.2009.03.013]</w:t>
      </w:r>
    </w:p>
    <w:p w14:paraId="5B7372BB" w14:textId="67C3731A" w:rsidR="00845A83" w:rsidRPr="00845A83" w:rsidRDefault="00845A83" w:rsidP="00845A83">
      <w:pPr>
        <w:spacing w:after="0" w:line="360" w:lineRule="auto"/>
        <w:jc w:val="both"/>
        <w:rPr>
          <w:rFonts w:ascii="Book Antiqua" w:hAnsi="Book Antiqua" w:cs="宋体"/>
          <w:sz w:val="24"/>
          <w:szCs w:val="24"/>
          <w:lang w:val="en-US" w:eastAsia="zh-CN"/>
        </w:rPr>
      </w:pPr>
      <w:r w:rsidRPr="00845A83">
        <w:rPr>
          <w:rFonts w:ascii="Book Antiqua" w:hAnsi="Book Antiqua" w:cs="宋体"/>
          <w:sz w:val="24"/>
          <w:szCs w:val="24"/>
          <w:lang w:val="en-US" w:eastAsia="zh-CN"/>
        </w:rPr>
        <w:t xml:space="preserve">40 </w:t>
      </w:r>
      <w:r w:rsidRPr="00845A83">
        <w:rPr>
          <w:rFonts w:ascii="Book Antiqua" w:hAnsi="Book Antiqua" w:cs="宋体"/>
          <w:b/>
          <w:bCs/>
          <w:sz w:val="24"/>
          <w:szCs w:val="24"/>
          <w:lang w:val="en-US" w:eastAsia="zh-CN"/>
        </w:rPr>
        <w:t>Thomas RM</w:t>
      </w:r>
      <w:r w:rsidRPr="00845A83">
        <w:rPr>
          <w:rFonts w:ascii="Book Antiqua" w:hAnsi="Book Antiqua" w:cs="宋体"/>
          <w:sz w:val="24"/>
          <w:szCs w:val="24"/>
          <w:lang w:val="en-US" w:eastAsia="zh-CN"/>
        </w:rPr>
        <w:t xml:space="preserve">, Ahmad SA. </w:t>
      </w:r>
      <w:proofErr w:type="gramStart"/>
      <w:r w:rsidRPr="00845A83">
        <w:rPr>
          <w:rFonts w:ascii="Book Antiqua" w:hAnsi="Book Antiqua" w:cs="宋体"/>
          <w:sz w:val="24"/>
          <w:szCs w:val="24"/>
          <w:lang w:val="en-US" w:eastAsia="zh-CN"/>
        </w:rPr>
        <w:t>Management of acute post-operative portal venous thrombosis.</w:t>
      </w:r>
      <w:proofErr w:type="gramEnd"/>
      <w:r w:rsidRPr="00845A83">
        <w:rPr>
          <w:rFonts w:ascii="Book Antiqua" w:hAnsi="Book Antiqua" w:cs="宋体"/>
          <w:sz w:val="24"/>
          <w:szCs w:val="24"/>
          <w:lang w:val="en-US" w:eastAsia="zh-CN"/>
        </w:rPr>
        <w:t xml:space="preserve"> </w:t>
      </w:r>
      <w:r w:rsidRPr="00845A83">
        <w:rPr>
          <w:rFonts w:ascii="Book Antiqua" w:hAnsi="Book Antiqua" w:cs="宋体"/>
          <w:i/>
          <w:iCs/>
          <w:sz w:val="24"/>
          <w:szCs w:val="24"/>
          <w:lang w:val="en-US" w:eastAsia="zh-CN"/>
        </w:rPr>
        <w:t>J Gastrointest Surg</w:t>
      </w:r>
      <w:r w:rsidRPr="00845A83">
        <w:rPr>
          <w:rFonts w:ascii="Book Antiqua" w:hAnsi="Book Antiqua" w:cs="宋体"/>
          <w:sz w:val="24"/>
          <w:szCs w:val="24"/>
          <w:lang w:val="en-US" w:eastAsia="zh-CN"/>
        </w:rPr>
        <w:t xml:space="preserve"> 2010; </w:t>
      </w:r>
      <w:r w:rsidRPr="00845A83">
        <w:rPr>
          <w:rFonts w:ascii="Book Antiqua" w:hAnsi="Book Antiqua" w:cs="宋体"/>
          <w:b/>
          <w:bCs/>
          <w:sz w:val="24"/>
          <w:szCs w:val="24"/>
          <w:lang w:val="en-US" w:eastAsia="zh-CN"/>
        </w:rPr>
        <w:t>14</w:t>
      </w:r>
      <w:r w:rsidRPr="00845A83">
        <w:rPr>
          <w:rFonts w:ascii="Book Antiqua" w:hAnsi="Book Antiqua" w:cs="宋体"/>
          <w:sz w:val="24"/>
          <w:szCs w:val="24"/>
          <w:lang w:val="en-US" w:eastAsia="zh-CN"/>
        </w:rPr>
        <w:t>: 570-577 [PMID: 19582513 DO</w:t>
      </w:r>
      <w:r w:rsidR="004E47C0">
        <w:rPr>
          <w:rFonts w:ascii="Book Antiqua" w:hAnsi="Book Antiqua" w:cs="宋体"/>
          <w:sz w:val="24"/>
          <w:szCs w:val="24"/>
          <w:lang w:val="en-US" w:eastAsia="zh-CN"/>
        </w:rPr>
        <w:t>I: 10.1007/s11605-009-0967-7]</w:t>
      </w:r>
    </w:p>
    <w:p w14:paraId="770559A8" w14:textId="27201AAC" w:rsidR="00845A83" w:rsidRPr="00845A83" w:rsidRDefault="00845A83" w:rsidP="00845A83">
      <w:pPr>
        <w:spacing w:after="0" w:line="360" w:lineRule="auto"/>
        <w:jc w:val="both"/>
        <w:rPr>
          <w:rFonts w:ascii="Book Antiqua" w:hAnsi="Book Antiqua" w:cs="宋体"/>
          <w:sz w:val="24"/>
          <w:szCs w:val="24"/>
          <w:lang w:val="en-US" w:eastAsia="zh-CN"/>
        </w:rPr>
      </w:pPr>
      <w:r w:rsidRPr="00845A83">
        <w:rPr>
          <w:rFonts w:ascii="Book Antiqua" w:hAnsi="Book Antiqua" w:cs="宋体"/>
          <w:sz w:val="24"/>
          <w:szCs w:val="24"/>
          <w:lang w:val="en-US" w:eastAsia="zh-CN"/>
        </w:rPr>
        <w:t xml:space="preserve">41 </w:t>
      </w:r>
      <w:r w:rsidRPr="00845A83">
        <w:rPr>
          <w:rFonts w:ascii="Book Antiqua" w:hAnsi="Book Antiqua" w:cs="宋体"/>
          <w:b/>
          <w:bCs/>
          <w:sz w:val="24"/>
          <w:szCs w:val="24"/>
          <w:lang w:val="en-US" w:eastAsia="zh-CN"/>
        </w:rPr>
        <w:t>Yoshiya S</w:t>
      </w:r>
      <w:r w:rsidRPr="00845A83">
        <w:rPr>
          <w:rFonts w:ascii="Book Antiqua" w:hAnsi="Book Antiqua" w:cs="宋体"/>
          <w:sz w:val="24"/>
          <w:szCs w:val="24"/>
          <w:lang w:val="en-US" w:eastAsia="zh-CN"/>
        </w:rPr>
        <w:t xml:space="preserve">, Shirabe K, Nakagawara H, Soejima Y, Yoshizumi T, Ikegami T, Yamashita Y, Harimoto N, Nishie A, Yamanaka T, Maehara Y. Portal vein thrombosis after hepatectomy. </w:t>
      </w:r>
      <w:r w:rsidRPr="00845A83">
        <w:rPr>
          <w:rFonts w:ascii="Book Antiqua" w:hAnsi="Book Antiqua" w:cs="宋体"/>
          <w:i/>
          <w:iCs/>
          <w:sz w:val="24"/>
          <w:szCs w:val="24"/>
          <w:lang w:val="en-US" w:eastAsia="zh-CN"/>
        </w:rPr>
        <w:t>World J Surg</w:t>
      </w:r>
      <w:r w:rsidRPr="00845A83">
        <w:rPr>
          <w:rFonts w:ascii="Book Antiqua" w:hAnsi="Book Antiqua" w:cs="宋体"/>
          <w:sz w:val="24"/>
          <w:szCs w:val="24"/>
          <w:lang w:val="en-US" w:eastAsia="zh-CN"/>
        </w:rPr>
        <w:t xml:space="preserve"> 2014; </w:t>
      </w:r>
      <w:r w:rsidRPr="00845A83">
        <w:rPr>
          <w:rFonts w:ascii="Book Antiqua" w:hAnsi="Book Antiqua" w:cs="宋体"/>
          <w:b/>
          <w:bCs/>
          <w:sz w:val="24"/>
          <w:szCs w:val="24"/>
          <w:lang w:val="en-US" w:eastAsia="zh-CN"/>
        </w:rPr>
        <w:t>38</w:t>
      </w:r>
      <w:r w:rsidRPr="00845A83">
        <w:rPr>
          <w:rFonts w:ascii="Book Antiqua" w:hAnsi="Book Antiqua" w:cs="宋体"/>
          <w:sz w:val="24"/>
          <w:szCs w:val="24"/>
          <w:lang w:val="en-US" w:eastAsia="zh-CN"/>
        </w:rPr>
        <w:t>: 1491-1497 [PMID: 24407940 DO</w:t>
      </w:r>
      <w:r w:rsidR="004E47C0">
        <w:rPr>
          <w:rFonts w:ascii="Book Antiqua" w:hAnsi="Book Antiqua" w:cs="宋体"/>
          <w:sz w:val="24"/>
          <w:szCs w:val="24"/>
          <w:lang w:val="en-US" w:eastAsia="zh-CN"/>
        </w:rPr>
        <w:t>I: 10.1007/s00268-013-2440-8]</w:t>
      </w:r>
    </w:p>
    <w:p w14:paraId="234D6730" w14:textId="43B60D28" w:rsidR="00845A83" w:rsidRPr="00845A83" w:rsidRDefault="00845A83" w:rsidP="00845A83">
      <w:pPr>
        <w:spacing w:after="0" w:line="360" w:lineRule="auto"/>
        <w:jc w:val="both"/>
        <w:rPr>
          <w:rFonts w:ascii="Book Antiqua" w:hAnsi="Book Antiqua" w:cs="宋体"/>
          <w:sz w:val="24"/>
          <w:szCs w:val="24"/>
          <w:lang w:val="en-US" w:eastAsia="zh-CN"/>
        </w:rPr>
      </w:pPr>
      <w:r w:rsidRPr="00845A83">
        <w:rPr>
          <w:rFonts w:ascii="Book Antiqua" w:hAnsi="Book Antiqua" w:cs="宋体"/>
          <w:sz w:val="24"/>
          <w:szCs w:val="24"/>
          <w:lang w:val="en-US" w:eastAsia="zh-CN"/>
        </w:rPr>
        <w:t xml:space="preserve">42 </w:t>
      </w:r>
      <w:r w:rsidRPr="00845A83">
        <w:rPr>
          <w:rFonts w:ascii="Book Antiqua" w:hAnsi="Book Antiqua" w:cs="宋体"/>
          <w:b/>
          <w:bCs/>
          <w:sz w:val="24"/>
          <w:szCs w:val="24"/>
          <w:lang w:val="en-US" w:eastAsia="zh-CN"/>
        </w:rPr>
        <w:t>Yamashita Y</w:t>
      </w:r>
      <w:r w:rsidRPr="00845A83">
        <w:rPr>
          <w:rFonts w:ascii="Book Antiqua" w:hAnsi="Book Antiqua" w:cs="宋体"/>
          <w:sz w:val="24"/>
          <w:szCs w:val="24"/>
          <w:lang w:val="en-US" w:eastAsia="zh-CN"/>
        </w:rPr>
        <w:t xml:space="preserve">, Bekki Y, Imai D, Ikegami T, Yoshizumi T, Ikeda T, Kawanaka H, Nishie A, Shirabe K, Maehara Y. Efficacy of postoperative anticoagulation therapy with enoxaparin for portal vein thrombosis after hepatic resection in patients with liver cancer. </w:t>
      </w:r>
      <w:r w:rsidRPr="00845A83">
        <w:rPr>
          <w:rFonts w:ascii="Book Antiqua" w:hAnsi="Book Antiqua" w:cs="宋体"/>
          <w:i/>
          <w:iCs/>
          <w:sz w:val="24"/>
          <w:szCs w:val="24"/>
          <w:lang w:val="en-US" w:eastAsia="zh-CN"/>
        </w:rPr>
        <w:t>Thromb Res</w:t>
      </w:r>
      <w:r w:rsidRPr="00845A83">
        <w:rPr>
          <w:rFonts w:ascii="Book Antiqua" w:hAnsi="Book Antiqua" w:cs="宋体"/>
          <w:sz w:val="24"/>
          <w:szCs w:val="24"/>
          <w:lang w:val="en-US" w:eastAsia="zh-CN"/>
        </w:rPr>
        <w:t xml:space="preserve"> 2014; </w:t>
      </w:r>
      <w:r w:rsidRPr="00845A83">
        <w:rPr>
          <w:rFonts w:ascii="Book Antiqua" w:hAnsi="Book Antiqua" w:cs="宋体"/>
          <w:b/>
          <w:bCs/>
          <w:sz w:val="24"/>
          <w:szCs w:val="24"/>
          <w:lang w:val="en-US" w:eastAsia="zh-CN"/>
        </w:rPr>
        <w:t>134</w:t>
      </w:r>
      <w:r w:rsidRPr="00845A83">
        <w:rPr>
          <w:rFonts w:ascii="Book Antiqua" w:hAnsi="Book Antiqua" w:cs="宋体"/>
          <w:sz w:val="24"/>
          <w:szCs w:val="24"/>
          <w:lang w:val="en-US" w:eastAsia="zh-CN"/>
        </w:rPr>
        <w:t>: 826-831 [PMID: 25156238 DOI: 10</w:t>
      </w:r>
      <w:r w:rsidR="004E47C0">
        <w:rPr>
          <w:rFonts w:ascii="Book Antiqua" w:hAnsi="Book Antiqua" w:cs="宋体"/>
          <w:sz w:val="24"/>
          <w:szCs w:val="24"/>
          <w:lang w:val="en-US" w:eastAsia="zh-CN"/>
        </w:rPr>
        <w:t>.1016/j.thromres.2014.07.038]</w:t>
      </w:r>
    </w:p>
    <w:p w14:paraId="6B7C5827" w14:textId="3F9BA5FD" w:rsidR="00845A83" w:rsidRPr="00845A83" w:rsidRDefault="00845A83" w:rsidP="00845A83">
      <w:pPr>
        <w:spacing w:after="0" w:line="360" w:lineRule="auto"/>
        <w:jc w:val="both"/>
        <w:rPr>
          <w:rFonts w:ascii="Book Antiqua" w:hAnsi="Book Antiqua" w:cs="宋体"/>
          <w:sz w:val="24"/>
          <w:szCs w:val="24"/>
          <w:lang w:val="en-US" w:eastAsia="zh-CN"/>
        </w:rPr>
      </w:pPr>
      <w:r w:rsidRPr="00845A83">
        <w:rPr>
          <w:rFonts w:ascii="Book Antiqua" w:hAnsi="Book Antiqua" w:cs="宋体"/>
          <w:sz w:val="24"/>
          <w:szCs w:val="24"/>
          <w:lang w:val="en-US" w:eastAsia="zh-CN"/>
        </w:rPr>
        <w:t xml:space="preserve">43 </w:t>
      </w:r>
      <w:r w:rsidRPr="00845A83">
        <w:rPr>
          <w:rFonts w:ascii="Book Antiqua" w:hAnsi="Book Antiqua" w:cs="宋体"/>
          <w:b/>
          <w:bCs/>
          <w:sz w:val="24"/>
          <w:szCs w:val="24"/>
          <w:lang w:val="en-US" w:eastAsia="zh-CN"/>
        </w:rPr>
        <w:t>Samama MM</w:t>
      </w:r>
      <w:r w:rsidRPr="00845A83">
        <w:rPr>
          <w:rFonts w:ascii="Book Antiqua" w:hAnsi="Book Antiqua" w:cs="宋体"/>
          <w:sz w:val="24"/>
          <w:szCs w:val="24"/>
          <w:lang w:val="en-US" w:eastAsia="zh-CN"/>
        </w:rPr>
        <w:t xml:space="preserve">, Cohen AT, Darmon JY, Desjardins L, Eldor A, Janbon C, Leizorovicz A, Nguyen H, Olsson CG, Turpie AG, Weisslinger N. </w:t>
      </w:r>
      <w:proofErr w:type="gramStart"/>
      <w:r w:rsidRPr="00845A83">
        <w:rPr>
          <w:rFonts w:ascii="Book Antiqua" w:hAnsi="Book Antiqua" w:cs="宋体"/>
          <w:sz w:val="24"/>
          <w:szCs w:val="24"/>
          <w:lang w:val="en-US" w:eastAsia="zh-CN"/>
        </w:rPr>
        <w:t>A comparison of enoxaparin with placebo for the prevention of venous thromboembolism in acutely ill medical patients.</w:t>
      </w:r>
      <w:proofErr w:type="gramEnd"/>
      <w:r w:rsidRPr="00845A83">
        <w:rPr>
          <w:rFonts w:ascii="Book Antiqua" w:hAnsi="Book Antiqua" w:cs="宋体"/>
          <w:sz w:val="24"/>
          <w:szCs w:val="24"/>
          <w:lang w:val="en-US" w:eastAsia="zh-CN"/>
        </w:rPr>
        <w:t xml:space="preserve"> </w:t>
      </w:r>
      <w:proofErr w:type="gramStart"/>
      <w:r w:rsidRPr="00845A83">
        <w:rPr>
          <w:rFonts w:ascii="Book Antiqua" w:hAnsi="Book Antiqua" w:cs="宋体"/>
          <w:sz w:val="24"/>
          <w:szCs w:val="24"/>
          <w:lang w:val="en-US" w:eastAsia="zh-CN"/>
        </w:rPr>
        <w:t>Prophylaxis in Medical Patients with Enoxaparin Study Group.</w:t>
      </w:r>
      <w:proofErr w:type="gramEnd"/>
      <w:r w:rsidRPr="00845A83">
        <w:rPr>
          <w:rFonts w:ascii="Book Antiqua" w:hAnsi="Book Antiqua" w:cs="宋体"/>
          <w:sz w:val="24"/>
          <w:szCs w:val="24"/>
          <w:lang w:val="en-US" w:eastAsia="zh-CN"/>
        </w:rPr>
        <w:t xml:space="preserve"> </w:t>
      </w:r>
      <w:r w:rsidRPr="00845A83">
        <w:rPr>
          <w:rFonts w:ascii="Book Antiqua" w:hAnsi="Book Antiqua" w:cs="宋体"/>
          <w:i/>
          <w:iCs/>
          <w:sz w:val="24"/>
          <w:szCs w:val="24"/>
          <w:lang w:val="en-US" w:eastAsia="zh-CN"/>
        </w:rPr>
        <w:t>N Engl J Med</w:t>
      </w:r>
      <w:r w:rsidRPr="00845A83">
        <w:rPr>
          <w:rFonts w:ascii="Book Antiqua" w:hAnsi="Book Antiqua" w:cs="宋体"/>
          <w:sz w:val="24"/>
          <w:szCs w:val="24"/>
          <w:lang w:val="en-US" w:eastAsia="zh-CN"/>
        </w:rPr>
        <w:t xml:space="preserve"> 1999; </w:t>
      </w:r>
      <w:r w:rsidRPr="00845A83">
        <w:rPr>
          <w:rFonts w:ascii="Book Antiqua" w:hAnsi="Book Antiqua" w:cs="宋体"/>
          <w:b/>
          <w:bCs/>
          <w:sz w:val="24"/>
          <w:szCs w:val="24"/>
          <w:lang w:val="en-US" w:eastAsia="zh-CN"/>
        </w:rPr>
        <w:t>341</w:t>
      </w:r>
      <w:r w:rsidRPr="00845A83">
        <w:rPr>
          <w:rFonts w:ascii="Book Antiqua" w:hAnsi="Book Antiqua" w:cs="宋体"/>
          <w:sz w:val="24"/>
          <w:szCs w:val="24"/>
          <w:lang w:val="en-US" w:eastAsia="zh-CN"/>
        </w:rPr>
        <w:t>: 793-800 [PMID: 10477777 DOI:</w:t>
      </w:r>
      <w:r w:rsidR="004E47C0">
        <w:rPr>
          <w:rFonts w:ascii="Book Antiqua" w:hAnsi="Book Antiqua" w:cs="宋体"/>
          <w:sz w:val="24"/>
          <w:szCs w:val="24"/>
          <w:lang w:val="en-US" w:eastAsia="zh-CN"/>
        </w:rPr>
        <w:t xml:space="preserve"> 10.1056/NEJM199909093411103]</w:t>
      </w:r>
    </w:p>
    <w:p w14:paraId="1C4EC775" w14:textId="1B25CEA6" w:rsidR="00845A83" w:rsidRPr="00845A83" w:rsidRDefault="00845A83" w:rsidP="00845A83">
      <w:pPr>
        <w:spacing w:after="0" w:line="360" w:lineRule="auto"/>
        <w:jc w:val="both"/>
        <w:rPr>
          <w:rFonts w:ascii="Book Antiqua" w:hAnsi="Book Antiqua" w:cs="宋体"/>
          <w:sz w:val="24"/>
          <w:szCs w:val="24"/>
          <w:lang w:val="en-US" w:eastAsia="zh-CN"/>
        </w:rPr>
      </w:pPr>
      <w:r w:rsidRPr="00845A83">
        <w:rPr>
          <w:rFonts w:ascii="Book Antiqua" w:hAnsi="Book Antiqua" w:cs="宋体"/>
          <w:sz w:val="24"/>
          <w:szCs w:val="24"/>
          <w:lang w:val="en-US" w:eastAsia="zh-CN"/>
        </w:rPr>
        <w:t xml:space="preserve">44 </w:t>
      </w:r>
      <w:r w:rsidRPr="00845A83">
        <w:rPr>
          <w:rFonts w:ascii="Book Antiqua" w:hAnsi="Book Antiqua" w:cs="宋体"/>
          <w:b/>
          <w:bCs/>
          <w:sz w:val="24"/>
          <w:szCs w:val="24"/>
          <w:lang w:val="en-US" w:eastAsia="zh-CN"/>
        </w:rPr>
        <w:t>Leizorovicz A</w:t>
      </w:r>
      <w:r w:rsidRPr="00845A83">
        <w:rPr>
          <w:rFonts w:ascii="Book Antiqua" w:hAnsi="Book Antiqua" w:cs="宋体"/>
          <w:sz w:val="24"/>
          <w:szCs w:val="24"/>
          <w:lang w:val="en-US" w:eastAsia="zh-CN"/>
        </w:rPr>
        <w:t xml:space="preserve">, Cohen AT, Turpie AG, Olsson CG, Vaitkus PT, Goldhaber SZ. </w:t>
      </w:r>
      <w:proofErr w:type="gramStart"/>
      <w:r w:rsidRPr="00845A83">
        <w:rPr>
          <w:rFonts w:ascii="Book Antiqua" w:hAnsi="Book Antiqua" w:cs="宋体"/>
          <w:sz w:val="24"/>
          <w:szCs w:val="24"/>
          <w:lang w:val="en-US" w:eastAsia="zh-CN"/>
        </w:rPr>
        <w:t>Randomized, placebo-controlled trial of dalteparin for the prevention of venous thromboembolism in acutely ill medical patients.</w:t>
      </w:r>
      <w:proofErr w:type="gramEnd"/>
      <w:r w:rsidRPr="00845A83">
        <w:rPr>
          <w:rFonts w:ascii="Book Antiqua" w:hAnsi="Book Antiqua" w:cs="宋体"/>
          <w:sz w:val="24"/>
          <w:szCs w:val="24"/>
          <w:lang w:val="en-US" w:eastAsia="zh-CN"/>
        </w:rPr>
        <w:t xml:space="preserve"> </w:t>
      </w:r>
      <w:r w:rsidRPr="00845A83">
        <w:rPr>
          <w:rFonts w:ascii="Book Antiqua" w:hAnsi="Book Antiqua" w:cs="宋体"/>
          <w:i/>
          <w:iCs/>
          <w:sz w:val="24"/>
          <w:szCs w:val="24"/>
          <w:lang w:val="en-US" w:eastAsia="zh-CN"/>
        </w:rPr>
        <w:t>Circulation</w:t>
      </w:r>
      <w:r w:rsidRPr="00845A83">
        <w:rPr>
          <w:rFonts w:ascii="Book Antiqua" w:hAnsi="Book Antiqua" w:cs="宋体"/>
          <w:sz w:val="24"/>
          <w:szCs w:val="24"/>
          <w:lang w:val="en-US" w:eastAsia="zh-CN"/>
        </w:rPr>
        <w:t xml:space="preserve"> 2004; </w:t>
      </w:r>
      <w:r w:rsidRPr="00845A83">
        <w:rPr>
          <w:rFonts w:ascii="Book Antiqua" w:hAnsi="Book Antiqua" w:cs="宋体"/>
          <w:b/>
          <w:bCs/>
          <w:sz w:val="24"/>
          <w:szCs w:val="24"/>
          <w:lang w:val="en-US" w:eastAsia="zh-CN"/>
        </w:rPr>
        <w:t>110</w:t>
      </w:r>
      <w:r w:rsidRPr="00845A83">
        <w:rPr>
          <w:rFonts w:ascii="Book Antiqua" w:hAnsi="Book Antiqua" w:cs="宋体"/>
          <w:sz w:val="24"/>
          <w:szCs w:val="24"/>
          <w:lang w:val="en-US" w:eastAsia="zh-CN"/>
        </w:rPr>
        <w:t>: 874-879 [PMID: 15289368 DOI: 10.116</w:t>
      </w:r>
      <w:r w:rsidR="004E47C0">
        <w:rPr>
          <w:rFonts w:ascii="Book Antiqua" w:hAnsi="Book Antiqua" w:cs="宋体"/>
          <w:sz w:val="24"/>
          <w:szCs w:val="24"/>
          <w:lang w:val="en-US" w:eastAsia="zh-CN"/>
        </w:rPr>
        <w:t>1/01.CIR.0000138928.83266.24]</w:t>
      </w:r>
    </w:p>
    <w:p w14:paraId="15468D94" w14:textId="30BC8A0F" w:rsidR="00845A83" w:rsidRPr="00845A83" w:rsidRDefault="00845A83" w:rsidP="00845A83">
      <w:pPr>
        <w:spacing w:after="0" w:line="360" w:lineRule="auto"/>
        <w:jc w:val="both"/>
        <w:rPr>
          <w:rFonts w:ascii="Book Antiqua" w:hAnsi="Book Antiqua" w:cs="宋体"/>
          <w:sz w:val="24"/>
          <w:szCs w:val="24"/>
          <w:lang w:val="en-US" w:eastAsia="zh-CN"/>
        </w:rPr>
      </w:pPr>
      <w:r w:rsidRPr="00845A83">
        <w:rPr>
          <w:rFonts w:ascii="Book Antiqua" w:hAnsi="Book Antiqua" w:cs="宋体"/>
          <w:sz w:val="24"/>
          <w:szCs w:val="24"/>
          <w:lang w:val="en-US" w:eastAsia="zh-CN"/>
        </w:rPr>
        <w:t xml:space="preserve">45 </w:t>
      </w:r>
      <w:r w:rsidRPr="00845A83">
        <w:rPr>
          <w:rFonts w:ascii="Book Antiqua" w:hAnsi="Book Antiqua" w:cs="宋体"/>
          <w:b/>
          <w:bCs/>
          <w:sz w:val="24"/>
          <w:szCs w:val="24"/>
          <w:lang w:val="en-US" w:eastAsia="zh-CN"/>
        </w:rPr>
        <w:t>Cohen AT</w:t>
      </w:r>
      <w:r w:rsidRPr="00845A83">
        <w:rPr>
          <w:rFonts w:ascii="Book Antiqua" w:hAnsi="Book Antiqua" w:cs="宋体"/>
          <w:sz w:val="24"/>
          <w:szCs w:val="24"/>
          <w:lang w:val="en-US" w:eastAsia="zh-CN"/>
        </w:rPr>
        <w:t xml:space="preserve">, Davidson BL, Gallus AS, Lassen MR, Prins MH, Tomkowski W, Turpie AG, Egberts JF, Lensing AW. Efficacy and safety of fondaparinux for the prevention of venous thromboembolism in older acute medical patients: randomised placebo controlled trial. </w:t>
      </w:r>
      <w:r w:rsidRPr="00845A83">
        <w:rPr>
          <w:rFonts w:ascii="Book Antiqua" w:hAnsi="Book Antiqua" w:cs="宋体"/>
          <w:i/>
          <w:iCs/>
          <w:sz w:val="24"/>
          <w:szCs w:val="24"/>
          <w:lang w:val="en-US" w:eastAsia="zh-CN"/>
        </w:rPr>
        <w:t>BMJ</w:t>
      </w:r>
      <w:r w:rsidRPr="00845A83">
        <w:rPr>
          <w:rFonts w:ascii="Book Antiqua" w:hAnsi="Book Antiqua" w:cs="宋体"/>
          <w:sz w:val="24"/>
          <w:szCs w:val="24"/>
          <w:lang w:val="en-US" w:eastAsia="zh-CN"/>
        </w:rPr>
        <w:t xml:space="preserve"> 2006; </w:t>
      </w:r>
      <w:r w:rsidRPr="00845A83">
        <w:rPr>
          <w:rFonts w:ascii="Book Antiqua" w:hAnsi="Book Antiqua" w:cs="宋体"/>
          <w:b/>
          <w:bCs/>
          <w:sz w:val="24"/>
          <w:szCs w:val="24"/>
          <w:lang w:val="en-US" w:eastAsia="zh-CN"/>
        </w:rPr>
        <w:t>332</w:t>
      </w:r>
      <w:r w:rsidRPr="00845A83">
        <w:rPr>
          <w:rFonts w:ascii="Book Antiqua" w:hAnsi="Book Antiqua" w:cs="宋体"/>
          <w:sz w:val="24"/>
          <w:szCs w:val="24"/>
          <w:lang w:val="en-US" w:eastAsia="zh-CN"/>
        </w:rPr>
        <w:t>: 325-329 [PMID: 16439370 DOI:</w:t>
      </w:r>
      <w:r w:rsidR="004E47C0">
        <w:rPr>
          <w:rFonts w:ascii="Book Antiqua" w:hAnsi="Book Antiqua" w:cs="宋体"/>
          <w:sz w:val="24"/>
          <w:szCs w:val="24"/>
          <w:lang w:val="en-US" w:eastAsia="zh-CN"/>
        </w:rPr>
        <w:t xml:space="preserve"> 10.1136/bmj.38733.466748.7C]</w:t>
      </w:r>
    </w:p>
    <w:p w14:paraId="4EB21179" w14:textId="45CF8535" w:rsidR="00845A83" w:rsidRPr="00845A83" w:rsidRDefault="00845A83" w:rsidP="00845A83">
      <w:pPr>
        <w:spacing w:after="0" w:line="360" w:lineRule="auto"/>
        <w:jc w:val="both"/>
        <w:rPr>
          <w:rFonts w:ascii="Book Antiqua" w:hAnsi="Book Antiqua" w:cs="宋体"/>
          <w:sz w:val="24"/>
          <w:szCs w:val="24"/>
          <w:lang w:val="en-US" w:eastAsia="zh-CN"/>
        </w:rPr>
      </w:pPr>
      <w:r w:rsidRPr="00845A83">
        <w:rPr>
          <w:rFonts w:ascii="Book Antiqua" w:hAnsi="Book Antiqua" w:cs="宋体"/>
          <w:sz w:val="24"/>
          <w:szCs w:val="24"/>
          <w:lang w:val="en-US" w:eastAsia="zh-CN"/>
        </w:rPr>
        <w:lastRenderedPageBreak/>
        <w:t xml:space="preserve">46 </w:t>
      </w:r>
      <w:r w:rsidRPr="00845A83">
        <w:rPr>
          <w:rFonts w:ascii="Book Antiqua" w:hAnsi="Book Antiqua" w:cs="宋体"/>
          <w:b/>
          <w:bCs/>
          <w:sz w:val="24"/>
          <w:szCs w:val="24"/>
          <w:lang w:val="en-US" w:eastAsia="zh-CN"/>
        </w:rPr>
        <w:t>Dentali F</w:t>
      </w:r>
      <w:r w:rsidRPr="00845A83">
        <w:rPr>
          <w:rFonts w:ascii="Book Antiqua" w:hAnsi="Book Antiqua" w:cs="宋体"/>
          <w:sz w:val="24"/>
          <w:szCs w:val="24"/>
          <w:lang w:val="en-US" w:eastAsia="zh-CN"/>
        </w:rPr>
        <w:t xml:space="preserve">, Douketis JD, Gianni M, Lim W, Crowther MA. Meta-analysis: anticoagulant prophylaxis to prevent symptomatic venous thromboembolism in hospitalized medical patients. </w:t>
      </w:r>
      <w:r w:rsidRPr="00845A83">
        <w:rPr>
          <w:rFonts w:ascii="Book Antiqua" w:hAnsi="Book Antiqua" w:cs="宋体"/>
          <w:i/>
          <w:iCs/>
          <w:sz w:val="24"/>
          <w:szCs w:val="24"/>
          <w:lang w:val="en-US" w:eastAsia="zh-CN"/>
        </w:rPr>
        <w:t>Ann Intern Med</w:t>
      </w:r>
      <w:r w:rsidRPr="00845A83">
        <w:rPr>
          <w:rFonts w:ascii="Book Antiqua" w:hAnsi="Book Antiqua" w:cs="宋体"/>
          <w:sz w:val="24"/>
          <w:szCs w:val="24"/>
          <w:lang w:val="en-US" w:eastAsia="zh-CN"/>
        </w:rPr>
        <w:t xml:space="preserve"> 2007; </w:t>
      </w:r>
      <w:r w:rsidRPr="00845A83">
        <w:rPr>
          <w:rFonts w:ascii="Book Antiqua" w:hAnsi="Book Antiqua" w:cs="宋体"/>
          <w:b/>
          <w:bCs/>
          <w:sz w:val="24"/>
          <w:szCs w:val="24"/>
          <w:lang w:val="en-US" w:eastAsia="zh-CN"/>
        </w:rPr>
        <w:t>146</w:t>
      </w:r>
      <w:r w:rsidRPr="00845A83">
        <w:rPr>
          <w:rFonts w:ascii="Book Antiqua" w:hAnsi="Book Antiqua" w:cs="宋体"/>
          <w:sz w:val="24"/>
          <w:szCs w:val="24"/>
          <w:lang w:val="en-US" w:eastAsia="zh-CN"/>
        </w:rPr>
        <w:t>: 278-288 [PMID: 17310052 DOI: 10.7326/000</w:t>
      </w:r>
      <w:r w:rsidR="004E47C0">
        <w:rPr>
          <w:rFonts w:ascii="Book Antiqua" w:hAnsi="Book Antiqua" w:cs="宋体"/>
          <w:sz w:val="24"/>
          <w:szCs w:val="24"/>
          <w:lang w:val="en-US" w:eastAsia="zh-CN"/>
        </w:rPr>
        <w:t>3-4819-146-4-200702200-00007]</w:t>
      </w:r>
    </w:p>
    <w:p w14:paraId="20553D54" w14:textId="62C949FE" w:rsidR="00845A83" w:rsidRPr="00845A83" w:rsidRDefault="00845A83" w:rsidP="00845A83">
      <w:pPr>
        <w:spacing w:after="0" w:line="360" w:lineRule="auto"/>
        <w:jc w:val="both"/>
        <w:rPr>
          <w:rFonts w:ascii="Book Antiqua" w:hAnsi="Book Antiqua" w:cs="宋体"/>
          <w:sz w:val="24"/>
          <w:szCs w:val="24"/>
          <w:lang w:val="en-US" w:eastAsia="zh-CN"/>
        </w:rPr>
      </w:pPr>
      <w:r w:rsidRPr="00845A83">
        <w:rPr>
          <w:rFonts w:ascii="Book Antiqua" w:hAnsi="Book Antiqua" w:cs="宋体"/>
          <w:sz w:val="24"/>
          <w:szCs w:val="24"/>
          <w:lang w:val="en-US" w:eastAsia="zh-CN"/>
        </w:rPr>
        <w:t xml:space="preserve">47 </w:t>
      </w:r>
      <w:r w:rsidRPr="00845A83">
        <w:rPr>
          <w:rFonts w:ascii="Book Antiqua" w:hAnsi="Book Antiqua" w:cs="宋体"/>
          <w:b/>
          <w:bCs/>
          <w:sz w:val="24"/>
          <w:szCs w:val="24"/>
          <w:lang w:val="en-US" w:eastAsia="zh-CN"/>
        </w:rPr>
        <w:t>Riess H</w:t>
      </w:r>
      <w:r w:rsidRPr="00845A83">
        <w:rPr>
          <w:rFonts w:ascii="Book Antiqua" w:hAnsi="Book Antiqua" w:cs="宋体"/>
          <w:sz w:val="24"/>
          <w:szCs w:val="24"/>
          <w:lang w:val="en-US" w:eastAsia="zh-CN"/>
        </w:rPr>
        <w:t xml:space="preserve">, Haas S, Tebbe U, Gerlach HE, Abletshauser C, Sieder C, Rossol S, Pfeiffer B, Schellong SM. A randomized, double-blind study of certoparin vs. unfractionated heparin to prevent venous thromboembolic events in acutely ill, non-surgical patients: CERTIFY Study. </w:t>
      </w:r>
      <w:r w:rsidRPr="00845A83">
        <w:rPr>
          <w:rFonts w:ascii="Book Antiqua" w:hAnsi="Book Antiqua" w:cs="宋体"/>
          <w:i/>
          <w:iCs/>
          <w:sz w:val="24"/>
          <w:szCs w:val="24"/>
          <w:lang w:val="en-US" w:eastAsia="zh-CN"/>
        </w:rPr>
        <w:t>J Thromb Haemost</w:t>
      </w:r>
      <w:r w:rsidRPr="00845A83">
        <w:rPr>
          <w:rFonts w:ascii="Book Antiqua" w:hAnsi="Book Antiqua" w:cs="宋体"/>
          <w:sz w:val="24"/>
          <w:szCs w:val="24"/>
          <w:lang w:val="en-US" w:eastAsia="zh-CN"/>
        </w:rPr>
        <w:t xml:space="preserve"> 2010; </w:t>
      </w:r>
      <w:r w:rsidRPr="00845A83">
        <w:rPr>
          <w:rFonts w:ascii="Book Antiqua" w:hAnsi="Book Antiqua" w:cs="宋体"/>
          <w:b/>
          <w:bCs/>
          <w:sz w:val="24"/>
          <w:szCs w:val="24"/>
          <w:lang w:val="en-US" w:eastAsia="zh-CN"/>
        </w:rPr>
        <w:t>8</w:t>
      </w:r>
      <w:r w:rsidRPr="00845A83">
        <w:rPr>
          <w:rFonts w:ascii="Book Antiqua" w:hAnsi="Book Antiqua" w:cs="宋体"/>
          <w:sz w:val="24"/>
          <w:szCs w:val="24"/>
          <w:lang w:val="en-US" w:eastAsia="zh-CN"/>
        </w:rPr>
        <w:t>: 1209-1215 [PMID: 20218984 DOI: 10.1</w:t>
      </w:r>
      <w:r w:rsidR="004F07D0">
        <w:rPr>
          <w:rFonts w:ascii="Book Antiqua" w:hAnsi="Book Antiqua" w:cs="宋体"/>
          <w:sz w:val="24"/>
          <w:szCs w:val="24"/>
          <w:lang w:val="en-US" w:eastAsia="zh-CN"/>
        </w:rPr>
        <w:t>111/j.1538-7836.2010.03848.x]</w:t>
      </w:r>
    </w:p>
    <w:p w14:paraId="011E885A" w14:textId="7BAD9EBB" w:rsidR="00845A83" w:rsidRPr="00845A83" w:rsidRDefault="00845A83" w:rsidP="00845A83">
      <w:pPr>
        <w:spacing w:after="0" w:line="360" w:lineRule="auto"/>
        <w:jc w:val="both"/>
        <w:rPr>
          <w:rFonts w:ascii="Book Antiqua" w:hAnsi="Book Antiqua" w:cs="宋体"/>
          <w:sz w:val="24"/>
          <w:szCs w:val="24"/>
          <w:lang w:val="en-US" w:eastAsia="zh-CN"/>
        </w:rPr>
      </w:pPr>
      <w:r w:rsidRPr="00845A83">
        <w:rPr>
          <w:rFonts w:ascii="Book Antiqua" w:hAnsi="Book Antiqua" w:cs="宋体"/>
          <w:sz w:val="24"/>
          <w:szCs w:val="24"/>
          <w:lang w:val="en-US" w:eastAsia="zh-CN"/>
        </w:rPr>
        <w:t xml:space="preserve">48 </w:t>
      </w:r>
      <w:r w:rsidRPr="00845A83">
        <w:rPr>
          <w:rFonts w:ascii="Book Antiqua" w:hAnsi="Book Antiqua" w:cs="宋体"/>
          <w:b/>
          <w:bCs/>
          <w:sz w:val="24"/>
          <w:szCs w:val="24"/>
          <w:lang w:val="en-US" w:eastAsia="zh-CN"/>
        </w:rPr>
        <w:t>Haas S</w:t>
      </w:r>
      <w:r w:rsidRPr="00845A83">
        <w:rPr>
          <w:rFonts w:ascii="Book Antiqua" w:hAnsi="Book Antiqua" w:cs="宋体"/>
          <w:sz w:val="24"/>
          <w:szCs w:val="24"/>
          <w:lang w:val="en-US" w:eastAsia="zh-CN"/>
        </w:rPr>
        <w:t xml:space="preserve">, Schellong SM, Tebbe U, Gerlach HE, Bauersachs R, Melzer N, Abletshauser C, Sieder C, Bramlage P, Riess H. Heparin based prophylaxis to prevent venous thromboembolic events and death in patients with cancer - a subgroup analysis of CERTIFY. </w:t>
      </w:r>
      <w:r w:rsidRPr="00845A83">
        <w:rPr>
          <w:rFonts w:ascii="Book Antiqua" w:hAnsi="Book Antiqua" w:cs="宋体"/>
          <w:i/>
          <w:iCs/>
          <w:sz w:val="24"/>
          <w:szCs w:val="24"/>
          <w:lang w:val="en-US" w:eastAsia="zh-CN"/>
        </w:rPr>
        <w:t>BMC Cancer</w:t>
      </w:r>
      <w:r w:rsidRPr="00845A83">
        <w:rPr>
          <w:rFonts w:ascii="Book Antiqua" w:hAnsi="Book Antiqua" w:cs="宋体"/>
          <w:sz w:val="24"/>
          <w:szCs w:val="24"/>
          <w:lang w:val="en-US" w:eastAsia="zh-CN"/>
        </w:rPr>
        <w:t xml:space="preserve"> 2011; </w:t>
      </w:r>
      <w:r w:rsidRPr="00845A83">
        <w:rPr>
          <w:rFonts w:ascii="Book Antiqua" w:hAnsi="Book Antiqua" w:cs="宋体"/>
          <w:b/>
          <w:bCs/>
          <w:sz w:val="24"/>
          <w:szCs w:val="24"/>
          <w:lang w:val="en-US" w:eastAsia="zh-CN"/>
        </w:rPr>
        <w:t>11</w:t>
      </w:r>
      <w:r w:rsidRPr="00845A83">
        <w:rPr>
          <w:rFonts w:ascii="Book Antiqua" w:hAnsi="Book Antiqua" w:cs="宋体"/>
          <w:sz w:val="24"/>
          <w:szCs w:val="24"/>
          <w:lang w:val="en-US" w:eastAsia="zh-CN"/>
        </w:rPr>
        <w:t>: 316 [PMID: 21791091 DOI: 10.1186/1471-2407-1</w:t>
      </w:r>
      <w:r w:rsidR="004F07D0">
        <w:rPr>
          <w:rFonts w:ascii="Book Antiqua" w:hAnsi="Book Antiqua" w:cs="宋体"/>
          <w:sz w:val="24"/>
          <w:szCs w:val="24"/>
          <w:lang w:val="en-US" w:eastAsia="zh-CN"/>
        </w:rPr>
        <w:t>1-316]</w:t>
      </w:r>
    </w:p>
    <w:p w14:paraId="0B618717" w14:textId="06800AE0" w:rsidR="00845A83" w:rsidRPr="00845A83" w:rsidRDefault="00845A83" w:rsidP="00845A83">
      <w:pPr>
        <w:spacing w:after="0" w:line="360" w:lineRule="auto"/>
        <w:jc w:val="both"/>
        <w:rPr>
          <w:rFonts w:ascii="Book Antiqua" w:hAnsi="Book Antiqua" w:cs="宋体"/>
          <w:sz w:val="24"/>
          <w:szCs w:val="24"/>
          <w:lang w:val="en-US" w:eastAsia="zh-CN"/>
        </w:rPr>
      </w:pPr>
      <w:r w:rsidRPr="00845A83">
        <w:rPr>
          <w:rFonts w:ascii="Book Antiqua" w:hAnsi="Book Antiqua" w:cs="宋体"/>
          <w:sz w:val="24"/>
          <w:szCs w:val="24"/>
          <w:lang w:val="en-US" w:eastAsia="zh-CN"/>
        </w:rPr>
        <w:t xml:space="preserve">49 </w:t>
      </w:r>
      <w:r w:rsidRPr="00845A83">
        <w:rPr>
          <w:rFonts w:ascii="Book Antiqua" w:hAnsi="Book Antiqua" w:cs="宋体"/>
          <w:b/>
          <w:bCs/>
          <w:sz w:val="24"/>
          <w:szCs w:val="24"/>
          <w:lang w:val="en-US" w:eastAsia="zh-CN"/>
        </w:rPr>
        <w:t>Hull RD</w:t>
      </w:r>
      <w:r w:rsidRPr="00845A83">
        <w:rPr>
          <w:rFonts w:ascii="Book Antiqua" w:hAnsi="Book Antiqua" w:cs="宋体"/>
          <w:sz w:val="24"/>
          <w:szCs w:val="24"/>
          <w:lang w:val="en-US" w:eastAsia="zh-CN"/>
        </w:rPr>
        <w:t xml:space="preserve">, Schellong SM, Tapson VF, Monreal M, Samama MM, Nicol P, Vicaut E, Turpie AG, Yusen RD. Extended-duration venous thromboembolism prophylaxis in acutely ill medical patients with recently reduced mobility: a randomized trial. </w:t>
      </w:r>
      <w:r w:rsidRPr="00845A83">
        <w:rPr>
          <w:rFonts w:ascii="Book Antiqua" w:hAnsi="Book Antiqua" w:cs="宋体"/>
          <w:i/>
          <w:iCs/>
          <w:sz w:val="24"/>
          <w:szCs w:val="24"/>
          <w:lang w:val="en-US" w:eastAsia="zh-CN"/>
        </w:rPr>
        <w:t>Ann Intern Med</w:t>
      </w:r>
      <w:r w:rsidRPr="00845A83">
        <w:rPr>
          <w:rFonts w:ascii="Book Antiqua" w:hAnsi="Book Antiqua" w:cs="宋体"/>
          <w:sz w:val="24"/>
          <w:szCs w:val="24"/>
          <w:lang w:val="en-US" w:eastAsia="zh-CN"/>
        </w:rPr>
        <w:t xml:space="preserve"> 2010; </w:t>
      </w:r>
      <w:r w:rsidRPr="00845A83">
        <w:rPr>
          <w:rFonts w:ascii="Book Antiqua" w:hAnsi="Book Antiqua" w:cs="宋体"/>
          <w:b/>
          <w:bCs/>
          <w:sz w:val="24"/>
          <w:szCs w:val="24"/>
          <w:lang w:val="en-US" w:eastAsia="zh-CN"/>
        </w:rPr>
        <w:t>153</w:t>
      </w:r>
      <w:r w:rsidRPr="00845A83">
        <w:rPr>
          <w:rFonts w:ascii="Book Antiqua" w:hAnsi="Book Antiqua" w:cs="宋体"/>
          <w:sz w:val="24"/>
          <w:szCs w:val="24"/>
          <w:lang w:val="en-US" w:eastAsia="zh-CN"/>
        </w:rPr>
        <w:t>: 8-18 [PMID: 20621900 DOI: 10.7326/000</w:t>
      </w:r>
      <w:r w:rsidR="004F07D0">
        <w:rPr>
          <w:rFonts w:ascii="Book Antiqua" w:hAnsi="Book Antiqua" w:cs="宋体"/>
          <w:sz w:val="24"/>
          <w:szCs w:val="24"/>
          <w:lang w:val="en-US" w:eastAsia="zh-CN"/>
        </w:rPr>
        <w:t>3-4819-153-1-201007060-00004]</w:t>
      </w:r>
    </w:p>
    <w:p w14:paraId="37883F25" w14:textId="53587072" w:rsidR="00845A83" w:rsidRPr="00845A83" w:rsidRDefault="00845A83" w:rsidP="00845A83">
      <w:pPr>
        <w:spacing w:after="0" w:line="360" w:lineRule="auto"/>
        <w:jc w:val="both"/>
        <w:rPr>
          <w:rFonts w:ascii="Book Antiqua" w:hAnsi="Book Antiqua" w:cs="宋体"/>
          <w:sz w:val="24"/>
          <w:szCs w:val="24"/>
          <w:lang w:val="en-US" w:eastAsia="zh-CN"/>
        </w:rPr>
      </w:pPr>
      <w:r w:rsidRPr="00845A83">
        <w:rPr>
          <w:rFonts w:ascii="Book Antiqua" w:hAnsi="Book Antiqua" w:cs="宋体"/>
          <w:sz w:val="24"/>
          <w:szCs w:val="24"/>
          <w:lang w:val="en-US" w:eastAsia="zh-CN"/>
        </w:rPr>
        <w:t xml:space="preserve">50 </w:t>
      </w:r>
      <w:r w:rsidRPr="00845A83">
        <w:rPr>
          <w:rFonts w:ascii="Book Antiqua" w:hAnsi="Book Antiqua" w:cs="宋体"/>
          <w:b/>
          <w:bCs/>
          <w:sz w:val="24"/>
          <w:szCs w:val="24"/>
          <w:lang w:val="en-US" w:eastAsia="zh-CN"/>
        </w:rPr>
        <w:t>Goldhaber SZ</w:t>
      </w:r>
      <w:r w:rsidRPr="00845A83">
        <w:rPr>
          <w:rFonts w:ascii="Book Antiqua" w:hAnsi="Book Antiqua" w:cs="宋体"/>
          <w:sz w:val="24"/>
          <w:szCs w:val="24"/>
          <w:lang w:val="en-US" w:eastAsia="zh-CN"/>
        </w:rPr>
        <w:t xml:space="preserve">, Leizorovicz A, Kakkar AK, Haas SK, Merli G, Knabb RM, Weitz JI. </w:t>
      </w:r>
      <w:proofErr w:type="gramStart"/>
      <w:r w:rsidRPr="00845A83">
        <w:rPr>
          <w:rFonts w:ascii="Book Antiqua" w:hAnsi="Book Antiqua" w:cs="宋体"/>
          <w:sz w:val="24"/>
          <w:szCs w:val="24"/>
          <w:lang w:val="en-US" w:eastAsia="zh-CN"/>
        </w:rPr>
        <w:t>Apixaban versus enoxaparin for thromboprophylaxis in medically ill patients.</w:t>
      </w:r>
      <w:proofErr w:type="gramEnd"/>
      <w:r w:rsidRPr="00845A83">
        <w:rPr>
          <w:rFonts w:ascii="Book Antiqua" w:hAnsi="Book Antiqua" w:cs="宋体"/>
          <w:sz w:val="24"/>
          <w:szCs w:val="24"/>
          <w:lang w:val="en-US" w:eastAsia="zh-CN"/>
        </w:rPr>
        <w:t xml:space="preserve"> </w:t>
      </w:r>
      <w:r w:rsidRPr="00845A83">
        <w:rPr>
          <w:rFonts w:ascii="Book Antiqua" w:hAnsi="Book Antiqua" w:cs="宋体"/>
          <w:i/>
          <w:iCs/>
          <w:sz w:val="24"/>
          <w:szCs w:val="24"/>
          <w:lang w:val="en-US" w:eastAsia="zh-CN"/>
        </w:rPr>
        <w:t>N Engl J Med</w:t>
      </w:r>
      <w:r w:rsidRPr="00845A83">
        <w:rPr>
          <w:rFonts w:ascii="Book Antiqua" w:hAnsi="Book Antiqua" w:cs="宋体"/>
          <w:sz w:val="24"/>
          <w:szCs w:val="24"/>
          <w:lang w:val="en-US" w:eastAsia="zh-CN"/>
        </w:rPr>
        <w:t xml:space="preserve"> 2011; </w:t>
      </w:r>
      <w:r w:rsidRPr="00845A83">
        <w:rPr>
          <w:rFonts w:ascii="Book Antiqua" w:hAnsi="Book Antiqua" w:cs="宋体"/>
          <w:b/>
          <w:bCs/>
          <w:sz w:val="24"/>
          <w:szCs w:val="24"/>
          <w:lang w:val="en-US" w:eastAsia="zh-CN"/>
        </w:rPr>
        <w:t>365</w:t>
      </w:r>
      <w:r w:rsidRPr="00845A83">
        <w:rPr>
          <w:rFonts w:ascii="Book Antiqua" w:hAnsi="Book Antiqua" w:cs="宋体"/>
          <w:sz w:val="24"/>
          <w:szCs w:val="24"/>
          <w:lang w:val="en-US" w:eastAsia="zh-CN"/>
        </w:rPr>
        <w:t>: 2167-2177 [PMID: 2207714</w:t>
      </w:r>
      <w:r w:rsidR="004F07D0">
        <w:rPr>
          <w:rFonts w:ascii="Book Antiqua" w:hAnsi="Book Antiqua" w:cs="宋体"/>
          <w:sz w:val="24"/>
          <w:szCs w:val="24"/>
          <w:lang w:val="en-US" w:eastAsia="zh-CN"/>
        </w:rPr>
        <w:t>4 DOI: 10.1056/NEJMoa1110899]</w:t>
      </w:r>
    </w:p>
    <w:p w14:paraId="00EB3FDB" w14:textId="64175CE7" w:rsidR="00845A83" w:rsidRPr="00845A83" w:rsidRDefault="00845A83" w:rsidP="00845A83">
      <w:pPr>
        <w:spacing w:after="0" w:line="360" w:lineRule="auto"/>
        <w:jc w:val="both"/>
        <w:rPr>
          <w:rFonts w:ascii="Book Antiqua" w:hAnsi="Book Antiqua" w:cs="宋体"/>
          <w:sz w:val="24"/>
          <w:szCs w:val="24"/>
          <w:lang w:val="en-US" w:eastAsia="zh-CN"/>
        </w:rPr>
      </w:pPr>
      <w:r w:rsidRPr="00845A83">
        <w:rPr>
          <w:rFonts w:ascii="Book Antiqua" w:hAnsi="Book Antiqua" w:cs="宋体"/>
          <w:sz w:val="24"/>
          <w:szCs w:val="24"/>
          <w:lang w:val="en-US" w:eastAsia="zh-CN"/>
        </w:rPr>
        <w:t xml:space="preserve">51 </w:t>
      </w:r>
      <w:r w:rsidRPr="00845A83">
        <w:rPr>
          <w:rFonts w:ascii="Book Antiqua" w:hAnsi="Book Antiqua" w:cs="宋体"/>
          <w:b/>
          <w:bCs/>
          <w:sz w:val="24"/>
          <w:szCs w:val="24"/>
          <w:lang w:val="en-US" w:eastAsia="zh-CN"/>
        </w:rPr>
        <w:t>Cohen AT</w:t>
      </w:r>
      <w:r w:rsidRPr="00845A83">
        <w:rPr>
          <w:rFonts w:ascii="Book Antiqua" w:hAnsi="Book Antiqua" w:cs="宋体"/>
          <w:sz w:val="24"/>
          <w:szCs w:val="24"/>
          <w:lang w:val="en-US" w:eastAsia="zh-CN"/>
        </w:rPr>
        <w:t xml:space="preserve">, Spiro TE, Spyropoulos AC. Rivaroxaban for thromboprophylaxis in acutely ill medical patients. </w:t>
      </w:r>
      <w:r w:rsidRPr="00845A83">
        <w:rPr>
          <w:rFonts w:ascii="Book Antiqua" w:hAnsi="Book Antiqua" w:cs="宋体"/>
          <w:i/>
          <w:iCs/>
          <w:sz w:val="24"/>
          <w:szCs w:val="24"/>
          <w:lang w:val="en-US" w:eastAsia="zh-CN"/>
        </w:rPr>
        <w:t>N Engl J Med</w:t>
      </w:r>
      <w:r w:rsidRPr="00845A83">
        <w:rPr>
          <w:rFonts w:ascii="Book Antiqua" w:hAnsi="Book Antiqua" w:cs="宋体"/>
          <w:sz w:val="24"/>
          <w:szCs w:val="24"/>
          <w:lang w:val="en-US" w:eastAsia="zh-CN"/>
        </w:rPr>
        <w:t xml:space="preserve"> 2013; </w:t>
      </w:r>
      <w:r w:rsidRPr="00845A83">
        <w:rPr>
          <w:rFonts w:ascii="Book Antiqua" w:hAnsi="Book Antiqua" w:cs="宋体"/>
          <w:b/>
          <w:bCs/>
          <w:sz w:val="24"/>
          <w:szCs w:val="24"/>
          <w:lang w:val="en-US" w:eastAsia="zh-CN"/>
        </w:rPr>
        <w:t>368</w:t>
      </w:r>
      <w:r w:rsidRPr="00845A83">
        <w:rPr>
          <w:rFonts w:ascii="Book Antiqua" w:hAnsi="Book Antiqua" w:cs="宋体"/>
          <w:sz w:val="24"/>
          <w:szCs w:val="24"/>
          <w:lang w:val="en-US" w:eastAsia="zh-CN"/>
        </w:rPr>
        <w:t>: 1945-1946 [PMID: 236756</w:t>
      </w:r>
      <w:r w:rsidR="004F07D0">
        <w:rPr>
          <w:rFonts w:ascii="Book Antiqua" w:hAnsi="Book Antiqua" w:cs="宋体"/>
          <w:sz w:val="24"/>
          <w:szCs w:val="24"/>
          <w:lang w:val="en-US" w:eastAsia="zh-CN"/>
        </w:rPr>
        <w:t>65 DOI: 10.1056/NEJMc1303641]</w:t>
      </w:r>
    </w:p>
    <w:p w14:paraId="5BFD626A" w14:textId="7A370DFB" w:rsidR="00845A83" w:rsidRPr="00845A83" w:rsidRDefault="00845A83" w:rsidP="00845A83">
      <w:pPr>
        <w:spacing w:after="0" w:line="360" w:lineRule="auto"/>
        <w:jc w:val="both"/>
        <w:rPr>
          <w:rFonts w:ascii="Book Antiqua" w:hAnsi="Book Antiqua" w:cs="宋体"/>
          <w:sz w:val="24"/>
          <w:szCs w:val="24"/>
          <w:lang w:val="en-US" w:eastAsia="zh-CN"/>
        </w:rPr>
      </w:pPr>
      <w:r w:rsidRPr="00845A83">
        <w:rPr>
          <w:rFonts w:ascii="Book Antiqua" w:hAnsi="Book Antiqua" w:cs="宋体"/>
          <w:sz w:val="24"/>
          <w:szCs w:val="24"/>
          <w:lang w:val="en-US" w:eastAsia="zh-CN"/>
        </w:rPr>
        <w:t xml:space="preserve">52 </w:t>
      </w:r>
      <w:r w:rsidRPr="00845A83">
        <w:rPr>
          <w:rFonts w:ascii="Book Antiqua" w:hAnsi="Book Antiqua" w:cs="宋体"/>
          <w:b/>
          <w:bCs/>
          <w:sz w:val="24"/>
          <w:szCs w:val="24"/>
          <w:lang w:val="en-US" w:eastAsia="zh-CN"/>
        </w:rPr>
        <w:t>Carrier M</w:t>
      </w:r>
      <w:r w:rsidRPr="00845A83">
        <w:rPr>
          <w:rFonts w:ascii="Book Antiqua" w:hAnsi="Book Antiqua" w:cs="宋体"/>
          <w:sz w:val="24"/>
          <w:szCs w:val="24"/>
          <w:lang w:val="en-US" w:eastAsia="zh-CN"/>
        </w:rPr>
        <w:t xml:space="preserve">, Khorana AA, Moretto P, Le Gal G, Karp R, Zwicker JI. Lack of evidence to support thromboprophylaxis in hospitalized medical patients with cancer. </w:t>
      </w:r>
      <w:r w:rsidRPr="00845A83">
        <w:rPr>
          <w:rFonts w:ascii="Book Antiqua" w:hAnsi="Book Antiqua" w:cs="宋体"/>
          <w:i/>
          <w:iCs/>
          <w:sz w:val="24"/>
          <w:szCs w:val="24"/>
          <w:lang w:val="en-US" w:eastAsia="zh-CN"/>
        </w:rPr>
        <w:t>Am J Med</w:t>
      </w:r>
      <w:r w:rsidRPr="00845A83">
        <w:rPr>
          <w:rFonts w:ascii="Book Antiqua" w:hAnsi="Book Antiqua" w:cs="宋体"/>
          <w:sz w:val="24"/>
          <w:szCs w:val="24"/>
          <w:lang w:val="en-US" w:eastAsia="zh-CN"/>
        </w:rPr>
        <w:t xml:space="preserve"> 2014; </w:t>
      </w:r>
      <w:r w:rsidRPr="00845A83">
        <w:rPr>
          <w:rFonts w:ascii="Book Antiqua" w:hAnsi="Book Antiqua" w:cs="宋体"/>
          <w:b/>
          <w:bCs/>
          <w:sz w:val="24"/>
          <w:szCs w:val="24"/>
          <w:lang w:val="en-US" w:eastAsia="zh-CN"/>
        </w:rPr>
        <w:t>127</w:t>
      </w:r>
      <w:r w:rsidRPr="00845A83">
        <w:rPr>
          <w:rFonts w:ascii="Book Antiqua" w:hAnsi="Book Antiqua" w:cs="宋体"/>
          <w:sz w:val="24"/>
          <w:szCs w:val="24"/>
          <w:lang w:val="en-US" w:eastAsia="zh-CN"/>
        </w:rPr>
        <w:t xml:space="preserve">: 82-6.e1 [PMID: 24384102 DOI: </w:t>
      </w:r>
      <w:r w:rsidR="004F07D0">
        <w:rPr>
          <w:rFonts w:ascii="Book Antiqua" w:hAnsi="Book Antiqua" w:cs="宋体"/>
          <w:sz w:val="24"/>
          <w:szCs w:val="24"/>
          <w:lang w:val="en-US" w:eastAsia="zh-CN"/>
        </w:rPr>
        <w:t>10.1016/j.amjmed.2013.09.015]</w:t>
      </w:r>
    </w:p>
    <w:p w14:paraId="22B55CA5" w14:textId="70D53AE6" w:rsidR="00845A83" w:rsidRPr="00845A83" w:rsidRDefault="00845A83" w:rsidP="00845A83">
      <w:pPr>
        <w:spacing w:after="0" w:line="360" w:lineRule="auto"/>
        <w:jc w:val="both"/>
        <w:rPr>
          <w:rFonts w:ascii="Book Antiqua" w:hAnsi="Book Antiqua" w:cs="宋体"/>
          <w:sz w:val="24"/>
          <w:szCs w:val="24"/>
          <w:lang w:val="en-US" w:eastAsia="zh-CN"/>
        </w:rPr>
      </w:pPr>
      <w:r w:rsidRPr="00845A83">
        <w:rPr>
          <w:rFonts w:ascii="Book Antiqua" w:hAnsi="Book Antiqua" w:cs="宋体"/>
          <w:sz w:val="24"/>
          <w:szCs w:val="24"/>
          <w:lang w:val="en-US" w:eastAsia="zh-CN"/>
        </w:rPr>
        <w:lastRenderedPageBreak/>
        <w:t xml:space="preserve">53 </w:t>
      </w:r>
      <w:r w:rsidRPr="00845A83">
        <w:rPr>
          <w:rFonts w:ascii="Book Antiqua" w:hAnsi="Book Antiqua" w:cs="宋体"/>
          <w:b/>
          <w:bCs/>
          <w:sz w:val="24"/>
          <w:szCs w:val="24"/>
          <w:lang w:val="en-US" w:eastAsia="zh-CN"/>
        </w:rPr>
        <w:t>Cohen AT</w:t>
      </w:r>
      <w:r w:rsidRPr="00845A83">
        <w:rPr>
          <w:rFonts w:ascii="Book Antiqua" w:hAnsi="Book Antiqua" w:cs="宋体"/>
          <w:sz w:val="24"/>
          <w:szCs w:val="24"/>
          <w:lang w:val="en-US" w:eastAsia="zh-CN"/>
        </w:rPr>
        <w:t xml:space="preserve">, Nandini B, Wills JO, Ota S. VTE prophylaxis for the medical patient: where do we stand? - </w:t>
      </w:r>
      <w:proofErr w:type="gramStart"/>
      <w:r w:rsidRPr="00845A83">
        <w:rPr>
          <w:rFonts w:ascii="Book Antiqua" w:hAnsi="Book Antiqua" w:cs="宋体"/>
          <w:sz w:val="24"/>
          <w:szCs w:val="24"/>
          <w:lang w:val="en-US" w:eastAsia="zh-CN"/>
        </w:rPr>
        <w:t>a</w:t>
      </w:r>
      <w:proofErr w:type="gramEnd"/>
      <w:r w:rsidRPr="00845A83">
        <w:rPr>
          <w:rFonts w:ascii="Book Antiqua" w:hAnsi="Book Antiqua" w:cs="宋体"/>
          <w:sz w:val="24"/>
          <w:szCs w:val="24"/>
          <w:lang w:val="en-US" w:eastAsia="zh-CN"/>
        </w:rPr>
        <w:t xml:space="preserve"> focus on cancer patients. </w:t>
      </w:r>
      <w:r w:rsidRPr="00845A83">
        <w:rPr>
          <w:rFonts w:ascii="Book Antiqua" w:hAnsi="Book Antiqua" w:cs="宋体"/>
          <w:i/>
          <w:iCs/>
          <w:sz w:val="24"/>
          <w:szCs w:val="24"/>
          <w:lang w:val="en-US" w:eastAsia="zh-CN"/>
        </w:rPr>
        <w:t>Thromb Res</w:t>
      </w:r>
      <w:r w:rsidRPr="00845A83">
        <w:rPr>
          <w:rFonts w:ascii="Book Antiqua" w:hAnsi="Book Antiqua" w:cs="宋体"/>
          <w:sz w:val="24"/>
          <w:szCs w:val="24"/>
          <w:lang w:val="en-US" w:eastAsia="zh-CN"/>
        </w:rPr>
        <w:t xml:space="preserve"> 2010; </w:t>
      </w:r>
      <w:r w:rsidRPr="00845A83">
        <w:rPr>
          <w:rFonts w:ascii="Book Antiqua" w:hAnsi="Book Antiqua" w:cs="宋体"/>
          <w:b/>
          <w:bCs/>
          <w:sz w:val="24"/>
          <w:szCs w:val="24"/>
          <w:lang w:val="en-US" w:eastAsia="zh-CN"/>
        </w:rPr>
        <w:t xml:space="preserve">125 </w:t>
      </w:r>
      <w:r w:rsidRPr="00D36884">
        <w:rPr>
          <w:rFonts w:ascii="Book Antiqua" w:hAnsi="Book Antiqua" w:cs="宋体"/>
          <w:bCs/>
          <w:sz w:val="24"/>
          <w:szCs w:val="24"/>
          <w:lang w:val="en-US" w:eastAsia="zh-CN"/>
        </w:rPr>
        <w:t>Suppl 2</w:t>
      </w:r>
      <w:r w:rsidRPr="00D36884">
        <w:rPr>
          <w:rFonts w:ascii="Book Antiqua" w:hAnsi="Book Antiqua" w:cs="宋体"/>
          <w:sz w:val="24"/>
          <w:szCs w:val="24"/>
          <w:lang w:val="en-US" w:eastAsia="zh-CN"/>
        </w:rPr>
        <w:t>:</w:t>
      </w:r>
      <w:r w:rsidRPr="00845A83">
        <w:rPr>
          <w:rFonts w:ascii="Book Antiqua" w:hAnsi="Book Antiqua" w:cs="宋体"/>
          <w:sz w:val="24"/>
          <w:szCs w:val="24"/>
          <w:lang w:val="en-US" w:eastAsia="zh-CN"/>
        </w:rPr>
        <w:t xml:space="preserve"> S21-S29 [PMID: 20434000 DOI: 1</w:t>
      </w:r>
      <w:r w:rsidR="004F07D0">
        <w:rPr>
          <w:rFonts w:ascii="Book Antiqua" w:hAnsi="Book Antiqua" w:cs="宋体"/>
          <w:sz w:val="24"/>
          <w:szCs w:val="24"/>
          <w:lang w:val="en-US" w:eastAsia="zh-CN"/>
        </w:rPr>
        <w:t>0.1016/S0049-3848(10)70008-6]</w:t>
      </w:r>
    </w:p>
    <w:p w14:paraId="22AFE69B" w14:textId="26555306" w:rsidR="00845A83" w:rsidRPr="00845A83" w:rsidRDefault="00845A83" w:rsidP="00845A83">
      <w:pPr>
        <w:spacing w:after="0" w:line="360" w:lineRule="auto"/>
        <w:jc w:val="both"/>
        <w:rPr>
          <w:rFonts w:ascii="Book Antiqua" w:hAnsi="Book Antiqua" w:cs="宋体"/>
          <w:sz w:val="24"/>
          <w:szCs w:val="24"/>
          <w:lang w:val="en-US" w:eastAsia="zh-CN"/>
        </w:rPr>
      </w:pPr>
      <w:r w:rsidRPr="00845A83">
        <w:rPr>
          <w:rFonts w:ascii="Book Antiqua" w:hAnsi="Book Antiqua" w:cs="宋体"/>
          <w:sz w:val="24"/>
          <w:szCs w:val="24"/>
          <w:lang w:val="en-US" w:eastAsia="zh-CN"/>
        </w:rPr>
        <w:t xml:space="preserve">54 </w:t>
      </w:r>
      <w:r w:rsidRPr="00845A83">
        <w:rPr>
          <w:rFonts w:ascii="Book Antiqua" w:hAnsi="Book Antiqua" w:cs="宋体"/>
          <w:b/>
          <w:bCs/>
          <w:sz w:val="24"/>
          <w:szCs w:val="24"/>
          <w:lang w:val="en-US" w:eastAsia="zh-CN"/>
        </w:rPr>
        <w:t>Francis CW</w:t>
      </w:r>
      <w:r w:rsidRPr="00845A83">
        <w:rPr>
          <w:rFonts w:ascii="Book Antiqua" w:hAnsi="Book Antiqua" w:cs="宋体"/>
          <w:sz w:val="24"/>
          <w:szCs w:val="24"/>
          <w:lang w:val="en-US" w:eastAsia="zh-CN"/>
        </w:rPr>
        <w:t xml:space="preserve">. Prevention of venous thromboembolism in hospitalized patients with cancer. </w:t>
      </w:r>
      <w:r w:rsidRPr="00845A83">
        <w:rPr>
          <w:rFonts w:ascii="Book Antiqua" w:hAnsi="Book Antiqua" w:cs="宋体"/>
          <w:i/>
          <w:iCs/>
          <w:sz w:val="24"/>
          <w:szCs w:val="24"/>
          <w:lang w:val="en-US" w:eastAsia="zh-CN"/>
        </w:rPr>
        <w:t>J Clin Oncol</w:t>
      </w:r>
      <w:r w:rsidRPr="00845A83">
        <w:rPr>
          <w:rFonts w:ascii="Book Antiqua" w:hAnsi="Book Antiqua" w:cs="宋体"/>
          <w:sz w:val="24"/>
          <w:szCs w:val="24"/>
          <w:lang w:val="en-US" w:eastAsia="zh-CN"/>
        </w:rPr>
        <w:t xml:space="preserve"> 2009; </w:t>
      </w:r>
      <w:r w:rsidRPr="00845A83">
        <w:rPr>
          <w:rFonts w:ascii="Book Antiqua" w:hAnsi="Book Antiqua" w:cs="宋体"/>
          <w:b/>
          <w:bCs/>
          <w:sz w:val="24"/>
          <w:szCs w:val="24"/>
          <w:lang w:val="en-US" w:eastAsia="zh-CN"/>
        </w:rPr>
        <w:t>27</w:t>
      </w:r>
      <w:r w:rsidRPr="00845A83">
        <w:rPr>
          <w:rFonts w:ascii="Book Antiqua" w:hAnsi="Book Antiqua" w:cs="宋体"/>
          <w:sz w:val="24"/>
          <w:szCs w:val="24"/>
          <w:lang w:val="en-US" w:eastAsia="zh-CN"/>
        </w:rPr>
        <w:t>: 4874-4880 [PMID: 19704060 D</w:t>
      </w:r>
      <w:r w:rsidR="004F07D0">
        <w:rPr>
          <w:rFonts w:ascii="Book Antiqua" w:hAnsi="Book Antiqua" w:cs="宋体"/>
          <w:sz w:val="24"/>
          <w:szCs w:val="24"/>
          <w:lang w:val="en-US" w:eastAsia="zh-CN"/>
        </w:rPr>
        <w:t>OI: 10.1200/JCO.2009.22.3644]</w:t>
      </w:r>
    </w:p>
    <w:p w14:paraId="512E98C8" w14:textId="723995A6" w:rsidR="00845A83" w:rsidRPr="00845A83" w:rsidRDefault="00845A83" w:rsidP="00845A83">
      <w:pPr>
        <w:spacing w:after="0" w:line="360" w:lineRule="auto"/>
        <w:jc w:val="both"/>
        <w:rPr>
          <w:rFonts w:ascii="Book Antiqua" w:hAnsi="Book Antiqua" w:cs="宋体"/>
          <w:sz w:val="24"/>
          <w:szCs w:val="24"/>
          <w:lang w:val="en-US" w:eastAsia="zh-CN"/>
        </w:rPr>
      </w:pPr>
      <w:r w:rsidRPr="00845A83">
        <w:rPr>
          <w:rFonts w:ascii="Book Antiqua" w:hAnsi="Book Antiqua" w:cs="宋体"/>
          <w:sz w:val="24"/>
          <w:szCs w:val="24"/>
          <w:lang w:val="en-US" w:eastAsia="zh-CN"/>
        </w:rPr>
        <w:t xml:space="preserve">55 </w:t>
      </w:r>
      <w:r w:rsidRPr="00845A83">
        <w:rPr>
          <w:rFonts w:ascii="Book Antiqua" w:hAnsi="Book Antiqua" w:cs="宋体"/>
          <w:b/>
          <w:bCs/>
          <w:sz w:val="24"/>
          <w:szCs w:val="24"/>
          <w:lang w:val="en-US" w:eastAsia="zh-CN"/>
        </w:rPr>
        <w:t>Khorana AA</w:t>
      </w:r>
      <w:r w:rsidRPr="00845A83">
        <w:rPr>
          <w:rFonts w:ascii="Book Antiqua" w:hAnsi="Book Antiqua" w:cs="宋体"/>
          <w:sz w:val="24"/>
          <w:szCs w:val="24"/>
          <w:lang w:val="en-US" w:eastAsia="zh-CN"/>
        </w:rPr>
        <w:t xml:space="preserve">, Francis CW, Culakova E, Fisher RI, Kuderer NM, Lyman GH. Thromboembolism in hospitalized neutropenic cancer patients. </w:t>
      </w:r>
      <w:r w:rsidRPr="00845A83">
        <w:rPr>
          <w:rFonts w:ascii="Book Antiqua" w:hAnsi="Book Antiqua" w:cs="宋体"/>
          <w:i/>
          <w:iCs/>
          <w:sz w:val="24"/>
          <w:szCs w:val="24"/>
          <w:lang w:val="en-US" w:eastAsia="zh-CN"/>
        </w:rPr>
        <w:t>J Clin Oncol</w:t>
      </w:r>
      <w:r w:rsidRPr="00845A83">
        <w:rPr>
          <w:rFonts w:ascii="Book Antiqua" w:hAnsi="Book Antiqua" w:cs="宋体"/>
          <w:sz w:val="24"/>
          <w:szCs w:val="24"/>
          <w:lang w:val="en-US" w:eastAsia="zh-CN"/>
        </w:rPr>
        <w:t xml:space="preserve"> 2006; </w:t>
      </w:r>
      <w:r w:rsidRPr="00845A83">
        <w:rPr>
          <w:rFonts w:ascii="Book Antiqua" w:hAnsi="Book Antiqua" w:cs="宋体"/>
          <w:b/>
          <w:bCs/>
          <w:sz w:val="24"/>
          <w:szCs w:val="24"/>
          <w:lang w:val="en-US" w:eastAsia="zh-CN"/>
        </w:rPr>
        <w:t>24</w:t>
      </w:r>
      <w:r w:rsidRPr="00845A83">
        <w:rPr>
          <w:rFonts w:ascii="Book Antiqua" w:hAnsi="Book Antiqua" w:cs="宋体"/>
          <w:sz w:val="24"/>
          <w:szCs w:val="24"/>
          <w:lang w:val="en-US" w:eastAsia="zh-CN"/>
        </w:rPr>
        <w:t>: 484-490 [PMID: 16421425 D</w:t>
      </w:r>
      <w:r w:rsidR="004F07D0">
        <w:rPr>
          <w:rFonts w:ascii="Book Antiqua" w:hAnsi="Book Antiqua" w:cs="宋体"/>
          <w:sz w:val="24"/>
          <w:szCs w:val="24"/>
          <w:lang w:val="en-US" w:eastAsia="zh-CN"/>
        </w:rPr>
        <w:t>OI: 10.1200/JCO.2005.03.8877]</w:t>
      </w:r>
    </w:p>
    <w:p w14:paraId="03A80DA5" w14:textId="33F45359" w:rsidR="00845A83" w:rsidRPr="00845A83" w:rsidRDefault="00845A83" w:rsidP="00845A83">
      <w:pPr>
        <w:spacing w:after="0" w:line="360" w:lineRule="auto"/>
        <w:jc w:val="both"/>
        <w:rPr>
          <w:rFonts w:ascii="Book Antiqua" w:hAnsi="Book Antiqua" w:cs="宋体"/>
          <w:sz w:val="24"/>
          <w:szCs w:val="24"/>
          <w:lang w:val="en-US" w:eastAsia="zh-CN"/>
        </w:rPr>
      </w:pPr>
      <w:r w:rsidRPr="00845A83">
        <w:rPr>
          <w:rFonts w:ascii="Book Antiqua" w:hAnsi="Book Antiqua" w:cs="宋体"/>
          <w:sz w:val="24"/>
          <w:szCs w:val="24"/>
          <w:lang w:val="en-US" w:eastAsia="zh-CN"/>
        </w:rPr>
        <w:t xml:space="preserve">56 </w:t>
      </w:r>
      <w:r w:rsidRPr="00845A83">
        <w:rPr>
          <w:rFonts w:ascii="Book Antiqua" w:hAnsi="Book Antiqua" w:cs="宋体"/>
          <w:b/>
          <w:bCs/>
          <w:sz w:val="24"/>
          <w:szCs w:val="24"/>
          <w:lang w:val="en-US" w:eastAsia="zh-CN"/>
        </w:rPr>
        <w:t>Barbar S</w:t>
      </w:r>
      <w:r w:rsidRPr="00845A83">
        <w:rPr>
          <w:rFonts w:ascii="Book Antiqua" w:hAnsi="Book Antiqua" w:cs="宋体"/>
          <w:sz w:val="24"/>
          <w:szCs w:val="24"/>
          <w:lang w:val="en-US" w:eastAsia="zh-CN"/>
        </w:rPr>
        <w:t xml:space="preserve">, Noventa F, Rossetto V, Ferrari A, Brandolin B, Perlati M, De Bon E, Tormene D, Pagnan A, Prandoni P. A risk assessment model for the identification of hospitalized medical patients at risk for venous thromboembolism: the Padua Prediction Score. </w:t>
      </w:r>
      <w:r w:rsidRPr="00845A83">
        <w:rPr>
          <w:rFonts w:ascii="Book Antiqua" w:hAnsi="Book Antiqua" w:cs="宋体"/>
          <w:i/>
          <w:iCs/>
          <w:sz w:val="24"/>
          <w:szCs w:val="24"/>
          <w:lang w:val="en-US" w:eastAsia="zh-CN"/>
        </w:rPr>
        <w:t>J Thromb Haemost</w:t>
      </w:r>
      <w:r w:rsidRPr="00845A83">
        <w:rPr>
          <w:rFonts w:ascii="Book Antiqua" w:hAnsi="Book Antiqua" w:cs="宋体"/>
          <w:sz w:val="24"/>
          <w:szCs w:val="24"/>
          <w:lang w:val="en-US" w:eastAsia="zh-CN"/>
        </w:rPr>
        <w:t xml:space="preserve"> 2010; </w:t>
      </w:r>
      <w:r w:rsidRPr="00845A83">
        <w:rPr>
          <w:rFonts w:ascii="Book Antiqua" w:hAnsi="Book Antiqua" w:cs="宋体"/>
          <w:b/>
          <w:bCs/>
          <w:sz w:val="24"/>
          <w:szCs w:val="24"/>
          <w:lang w:val="en-US" w:eastAsia="zh-CN"/>
        </w:rPr>
        <w:t>8</w:t>
      </w:r>
      <w:r w:rsidRPr="00845A83">
        <w:rPr>
          <w:rFonts w:ascii="Book Antiqua" w:hAnsi="Book Antiqua" w:cs="宋体"/>
          <w:sz w:val="24"/>
          <w:szCs w:val="24"/>
          <w:lang w:val="en-US" w:eastAsia="zh-CN"/>
        </w:rPr>
        <w:t>: 2450-2457 [PMID: 20738765 DOI: 10.1</w:t>
      </w:r>
      <w:r w:rsidR="004F07D0">
        <w:rPr>
          <w:rFonts w:ascii="Book Antiqua" w:hAnsi="Book Antiqua" w:cs="宋体"/>
          <w:sz w:val="24"/>
          <w:szCs w:val="24"/>
          <w:lang w:val="en-US" w:eastAsia="zh-CN"/>
        </w:rPr>
        <w:t>111/j.1538-7836.2010.04044.x]</w:t>
      </w:r>
    </w:p>
    <w:p w14:paraId="61203660" w14:textId="745AECC7" w:rsidR="00845A83" w:rsidRPr="00845A83" w:rsidRDefault="00845A83" w:rsidP="00845A83">
      <w:pPr>
        <w:spacing w:after="0" w:line="360" w:lineRule="auto"/>
        <w:jc w:val="both"/>
        <w:rPr>
          <w:rFonts w:ascii="Book Antiqua" w:hAnsi="Book Antiqua" w:cs="宋体"/>
          <w:sz w:val="24"/>
          <w:szCs w:val="24"/>
          <w:lang w:val="en-US" w:eastAsia="zh-CN"/>
        </w:rPr>
      </w:pPr>
      <w:r w:rsidRPr="00845A83">
        <w:rPr>
          <w:rFonts w:ascii="Book Antiqua" w:hAnsi="Book Antiqua" w:cs="宋体"/>
          <w:sz w:val="24"/>
          <w:szCs w:val="24"/>
          <w:lang w:val="en-US" w:eastAsia="zh-CN"/>
        </w:rPr>
        <w:t xml:space="preserve">57 </w:t>
      </w:r>
      <w:r w:rsidRPr="00845A83">
        <w:rPr>
          <w:rFonts w:ascii="Book Antiqua" w:hAnsi="Book Antiqua" w:cs="宋体"/>
          <w:b/>
          <w:bCs/>
          <w:sz w:val="24"/>
          <w:szCs w:val="24"/>
          <w:lang w:val="en-US" w:eastAsia="zh-CN"/>
        </w:rPr>
        <w:t>Farge D</w:t>
      </w:r>
      <w:r w:rsidRPr="00845A83">
        <w:rPr>
          <w:rFonts w:ascii="Book Antiqua" w:hAnsi="Book Antiqua" w:cs="宋体"/>
          <w:sz w:val="24"/>
          <w:szCs w:val="24"/>
          <w:lang w:val="en-US" w:eastAsia="zh-CN"/>
        </w:rPr>
        <w:t xml:space="preserve">, Durant C, Villiers S, Long A, Mahr A, Marty M, Debourdeau P. Lessons from French National Guidelines on the treatment of venous thrombosis and central venous catheter thrombosis in cancer patients. </w:t>
      </w:r>
      <w:r w:rsidRPr="00845A83">
        <w:rPr>
          <w:rFonts w:ascii="Book Antiqua" w:hAnsi="Book Antiqua" w:cs="宋体"/>
          <w:i/>
          <w:iCs/>
          <w:sz w:val="24"/>
          <w:szCs w:val="24"/>
          <w:lang w:val="en-US" w:eastAsia="zh-CN"/>
        </w:rPr>
        <w:t>Thromb Res</w:t>
      </w:r>
      <w:r w:rsidRPr="00845A83">
        <w:rPr>
          <w:rFonts w:ascii="Book Antiqua" w:hAnsi="Book Antiqua" w:cs="宋体"/>
          <w:sz w:val="24"/>
          <w:szCs w:val="24"/>
          <w:lang w:val="en-US" w:eastAsia="zh-CN"/>
        </w:rPr>
        <w:t xml:space="preserve"> 2010; </w:t>
      </w:r>
      <w:r w:rsidRPr="00845A83">
        <w:rPr>
          <w:rFonts w:ascii="Book Antiqua" w:hAnsi="Book Antiqua" w:cs="宋体"/>
          <w:b/>
          <w:bCs/>
          <w:sz w:val="24"/>
          <w:szCs w:val="24"/>
          <w:lang w:val="en-US" w:eastAsia="zh-CN"/>
        </w:rPr>
        <w:t xml:space="preserve">125 </w:t>
      </w:r>
      <w:r w:rsidRPr="00845A83">
        <w:rPr>
          <w:rFonts w:ascii="Book Antiqua" w:hAnsi="Book Antiqua" w:cs="宋体"/>
          <w:bCs/>
          <w:sz w:val="24"/>
          <w:szCs w:val="24"/>
          <w:lang w:val="en-US" w:eastAsia="zh-CN"/>
        </w:rPr>
        <w:t>Suppl 2</w:t>
      </w:r>
      <w:r w:rsidRPr="00845A83">
        <w:rPr>
          <w:rFonts w:ascii="Book Antiqua" w:hAnsi="Book Antiqua" w:cs="宋体"/>
          <w:sz w:val="24"/>
          <w:szCs w:val="24"/>
          <w:lang w:val="en-US" w:eastAsia="zh-CN"/>
        </w:rPr>
        <w:t>: S108-S116 [PMID: 20433988 DOI: 1</w:t>
      </w:r>
      <w:r w:rsidR="004F07D0">
        <w:rPr>
          <w:rFonts w:ascii="Book Antiqua" w:hAnsi="Book Antiqua" w:cs="宋体"/>
          <w:sz w:val="24"/>
          <w:szCs w:val="24"/>
          <w:lang w:val="en-US" w:eastAsia="zh-CN"/>
        </w:rPr>
        <w:t>0.1016/S0049-3848(10)70027-X]</w:t>
      </w:r>
    </w:p>
    <w:p w14:paraId="2BD2ED00" w14:textId="19C94923" w:rsidR="00845A83" w:rsidRPr="00845A83" w:rsidRDefault="00845A83" w:rsidP="00845A83">
      <w:pPr>
        <w:spacing w:after="0" w:line="360" w:lineRule="auto"/>
        <w:jc w:val="both"/>
        <w:rPr>
          <w:rFonts w:ascii="Book Antiqua" w:hAnsi="Book Antiqua" w:cs="宋体"/>
          <w:sz w:val="24"/>
          <w:szCs w:val="24"/>
          <w:lang w:val="en-US" w:eastAsia="zh-CN"/>
        </w:rPr>
      </w:pPr>
      <w:r w:rsidRPr="00845A83">
        <w:rPr>
          <w:rFonts w:ascii="Book Antiqua" w:hAnsi="Book Antiqua" w:cs="宋体"/>
          <w:sz w:val="24"/>
          <w:szCs w:val="24"/>
          <w:lang w:val="en-US" w:eastAsia="zh-CN"/>
        </w:rPr>
        <w:t xml:space="preserve">58 </w:t>
      </w:r>
      <w:r w:rsidRPr="00845A83">
        <w:rPr>
          <w:rFonts w:ascii="Book Antiqua" w:hAnsi="Book Antiqua" w:cs="宋体"/>
          <w:b/>
          <w:bCs/>
          <w:sz w:val="24"/>
          <w:szCs w:val="24"/>
          <w:lang w:val="en-US" w:eastAsia="zh-CN"/>
        </w:rPr>
        <w:t>Elyamany G</w:t>
      </w:r>
      <w:r w:rsidRPr="00845A83">
        <w:rPr>
          <w:rFonts w:ascii="Book Antiqua" w:hAnsi="Book Antiqua" w:cs="宋体"/>
          <w:sz w:val="24"/>
          <w:szCs w:val="24"/>
          <w:lang w:val="en-US" w:eastAsia="zh-CN"/>
        </w:rPr>
        <w:t xml:space="preserve">, Alzahrani AM, Bukhary E. Cancer-associated thrombosis: an overview. </w:t>
      </w:r>
      <w:r w:rsidRPr="00845A83">
        <w:rPr>
          <w:rFonts w:ascii="Book Antiqua" w:hAnsi="Book Antiqua" w:cs="宋体"/>
          <w:i/>
          <w:iCs/>
          <w:sz w:val="24"/>
          <w:szCs w:val="24"/>
          <w:lang w:val="en-US" w:eastAsia="zh-CN"/>
        </w:rPr>
        <w:t>Clin Med Insights Oncol</w:t>
      </w:r>
      <w:r w:rsidRPr="00845A83">
        <w:rPr>
          <w:rFonts w:ascii="Book Antiqua" w:hAnsi="Book Antiqua" w:cs="宋体"/>
          <w:sz w:val="24"/>
          <w:szCs w:val="24"/>
          <w:lang w:val="en-US" w:eastAsia="zh-CN"/>
        </w:rPr>
        <w:t xml:space="preserve"> 2014; </w:t>
      </w:r>
      <w:r w:rsidRPr="00845A83">
        <w:rPr>
          <w:rFonts w:ascii="Book Antiqua" w:hAnsi="Book Antiqua" w:cs="宋体"/>
          <w:b/>
          <w:bCs/>
          <w:sz w:val="24"/>
          <w:szCs w:val="24"/>
          <w:lang w:val="en-US" w:eastAsia="zh-CN"/>
        </w:rPr>
        <w:t>8</w:t>
      </w:r>
      <w:r w:rsidRPr="00845A83">
        <w:rPr>
          <w:rFonts w:ascii="Book Antiqua" w:hAnsi="Book Antiqua" w:cs="宋体"/>
          <w:sz w:val="24"/>
          <w:szCs w:val="24"/>
          <w:lang w:val="en-US" w:eastAsia="zh-CN"/>
        </w:rPr>
        <w:t>: 129-137 [PMID: 255</w:t>
      </w:r>
      <w:r w:rsidR="00396267">
        <w:rPr>
          <w:rFonts w:ascii="Book Antiqua" w:hAnsi="Book Antiqua" w:cs="宋体"/>
          <w:sz w:val="24"/>
          <w:szCs w:val="24"/>
          <w:lang w:val="en-US" w:eastAsia="zh-CN"/>
        </w:rPr>
        <w:t>20567 DOI: 10.4137/CMO.S18991]</w:t>
      </w:r>
    </w:p>
    <w:p w14:paraId="55DAD099" w14:textId="13AB6B73" w:rsidR="00845A83" w:rsidRPr="00845A83" w:rsidRDefault="00845A83" w:rsidP="00845A83">
      <w:pPr>
        <w:spacing w:after="0" w:line="360" w:lineRule="auto"/>
        <w:jc w:val="both"/>
        <w:rPr>
          <w:rFonts w:ascii="Book Antiqua" w:hAnsi="Book Antiqua" w:cs="宋体"/>
          <w:sz w:val="24"/>
          <w:szCs w:val="24"/>
          <w:lang w:val="en-US" w:eastAsia="zh-CN"/>
        </w:rPr>
      </w:pPr>
      <w:r w:rsidRPr="00845A83">
        <w:rPr>
          <w:rFonts w:ascii="Book Antiqua" w:hAnsi="Book Antiqua" w:cs="宋体"/>
          <w:sz w:val="24"/>
          <w:szCs w:val="24"/>
          <w:lang w:val="en-US" w:eastAsia="zh-CN"/>
        </w:rPr>
        <w:t xml:space="preserve">59 </w:t>
      </w:r>
      <w:r w:rsidRPr="00845A83">
        <w:rPr>
          <w:rFonts w:ascii="Book Antiqua" w:hAnsi="Book Antiqua" w:cs="宋体"/>
          <w:b/>
          <w:bCs/>
          <w:sz w:val="24"/>
          <w:szCs w:val="24"/>
          <w:lang w:val="en-US" w:eastAsia="zh-CN"/>
        </w:rPr>
        <w:t>Akl EA</w:t>
      </w:r>
      <w:r w:rsidRPr="00845A83">
        <w:rPr>
          <w:rFonts w:ascii="Book Antiqua" w:hAnsi="Book Antiqua" w:cs="宋体"/>
          <w:sz w:val="24"/>
          <w:szCs w:val="24"/>
          <w:lang w:val="en-US" w:eastAsia="zh-CN"/>
        </w:rPr>
        <w:t xml:space="preserve">, Karmath G, Yosuico V, Kim SY, Barba M, Sperati F, Cook D, Schünemann HJ. </w:t>
      </w:r>
      <w:proofErr w:type="gramStart"/>
      <w:r w:rsidRPr="00845A83">
        <w:rPr>
          <w:rFonts w:ascii="Book Antiqua" w:hAnsi="Book Antiqua" w:cs="宋体"/>
          <w:sz w:val="24"/>
          <w:szCs w:val="24"/>
          <w:lang w:val="en-US" w:eastAsia="zh-CN"/>
        </w:rPr>
        <w:t>Anticoagulation for thrombosis prophylaxis in cancer patients with central venous catheters.</w:t>
      </w:r>
      <w:proofErr w:type="gramEnd"/>
      <w:r w:rsidRPr="00845A83">
        <w:rPr>
          <w:rFonts w:ascii="Book Antiqua" w:hAnsi="Book Antiqua" w:cs="宋体"/>
          <w:sz w:val="24"/>
          <w:szCs w:val="24"/>
          <w:lang w:val="en-US" w:eastAsia="zh-CN"/>
        </w:rPr>
        <w:t xml:space="preserve"> </w:t>
      </w:r>
      <w:r w:rsidRPr="00845A83">
        <w:rPr>
          <w:rFonts w:ascii="Book Antiqua" w:hAnsi="Book Antiqua" w:cs="宋体"/>
          <w:i/>
          <w:iCs/>
          <w:sz w:val="24"/>
          <w:szCs w:val="24"/>
          <w:lang w:val="en-US" w:eastAsia="zh-CN"/>
        </w:rPr>
        <w:t>Cochrane Database Syst Rev</w:t>
      </w:r>
      <w:r w:rsidRPr="00845A83">
        <w:rPr>
          <w:rFonts w:ascii="Book Antiqua" w:hAnsi="Book Antiqua" w:cs="宋体"/>
          <w:sz w:val="24"/>
          <w:szCs w:val="24"/>
          <w:lang w:val="en-US" w:eastAsia="zh-CN"/>
        </w:rPr>
        <w:t xml:space="preserve"> 2007; </w:t>
      </w:r>
      <w:r w:rsidR="00396267">
        <w:rPr>
          <w:rFonts w:ascii="Book Antiqua" w:hAnsi="Book Antiqua" w:cs="宋体" w:hint="eastAsia"/>
          <w:b/>
          <w:sz w:val="24"/>
          <w:szCs w:val="24"/>
          <w:lang w:val="en-US" w:eastAsia="zh-CN"/>
        </w:rPr>
        <w:t>(3)</w:t>
      </w:r>
      <w:r w:rsidRPr="00845A83">
        <w:rPr>
          <w:rFonts w:ascii="Book Antiqua" w:hAnsi="Book Antiqua" w:cs="宋体"/>
          <w:sz w:val="24"/>
          <w:szCs w:val="24"/>
          <w:lang w:val="en-US" w:eastAsia="zh-CN"/>
        </w:rPr>
        <w:t>: CD006468 [PMID: 17636845 DOI: 10.1002/1465</w:t>
      </w:r>
      <w:r w:rsidR="00396267">
        <w:rPr>
          <w:rFonts w:ascii="Book Antiqua" w:hAnsi="Book Antiqua" w:cs="宋体"/>
          <w:sz w:val="24"/>
          <w:szCs w:val="24"/>
          <w:lang w:val="en-US" w:eastAsia="zh-CN"/>
        </w:rPr>
        <w:t>1858.CD006468.pub2]</w:t>
      </w:r>
    </w:p>
    <w:p w14:paraId="46814EE1" w14:textId="77D6804D" w:rsidR="00845A83" w:rsidRPr="00845A83" w:rsidRDefault="00845A83" w:rsidP="00845A83">
      <w:pPr>
        <w:spacing w:after="0" w:line="360" w:lineRule="auto"/>
        <w:jc w:val="both"/>
        <w:rPr>
          <w:rFonts w:ascii="Book Antiqua" w:hAnsi="Book Antiqua" w:cs="宋体"/>
          <w:sz w:val="24"/>
          <w:szCs w:val="24"/>
          <w:lang w:val="en-US" w:eastAsia="zh-CN"/>
        </w:rPr>
      </w:pPr>
      <w:r w:rsidRPr="00845A83">
        <w:rPr>
          <w:rFonts w:ascii="Book Antiqua" w:hAnsi="Book Antiqua" w:cs="宋体"/>
          <w:sz w:val="24"/>
          <w:szCs w:val="24"/>
          <w:lang w:val="en-US" w:eastAsia="zh-CN"/>
        </w:rPr>
        <w:t xml:space="preserve">60 </w:t>
      </w:r>
      <w:r w:rsidRPr="00845A83">
        <w:rPr>
          <w:rFonts w:ascii="Book Antiqua" w:hAnsi="Book Antiqua" w:cs="宋体"/>
          <w:b/>
          <w:bCs/>
          <w:sz w:val="24"/>
          <w:szCs w:val="24"/>
          <w:lang w:val="en-US" w:eastAsia="zh-CN"/>
        </w:rPr>
        <w:t>Couban S</w:t>
      </w:r>
      <w:r w:rsidRPr="00845A83">
        <w:rPr>
          <w:rFonts w:ascii="Book Antiqua" w:hAnsi="Book Antiqua" w:cs="宋体"/>
          <w:sz w:val="24"/>
          <w:szCs w:val="24"/>
          <w:lang w:val="en-US" w:eastAsia="zh-CN"/>
        </w:rPr>
        <w:t xml:space="preserve">, Goodyear M, Burnell M, Dolan S, Wasi P, Barnes D, Macleod D, Burton E, Andreou P, Anderson DR. Randomized placebo-controlled study of low-dose warfarin for the prevention of central venous catheter-associated thrombosis in patients with cancer. </w:t>
      </w:r>
      <w:r w:rsidRPr="00845A83">
        <w:rPr>
          <w:rFonts w:ascii="Book Antiqua" w:hAnsi="Book Antiqua" w:cs="宋体"/>
          <w:i/>
          <w:iCs/>
          <w:sz w:val="24"/>
          <w:szCs w:val="24"/>
          <w:lang w:val="en-US" w:eastAsia="zh-CN"/>
        </w:rPr>
        <w:t>J Clin Oncol</w:t>
      </w:r>
      <w:r w:rsidRPr="00845A83">
        <w:rPr>
          <w:rFonts w:ascii="Book Antiqua" w:hAnsi="Book Antiqua" w:cs="宋体"/>
          <w:sz w:val="24"/>
          <w:szCs w:val="24"/>
          <w:lang w:val="en-US" w:eastAsia="zh-CN"/>
        </w:rPr>
        <w:t xml:space="preserve"> 2005; </w:t>
      </w:r>
      <w:r w:rsidRPr="00845A83">
        <w:rPr>
          <w:rFonts w:ascii="Book Antiqua" w:hAnsi="Book Antiqua" w:cs="宋体"/>
          <w:b/>
          <w:bCs/>
          <w:sz w:val="24"/>
          <w:szCs w:val="24"/>
          <w:lang w:val="en-US" w:eastAsia="zh-CN"/>
        </w:rPr>
        <w:t>23</w:t>
      </w:r>
      <w:r w:rsidRPr="00845A83">
        <w:rPr>
          <w:rFonts w:ascii="Book Antiqua" w:hAnsi="Book Antiqua" w:cs="宋体"/>
          <w:sz w:val="24"/>
          <w:szCs w:val="24"/>
          <w:lang w:val="en-US" w:eastAsia="zh-CN"/>
        </w:rPr>
        <w:t xml:space="preserve">: 4063-4069 [PMID: 15767639 </w:t>
      </w:r>
      <w:r w:rsidR="00396267">
        <w:rPr>
          <w:rFonts w:ascii="Book Antiqua" w:hAnsi="Book Antiqua" w:cs="宋体"/>
          <w:sz w:val="24"/>
          <w:szCs w:val="24"/>
          <w:lang w:val="en-US" w:eastAsia="zh-CN"/>
        </w:rPr>
        <w:t>DOI: 10.1200/JCO.2005.10.192]</w:t>
      </w:r>
    </w:p>
    <w:p w14:paraId="69BBEAA6" w14:textId="16222CE4" w:rsidR="00845A83" w:rsidRPr="00845A83" w:rsidRDefault="00845A83" w:rsidP="00845A83">
      <w:pPr>
        <w:spacing w:after="0" w:line="360" w:lineRule="auto"/>
        <w:jc w:val="both"/>
        <w:rPr>
          <w:rFonts w:ascii="Book Antiqua" w:hAnsi="Book Antiqua" w:cs="宋体"/>
          <w:sz w:val="24"/>
          <w:szCs w:val="24"/>
          <w:lang w:val="en-US" w:eastAsia="zh-CN"/>
        </w:rPr>
      </w:pPr>
      <w:r w:rsidRPr="00845A83">
        <w:rPr>
          <w:rFonts w:ascii="Book Antiqua" w:hAnsi="Book Antiqua" w:cs="宋体"/>
          <w:sz w:val="24"/>
          <w:szCs w:val="24"/>
          <w:lang w:val="en-US" w:eastAsia="zh-CN"/>
        </w:rPr>
        <w:lastRenderedPageBreak/>
        <w:t xml:space="preserve">61 </w:t>
      </w:r>
      <w:r w:rsidRPr="00845A83">
        <w:rPr>
          <w:rFonts w:ascii="Book Antiqua" w:hAnsi="Book Antiqua" w:cs="宋体"/>
          <w:b/>
          <w:bCs/>
          <w:sz w:val="24"/>
          <w:szCs w:val="24"/>
          <w:lang w:val="en-US" w:eastAsia="zh-CN"/>
        </w:rPr>
        <w:t>Debourdeau P</w:t>
      </w:r>
      <w:r w:rsidRPr="00845A83">
        <w:rPr>
          <w:rFonts w:ascii="Book Antiqua" w:hAnsi="Book Antiqua" w:cs="宋体"/>
          <w:sz w:val="24"/>
          <w:szCs w:val="24"/>
          <w:lang w:val="en-US" w:eastAsia="zh-CN"/>
        </w:rPr>
        <w:t xml:space="preserve">, Farge-Bancel D, Bosquet L, Kassab-Chahmi D, Cajfinger F, Desmurs-Clavel H, Desruennes E, Douard MC, Elias A, Elalamy I, Grange C, Hocini H, Kriegel I, Le Gal G, Lévesque H, Mahé I, Meyer G, Mismetti P, Pavic M, Quéré I, Renaudin JM, Scrobohaci ML. [2008 Standards, Options: recommendations for venous thromboembolic events (VTE) treatment and central venous catheter thrombosis (CVCT) management in cancer patients]. </w:t>
      </w:r>
      <w:r w:rsidRPr="00845A83">
        <w:rPr>
          <w:rFonts w:ascii="Book Antiqua" w:hAnsi="Book Antiqua" w:cs="宋体"/>
          <w:i/>
          <w:iCs/>
          <w:sz w:val="24"/>
          <w:szCs w:val="24"/>
          <w:lang w:val="en-US" w:eastAsia="zh-CN"/>
        </w:rPr>
        <w:t>Bull Cancer</w:t>
      </w:r>
      <w:r w:rsidRPr="00845A83">
        <w:rPr>
          <w:rFonts w:ascii="Book Antiqua" w:hAnsi="Book Antiqua" w:cs="宋体"/>
          <w:sz w:val="24"/>
          <w:szCs w:val="24"/>
          <w:lang w:val="en-US" w:eastAsia="zh-CN"/>
        </w:rPr>
        <w:t xml:space="preserve"> </w:t>
      </w:r>
      <w:r w:rsidR="00396267">
        <w:rPr>
          <w:rFonts w:ascii="Book Antiqua" w:hAnsi="Book Antiqua" w:cs="宋体" w:hint="eastAsia"/>
          <w:sz w:val="24"/>
          <w:szCs w:val="24"/>
          <w:lang w:val="en-US" w:eastAsia="zh-CN"/>
        </w:rPr>
        <w:t>2008</w:t>
      </w:r>
      <w:r w:rsidRPr="00845A83">
        <w:rPr>
          <w:rFonts w:ascii="Book Antiqua" w:hAnsi="Book Antiqua" w:cs="宋体"/>
          <w:sz w:val="24"/>
          <w:szCs w:val="24"/>
          <w:lang w:val="en-US" w:eastAsia="zh-CN"/>
        </w:rPr>
        <w:t xml:space="preserve">; </w:t>
      </w:r>
      <w:r w:rsidRPr="00845A83">
        <w:rPr>
          <w:rFonts w:ascii="Book Antiqua" w:hAnsi="Book Antiqua" w:cs="宋体"/>
          <w:b/>
          <w:bCs/>
          <w:sz w:val="24"/>
          <w:szCs w:val="24"/>
          <w:lang w:val="en-US" w:eastAsia="zh-CN"/>
        </w:rPr>
        <w:t>95</w:t>
      </w:r>
      <w:r w:rsidRPr="00845A83">
        <w:rPr>
          <w:rFonts w:ascii="Book Antiqua" w:hAnsi="Book Antiqua" w:cs="宋体"/>
          <w:sz w:val="24"/>
          <w:szCs w:val="24"/>
          <w:lang w:val="en-US" w:eastAsia="zh-CN"/>
        </w:rPr>
        <w:t>: 750-761 [PMID: 1875565</w:t>
      </w:r>
      <w:r w:rsidR="00396267">
        <w:rPr>
          <w:rFonts w:ascii="Book Antiqua" w:hAnsi="Book Antiqua" w:cs="宋体"/>
          <w:sz w:val="24"/>
          <w:szCs w:val="24"/>
          <w:lang w:val="en-US" w:eastAsia="zh-CN"/>
        </w:rPr>
        <w:t>2 DOI: 10.1684/bdc.2008.0678]</w:t>
      </w:r>
    </w:p>
    <w:p w14:paraId="6925C522" w14:textId="5F0EFC0F" w:rsidR="00845A83" w:rsidRPr="00845A83" w:rsidRDefault="00845A83" w:rsidP="00845A83">
      <w:pPr>
        <w:spacing w:after="0" w:line="360" w:lineRule="auto"/>
        <w:jc w:val="both"/>
        <w:rPr>
          <w:rFonts w:ascii="Book Antiqua" w:hAnsi="Book Antiqua" w:cs="宋体"/>
          <w:sz w:val="24"/>
          <w:szCs w:val="24"/>
          <w:lang w:val="en-US" w:eastAsia="zh-CN"/>
        </w:rPr>
      </w:pPr>
      <w:r w:rsidRPr="00845A83">
        <w:rPr>
          <w:rFonts w:ascii="Book Antiqua" w:hAnsi="Book Antiqua" w:cs="宋体"/>
          <w:sz w:val="24"/>
          <w:szCs w:val="24"/>
          <w:lang w:val="en-US" w:eastAsia="zh-CN"/>
        </w:rPr>
        <w:t xml:space="preserve">62 </w:t>
      </w:r>
      <w:r w:rsidRPr="00845A83">
        <w:rPr>
          <w:rFonts w:ascii="Book Antiqua" w:hAnsi="Book Antiqua" w:cs="宋体"/>
          <w:b/>
          <w:bCs/>
          <w:sz w:val="24"/>
          <w:szCs w:val="24"/>
          <w:lang w:val="en-US" w:eastAsia="zh-CN"/>
        </w:rPr>
        <w:t>Kahn SR</w:t>
      </w:r>
      <w:r w:rsidRPr="00845A83">
        <w:rPr>
          <w:rFonts w:ascii="Book Antiqua" w:hAnsi="Book Antiqua" w:cs="宋体"/>
          <w:sz w:val="24"/>
          <w:szCs w:val="24"/>
          <w:lang w:val="en-US" w:eastAsia="zh-CN"/>
        </w:rPr>
        <w:t xml:space="preserve">, Lim W, Dunn AS, Cushman M, Dentali F, Akl EA, Cook DJ, Balekian AA, Klein RC, Le H, Schulman S, Murad MH. Prevention of VTE in nonsurgical patients: Antithrombotic Therapy and Prevention of Thrombosis, 9th </w:t>
      </w:r>
      <w:proofErr w:type="gramStart"/>
      <w:r w:rsidRPr="00845A83">
        <w:rPr>
          <w:rFonts w:ascii="Book Antiqua" w:hAnsi="Book Antiqua" w:cs="宋体"/>
          <w:sz w:val="24"/>
          <w:szCs w:val="24"/>
          <w:lang w:val="en-US" w:eastAsia="zh-CN"/>
        </w:rPr>
        <w:t>ed</w:t>
      </w:r>
      <w:proofErr w:type="gramEnd"/>
      <w:r w:rsidRPr="00845A83">
        <w:rPr>
          <w:rFonts w:ascii="Book Antiqua" w:hAnsi="Book Antiqua" w:cs="宋体"/>
          <w:sz w:val="24"/>
          <w:szCs w:val="24"/>
          <w:lang w:val="en-US" w:eastAsia="zh-CN"/>
        </w:rPr>
        <w:t xml:space="preserve">: American College of Chest Physicians Evidence-Based Clinical Practice Guidelines. </w:t>
      </w:r>
      <w:r w:rsidRPr="00845A83">
        <w:rPr>
          <w:rFonts w:ascii="Book Antiqua" w:hAnsi="Book Antiqua" w:cs="宋体"/>
          <w:i/>
          <w:iCs/>
          <w:sz w:val="24"/>
          <w:szCs w:val="24"/>
          <w:lang w:val="en-US" w:eastAsia="zh-CN"/>
        </w:rPr>
        <w:t>Chest</w:t>
      </w:r>
      <w:r w:rsidRPr="00845A83">
        <w:rPr>
          <w:rFonts w:ascii="Book Antiqua" w:hAnsi="Book Antiqua" w:cs="宋体"/>
          <w:sz w:val="24"/>
          <w:szCs w:val="24"/>
          <w:lang w:val="en-US" w:eastAsia="zh-CN"/>
        </w:rPr>
        <w:t xml:space="preserve"> 2012; </w:t>
      </w:r>
      <w:r w:rsidRPr="00845A83">
        <w:rPr>
          <w:rFonts w:ascii="Book Antiqua" w:hAnsi="Book Antiqua" w:cs="宋体"/>
          <w:b/>
          <w:bCs/>
          <w:sz w:val="24"/>
          <w:szCs w:val="24"/>
          <w:lang w:val="en-US" w:eastAsia="zh-CN"/>
        </w:rPr>
        <w:t>141</w:t>
      </w:r>
      <w:r w:rsidRPr="00845A83">
        <w:rPr>
          <w:rFonts w:ascii="Book Antiqua" w:hAnsi="Book Antiqua" w:cs="宋体"/>
          <w:sz w:val="24"/>
          <w:szCs w:val="24"/>
          <w:lang w:val="en-US" w:eastAsia="zh-CN"/>
        </w:rPr>
        <w:t>: e195S-e226S [PMID: 2231526</w:t>
      </w:r>
      <w:r w:rsidR="00396267">
        <w:rPr>
          <w:rFonts w:ascii="Book Antiqua" w:hAnsi="Book Antiqua" w:cs="宋体"/>
          <w:sz w:val="24"/>
          <w:szCs w:val="24"/>
          <w:lang w:val="en-US" w:eastAsia="zh-CN"/>
        </w:rPr>
        <w:t>1 DOI: 10.1378/chest.11-2296]</w:t>
      </w:r>
    </w:p>
    <w:p w14:paraId="69089998" w14:textId="55DAC612" w:rsidR="00845A83" w:rsidRPr="00845A83" w:rsidRDefault="00845A83" w:rsidP="00845A83">
      <w:pPr>
        <w:spacing w:after="0" w:line="360" w:lineRule="auto"/>
        <w:jc w:val="both"/>
        <w:rPr>
          <w:rFonts w:ascii="Book Antiqua" w:hAnsi="Book Antiqua" w:cs="宋体"/>
          <w:sz w:val="24"/>
          <w:szCs w:val="24"/>
          <w:lang w:val="en-US" w:eastAsia="zh-CN"/>
        </w:rPr>
      </w:pPr>
      <w:r w:rsidRPr="00845A83">
        <w:rPr>
          <w:rFonts w:ascii="Book Antiqua" w:hAnsi="Book Antiqua" w:cs="宋体"/>
          <w:sz w:val="24"/>
          <w:szCs w:val="24"/>
          <w:lang w:val="en-US" w:eastAsia="zh-CN"/>
        </w:rPr>
        <w:t xml:space="preserve">63 </w:t>
      </w:r>
      <w:r w:rsidRPr="00845A83">
        <w:rPr>
          <w:rFonts w:ascii="Book Antiqua" w:hAnsi="Book Antiqua" w:cs="宋体"/>
          <w:b/>
          <w:bCs/>
          <w:sz w:val="24"/>
          <w:szCs w:val="24"/>
          <w:lang w:val="en-US" w:eastAsia="zh-CN"/>
        </w:rPr>
        <w:t>Karthaus M</w:t>
      </w:r>
      <w:r w:rsidRPr="00845A83">
        <w:rPr>
          <w:rFonts w:ascii="Book Antiqua" w:hAnsi="Book Antiqua" w:cs="宋体"/>
          <w:sz w:val="24"/>
          <w:szCs w:val="24"/>
          <w:lang w:val="en-US" w:eastAsia="zh-CN"/>
        </w:rPr>
        <w:t xml:space="preserve">, Kretzschmar A, Kröning H, Biakhov M, Irwin D, Marschner N, Slabber C, Fountzilas G, Garin A, Abecasis NG, Baronius W, Steger GG, Südhoff T, Giorgetti C, Reichardt P. Dalteparin for prevention of catheter-related complications in cancer patients with central venous catheters: final results of a double-blind, placebo-controlled phase III trial. </w:t>
      </w:r>
      <w:r w:rsidRPr="00845A83">
        <w:rPr>
          <w:rFonts w:ascii="Book Antiqua" w:hAnsi="Book Antiqua" w:cs="宋体"/>
          <w:i/>
          <w:iCs/>
          <w:sz w:val="24"/>
          <w:szCs w:val="24"/>
          <w:lang w:val="en-US" w:eastAsia="zh-CN"/>
        </w:rPr>
        <w:t>Ann Oncol</w:t>
      </w:r>
      <w:r w:rsidRPr="00845A83">
        <w:rPr>
          <w:rFonts w:ascii="Book Antiqua" w:hAnsi="Book Antiqua" w:cs="宋体"/>
          <w:sz w:val="24"/>
          <w:szCs w:val="24"/>
          <w:lang w:val="en-US" w:eastAsia="zh-CN"/>
        </w:rPr>
        <w:t xml:space="preserve"> 2006; </w:t>
      </w:r>
      <w:r w:rsidRPr="00845A83">
        <w:rPr>
          <w:rFonts w:ascii="Book Antiqua" w:hAnsi="Book Antiqua" w:cs="宋体"/>
          <w:b/>
          <w:bCs/>
          <w:sz w:val="24"/>
          <w:szCs w:val="24"/>
          <w:lang w:val="en-US" w:eastAsia="zh-CN"/>
        </w:rPr>
        <w:t>17</w:t>
      </w:r>
      <w:r w:rsidRPr="00845A83">
        <w:rPr>
          <w:rFonts w:ascii="Book Antiqua" w:hAnsi="Book Antiqua" w:cs="宋体"/>
          <w:sz w:val="24"/>
          <w:szCs w:val="24"/>
          <w:lang w:val="en-US" w:eastAsia="zh-CN"/>
        </w:rPr>
        <w:t>: 289-296 [PMID: 1631701</w:t>
      </w:r>
      <w:r w:rsidR="00396267">
        <w:rPr>
          <w:rFonts w:ascii="Book Antiqua" w:hAnsi="Book Antiqua" w:cs="宋体"/>
          <w:sz w:val="24"/>
          <w:szCs w:val="24"/>
          <w:lang w:val="en-US" w:eastAsia="zh-CN"/>
        </w:rPr>
        <w:t>2 DOI: 10.1093/annonc/mdj059]</w:t>
      </w:r>
    </w:p>
    <w:p w14:paraId="09F939CF" w14:textId="579B3C7F" w:rsidR="00845A83" w:rsidRPr="00845A83" w:rsidRDefault="00845A83" w:rsidP="00845A83">
      <w:pPr>
        <w:spacing w:after="0" w:line="360" w:lineRule="auto"/>
        <w:jc w:val="both"/>
        <w:rPr>
          <w:rFonts w:ascii="Book Antiqua" w:hAnsi="Book Antiqua" w:cs="宋体"/>
          <w:sz w:val="24"/>
          <w:szCs w:val="24"/>
          <w:lang w:val="en-US" w:eastAsia="zh-CN"/>
        </w:rPr>
      </w:pPr>
      <w:r w:rsidRPr="00845A83">
        <w:rPr>
          <w:rFonts w:ascii="Book Antiqua" w:hAnsi="Book Antiqua" w:cs="宋体"/>
          <w:sz w:val="24"/>
          <w:szCs w:val="24"/>
          <w:lang w:val="en-US" w:eastAsia="zh-CN"/>
        </w:rPr>
        <w:t xml:space="preserve">64 </w:t>
      </w:r>
      <w:r w:rsidRPr="00845A83">
        <w:rPr>
          <w:rFonts w:ascii="Book Antiqua" w:hAnsi="Book Antiqua" w:cs="宋体"/>
          <w:b/>
          <w:bCs/>
          <w:sz w:val="24"/>
          <w:szCs w:val="24"/>
          <w:lang w:val="en-US" w:eastAsia="zh-CN"/>
        </w:rPr>
        <w:t>Young AM</w:t>
      </w:r>
      <w:r w:rsidRPr="00845A83">
        <w:rPr>
          <w:rFonts w:ascii="Book Antiqua" w:hAnsi="Book Antiqua" w:cs="宋体"/>
          <w:sz w:val="24"/>
          <w:szCs w:val="24"/>
          <w:lang w:val="en-US" w:eastAsia="zh-CN"/>
        </w:rPr>
        <w:t xml:space="preserve">, Billingham LJ, Begum G, Kerr DJ, Hughes AI, Rea DW, Shepherd S, Stanley A, Sweeney A, Wilde J, Wheatley K. Warfarin thromboprophylaxis in cancer patients with central venous catheters (WARP): an open-label randomised trial. </w:t>
      </w:r>
      <w:r w:rsidRPr="00845A83">
        <w:rPr>
          <w:rFonts w:ascii="Book Antiqua" w:hAnsi="Book Antiqua" w:cs="宋体"/>
          <w:i/>
          <w:iCs/>
          <w:sz w:val="24"/>
          <w:szCs w:val="24"/>
          <w:lang w:val="en-US" w:eastAsia="zh-CN"/>
        </w:rPr>
        <w:t>Lancet</w:t>
      </w:r>
      <w:r w:rsidRPr="00845A83">
        <w:rPr>
          <w:rFonts w:ascii="Book Antiqua" w:hAnsi="Book Antiqua" w:cs="宋体"/>
          <w:sz w:val="24"/>
          <w:szCs w:val="24"/>
          <w:lang w:val="en-US" w:eastAsia="zh-CN"/>
        </w:rPr>
        <w:t xml:space="preserve"> 2009; </w:t>
      </w:r>
      <w:r w:rsidRPr="00845A83">
        <w:rPr>
          <w:rFonts w:ascii="Book Antiqua" w:hAnsi="Book Antiqua" w:cs="宋体"/>
          <w:b/>
          <w:bCs/>
          <w:sz w:val="24"/>
          <w:szCs w:val="24"/>
          <w:lang w:val="en-US" w:eastAsia="zh-CN"/>
        </w:rPr>
        <w:t>373</w:t>
      </w:r>
      <w:r w:rsidRPr="00845A83">
        <w:rPr>
          <w:rFonts w:ascii="Book Antiqua" w:hAnsi="Book Antiqua" w:cs="宋体"/>
          <w:sz w:val="24"/>
          <w:szCs w:val="24"/>
          <w:lang w:val="en-US" w:eastAsia="zh-CN"/>
        </w:rPr>
        <w:t>: 567-574 [PMID: 19217991 DOI: 1</w:t>
      </w:r>
      <w:r w:rsidR="00396267">
        <w:rPr>
          <w:rFonts w:ascii="Book Antiqua" w:hAnsi="Book Antiqua" w:cs="宋体"/>
          <w:sz w:val="24"/>
          <w:szCs w:val="24"/>
          <w:lang w:val="en-US" w:eastAsia="zh-CN"/>
        </w:rPr>
        <w:t>0.1016/S0140-6736(09)60205-1]</w:t>
      </w:r>
    </w:p>
    <w:p w14:paraId="392B68A8" w14:textId="639202D8" w:rsidR="00845A83" w:rsidRPr="00845A83" w:rsidRDefault="00845A83" w:rsidP="00845A83">
      <w:pPr>
        <w:spacing w:after="0" w:line="360" w:lineRule="auto"/>
        <w:jc w:val="both"/>
        <w:rPr>
          <w:rFonts w:ascii="Book Antiqua" w:hAnsi="Book Antiqua" w:cs="宋体"/>
          <w:sz w:val="24"/>
          <w:szCs w:val="24"/>
          <w:lang w:val="en-US" w:eastAsia="zh-CN"/>
        </w:rPr>
      </w:pPr>
      <w:r w:rsidRPr="00845A83">
        <w:rPr>
          <w:rFonts w:ascii="Book Antiqua" w:hAnsi="Book Antiqua" w:cs="宋体"/>
          <w:sz w:val="24"/>
          <w:szCs w:val="24"/>
          <w:lang w:val="en-US" w:eastAsia="zh-CN"/>
        </w:rPr>
        <w:t xml:space="preserve">65 </w:t>
      </w:r>
      <w:r w:rsidRPr="00845A83">
        <w:rPr>
          <w:rFonts w:ascii="Book Antiqua" w:hAnsi="Book Antiqua" w:cs="宋体"/>
          <w:b/>
          <w:bCs/>
          <w:sz w:val="24"/>
          <w:szCs w:val="24"/>
          <w:lang w:val="en-US" w:eastAsia="zh-CN"/>
        </w:rPr>
        <w:t>Johnson MJ</w:t>
      </w:r>
      <w:r w:rsidRPr="00845A83">
        <w:rPr>
          <w:rFonts w:ascii="Book Antiqua" w:hAnsi="Book Antiqua" w:cs="宋体"/>
          <w:sz w:val="24"/>
          <w:szCs w:val="24"/>
          <w:lang w:val="en-US" w:eastAsia="zh-CN"/>
        </w:rPr>
        <w:t xml:space="preserve">, Sproule MW, Paul J. The prevalence and associated variables of deep venous thrombosis in patients with advanced cancer. </w:t>
      </w:r>
      <w:r w:rsidRPr="00845A83">
        <w:rPr>
          <w:rFonts w:ascii="Book Antiqua" w:hAnsi="Book Antiqua" w:cs="宋体"/>
          <w:i/>
          <w:iCs/>
          <w:sz w:val="24"/>
          <w:szCs w:val="24"/>
          <w:lang w:val="en-US" w:eastAsia="zh-CN"/>
        </w:rPr>
        <w:t xml:space="preserve">Clin Oncol </w:t>
      </w:r>
      <w:r w:rsidRPr="00396267">
        <w:rPr>
          <w:rFonts w:ascii="Book Antiqua" w:hAnsi="Book Antiqua" w:cs="宋体"/>
          <w:iCs/>
          <w:sz w:val="24"/>
          <w:szCs w:val="24"/>
          <w:lang w:val="en-US" w:eastAsia="zh-CN"/>
        </w:rPr>
        <w:t>(R Coll Radiol)</w:t>
      </w:r>
      <w:r w:rsidRPr="00396267">
        <w:rPr>
          <w:rFonts w:ascii="Book Antiqua" w:hAnsi="Book Antiqua" w:cs="宋体"/>
          <w:sz w:val="24"/>
          <w:szCs w:val="24"/>
          <w:lang w:val="en-US" w:eastAsia="zh-CN"/>
        </w:rPr>
        <w:t xml:space="preserve"> </w:t>
      </w:r>
      <w:r w:rsidRPr="00845A83">
        <w:rPr>
          <w:rFonts w:ascii="Book Antiqua" w:hAnsi="Book Antiqua" w:cs="宋体"/>
          <w:sz w:val="24"/>
          <w:szCs w:val="24"/>
          <w:lang w:val="en-US" w:eastAsia="zh-CN"/>
        </w:rPr>
        <w:t xml:space="preserve">1999; </w:t>
      </w:r>
      <w:r w:rsidRPr="00845A83">
        <w:rPr>
          <w:rFonts w:ascii="Book Antiqua" w:hAnsi="Book Antiqua" w:cs="宋体"/>
          <w:b/>
          <w:bCs/>
          <w:sz w:val="24"/>
          <w:szCs w:val="24"/>
          <w:lang w:val="en-US" w:eastAsia="zh-CN"/>
        </w:rPr>
        <w:t>11</w:t>
      </w:r>
      <w:r w:rsidRPr="00845A83">
        <w:rPr>
          <w:rFonts w:ascii="Book Antiqua" w:hAnsi="Book Antiqua" w:cs="宋体"/>
          <w:sz w:val="24"/>
          <w:szCs w:val="24"/>
          <w:lang w:val="en-US" w:eastAsia="zh-CN"/>
        </w:rPr>
        <w:t>: 105-110 [PMID: 1037863</w:t>
      </w:r>
      <w:r w:rsidR="00396267">
        <w:rPr>
          <w:rFonts w:ascii="Book Antiqua" w:hAnsi="Book Antiqua" w:cs="宋体"/>
          <w:sz w:val="24"/>
          <w:szCs w:val="24"/>
          <w:lang w:val="en-US" w:eastAsia="zh-CN"/>
        </w:rPr>
        <w:t>6 DOI: 10.1053/clon.1999.9023]</w:t>
      </w:r>
    </w:p>
    <w:p w14:paraId="515AC02F" w14:textId="5DB809FB" w:rsidR="00845A83" w:rsidRPr="00845A83" w:rsidRDefault="00845A83" w:rsidP="00845A83">
      <w:pPr>
        <w:spacing w:after="0" w:line="360" w:lineRule="auto"/>
        <w:jc w:val="both"/>
        <w:rPr>
          <w:rFonts w:ascii="Book Antiqua" w:hAnsi="Book Antiqua" w:cs="宋体"/>
          <w:sz w:val="24"/>
          <w:szCs w:val="24"/>
          <w:lang w:val="en-US" w:eastAsia="zh-CN"/>
        </w:rPr>
      </w:pPr>
      <w:r w:rsidRPr="00845A83">
        <w:rPr>
          <w:rFonts w:ascii="Book Antiqua" w:hAnsi="Book Antiqua" w:cs="宋体"/>
          <w:sz w:val="24"/>
          <w:szCs w:val="24"/>
          <w:lang w:val="en-US" w:eastAsia="zh-CN"/>
        </w:rPr>
        <w:t xml:space="preserve">66 </w:t>
      </w:r>
      <w:r w:rsidRPr="00845A83">
        <w:rPr>
          <w:rFonts w:ascii="Book Antiqua" w:hAnsi="Book Antiqua" w:cs="宋体"/>
          <w:b/>
          <w:bCs/>
          <w:sz w:val="24"/>
          <w:szCs w:val="24"/>
          <w:lang w:val="en-US" w:eastAsia="zh-CN"/>
        </w:rPr>
        <w:t>Levine M</w:t>
      </w:r>
      <w:r w:rsidRPr="00845A83">
        <w:rPr>
          <w:rFonts w:ascii="Book Antiqua" w:hAnsi="Book Antiqua" w:cs="宋体"/>
          <w:sz w:val="24"/>
          <w:szCs w:val="24"/>
          <w:lang w:val="en-US" w:eastAsia="zh-CN"/>
        </w:rPr>
        <w:t xml:space="preserve">, Hirsh J, Gent M, Arnold A, Warr D, Falanga A, Samosh M, Bramwell V, Pritchard KI, Stewart D. Double-blind randomised trial of a very-low-dose warfarin for prevention of thromboembolism in stage IV breast cancer. </w:t>
      </w:r>
      <w:r w:rsidRPr="00845A83">
        <w:rPr>
          <w:rFonts w:ascii="Book Antiqua" w:hAnsi="Book Antiqua" w:cs="宋体"/>
          <w:i/>
          <w:iCs/>
          <w:sz w:val="24"/>
          <w:szCs w:val="24"/>
          <w:lang w:val="en-US" w:eastAsia="zh-CN"/>
        </w:rPr>
        <w:t>Lancet</w:t>
      </w:r>
      <w:r w:rsidRPr="00845A83">
        <w:rPr>
          <w:rFonts w:ascii="Book Antiqua" w:hAnsi="Book Antiqua" w:cs="宋体"/>
          <w:sz w:val="24"/>
          <w:szCs w:val="24"/>
          <w:lang w:val="en-US" w:eastAsia="zh-CN"/>
        </w:rPr>
        <w:t xml:space="preserve"> 1994; </w:t>
      </w:r>
      <w:r w:rsidRPr="00845A83">
        <w:rPr>
          <w:rFonts w:ascii="Book Antiqua" w:hAnsi="Book Antiqua" w:cs="宋体"/>
          <w:b/>
          <w:bCs/>
          <w:sz w:val="24"/>
          <w:szCs w:val="24"/>
          <w:lang w:val="en-US" w:eastAsia="zh-CN"/>
        </w:rPr>
        <w:t>343</w:t>
      </w:r>
      <w:r w:rsidRPr="00845A83">
        <w:rPr>
          <w:rFonts w:ascii="Book Antiqua" w:hAnsi="Book Antiqua" w:cs="宋体"/>
          <w:sz w:val="24"/>
          <w:szCs w:val="24"/>
          <w:lang w:val="en-US" w:eastAsia="zh-CN"/>
        </w:rPr>
        <w:t xml:space="preserve">: 886-889 [PMID: 7908358 DOI: </w:t>
      </w:r>
      <w:r w:rsidR="00396267">
        <w:rPr>
          <w:rFonts w:ascii="Book Antiqua" w:hAnsi="Book Antiqua" w:cs="宋体"/>
          <w:sz w:val="24"/>
          <w:szCs w:val="24"/>
          <w:lang w:val="en-US" w:eastAsia="zh-CN"/>
        </w:rPr>
        <w:t>10.1016/S0140-6736(94)90008-6]</w:t>
      </w:r>
    </w:p>
    <w:p w14:paraId="218BAC09" w14:textId="6E866CFD" w:rsidR="00845A83" w:rsidRPr="00845A83" w:rsidRDefault="00845A83" w:rsidP="00845A83">
      <w:pPr>
        <w:spacing w:after="0" w:line="360" w:lineRule="auto"/>
        <w:jc w:val="both"/>
        <w:rPr>
          <w:rFonts w:ascii="Book Antiqua" w:hAnsi="Book Antiqua" w:cs="宋体"/>
          <w:sz w:val="24"/>
          <w:szCs w:val="24"/>
          <w:lang w:val="en-US" w:eastAsia="zh-CN"/>
        </w:rPr>
      </w:pPr>
      <w:r w:rsidRPr="00845A83">
        <w:rPr>
          <w:rFonts w:ascii="Book Antiqua" w:hAnsi="Book Antiqua" w:cs="宋体"/>
          <w:sz w:val="24"/>
          <w:szCs w:val="24"/>
          <w:lang w:val="en-US" w:eastAsia="zh-CN"/>
        </w:rPr>
        <w:lastRenderedPageBreak/>
        <w:t xml:space="preserve">67 </w:t>
      </w:r>
      <w:r w:rsidRPr="00845A83">
        <w:rPr>
          <w:rFonts w:ascii="Book Antiqua" w:hAnsi="Book Antiqua" w:cs="宋体"/>
          <w:b/>
          <w:bCs/>
          <w:sz w:val="24"/>
          <w:szCs w:val="24"/>
          <w:lang w:val="en-US" w:eastAsia="zh-CN"/>
        </w:rPr>
        <w:t>Haas SK</w:t>
      </w:r>
      <w:r w:rsidRPr="00845A83">
        <w:rPr>
          <w:rFonts w:ascii="Book Antiqua" w:hAnsi="Book Antiqua" w:cs="宋体"/>
          <w:sz w:val="24"/>
          <w:szCs w:val="24"/>
          <w:lang w:val="en-US" w:eastAsia="zh-CN"/>
        </w:rPr>
        <w:t xml:space="preserve">, Freund M, Heigener D, Heilmann L, Kemkes-Matthes B, von Tempelhoff GF, Melzer N, Kakkar AK. </w:t>
      </w:r>
      <w:proofErr w:type="gramStart"/>
      <w:r w:rsidRPr="00845A83">
        <w:rPr>
          <w:rFonts w:ascii="Book Antiqua" w:hAnsi="Book Antiqua" w:cs="宋体"/>
          <w:sz w:val="24"/>
          <w:szCs w:val="24"/>
          <w:lang w:val="en-US" w:eastAsia="zh-CN"/>
        </w:rPr>
        <w:t>Low-molecular-weight heparin versus placebo for the prevention of venous thromboembolism in metastatic breast cancer or stage III/IV lung cancer.</w:t>
      </w:r>
      <w:proofErr w:type="gramEnd"/>
      <w:r w:rsidRPr="00845A83">
        <w:rPr>
          <w:rFonts w:ascii="Book Antiqua" w:hAnsi="Book Antiqua" w:cs="宋体"/>
          <w:sz w:val="24"/>
          <w:szCs w:val="24"/>
          <w:lang w:val="en-US" w:eastAsia="zh-CN"/>
        </w:rPr>
        <w:t xml:space="preserve"> </w:t>
      </w:r>
      <w:r w:rsidRPr="00845A83">
        <w:rPr>
          <w:rFonts w:ascii="Book Antiqua" w:hAnsi="Book Antiqua" w:cs="宋体"/>
          <w:i/>
          <w:iCs/>
          <w:sz w:val="24"/>
          <w:szCs w:val="24"/>
          <w:lang w:val="en-US" w:eastAsia="zh-CN"/>
        </w:rPr>
        <w:t>Clin Appl Thromb Hemost</w:t>
      </w:r>
      <w:r w:rsidRPr="00845A83">
        <w:rPr>
          <w:rFonts w:ascii="Book Antiqua" w:hAnsi="Book Antiqua" w:cs="宋体"/>
          <w:sz w:val="24"/>
          <w:szCs w:val="24"/>
          <w:lang w:val="en-US" w:eastAsia="zh-CN"/>
        </w:rPr>
        <w:t xml:space="preserve"> </w:t>
      </w:r>
      <w:r w:rsidR="00396267">
        <w:rPr>
          <w:rFonts w:ascii="Book Antiqua" w:hAnsi="Book Antiqua" w:cs="宋体" w:hint="eastAsia"/>
          <w:sz w:val="24"/>
          <w:szCs w:val="24"/>
          <w:lang w:val="en-US" w:eastAsia="zh-CN"/>
        </w:rPr>
        <w:t>2012</w:t>
      </w:r>
      <w:r w:rsidRPr="00845A83">
        <w:rPr>
          <w:rFonts w:ascii="Book Antiqua" w:hAnsi="Book Antiqua" w:cs="宋体"/>
          <w:sz w:val="24"/>
          <w:szCs w:val="24"/>
          <w:lang w:val="en-US" w:eastAsia="zh-CN"/>
        </w:rPr>
        <w:t xml:space="preserve">; </w:t>
      </w:r>
      <w:r w:rsidRPr="00845A83">
        <w:rPr>
          <w:rFonts w:ascii="Book Antiqua" w:hAnsi="Book Antiqua" w:cs="宋体"/>
          <w:b/>
          <w:bCs/>
          <w:sz w:val="24"/>
          <w:szCs w:val="24"/>
          <w:lang w:val="en-US" w:eastAsia="zh-CN"/>
        </w:rPr>
        <w:t>18</w:t>
      </w:r>
      <w:r w:rsidRPr="00845A83">
        <w:rPr>
          <w:rFonts w:ascii="Book Antiqua" w:hAnsi="Book Antiqua" w:cs="宋体"/>
          <w:sz w:val="24"/>
          <w:szCs w:val="24"/>
          <w:lang w:val="en-US" w:eastAsia="zh-CN"/>
        </w:rPr>
        <w:t>: 159-165 [PMID: 22275397 D</w:t>
      </w:r>
      <w:r w:rsidR="00396267">
        <w:rPr>
          <w:rFonts w:ascii="Book Antiqua" w:hAnsi="Book Antiqua" w:cs="宋体"/>
          <w:sz w:val="24"/>
          <w:szCs w:val="24"/>
          <w:lang w:val="en-US" w:eastAsia="zh-CN"/>
        </w:rPr>
        <w:t>OI: 10.1177/1076029611433769]</w:t>
      </w:r>
    </w:p>
    <w:p w14:paraId="06538A66" w14:textId="51F10796" w:rsidR="00845A83" w:rsidRPr="00845A83" w:rsidRDefault="00845A83" w:rsidP="00845A83">
      <w:pPr>
        <w:spacing w:after="0" w:line="360" w:lineRule="auto"/>
        <w:jc w:val="both"/>
        <w:rPr>
          <w:rFonts w:ascii="Book Antiqua" w:hAnsi="Book Antiqua" w:cs="宋体"/>
          <w:sz w:val="24"/>
          <w:szCs w:val="24"/>
          <w:lang w:val="en-US" w:eastAsia="zh-CN"/>
        </w:rPr>
      </w:pPr>
      <w:r w:rsidRPr="00845A83">
        <w:rPr>
          <w:rFonts w:ascii="Book Antiqua" w:hAnsi="Book Antiqua" w:cs="宋体"/>
          <w:sz w:val="24"/>
          <w:szCs w:val="24"/>
          <w:lang w:val="en-US" w:eastAsia="zh-CN"/>
        </w:rPr>
        <w:t xml:space="preserve">68 </w:t>
      </w:r>
      <w:r w:rsidRPr="00845A83">
        <w:rPr>
          <w:rFonts w:ascii="Book Antiqua" w:hAnsi="Book Antiqua" w:cs="宋体"/>
          <w:b/>
          <w:bCs/>
          <w:sz w:val="24"/>
          <w:szCs w:val="24"/>
          <w:lang w:val="en-US" w:eastAsia="zh-CN"/>
        </w:rPr>
        <w:t>Agnelli G</w:t>
      </w:r>
      <w:r w:rsidRPr="00845A83">
        <w:rPr>
          <w:rFonts w:ascii="Book Antiqua" w:hAnsi="Book Antiqua" w:cs="宋体"/>
          <w:sz w:val="24"/>
          <w:szCs w:val="24"/>
          <w:lang w:val="en-US" w:eastAsia="zh-CN"/>
        </w:rPr>
        <w:t xml:space="preserve">, Gussoni G, Bianchini C, Verso M, Mandalà M, Cavanna L, Barni S, Labianca R, Buzzi F, Scambia G, Passalacqua R, Ricci S, Gasparini G, Lorusso V, Bonizzoni E, Tonato M. Nadroparin for the prevention of thromboembolic events in ambulatory patients with metastatic or locally advanced solid cancer receiving chemotherapy: a randomised, placebo-controlled, double-blind study. </w:t>
      </w:r>
      <w:r w:rsidRPr="00845A83">
        <w:rPr>
          <w:rFonts w:ascii="Book Antiqua" w:hAnsi="Book Antiqua" w:cs="宋体"/>
          <w:i/>
          <w:iCs/>
          <w:sz w:val="24"/>
          <w:szCs w:val="24"/>
          <w:lang w:val="en-US" w:eastAsia="zh-CN"/>
        </w:rPr>
        <w:t>Lancet Oncol</w:t>
      </w:r>
      <w:r w:rsidRPr="00845A83">
        <w:rPr>
          <w:rFonts w:ascii="Book Antiqua" w:hAnsi="Book Antiqua" w:cs="宋体"/>
          <w:sz w:val="24"/>
          <w:szCs w:val="24"/>
          <w:lang w:val="en-US" w:eastAsia="zh-CN"/>
        </w:rPr>
        <w:t xml:space="preserve"> 2009; </w:t>
      </w:r>
      <w:r w:rsidRPr="00845A83">
        <w:rPr>
          <w:rFonts w:ascii="Book Antiqua" w:hAnsi="Book Antiqua" w:cs="宋体"/>
          <w:b/>
          <w:bCs/>
          <w:sz w:val="24"/>
          <w:szCs w:val="24"/>
          <w:lang w:val="en-US" w:eastAsia="zh-CN"/>
        </w:rPr>
        <w:t>10</w:t>
      </w:r>
      <w:r w:rsidRPr="00845A83">
        <w:rPr>
          <w:rFonts w:ascii="Book Antiqua" w:hAnsi="Book Antiqua" w:cs="宋体"/>
          <w:sz w:val="24"/>
          <w:szCs w:val="24"/>
          <w:lang w:val="en-US" w:eastAsia="zh-CN"/>
        </w:rPr>
        <w:t>: 943-949 [PMID: 19726226 DOI: 10.1016/S1470-2045</w:t>
      </w:r>
      <w:r w:rsidR="00396267">
        <w:rPr>
          <w:rFonts w:ascii="Book Antiqua" w:hAnsi="Book Antiqua" w:cs="宋体"/>
          <w:sz w:val="24"/>
          <w:szCs w:val="24"/>
          <w:lang w:val="en-US" w:eastAsia="zh-CN"/>
        </w:rPr>
        <w:t>(09)70232-3]</w:t>
      </w:r>
    </w:p>
    <w:p w14:paraId="4DF11636" w14:textId="5AFE02BA" w:rsidR="00845A83" w:rsidRPr="00845A83" w:rsidRDefault="00845A83" w:rsidP="00845A83">
      <w:pPr>
        <w:spacing w:after="0" w:line="360" w:lineRule="auto"/>
        <w:jc w:val="both"/>
        <w:rPr>
          <w:rFonts w:ascii="Book Antiqua" w:hAnsi="Book Antiqua" w:cs="宋体"/>
          <w:sz w:val="24"/>
          <w:szCs w:val="24"/>
          <w:lang w:val="en-US" w:eastAsia="zh-CN"/>
        </w:rPr>
      </w:pPr>
      <w:r w:rsidRPr="00845A83">
        <w:rPr>
          <w:rFonts w:ascii="Book Antiqua" w:hAnsi="Book Antiqua" w:cs="宋体"/>
          <w:sz w:val="24"/>
          <w:szCs w:val="24"/>
          <w:lang w:val="en-US" w:eastAsia="zh-CN"/>
        </w:rPr>
        <w:t xml:space="preserve">69 </w:t>
      </w:r>
      <w:r w:rsidRPr="00845A83">
        <w:rPr>
          <w:rFonts w:ascii="Book Antiqua" w:hAnsi="Book Antiqua" w:cs="宋体"/>
          <w:b/>
          <w:bCs/>
          <w:sz w:val="24"/>
          <w:szCs w:val="24"/>
          <w:lang w:val="en-US" w:eastAsia="zh-CN"/>
        </w:rPr>
        <w:t>Agnelli G</w:t>
      </w:r>
      <w:r w:rsidRPr="00845A83">
        <w:rPr>
          <w:rFonts w:ascii="Book Antiqua" w:hAnsi="Book Antiqua" w:cs="宋体"/>
          <w:sz w:val="24"/>
          <w:szCs w:val="24"/>
          <w:lang w:val="en-US" w:eastAsia="zh-CN"/>
        </w:rPr>
        <w:t xml:space="preserve">, George DJ, Kakkar AK, Fisher W, Lassen MR, Mismetti P, Mouret P, Chaudhari U, Lawson F, Turpie AG. </w:t>
      </w:r>
      <w:proofErr w:type="gramStart"/>
      <w:r w:rsidRPr="00845A83">
        <w:rPr>
          <w:rFonts w:ascii="Book Antiqua" w:hAnsi="Book Antiqua" w:cs="宋体"/>
          <w:sz w:val="24"/>
          <w:szCs w:val="24"/>
          <w:lang w:val="en-US" w:eastAsia="zh-CN"/>
        </w:rPr>
        <w:t>Semuloparin for thromboprophylaxis in patients receiving chemotherapy for cancer.</w:t>
      </w:r>
      <w:proofErr w:type="gramEnd"/>
      <w:r w:rsidRPr="00845A83">
        <w:rPr>
          <w:rFonts w:ascii="Book Antiqua" w:hAnsi="Book Antiqua" w:cs="宋体"/>
          <w:sz w:val="24"/>
          <w:szCs w:val="24"/>
          <w:lang w:val="en-US" w:eastAsia="zh-CN"/>
        </w:rPr>
        <w:t xml:space="preserve"> </w:t>
      </w:r>
      <w:r w:rsidRPr="00845A83">
        <w:rPr>
          <w:rFonts w:ascii="Book Antiqua" w:hAnsi="Book Antiqua" w:cs="宋体"/>
          <w:i/>
          <w:iCs/>
          <w:sz w:val="24"/>
          <w:szCs w:val="24"/>
          <w:lang w:val="en-US" w:eastAsia="zh-CN"/>
        </w:rPr>
        <w:t>N Engl J Med</w:t>
      </w:r>
      <w:r w:rsidRPr="00845A83">
        <w:rPr>
          <w:rFonts w:ascii="Book Antiqua" w:hAnsi="Book Antiqua" w:cs="宋体"/>
          <w:sz w:val="24"/>
          <w:szCs w:val="24"/>
          <w:lang w:val="en-US" w:eastAsia="zh-CN"/>
        </w:rPr>
        <w:t xml:space="preserve"> 2012; </w:t>
      </w:r>
      <w:r w:rsidRPr="00845A83">
        <w:rPr>
          <w:rFonts w:ascii="Book Antiqua" w:hAnsi="Book Antiqua" w:cs="宋体"/>
          <w:b/>
          <w:bCs/>
          <w:sz w:val="24"/>
          <w:szCs w:val="24"/>
          <w:lang w:val="en-US" w:eastAsia="zh-CN"/>
        </w:rPr>
        <w:t>366</w:t>
      </w:r>
      <w:r w:rsidRPr="00845A83">
        <w:rPr>
          <w:rFonts w:ascii="Book Antiqua" w:hAnsi="Book Antiqua" w:cs="宋体"/>
          <w:sz w:val="24"/>
          <w:szCs w:val="24"/>
          <w:lang w:val="en-US" w:eastAsia="zh-CN"/>
        </w:rPr>
        <w:t>: 601-609 [PMID: 2233573</w:t>
      </w:r>
      <w:r w:rsidR="00396267">
        <w:rPr>
          <w:rFonts w:ascii="Book Antiqua" w:hAnsi="Book Antiqua" w:cs="宋体"/>
          <w:sz w:val="24"/>
          <w:szCs w:val="24"/>
          <w:lang w:val="en-US" w:eastAsia="zh-CN"/>
        </w:rPr>
        <w:t>7 DOI: 10.1056/NEJMoa1108898]</w:t>
      </w:r>
    </w:p>
    <w:p w14:paraId="34EE076F" w14:textId="086CC721" w:rsidR="00845A83" w:rsidRPr="00845A83" w:rsidRDefault="00845A83" w:rsidP="00845A83">
      <w:pPr>
        <w:spacing w:after="0" w:line="360" w:lineRule="auto"/>
        <w:jc w:val="both"/>
        <w:rPr>
          <w:rFonts w:ascii="Book Antiqua" w:hAnsi="Book Antiqua" w:cs="宋体"/>
          <w:sz w:val="24"/>
          <w:szCs w:val="24"/>
          <w:lang w:val="en-US" w:eastAsia="zh-CN"/>
        </w:rPr>
      </w:pPr>
      <w:r w:rsidRPr="00845A83">
        <w:rPr>
          <w:rFonts w:ascii="Book Antiqua" w:hAnsi="Book Antiqua" w:cs="宋体"/>
          <w:sz w:val="24"/>
          <w:szCs w:val="24"/>
          <w:lang w:val="en-US" w:eastAsia="zh-CN"/>
        </w:rPr>
        <w:t xml:space="preserve">70 </w:t>
      </w:r>
      <w:r w:rsidRPr="00845A83">
        <w:rPr>
          <w:rFonts w:ascii="Book Antiqua" w:hAnsi="Book Antiqua" w:cs="宋体"/>
          <w:b/>
          <w:bCs/>
          <w:sz w:val="24"/>
          <w:szCs w:val="24"/>
          <w:lang w:val="en-US" w:eastAsia="zh-CN"/>
        </w:rPr>
        <w:t>Maraveyas A</w:t>
      </w:r>
      <w:r w:rsidRPr="00845A83">
        <w:rPr>
          <w:rFonts w:ascii="Book Antiqua" w:hAnsi="Book Antiqua" w:cs="宋体"/>
          <w:sz w:val="24"/>
          <w:szCs w:val="24"/>
          <w:lang w:val="en-US" w:eastAsia="zh-CN"/>
        </w:rPr>
        <w:t xml:space="preserve">, Waters J, Roy R, Fyfe D, Propper D, Lofts F, Sgouros J, Gardiner E, Wedgwood K, Ettelaie C, Bozas G. Gemcitabine versus gemcitabine plus dalteparin thromboprophylaxis in pancreatic cancer. </w:t>
      </w:r>
      <w:r w:rsidRPr="00845A83">
        <w:rPr>
          <w:rFonts w:ascii="Book Antiqua" w:hAnsi="Book Antiqua" w:cs="宋体"/>
          <w:i/>
          <w:iCs/>
          <w:sz w:val="24"/>
          <w:szCs w:val="24"/>
          <w:lang w:val="en-US" w:eastAsia="zh-CN"/>
        </w:rPr>
        <w:t>Eur J Cancer</w:t>
      </w:r>
      <w:r w:rsidRPr="00845A83">
        <w:rPr>
          <w:rFonts w:ascii="Book Antiqua" w:hAnsi="Book Antiqua" w:cs="宋体"/>
          <w:sz w:val="24"/>
          <w:szCs w:val="24"/>
          <w:lang w:val="en-US" w:eastAsia="zh-CN"/>
        </w:rPr>
        <w:t xml:space="preserve"> 2012; </w:t>
      </w:r>
      <w:r w:rsidRPr="00845A83">
        <w:rPr>
          <w:rFonts w:ascii="Book Antiqua" w:hAnsi="Book Antiqua" w:cs="宋体"/>
          <w:b/>
          <w:bCs/>
          <w:sz w:val="24"/>
          <w:szCs w:val="24"/>
          <w:lang w:val="en-US" w:eastAsia="zh-CN"/>
        </w:rPr>
        <w:t>48</w:t>
      </w:r>
      <w:r w:rsidRPr="00845A83">
        <w:rPr>
          <w:rFonts w:ascii="Book Antiqua" w:hAnsi="Book Antiqua" w:cs="宋体"/>
          <w:sz w:val="24"/>
          <w:szCs w:val="24"/>
          <w:lang w:val="en-US" w:eastAsia="zh-CN"/>
        </w:rPr>
        <w:t>: 1283-1292 [PMID: 22100906 DOI</w:t>
      </w:r>
      <w:r w:rsidR="00396267">
        <w:rPr>
          <w:rFonts w:ascii="Book Antiqua" w:hAnsi="Book Antiqua" w:cs="宋体"/>
          <w:sz w:val="24"/>
          <w:szCs w:val="24"/>
          <w:lang w:val="en-US" w:eastAsia="zh-CN"/>
        </w:rPr>
        <w:t>: 10.1016/j.ejca.2011.10.017]</w:t>
      </w:r>
    </w:p>
    <w:p w14:paraId="2AA003CB" w14:textId="5A144AEF" w:rsidR="00845A83" w:rsidRPr="00845A83" w:rsidRDefault="00845A83" w:rsidP="00845A83">
      <w:pPr>
        <w:spacing w:after="0" w:line="360" w:lineRule="auto"/>
        <w:jc w:val="both"/>
        <w:rPr>
          <w:rFonts w:ascii="Book Antiqua" w:hAnsi="Book Antiqua" w:cs="宋体"/>
          <w:sz w:val="24"/>
          <w:szCs w:val="24"/>
          <w:lang w:val="en-US" w:eastAsia="zh-CN"/>
        </w:rPr>
      </w:pPr>
      <w:r w:rsidRPr="00845A83">
        <w:rPr>
          <w:rFonts w:ascii="Book Antiqua" w:hAnsi="Book Antiqua" w:cs="宋体"/>
          <w:sz w:val="24"/>
          <w:szCs w:val="24"/>
          <w:lang w:val="en-US" w:eastAsia="zh-CN"/>
        </w:rPr>
        <w:t xml:space="preserve">71 </w:t>
      </w:r>
      <w:r w:rsidRPr="00845A83">
        <w:rPr>
          <w:rFonts w:ascii="Book Antiqua" w:hAnsi="Book Antiqua" w:cs="宋体"/>
          <w:b/>
          <w:bCs/>
          <w:sz w:val="24"/>
          <w:szCs w:val="24"/>
          <w:lang w:val="en-US" w:eastAsia="zh-CN"/>
        </w:rPr>
        <w:t>Pelzer U</w:t>
      </w:r>
      <w:r w:rsidRPr="00845A83">
        <w:rPr>
          <w:rFonts w:ascii="Book Antiqua" w:hAnsi="Book Antiqua" w:cs="宋体"/>
          <w:sz w:val="24"/>
          <w:szCs w:val="24"/>
          <w:lang w:val="en-US" w:eastAsia="zh-CN"/>
        </w:rPr>
        <w:t xml:space="preserve">, Opitz B, Deutschinoff G, Stauch M, Reitzig PC, Hahnfeld S, Müller L, Grunewald M, Stieler JM, Sinn M, Denecke T, Bischoff S, Oettle H, Dörken B, Riess H. Efficacy of Prophylactic Low-Molecular Weight Heparin for Ambulatory Patients With Advanced Pancreatic Cancer: Outcomes From the CONKO-004 Trial. </w:t>
      </w:r>
      <w:r w:rsidRPr="00845A83">
        <w:rPr>
          <w:rFonts w:ascii="Book Antiqua" w:hAnsi="Book Antiqua" w:cs="宋体"/>
          <w:i/>
          <w:iCs/>
          <w:sz w:val="24"/>
          <w:szCs w:val="24"/>
          <w:lang w:val="en-US" w:eastAsia="zh-CN"/>
        </w:rPr>
        <w:t>J Clin Oncol</w:t>
      </w:r>
      <w:r w:rsidRPr="00845A83">
        <w:rPr>
          <w:rFonts w:ascii="Book Antiqua" w:hAnsi="Book Antiqua" w:cs="宋体"/>
          <w:sz w:val="24"/>
          <w:szCs w:val="24"/>
          <w:lang w:val="en-US" w:eastAsia="zh-CN"/>
        </w:rPr>
        <w:t xml:space="preserve"> 2015; </w:t>
      </w:r>
      <w:r w:rsidRPr="00845A83">
        <w:rPr>
          <w:rFonts w:ascii="Book Antiqua" w:hAnsi="Book Antiqua" w:cs="宋体"/>
          <w:b/>
          <w:bCs/>
          <w:sz w:val="24"/>
          <w:szCs w:val="24"/>
          <w:lang w:val="en-US" w:eastAsia="zh-CN"/>
        </w:rPr>
        <w:t>33</w:t>
      </w:r>
      <w:r w:rsidRPr="00845A83">
        <w:rPr>
          <w:rFonts w:ascii="Book Antiqua" w:hAnsi="Book Antiqua" w:cs="宋体"/>
          <w:sz w:val="24"/>
          <w:szCs w:val="24"/>
          <w:lang w:val="en-US" w:eastAsia="zh-CN"/>
        </w:rPr>
        <w:t>: 2028-2034 [PMID: 25987694 D</w:t>
      </w:r>
      <w:r w:rsidR="00396267">
        <w:rPr>
          <w:rFonts w:ascii="Book Antiqua" w:hAnsi="Book Antiqua" w:cs="宋体"/>
          <w:sz w:val="24"/>
          <w:szCs w:val="24"/>
          <w:lang w:val="en-US" w:eastAsia="zh-CN"/>
        </w:rPr>
        <w:t>OI: 10.1200/JCO.2014.55.1481]</w:t>
      </w:r>
    </w:p>
    <w:p w14:paraId="57BE4DC0" w14:textId="252DCD0B" w:rsidR="00845A83" w:rsidRPr="00845A83" w:rsidRDefault="00845A83" w:rsidP="00845A83">
      <w:pPr>
        <w:spacing w:after="0" w:line="360" w:lineRule="auto"/>
        <w:jc w:val="both"/>
        <w:rPr>
          <w:rFonts w:ascii="Book Antiqua" w:hAnsi="Book Antiqua" w:cs="宋体"/>
          <w:sz w:val="24"/>
          <w:szCs w:val="24"/>
          <w:lang w:val="en-US" w:eastAsia="zh-CN"/>
        </w:rPr>
      </w:pPr>
      <w:r w:rsidRPr="00845A83">
        <w:rPr>
          <w:rFonts w:ascii="Book Antiqua" w:hAnsi="Book Antiqua" w:cs="宋体"/>
          <w:sz w:val="24"/>
          <w:szCs w:val="24"/>
          <w:lang w:val="en-US" w:eastAsia="zh-CN"/>
        </w:rPr>
        <w:t xml:space="preserve">72 </w:t>
      </w:r>
      <w:r w:rsidRPr="00845A83">
        <w:rPr>
          <w:rFonts w:ascii="Book Antiqua" w:hAnsi="Book Antiqua" w:cs="宋体"/>
          <w:b/>
          <w:bCs/>
          <w:sz w:val="24"/>
          <w:szCs w:val="24"/>
          <w:lang w:val="en-US" w:eastAsia="zh-CN"/>
        </w:rPr>
        <w:t>Ben-Aharon I</w:t>
      </w:r>
      <w:r w:rsidRPr="00845A83">
        <w:rPr>
          <w:rFonts w:ascii="Book Antiqua" w:hAnsi="Book Antiqua" w:cs="宋体"/>
          <w:sz w:val="24"/>
          <w:szCs w:val="24"/>
          <w:lang w:val="en-US" w:eastAsia="zh-CN"/>
        </w:rPr>
        <w:t xml:space="preserve">, Stemmer SM, Leibovici L, Shpilberg O, Sulkes A, Gafter-Gvili A. Low molecular weight heparin (LMWH) for primary thrombo-prophylaxis in patients with solid malignancies - systematic review and meta-analysis. </w:t>
      </w:r>
      <w:r w:rsidRPr="00845A83">
        <w:rPr>
          <w:rFonts w:ascii="Book Antiqua" w:hAnsi="Book Antiqua" w:cs="宋体"/>
          <w:i/>
          <w:iCs/>
          <w:sz w:val="24"/>
          <w:szCs w:val="24"/>
          <w:lang w:val="en-US" w:eastAsia="zh-CN"/>
        </w:rPr>
        <w:t>Acta Oncol</w:t>
      </w:r>
      <w:r w:rsidRPr="00845A83">
        <w:rPr>
          <w:rFonts w:ascii="Book Antiqua" w:hAnsi="Book Antiqua" w:cs="宋体"/>
          <w:sz w:val="24"/>
          <w:szCs w:val="24"/>
          <w:lang w:val="en-US" w:eastAsia="zh-CN"/>
        </w:rPr>
        <w:t xml:space="preserve"> 2014; </w:t>
      </w:r>
      <w:r w:rsidRPr="00845A83">
        <w:rPr>
          <w:rFonts w:ascii="Book Antiqua" w:hAnsi="Book Antiqua" w:cs="宋体"/>
          <w:b/>
          <w:bCs/>
          <w:sz w:val="24"/>
          <w:szCs w:val="24"/>
          <w:lang w:val="en-US" w:eastAsia="zh-CN"/>
        </w:rPr>
        <w:t>53</w:t>
      </w:r>
      <w:r w:rsidRPr="00845A83">
        <w:rPr>
          <w:rFonts w:ascii="Book Antiqua" w:hAnsi="Book Antiqua" w:cs="宋体"/>
          <w:sz w:val="24"/>
          <w:szCs w:val="24"/>
          <w:lang w:val="en-US" w:eastAsia="zh-CN"/>
        </w:rPr>
        <w:t>: 1230-1237 [PMID: 25162954 DOI: 10.3109/0284186X.2014.934397</w:t>
      </w:r>
      <w:r w:rsidR="00396267">
        <w:rPr>
          <w:rFonts w:ascii="Book Antiqua" w:hAnsi="Book Antiqua" w:cs="宋体"/>
          <w:sz w:val="24"/>
          <w:szCs w:val="24"/>
          <w:lang w:val="en-US" w:eastAsia="zh-CN"/>
        </w:rPr>
        <w:t>]</w:t>
      </w:r>
    </w:p>
    <w:p w14:paraId="3AB991C5" w14:textId="40CFFC68" w:rsidR="00845A83" w:rsidRPr="00845A83" w:rsidRDefault="00845A83" w:rsidP="00845A83">
      <w:pPr>
        <w:spacing w:after="0" w:line="360" w:lineRule="auto"/>
        <w:jc w:val="both"/>
        <w:rPr>
          <w:rFonts w:ascii="Book Antiqua" w:hAnsi="Book Antiqua" w:cs="宋体"/>
          <w:sz w:val="24"/>
          <w:szCs w:val="24"/>
          <w:lang w:val="en-US" w:eastAsia="zh-CN"/>
        </w:rPr>
      </w:pPr>
      <w:r w:rsidRPr="00845A83">
        <w:rPr>
          <w:rFonts w:ascii="Book Antiqua" w:hAnsi="Book Antiqua" w:cs="宋体"/>
          <w:sz w:val="24"/>
          <w:szCs w:val="24"/>
          <w:lang w:val="en-US" w:eastAsia="zh-CN"/>
        </w:rPr>
        <w:t xml:space="preserve">73 </w:t>
      </w:r>
      <w:r w:rsidRPr="00845A83">
        <w:rPr>
          <w:rFonts w:ascii="Book Antiqua" w:hAnsi="Book Antiqua" w:cs="宋体"/>
          <w:b/>
          <w:bCs/>
          <w:sz w:val="24"/>
          <w:szCs w:val="24"/>
          <w:lang w:val="en-US" w:eastAsia="zh-CN"/>
        </w:rPr>
        <w:t>Khorana AA</w:t>
      </w:r>
      <w:r w:rsidRPr="00845A83">
        <w:rPr>
          <w:rFonts w:ascii="Book Antiqua" w:hAnsi="Book Antiqua" w:cs="宋体"/>
          <w:sz w:val="24"/>
          <w:szCs w:val="24"/>
          <w:lang w:val="en-US" w:eastAsia="zh-CN"/>
        </w:rPr>
        <w:t xml:space="preserve">, Kuderer NM, Culakova E, Lyman GH, Francis CW. Development and validation of a predictive model for chemotherapy-associated </w:t>
      </w:r>
      <w:r w:rsidRPr="00845A83">
        <w:rPr>
          <w:rFonts w:ascii="Book Antiqua" w:hAnsi="Book Antiqua" w:cs="宋体"/>
          <w:sz w:val="24"/>
          <w:szCs w:val="24"/>
          <w:lang w:val="en-US" w:eastAsia="zh-CN"/>
        </w:rPr>
        <w:lastRenderedPageBreak/>
        <w:t xml:space="preserve">thrombosis. </w:t>
      </w:r>
      <w:r w:rsidRPr="00845A83">
        <w:rPr>
          <w:rFonts w:ascii="Book Antiqua" w:hAnsi="Book Antiqua" w:cs="宋体"/>
          <w:i/>
          <w:iCs/>
          <w:sz w:val="24"/>
          <w:szCs w:val="24"/>
          <w:lang w:val="en-US" w:eastAsia="zh-CN"/>
        </w:rPr>
        <w:t>Blood</w:t>
      </w:r>
      <w:r w:rsidRPr="00845A83">
        <w:rPr>
          <w:rFonts w:ascii="Book Antiqua" w:hAnsi="Book Antiqua" w:cs="宋体"/>
          <w:sz w:val="24"/>
          <w:szCs w:val="24"/>
          <w:lang w:val="en-US" w:eastAsia="zh-CN"/>
        </w:rPr>
        <w:t xml:space="preserve"> 2008; </w:t>
      </w:r>
      <w:r w:rsidRPr="00845A83">
        <w:rPr>
          <w:rFonts w:ascii="Book Antiqua" w:hAnsi="Book Antiqua" w:cs="宋体"/>
          <w:b/>
          <w:bCs/>
          <w:sz w:val="24"/>
          <w:szCs w:val="24"/>
          <w:lang w:val="en-US" w:eastAsia="zh-CN"/>
        </w:rPr>
        <w:t>111</w:t>
      </w:r>
      <w:r w:rsidRPr="00845A83">
        <w:rPr>
          <w:rFonts w:ascii="Book Antiqua" w:hAnsi="Book Antiqua" w:cs="宋体"/>
          <w:sz w:val="24"/>
          <w:szCs w:val="24"/>
          <w:lang w:val="en-US" w:eastAsia="zh-CN"/>
        </w:rPr>
        <w:t xml:space="preserve">: 4902-4907 [PMID: 18216292 DOI: </w:t>
      </w:r>
      <w:r w:rsidR="00396267">
        <w:rPr>
          <w:rFonts w:ascii="Book Antiqua" w:hAnsi="Book Antiqua" w:cs="宋体"/>
          <w:sz w:val="24"/>
          <w:szCs w:val="24"/>
          <w:lang w:val="en-US" w:eastAsia="zh-CN"/>
        </w:rPr>
        <w:t>10.1182/blood-2007-10-116327]</w:t>
      </w:r>
    </w:p>
    <w:p w14:paraId="7C1A164B" w14:textId="4B2E6B14" w:rsidR="00845A83" w:rsidRPr="00845A83" w:rsidRDefault="00845A83" w:rsidP="00845A83">
      <w:pPr>
        <w:spacing w:after="0" w:line="360" w:lineRule="auto"/>
        <w:jc w:val="both"/>
        <w:rPr>
          <w:rFonts w:ascii="Book Antiqua" w:hAnsi="Book Antiqua" w:cs="宋体"/>
          <w:sz w:val="24"/>
          <w:szCs w:val="24"/>
          <w:lang w:val="en-US" w:eastAsia="zh-CN"/>
        </w:rPr>
      </w:pPr>
      <w:r w:rsidRPr="00845A83">
        <w:rPr>
          <w:rFonts w:ascii="Book Antiqua" w:hAnsi="Book Antiqua" w:cs="宋体"/>
          <w:sz w:val="24"/>
          <w:szCs w:val="24"/>
          <w:lang w:val="en-US" w:eastAsia="zh-CN"/>
        </w:rPr>
        <w:t xml:space="preserve">74 </w:t>
      </w:r>
      <w:r w:rsidRPr="00845A83">
        <w:rPr>
          <w:rFonts w:ascii="Book Antiqua" w:hAnsi="Book Antiqua" w:cs="宋体"/>
          <w:b/>
          <w:bCs/>
          <w:sz w:val="24"/>
          <w:szCs w:val="24"/>
          <w:lang w:val="en-US" w:eastAsia="zh-CN"/>
        </w:rPr>
        <w:t>Khorana AA</w:t>
      </w:r>
      <w:r w:rsidRPr="00845A83">
        <w:rPr>
          <w:rFonts w:ascii="Book Antiqua" w:hAnsi="Book Antiqua" w:cs="宋体"/>
          <w:sz w:val="24"/>
          <w:szCs w:val="24"/>
          <w:lang w:val="en-US" w:eastAsia="zh-CN"/>
        </w:rPr>
        <w:t xml:space="preserve">, Otten HM, Zwicker JI, Connolly GC, Bancel DF, Pabinger I. Prevention of venous thromboembolism in cancer outpatients: guidance from the SSC of the ISTH. </w:t>
      </w:r>
      <w:r w:rsidRPr="00845A83">
        <w:rPr>
          <w:rFonts w:ascii="Book Antiqua" w:hAnsi="Book Antiqua" w:cs="宋体"/>
          <w:i/>
          <w:iCs/>
          <w:sz w:val="24"/>
          <w:szCs w:val="24"/>
          <w:lang w:val="en-US" w:eastAsia="zh-CN"/>
        </w:rPr>
        <w:t>J Thromb Haemost</w:t>
      </w:r>
      <w:r w:rsidRPr="00845A83">
        <w:rPr>
          <w:rFonts w:ascii="Book Antiqua" w:hAnsi="Book Antiqua" w:cs="宋体"/>
          <w:sz w:val="24"/>
          <w:szCs w:val="24"/>
          <w:lang w:val="en-US" w:eastAsia="zh-CN"/>
        </w:rPr>
        <w:t xml:space="preserve"> 2014; </w:t>
      </w:r>
      <w:r w:rsidRPr="00845A83">
        <w:rPr>
          <w:rFonts w:ascii="Book Antiqua" w:hAnsi="Book Antiqua" w:cs="宋体"/>
          <w:b/>
          <w:bCs/>
          <w:sz w:val="24"/>
          <w:szCs w:val="24"/>
          <w:lang w:val="en-US" w:eastAsia="zh-CN"/>
        </w:rPr>
        <w:t>12</w:t>
      </w:r>
      <w:r w:rsidRPr="00845A83">
        <w:rPr>
          <w:rFonts w:ascii="Book Antiqua" w:hAnsi="Book Antiqua" w:cs="宋体"/>
          <w:sz w:val="24"/>
          <w:szCs w:val="24"/>
          <w:lang w:val="en-US" w:eastAsia="zh-CN"/>
        </w:rPr>
        <w:t>: 1928-1931 [PMID: 25208230 DOI: 10.1111/jth.12725</w:t>
      </w:r>
      <w:r w:rsidR="00814DC3">
        <w:rPr>
          <w:rFonts w:ascii="Book Antiqua" w:hAnsi="Book Antiqua" w:cs="宋体" w:hint="eastAsia"/>
          <w:sz w:val="24"/>
          <w:szCs w:val="24"/>
          <w:lang w:val="en-US" w:eastAsia="zh-CN"/>
        </w:rPr>
        <w:t>]</w:t>
      </w:r>
    </w:p>
    <w:p w14:paraId="0FD63263" w14:textId="46E98EB9" w:rsidR="00845A83" w:rsidRPr="00845A83" w:rsidRDefault="00845A83" w:rsidP="00845A83">
      <w:pPr>
        <w:spacing w:after="0" w:line="360" w:lineRule="auto"/>
        <w:jc w:val="both"/>
        <w:rPr>
          <w:rFonts w:ascii="Book Antiqua" w:hAnsi="Book Antiqua" w:cs="宋体"/>
          <w:sz w:val="24"/>
          <w:szCs w:val="24"/>
          <w:lang w:val="en-US" w:eastAsia="zh-CN"/>
        </w:rPr>
      </w:pPr>
      <w:proofErr w:type="gramStart"/>
      <w:r w:rsidRPr="00845A83">
        <w:rPr>
          <w:rFonts w:ascii="Book Antiqua" w:hAnsi="Book Antiqua" w:cs="宋体"/>
          <w:sz w:val="24"/>
          <w:szCs w:val="24"/>
          <w:lang w:val="en-US" w:eastAsia="zh-CN"/>
        </w:rPr>
        <w:t xml:space="preserve">75 </w:t>
      </w:r>
      <w:r w:rsidRPr="00845A83">
        <w:rPr>
          <w:rFonts w:ascii="Book Antiqua" w:hAnsi="Book Antiqua" w:cs="宋体"/>
          <w:b/>
          <w:bCs/>
          <w:sz w:val="24"/>
          <w:szCs w:val="24"/>
          <w:lang w:val="en-US" w:eastAsia="zh-CN"/>
        </w:rPr>
        <w:t>Pabinger I</w:t>
      </w:r>
      <w:r w:rsidRPr="00845A83">
        <w:rPr>
          <w:rFonts w:ascii="Book Antiqua" w:hAnsi="Book Antiqua" w:cs="宋体"/>
          <w:sz w:val="24"/>
          <w:szCs w:val="24"/>
          <w:lang w:val="en-US" w:eastAsia="zh-CN"/>
        </w:rPr>
        <w:t>, Thaler J, Ay C. Biomarkers for prediction of venous thromboembolism in cancer.</w:t>
      </w:r>
      <w:proofErr w:type="gramEnd"/>
      <w:r w:rsidRPr="00845A83">
        <w:rPr>
          <w:rFonts w:ascii="Book Antiqua" w:hAnsi="Book Antiqua" w:cs="宋体"/>
          <w:sz w:val="24"/>
          <w:szCs w:val="24"/>
          <w:lang w:val="en-US" w:eastAsia="zh-CN"/>
        </w:rPr>
        <w:t xml:space="preserve"> </w:t>
      </w:r>
      <w:r w:rsidRPr="00845A83">
        <w:rPr>
          <w:rFonts w:ascii="Book Antiqua" w:hAnsi="Book Antiqua" w:cs="宋体"/>
          <w:i/>
          <w:iCs/>
          <w:sz w:val="24"/>
          <w:szCs w:val="24"/>
          <w:lang w:val="en-US" w:eastAsia="zh-CN"/>
        </w:rPr>
        <w:t>Blood</w:t>
      </w:r>
      <w:r w:rsidRPr="00845A83">
        <w:rPr>
          <w:rFonts w:ascii="Book Antiqua" w:hAnsi="Book Antiqua" w:cs="宋体"/>
          <w:sz w:val="24"/>
          <w:szCs w:val="24"/>
          <w:lang w:val="en-US" w:eastAsia="zh-CN"/>
        </w:rPr>
        <w:t xml:space="preserve"> 2013; </w:t>
      </w:r>
      <w:r w:rsidRPr="00845A83">
        <w:rPr>
          <w:rFonts w:ascii="Book Antiqua" w:hAnsi="Book Antiqua" w:cs="宋体"/>
          <w:b/>
          <w:bCs/>
          <w:sz w:val="24"/>
          <w:szCs w:val="24"/>
          <w:lang w:val="en-US" w:eastAsia="zh-CN"/>
        </w:rPr>
        <w:t>122</w:t>
      </w:r>
      <w:r w:rsidRPr="00845A83">
        <w:rPr>
          <w:rFonts w:ascii="Book Antiqua" w:hAnsi="Book Antiqua" w:cs="宋体"/>
          <w:sz w:val="24"/>
          <w:szCs w:val="24"/>
          <w:lang w:val="en-US" w:eastAsia="zh-CN"/>
        </w:rPr>
        <w:t xml:space="preserve">: 2011-2018 [PMID: 23908470 DOI: </w:t>
      </w:r>
      <w:r w:rsidR="00396267">
        <w:rPr>
          <w:rFonts w:ascii="Book Antiqua" w:hAnsi="Book Antiqua" w:cs="宋体"/>
          <w:sz w:val="24"/>
          <w:szCs w:val="24"/>
          <w:lang w:val="en-US" w:eastAsia="zh-CN"/>
        </w:rPr>
        <w:t>10.1182/blood-2013-04-460147]</w:t>
      </w:r>
    </w:p>
    <w:p w14:paraId="2757AC19" w14:textId="78A97F5B" w:rsidR="00845A83" w:rsidRPr="00845A83" w:rsidRDefault="00845A83" w:rsidP="00845A83">
      <w:pPr>
        <w:spacing w:after="0" w:line="360" w:lineRule="auto"/>
        <w:jc w:val="both"/>
        <w:rPr>
          <w:rFonts w:ascii="Book Antiqua" w:hAnsi="Book Antiqua" w:cs="宋体"/>
          <w:sz w:val="24"/>
          <w:szCs w:val="24"/>
          <w:lang w:val="en-US" w:eastAsia="zh-CN"/>
        </w:rPr>
      </w:pPr>
      <w:r w:rsidRPr="00845A83">
        <w:rPr>
          <w:rFonts w:ascii="Book Antiqua" w:hAnsi="Book Antiqua" w:cs="宋体"/>
          <w:sz w:val="24"/>
          <w:szCs w:val="24"/>
          <w:lang w:val="en-US" w:eastAsia="zh-CN"/>
        </w:rPr>
        <w:t xml:space="preserve">76 </w:t>
      </w:r>
      <w:r w:rsidRPr="00845A83">
        <w:rPr>
          <w:rFonts w:ascii="Book Antiqua" w:hAnsi="Book Antiqua" w:cs="宋体"/>
          <w:b/>
          <w:bCs/>
          <w:sz w:val="24"/>
          <w:szCs w:val="24"/>
          <w:lang w:val="en-US" w:eastAsia="zh-CN"/>
        </w:rPr>
        <w:t>Verso M</w:t>
      </w:r>
      <w:r w:rsidRPr="00845A83">
        <w:rPr>
          <w:rFonts w:ascii="Book Antiqua" w:hAnsi="Book Antiqua" w:cs="宋体"/>
          <w:sz w:val="24"/>
          <w:szCs w:val="24"/>
          <w:lang w:val="en-US" w:eastAsia="zh-CN"/>
        </w:rPr>
        <w:t xml:space="preserve">, Agnelli G, Barni S, Gasparini G, LaBianca R. A modified Khorana risk assessment score for venous thromboembolism in cancer patients receiving chemotherapy: the Protecht score. </w:t>
      </w:r>
      <w:r w:rsidRPr="00845A83">
        <w:rPr>
          <w:rFonts w:ascii="Book Antiqua" w:hAnsi="Book Antiqua" w:cs="宋体"/>
          <w:i/>
          <w:iCs/>
          <w:sz w:val="24"/>
          <w:szCs w:val="24"/>
          <w:lang w:val="en-US" w:eastAsia="zh-CN"/>
        </w:rPr>
        <w:t>Intern Emerg Med</w:t>
      </w:r>
      <w:r w:rsidRPr="00845A83">
        <w:rPr>
          <w:rFonts w:ascii="Book Antiqua" w:hAnsi="Book Antiqua" w:cs="宋体"/>
          <w:sz w:val="24"/>
          <w:szCs w:val="24"/>
          <w:lang w:val="en-US" w:eastAsia="zh-CN"/>
        </w:rPr>
        <w:t xml:space="preserve"> 2012; </w:t>
      </w:r>
      <w:r w:rsidRPr="00845A83">
        <w:rPr>
          <w:rFonts w:ascii="Book Antiqua" w:hAnsi="Book Antiqua" w:cs="宋体"/>
          <w:b/>
          <w:bCs/>
          <w:sz w:val="24"/>
          <w:szCs w:val="24"/>
          <w:lang w:val="en-US" w:eastAsia="zh-CN"/>
        </w:rPr>
        <w:t>7</w:t>
      </w:r>
      <w:r w:rsidRPr="00845A83">
        <w:rPr>
          <w:rFonts w:ascii="Book Antiqua" w:hAnsi="Book Antiqua" w:cs="宋体"/>
          <w:sz w:val="24"/>
          <w:szCs w:val="24"/>
          <w:lang w:val="en-US" w:eastAsia="zh-CN"/>
        </w:rPr>
        <w:t>: 291-292 [PMID: 22547369 DO</w:t>
      </w:r>
      <w:r w:rsidR="00396267">
        <w:rPr>
          <w:rFonts w:ascii="Book Antiqua" w:hAnsi="Book Antiqua" w:cs="宋体"/>
          <w:sz w:val="24"/>
          <w:szCs w:val="24"/>
          <w:lang w:val="en-US" w:eastAsia="zh-CN"/>
        </w:rPr>
        <w:t>I: 10.1007/s11739-012-0784-y]</w:t>
      </w:r>
    </w:p>
    <w:p w14:paraId="69721465" w14:textId="333AFDC9" w:rsidR="00845A83" w:rsidRPr="00845A83" w:rsidRDefault="00845A83" w:rsidP="00845A83">
      <w:pPr>
        <w:spacing w:after="0" w:line="360" w:lineRule="auto"/>
        <w:jc w:val="both"/>
        <w:rPr>
          <w:rFonts w:ascii="Book Antiqua" w:hAnsi="Book Antiqua" w:cs="宋体"/>
          <w:sz w:val="24"/>
          <w:szCs w:val="24"/>
          <w:lang w:val="en-US" w:eastAsia="zh-CN"/>
        </w:rPr>
      </w:pPr>
      <w:r w:rsidRPr="00845A83">
        <w:rPr>
          <w:rFonts w:ascii="Book Antiqua" w:hAnsi="Book Antiqua" w:cs="宋体"/>
          <w:sz w:val="24"/>
          <w:szCs w:val="24"/>
          <w:lang w:val="en-US" w:eastAsia="zh-CN"/>
        </w:rPr>
        <w:t xml:space="preserve">77 </w:t>
      </w:r>
      <w:r w:rsidRPr="00845A83">
        <w:rPr>
          <w:rFonts w:ascii="Book Antiqua" w:hAnsi="Book Antiqua" w:cs="宋体"/>
          <w:b/>
          <w:bCs/>
          <w:sz w:val="24"/>
          <w:szCs w:val="24"/>
          <w:lang w:val="en-US" w:eastAsia="zh-CN"/>
        </w:rPr>
        <w:t>Nalluri SR</w:t>
      </w:r>
      <w:r w:rsidRPr="00845A83">
        <w:rPr>
          <w:rFonts w:ascii="Book Antiqua" w:hAnsi="Book Antiqua" w:cs="宋体"/>
          <w:sz w:val="24"/>
          <w:szCs w:val="24"/>
          <w:lang w:val="en-US" w:eastAsia="zh-CN"/>
        </w:rPr>
        <w:t xml:space="preserve">, Chu D, Keresztes R, Zhu X, Wu S. Risk of venous thromboembolism with the angiogenesis inhibitor bevacizumab in cancer patients: a meta-analysis. </w:t>
      </w:r>
      <w:r w:rsidRPr="00845A83">
        <w:rPr>
          <w:rFonts w:ascii="Book Antiqua" w:hAnsi="Book Antiqua" w:cs="宋体"/>
          <w:i/>
          <w:iCs/>
          <w:sz w:val="24"/>
          <w:szCs w:val="24"/>
          <w:lang w:val="en-US" w:eastAsia="zh-CN"/>
        </w:rPr>
        <w:t>JAMA</w:t>
      </w:r>
      <w:r w:rsidRPr="00845A83">
        <w:rPr>
          <w:rFonts w:ascii="Book Antiqua" w:hAnsi="Book Antiqua" w:cs="宋体"/>
          <w:sz w:val="24"/>
          <w:szCs w:val="24"/>
          <w:lang w:val="en-US" w:eastAsia="zh-CN"/>
        </w:rPr>
        <w:t xml:space="preserve"> 2008; </w:t>
      </w:r>
      <w:r w:rsidRPr="00845A83">
        <w:rPr>
          <w:rFonts w:ascii="Book Antiqua" w:hAnsi="Book Antiqua" w:cs="宋体"/>
          <w:b/>
          <w:bCs/>
          <w:sz w:val="24"/>
          <w:szCs w:val="24"/>
          <w:lang w:val="en-US" w:eastAsia="zh-CN"/>
        </w:rPr>
        <w:t>300</w:t>
      </w:r>
      <w:r w:rsidRPr="00845A83">
        <w:rPr>
          <w:rFonts w:ascii="Book Antiqua" w:hAnsi="Book Antiqua" w:cs="宋体"/>
          <w:sz w:val="24"/>
          <w:szCs w:val="24"/>
          <w:lang w:val="en-US" w:eastAsia="zh-CN"/>
        </w:rPr>
        <w:t>: 2277-2285 [PMID: 1901791</w:t>
      </w:r>
      <w:r w:rsidR="00396267">
        <w:rPr>
          <w:rFonts w:ascii="Book Antiqua" w:hAnsi="Book Antiqua" w:cs="宋体"/>
          <w:sz w:val="24"/>
          <w:szCs w:val="24"/>
          <w:lang w:val="en-US" w:eastAsia="zh-CN"/>
        </w:rPr>
        <w:t>4 DOI: 10.1001/jama.2008.656]</w:t>
      </w:r>
    </w:p>
    <w:p w14:paraId="5885544F" w14:textId="36F2B4EE" w:rsidR="00845A83" w:rsidRPr="00845A83" w:rsidRDefault="00845A83" w:rsidP="00845A83">
      <w:pPr>
        <w:spacing w:after="0" w:line="360" w:lineRule="auto"/>
        <w:jc w:val="both"/>
        <w:rPr>
          <w:rFonts w:ascii="Book Antiqua" w:hAnsi="Book Antiqua" w:cs="宋体"/>
          <w:sz w:val="24"/>
          <w:szCs w:val="24"/>
          <w:lang w:val="en-US" w:eastAsia="zh-CN"/>
        </w:rPr>
      </w:pPr>
      <w:r w:rsidRPr="00845A83">
        <w:rPr>
          <w:rFonts w:ascii="Book Antiqua" w:hAnsi="Book Antiqua" w:cs="宋体"/>
          <w:sz w:val="24"/>
          <w:szCs w:val="24"/>
          <w:lang w:val="en-US" w:eastAsia="zh-CN"/>
        </w:rPr>
        <w:t xml:space="preserve">78 </w:t>
      </w:r>
      <w:r w:rsidRPr="00845A83">
        <w:rPr>
          <w:rFonts w:ascii="Book Antiqua" w:hAnsi="Book Antiqua" w:cs="宋体"/>
          <w:b/>
          <w:bCs/>
          <w:sz w:val="24"/>
          <w:szCs w:val="24"/>
          <w:lang w:val="en-US" w:eastAsia="zh-CN"/>
        </w:rPr>
        <w:t>Suenaga M</w:t>
      </w:r>
      <w:r w:rsidRPr="00845A83">
        <w:rPr>
          <w:rFonts w:ascii="Book Antiqua" w:hAnsi="Book Antiqua" w:cs="宋体"/>
          <w:sz w:val="24"/>
          <w:szCs w:val="24"/>
          <w:lang w:val="en-US" w:eastAsia="zh-CN"/>
        </w:rPr>
        <w:t xml:space="preserve">, Mizunuma N, Shinozaki E, Matsusaka S, Ozaka M, Ogura M, Chin K, Yamaguchi T. Anticoagulant therapy for venous thromboembolism detected by Doppler ultrasound in patients with metastatic colorectal cancer receiving bevacizumab. </w:t>
      </w:r>
      <w:r w:rsidRPr="00845A83">
        <w:rPr>
          <w:rFonts w:ascii="Book Antiqua" w:hAnsi="Book Antiqua" w:cs="宋体"/>
          <w:i/>
          <w:iCs/>
          <w:sz w:val="24"/>
          <w:szCs w:val="24"/>
          <w:lang w:val="en-US" w:eastAsia="zh-CN"/>
        </w:rPr>
        <w:t>Onco Targets Ther</w:t>
      </w:r>
      <w:r w:rsidRPr="00845A83">
        <w:rPr>
          <w:rFonts w:ascii="Book Antiqua" w:hAnsi="Book Antiqua" w:cs="宋体"/>
          <w:sz w:val="24"/>
          <w:szCs w:val="24"/>
          <w:lang w:val="en-US" w:eastAsia="zh-CN"/>
        </w:rPr>
        <w:t xml:space="preserve"> 2015; </w:t>
      </w:r>
      <w:r w:rsidRPr="00845A83">
        <w:rPr>
          <w:rFonts w:ascii="Book Antiqua" w:hAnsi="Book Antiqua" w:cs="宋体"/>
          <w:b/>
          <w:bCs/>
          <w:sz w:val="24"/>
          <w:szCs w:val="24"/>
          <w:lang w:val="en-US" w:eastAsia="zh-CN"/>
        </w:rPr>
        <w:t>8</w:t>
      </w:r>
      <w:r w:rsidRPr="00845A83">
        <w:rPr>
          <w:rFonts w:ascii="Book Antiqua" w:hAnsi="Book Antiqua" w:cs="宋体"/>
          <w:sz w:val="24"/>
          <w:szCs w:val="24"/>
          <w:lang w:val="en-US" w:eastAsia="zh-CN"/>
        </w:rPr>
        <w:t>: 243-249 [PMID: 2567</w:t>
      </w:r>
      <w:r w:rsidR="00396267">
        <w:rPr>
          <w:rFonts w:ascii="Book Antiqua" w:hAnsi="Book Antiqua" w:cs="宋体"/>
          <w:sz w:val="24"/>
          <w:szCs w:val="24"/>
          <w:lang w:val="en-US" w:eastAsia="zh-CN"/>
        </w:rPr>
        <w:t>0906 DOI: 10.2147/OTT.S75722]</w:t>
      </w:r>
    </w:p>
    <w:p w14:paraId="0E0050F0" w14:textId="77777777" w:rsidR="00845A83" w:rsidRPr="00845A83" w:rsidRDefault="00845A83" w:rsidP="00845A83">
      <w:pPr>
        <w:spacing w:after="0" w:line="360" w:lineRule="auto"/>
        <w:jc w:val="both"/>
        <w:rPr>
          <w:rFonts w:ascii="Book Antiqua" w:hAnsi="Book Antiqua" w:cs="宋体"/>
          <w:sz w:val="24"/>
          <w:szCs w:val="24"/>
          <w:lang w:val="en-US" w:eastAsia="zh-CN"/>
        </w:rPr>
      </w:pPr>
      <w:r w:rsidRPr="00845A83">
        <w:rPr>
          <w:rFonts w:ascii="Book Antiqua" w:hAnsi="Book Antiqua" w:cs="宋体"/>
          <w:sz w:val="24"/>
          <w:szCs w:val="24"/>
          <w:lang w:val="en-US" w:eastAsia="zh-CN"/>
        </w:rPr>
        <w:t xml:space="preserve">79 </w:t>
      </w:r>
      <w:r w:rsidRPr="00396267">
        <w:rPr>
          <w:rFonts w:ascii="Book Antiqua" w:hAnsi="Book Antiqua" w:cs="宋体"/>
          <w:b/>
          <w:sz w:val="24"/>
          <w:szCs w:val="24"/>
          <w:lang w:val="en-US" w:eastAsia="zh-CN"/>
        </w:rPr>
        <w:t>Hingorani S r.</w:t>
      </w:r>
      <w:r w:rsidRPr="00845A83">
        <w:rPr>
          <w:rFonts w:ascii="Book Antiqua" w:hAnsi="Book Antiqua" w:cs="宋体"/>
          <w:sz w:val="24"/>
          <w:szCs w:val="24"/>
          <w:lang w:val="en-US" w:eastAsia="zh-CN"/>
        </w:rPr>
        <w:t>, Harris WP, Hendifar AE, Bullock AJ, Wu XW, Huang Y, Ping Jiang. High response rate and PFS with PEGPH20 added to nab-paclitaxel/gemcitabine in stage IV previously untreated pancreatic cancer patients with high-HA tumors: Interim results of a randomized phase II study.</w:t>
      </w:r>
      <w:r w:rsidRPr="00396267">
        <w:rPr>
          <w:rFonts w:ascii="Book Antiqua" w:hAnsi="Book Antiqua" w:cs="宋体"/>
          <w:i/>
          <w:sz w:val="24"/>
          <w:szCs w:val="24"/>
          <w:lang w:val="en-US" w:eastAsia="zh-CN"/>
        </w:rPr>
        <w:t xml:space="preserve"> J Clin Oncol</w:t>
      </w:r>
      <w:r w:rsidRPr="00845A83">
        <w:rPr>
          <w:rFonts w:ascii="Book Antiqua" w:hAnsi="Book Antiqua" w:cs="宋体"/>
          <w:sz w:val="24"/>
          <w:szCs w:val="24"/>
          <w:lang w:val="en-US" w:eastAsia="zh-CN"/>
        </w:rPr>
        <w:t xml:space="preserve"> 2015 (suppl 33; abstr 4006)</w:t>
      </w:r>
    </w:p>
    <w:p w14:paraId="3D2DD2CA" w14:textId="5F533CC8" w:rsidR="00845A83" w:rsidRPr="00845A83" w:rsidRDefault="00845A83" w:rsidP="00845A83">
      <w:pPr>
        <w:spacing w:after="0" w:line="360" w:lineRule="auto"/>
        <w:jc w:val="both"/>
        <w:rPr>
          <w:rFonts w:ascii="Book Antiqua" w:hAnsi="Book Antiqua" w:cs="宋体"/>
          <w:sz w:val="24"/>
          <w:szCs w:val="24"/>
          <w:lang w:val="en-US" w:eastAsia="zh-CN"/>
        </w:rPr>
      </w:pPr>
      <w:r w:rsidRPr="00845A83">
        <w:rPr>
          <w:rFonts w:ascii="Book Antiqua" w:hAnsi="Book Antiqua" w:cs="宋体"/>
          <w:sz w:val="24"/>
          <w:szCs w:val="24"/>
          <w:lang w:val="en-US" w:eastAsia="zh-CN"/>
        </w:rPr>
        <w:t xml:space="preserve">80 </w:t>
      </w:r>
      <w:r w:rsidRPr="00396267">
        <w:rPr>
          <w:rFonts w:ascii="Book Antiqua" w:hAnsi="Book Antiqua" w:cs="宋体"/>
          <w:b/>
          <w:sz w:val="24"/>
          <w:szCs w:val="24"/>
          <w:lang w:val="en-US" w:eastAsia="zh-CN"/>
        </w:rPr>
        <w:t>Lee A</w:t>
      </w:r>
      <w:r w:rsidRPr="00845A83">
        <w:rPr>
          <w:rFonts w:ascii="Book Antiqua" w:hAnsi="Book Antiqua" w:cs="宋体"/>
          <w:sz w:val="24"/>
          <w:szCs w:val="24"/>
          <w:lang w:val="en-US" w:eastAsia="zh-CN"/>
        </w:rPr>
        <w:t>, Kamphuisen W, Meyer G, Bauersachs R, Janas MS, Jarner MF, Khorana AA. A randomized trial of longterm tinzaparin a low molecular weight heparin versus warfarin for treatment of acute venous thromboembolism in cancer patients - the CATCH study. 2014 ASH Annual Meeting Abstracts Blood</w:t>
      </w:r>
      <w:r w:rsidR="00396267">
        <w:rPr>
          <w:rFonts w:ascii="Book Antiqua" w:hAnsi="Book Antiqua" w:cs="宋体" w:hint="eastAsia"/>
          <w:sz w:val="24"/>
          <w:szCs w:val="24"/>
          <w:lang w:val="en-US" w:eastAsia="zh-CN"/>
        </w:rPr>
        <w:t>,</w:t>
      </w:r>
      <w:r w:rsidRPr="00845A83">
        <w:rPr>
          <w:rFonts w:ascii="Book Antiqua" w:hAnsi="Book Antiqua" w:cs="宋体"/>
          <w:sz w:val="24"/>
          <w:szCs w:val="24"/>
          <w:lang w:val="en-US" w:eastAsia="zh-CN"/>
        </w:rPr>
        <w:t xml:space="preserve"> 2014</w:t>
      </w:r>
      <w:r w:rsidR="00396267">
        <w:rPr>
          <w:rFonts w:ascii="Book Antiqua" w:hAnsi="Book Antiqua" w:cs="宋体" w:hint="eastAsia"/>
          <w:sz w:val="24"/>
          <w:szCs w:val="24"/>
          <w:lang w:val="en-US" w:eastAsia="zh-CN"/>
        </w:rPr>
        <w:t>;</w:t>
      </w:r>
      <w:r w:rsidR="00D36884">
        <w:rPr>
          <w:rFonts w:ascii="Book Antiqua" w:hAnsi="Book Antiqua" w:cs="宋体" w:hint="eastAsia"/>
          <w:sz w:val="24"/>
          <w:szCs w:val="24"/>
          <w:lang w:val="en-US" w:eastAsia="zh-CN"/>
        </w:rPr>
        <w:t xml:space="preserve"> </w:t>
      </w:r>
      <w:r w:rsidRPr="00845A83">
        <w:rPr>
          <w:rFonts w:ascii="Book Antiqua" w:hAnsi="Book Antiqua" w:cs="宋体"/>
          <w:sz w:val="24"/>
          <w:szCs w:val="24"/>
          <w:lang w:val="en-US" w:eastAsia="zh-CN"/>
        </w:rPr>
        <w:t>LBA-2</w:t>
      </w:r>
      <w:r w:rsidR="00396267">
        <w:rPr>
          <w:rFonts w:ascii="Book Antiqua" w:hAnsi="Book Antiqua" w:cs="宋体" w:hint="eastAsia"/>
          <w:sz w:val="24"/>
          <w:szCs w:val="24"/>
          <w:lang w:val="en-US" w:eastAsia="zh-CN"/>
        </w:rPr>
        <w:t>:</w:t>
      </w:r>
      <w:r w:rsidRPr="00845A83">
        <w:rPr>
          <w:rFonts w:ascii="Book Antiqua" w:hAnsi="Book Antiqua" w:cs="宋体"/>
          <w:sz w:val="24"/>
          <w:szCs w:val="24"/>
          <w:lang w:val="en-US" w:eastAsia="zh-CN"/>
        </w:rPr>
        <w:t xml:space="preserve"> 2</w:t>
      </w:r>
    </w:p>
    <w:p w14:paraId="21FC73CA" w14:textId="06F1684B" w:rsidR="00845A83" w:rsidRPr="00845A83" w:rsidRDefault="00845A83" w:rsidP="00845A83">
      <w:pPr>
        <w:spacing w:after="0" w:line="360" w:lineRule="auto"/>
        <w:jc w:val="both"/>
        <w:rPr>
          <w:rFonts w:ascii="Book Antiqua" w:hAnsi="Book Antiqua" w:cs="宋体"/>
          <w:sz w:val="24"/>
          <w:szCs w:val="24"/>
          <w:lang w:val="en-US" w:eastAsia="zh-CN"/>
        </w:rPr>
      </w:pPr>
      <w:r w:rsidRPr="00845A83">
        <w:rPr>
          <w:rFonts w:ascii="Book Antiqua" w:hAnsi="Book Antiqua" w:cs="宋体"/>
          <w:sz w:val="24"/>
          <w:szCs w:val="24"/>
          <w:lang w:val="en-US" w:eastAsia="zh-CN"/>
        </w:rPr>
        <w:lastRenderedPageBreak/>
        <w:t xml:space="preserve">81 </w:t>
      </w:r>
      <w:r w:rsidRPr="00845A83">
        <w:rPr>
          <w:rFonts w:ascii="Book Antiqua" w:hAnsi="Book Antiqua" w:cs="宋体"/>
          <w:b/>
          <w:bCs/>
          <w:sz w:val="24"/>
          <w:szCs w:val="24"/>
          <w:lang w:val="en-US" w:eastAsia="zh-CN"/>
        </w:rPr>
        <w:t>Lee AY</w:t>
      </w:r>
      <w:r w:rsidRPr="00845A83">
        <w:rPr>
          <w:rFonts w:ascii="Book Antiqua" w:hAnsi="Book Antiqua" w:cs="宋体"/>
          <w:sz w:val="24"/>
          <w:szCs w:val="24"/>
          <w:lang w:val="en-US" w:eastAsia="zh-CN"/>
        </w:rPr>
        <w:t xml:space="preserve">, Levine MN, Baker RI, Bowden C, Kakkar AK, Prins M, Rickles FR, Julian JA, Haley S, Kovacs MJ, Gent M. Low-molecular-weight heparin versus a coumarin for the prevention of recurrent venous thromboembolism in patients with cancer. </w:t>
      </w:r>
      <w:r w:rsidRPr="00845A83">
        <w:rPr>
          <w:rFonts w:ascii="Book Antiqua" w:hAnsi="Book Antiqua" w:cs="宋体"/>
          <w:i/>
          <w:iCs/>
          <w:sz w:val="24"/>
          <w:szCs w:val="24"/>
          <w:lang w:val="en-US" w:eastAsia="zh-CN"/>
        </w:rPr>
        <w:t>N Engl J Med</w:t>
      </w:r>
      <w:r w:rsidRPr="00845A83">
        <w:rPr>
          <w:rFonts w:ascii="Book Antiqua" w:hAnsi="Book Antiqua" w:cs="宋体"/>
          <w:sz w:val="24"/>
          <w:szCs w:val="24"/>
          <w:lang w:val="en-US" w:eastAsia="zh-CN"/>
        </w:rPr>
        <w:t xml:space="preserve"> 2003; </w:t>
      </w:r>
      <w:r w:rsidRPr="00845A83">
        <w:rPr>
          <w:rFonts w:ascii="Book Antiqua" w:hAnsi="Book Antiqua" w:cs="宋体"/>
          <w:b/>
          <w:bCs/>
          <w:sz w:val="24"/>
          <w:szCs w:val="24"/>
          <w:lang w:val="en-US" w:eastAsia="zh-CN"/>
        </w:rPr>
        <w:t>349</w:t>
      </w:r>
      <w:r w:rsidRPr="00845A83">
        <w:rPr>
          <w:rFonts w:ascii="Book Antiqua" w:hAnsi="Book Antiqua" w:cs="宋体"/>
          <w:sz w:val="24"/>
          <w:szCs w:val="24"/>
          <w:lang w:val="en-US" w:eastAsia="zh-CN"/>
        </w:rPr>
        <w:t>: 146-153 [PMID: 128535</w:t>
      </w:r>
      <w:r w:rsidR="00396267">
        <w:rPr>
          <w:rFonts w:ascii="Book Antiqua" w:hAnsi="Book Antiqua" w:cs="宋体"/>
          <w:sz w:val="24"/>
          <w:szCs w:val="24"/>
          <w:lang w:val="en-US" w:eastAsia="zh-CN"/>
        </w:rPr>
        <w:t>87 DOI: 10.1056/NEJMoa025313]</w:t>
      </w:r>
    </w:p>
    <w:p w14:paraId="6CF2CF24" w14:textId="3304E1A6" w:rsidR="00845A83" w:rsidRPr="00845A83" w:rsidRDefault="00845A83" w:rsidP="00845A83">
      <w:pPr>
        <w:spacing w:after="0" w:line="360" w:lineRule="auto"/>
        <w:jc w:val="both"/>
        <w:rPr>
          <w:rFonts w:ascii="Book Antiqua" w:hAnsi="Book Antiqua" w:cs="宋体"/>
          <w:sz w:val="24"/>
          <w:szCs w:val="24"/>
          <w:lang w:val="en-US" w:eastAsia="zh-CN"/>
        </w:rPr>
      </w:pPr>
      <w:proofErr w:type="gramStart"/>
      <w:r w:rsidRPr="00845A83">
        <w:rPr>
          <w:rFonts w:ascii="Book Antiqua" w:hAnsi="Book Antiqua" w:cs="宋体"/>
          <w:sz w:val="24"/>
          <w:szCs w:val="24"/>
          <w:lang w:val="en-US" w:eastAsia="zh-CN"/>
        </w:rPr>
        <w:t xml:space="preserve">82 </w:t>
      </w:r>
      <w:r w:rsidRPr="00845A83">
        <w:rPr>
          <w:rFonts w:ascii="Book Antiqua" w:hAnsi="Book Antiqua" w:cs="宋体"/>
          <w:b/>
          <w:bCs/>
          <w:sz w:val="24"/>
          <w:szCs w:val="24"/>
          <w:lang w:val="en-US" w:eastAsia="zh-CN"/>
        </w:rPr>
        <w:t>Noble S</w:t>
      </w:r>
      <w:r w:rsidRPr="00845A83">
        <w:rPr>
          <w:rFonts w:ascii="Book Antiqua" w:hAnsi="Book Antiqua" w:cs="宋体"/>
          <w:sz w:val="24"/>
          <w:szCs w:val="24"/>
          <w:lang w:val="en-US" w:eastAsia="zh-CN"/>
        </w:rPr>
        <w:t>.</w:t>
      </w:r>
      <w:proofErr w:type="gramEnd"/>
      <w:r w:rsidRPr="00845A83">
        <w:rPr>
          <w:rFonts w:ascii="Book Antiqua" w:hAnsi="Book Antiqua" w:cs="宋体"/>
          <w:sz w:val="24"/>
          <w:szCs w:val="24"/>
          <w:lang w:val="en-US" w:eastAsia="zh-CN"/>
        </w:rPr>
        <w:t xml:space="preserve"> The challenges of managing cancer related venous thromboembolism in the palliative care setting. </w:t>
      </w:r>
      <w:r w:rsidRPr="00845A83">
        <w:rPr>
          <w:rFonts w:ascii="Book Antiqua" w:hAnsi="Book Antiqua" w:cs="宋体"/>
          <w:i/>
          <w:iCs/>
          <w:sz w:val="24"/>
          <w:szCs w:val="24"/>
          <w:lang w:val="en-US" w:eastAsia="zh-CN"/>
        </w:rPr>
        <w:t>Postgrad Med J</w:t>
      </w:r>
      <w:r w:rsidRPr="00845A83">
        <w:rPr>
          <w:rFonts w:ascii="Book Antiqua" w:hAnsi="Book Antiqua" w:cs="宋体"/>
          <w:sz w:val="24"/>
          <w:szCs w:val="24"/>
          <w:lang w:val="en-US" w:eastAsia="zh-CN"/>
        </w:rPr>
        <w:t xml:space="preserve"> 2007; </w:t>
      </w:r>
      <w:r w:rsidRPr="00845A83">
        <w:rPr>
          <w:rFonts w:ascii="Book Antiqua" w:hAnsi="Book Antiqua" w:cs="宋体"/>
          <w:b/>
          <w:bCs/>
          <w:sz w:val="24"/>
          <w:szCs w:val="24"/>
          <w:lang w:val="en-US" w:eastAsia="zh-CN"/>
        </w:rPr>
        <w:t>83</w:t>
      </w:r>
      <w:r w:rsidRPr="00845A83">
        <w:rPr>
          <w:rFonts w:ascii="Book Antiqua" w:hAnsi="Book Antiqua" w:cs="宋体"/>
          <w:sz w:val="24"/>
          <w:szCs w:val="24"/>
          <w:lang w:val="en-US" w:eastAsia="zh-CN"/>
        </w:rPr>
        <w:t>: 671-674 [PMID: 17989265 D</w:t>
      </w:r>
      <w:r w:rsidR="00396267">
        <w:rPr>
          <w:rFonts w:ascii="Book Antiqua" w:hAnsi="Book Antiqua" w:cs="宋体"/>
          <w:sz w:val="24"/>
          <w:szCs w:val="24"/>
          <w:lang w:val="en-US" w:eastAsia="zh-CN"/>
        </w:rPr>
        <w:t>OI: 10.1136/pgmj.2007.061622]</w:t>
      </w:r>
    </w:p>
    <w:p w14:paraId="3A019236" w14:textId="773CEF4E" w:rsidR="00845A83" w:rsidRPr="00845A83" w:rsidRDefault="00845A83" w:rsidP="00845A83">
      <w:pPr>
        <w:spacing w:after="0" w:line="360" w:lineRule="auto"/>
        <w:jc w:val="both"/>
        <w:rPr>
          <w:rFonts w:ascii="Book Antiqua" w:hAnsi="Book Antiqua" w:cs="宋体"/>
          <w:sz w:val="24"/>
          <w:szCs w:val="24"/>
          <w:lang w:val="en-US" w:eastAsia="zh-CN"/>
        </w:rPr>
      </w:pPr>
      <w:proofErr w:type="gramStart"/>
      <w:r w:rsidRPr="00845A83">
        <w:rPr>
          <w:rFonts w:ascii="Book Antiqua" w:hAnsi="Book Antiqua" w:cs="宋体"/>
          <w:sz w:val="24"/>
          <w:szCs w:val="24"/>
          <w:lang w:val="en-US" w:eastAsia="zh-CN"/>
        </w:rPr>
        <w:t xml:space="preserve">83 </w:t>
      </w:r>
      <w:r w:rsidRPr="00845A83">
        <w:rPr>
          <w:rFonts w:ascii="Book Antiqua" w:hAnsi="Book Antiqua" w:cs="宋体"/>
          <w:b/>
          <w:bCs/>
          <w:sz w:val="24"/>
          <w:szCs w:val="24"/>
          <w:lang w:val="en-US" w:eastAsia="zh-CN"/>
        </w:rPr>
        <w:t>Johnson MJ</w:t>
      </w:r>
      <w:r w:rsidRPr="00845A83">
        <w:rPr>
          <w:rFonts w:ascii="Book Antiqua" w:hAnsi="Book Antiqua" w:cs="宋体"/>
          <w:sz w:val="24"/>
          <w:szCs w:val="24"/>
          <w:lang w:val="en-US" w:eastAsia="zh-CN"/>
        </w:rPr>
        <w:t>.</w:t>
      </w:r>
      <w:proofErr w:type="gramEnd"/>
      <w:r w:rsidRPr="00845A83">
        <w:rPr>
          <w:rFonts w:ascii="Book Antiqua" w:hAnsi="Book Antiqua" w:cs="宋体"/>
          <w:sz w:val="24"/>
          <w:szCs w:val="24"/>
          <w:lang w:val="en-US" w:eastAsia="zh-CN"/>
        </w:rPr>
        <w:t xml:space="preserve"> Problems of anticoagulation within a palliative care setting: an audit of hospice patients taking warfarin. </w:t>
      </w:r>
      <w:r w:rsidRPr="00845A83">
        <w:rPr>
          <w:rFonts w:ascii="Book Antiqua" w:hAnsi="Book Antiqua" w:cs="宋体"/>
          <w:i/>
          <w:iCs/>
          <w:sz w:val="24"/>
          <w:szCs w:val="24"/>
          <w:lang w:val="en-US" w:eastAsia="zh-CN"/>
        </w:rPr>
        <w:t>Palliat Med</w:t>
      </w:r>
      <w:r w:rsidRPr="00845A83">
        <w:rPr>
          <w:rFonts w:ascii="Book Antiqua" w:hAnsi="Book Antiqua" w:cs="宋体"/>
          <w:sz w:val="24"/>
          <w:szCs w:val="24"/>
          <w:lang w:val="en-US" w:eastAsia="zh-CN"/>
        </w:rPr>
        <w:t xml:space="preserve"> 1997; </w:t>
      </w:r>
      <w:r w:rsidRPr="00845A83">
        <w:rPr>
          <w:rFonts w:ascii="Book Antiqua" w:hAnsi="Book Antiqua" w:cs="宋体"/>
          <w:b/>
          <w:bCs/>
          <w:sz w:val="24"/>
          <w:szCs w:val="24"/>
          <w:lang w:val="en-US" w:eastAsia="zh-CN"/>
        </w:rPr>
        <w:t>11</w:t>
      </w:r>
      <w:r w:rsidRPr="00845A83">
        <w:rPr>
          <w:rFonts w:ascii="Book Antiqua" w:hAnsi="Book Antiqua" w:cs="宋体"/>
          <w:sz w:val="24"/>
          <w:szCs w:val="24"/>
          <w:lang w:val="en-US" w:eastAsia="zh-CN"/>
        </w:rPr>
        <w:t>: 306-312 [PMID: 9373582 DOI: 10.1177/0269</w:t>
      </w:r>
      <w:r w:rsidR="00396267">
        <w:rPr>
          <w:rFonts w:ascii="Book Antiqua" w:hAnsi="Book Antiqua" w:cs="宋体"/>
          <w:sz w:val="24"/>
          <w:szCs w:val="24"/>
          <w:lang w:val="en-US" w:eastAsia="zh-CN"/>
        </w:rPr>
        <w:t>21639701100407]</w:t>
      </w:r>
    </w:p>
    <w:p w14:paraId="6952FE4D" w14:textId="77777777" w:rsidR="00845A83" w:rsidRPr="00845A83" w:rsidRDefault="00845A83" w:rsidP="00845A83">
      <w:pPr>
        <w:spacing w:after="0" w:line="360" w:lineRule="auto"/>
        <w:jc w:val="both"/>
        <w:rPr>
          <w:rFonts w:ascii="Book Antiqua" w:hAnsi="Book Antiqua" w:cs="宋体"/>
          <w:sz w:val="24"/>
          <w:szCs w:val="24"/>
          <w:lang w:val="en-US" w:eastAsia="zh-CN"/>
        </w:rPr>
      </w:pPr>
      <w:proofErr w:type="gramStart"/>
      <w:r w:rsidRPr="00845A83">
        <w:rPr>
          <w:rFonts w:ascii="Book Antiqua" w:hAnsi="Book Antiqua" w:cs="宋体"/>
          <w:sz w:val="24"/>
          <w:szCs w:val="24"/>
          <w:lang w:val="en-US" w:eastAsia="zh-CN"/>
        </w:rPr>
        <w:t xml:space="preserve">84 </w:t>
      </w:r>
      <w:r w:rsidRPr="00845A83">
        <w:rPr>
          <w:rFonts w:ascii="Book Antiqua" w:hAnsi="Book Antiqua" w:cs="宋体"/>
          <w:b/>
          <w:bCs/>
          <w:sz w:val="24"/>
          <w:szCs w:val="24"/>
          <w:lang w:val="en-US" w:eastAsia="zh-CN"/>
        </w:rPr>
        <w:t>Lee AY</w:t>
      </w:r>
      <w:r w:rsidRPr="00845A83">
        <w:rPr>
          <w:rFonts w:ascii="Book Antiqua" w:hAnsi="Book Antiqua" w:cs="宋体"/>
          <w:sz w:val="24"/>
          <w:szCs w:val="24"/>
          <w:lang w:val="en-US" w:eastAsia="zh-CN"/>
        </w:rPr>
        <w:t>.</w:t>
      </w:r>
      <w:proofErr w:type="gramEnd"/>
      <w:r w:rsidRPr="00845A83">
        <w:rPr>
          <w:rFonts w:ascii="Book Antiqua" w:hAnsi="Book Antiqua" w:cs="宋体"/>
          <w:sz w:val="24"/>
          <w:szCs w:val="24"/>
          <w:lang w:val="en-US" w:eastAsia="zh-CN"/>
        </w:rPr>
        <w:t xml:space="preserve"> Thrombosis in cancer: an update on prevention, treatment, and survival benefits of anticoagulants. </w:t>
      </w:r>
      <w:r w:rsidRPr="00845A83">
        <w:rPr>
          <w:rFonts w:ascii="Book Antiqua" w:hAnsi="Book Antiqua" w:cs="宋体"/>
          <w:i/>
          <w:iCs/>
          <w:sz w:val="24"/>
          <w:szCs w:val="24"/>
          <w:lang w:val="en-US" w:eastAsia="zh-CN"/>
        </w:rPr>
        <w:t>Hematology Am Soc Hematol Educ Program</w:t>
      </w:r>
      <w:r w:rsidRPr="00845A83">
        <w:rPr>
          <w:rFonts w:ascii="Book Antiqua" w:hAnsi="Book Antiqua" w:cs="宋体"/>
          <w:sz w:val="24"/>
          <w:szCs w:val="24"/>
          <w:lang w:val="en-US" w:eastAsia="zh-CN"/>
        </w:rPr>
        <w:t xml:space="preserve"> 2010; </w:t>
      </w:r>
      <w:r w:rsidRPr="00845A83">
        <w:rPr>
          <w:rFonts w:ascii="Book Antiqua" w:hAnsi="Book Antiqua" w:cs="宋体"/>
          <w:b/>
          <w:bCs/>
          <w:sz w:val="24"/>
          <w:szCs w:val="24"/>
          <w:lang w:val="en-US" w:eastAsia="zh-CN"/>
        </w:rPr>
        <w:t>2010</w:t>
      </w:r>
      <w:r w:rsidRPr="00845A83">
        <w:rPr>
          <w:rFonts w:ascii="Book Antiqua" w:hAnsi="Book Antiqua" w:cs="宋体"/>
          <w:sz w:val="24"/>
          <w:szCs w:val="24"/>
          <w:lang w:val="en-US" w:eastAsia="zh-CN"/>
        </w:rPr>
        <w:t>: 144-149 [PMID: 21239784 DOI: 10.1182/asheducation-2010.1.144]</w:t>
      </w:r>
    </w:p>
    <w:p w14:paraId="2FF2C443" w14:textId="77777777" w:rsidR="00845A83" w:rsidRPr="00845A83" w:rsidRDefault="00845A83" w:rsidP="00845A83">
      <w:pPr>
        <w:spacing w:after="0" w:line="360" w:lineRule="auto"/>
        <w:jc w:val="both"/>
        <w:rPr>
          <w:rFonts w:ascii="Book Antiqua" w:hAnsi="Book Antiqua" w:cs="宋体"/>
          <w:sz w:val="24"/>
          <w:szCs w:val="24"/>
          <w:lang w:val="en-US" w:eastAsia="zh-CN"/>
        </w:rPr>
      </w:pPr>
      <w:r w:rsidRPr="00845A83">
        <w:rPr>
          <w:rFonts w:ascii="Book Antiqua" w:hAnsi="Book Antiqua" w:cs="宋体"/>
          <w:sz w:val="24"/>
          <w:szCs w:val="24"/>
          <w:lang w:val="en-US" w:eastAsia="zh-CN"/>
        </w:rPr>
        <w:t xml:space="preserve">85 </w:t>
      </w:r>
      <w:r w:rsidRPr="00845A83">
        <w:rPr>
          <w:rFonts w:ascii="Book Antiqua" w:hAnsi="Book Antiqua" w:cs="宋体"/>
          <w:b/>
          <w:bCs/>
          <w:sz w:val="24"/>
          <w:szCs w:val="24"/>
          <w:lang w:val="en-US" w:eastAsia="zh-CN"/>
        </w:rPr>
        <w:t>Pirisi M</w:t>
      </w:r>
      <w:r w:rsidRPr="00845A83">
        <w:rPr>
          <w:rFonts w:ascii="Book Antiqua" w:hAnsi="Book Antiqua" w:cs="宋体"/>
          <w:sz w:val="24"/>
          <w:szCs w:val="24"/>
          <w:lang w:val="en-US" w:eastAsia="zh-CN"/>
        </w:rPr>
        <w:t xml:space="preserve">, Avellini C, Fabris C, Scott C, Bardus P, Soardo G, Beltrami CA, Bartoli E. Portal vein thrombosis in hepatocellular carcinoma: age and sex distribution in an autopsy study. </w:t>
      </w:r>
      <w:r w:rsidRPr="00845A83">
        <w:rPr>
          <w:rFonts w:ascii="Book Antiqua" w:hAnsi="Book Antiqua" w:cs="宋体"/>
          <w:i/>
          <w:iCs/>
          <w:sz w:val="24"/>
          <w:szCs w:val="24"/>
          <w:lang w:val="en-US" w:eastAsia="zh-CN"/>
        </w:rPr>
        <w:t>J Cancer Res Clin Oncol</w:t>
      </w:r>
      <w:r w:rsidRPr="00845A83">
        <w:rPr>
          <w:rFonts w:ascii="Book Antiqua" w:hAnsi="Book Antiqua" w:cs="宋体"/>
          <w:sz w:val="24"/>
          <w:szCs w:val="24"/>
          <w:lang w:val="en-US" w:eastAsia="zh-CN"/>
        </w:rPr>
        <w:t xml:space="preserve"> 1998; </w:t>
      </w:r>
      <w:r w:rsidRPr="00845A83">
        <w:rPr>
          <w:rFonts w:ascii="Book Antiqua" w:hAnsi="Book Antiqua" w:cs="宋体"/>
          <w:b/>
          <w:bCs/>
          <w:sz w:val="24"/>
          <w:szCs w:val="24"/>
          <w:lang w:val="en-US" w:eastAsia="zh-CN"/>
        </w:rPr>
        <w:t>124</w:t>
      </w:r>
      <w:r w:rsidRPr="00845A83">
        <w:rPr>
          <w:rFonts w:ascii="Book Antiqua" w:hAnsi="Book Antiqua" w:cs="宋体"/>
          <w:sz w:val="24"/>
          <w:szCs w:val="24"/>
          <w:lang w:val="en-US" w:eastAsia="zh-CN"/>
        </w:rPr>
        <w:t>: 397-400 [PMID: 9719503]</w:t>
      </w:r>
    </w:p>
    <w:p w14:paraId="0F601496" w14:textId="6990D8A1" w:rsidR="00845A83" w:rsidRPr="00845A83" w:rsidRDefault="00845A83" w:rsidP="00845A83">
      <w:pPr>
        <w:spacing w:after="0" w:line="360" w:lineRule="auto"/>
        <w:jc w:val="both"/>
        <w:rPr>
          <w:rFonts w:ascii="Book Antiqua" w:hAnsi="Book Antiqua" w:cs="宋体"/>
          <w:sz w:val="24"/>
          <w:szCs w:val="24"/>
          <w:lang w:val="en-US" w:eastAsia="zh-CN"/>
        </w:rPr>
      </w:pPr>
      <w:r w:rsidRPr="00845A83">
        <w:rPr>
          <w:rFonts w:ascii="Book Antiqua" w:hAnsi="Book Antiqua" w:cs="宋体"/>
          <w:sz w:val="24"/>
          <w:szCs w:val="24"/>
          <w:lang w:val="en-US" w:eastAsia="zh-CN"/>
        </w:rPr>
        <w:t xml:space="preserve">86 </w:t>
      </w:r>
      <w:r w:rsidRPr="00845A83">
        <w:rPr>
          <w:rFonts w:ascii="Book Antiqua" w:hAnsi="Book Antiqua" w:cs="宋体"/>
          <w:b/>
          <w:bCs/>
          <w:sz w:val="24"/>
          <w:szCs w:val="24"/>
          <w:lang w:val="en-US" w:eastAsia="zh-CN"/>
        </w:rPr>
        <w:t>Rodriguez-Castro KI</w:t>
      </w:r>
      <w:r w:rsidRPr="00845A83">
        <w:rPr>
          <w:rFonts w:ascii="Book Antiqua" w:hAnsi="Book Antiqua" w:cs="宋体"/>
          <w:sz w:val="24"/>
          <w:szCs w:val="24"/>
          <w:lang w:val="en-US" w:eastAsia="zh-CN"/>
        </w:rPr>
        <w:t xml:space="preserve">, Simioni P, Burra P, Senzolo M. Anticoagulation for the treatment of thrombotic complications in patients with cirrhosis. </w:t>
      </w:r>
      <w:r w:rsidRPr="00845A83">
        <w:rPr>
          <w:rFonts w:ascii="Book Antiqua" w:hAnsi="Book Antiqua" w:cs="宋体"/>
          <w:i/>
          <w:iCs/>
          <w:sz w:val="24"/>
          <w:szCs w:val="24"/>
          <w:lang w:val="en-US" w:eastAsia="zh-CN"/>
        </w:rPr>
        <w:t>Liver Int</w:t>
      </w:r>
      <w:r w:rsidRPr="00845A83">
        <w:rPr>
          <w:rFonts w:ascii="Book Antiqua" w:hAnsi="Book Antiqua" w:cs="宋体"/>
          <w:sz w:val="24"/>
          <w:szCs w:val="24"/>
          <w:lang w:val="en-US" w:eastAsia="zh-CN"/>
        </w:rPr>
        <w:t xml:space="preserve"> 2012; </w:t>
      </w:r>
      <w:r w:rsidRPr="00845A83">
        <w:rPr>
          <w:rFonts w:ascii="Book Antiqua" w:hAnsi="Book Antiqua" w:cs="宋体"/>
          <w:b/>
          <w:bCs/>
          <w:sz w:val="24"/>
          <w:szCs w:val="24"/>
          <w:lang w:val="en-US" w:eastAsia="zh-CN"/>
        </w:rPr>
        <w:t>32</w:t>
      </w:r>
      <w:r w:rsidRPr="00845A83">
        <w:rPr>
          <w:rFonts w:ascii="Book Antiqua" w:hAnsi="Book Antiqua" w:cs="宋体"/>
          <w:sz w:val="24"/>
          <w:szCs w:val="24"/>
          <w:lang w:val="en-US" w:eastAsia="zh-CN"/>
        </w:rPr>
        <w:t>: 1465-1476 [PMID: 22734713 DOI: 10.1</w:t>
      </w:r>
      <w:r w:rsidR="00396267">
        <w:rPr>
          <w:rFonts w:ascii="Book Antiqua" w:hAnsi="Book Antiqua" w:cs="宋体"/>
          <w:sz w:val="24"/>
          <w:szCs w:val="24"/>
          <w:lang w:val="en-US" w:eastAsia="zh-CN"/>
        </w:rPr>
        <w:t>111/j.1478-3231.2012.02839.x]</w:t>
      </w:r>
    </w:p>
    <w:p w14:paraId="74027496" w14:textId="4D08BCEC" w:rsidR="00845A83" w:rsidRPr="00845A83" w:rsidRDefault="00845A83" w:rsidP="00845A83">
      <w:pPr>
        <w:spacing w:after="0" w:line="360" w:lineRule="auto"/>
        <w:jc w:val="both"/>
        <w:rPr>
          <w:rFonts w:ascii="Book Antiqua" w:hAnsi="Book Antiqua" w:cs="宋体"/>
          <w:sz w:val="24"/>
          <w:szCs w:val="24"/>
          <w:lang w:val="en-US" w:eastAsia="zh-CN"/>
        </w:rPr>
      </w:pPr>
      <w:r w:rsidRPr="00845A83">
        <w:rPr>
          <w:rFonts w:ascii="Book Antiqua" w:hAnsi="Book Antiqua" w:cs="宋体"/>
          <w:sz w:val="24"/>
          <w:szCs w:val="24"/>
          <w:lang w:val="en-US" w:eastAsia="zh-CN"/>
        </w:rPr>
        <w:t xml:space="preserve">87 </w:t>
      </w:r>
      <w:r w:rsidRPr="00845A83">
        <w:rPr>
          <w:rFonts w:ascii="Book Antiqua" w:hAnsi="Book Antiqua" w:cs="宋体"/>
          <w:b/>
          <w:bCs/>
          <w:sz w:val="24"/>
          <w:szCs w:val="24"/>
          <w:lang w:val="en-US" w:eastAsia="zh-CN"/>
        </w:rPr>
        <w:t>Senzolo M</w:t>
      </w:r>
      <w:r w:rsidRPr="00845A83">
        <w:rPr>
          <w:rFonts w:ascii="Book Antiqua" w:hAnsi="Book Antiqua" w:cs="宋体"/>
          <w:sz w:val="24"/>
          <w:szCs w:val="24"/>
          <w:lang w:val="en-US" w:eastAsia="zh-CN"/>
        </w:rPr>
        <w:t xml:space="preserve">, M Sartori T, Rossetto V, Burra P, Cillo U, Boccagni P, Gasparini D, Miotto D, Simioni P, Tsochatzis E, A Burroughs K. Prospective evaluation of anticoagulation and transjugular intrahepatic portosystemic shunt for the management of portal vein thrombosis in cirrhosis. </w:t>
      </w:r>
      <w:r w:rsidRPr="00845A83">
        <w:rPr>
          <w:rFonts w:ascii="Book Antiqua" w:hAnsi="Book Antiqua" w:cs="宋体"/>
          <w:i/>
          <w:iCs/>
          <w:sz w:val="24"/>
          <w:szCs w:val="24"/>
          <w:lang w:val="en-US" w:eastAsia="zh-CN"/>
        </w:rPr>
        <w:t>Liver Int</w:t>
      </w:r>
      <w:r w:rsidRPr="00845A83">
        <w:rPr>
          <w:rFonts w:ascii="Book Antiqua" w:hAnsi="Book Antiqua" w:cs="宋体"/>
          <w:sz w:val="24"/>
          <w:szCs w:val="24"/>
          <w:lang w:val="en-US" w:eastAsia="zh-CN"/>
        </w:rPr>
        <w:t xml:space="preserve"> 2012; </w:t>
      </w:r>
      <w:r w:rsidRPr="00845A83">
        <w:rPr>
          <w:rFonts w:ascii="Book Antiqua" w:hAnsi="Book Antiqua" w:cs="宋体"/>
          <w:b/>
          <w:bCs/>
          <w:sz w:val="24"/>
          <w:szCs w:val="24"/>
          <w:lang w:val="en-US" w:eastAsia="zh-CN"/>
        </w:rPr>
        <w:t>32</w:t>
      </w:r>
      <w:r w:rsidRPr="00845A83">
        <w:rPr>
          <w:rFonts w:ascii="Book Antiqua" w:hAnsi="Book Antiqua" w:cs="宋体"/>
          <w:sz w:val="24"/>
          <w:szCs w:val="24"/>
          <w:lang w:val="en-US" w:eastAsia="zh-CN"/>
        </w:rPr>
        <w:t>: 919-927 [PMID: 22435854 DOI: 10.1</w:t>
      </w:r>
      <w:r w:rsidR="00396267">
        <w:rPr>
          <w:rFonts w:ascii="Book Antiqua" w:hAnsi="Book Antiqua" w:cs="宋体"/>
          <w:sz w:val="24"/>
          <w:szCs w:val="24"/>
          <w:lang w:val="en-US" w:eastAsia="zh-CN"/>
        </w:rPr>
        <w:t>111/j.1478-3231.2012.02785.x]</w:t>
      </w:r>
    </w:p>
    <w:p w14:paraId="1D3FA43E" w14:textId="7DC5127B" w:rsidR="00845A83" w:rsidRPr="00845A83" w:rsidRDefault="00845A83" w:rsidP="00845A83">
      <w:pPr>
        <w:spacing w:after="0" w:line="360" w:lineRule="auto"/>
        <w:jc w:val="both"/>
        <w:rPr>
          <w:rFonts w:ascii="Book Antiqua" w:hAnsi="Book Antiqua" w:cs="宋体"/>
          <w:sz w:val="24"/>
          <w:szCs w:val="24"/>
          <w:lang w:val="en-US" w:eastAsia="zh-CN"/>
        </w:rPr>
      </w:pPr>
      <w:r w:rsidRPr="00845A83">
        <w:rPr>
          <w:rFonts w:ascii="Book Antiqua" w:hAnsi="Book Antiqua" w:cs="宋体"/>
          <w:sz w:val="24"/>
          <w:szCs w:val="24"/>
          <w:lang w:val="en-US" w:eastAsia="zh-CN"/>
        </w:rPr>
        <w:t xml:space="preserve">88 </w:t>
      </w:r>
      <w:r w:rsidRPr="00845A83">
        <w:rPr>
          <w:rFonts w:ascii="Book Antiqua" w:hAnsi="Book Antiqua" w:cs="宋体"/>
          <w:b/>
          <w:bCs/>
          <w:sz w:val="24"/>
          <w:szCs w:val="24"/>
          <w:lang w:val="en-US" w:eastAsia="zh-CN"/>
        </w:rPr>
        <w:t>Aldawood A</w:t>
      </w:r>
      <w:r w:rsidRPr="00845A83">
        <w:rPr>
          <w:rFonts w:ascii="Book Antiqua" w:hAnsi="Book Antiqua" w:cs="宋体"/>
          <w:sz w:val="24"/>
          <w:szCs w:val="24"/>
          <w:lang w:val="en-US" w:eastAsia="zh-CN"/>
        </w:rPr>
        <w:t xml:space="preserve">, Arabi Y, Aljumah A, Alsaadi A, Rishu A, Aldorzi H, Alqahtani S, Alsultan M, Felemban A. The incidence of venous thromboembolism and practice of deep venous thrombosis prophylaxis in hospitalized cirrhotic patients. </w:t>
      </w:r>
      <w:r w:rsidRPr="00845A83">
        <w:rPr>
          <w:rFonts w:ascii="Book Antiqua" w:hAnsi="Book Antiqua" w:cs="宋体"/>
          <w:i/>
          <w:iCs/>
          <w:sz w:val="24"/>
          <w:szCs w:val="24"/>
          <w:lang w:val="en-US" w:eastAsia="zh-CN"/>
        </w:rPr>
        <w:t>Thromb J</w:t>
      </w:r>
      <w:r w:rsidRPr="00845A83">
        <w:rPr>
          <w:rFonts w:ascii="Book Antiqua" w:hAnsi="Book Antiqua" w:cs="宋体"/>
          <w:sz w:val="24"/>
          <w:szCs w:val="24"/>
          <w:lang w:val="en-US" w:eastAsia="zh-CN"/>
        </w:rPr>
        <w:t xml:space="preserve"> 2011; </w:t>
      </w:r>
      <w:r w:rsidRPr="00845A83">
        <w:rPr>
          <w:rFonts w:ascii="Book Antiqua" w:hAnsi="Book Antiqua" w:cs="宋体"/>
          <w:b/>
          <w:bCs/>
          <w:sz w:val="24"/>
          <w:szCs w:val="24"/>
          <w:lang w:val="en-US" w:eastAsia="zh-CN"/>
        </w:rPr>
        <w:t>9</w:t>
      </w:r>
      <w:r w:rsidRPr="00845A83">
        <w:rPr>
          <w:rFonts w:ascii="Book Antiqua" w:hAnsi="Book Antiqua" w:cs="宋体"/>
          <w:sz w:val="24"/>
          <w:szCs w:val="24"/>
          <w:lang w:val="en-US" w:eastAsia="zh-CN"/>
        </w:rPr>
        <w:t>: 1 [PMID: 2124466</w:t>
      </w:r>
      <w:r w:rsidR="00396267">
        <w:rPr>
          <w:rFonts w:ascii="Book Antiqua" w:hAnsi="Book Antiqua" w:cs="宋体"/>
          <w:sz w:val="24"/>
          <w:szCs w:val="24"/>
          <w:lang w:val="en-US" w:eastAsia="zh-CN"/>
        </w:rPr>
        <w:t>9 DOI: 10.1186/1477-9560-9-1]</w:t>
      </w:r>
    </w:p>
    <w:p w14:paraId="2D8C9AD8" w14:textId="77777777" w:rsidR="00845A83" w:rsidRPr="00845A83" w:rsidRDefault="00845A83" w:rsidP="00845A83">
      <w:pPr>
        <w:spacing w:after="0" w:line="360" w:lineRule="auto"/>
        <w:jc w:val="both"/>
        <w:rPr>
          <w:rFonts w:ascii="Book Antiqua" w:hAnsi="Book Antiqua" w:cs="宋体"/>
          <w:sz w:val="24"/>
          <w:szCs w:val="24"/>
          <w:lang w:val="en-US" w:eastAsia="zh-CN"/>
        </w:rPr>
      </w:pPr>
      <w:r w:rsidRPr="00845A83">
        <w:rPr>
          <w:rFonts w:ascii="Book Antiqua" w:hAnsi="Book Antiqua" w:cs="宋体"/>
          <w:sz w:val="24"/>
          <w:szCs w:val="24"/>
          <w:lang w:val="en-US" w:eastAsia="zh-CN"/>
        </w:rPr>
        <w:t xml:space="preserve">89 </w:t>
      </w:r>
      <w:r w:rsidRPr="00396267">
        <w:rPr>
          <w:rFonts w:ascii="Book Antiqua" w:hAnsi="Book Antiqua" w:cs="宋体"/>
          <w:b/>
          <w:sz w:val="24"/>
          <w:szCs w:val="24"/>
          <w:lang w:val="en-US" w:eastAsia="zh-CN"/>
        </w:rPr>
        <w:t>Saccullo G</w:t>
      </w:r>
      <w:r w:rsidRPr="00845A83">
        <w:rPr>
          <w:rFonts w:ascii="Book Antiqua" w:hAnsi="Book Antiqua" w:cs="宋体"/>
          <w:sz w:val="24"/>
          <w:szCs w:val="24"/>
          <w:lang w:val="en-US" w:eastAsia="zh-CN"/>
        </w:rPr>
        <w:t xml:space="preserve">, Marietta M, Carpenedo M, De stefano V, Falanga A, Federici A, Rodeghiero F, Tosetto A, Siragusa S. Platelet Cut-Off For Anticoagulant </w:t>
      </w:r>
      <w:r w:rsidRPr="00845A83">
        <w:rPr>
          <w:rFonts w:ascii="Book Antiqua" w:hAnsi="Book Antiqua" w:cs="宋体"/>
          <w:sz w:val="24"/>
          <w:szCs w:val="24"/>
          <w:lang w:val="en-US" w:eastAsia="zh-CN"/>
        </w:rPr>
        <w:lastRenderedPageBreak/>
        <w:t xml:space="preserve">Therapy In Cancer Patients With Venous Thromboembolism and Thrombocytopenia: An Expert Opinion Based On RAND/UCLA Appropriateness Method (RAM). </w:t>
      </w:r>
      <w:r w:rsidRPr="00396267">
        <w:rPr>
          <w:rFonts w:ascii="Book Antiqua" w:hAnsi="Book Antiqua" w:cs="宋体"/>
          <w:i/>
          <w:sz w:val="24"/>
          <w:szCs w:val="24"/>
          <w:lang w:val="en-US" w:eastAsia="zh-CN"/>
        </w:rPr>
        <w:t xml:space="preserve">Blood </w:t>
      </w:r>
      <w:r w:rsidRPr="00845A83">
        <w:rPr>
          <w:rFonts w:ascii="Book Antiqua" w:hAnsi="Book Antiqua" w:cs="宋体"/>
          <w:sz w:val="24"/>
          <w:szCs w:val="24"/>
          <w:lang w:val="en-US" w:eastAsia="zh-CN"/>
        </w:rPr>
        <w:t xml:space="preserve">2013; </w:t>
      </w:r>
      <w:r w:rsidRPr="00396267">
        <w:rPr>
          <w:rFonts w:ascii="Book Antiqua" w:hAnsi="Book Antiqua" w:cs="宋体"/>
          <w:b/>
          <w:sz w:val="24"/>
          <w:szCs w:val="24"/>
          <w:lang w:val="en-US" w:eastAsia="zh-CN"/>
        </w:rPr>
        <w:t>122</w:t>
      </w:r>
      <w:r w:rsidRPr="00845A83">
        <w:rPr>
          <w:rFonts w:ascii="Book Antiqua" w:hAnsi="Book Antiqua" w:cs="宋体"/>
          <w:sz w:val="24"/>
          <w:szCs w:val="24"/>
          <w:lang w:val="en-US" w:eastAsia="zh-CN"/>
        </w:rPr>
        <w:t>: 581</w:t>
      </w:r>
    </w:p>
    <w:p w14:paraId="061D0C6A" w14:textId="0BC2B889" w:rsidR="00845A83" w:rsidRPr="00845A83" w:rsidRDefault="00845A83" w:rsidP="00845A83">
      <w:pPr>
        <w:spacing w:after="0" w:line="360" w:lineRule="auto"/>
        <w:jc w:val="both"/>
        <w:rPr>
          <w:rFonts w:ascii="Book Antiqua" w:hAnsi="Book Antiqua" w:cs="宋体"/>
          <w:sz w:val="24"/>
          <w:szCs w:val="24"/>
          <w:lang w:val="en-US" w:eastAsia="zh-CN"/>
        </w:rPr>
      </w:pPr>
      <w:r w:rsidRPr="00845A83">
        <w:rPr>
          <w:rFonts w:ascii="Book Antiqua" w:hAnsi="Book Antiqua" w:cs="宋体"/>
          <w:sz w:val="24"/>
          <w:szCs w:val="24"/>
          <w:lang w:val="en-US" w:eastAsia="zh-CN"/>
        </w:rPr>
        <w:t xml:space="preserve">90 </w:t>
      </w:r>
      <w:r w:rsidRPr="00845A83">
        <w:rPr>
          <w:rFonts w:ascii="Book Antiqua" w:hAnsi="Book Antiqua" w:cs="宋体"/>
          <w:b/>
          <w:bCs/>
          <w:sz w:val="24"/>
          <w:szCs w:val="24"/>
          <w:lang w:val="en-US" w:eastAsia="zh-CN"/>
        </w:rPr>
        <w:t>Lisman T</w:t>
      </w:r>
      <w:r w:rsidRPr="00845A83">
        <w:rPr>
          <w:rFonts w:ascii="Book Antiqua" w:hAnsi="Book Antiqua" w:cs="宋体"/>
          <w:sz w:val="24"/>
          <w:szCs w:val="24"/>
          <w:lang w:val="en-US" w:eastAsia="zh-CN"/>
        </w:rPr>
        <w:t xml:space="preserve">, Porte RJ. Rebalanced hemostasis in patients with liver disease: evidence and clinical consequences. </w:t>
      </w:r>
      <w:r w:rsidRPr="00845A83">
        <w:rPr>
          <w:rFonts w:ascii="Book Antiqua" w:hAnsi="Book Antiqua" w:cs="宋体"/>
          <w:i/>
          <w:iCs/>
          <w:sz w:val="24"/>
          <w:szCs w:val="24"/>
          <w:lang w:val="en-US" w:eastAsia="zh-CN"/>
        </w:rPr>
        <w:t>Blood</w:t>
      </w:r>
      <w:r w:rsidRPr="00845A83">
        <w:rPr>
          <w:rFonts w:ascii="Book Antiqua" w:hAnsi="Book Antiqua" w:cs="宋体"/>
          <w:sz w:val="24"/>
          <w:szCs w:val="24"/>
          <w:lang w:val="en-US" w:eastAsia="zh-CN"/>
        </w:rPr>
        <w:t xml:space="preserve"> 2010; </w:t>
      </w:r>
      <w:r w:rsidRPr="00845A83">
        <w:rPr>
          <w:rFonts w:ascii="Book Antiqua" w:hAnsi="Book Antiqua" w:cs="宋体"/>
          <w:b/>
          <w:bCs/>
          <w:sz w:val="24"/>
          <w:szCs w:val="24"/>
          <w:lang w:val="en-US" w:eastAsia="zh-CN"/>
        </w:rPr>
        <w:t>116</w:t>
      </w:r>
      <w:r w:rsidRPr="00845A83">
        <w:rPr>
          <w:rFonts w:ascii="Book Antiqua" w:hAnsi="Book Antiqua" w:cs="宋体"/>
          <w:sz w:val="24"/>
          <w:szCs w:val="24"/>
          <w:lang w:val="en-US" w:eastAsia="zh-CN"/>
        </w:rPr>
        <w:t xml:space="preserve">: 878-885 [PMID: 20400681 DOI: </w:t>
      </w:r>
      <w:r w:rsidR="00396267">
        <w:rPr>
          <w:rFonts w:ascii="Book Antiqua" w:hAnsi="Book Antiqua" w:cs="宋体"/>
          <w:sz w:val="24"/>
          <w:szCs w:val="24"/>
          <w:lang w:val="en-US" w:eastAsia="zh-CN"/>
        </w:rPr>
        <w:t>10.1182/blood-2010-02-261891]</w:t>
      </w:r>
    </w:p>
    <w:p w14:paraId="2371FDF9" w14:textId="07134126" w:rsidR="00845A83" w:rsidRPr="00845A83" w:rsidRDefault="00845A83" w:rsidP="00845A83">
      <w:pPr>
        <w:spacing w:after="0" w:line="360" w:lineRule="auto"/>
        <w:jc w:val="both"/>
        <w:rPr>
          <w:rFonts w:ascii="Book Antiqua" w:hAnsi="Book Antiqua" w:cs="宋体"/>
          <w:sz w:val="24"/>
          <w:szCs w:val="24"/>
          <w:lang w:val="en-US" w:eastAsia="zh-CN"/>
        </w:rPr>
      </w:pPr>
      <w:r w:rsidRPr="00845A83">
        <w:rPr>
          <w:rFonts w:ascii="Book Antiqua" w:hAnsi="Book Antiqua" w:cs="宋体"/>
          <w:sz w:val="24"/>
          <w:szCs w:val="24"/>
          <w:lang w:val="en-US" w:eastAsia="zh-CN"/>
        </w:rPr>
        <w:t xml:space="preserve">91 </w:t>
      </w:r>
      <w:r w:rsidRPr="00845A83">
        <w:rPr>
          <w:rFonts w:ascii="Book Antiqua" w:hAnsi="Book Antiqua" w:cs="宋体"/>
          <w:b/>
          <w:bCs/>
          <w:sz w:val="24"/>
          <w:szCs w:val="24"/>
          <w:lang w:val="en-US" w:eastAsia="zh-CN"/>
        </w:rPr>
        <w:t>Tripodi A</w:t>
      </w:r>
      <w:r w:rsidRPr="00845A83">
        <w:rPr>
          <w:rFonts w:ascii="Book Antiqua" w:hAnsi="Book Antiqua" w:cs="宋体"/>
          <w:sz w:val="24"/>
          <w:szCs w:val="24"/>
          <w:lang w:val="en-US" w:eastAsia="zh-CN"/>
        </w:rPr>
        <w:t xml:space="preserve">, Mannucci PM. </w:t>
      </w:r>
      <w:proofErr w:type="gramStart"/>
      <w:r w:rsidRPr="00845A83">
        <w:rPr>
          <w:rFonts w:ascii="Book Antiqua" w:hAnsi="Book Antiqua" w:cs="宋体"/>
          <w:sz w:val="24"/>
          <w:szCs w:val="24"/>
          <w:lang w:val="en-US" w:eastAsia="zh-CN"/>
        </w:rPr>
        <w:t>The coagulopathy of chronic liver disease.</w:t>
      </w:r>
      <w:proofErr w:type="gramEnd"/>
      <w:r w:rsidRPr="00845A83">
        <w:rPr>
          <w:rFonts w:ascii="Book Antiqua" w:hAnsi="Book Antiqua" w:cs="宋体"/>
          <w:sz w:val="24"/>
          <w:szCs w:val="24"/>
          <w:lang w:val="en-US" w:eastAsia="zh-CN"/>
        </w:rPr>
        <w:t xml:space="preserve"> </w:t>
      </w:r>
      <w:r w:rsidRPr="00845A83">
        <w:rPr>
          <w:rFonts w:ascii="Book Antiqua" w:hAnsi="Book Antiqua" w:cs="宋体"/>
          <w:i/>
          <w:iCs/>
          <w:sz w:val="24"/>
          <w:szCs w:val="24"/>
          <w:lang w:val="en-US" w:eastAsia="zh-CN"/>
        </w:rPr>
        <w:t>N Engl J Med</w:t>
      </w:r>
      <w:r w:rsidRPr="00845A83">
        <w:rPr>
          <w:rFonts w:ascii="Book Antiqua" w:hAnsi="Book Antiqua" w:cs="宋体"/>
          <w:sz w:val="24"/>
          <w:szCs w:val="24"/>
          <w:lang w:val="en-US" w:eastAsia="zh-CN"/>
        </w:rPr>
        <w:t xml:space="preserve"> 2011; </w:t>
      </w:r>
      <w:r w:rsidRPr="00845A83">
        <w:rPr>
          <w:rFonts w:ascii="Book Antiqua" w:hAnsi="Book Antiqua" w:cs="宋体"/>
          <w:b/>
          <w:bCs/>
          <w:sz w:val="24"/>
          <w:szCs w:val="24"/>
          <w:lang w:val="en-US" w:eastAsia="zh-CN"/>
        </w:rPr>
        <w:t>365</w:t>
      </w:r>
      <w:r w:rsidRPr="00845A83">
        <w:rPr>
          <w:rFonts w:ascii="Book Antiqua" w:hAnsi="Book Antiqua" w:cs="宋体"/>
          <w:sz w:val="24"/>
          <w:szCs w:val="24"/>
          <w:lang w:val="en-US" w:eastAsia="zh-CN"/>
        </w:rPr>
        <w:t>: 147-156 [PMID: 2175190</w:t>
      </w:r>
      <w:r w:rsidR="00396267">
        <w:rPr>
          <w:rFonts w:ascii="Book Antiqua" w:hAnsi="Book Antiqua" w:cs="宋体"/>
          <w:sz w:val="24"/>
          <w:szCs w:val="24"/>
          <w:lang w:val="en-US" w:eastAsia="zh-CN"/>
        </w:rPr>
        <w:t>7 DOI: 10.1056/NEJMra1011170]</w:t>
      </w:r>
    </w:p>
    <w:p w14:paraId="67290D86" w14:textId="55C064E3" w:rsidR="00845A83" w:rsidRPr="00845A83" w:rsidRDefault="00845A83" w:rsidP="00845A83">
      <w:pPr>
        <w:spacing w:after="0" w:line="360" w:lineRule="auto"/>
        <w:jc w:val="both"/>
        <w:rPr>
          <w:rFonts w:ascii="Book Antiqua" w:hAnsi="Book Antiqua" w:cs="宋体"/>
          <w:sz w:val="24"/>
          <w:szCs w:val="24"/>
          <w:lang w:val="en-US" w:eastAsia="zh-CN"/>
        </w:rPr>
      </w:pPr>
      <w:r w:rsidRPr="00845A83">
        <w:rPr>
          <w:rFonts w:ascii="Book Antiqua" w:hAnsi="Book Antiqua" w:cs="宋体"/>
          <w:sz w:val="24"/>
          <w:szCs w:val="24"/>
          <w:lang w:val="en-US" w:eastAsia="zh-CN"/>
        </w:rPr>
        <w:t xml:space="preserve">92 </w:t>
      </w:r>
      <w:r w:rsidRPr="00845A83">
        <w:rPr>
          <w:rFonts w:ascii="Book Antiqua" w:hAnsi="Book Antiqua" w:cs="宋体"/>
          <w:b/>
          <w:bCs/>
          <w:sz w:val="24"/>
          <w:szCs w:val="24"/>
          <w:lang w:val="en-US" w:eastAsia="zh-CN"/>
        </w:rPr>
        <w:t>Valla DC</w:t>
      </w:r>
      <w:r w:rsidRPr="00845A83">
        <w:rPr>
          <w:rFonts w:ascii="Book Antiqua" w:hAnsi="Book Antiqua" w:cs="宋体"/>
          <w:sz w:val="24"/>
          <w:szCs w:val="24"/>
          <w:lang w:val="en-US" w:eastAsia="zh-CN"/>
        </w:rPr>
        <w:t xml:space="preserve">, Condat B. Portal vein thrombosis in adults: pathophysiology, pathogenesis and management. </w:t>
      </w:r>
      <w:r w:rsidRPr="00845A83">
        <w:rPr>
          <w:rFonts w:ascii="Book Antiqua" w:hAnsi="Book Antiqua" w:cs="宋体"/>
          <w:i/>
          <w:iCs/>
          <w:sz w:val="24"/>
          <w:szCs w:val="24"/>
          <w:lang w:val="en-US" w:eastAsia="zh-CN"/>
        </w:rPr>
        <w:t>J Hepatol</w:t>
      </w:r>
      <w:r w:rsidRPr="00845A83">
        <w:rPr>
          <w:rFonts w:ascii="Book Antiqua" w:hAnsi="Book Antiqua" w:cs="宋体"/>
          <w:sz w:val="24"/>
          <w:szCs w:val="24"/>
          <w:lang w:val="en-US" w:eastAsia="zh-CN"/>
        </w:rPr>
        <w:t xml:space="preserve"> 2000; </w:t>
      </w:r>
      <w:r w:rsidRPr="00845A83">
        <w:rPr>
          <w:rFonts w:ascii="Book Antiqua" w:hAnsi="Book Antiqua" w:cs="宋体"/>
          <w:b/>
          <w:bCs/>
          <w:sz w:val="24"/>
          <w:szCs w:val="24"/>
          <w:lang w:val="en-US" w:eastAsia="zh-CN"/>
        </w:rPr>
        <w:t>32</w:t>
      </w:r>
      <w:r w:rsidRPr="00845A83">
        <w:rPr>
          <w:rFonts w:ascii="Book Antiqua" w:hAnsi="Book Antiqua" w:cs="宋体"/>
          <w:sz w:val="24"/>
          <w:szCs w:val="24"/>
          <w:lang w:val="en-US" w:eastAsia="zh-CN"/>
        </w:rPr>
        <w:t>: 865-871 [PMID: 10845677 DOI: 1</w:t>
      </w:r>
      <w:r w:rsidR="00396267">
        <w:rPr>
          <w:rFonts w:ascii="Book Antiqua" w:hAnsi="Book Antiqua" w:cs="宋体"/>
          <w:sz w:val="24"/>
          <w:szCs w:val="24"/>
          <w:lang w:val="en-US" w:eastAsia="zh-CN"/>
        </w:rPr>
        <w:t>0.1016/S0168-8278(00)80259-7]</w:t>
      </w:r>
    </w:p>
    <w:p w14:paraId="2CF8C63E" w14:textId="644E125A" w:rsidR="00845A83" w:rsidRPr="00845A83" w:rsidRDefault="00845A83" w:rsidP="00845A83">
      <w:pPr>
        <w:spacing w:after="0" w:line="360" w:lineRule="auto"/>
        <w:jc w:val="both"/>
        <w:rPr>
          <w:rFonts w:ascii="Book Antiqua" w:hAnsi="Book Antiqua" w:cs="宋体"/>
          <w:sz w:val="24"/>
          <w:szCs w:val="24"/>
          <w:lang w:val="en-US" w:eastAsia="zh-CN"/>
        </w:rPr>
      </w:pPr>
      <w:r w:rsidRPr="00845A83">
        <w:rPr>
          <w:rFonts w:ascii="Book Antiqua" w:hAnsi="Book Antiqua" w:cs="宋体"/>
          <w:sz w:val="24"/>
          <w:szCs w:val="24"/>
          <w:lang w:val="en-US" w:eastAsia="zh-CN"/>
        </w:rPr>
        <w:t xml:space="preserve">93 </w:t>
      </w:r>
      <w:r w:rsidRPr="00845A83">
        <w:rPr>
          <w:rFonts w:ascii="Book Antiqua" w:hAnsi="Book Antiqua" w:cs="宋体"/>
          <w:b/>
          <w:bCs/>
          <w:sz w:val="24"/>
          <w:szCs w:val="24"/>
          <w:lang w:val="en-US" w:eastAsia="zh-CN"/>
        </w:rPr>
        <w:t>Carrier M</w:t>
      </w:r>
      <w:r w:rsidRPr="00845A83">
        <w:rPr>
          <w:rFonts w:ascii="Book Antiqua" w:hAnsi="Book Antiqua" w:cs="宋体"/>
          <w:sz w:val="24"/>
          <w:szCs w:val="24"/>
          <w:lang w:val="en-US" w:eastAsia="zh-CN"/>
        </w:rPr>
        <w:t xml:space="preserve">, Le Gal G, Cho R, Tierney S, Rodger M, Lee AY. Dose escalation of low molecular weight heparin to manage recurrent venous thromboembolic events despite systemic anticoagulation in cancer patients. </w:t>
      </w:r>
      <w:r w:rsidRPr="00845A83">
        <w:rPr>
          <w:rFonts w:ascii="Book Antiqua" w:hAnsi="Book Antiqua" w:cs="宋体"/>
          <w:i/>
          <w:iCs/>
          <w:sz w:val="24"/>
          <w:szCs w:val="24"/>
          <w:lang w:val="en-US" w:eastAsia="zh-CN"/>
        </w:rPr>
        <w:t>J Thromb Haemost</w:t>
      </w:r>
      <w:r w:rsidRPr="00845A83">
        <w:rPr>
          <w:rFonts w:ascii="Book Antiqua" w:hAnsi="Book Antiqua" w:cs="宋体"/>
          <w:sz w:val="24"/>
          <w:szCs w:val="24"/>
          <w:lang w:val="en-US" w:eastAsia="zh-CN"/>
        </w:rPr>
        <w:t xml:space="preserve"> 2009; </w:t>
      </w:r>
      <w:r w:rsidRPr="00845A83">
        <w:rPr>
          <w:rFonts w:ascii="Book Antiqua" w:hAnsi="Book Antiqua" w:cs="宋体"/>
          <w:b/>
          <w:bCs/>
          <w:sz w:val="24"/>
          <w:szCs w:val="24"/>
          <w:lang w:val="en-US" w:eastAsia="zh-CN"/>
        </w:rPr>
        <w:t>7</w:t>
      </w:r>
      <w:r w:rsidRPr="00845A83">
        <w:rPr>
          <w:rFonts w:ascii="Book Antiqua" w:hAnsi="Book Antiqua" w:cs="宋体"/>
          <w:sz w:val="24"/>
          <w:szCs w:val="24"/>
          <w:lang w:val="en-US" w:eastAsia="zh-CN"/>
        </w:rPr>
        <w:t>: 760-765 [PMID: 19245418 DOI: 10.1</w:t>
      </w:r>
      <w:r w:rsidR="00396267">
        <w:rPr>
          <w:rFonts w:ascii="Book Antiqua" w:hAnsi="Book Antiqua" w:cs="宋体"/>
          <w:sz w:val="24"/>
          <w:szCs w:val="24"/>
          <w:lang w:val="en-US" w:eastAsia="zh-CN"/>
        </w:rPr>
        <w:t>111/j.1538-7836.2009.03326.x]</w:t>
      </w:r>
    </w:p>
    <w:p w14:paraId="5ED9F5F7" w14:textId="72027FE4" w:rsidR="00845A83" w:rsidRPr="00845A83" w:rsidRDefault="00845A83" w:rsidP="00845A83">
      <w:pPr>
        <w:spacing w:after="0" w:line="360" w:lineRule="auto"/>
        <w:jc w:val="both"/>
        <w:rPr>
          <w:rFonts w:ascii="Book Antiqua" w:hAnsi="Book Antiqua" w:cs="宋体"/>
          <w:sz w:val="24"/>
          <w:szCs w:val="24"/>
          <w:lang w:val="en-US" w:eastAsia="zh-CN"/>
        </w:rPr>
      </w:pPr>
      <w:r w:rsidRPr="00845A83">
        <w:rPr>
          <w:rFonts w:ascii="Book Antiqua" w:hAnsi="Book Antiqua" w:cs="宋体"/>
          <w:sz w:val="24"/>
          <w:szCs w:val="24"/>
          <w:lang w:val="en-US" w:eastAsia="zh-CN"/>
        </w:rPr>
        <w:t xml:space="preserve">94 </w:t>
      </w:r>
      <w:r w:rsidRPr="00845A83">
        <w:rPr>
          <w:rFonts w:ascii="Book Antiqua" w:hAnsi="Book Antiqua" w:cs="宋体"/>
          <w:b/>
          <w:bCs/>
          <w:sz w:val="24"/>
          <w:szCs w:val="24"/>
          <w:lang w:val="en-US" w:eastAsia="zh-CN"/>
        </w:rPr>
        <w:t>Ageno W</w:t>
      </w:r>
      <w:r w:rsidRPr="00845A83">
        <w:rPr>
          <w:rFonts w:ascii="Book Antiqua" w:hAnsi="Book Antiqua" w:cs="宋体"/>
          <w:sz w:val="24"/>
          <w:szCs w:val="24"/>
          <w:lang w:val="en-US" w:eastAsia="zh-CN"/>
        </w:rPr>
        <w:t xml:space="preserve">, Gallus AS, Wittkowsky A, Crowther M, Hylek EM, Palareti G. Oral anticoagulant therapy: Antithrombotic Therapy and Prevention of Thrombosis, 9th ed: American College of Chest Physicians Evidence-Based Clinical Practice Guidelines. </w:t>
      </w:r>
      <w:r w:rsidRPr="00845A83">
        <w:rPr>
          <w:rFonts w:ascii="Book Antiqua" w:hAnsi="Book Antiqua" w:cs="宋体"/>
          <w:i/>
          <w:iCs/>
          <w:sz w:val="24"/>
          <w:szCs w:val="24"/>
          <w:lang w:val="en-US" w:eastAsia="zh-CN"/>
        </w:rPr>
        <w:t>Chest</w:t>
      </w:r>
      <w:r w:rsidRPr="00845A83">
        <w:rPr>
          <w:rFonts w:ascii="Book Antiqua" w:hAnsi="Book Antiqua" w:cs="宋体"/>
          <w:sz w:val="24"/>
          <w:szCs w:val="24"/>
          <w:lang w:val="en-US" w:eastAsia="zh-CN"/>
        </w:rPr>
        <w:t xml:space="preserve"> 2012; </w:t>
      </w:r>
      <w:r w:rsidRPr="00845A83">
        <w:rPr>
          <w:rFonts w:ascii="Book Antiqua" w:hAnsi="Book Antiqua" w:cs="宋体"/>
          <w:b/>
          <w:bCs/>
          <w:sz w:val="24"/>
          <w:szCs w:val="24"/>
          <w:lang w:val="en-US" w:eastAsia="zh-CN"/>
        </w:rPr>
        <w:t>141</w:t>
      </w:r>
      <w:r w:rsidRPr="00845A83">
        <w:rPr>
          <w:rFonts w:ascii="Book Antiqua" w:hAnsi="Book Antiqua" w:cs="宋体"/>
          <w:sz w:val="24"/>
          <w:szCs w:val="24"/>
          <w:lang w:val="en-US" w:eastAsia="zh-CN"/>
        </w:rPr>
        <w:t>: e44S-e88S [PMID: 22315269 DO</w:t>
      </w:r>
      <w:r w:rsidR="00396267">
        <w:rPr>
          <w:rFonts w:ascii="Book Antiqua" w:hAnsi="Book Antiqua" w:cs="宋体"/>
          <w:sz w:val="24"/>
          <w:szCs w:val="24"/>
          <w:lang w:val="en-US" w:eastAsia="zh-CN"/>
        </w:rPr>
        <w:t>I: 10.1378/chest.11-2292]</w:t>
      </w:r>
    </w:p>
    <w:p w14:paraId="6ABDDC78" w14:textId="20AC4D6B" w:rsidR="00845A83" w:rsidRPr="00845A83" w:rsidRDefault="00845A83" w:rsidP="00845A83">
      <w:pPr>
        <w:spacing w:after="0" w:line="360" w:lineRule="auto"/>
        <w:jc w:val="both"/>
        <w:rPr>
          <w:rFonts w:ascii="Book Antiqua" w:hAnsi="Book Antiqua" w:cs="宋体"/>
          <w:sz w:val="24"/>
          <w:szCs w:val="24"/>
          <w:lang w:val="en-US" w:eastAsia="zh-CN"/>
        </w:rPr>
      </w:pPr>
      <w:r w:rsidRPr="00845A83">
        <w:rPr>
          <w:rFonts w:ascii="Book Antiqua" w:hAnsi="Book Antiqua" w:cs="宋体"/>
          <w:sz w:val="24"/>
          <w:szCs w:val="24"/>
          <w:lang w:val="en-US" w:eastAsia="zh-CN"/>
        </w:rPr>
        <w:t xml:space="preserve">95 </w:t>
      </w:r>
      <w:r w:rsidRPr="00845A83">
        <w:rPr>
          <w:rFonts w:ascii="Book Antiqua" w:hAnsi="Book Antiqua" w:cs="宋体"/>
          <w:b/>
          <w:bCs/>
          <w:sz w:val="24"/>
          <w:szCs w:val="24"/>
          <w:lang w:val="en-US" w:eastAsia="zh-CN"/>
        </w:rPr>
        <w:t>Levine MN</w:t>
      </w:r>
      <w:r w:rsidRPr="00845A83">
        <w:rPr>
          <w:rFonts w:ascii="Book Antiqua" w:hAnsi="Book Antiqua" w:cs="宋体"/>
          <w:sz w:val="24"/>
          <w:szCs w:val="24"/>
          <w:lang w:val="en-US" w:eastAsia="zh-CN"/>
        </w:rPr>
        <w:t xml:space="preserve">, </w:t>
      </w:r>
      <w:proofErr w:type="gramStart"/>
      <w:r w:rsidRPr="00845A83">
        <w:rPr>
          <w:rFonts w:ascii="Book Antiqua" w:hAnsi="Book Antiqua" w:cs="宋体"/>
          <w:sz w:val="24"/>
          <w:szCs w:val="24"/>
          <w:lang w:val="en-US" w:eastAsia="zh-CN"/>
        </w:rPr>
        <w:t>Gu</w:t>
      </w:r>
      <w:proofErr w:type="gramEnd"/>
      <w:r w:rsidRPr="00845A83">
        <w:rPr>
          <w:rFonts w:ascii="Book Antiqua" w:hAnsi="Book Antiqua" w:cs="宋体"/>
          <w:sz w:val="24"/>
          <w:szCs w:val="24"/>
          <w:lang w:val="en-US" w:eastAsia="zh-CN"/>
        </w:rPr>
        <w:t xml:space="preserve"> C, Liebman HA, Escalante CP, Solymoss S, Deitchman D, Ramirez L, Julian J. </w:t>
      </w:r>
      <w:proofErr w:type="gramStart"/>
      <w:r w:rsidRPr="00845A83">
        <w:rPr>
          <w:rFonts w:ascii="Book Antiqua" w:hAnsi="Book Antiqua" w:cs="宋体"/>
          <w:sz w:val="24"/>
          <w:szCs w:val="24"/>
          <w:lang w:val="en-US" w:eastAsia="zh-CN"/>
        </w:rPr>
        <w:t>A randomized phase II trial of apixaban for the prevention of thromboembolism in patients with metastatic cancer.</w:t>
      </w:r>
      <w:proofErr w:type="gramEnd"/>
      <w:r w:rsidRPr="00845A83">
        <w:rPr>
          <w:rFonts w:ascii="Book Antiqua" w:hAnsi="Book Antiqua" w:cs="宋体"/>
          <w:sz w:val="24"/>
          <w:szCs w:val="24"/>
          <w:lang w:val="en-US" w:eastAsia="zh-CN"/>
        </w:rPr>
        <w:t xml:space="preserve"> </w:t>
      </w:r>
      <w:r w:rsidRPr="00845A83">
        <w:rPr>
          <w:rFonts w:ascii="Book Antiqua" w:hAnsi="Book Antiqua" w:cs="宋体"/>
          <w:i/>
          <w:iCs/>
          <w:sz w:val="24"/>
          <w:szCs w:val="24"/>
          <w:lang w:val="en-US" w:eastAsia="zh-CN"/>
        </w:rPr>
        <w:t>J Thromb Haemost</w:t>
      </w:r>
      <w:r w:rsidRPr="00845A83">
        <w:rPr>
          <w:rFonts w:ascii="Book Antiqua" w:hAnsi="Book Antiqua" w:cs="宋体"/>
          <w:sz w:val="24"/>
          <w:szCs w:val="24"/>
          <w:lang w:val="en-US" w:eastAsia="zh-CN"/>
        </w:rPr>
        <w:t xml:space="preserve"> 2012; </w:t>
      </w:r>
      <w:r w:rsidRPr="00845A83">
        <w:rPr>
          <w:rFonts w:ascii="Book Antiqua" w:hAnsi="Book Antiqua" w:cs="宋体"/>
          <w:b/>
          <w:bCs/>
          <w:sz w:val="24"/>
          <w:szCs w:val="24"/>
          <w:lang w:val="en-US" w:eastAsia="zh-CN"/>
        </w:rPr>
        <w:t>10</w:t>
      </w:r>
      <w:r w:rsidRPr="00845A83">
        <w:rPr>
          <w:rFonts w:ascii="Book Antiqua" w:hAnsi="Book Antiqua" w:cs="宋体"/>
          <w:sz w:val="24"/>
          <w:szCs w:val="24"/>
          <w:lang w:val="en-US" w:eastAsia="zh-CN"/>
        </w:rPr>
        <w:t>: 807-814 [PMID: 22409262 DOI: 10.1</w:t>
      </w:r>
      <w:r w:rsidR="00396267">
        <w:rPr>
          <w:rFonts w:ascii="Book Antiqua" w:hAnsi="Book Antiqua" w:cs="宋体"/>
          <w:sz w:val="24"/>
          <w:szCs w:val="24"/>
          <w:lang w:val="en-US" w:eastAsia="zh-CN"/>
        </w:rPr>
        <w:t>111/j.1538-7836.2012.04693.x]</w:t>
      </w:r>
    </w:p>
    <w:p w14:paraId="10BFDC56" w14:textId="1DE30295" w:rsidR="00845A83" w:rsidRPr="00845A83" w:rsidRDefault="00845A83" w:rsidP="00845A83">
      <w:pPr>
        <w:spacing w:after="0" w:line="360" w:lineRule="auto"/>
        <w:jc w:val="both"/>
        <w:rPr>
          <w:rFonts w:ascii="Book Antiqua" w:hAnsi="Book Antiqua" w:cs="宋体"/>
          <w:sz w:val="24"/>
          <w:szCs w:val="24"/>
          <w:lang w:val="en-US" w:eastAsia="zh-CN"/>
        </w:rPr>
      </w:pPr>
      <w:r w:rsidRPr="00845A83">
        <w:rPr>
          <w:rFonts w:ascii="Book Antiqua" w:hAnsi="Book Antiqua" w:cs="宋体"/>
          <w:sz w:val="24"/>
          <w:szCs w:val="24"/>
          <w:lang w:val="en-US" w:eastAsia="zh-CN"/>
        </w:rPr>
        <w:t xml:space="preserve">96 </w:t>
      </w:r>
      <w:r w:rsidRPr="00845A83">
        <w:rPr>
          <w:rFonts w:ascii="Book Antiqua" w:hAnsi="Book Antiqua" w:cs="宋体"/>
          <w:b/>
          <w:bCs/>
          <w:sz w:val="24"/>
          <w:szCs w:val="24"/>
          <w:lang w:val="en-US" w:eastAsia="zh-CN"/>
        </w:rPr>
        <w:t>Agnelli G</w:t>
      </w:r>
      <w:r w:rsidRPr="00845A83">
        <w:rPr>
          <w:rFonts w:ascii="Book Antiqua" w:hAnsi="Book Antiqua" w:cs="宋体"/>
          <w:sz w:val="24"/>
          <w:szCs w:val="24"/>
          <w:lang w:val="en-US" w:eastAsia="zh-CN"/>
        </w:rPr>
        <w:t xml:space="preserve">, Buller HR, Cohen A, Curto M, Gallus AS, Johnson M, Masiukiewicz U, Pak R, Thompson J, Raskob GE, Weitz JI. </w:t>
      </w:r>
      <w:proofErr w:type="gramStart"/>
      <w:r w:rsidRPr="00845A83">
        <w:rPr>
          <w:rFonts w:ascii="Book Antiqua" w:hAnsi="Book Antiqua" w:cs="宋体"/>
          <w:sz w:val="24"/>
          <w:szCs w:val="24"/>
          <w:lang w:val="en-US" w:eastAsia="zh-CN"/>
        </w:rPr>
        <w:t>Oral apixaban for the treatment of acute venous thromboembolism.</w:t>
      </w:r>
      <w:proofErr w:type="gramEnd"/>
      <w:r w:rsidRPr="00845A83">
        <w:rPr>
          <w:rFonts w:ascii="Book Antiqua" w:hAnsi="Book Antiqua" w:cs="宋体"/>
          <w:sz w:val="24"/>
          <w:szCs w:val="24"/>
          <w:lang w:val="en-US" w:eastAsia="zh-CN"/>
        </w:rPr>
        <w:t xml:space="preserve"> </w:t>
      </w:r>
      <w:r w:rsidRPr="00845A83">
        <w:rPr>
          <w:rFonts w:ascii="Book Antiqua" w:hAnsi="Book Antiqua" w:cs="宋体"/>
          <w:i/>
          <w:iCs/>
          <w:sz w:val="24"/>
          <w:szCs w:val="24"/>
          <w:lang w:val="en-US" w:eastAsia="zh-CN"/>
        </w:rPr>
        <w:t>N Engl J Med</w:t>
      </w:r>
      <w:r w:rsidRPr="00845A83">
        <w:rPr>
          <w:rFonts w:ascii="Book Antiqua" w:hAnsi="Book Antiqua" w:cs="宋体"/>
          <w:sz w:val="24"/>
          <w:szCs w:val="24"/>
          <w:lang w:val="en-US" w:eastAsia="zh-CN"/>
        </w:rPr>
        <w:t xml:space="preserve"> 2013; </w:t>
      </w:r>
      <w:r w:rsidRPr="00845A83">
        <w:rPr>
          <w:rFonts w:ascii="Book Antiqua" w:hAnsi="Book Antiqua" w:cs="宋体"/>
          <w:b/>
          <w:bCs/>
          <w:sz w:val="24"/>
          <w:szCs w:val="24"/>
          <w:lang w:val="en-US" w:eastAsia="zh-CN"/>
        </w:rPr>
        <w:t>369</w:t>
      </w:r>
      <w:r w:rsidRPr="00845A83">
        <w:rPr>
          <w:rFonts w:ascii="Book Antiqua" w:hAnsi="Book Antiqua" w:cs="宋体"/>
          <w:sz w:val="24"/>
          <w:szCs w:val="24"/>
          <w:lang w:val="en-US" w:eastAsia="zh-CN"/>
        </w:rPr>
        <w:t>: 799-808 [PMID: 2380898</w:t>
      </w:r>
      <w:r w:rsidR="00396267">
        <w:rPr>
          <w:rFonts w:ascii="Book Antiqua" w:hAnsi="Book Antiqua" w:cs="宋体"/>
          <w:sz w:val="24"/>
          <w:szCs w:val="24"/>
          <w:lang w:val="en-US" w:eastAsia="zh-CN"/>
        </w:rPr>
        <w:t>2 DOI: 10.1056/NEJMoa1302507]</w:t>
      </w:r>
    </w:p>
    <w:p w14:paraId="2B748292" w14:textId="0E13D8AF" w:rsidR="00845A83" w:rsidRPr="00845A83" w:rsidRDefault="00845A83" w:rsidP="00845A83">
      <w:pPr>
        <w:spacing w:after="0" w:line="360" w:lineRule="auto"/>
        <w:jc w:val="both"/>
        <w:rPr>
          <w:rFonts w:ascii="Book Antiqua" w:hAnsi="Book Antiqua" w:cs="宋体"/>
          <w:sz w:val="24"/>
          <w:szCs w:val="24"/>
          <w:lang w:val="en-US" w:eastAsia="zh-CN"/>
        </w:rPr>
      </w:pPr>
      <w:r w:rsidRPr="00845A83">
        <w:rPr>
          <w:rFonts w:ascii="Book Antiqua" w:hAnsi="Book Antiqua" w:cs="宋体"/>
          <w:sz w:val="24"/>
          <w:szCs w:val="24"/>
          <w:lang w:val="en-US" w:eastAsia="zh-CN"/>
        </w:rPr>
        <w:t xml:space="preserve">97 </w:t>
      </w:r>
      <w:r w:rsidRPr="00845A83">
        <w:rPr>
          <w:rFonts w:ascii="Book Antiqua" w:hAnsi="Book Antiqua" w:cs="宋体"/>
          <w:b/>
          <w:bCs/>
          <w:sz w:val="24"/>
          <w:szCs w:val="24"/>
          <w:lang w:val="en-US" w:eastAsia="zh-CN"/>
        </w:rPr>
        <w:t>Bauersachs R</w:t>
      </w:r>
      <w:r w:rsidRPr="00845A83">
        <w:rPr>
          <w:rFonts w:ascii="Book Antiqua" w:hAnsi="Book Antiqua" w:cs="宋体"/>
          <w:sz w:val="24"/>
          <w:szCs w:val="24"/>
          <w:lang w:val="en-US" w:eastAsia="zh-CN"/>
        </w:rPr>
        <w:t xml:space="preserve">, Berkowitz SD, Brenner B, Buller HR, Decousus H, Gallus AS, Lensing AW, Misselwitz F, Prins MH, Raskob GE, Segers A, Verhamme P, Wells P, Agnelli G, Bounameaux H, Cohen A, Davidson BL, Piovella F, </w:t>
      </w:r>
      <w:r w:rsidRPr="00845A83">
        <w:rPr>
          <w:rFonts w:ascii="Book Antiqua" w:hAnsi="Book Antiqua" w:cs="宋体"/>
          <w:sz w:val="24"/>
          <w:szCs w:val="24"/>
          <w:lang w:val="en-US" w:eastAsia="zh-CN"/>
        </w:rPr>
        <w:lastRenderedPageBreak/>
        <w:t xml:space="preserve">Schellong S. Oral rivaroxaban for symptomatic venous thromboembolism. </w:t>
      </w:r>
      <w:r w:rsidRPr="00845A83">
        <w:rPr>
          <w:rFonts w:ascii="Book Antiqua" w:hAnsi="Book Antiqua" w:cs="宋体"/>
          <w:i/>
          <w:iCs/>
          <w:sz w:val="24"/>
          <w:szCs w:val="24"/>
          <w:lang w:val="en-US" w:eastAsia="zh-CN"/>
        </w:rPr>
        <w:t>N Engl J Med</w:t>
      </w:r>
      <w:r w:rsidRPr="00845A83">
        <w:rPr>
          <w:rFonts w:ascii="Book Antiqua" w:hAnsi="Book Antiqua" w:cs="宋体"/>
          <w:sz w:val="24"/>
          <w:szCs w:val="24"/>
          <w:lang w:val="en-US" w:eastAsia="zh-CN"/>
        </w:rPr>
        <w:t xml:space="preserve"> 2010; </w:t>
      </w:r>
      <w:r w:rsidRPr="00845A83">
        <w:rPr>
          <w:rFonts w:ascii="Book Antiqua" w:hAnsi="Book Antiqua" w:cs="宋体"/>
          <w:b/>
          <w:bCs/>
          <w:sz w:val="24"/>
          <w:szCs w:val="24"/>
          <w:lang w:val="en-US" w:eastAsia="zh-CN"/>
        </w:rPr>
        <w:t>363</w:t>
      </w:r>
      <w:r w:rsidRPr="00845A83">
        <w:rPr>
          <w:rFonts w:ascii="Book Antiqua" w:hAnsi="Book Antiqua" w:cs="宋体"/>
          <w:sz w:val="24"/>
          <w:szCs w:val="24"/>
          <w:lang w:val="en-US" w:eastAsia="zh-CN"/>
        </w:rPr>
        <w:t>: 2499-2510 [PMID: 2112881</w:t>
      </w:r>
      <w:r w:rsidR="00396267">
        <w:rPr>
          <w:rFonts w:ascii="Book Antiqua" w:hAnsi="Book Antiqua" w:cs="宋体"/>
          <w:sz w:val="24"/>
          <w:szCs w:val="24"/>
          <w:lang w:val="en-US" w:eastAsia="zh-CN"/>
        </w:rPr>
        <w:t>4 DOI: 10.1056/NEJMoa1007903]</w:t>
      </w:r>
    </w:p>
    <w:p w14:paraId="2FC1DEC7" w14:textId="766298D9" w:rsidR="00845A83" w:rsidRPr="00845A83" w:rsidRDefault="00845A83" w:rsidP="00845A83">
      <w:pPr>
        <w:spacing w:after="0" w:line="360" w:lineRule="auto"/>
        <w:jc w:val="both"/>
        <w:rPr>
          <w:rFonts w:ascii="Book Antiqua" w:hAnsi="Book Antiqua" w:cs="宋体"/>
          <w:sz w:val="24"/>
          <w:szCs w:val="24"/>
          <w:lang w:val="en-US" w:eastAsia="zh-CN"/>
        </w:rPr>
      </w:pPr>
      <w:r w:rsidRPr="00845A83">
        <w:rPr>
          <w:rFonts w:ascii="Book Antiqua" w:hAnsi="Book Antiqua" w:cs="宋体"/>
          <w:sz w:val="24"/>
          <w:szCs w:val="24"/>
          <w:lang w:val="en-US" w:eastAsia="zh-CN"/>
        </w:rPr>
        <w:t xml:space="preserve">98 </w:t>
      </w:r>
      <w:r w:rsidRPr="00845A83">
        <w:rPr>
          <w:rFonts w:ascii="Book Antiqua" w:hAnsi="Book Antiqua" w:cs="宋体"/>
          <w:b/>
          <w:bCs/>
          <w:sz w:val="24"/>
          <w:szCs w:val="24"/>
          <w:lang w:val="en-US" w:eastAsia="zh-CN"/>
        </w:rPr>
        <w:t>Büller HR</w:t>
      </w:r>
      <w:r w:rsidRPr="00845A83">
        <w:rPr>
          <w:rFonts w:ascii="Book Antiqua" w:hAnsi="Book Antiqua" w:cs="宋体"/>
          <w:sz w:val="24"/>
          <w:szCs w:val="24"/>
          <w:lang w:val="en-US" w:eastAsia="zh-CN"/>
        </w:rPr>
        <w:t xml:space="preserve">, Décousus H, Grosso MA, Mercuri M, Middeldorp S, Prins MH, Raskob GE, Schellong SM, Schwocho L, Segers A, Shi M, Verhamme P, Wells P. Edoxaban versus warfarin for the treatment of symptomatic venous thromboembolism. </w:t>
      </w:r>
      <w:r w:rsidRPr="00845A83">
        <w:rPr>
          <w:rFonts w:ascii="Book Antiqua" w:hAnsi="Book Antiqua" w:cs="宋体"/>
          <w:i/>
          <w:iCs/>
          <w:sz w:val="24"/>
          <w:szCs w:val="24"/>
          <w:lang w:val="en-US" w:eastAsia="zh-CN"/>
        </w:rPr>
        <w:t>N Engl J Med</w:t>
      </w:r>
      <w:r w:rsidRPr="00845A83">
        <w:rPr>
          <w:rFonts w:ascii="Book Antiqua" w:hAnsi="Book Antiqua" w:cs="宋体"/>
          <w:sz w:val="24"/>
          <w:szCs w:val="24"/>
          <w:lang w:val="en-US" w:eastAsia="zh-CN"/>
        </w:rPr>
        <w:t xml:space="preserve"> 2013; </w:t>
      </w:r>
      <w:r w:rsidRPr="00845A83">
        <w:rPr>
          <w:rFonts w:ascii="Book Antiqua" w:hAnsi="Book Antiqua" w:cs="宋体"/>
          <w:b/>
          <w:bCs/>
          <w:sz w:val="24"/>
          <w:szCs w:val="24"/>
          <w:lang w:val="en-US" w:eastAsia="zh-CN"/>
        </w:rPr>
        <w:t>369</w:t>
      </w:r>
      <w:r w:rsidRPr="00845A83">
        <w:rPr>
          <w:rFonts w:ascii="Book Antiqua" w:hAnsi="Book Antiqua" w:cs="宋体"/>
          <w:sz w:val="24"/>
          <w:szCs w:val="24"/>
          <w:lang w:val="en-US" w:eastAsia="zh-CN"/>
        </w:rPr>
        <w:t>: 1406-1415 [PMID: 2399165</w:t>
      </w:r>
      <w:r w:rsidR="00396267">
        <w:rPr>
          <w:rFonts w:ascii="Book Antiqua" w:hAnsi="Book Antiqua" w:cs="宋体"/>
          <w:sz w:val="24"/>
          <w:szCs w:val="24"/>
          <w:lang w:val="en-US" w:eastAsia="zh-CN"/>
        </w:rPr>
        <w:t>8 DOI: 10.1056/NEJMoa1306638]</w:t>
      </w:r>
    </w:p>
    <w:p w14:paraId="3B8C3390" w14:textId="0C0B6776" w:rsidR="00845A83" w:rsidRPr="00845A83" w:rsidRDefault="00845A83" w:rsidP="00845A83">
      <w:pPr>
        <w:spacing w:after="0" w:line="360" w:lineRule="auto"/>
        <w:jc w:val="both"/>
        <w:rPr>
          <w:rFonts w:ascii="Book Antiqua" w:hAnsi="Book Antiqua" w:cs="宋体"/>
          <w:sz w:val="24"/>
          <w:szCs w:val="24"/>
          <w:lang w:val="en-US" w:eastAsia="zh-CN"/>
        </w:rPr>
      </w:pPr>
      <w:r w:rsidRPr="00845A83">
        <w:rPr>
          <w:rFonts w:ascii="Book Antiqua" w:hAnsi="Book Antiqua" w:cs="宋体"/>
          <w:sz w:val="24"/>
          <w:szCs w:val="24"/>
          <w:lang w:val="en-US" w:eastAsia="zh-CN"/>
        </w:rPr>
        <w:t xml:space="preserve">99 </w:t>
      </w:r>
      <w:r w:rsidRPr="00845A83">
        <w:rPr>
          <w:rFonts w:ascii="Book Antiqua" w:hAnsi="Book Antiqua" w:cs="宋体"/>
          <w:b/>
          <w:bCs/>
          <w:sz w:val="24"/>
          <w:szCs w:val="24"/>
          <w:lang w:val="en-US" w:eastAsia="zh-CN"/>
        </w:rPr>
        <w:t>Büller HR</w:t>
      </w:r>
      <w:r w:rsidRPr="00845A83">
        <w:rPr>
          <w:rFonts w:ascii="Book Antiqua" w:hAnsi="Book Antiqua" w:cs="宋体"/>
          <w:sz w:val="24"/>
          <w:szCs w:val="24"/>
          <w:lang w:val="en-US" w:eastAsia="zh-CN"/>
        </w:rPr>
        <w:t xml:space="preserve">, Prins MH, Lensin AW, Decousus H, Jacobson BF, Minar E, Chlumsky J, Verhamme P, Wells P, Agnelli G, Cohen A, Berkowitz SD, Bounameaux H, Davidson BL, Misselwitz F, Gallus AS, Raskob GE, Schellong S, Segers A. Oral rivaroxaban for the treatment of symptomatic pulmonary embolism. </w:t>
      </w:r>
      <w:r w:rsidRPr="00845A83">
        <w:rPr>
          <w:rFonts w:ascii="Book Antiqua" w:hAnsi="Book Antiqua" w:cs="宋体"/>
          <w:i/>
          <w:iCs/>
          <w:sz w:val="24"/>
          <w:szCs w:val="24"/>
          <w:lang w:val="en-US" w:eastAsia="zh-CN"/>
        </w:rPr>
        <w:t>N Engl J Med</w:t>
      </w:r>
      <w:r w:rsidRPr="00845A83">
        <w:rPr>
          <w:rFonts w:ascii="Book Antiqua" w:hAnsi="Book Antiqua" w:cs="宋体"/>
          <w:sz w:val="24"/>
          <w:szCs w:val="24"/>
          <w:lang w:val="en-US" w:eastAsia="zh-CN"/>
        </w:rPr>
        <w:t xml:space="preserve"> 2012; </w:t>
      </w:r>
      <w:r w:rsidRPr="00845A83">
        <w:rPr>
          <w:rFonts w:ascii="Book Antiqua" w:hAnsi="Book Antiqua" w:cs="宋体"/>
          <w:b/>
          <w:bCs/>
          <w:sz w:val="24"/>
          <w:szCs w:val="24"/>
          <w:lang w:val="en-US" w:eastAsia="zh-CN"/>
        </w:rPr>
        <w:t>366</w:t>
      </w:r>
      <w:r w:rsidRPr="00845A83">
        <w:rPr>
          <w:rFonts w:ascii="Book Antiqua" w:hAnsi="Book Antiqua" w:cs="宋体"/>
          <w:sz w:val="24"/>
          <w:szCs w:val="24"/>
          <w:lang w:val="en-US" w:eastAsia="zh-CN"/>
        </w:rPr>
        <w:t>: 1287-1297 [PMID: 2244929</w:t>
      </w:r>
      <w:r w:rsidR="00396267">
        <w:rPr>
          <w:rFonts w:ascii="Book Antiqua" w:hAnsi="Book Antiqua" w:cs="宋体"/>
          <w:sz w:val="24"/>
          <w:szCs w:val="24"/>
          <w:lang w:val="en-US" w:eastAsia="zh-CN"/>
        </w:rPr>
        <w:t>3 DOI: 10.1056/NEJMoa1113572]</w:t>
      </w:r>
    </w:p>
    <w:p w14:paraId="0CA2E8CB" w14:textId="39ED1E09" w:rsidR="00845A83" w:rsidRPr="00845A83" w:rsidRDefault="00845A83" w:rsidP="00845A83">
      <w:pPr>
        <w:spacing w:after="0" w:line="360" w:lineRule="auto"/>
        <w:jc w:val="both"/>
        <w:rPr>
          <w:rFonts w:ascii="Book Antiqua" w:hAnsi="Book Antiqua" w:cs="宋体"/>
          <w:sz w:val="24"/>
          <w:szCs w:val="24"/>
          <w:lang w:val="en-US" w:eastAsia="zh-CN"/>
        </w:rPr>
      </w:pPr>
      <w:r w:rsidRPr="00845A83">
        <w:rPr>
          <w:rFonts w:ascii="Book Antiqua" w:hAnsi="Book Antiqua" w:cs="宋体"/>
          <w:sz w:val="24"/>
          <w:szCs w:val="24"/>
          <w:lang w:val="en-US" w:eastAsia="zh-CN"/>
        </w:rPr>
        <w:t xml:space="preserve">100 </w:t>
      </w:r>
      <w:r w:rsidRPr="00845A83">
        <w:rPr>
          <w:rFonts w:ascii="Book Antiqua" w:hAnsi="Book Antiqua" w:cs="宋体"/>
          <w:b/>
          <w:bCs/>
          <w:sz w:val="24"/>
          <w:szCs w:val="24"/>
          <w:lang w:val="en-US" w:eastAsia="zh-CN"/>
        </w:rPr>
        <w:t>Schulman S</w:t>
      </w:r>
      <w:r w:rsidRPr="00845A83">
        <w:rPr>
          <w:rFonts w:ascii="Book Antiqua" w:hAnsi="Book Antiqua" w:cs="宋体"/>
          <w:sz w:val="24"/>
          <w:szCs w:val="24"/>
          <w:lang w:val="en-US" w:eastAsia="zh-CN"/>
        </w:rPr>
        <w:t xml:space="preserve">, Kearon C, Kakkar AK, Mismetti P, Schellong S, Eriksson H, Baanstra D, Schnee J, Goldhaber SZ. </w:t>
      </w:r>
      <w:proofErr w:type="gramStart"/>
      <w:r w:rsidRPr="00845A83">
        <w:rPr>
          <w:rFonts w:ascii="Book Antiqua" w:hAnsi="Book Antiqua" w:cs="宋体"/>
          <w:sz w:val="24"/>
          <w:szCs w:val="24"/>
          <w:lang w:val="en-US" w:eastAsia="zh-CN"/>
        </w:rPr>
        <w:t>Dabigatran versus warfarin in the treatment of acute venous thromboembolism.</w:t>
      </w:r>
      <w:proofErr w:type="gramEnd"/>
      <w:r w:rsidRPr="00845A83">
        <w:rPr>
          <w:rFonts w:ascii="Book Antiqua" w:hAnsi="Book Antiqua" w:cs="宋体"/>
          <w:sz w:val="24"/>
          <w:szCs w:val="24"/>
          <w:lang w:val="en-US" w:eastAsia="zh-CN"/>
        </w:rPr>
        <w:t xml:space="preserve"> </w:t>
      </w:r>
      <w:r w:rsidRPr="00845A83">
        <w:rPr>
          <w:rFonts w:ascii="Book Antiqua" w:hAnsi="Book Antiqua" w:cs="宋体"/>
          <w:i/>
          <w:iCs/>
          <w:sz w:val="24"/>
          <w:szCs w:val="24"/>
          <w:lang w:val="en-US" w:eastAsia="zh-CN"/>
        </w:rPr>
        <w:t>N Engl J Med</w:t>
      </w:r>
      <w:r w:rsidRPr="00845A83">
        <w:rPr>
          <w:rFonts w:ascii="Book Antiqua" w:hAnsi="Book Antiqua" w:cs="宋体"/>
          <w:sz w:val="24"/>
          <w:szCs w:val="24"/>
          <w:lang w:val="en-US" w:eastAsia="zh-CN"/>
        </w:rPr>
        <w:t xml:space="preserve"> 2009; </w:t>
      </w:r>
      <w:r w:rsidRPr="00845A83">
        <w:rPr>
          <w:rFonts w:ascii="Book Antiqua" w:hAnsi="Book Antiqua" w:cs="宋体"/>
          <w:b/>
          <w:bCs/>
          <w:sz w:val="24"/>
          <w:szCs w:val="24"/>
          <w:lang w:val="en-US" w:eastAsia="zh-CN"/>
        </w:rPr>
        <w:t>361</w:t>
      </w:r>
      <w:r w:rsidRPr="00845A83">
        <w:rPr>
          <w:rFonts w:ascii="Book Antiqua" w:hAnsi="Book Antiqua" w:cs="宋体"/>
          <w:sz w:val="24"/>
          <w:szCs w:val="24"/>
          <w:lang w:val="en-US" w:eastAsia="zh-CN"/>
        </w:rPr>
        <w:t>: 2342-2352 [PMID: 1996634</w:t>
      </w:r>
      <w:r w:rsidR="00396267">
        <w:rPr>
          <w:rFonts w:ascii="Book Antiqua" w:hAnsi="Book Antiqua" w:cs="宋体"/>
          <w:sz w:val="24"/>
          <w:szCs w:val="24"/>
          <w:lang w:val="en-US" w:eastAsia="zh-CN"/>
        </w:rPr>
        <w:t>1 DOI: 10.1056/NEJMoa0906598]</w:t>
      </w:r>
    </w:p>
    <w:p w14:paraId="60C9602D" w14:textId="1B2314E2" w:rsidR="00845A83" w:rsidRPr="00845A83" w:rsidRDefault="00845A83" w:rsidP="00845A83">
      <w:pPr>
        <w:spacing w:after="0" w:line="360" w:lineRule="auto"/>
        <w:jc w:val="both"/>
        <w:rPr>
          <w:rFonts w:ascii="Book Antiqua" w:hAnsi="Book Antiqua" w:cs="宋体"/>
          <w:sz w:val="24"/>
          <w:szCs w:val="24"/>
          <w:lang w:val="en-US" w:eastAsia="zh-CN"/>
        </w:rPr>
      </w:pPr>
      <w:r w:rsidRPr="00845A83">
        <w:rPr>
          <w:rFonts w:ascii="Book Antiqua" w:hAnsi="Book Antiqua" w:cs="宋体"/>
          <w:sz w:val="24"/>
          <w:szCs w:val="24"/>
          <w:lang w:val="en-US" w:eastAsia="zh-CN"/>
        </w:rPr>
        <w:t xml:space="preserve">101 </w:t>
      </w:r>
      <w:r w:rsidRPr="00845A83">
        <w:rPr>
          <w:rFonts w:ascii="Book Antiqua" w:hAnsi="Book Antiqua" w:cs="宋体"/>
          <w:b/>
          <w:bCs/>
          <w:sz w:val="24"/>
          <w:szCs w:val="24"/>
          <w:lang w:val="en-US" w:eastAsia="zh-CN"/>
        </w:rPr>
        <w:t>Schulman S</w:t>
      </w:r>
      <w:r w:rsidRPr="00845A83">
        <w:rPr>
          <w:rFonts w:ascii="Book Antiqua" w:hAnsi="Book Antiqua" w:cs="宋体"/>
          <w:sz w:val="24"/>
          <w:szCs w:val="24"/>
          <w:lang w:val="en-US" w:eastAsia="zh-CN"/>
        </w:rPr>
        <w:t xml:space="preserve">, Kearon C, Kakkar AK, Schellong S, Eriksson H, Baanstra D, Kvamme AM, Friedman J, Mismetti P, Goldhaber SZ. Extended use of dabigatran, warfarin, or placebo in venous thromboembolism. </w:t>
      </w:r>
      <w:r w:rsidRPr="00845A83">
        <w:rPr>
          <w:rFonts w:ascii="Book Antiqua" w:hAnsi="Book Antiqua" w:cs="宋体"/>
          <w:i/>
          <w:iCs/>
          <w:sz w:val="24"/>
          <w:szCs w:val="24"/>
          <w:lang w:val="en-US" w:eastAsia="zh-CN"/>
        </w:rPr>
        <w:t>N Engl J Med</w:t>
      </w:r>
      <w:r w:rsidRPr="00845A83">
        <w:rPr>
          <w:rFonts w:ascii="Book Antiqua" w:hAnsi="Book Antiqua" w:cs="宋体"/>
          <w:sz w:val="24"/>
          <w:szCs w:val="24"/>
          <w:lang w:val="en-US" w:eastAsia="zh-CN"/>
        </w:rPr>
        <w:t xml:space="preserve"> 2013; </w:t>
      </w:r>
      <w:r w:rsidRPr="00845A83">
        <w:rPr>
          <w:rFonts w:ascii="Book Antiqua" w:hAnsi="Book Antiqua" w:cs="宋体"/>
          <w:b/>
          <w:bCs/>
          <w:sz w:val="24"/>
          <w:szCs w:val="24"/>
          <w:lang w:val="en-US" w:eastAsia="zh-CN"/>
        </w:rPr>
        <w:t>368</w:t>
      </w:r>
      <w:r w:rsidRPr="00845A83">
        <w:rPr>
          <w:rFonts w:ascii="Book Antiqua" w:hAnsi="Book Antiqua" w:cs="宋体"/>
          <w:sz w:val="24"/>
          <w:szCs w:val="24"/>
          <w:lang w:val="en-US" w:eastAsia="zh-CN"/>
        </w:rPr>
        <w:t>: 709-718 [PMID: 2342516</w:t>
      </w:r>
      <w:r w:rsidR="00396267">
        <w:rPr>
          <w:rFonts w:ascii="Book Antiqua" w:hAnsi="Book Antiqua" w:cs="宋体"/>
          <w:sz w:val="24"/>
          <w:szCs w:val="24"/>
          <w:lang w:val="en-US" w:eastAsia="zh-CN"/>
        </w:rPr>
        <w:t>3 DOI: 10.1056/NEJMoa1113697]</w:t>
      </w:r>
    </w:p>
    <w:p w14:paraId="287B938A" w14:textId="71FF7609" w:rsidR="00845A83" w:rsidRPr="00845A83" w:rsidRDefault="00845A83" w:rsidP="00845A83">
      <w:pPr>
        <w:spacing w:after="0" w:line="360" w:lineRule="auto"/>
        <w:jc w:val="both"/>
        <w:rPr>
          <w:rFonts w:ascii="Book Antiqua" w:hAnsi="Book Antiqua" w:cs="宋体"/>
          <w:sz w:val="24"/>
          <w:szCs w:val="24"/>
          <w:lang w:val="en-US" w:eastAsia="zh-CN"/>
        </w:rPr>
      </w:pPr>
      <w:r w:rsidRPr="00845A83">
        <w:rPr>
          <w:rFonts w:ascii="Book Antiqua" w:hAnsi="Book Antiqua" w:cs="宋体"/>
          <w:sz w:val="24"/>
          <w:szCs w:val="24"/>
          <w:lang w:val="en-US" w:eastAsia="zh-CN"/>
        </w:rPr>
        <w:t xml:space="preserve">102 </w:t>
      </w:r>
      <w:r w:rsidRPr="00845A83">
        <w:rPr>
          <w:rFonts w:ascii="Book Antiqua" w:hAnsi="Book Antiqua" w:cs="宋体"/>
          <w:b/>
          <w:bCs/>
          <w:sz w:val="24"/>
          <w:szCs w:val="24"/>
          <w:lang w:val="en-US" w:eastAsia="zh-CN"/>
        </w:rPr>
        <w:t>Gómez-Outes A</w:t>
      </w:r>
      <w:r w:rsidRPr="00845A83">
        <w:rPr>
          <w:rFonts w:ascii="Book Antiqua" w:hAnsi="Book Antiqua" w:cs="宋体"/>
          <w:sz w:val="24"/>
          <w:szCs w:val="24"/>
          <w:lang w:val="en-US" w:eastAsia="zh-CN"/>
        </w:rPr>
        <w:t xml:space="preserve">, Terleira-Fernández AI, Lecumberri R, Suárez-Gea ML, Vargas-Castrillón E. Direct oral anticoagulants in the treatment of acute venous thromboembolism: a systematic review and meta-analysis. </w:t>
      </w:r>
      <w:r w:rsidRPr="00845A83">
        <w:rPr>
          <w:rFonts w:ascii="Book Antiqua" w:hAnsi="Book Antiqua" w:cs="宋体"/>
          <w:i/>
          <w:iCs/>
          <w:sz w:val="24"/>
          <w:szCs w:val="24"/>
          <w:lang w:val="en-US" w:eastAsia="zh-CN"/>
        </w:rPr>
        <w:t>Thromb Res</w:t>
      </w:r>
      <w:r w:rsidRPr="00845A83">
        <w:rPr>
          <w:rFonts w:ascii="Book Antiqua" w:hAnsi="Book Antiqua" w:cs="宋体"/>
          <w:sz w:val="24"/>
          <w:szCs w:val="24"/>
          <w:lang w:val="en-US" w:eastAsia="zh-CN"/>
        </w:rPr>
        <w:t xml:space="preserve"> 2014; </w:t>
      </w:r>
      <w:r w:rsidRPr="00845A83">
        <w:rPr>
          <w:rFonts w:ascii="Book Antiqua" w:hAnsi="Book Antiqua" w:cs="宋体"/>
          <w:b/>
          <w:bCs/>
          <w:sz w:val="24"/>
          <w:szCs w:val="24"/>
          <w:lang w:val="en-US" w:eastAsia="zh-CN"/>
        </w:rPr>
        <w:t>134</w:t>
      </w:r>
      <w:r w:rsidRPr="00845A83">
        <w:rPr>
          <w:rFonts w:ascii="Book Antiqua" w:hAnsi="Book Antiqua" w:cs="宋体"/>
          <w:sz w:val="24"/>
          <w:szCs w:val="24"/>
          <w:lang w:val="en-US" w:eastAsia="zh-CN"/>
        </w:rPr>
        <w:t>: 774-782 [PMID: 25037495 DOI: 10</w:t>
      </w:r>
      <w:r w:rsidR="00396267">
        <w:rPr>
          <w:rFonts w:ascii="Book Antiqua" w:hAnsi="Book Antiqua" w:cs="宋体"/>
          <w:sz w:val="24"/>
          <w:szCs w:val="24"/>
          <w:lang w:val="en-US" w:eastAsia="zh-CN"/>
        </w:rPr>
        <w:t>.1016/j.thromres.2014.06.020]</w:t>
      </w:r>
    </w:p>
    <w:p w14:paraId="27D7CBE8" w14:textId="5BFA13C5" w:rsidR="00845A83" w:rsidRPr="00845A83" w:rsidRDefault="00845A83" w:rsidP="00845A83">
      <w:pPr>
        <w:spacing w:after="0" w:line="360" w:lineRule="auto"/>
        <w:jc w:val="both"/>
        <w:rPr>
          <w:rFonts w:ascii="Book Antiqua" w:hAnsi="Book Antiqua" w:cs="宋体"/>
          <w:sz w:val="24"/>
          <w:szCs w:val="24"/>
          <w:lang w:val="en-US" w:eastAsia="zh-CN"/>
        </w:rPr>
      </w:pPr>
      <w:r w:rsidRPr="00845A83">
        <w:rPr>
          <w:rFonts w:ascii="Book Antiqua" w:hAnsi="Book Antiqua" w:cs="宋体"/>
          <w:sz w:val="24"/>
          <w:szCs w:val="24"/>
          <w:lang w:val="en-US" w:eastAsia="zh-CN"/>
        </w:rPr>
        <w:t xml:space="preserve">103 </w:t>
      </w:r>
      <w:r w:rsidRPr="00845A83">
        <w:rPr>
          <w:rFonts w:ascii="Book Antiqua" w:hAnsi="Book Antiqua" w:cs="宋体"/>
          <w:b/>
          <w:bCs/>
          <w:sz w:val="24"/>
          <w:szCs w:val="24"/>
          <w:lang w:val="en-US" w:eastAsia="zh-CN"/>
        </w:rPr>
        <w:t>van der Hulle T</w:t>
      </w:r>
      <w:r w:rsidRPr="00845A83">
        <w:rPr>
          <w:rFonts w:ascii="Book Antiqua" w:hAnsi="Book Antiqua" w:cs="宋体"/>
          <w:sz w:val="24"/>
          <w:szCs w:val="24"/>
          <w:lang w:val="en-US" w:eastAsia="zh-CN"/>
        </w:rPr>
        <w:t xml:space="preserve">, den Exter PL, Kooiman J, van der Hoeven JJ, Huisman MV, Klok FA. </w:t>
      </w:r>
      <w:proofErr w:type="gramStart"/>
      <w:r w:rsidRPr="00845A83">
        <w:rPr>
          <w:rFonts w:ascii="Book Antiqua" w:hAnsi="Book Antiqua" w:cs="宋体"/>
          <w:sz w:val="24"/>
          <w:szCs w:val="24"/>
          <w:lang w:val="en-US" w:eastAsia="zh-CN"/>
        </w:rPr>
        <w:t>Meta-analysis of the efficacy and safety of new oral anticoagulants in patients with cancer-associated acute venous thromboembolism.</w:t>
      </w:r>
      <w:proofErr w:type="gramEnd"/>
      <w:r w:rsidRPr="00845A83">
        <w:rPr>
          <w:rFonts w:ascii="Book Antiqua" w:hAnsi="Book Antiqua" w:cs="宋体"/>
          <w:sz w:val="24"/>
          <w:szCs w:val="24"/>
          <w:lang w:val="en-US" w:eastAsia="zh-CN"/>
        </w:rPr>
        <w:t xml:space="preserve"> </w:t>
      </w:r>
      <w:r w:rsidRPr="00845A83">
        <w:rPr>
          <w:rFonts w:ascii="Book Antiqua" w:hAnsi="Book Antiqua" w:cs="宋体"/>
          <w:i/>
          <w:iCs/>
          <w:sz w:val="24"/>
          <w:szCs w:val="24"/>
          <w:lang w:val="en-US" w:eastAsia="zh-CN"/>
        </w:rPr>
        <w:t>J Thromb Haemost</w:t>
      </w:r>
      <w:r w:rsidRPr="00845A83">
        <w:rPr>
          <w:rFonts w:ascii="Book Antiqua" w:hAnsi="Book Antiqua" w:cs="宋体"/>
          <w:sz w:val="24"/>
          <w:szCs w:val="24"/>
          <w:lang w:val="en-US" w:eastAsia="zh-CN"/>
        </w:rPr>
        <w:t xml:space="preserve"> 2014; </w:t>
      </w:r>
      <w:r w:rsidRPr="00845A83">
        <w:rPr>
          <w:rFonts w:ascii="Book Antiqua" w:hAnsi="Book Antiqua" w:cs="宋体"/>
          <w:b/>
          <w:bCs/>
          <w:sz w:val="24"/>
          <w:szCs w:val="24"/>
          <w:lang w:val="en-US" w:eastAsia="zh-CN"/>
        </w:rPr>
        <w:t>12</w:t>
      </w:r>
      <w:r w:rsidRPr="00845A83">
        <w:rPr>
          <w:rFonts w:ascii="Book Antiqua" w:hAnsi="Book Antiqua" w:cs="宋体"/>
          <w:sz w:val="24"/>
          <w:szCs w:val="24"/>
          <w:lang w:val="en-US" w:eastAsia="zh-CN"/>
        </w:rPr>
        <w:t>: 1116-1120 [PMID: 248</w:t>
      </w:r>
      <w:r w:rsidR="00396267">
        <w:rPr>
          <w:rFonts w:ascii="Book Antiqua" w:hAnsi="Book Antiqua" w:cs="宋体"/>
          <w:sz w:val="24"/>
          <w:szCs w:val="24"/>
          <w:lang w:val="en-US" w:eastAsia="zh-CN"/>
        </w:rPr>
        <w:t>19040 DOI: 10.1111/jth.12605]</w:t>
      </w:r>
    </w:p>
    <w:p w14:paraId="1CB654A8" w14:textId="001AF163" w:rsidR="00845A83" w:rsidRPr="00845A83" w:rsidRDefault="00845A83" w:rsidP="00845A83">
      <w:pPr>
        <w:spacing w:after="0" w:line="360" w:lineRule="auto"/>
        <w:jc w:val="both"/>
        <w:rPr>
          <w:rFonts w:ascii="Book Antiqua" w:hAnsi="Book Antiqua" w:cs="宋体"/>
          <w:sz w:val="24"/>
          <w:szCs w:val="24"/>
          <w:lang w:val="en-US" w:eastAsia="zh-CN"/>
        </w:rPr>
      </w:pPr>
      <w:r w:rsidRPr="00845A83">
        <w:rPr>
          <w:rFonts w:ascii="Book Antiqua" w:hAnsi="Book Antiqua" w:cs="宋体"/>
          <w:sz w:val="24"/>
          <w:szCs w:val="24"/>
          <w:lang w:val="en-US" w:eastAsia="zh-CN"/>
        </w:rPr>
        <w:t xml:space="preserve">104 </w:t>
      </w:r>
      <w:r w:rsidRPr="00845A83">
        <w:rPr>
          <w:rFonts w:ascii="Book Antiqua" w:hAnsi="Book Antiqua" w:cs="宋体"/>
          <w:b/>
          <w:bCs/>
          <w:sz w:val="24"/>
          <w:szCs w:val="24"/>
          <w:lang w:val="en-US" w:eastAsia="zh-CN"/>
        </w:rPr>
        <w:t>Vedovati MC</w:t>
      </w:r>
      <w:r w:rsidRPr="00845A83">
        <w:rPr>
          <w:rFonts w:ascii="Book Antiqua" w:hAnsi="Book Antiqua" w:cs="宋体"/>
          <w:sz w:val="24"/>
          <w:szCs w:val="24"/>
          <w:lang w:val="en-US" w:eastAsia="zh-CN"/>
        </w:rPr>
        <w:t xml:space="preserve">, Germini F, Agnelli G, Becattini C. Direct oral anticoagulants in patients with VTE and cancer: a systematic review and meta-analysis. </w:t>
      </w:r>
      <w:r w:rsidRPr="00845A83">
        <w:rPr>
          <w:rFonts w:ascii="Book Antiqua" w:hAnsi="Book Antiqua" w:cs="宋体"/>
          <w:i/>
          <w:iCs/>
          <w:sz w:val="24"/>
          <w:szCs w:val="24"/>
          <w:lang w:val="en-US" w:eastAsia="zh-CN"/>
        </w:rPr>
        <w:t>Chest</w:t>
      </w:r>
      <w:r w:rsidRPr="00845A83">
        <w:rPr>
          <w:rFonts w:ascii="Book Antiqua" w:hAnsi="Book Antiqua" w:cs="宋体"/>
          <w:sz w:val="24"/>
          <w:szCs w:val="24"/>
          <w:lang w:val="en-US" w:eastAsia="zh-CN"/>
        </w:rPr>
        <w:t xml:space="preserve"> 2015; </w:t>
      </w:r>
      <w:r w:rsidRPr="00845A83">
        <w:rPr>
          <w:rFonts w:ascii="Book Antiqua" w:hAnsi="Book Antiqua" w:cs="宋体"/>
          <w:b/>
          <w:bCs/>
          <w:sz w:val="24"/>
          <w:szCs w:val="24"/>
          <w:lang w:val="en-US" w:eastAsia="zh-CN"/>
        </w:rPr>
        <w:t>147</w:t>
      </w:r>
      <w:r w:rsidRPr="00845A83">
        <w:rPr>
          <w:rFonts w:ascii="Book Antiqua" w:hAnsi="Book Antiqua" w:cs="宋体"/>
          <w:sz w:val="24"/>
          <w:szCs w:val="24"/>
          <w:lang w:val="en-US" w:eastAsia="zh-CN"/>
        </w:rPr>
        <w:t>: 475-483 [PMID: 2521126</w:t>
      </w:r>
      <w:r w:rsidR="00396267">
        <w:rPr>
          <w:rFonts w:ascii="Book Antiqua" w:hAnsi="Book Antiqua" w:cs="宋体"/>
          <w:sz w:val="24"/>
          <w:szCs w:val="24"/>
          <w:lang w:val="en-US" w:eastAsia="zh-CN"/>
        </w:rPr>
        <w:t>4 DOI: 10.1378/chest.14-0402]</w:t>
      </w:r>
    </w:p>
    <w:p w14:paraId="19DA6E8D" w14:textId="35CFDF40" w:rsidR="00845A83" w:rsidRPr="00845A83" w:rsidRDefault="00845A83" w:rsidP="00845A83">
      <w:pPr>
        <w:spacing w:after="0" w:line="360" w:lineRule="auto"/>
        <w:jc w:val="both"/>
        <w:rPr>
          <w:rFonts w:ascii="Book Antiqua" w:hAnsi="Book Antiqua" w:cs="宋体"/>
          <w:sz w:val="24"/>
          <w:szCs w:val="24"/>
          <w:lang w:val="en-US" w:eastAsia="zh-CN"/>
        </w:rPr>
      </w:pPr>
      <w:r w:rsidRPr="00845A83">
        <w:rPr>
          <w:rFonts w:ascii="Book Antiqua" w:hAnsi="Book Antiqua" w:cs="宋体"/>
          <w:sz w:val="24"/>
          <w:szCs w:val="24"/>
          <w:lang w:val="en-US" w:eastAsia="zh-CN"/>
        </w:rPr>
        <w:lastRenderedPageBreak/>
        <w:t xml:space="preserve">105 </w:t>
      </w:r>
      <w:r w:rsidRPr="00845A83">
        <w:rPr>
          <w:rFonts w:ascii="Book Antiqua" w:hAnsi="Book Antiqua" w:cs="宋体"/>
          <w:b/>
          <w:bCs/>
          <w:sz w:val="24"/>
          <w:szCs w:val="24"/>
          <w:lang w:val="en-US" w:eastAsia="zh-CN"/>
        </w:rPr>
        <w:t>Larsen TB</w:t>
      </w:r>
      <w:r w:rsidRPr="00845A83">
        <w:rPr>
          <w:rFonts w:ascii="Book Antiqua" w:hAnsi="Book Antiqua" w:cs="宋体"/>
          <w:sz w:val="24"/>
          <w:szCs w:val="24"/>
          <w:lang w:val="en-US" w:eastAsia="zh-CN"/>
        </w:rPr>
        <w:t xml:space="preserve">, Nielsen PB, Skjøth F, Rasmussen LH, Lip GY. Non-vitamin K antagonist oral anticoagulants and the treatment of venous thromboembolism in cancer patients: a semi systematic review and meta-analysis of safety and efficacy outcomes. </w:t>
      </w:r>
      <w:r w:rsidRPr="00845A83">
        <w:rPr>
          <w:rFonts w:ascii="Book Antiqua" w:hAnsi="Book Antiqua" w:cs="宋体"/>
          <w:i/>
          <w:iCs/>
          <w:sz w:val="24"/>
          <w:szCs w:val="24"/>
          <w:lang w:val="en-US" w:eastAsia="zh-CN"/>
        </w:rPr>
        <w:t>PLoS One</w:t>
      </w:r>
      <w:r w:rsidRPr="00845A83">
        <w:rPr>
          <w:rFonts w:ascii="Book Antiqua" w:hAnsi="Book Antiqua" w:cs="宋体"/>
          <w:sz w:val="24"/>
          <w:szCs w:val="24"/>
          <w:lang w:val="en-US" w:eastAsia="zh-CN"/>
        </w:rPr>
        <w:t xml:space="preserve"> 2014; </w:t>
      </w:r>
      <w:r w:rsidRPr="00845A83">
        <w:rPr>
          <w:rFonts w:ascii="Book Antiqua" w:hAnsi="Book Antiqua" w:cs="宋体"/>
          <w:b/>
          <w:bCs/>
          <w:sz w:val="24"/>
          <w:szCs w:val="24"/>
          <w:lang w:val="en-US" w:eastAsia="zh-CN"/>
        </w:rPr>
        <w:t>9</w:t>
      </w:r>
      <w:r w:rsidRPr="00845A83">
        <w:rPr>
          <w:rFonts w:ascii="Book Antiqua" w:hAnsi="Book Antiqua" w:cs="宋体"/>
          <w:sz w:val="24"/>
          <w:szCs w:val="24"/>
          <w:lang w:val="en-US" w:eastAsia="zh-CN"/>
        </w:rPr>
        <w:t xml:space="preserve">: e114445 [PMID: 25479007 DOI: </w:t>
      </w:r>
      <w:r w:rsidR="00396267">
        <w:rPr>
          <w:rFonts w:ascii="Book Antiqua" w:hAnsi="Book Antiqua" w:cs="宋体"/>
          <w:sz w:val="24"/>
          <w:szCs w:val="24"/>
          <w:lang w:val="en-US" w:eastAsia="zh-CN"/>
        </w:rPr>
        <w:t>10.1371/journal.pone.0114445]</w:t>
      </w:r>
    </w:p>
    <w:p w14:paraId="066987B9" w14:textId="4CCF3C1D" w:rsidR="00845A83" w:rsidRPr="00845A83" w:rsidRDefault="00845A83" w:rsidP="00845A83">
      <w:pPr>
        <w:spacing w:after="0" w:line="360" w:lineRule="auto"/>
        <w:jc w:val="both"/>
        <w:rPr>
          <w:rFonts w:ascii="Book Antiqua" w:hAnsi="Book Antiqua" w:cs="宋体"/>
          <w:sz w:val="24"/>
          <w:szCs w:val="24"/>
          <w:lang w:val="en-US" w:eastAsia="zh-CN"/>
        </w:rPr>
      </w:pPr>
      <w:r w:rsidRPr="00845A83">
        <w:rPr>
          <w:rFonts w:ascii="Book Antiqua" w:hAnsi="Book Antiqua" w:cs="宋体"/>
          <w:sz w:val="24"/>
          <w:szCs w:val="24"/>
          <w:lang w:val="en-US" w:eastAsia="zh-CN"/>
        </w:rPr>
        <w:t xml:space="preserve">106 </w:t>
      </w:r>
      <w:r w:rsidRPr="00845A83">
        <w:rPr>
          <w:rFonts w:ascii="Book Antiqua" w:hAnsi="Book Antiqua" w:cs="宋体"/>
          <w:b/>
          <w:sz w:val="24"/>
          <w:szCs w:val="24"/>
          <w:lang w:val="en-US" w:eastAsia="zh-CN"/>
        </w:rPr>
        <w:t>Khorana AA</w:t>
      </w:r>
      <w:r w:rsidRPr="00845A83">
        <w:rPr>
          <w:rFonts w:ascii="Book Antiqua" w:hAnsi="Book Antiqua" w:cs="宋体"/>
          <w:sz w:val="24"/>
          <w:szCs w:val="24"/>
          <w:lang w:val="en-US" w:eastAsia="zh-CN"/>
        </w:rPr>
        <w:t xml:space="preserve">, Francis CW, Culakova E, Kuderer NM, Lyman GH. </w:t>
      </w:r>
      <w:hyperlink r:id="rId10" w:history="1">
        <w:r w:rsidRPr="00845A83">
          <w:rPr>
            <w:rFonts w:ascii="Book Antiqua" w:hAnsi="Book Antiqua" w:cs="宋体"/>
            <w:sz w:val="24"/>
            <w:szCs w:val="24"/>
            <w:lang w:val="en-US" w:eastAsia="zh-CN"/>
          </w:rPr>
          <w:t>Thromboembolism is a leading cause of death in cancer patients receiving outpatientchemotherapy.</w:t>
        </w:r>
      </w:hyperlink>
      <w:r w:rsidRPr="00845A83">
        <w:rPr>
          <w:rFonts w:ascii="Book Antiqua" w:hAnsi="Book Antiqua" w:cs="宋体"/>
          <w:sz w:val="24"/>
          <w:szCs w:val="24"/>
          <w:lang w:val="en-US" w:eastAsia="zh-CN"/>
        </w:rPr>
        <w:t xml:space="preserve"> </w:t>
      </w:r>
      <w:r w:rsidRPr="00845A83">
        <w:rPr>
          <w:rFonts w:ascii="Book Antiqua" w:hAnsi="Book Antiqua" w:cs="宋体"/>
          <w:i/>
          <w:sz w:val="24"/>
          <w:szCs w:val="24"/>
          <w:lang w:val="en-US" w:eastAsia="zh-CN"/>
        </w:rPr>
        <w:t xml:space="preserve">J Thromb Haemost </w:t>
      </w:r>
      <w:r w:rsidRPr="00845A83">
        <w:rPr>
          <w:rFonts w:ascii="Book Antiqua" w:hAnsi="Book Antiqua" w:cs="宋体"/>
          <w:sz w:val="24"/>
          <w:szCs w:val="24"/>
          <w:lang w:val="en-US" w:eastAsia="zh-CN"/>
        </w:rPr>
        <w:t xml:space="preserve">2007; </w:t>
      </w:r>
      <w:r w:rsidRPr="00845A83">
        <w:rPr>
          <w:rFonts w:ascii="Book Antiqua" w:hAnsi="Book Antiqua" w:cs="宋体"/>
          <w:b/>
          <w:sz w:val="24"/>
          <w:szCs w:val="24"/>
          <w:lang w:val="en-US" w:eastAsia="zh-CN"/>
        </w:rPr>
        <w:t>5</w:t>
      </w:r>
      <w:r w:rsidRPr="00845A83">
        <w:rPr>
          <w:rFonts w:ascii="Book Antiqua" w:hAnsi="Book Antiqua" w:cs="宋体"/>
          <w:sz w:val="24"/>
          <w:szCs w:val="24"/>
          <w:lang w:val="en-US" w:eastAsia="zh-CN"/>
        </w:rPr>
        <w:t>:</w:t>
      </w:r>
      <w:r w:rsidR="00000A6B">
        <w:rPr>
          <w:rFonts w:ascii="Book Antiqua" w:hAnsi="Book Antiqua" w:cs="宋体" w:hint="eastAsia"/>
          <w:sz w:val="24"/>
          <w:szCs w:val="24"/>
          <w:lang w:val="en-US" w:eastAsia="zh-CN"/>
        </w:rPr>
        <w:t xml:space="preserve"> </w:t>
      </w:r>
      <w:r w:rsidRPr="00845A83">
        <w:rPr>
          <w:rFonts w:ascii="Book Antiqua" w:hAnsi="Book Antiqua" w:cs="宋体"/>
          <w:sz w:val="24"/>
          <w:szCs w:val="24"/>
          <w:lang w:val="en-US" w:eastAsia="zh-CN"/>
        </w:rPr>
        <w:t>632-634 [PMID: 17319909]</w:t>
      </w:r>
    </w:p>
    <w:p w14:paraId="1A715781" w14:textId="77777777" w:rsidR="009D7CE1" w:rsidRPr="00845A83" w:rsidRDefault="009D7CE1" w:rsidP="00845A83">
      <w:pPr>
        <w:spacing w:after="0" w:line="360" w:lineRule="auto"/>
        <w:jc w:val="both"/>
        <w:rPr>
          <w:rFonts w:ascii="Book Antiqua" w:hAnsi="Book Antiqua"/>
          <w:sz w:val="24"/>
          <w:szCs w:val="24"/>
          <w:lang w:val="en-US" w:eastAsia="zh-CN"/>
        </w:rPr>
      </w:pPr>
    </w:p>
    <w:p w14:paraId="703C820E" w14:textId="7EF5875A" w:rsidR="004F0B9C" w:rsidRPr="00396267" w:rsidRDefault="009D7CE1" w:rsidP="00396267">
      <w:pPr>
        <w:spacing w:after="0" w:line="360" w:lineRule="auto"/>
        <w:jc w:val="right"/>
        <w:rPr>
          <w:rFonts w:ascii="Book Antiqua" w:hAnsi="Book Antiqua"/>
          <w:sz w:val="24"/>
          <w:szCs w:val="24"/>
          <w:lang w:val="en-US"/>
        </w:rPr>
      </w:pPr>
      <w:r w:rsidRPr="00396267">
        <w:rPr>
          <w:rFonts w:ascii="Book Antiqua" w:hAnsi="Book Antiqua"/>
          <w:b/>
          <w:sz w:val="24"/>
          <w:szCs w:val="24"/>
        </w:rPr>
        <w:t>P-Reviewer:</w:t>
      </w:r>
      <w:r w:rsidRPr="00396267">
        <w:rPr>
          <w:rFonts w:ascii="Book Antiqua" w:hAnsi="Book Antiqua" w:cs="Tahoma"/>
          <w:color w:val="000000"/>
          <w:sz w:val="24"/>
          <w:szCs w:val="24"/>
        </w:rPr>
        <w:t xml:space="preserve"> Ferroni</w:t>
      </w:r>
      <w:r w:rsidRPr="00396267">
        <w:rPr>
          <w:rFonts w:ascii="Book Antiqua" w:hAnsi="Book Antiqua" w:cs="Tahoma"/>
          <w:color w:val="000000"/>
          <w:sz w:val="24"/>
          <w:szCs w:val="24"/>
          <w:lang w:eastAsia="zh-CN"/>
        </w:rPr>
        <w:t xml:space="preserve"> P, </w:t>
      </w:r>
      <w:r w:rsidRPr="00396267">
        <w:rPr>
          <w:rFonts w:ascii="Book Antiqua" w:hAnsi="Book Antiqua" w:cs="Tahoma"/>
          <w:color w:val="000000"/>
          <w:sz w:val="24"/>
          <w:szCs w:val="24"/>
        </w:rPr>
        <w:t>Lakatos</w:t>
      </w:r>
      <w:r w:rsidRPr="00396267">
        <w:rPr>
          <w:rFonts w:ascii="Book Antiqua" w:hAnsi="Book Antiqua" w:cs="Tahoma"/>
          <w:color w:val="000000"/>
          <w:sz w:val="24"/>
          <w:szCs w:val="24"/>
          <w:lang w:eastAsia="zh-CN"/>
        </w:rPr>
        <w:t xml:space="preserve"> PL, </w:t>
      </w:r>
      <w:r w:rsidRPr="00396267">
        <w:rPr>
          <w:rFonts w:ascii="Book Antiqua" w:hAnsi="Book Antiqua" w:cs="Tahoma"/>
          <w:color w:val="000000"/>
          <w:sz w:val="24"/>
          <w:szCs w:val="24"/>
        </w:rPr>
        <w:t>Tsikouras</w:t>
      </w:r>
      <w:r w:rsidRPr="00396267">
        <w:rPr>
          <w:rFonts w:ascii="Book Antiqua" w:hAnsi="Book Antiqua" w:cs="Tahoma"/>
          <w:color w:val="000000"/>
          <w:sz w:val="24"/>
          <w:szCs w:val="24"/>
          <w:lang w:eastAsia="zh-CN"/>
        </w:rPr>
        <w:t xml:space="preserve"> P</w:t>
      </w:r>
      <w:r w:rsidRPr="00396267">
        <w:rPr>
          <w:rFonts w:ascii="Book Antiqua" w:hAnsi="Book Antiqua"/>
          <w:b/>
          <w:sz w:val="24"/>
          <w:szCs w:val="24"/>
        </w:rPr>
        <w:t xml:space="preserve"> S-Editor: </w:t>
      </w:r>
      <w:r w:rsidRPr="00396267">
        <w:rPr>
          <w:rFonts w:ascii="Book Antiqua" w:hAnsi="Book Antiqua"/>
          <w:sz w:val="24"/>
          <w:szCs w:val="24"/>
        </w:rPr>
        <w:t>Ji FF</w:t>
      </w:r>
      <w:r w:rsidRPr="00396267">
        <w:rPr>
          <w:rFonts w:ascii="Book Antiqua" w:hAnsi="Book Antiqua"/>
          <w:b/>
          <w:sz w:val="24"/>
          <w:szCs w:val="24"/>
        </w:rPr>
        <w:t xml:space="preserve"> L-Editor: E-Editor:</w:t>
      </w:r>
    </w:p>
    <w:p w14:paraId="5C5635D7" w14:textId="77777777" w:rsidR="004F0B9C" w:rsidRPr="00712539" w:rsidRDefault="004F0B9C" w:rsidP="0093109B">
      <w:pPr>
        <w:autoSpaceDE w:val="0"/>
        <w:autoSpaceDN w:val="0"/>
        <w:adjustRightInd w:val="0"/>
        <w:spacing w:after="0" w:line="360" w:lineRule="auto"/>
        <w:jc w:val="both"/>
        <w:rPr>
          <w:rFonts w:ascii="Book Antiqua" w:hAnsi="Book Antiqua"/>
          <w:sz w:val="24"/>
          <w:szCs w:val="24"/>
          <w:lang w:val="en-US"/>
        </w:rPr>
      </w:pPr>
    </w:p>
    <w:p w14:paraId="725C6287" w14:textId="77777777" w:rsidR="004F0B9C" w:rsidRPr="00712539" w:rsidRDefault="004F0B9C" w:rsidP="0093109B">
      <w:pPr>
        <w:spacing w:after="0" w:line="360" w:lineRule="auto"/>
        <w:jc w:val="both"/>
        <w:rPr>
          <w:rFonts w:ascii="Book Antiqua" w:hAnsi="Book Antiqua"/>
          <w:sz w:val="24"/>
          <w:szCs w:val="24"/>
          <w:lang w:val="en-US"/>
        </w:rPr>
      </w:pPr>
    </w:p>
    <w:p w14:paraId="5D3CC4AF" w14:textId="77777777" w:rsidR="004F0B9C" w:rsidRPr="00712539" w:rsidRDefault="004F0B9C" w:rsidP="0093109B">
      <w:pPr>
        <w:spacing w:after="0" w:line="360" w:lineRule="auto"/>
        <w:jc w:val="both"/>
        <w:rPr>
          <w:rFonts w:ascii="Book Antiqua" w:hAnsi="Book Antiqua"/>
          <w:sz w:val="24"/>
          <w:szCs w:val="24"/>
          <w:lang w:val="en-US"/>
        </w:rPr>
      </w:pPr>
      <w:r w:rsidRPr="00712539">
        <w:rPr>
          <w:rFonts w:ascii="Book Antiqua" w:hAnsi="Book Antiqua"/>
          <w:sz w:val="24"/>
          <w:szCs w:val="24"/>
          <w:lang w:val="en-US"/>
        </w:rPr>
        <w:br w:type="page"/>
      </w:r>
    </w:p>
    <w:p w14:paraId="698F34F3" w14:textId="631362C0" w:rsidR="004F0B9C" w:rsidRPr="00712539" w:rsidRDefault="009D7CE1" w:rsidP="0093109B">
      <w:pPr>
        <w:spacing w:after="0" w:line="360" w:lineRule="auto"/>
        <w:jc w:val="both"/>
        <w:rPr>
          <w:rFonts w:ascii="Book Antiqua" w:hAnsi="Book Antiqua"/>
          <w:b/>
          <w:sz w:val="24"/>
          <w:szCs w:val="24"/>
          <w:lang w:val="en-US" w:eastAsia="zh-CN"/>
        </w:rPr>
      </w:pPr>
      <w:r w:rsidRPr="00712539">
        <w:rPr>
          <w:rFonts w:ascii="Book Antiqua" w:hAnsi="Book Antiqua"/>
          <w:b/>
          <w:sz w:val="24"/>
          <w:szCs w:val="24"/>
          <w:lang w:val="en-US"/>
        </w:rPr>
        <w:lastRenderedPageBreak/>
        <w:t>Table 1</w:t>
      </w:r>
      <w:r w:rsidRPr="00712539">
        <w:rPr>
          <w:rFonts w:ascii="Book Antiqua" w:hAnsi="Book Antiqua"/>
          <w:b/>
          <w:sz w:val="24"/>
          <w:szCs w:val="24"/>
          <w:lang w:val="en-US" w:eastAsia="zh-CN"/>
        </w:rPr>
        <w:t xml:space="preserve"> </w:t>
      </w:r>
      <w:proofErr w:type="gramStart"/>
      <w:r w:rsidR="004F0B9C" w:rsidRPr="00712539">
        <w:rPr>
          <w:rFonts w:ascii="Book Antiqua" w:hAnsi="Book Antiqua"/>
          <w:b/>
          <w:sz w:val="24"/>
          <w:szCs w:val="24"/>
          <w:lang w:val="en-US"/>
        </w:rPr>
        <w:t>Some</w:t>
      </w:r>
      <w:proofErr w:type="gramEnd"/>
      <w:r w:rsidR="004F0B9C" w:rsidRPr="00712539">
        <w:rPr>
          <w:rFonts w:ascii="Book Antiqua" w:hAnsi="Book Antiqua"/>
          <w:b/>
          <w:sz w:val="24"/>
          <w:szCs w:val="24"/>
          <w:lang w:val="en-US"/>
        </w:rPr>
        <w:t xml:space="preserve"> </w:t>
      </w:r>
      <w:r w:rsidR="00520AF4" w:rsidRPr="00712539">
        <w:rPr>
          <w:rFonts w:ascii="Book Antiqua" w:hAnsi="Book Antiqua"/>
          <w:b/>
          <w:sz w:val="24"/>
          <w:szCs w:val="24"/>
          <w:lang w:val="en-US"/>
        </w:rPr>
        <w:t>venous thromboembolic event</w:t>
      </w:r>
      <w:r w:rsidR="004F0B9C" w:rsidRPr="00712539">
        <w:rPr>
          <w:rFonts w:ascii="Book Antiqua" w:hAnsi="Book Antiqua"/>
          <w:b/>
          <w:sz w:val="24"/>
          <w:szCs w:val="24"/>
          <w:lang w:val="en-US"/>
        </w:rPr>
        <w:t xml:space="preserve"> risk factors in cancer patients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25"/>
        <w:gridCol w:w="1843"/>
        <w:gridCol w:w="2880"/>
      </w:tblGrid>
      <w:tr w:rsidR="0093109B" w:rsidRPr="00712539" w14:paraId="331F039E" w14:textId="77777777" w:rsidTr="00630D6E">
        <w:trPr>
          <w:jc w:val="center"/>
        </w:trPr>
        <w:tc>
          <w:tcPr>
            <w:tcW w:w="3925" w:type="dxa"/>
          </w:tcPr>
          <w:p w14:paraId="35EF33BB" w14:textId="77777777" w:rsidR="004F0B9C" w:rsidRPr="00712539" w:rsidRDefault="004F0B9C" w:rsidP="0093109B">
            <w:pPr>
              <w:spacing w:after="0" w:line="360" w:lineRule="auto"/>
              <w:jc w:val="both"/>
              <w:rPr>
                <w:rFonts w:ascii="Book Antiqua" w:hAnsi="Book Antiqua"/>
                <w:b/>
                <w:sz w:val="24"/>
                <w:szCs w:val="24"/>
              </w:rPr>
            </w:pPr>
            <w:r w:rsidRPr="00712539">
              <w:rPr>
                <w:rFonts w:ascii="Book Antiqua" w:hAnsi="Book Antiqua"/>
                <w:b/>
                <w:sz w:val="24"/>
                <w:szCs w:val="24"/>
              </w:rPr>
              <w:t>Cancer-related</w:t>
            </w:r>
          </w:p>
        </w:tc>
        <w:tc>
          <w:tcPr>
            <w:tcW w:w="1800" w:type="dxa"/>
          </w:tcPr>
          <w:p w14:paraId="34A06487" w14:textId="77777777" w:rsidR="004F0B9C" w:rsidRPr="00712539" w:rsidRDefault="004F0B9C" w:rsidP="0093109B">
            <w:pPr>
              <w:spacing w:after="0" w:line="360" w:lineRule="auto"/>
              <w:jc w:val="both"/>
              <w:rPr>
                <w:rFonts w:ascii="Book Antiqua" w:hAnsi="Book Antiqua"/>
                <w:b/>
                <w:sz w:val="24"/>
                <w:szCs w:val="24"/>
              </w:rPr>
            </w:pPr>
            <w:r w:rsidRPr="00712539">
              <w:rPr>
                <w:rFonts w:ascii="Book Antiqua" w:hAnsi="Book Antiqua"/>
                <w:b/>
                <w:sz w:val="24"/>
                <w:szCs w:val="24"/>
              </w:rPr>
              <w:t>Patient-related</w:t>
            </w:r>
          </w:p>
        </w:tc>
        <w:tc>
          <w:tcPr>
            <w:tcW w:w="2880" w:type="dxa"/>
          </w:tcPr>
          <w:p w14:paraId="083D4F7C" w14:textId="77777777" w:rsidR="004F0B9C" w:rsidRPr="00712539" w:rsidRDefault="004F0B9C" w:rsidP="0093109B">
            <w:pPr>
              <w:spacing w:after="0" w:line="360" w:lineRule="auto"/>
              <w:jc w:val="both"/>
              <w:rPr>
                <w:rFonts w:ascii="Book Antiqua" w:hAnsi="Book Antiqua"/>
                <w:b/>
                <w:sz w:val="24"/>
                <w:szCs w:val="24"/>
              </w:rPr>
            </w:pPr>
            <w:r w:rsidRPr="00712539">
              <w:rPr>
                <w:rFonts w:ascii="Book Antiqua" w:hAnsi="Book Antiqua"/>
                <w:b/>
                <w:sz w:val="24"/>
                <w:szCs w:val="24"/>
              </w:rPr>
              <w:t>Treatment-related</w:t>
            </w:r>
          </w:p>
        </w:tc>
      </w:tr>
      <w:tr w:rsidR="0093109B" w:rsidRPr="00712539" w14:paraId="2588A347" w14:textId="77777777" w:rsidTr="00630D6E">
        <w:trPr>
          <w:jc w:val="center"/>
        </w:trPr>
        <w:tc>
          <w:tcPr>
            <w:tcW w:w="8605" w:type="dxa"/>
            <w:gridSpan w:val="3"/>
          </w:tcPr>
          <w:p w14:paraId="47DA8762" w14:textId="77777777" w:rsidR="004F0B9C" w:rsidRPr="00712539" w:rsidRDefault="004F0B9C" w:rsidP="00520AF4">
            <w:pPr>
              <w:rPr>
                <w:rFonts w:ascii="Book Antiqua" w:hAnsi="Book Antiqua"/>
                <w:sz w:val="24"/>
                <w:szCs w:val="24"/>
              </w:rPr>
            </w:pPr>
            <w:r w:rsidRPr="00712539">
              <w:rPr>
                <w:rFonts w:ascii="Book Antiqua" w:hAnsi="Book Antiqua"/>
                <w:sz w:val="24"/>
                <w:szCs w:val="24"/>
              </w:rPr>
              <w:t>Reduced mobility</w:t>
            </w:r>
          </w:p>
        </w:tc>
      </w:tr>
      <w:tr w:rsidR="0093109B" w:rsidRPr="00712539" w14:paraId="7EB61D2A" w14:textId="77777777" w:rsidTr="00630D6E">
        <w:trPr>
          <w:jc w:val="center"/>
        </w:trPr>
        <w:tc>
          <w:tcPr>
            <w:tcW w:w="3925" w:type="dxa"/>
          </w:tcPr>
          <w:p w14:paraId="05ECAB1F" w14:textId="64952210" w:rsidR="004F0B9C" w:rsidRPr="00712539" w:rsidRDefault="004F0B9C" w:rsidP="0093109B">
            <w:pPr>
              <w:spacing w:after="0" w:line="360" w:lineRule="auto"/>
              <w:jc w:val="both"/>
              <w:rPr>
                <w:rFonts w:ascii="Book Antiqua" w:hAnsi="Book Antiqua"/>
                <w:sz w:val="24"/>
                <w:szCs w:val="24"/>
                <w:lang w:val="en-US"/>
              </w:rPr>
            </w:pPr>
            <w:r w:rsidRPr="00712539">
              <w:rPr>
                <w:rFonts w:ascii="Book Antiqua" w:hAnsi="Book Antiqua"/>
                <w:sz w:val="24"/>
                <w:szCs w:val="24"/>
                <w:lang w:val="en-US"/>
              </w:rPr>
              <w:t xml:space="preserve">Primary </w:t>
            </w:r>
            <w:r w:rsidR="00712539" w:rsidRPr="00712539">
              <w:rPr>
                <w:rFonts w:ascii="Book Antiqua" w:hAnsi="Book Antiqua"/>
                <w:sz w:val="24"/>
                <w:szCs w:val="24"/>
                <w:lang w:val="en-US"/>
              </w:rPr>
              <w:t>c</w:t>
            </w:r>
            <w:r w:rsidRPr="00712539">
              <w:rPr>
                <w:rFonts w:ascii="Book Antiqua" w:hAnsi="Book Antiqua"/>
                <w:sz w:val="24"/>
                <w:szCs w:val="24"/>
                <w:lang w:val="en-US"/>
              </w:rPr>
              <w:t>ancer</w:t>
            </w:r>
          </w:p>
          <w:p w14:paraId="636D6CF2" w14:textId="2626E24F" w:rsidR="004F0B9C" w:rsidRPr="00712539" w:rsidRDefault="004F0B9C" w:rsidP="0093109B">
            <w:pPr>
              <w:spacing w:after="0" w:line="360" w:lineRule="auto"/>
              <w:jc w:val="both"/>
              <w:rPr>
                <w:rFonts w:ascii="Book Antiqua" w:hAnsi="Book Antiqua"/>
                <w:sz w:val="24"/>
                <w:szCs w:val="24"/>
                <w:lang w:val="en-US"/>
              </w:rPr>
            </w:pPr>
            <w:r w:rsidRPr="00712539">
              <w:rPr>
                <w:rFonts w:ascii="Book Antiqua" w:hAnsi="Book Antiqua"/>
                <w:sz w:val="24"/>
                <w:szCs w:val="24"/>
                <w:lang w:val="en-US"/>
              </w:rPr>
              <w:t xml:space="preserve"> (</w:t>
            </w:r>
            <w:r w:rsidRPr="00712539">
              <w:rPr>
                <w:rFonts w:ascii="Book Antiqua" w:hAnsi="Book Antiqua"/>
                <w:i/>
                <w:sz w:val="24"/>
                <w:szCs w:val="24"/>
                <w:lang w:val="en-US"/>
              </w:rPr>
              <w:t>e.g.</w:t>
            </w:r>
            <w:r w:rsidR="00712539" w:rsidRPr="00712539">
              <w:rPr>
                <w:rFonts w:ascii="Book Antiqua" w:hAnsi="Book Antiqua"/>
                <w:sz w:val="24"/>
                <w:szCs w:val="24"/>
                <w:lang w:val="en-US" w:eastAsia="zh-CN"/>
              </w:rPr>
              <w:t>,</w:t>
            </w:r>
            <w:r w:rsidRPr="00712539">
              <w:rPr>
                <w:rFonts w:ascii="Book Antiqua" w:hAnsi="Book Antiqua"/>
                <w:sz w:val="24"/>
                <w:szCs w:val="24"/>
                <w:lang w:val="en-US"/>
              </w:rPr>
              <w:t xml:space="preserve"> pancreatic cancer &gt; colo-rectal cancer)</w:t>
            </w:r>
          </w:p>
        </w:tc>
        <w:tc>
          <w:tcPr>
            <w:tcW w:w="1800" w:type="dxa"/>
          </w:tcPr>
          <w:p w14:paraId="77F971F4" w14:textId="77777777" w:rsidR="004F0B9C" w:rsidRPr="00712539" w:rsidRDefault="004F0B9C" w:rsidP="0093109B">
            <w:pPr>
              <w:spacing w:after="0" w:line="360" w:lineRule="auto"/>
              <w:jc w:val="both"/>
              <w:rPr>
                <w:rFonts w:ascii="Book Antiqua" w:hAnsi="Book Antiqua"/>
                <w:sz w:val="24"/>
                <w:szCs w:val="24"/>
              </w:rPr>
            </w:pPr>
            <w:r w:rsidRPr="00712539">
              <w:rPr>
                <w:rFonts w:ascii="Book Antiqua" w:hAnsi="Book Antiqua"/>
                <w:sz w:val="24"/>
                <w:szCs w:val="24"/>
              </w:rPr>
              <w:t>Age</w:t>
            </w:r>
          </w:p>
        </w:tc>
        <w:tc>
          <w:tcPr>
            <w:tcW w:w="2880" w:type="dxa"/>
          </w:tcPr>
          <w:p w14:paraId="37958904" w14:textId="77777777" w:rsidR="004F0B9C" w:rsidRPr="00712539" w:rsidRDefault="004F0B9C" w:rsidP="0093109B">
            <w:pPr>
              <w:spacing w:after="0" w:line="360" w:lineRule="auto"/>
              <w:jc w:val="both"/>
              <w:rPr>
                <w:rFonts w:ascii="Book Antiqua" w:hAnsi="Book Antiqua"/>
                <w:sz w:val="24"/>
                <w:szCs w:val="24"/>
              </w:rPr>
            </w:pPr>
            <w:r w:rsidRPr="00712539">
              <w:rPr>
                <w:rFonts w:ascii="Book Antiqua" w:hAnsi="Book Antiqua"/>
                <w:sz w:val="24"/>
                <w:szCs w:val="24"/>
              </w:rPr>
              <w:t>Operation</w:t>
            </w:r>
          </w:p>
        </w:tc>
      </w:tr>
      <w:tr w:rsidR="0093109B" w:rsidRPr="00712539" w14:paraId="3B2DE55A" w14:textId="77777777" w:rsidTr="00630D6E">
        <w:trPr>
          <w:jc w:val="center"/>
        </w:trPr>
        <w:tc>
          <w:tcPr>
            <w:tcW w:w="3925" w:type="dxa"/>
          </w:tcPr>
          <w:p w14:paraId="2B89D5BC" w14:textId="77777777" w:rsidR="004F0B9C" w:rsidRPr="00712539" w:rsidRDefault="004F0B9C" w:rsidP="0093109B">
            <w:pPr>
              <w:spacing w:after="0" w:line="360" w:lineRule="auto"/>
              <w:jc w:val="both"/>
              <w:rPr>
                <w:rFonts w:ascii="Book Antiqua" w:hAnsi="Book Antiqua"/>
                <w:sz w:val="24"/>
                <w:szCs w:val="24"/>
              </w:rPr>
            </w:pPr>
            <w:r w:rsidRPr="00712539">
              <w:rPr>
                <w:rFonts w:ascii="Book Antiqua" w:hAnsi="Book Antiqua"/>
                <w:sz w:val="24"/>
                <w:szCs w:val="24"/>
              </w:rPr>
              <w:t>Stage (IV &gt; III)</w:t>
            </w:r>
          </w:p>
        </w:tc>
        <w:tc>
          <w:tcPr>
            <w:tcW w:w="1800" w:type="dxa"/>
          </w:tcPr>
          <w:p w14:paraId="61D96257" w14:textId="77777777" w:rsidR="004F0B9C" w:rsidRPr="00712539" w:rsidRDefault="004F0B9C" w:rsidP="0093109B">
            <w:pPr>
              <w:spacing w:after="0" w:line="360" w:lineRule="auto"/>
              <w:jc w:val="both"/>
              <w:rPr>
                <w:rFonts w:ascii="Book Antiqua" w:hAnsi="Book Antiqua"/>
                <w:sz w:val="24"/>
                <w:szCs w:val="24"/>
              </w:rPr>
            </w:pPr>
            <w:r w:rsidRPr="00712539">
              <w:rPr>
                <w:rFonts w:ascii="Book Antiqua" w:hAnsi="Book Antiqua"/>
                <w:sz w:val="24"/>
                <w:szCs w:val="24"/>
              </w:rPr>
              <w:t>History of VTE</w:t>
            </w:r>
          </w:p>
        </w:tc>
        <w:tc>
          <w:tcPr>
            <w:tcW w:w="2880" w:type="dxa"/>
          </w:tcPr>
          <w:p w14:paraId="6B9E83A9" w14:textId="77777777" w:rsidR="004F0B9C" w:rsidRPr="00712539" w:rsidRDefault="004F0B9C" w:rsidP="0093109B">
            <w:pPr>
              <w:spacing w:after="0" w:line="360" w:lineRule="auto"/>
              <w:jc w:val="both"/>
              <w:rPr>
                <w:rFonts w:ascii="Book Antiqua" w:hAnsi="Book Antiqua"/>
                <w:sz w:val="24"/>
                <w:szCs w:val="24"/>
              </w:rPr>
            </w:pPr>
            <w:r w:rsidRPr="00712539">
              <w:rPr>
                <w:rFonts w:ascii="Book Antiqua" w:hAnsi="Book Antiqua"/>
                <w:sz w:val="24"/>
                <w:szCs w:val="24"/>
              </w:rPr>
              <w:t>Chemotherapy</w:t>
            </w:r>
          </w:p>
        </w:tc>
      </w:tr>
      <w:tr w:rsidR="0093109B" w:rsidRPr="00712539" w14:paraId="66CF0CB7" w14:textId="77777777" w:rsidTr="00630D6E">
        <w:trPr>
          <w:jc w:val="center"/>
        </w:trPr>
        <w:tc>
          <w:tcPr>
            <w:tcW w:w="3925" w:type="dxa"/>
          </w:tcPr>
          <w:p w14:paraId="6AC48A61" w14:textId="77777777" w:rsidR="004F0B9C" w:rsidRPr="00712539" w:rsidRDefault="004F0B9C" w:rsidP="0093109B">
            <w:pPr>
              <w:spacing w:after="0" w:line="360" w:lineRule="auto"/>
              <w:jc w:val="both"/>
              <w:rPr>
                <w:rFonts w:ascii="Book Antiqua" w:hAnsi="Book Antiqua"/>
                <w:sz w:val="24"/>
                <w:szCs w:val="24"/>
                <w:lang w:val="en-US"/>
              </w:rPr>
            </w:pPr>
            <w:r w:rsidRPr="00712539">
              <w:rPr>
                <w:rFonts w:ascii="Book Antiqua" w:hAnsi="Book Antiqua"/>
                <w:sz w:val="24"/>
                <w:szCs w:val="24"/>
                <w:lang w:val="en-US"/>
              </w:rPr>
              <w:t>Histology</w:t>
            </w:r>
          </w:p>
          <w:p w14:paraId="10FD9F88" w14:textId="0A01BFFE" w:rsidR="004F0B9C" w:rsidRPr="00712539" w:rsidRDefault="004F0B9C" w:rsidP="0093109B">
            <w:pPr>
              <w:spacing w:after="0" w:line="360" w:lineRule="auto"/>
              <w:jc w:val="both"/>
              <w:rPr>
                <w:rFonts w:ascii="Book Antiqua" w:hAnsi="Book Antiqua"/>
                <w:sz w:val="24"/>
                <w:szCs w:val="24"/>
                <w:lang w:val="en-US"/>
              </w:rPr>
            </w:pPr>
            <w:r w:rsidRPr="00712539">
              <w:rPr>
                <w:rFonts w:ascii="Book Antiqua" w:hAnsi="Book Antiqua"/>
                <w:sz w:val="24"/>
                <w:szCs w:val="24"/>
                <w:lang w:val="en-US"/>
              </w:rPr>
              <w:t>(</w:t>
            </w:r>
            <w:r w:rsidRPr="008E19F2">
              <w:rPr>
                <w:rFonts w:ascii="Book Antiqua" w:hAnsi="Book Antiqua"/>
                <w:i/>
                <w:sz w:val="24"/>
                <w:szCs w:val="24"/>
                <w:lang w:val="en-US"/>
              </w:rPr>
              <w:t>e.g</w:t>
            </w:r>
            <w:r w:rsidRPr="00712539">
              <w:rPr>
                <w:rFonts w:ascii="Book Antiqua" w:hAnsi="Book Antiqua"/>
                <w:sz w:val="24"/>
                <w:szCs w:val="24"/>
                <w:lang w:val="en-US"/>
              </w:rPr>
              <w:t>.</w:t>
            </w:r>
            <w:r w:rsidR="008E19F2">
              <w:rPr>
                <w:rFonts w:ascii="Book Antiqua" w:hAnsi="Book Antiqua" w:hint="eastAsia"/>
                <w:sz w:val="24"/>
                <w:szCs w:val="24"/>
                <w:lang w:val="en-US" w:eastAsia="zh-CN"/>
              </w:rPr>
              <w:t>,</w:t>
            </w:r>
            <w:r w:rsidRPr="00712539">
              <w:rPr>
                <w:rFonts w:ascii="Book Antiqua" w:hAnsi="Book Antiqua"/>
                <w:sz w:val="24"/>
                <w:szCs w:val="24"/>
                <w:lang w:val="en-US"/>
              </w:rPr>
              <w:t xml:space="preserve"> adeno-</w:t>
            </w:r>
            <w:r w:rsidR="00451163" w:rsidRPr="00712539">
              <w:rPr>
                <w:rFonts w:ascii="Book Antiqua" w:hAnsi="Book Antiqua"/>
                <w:sz w:val="24"/>
                <w:szCs w:val="24"/>
                <w:lang w:val="en-US"/>
              </w:rPr>
              <w:t xml:space="preserve"> </w:t>
            </w:r>
            <w:r w:rsidRPr="00712539">
              <w:rPr>
                <w:rFonts w:ascii="Book Antiqua" w:hAnsi="Book Antiqua"/>
                <w:sz w:val="24"/>
                <w:szCs w:val="24"/>
                <w:lang w:val="en-US"/>
              </w:rPr>
              <w:t>&gt; squamous cell-carcinoma)</w:t>
            </w:r>
          </w:p>
        </w:tc>
        <w:tc>
          <w:tcPr>
            <w:tcW w:w="1800" w:type="dxa"/>
          </w:tcPr>
          <w:p w14:paraId="6CDDD448" w14:textId="48CEF882" w:rsidR="004F0B9C" w:rsidRPr="00712539" w:rsidRDefault="008E19F2" w:rsidP="0093109B">
            <w:pPr>
              <w:spacing w:after="0" w:line="360" w:lineRule="auto"/>
              <w:jc w:val="both"/>
              <w:rPr>
                <w:rFonts w:ascii="Book Antiqua" w:hAnsi="Book Antiqua"/>
                <w:sz w:val="24"/>
                <w:szCs w:val="24"/>
              </w:rPr>
            </w:pPr>
            <w:r>
              <w:rPr>
                <w:rFonts w:ascii="Book Antiqua" w:hAnsi="Book Antiqua"/>
                <w:sz w:val="24"/>
                <w:szCs w:val="24"/>
              </w:rPr>
              <w:t>Infection/</w:t>
            </w:r>
            <w:r w:rsidRPr="00712539">
              <w:rPr>
                <w:rFonts w:ascii="Book Antiqua" w:hAnsi="Book Antiqua"/>
                <w:sz w:val="24"/>
                <w:szCs w:val="24"/>
              </w:rPr>
              <w:t>f</w:t>
            </w:r>
            <w:r w:rsidR="004F0B9C" w:rsidRPr="00712539">
              <w:rPr>
                <w:rFonts w:ascii="Book Antiqua" w:hAnsi="Book Antiqua"/>
                <w:sz w:val="24"/>
                <w:szCs w:val="24"/>
              </w:rPr>
              <w:t>ever</w:t>
            </w:r>
          </w:p>
        </w:tc>
        <w:tc>
          <w:tcPr>
            <w:tcW w:w="2880" w:type="dxa"/>
          </w:tcPr>
          <w:p w14:paraId="1525D0FC" w14:textId="73D33E16" w:rsidR="004F0B9C" w:rsidRPr="00712539" w:rsidRDefault="008E19F2" w:rsidP="0093109B">
            <w:pPr>
              <w:spacing w:after="0" w:line="360" w:lineRule="auto"/>
              <w:jc w:val="both"/>
              <w:rPr>
                <w:rFonts w:ascii="Book Antiqua" w:hAnsi="Book Antiqua"/>
                <w:sz w:val="24"/>
                <w:szCs w:val="24"/>
              </w:rPr>
            </w:pPr>
            <w:r>
              <w:rPr>
                <w:rFonts w:ascii="Book Antiqua" w:hAnsi="Book Antiqua"/>
                <w:sz w:val="24"/>
                <w:szCs w:val="24"/>
              </w:rPr>
              <w:t>Central line/</w:t>
            </w:r>
            <w:r w:rsidRPr="00712539">
              <w:rPr>
                <w:rFonts w:ascii="Book Antiqua" w:hAnsi="Book Antiqua"/>
                <w:sz w:val="24"/>
                <w:szCs w:val="24"/>
              </w:rPr>
              <w:t>p</w:t>
            </w:r>
            <w:r w:rsidR="004F0B9C" w:rsidRPr="00712539">
              <w:rPr>
                <w:rFonts w:ascii="Book Antiqua" w:hAnsi="Book Antiqua"/>
                <w:sz w:val="24"/>
                <w:szCs w:val="24"/>
              </w:rPr>
              <w:t>ort catheter</w:t>
            </w:r>
          </w:p>
        </w:tc>
      </w:tr>
      <w:tr w:rsidR="0093109B" w:rsidRPr="00712539" w14:paraId="46AC64A4" w14:textId="77777777" w:rsidTr="00630D6E">
        <w:trPr>
          <w:jc w:val="center"/>
        </w:trPr>
        <w:tc>
          <w:tcPr>
            <w:tcW w:w="3925" w:type="dxa"/>
          </w:tcPr>
          <w:p w14:paraId="3027B906" w14:textId="77777777" w:rsidR="004F0B9C" w:rsidRPr="00712539" w:rsidRDefault="004F0B9C" w:rsidP="0093109B">
            <w:pPr>
              <w:spacing w:after="0" w:line="360" w:lineRule="auto"/>
              <w:jc w:val="both"/>
              <w:rPr>
                <w:rFonts w:ascii="Book Antiqua" w:hAnsi="Book Antiqua"/>
                <w:sz w:val="24"/>
                <w:szCs w:val="24"/>
              </w:rPr>
            </w:pPr>
            <w:r w:rsidRPr="00712539">
              <w:rPr>
                <w:rFonts w:ascii="Book Antiqua" w:hAnsi="Book Antiqua"/>
                <w:sz w:val="24"/>
                <w:szCs w:val="24"/>
              </w:rPr>
              <w:t>Grade (3 &gt; 2)</w:t>
            </w:r>
          </w:p>
        </w:tc>
        <w:tc>
          <w:tcPr>
            <w:tcW w:w="1800" w:type="dxa"/>
          </w:tcPr>
          <w:p w14:paraId="7EF1EE46" w14:textId="77777777" w:rsidR="004F0B9C" w:rsidRPr="00712539" w:rsidRDefault="004F0B9C" w:rsidP="0093109B">
            <w:pPr>
              <w:spacing w:after="0" w:line="360" w:lineRule="auto"/>
              <w:jc w:val="both"/>
              <w:rPr>
                <w:rFonts w:ascii="Book Antiqua" w:hAnsi="Book Antiqua"/>
                <w:sz w:val="24"/>
                <w:szCs w:val="24"/>
              </w:rPr>
            </w:pPr>
          </w:p>
        </w:tc>
        <w:tc>
          <w:tcPr>
            <w:tcW w:w="2880" w:type="dxa"/>
          </w:tcPr>
          <w:p w14:paraId="224EDE21" w14:textId="77777777" w:rsidR="004F0B9C" w:rsidRPr="00712539" w:rsidRDefault="004F0B9C" w:rsidP="0093109B">
            <w:pPr>
              <w:spacing w:after="0" w:line="360" w:lineRule="auto"/>
              <w:jc w:val="both"/>
              <w:rPr>
                <w:rFonts w:ascii="Book Antiqua" w:hAnsi="Book Antiqua"/>
                <w:sz w:val="24"/>
                <w:szCs w:val="24"/>
              </w:rPr>
            </w:pPr>
            <w:r w:rsidRPr="00712539">
              <w:rPr>
                <w:rFonts w:ascii="Book Antiqua" w:hAnsi="Book Antiqua"/>
                <w:sz w:val="24"/>
                <w:szCs w:val="24"/>
              </w:rPr>
              <w:t>Parenteral nutrition</w:t>
            </w:r>
          </w:p>
        </w:tc>
      </w:tr>
      <w:tr w:rsidR="0093109B" w:rsidRPr="00712539" w14:paraId="6DBDF10D" w14:textId="77777777" w:rsidTr="00630D6E">
        <w:trPr>
          <w:jc w:val="center"/>
        </w:trPr>
        <w:tc>
          <w:tcPr>
            <w:tcW w:w="5725" w:type="dxa"/>
            <w:gridSpan w:val="2"/>
          </w:tcPr>
          <w:p w14:paraId="5E9DBA73" w14:textId="77777777" w:rsidR="004F0B9C" w:rsidRPr="00712539" w:rsidRDefault="004F0B9C" w:rsidP="0093109B">
            <w:pPr>
              <w:spacing w:after="0" w:line="360" w:lineRule="auto"/>
              <w:jc w:val="both"/>
              <w:rPr>
                <w:rFonts w:ascii="Book Antiqua" w:hAnsi="Book Antiqua"/>
                <w:sz w:val="24"/>
                <w:szCs w:val="24"/>
              </w:rPr>
            </w:pPr>
            <w:r w:rsidRPr="00712539">
              <w:rPr>
                <w:rFonts w:ascii="Book Antiqua" w:hAnsi="Book Antiqua"/>
                <w:sz w:val="24"/>
                <w:szCs w:val="24"/>
              </w:rPr>
              <w:t>Thrombocytosis</w:t>
            </w:r>
          </w:p>
        </w:tc>
        <w:tc>
          <w:tcPr>
            <w:tcW w:w="2880" w:type="dxa"/>
          </w:tcPr>
          <w:p w14:paraId="6406A392" w14:textId="77777777" w:rsidR="004F0B9C" w:rsidRPr="00712539" w:rsidRDefault="004F0B9C" w:rsidP="0093109B">
            <w:pPr>
              <w:spacing w:after="0" w:line="360" w:lineRule="auto"/>
              <w:jc w:val="both"/>
              <w:rPr>
                <w:rFonts w:ascii="Book Antiqua" w:hAnsi="Book Antiqua"/>
                <w:sz w:val="24"/>
                <w:szCs w:val="24"/>
              </w:rPr>
            </w:pPr>
            <w:r w:rsidRPr="00712539">
              <w:rPr>
                <w:rFonts w:ascii="Book Antiqua" w:hAnsi="Book Antiqua"/>
                <w:sz w:val="24"/>
                <w:szCs w:val="24"/>
              </w:rPr>
              <w:t>Radiation therapy</w:t>
            </w:r>
          </w:p>
        </w:tc>
      </w:tr>
      <w:tr w:rsidR="0093109B" w:rsidRPr="00712539" w14:paraId="24092AA3" w14:textId="77777777" w:rsidTr="00630D6E">
        <w:trPr>
          <w:jc w:val="center"/>
        </w:trPr>
        <w:tc>
          <w:tcPr>
            <w:tcW w:w="5725" w:type="dxa"/>
            <w:gridSpan w:val="2"/>
          </w:tcPr>
          <w:p w14:paraId="2AD577D6" w14:textId="77777777" w:rsidR="004F0B9C" w:rsidRPr="00712539" w:rsidRDefault="004F0B9C" w:rsidP="0093109B">
            <w:pPr>
              <w:spacing w:after="0" w:line="360" w:lineRule="auto"/>
              <w:jc w:val="both"/>
              <w:rPr>
                <w:rFonts w:ascii="Book Antiqua" w:hAnsi="Book Antiqua"/>
                <w:sz w:val="24"/>
                <w:szCs w:val="24"/>
              </w:rPr>
            </w:pPr>
            <w:r w:rsidRPr="00712539">
              <w:rPr>
                <w:rFonts w:ascii="Book Antiqua" w:hAnsi="Book Antiqua"/>
                <w:sz w:val="24"/>
                <w:szCs w:val="24"/>
              </w:rPr>
              <w:t>Leukocytosis</w:t>
            </w:r>
          </w:p>
        </w:tc>
        <w:tc>
          <w:tcPr>
            <w:tcW w:w="2880" w:type="dxa"/>
          </w:tcPr>
          <w:p w14:paraId="5A6306CF" w14:textId="77777777" w:rsidR="004F0B9C" w:rsidRPr="00712539" w:rsidRDefault="004F0B9C" w:rsidP="0093109B">
            <w:pPr>
              <w:spacing w:after="0" w:line="360" w:lineRule="auto"/>
              <w:jc w:val="both"/>
              <w:rPr>
                <w:rFonts w:ascii="Book Antiqua" w:hAnsi="Book Antiqua"/>
                <w:sz w:val="24"/>
                <w:szCs w:val="24"/>
              </w:rPr>
            </w:pPr>
          </w:p>
        </w:tc>
      </w:tr>
      <w:tr w:rsidR="0093109B" w:rsidRPr="00712539" w14:paraId="6A880CE3" w14:textId="77777777" w:rsidTr="00630D6E">
        <w:trPr>
          <w:jc w:val="center"/>
        </w:trPr>
        <w:tc>
          <w:tcPr>
            <w:tcW w:w="5725" w:type="dxa"/>
            <w:gridSpan w:val="2"/>
          </w:tcPr>
          <w:p w14:paraId="0EB57739" w14:textId="29E8FCB4" w:rsidR="004F0B9C" w:rsidRPr="00712539" w:rsidRDefault="004F0B9C" w:rsidP="0093109B">
            <w:pPr>
              <w:spacing w:after="0" w:line="360" w:lineRule="auto"/>
              <w:jc w:val="both"/>
              <w:rPr>
                <w:rFonts w:ascii="Book Antiqua" w:hAnsi="Book Antiqua"/>
                <w:sz w:val="24"/>
                <w:szCs w:val="24"/>
              </w:rPr>
            </w:pPr>
            <w:r w:rsidRPr="00712539">
              <w:rPr>
                <w:rFonts w:ascii="Book Antiqua" w:hAnsi="Book Antiqua"/>
                <w:sz w:val="24"/>
                <w:szCs w:val="24"/>
              </w:rPr>
              <w:t xml:space="preserve">Acute phase (elevated </w:t>
            </w:r>
            <w:r w:rsidR="008E19F2">
              <w:rPr>
                <w:rFonts w:ascii="Book Antiqua" w:hAnsi="Book Antiqua"/>
                <w:sz w:val="24"/>
                <w:szCs w:val="24"/>
              </w:rPr>
              <w:t>CRP</w:t>
            </w:r>
            <w:r w:rsidRPr="00712539">
              <w:rPr>
                <w:rFonts w:ascii="Book Antiqua" w:hAnsi="Book Antiqua"/>
                <w:sz w:val="24"/>
                <w:szCs w:val="24"/>
              </w:rPr>
              <w:t>)</w:t>
            </w:r>
          </w:p>
        </w:tc>
        <w:tc>
          <w:tcPr>
            <w:tcW w:w="2880" w:type="dxa"/>
          </w:tcPr>
          <w:p w14:paraId="62AB8E89" w14:textId="77777777" w:rsidR="004F0B9C" w:rsidRPr="00712539" w:rsidRDefault="004F0B9C" w:rsidP="0093109B">
            <w:pPr>
              <w:spacing w:after="0" w:line="360" w:lineRule="auto"/>
              <w:jc w:val="both"/>
              <w:rPr>
                <w:rFonts w:ascii="Book Antiqua" w:hAnsi="Book Antiqua"/>
                <w:sz w:val="24"/>
                <w:szCs w:val="24"/>
              </w:rPr>
            </w:pPr>
          </w:p>
        </w:tc>
      </w:tr>
      <w:tr w:rsidR="0093109B" w:rsidRPr="00712539" w14:paraId="3283EB3C" w14:textId="77777777" w:rsidTr="00630D6E">
        <w:trPr>
          <w:jc w:val="center"/>
        </w:trPr>
        <w:tc>
          <w:tcPr>
            <w:tcW w:w="5725" w:type="dxa"/>
            <w:gridSpan w:val="2"/>
          </w:tcPr>
          <w:p w14:paraId="0063489F" w14:textId="77777777" w:rsidR="004F0B9C" w:rsidRPr="00712539" w:rsidRDefault="004F0B9C" w:rsidP="0093109B">
            <w:pPr>
              <w:spacing w:after="0" w:line="360" w:lineRule="auto"/>
              <w:jc w:val="both"/>
              <w:rPr>
                <w:rFonts w:ascii="Book Antiqua" w:hAnsi="Book Antiqua"/>
                <w:sz w:val="24"/>
                <w:szCs w:val="24"/>
              </w:rPr>
            </w:pPr>
            <w:r w:rsidRPr="00712539">
              <w:rPr>
                <w:rFonts w:ascii="Book Antiqua" w:hAnsi="Book Antiqua"/>
                <w:sz w:val="24"/>
                <w:szCs w:val="24"/>
              </w:rPr>
              <w:t>Elevated D-dimer</w:t>
            </w:r>
          </w:p>
        </w:tc>
        <w:tc>
          <w:tcPr>
            <w:tcW w:w="2880" w:type="dxa"/>
          </w:tcPr>
          <w:p w14:paraId="7BE59B4E" w14:textId="77777777" w:rsidR="004F0B9C" w:rsidRPr="00712539" w:rsidRDefault="004F0B9C" w:rsidP="0093109B">
            <w:pPr>
              <w:spacing w:after="0" w:line="360" w:lineRule="auto"/>
              <w:jc w:val="both"/>
              <w:rPr>
                <w:rFonts w:ascii="Book Antiqua" w:hAnsi="Book Antiqua"/>
                <w:sz w:val="24"/>
                <w:szCs w:val="24"/>
              </w:rPr>
            </w:pPr>
          </w:p>
        </w:tc>
      </w:tr>
    </w:tbl>
    <w:p w14:paraId="09E4343E" w14:textId="7F21D92C" w:rsidR="004F0B9C" w:rsidRPr="008E19F2" w:rsidRDefault="004F0B9C" w:rsidP="0093109B">
      <w:pPr>
        <w:pStyle w:val="a8"/>
        <w:spacing w:after="0" w:line="360" w:lineRule="auto"/>
        <w:ind w:left="0"/>
        <w:jc w:val="both"/>
        <w:rPr>
          <w:rFonts w:ascii="Book Antiqua" w:hAnsi="Book Antiqua"/>
          <w:sz w:val="24"/>
          <w:szCs w:val="24"/>
          <w:lang w:eastAsia="zh-CN"/>
        </w:rPr>
      </w:pPr>
      <w:r w:rsidRPr="008E19F2">
        <w:rPr>
          <w:rFonts w:ascii="Book Antiqua" w:hAnsi="Book Antiqua"/>
          <w:sz w:val="24"/>
          <w:szCs w:val="24"/>
        </w:rPr>
        <w:t>CRP</w:t>
      </w:r>
      <w:r w:rsidR="008E19F2" w:rsidRPr="008E19F2">
        <w:rPr>
          <w:rFonts w:ascii="Book Antiqua" w:hAnsi="Book Antiqua" w:hint="eastAsia"/>
          <w:sz w:val="24"/>
          <w:szCs w:val="24"/>
          <w:lang w:eastAsia="zh-CN"/>
        </w:rPr>
        <w:t>:</w:t>
      </w:r>
      <w:r w:rsidRPr="008E19F2">
        <w:rPr>
          <w:rFonts w:ascii="Book Antiqua" w:hAnsi="Book Antiqua"/>
          <w:sz w:val="24"/>
          <w:szCs w:val="24"/>
        </w:rPr>
        <w:t xml:space="preserve"> C-reactive protein</w:t>
      </w:r>
      <w:r w:rsidR="008E19F2" w:rsidRPr="008E19F2">
        <w:rPr>
          <w:rFonts w:ascii="Book Antiqua" w:hAnsi="Book Antiqua" w:hint="eastAsia"/>
          <w:sz w:val="24"/>
          <w:szCs w:val="24"/>
          <w:lang w:eastAsia="zh-CN"/>
        </w:rPr>
        <w:t xml:space="preserve">; VTE: </w:t>
      </w:r>
      <w:r w:rsidR="008E19F2" w:rsidRPr="008E19F2">
        <w:rPr>
          <w:rFonts w:ascii="Book Antiqua" w:hAnsi="Book Antiqua"/>
          <w:sz w:val="24"/>
          <w:szCs w:val="24"/>
          <w:lang w:val="en-US"/>
        </w:rPr>
        <w:t>Venous thromboembolic event</w:t>
      </w:r>
      <w:r w:rsidR="008E19F2" w:rsidRPr="008E19F2">
        <w:rPr>
          <w:rFonts w:ascii="Book Antiqua" w:hAnsi="Book Antiqua" w:hint="eastAsia"/>
          <w:sz w:val="24"/>
          <w:szCs w:val="24"/>
          <w:lang w:val="en-US" w:eastAsia="zh-CN"/>
        </w:rPr>
        <w:t>.</w:t>
      </w:r>
    </w:p>
    <w:p w14:paraId="12B4E107" w14:textId="77777777" w:rsidR="004F0B9C" w:rsidRPr="00712539" w:rsidRDefault="004F0B9C" w:rsidP="0093109B">
      <w:pPr>
        <w:spacing w:after="0" w:line="360" w:lineRule="auto"/>
        <w:jc w:val="both"/>
        <w:rPr>
          <w:rFonts w:ascii="Book Antiqua" w:hAnsi="Book Antiqua"/>
          <w:sz w:val="24"/>
          <w:szCs w:val="24"/>
        </w:rPr>
      </w:pPr>
      <w:r w:rsidRPr="00712539">
        <w:rPr>
          <w:rFonts w:ascii="Book Antiqua" w:hAnsi="Book Antiqua"/>
          <w:sz w:val="24"/>
          <w:szCs w:val="24"/>
        </w:rPr>
        <w:br w:type="page"/>
      </w:r>
    </w:p>
    <w:p w14:paraId="15209E4C" w14:textId="28D14405" w:rsidR="004F0B9C" w:rsidRPr="00532399" w:rsidRDefault="00532399" w:rsidP="0093109B">
      <w:pPr>
        <w:spacing w:after="0" w:line="360" w:lineRule="auto"/>
        <w:jc w:val="both"/>
        <w:rPr>
          <w:rFonts w:ascii="Book Antiqua" w:hAnsi="Book Antiqua"/>
          <w:b/>
          <w:sz w:val="24"/>
          <w:szCs w:val="24"/>
          <w:lang w:val="en-US" w:eastAsia="zh-CN"/>
        </w:rPr>
      </w:pPr>
      <w:r w:rsidRPr="00532399">
        <w:rPr>
          <w:rFonts w:ascii="Book Antiqua" w:hAnsi="Book Antiqua"/>
          <w:b/>
          <w:sz w:val="24"/>
          <w:szCs w:val="24"/>
          <w:lang w:val="en-US"/>
        </w:rPr>
        <w:lastRenderedPageBreak/>
        <w:t>Table 2</w:t>
      </w:r>
      <w:r w:rsidRPr="00532399">
        <w:rPr>
          <w:rFonts w:ascii="Book Antiqua" w:hAnsi="Book Antiqua" w:hint="eastAsia"/>
          <w:b/>
          <w:sz w:val="24"/>
          <w:szCs w:val="24"/>
          <w:lang w:val="en-US" w:eastAsia="zh-CN"/>
        </w:rPr>
        <w:t xml:space="preserve"> </w:t>
      </w:r>
      <w:r w:rsidR="004F0B9C" w:rsidRPr="00532399">
        <w:rPr>
          <w:rFonts w:ascii="Book Antiqua" w:hAnsi="Book Antiqua"/>
          <w:b/>
          <w:sz w:val="24"/>
          <w:szCs w:val="24"/>
          <w:lang w:val="en-US"/>
        </w:rPr>
        <w:t>Comprehensive outline of some guidelines focusing on the prevention and treatment of cancer associated venous thromboembolism</w:t>
      </w:r>
    </w:p>
    <w:tbl>
      <w:tblPr>
        <w:tblW w:w="12474" w:type="dxa"/>
        <w:tblInd w:w="-10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4" w:type="dxa"/>
          <w:bottom w:w="55" w:type="dxa"/>
          <w:right w:w="55" w:type="dxa"/>
        </w:tblCellMar>
        <w:tblLook w:val="0000" w:firstRow="0" w:lastRow="0" w:firstColumn="0" w:lastColumn="0" w:noHBand="0" w:noVBand="0"/>
      </w:tblPr>
      <w:tblGrid>
        <w:gridCol w:w="993"/>
        <w:gridCol w:w="1984"/>
        <w:gridCol w:w="2124"/>
        <w:gridCol w:w="2340"/>
        <w:gridCol w:w="2520"/>
        <w:gridCol w:w="104"/>
        <w:gridCol w:w="2409"/>
      </w:tblGrid>
      <w:tr w:rsidR="0093109B" w:rsidRPr="00532399" w14:paraId="210F583D" w14:textId="77777777" w:rsidTr="00532399">
        <w:tc>
          <w:tcPr>
            <w:tcW w:w="993" w:type="dxa"/>
            <w:tcMar>
              <w:left w:w="54" w:type="dxa"/>
            </w:tcMar>
          </w:tcPr>
          <w:p w14:paraId="1F6592F7" w14:textId="77777777" w:rsidR="004F0B9C" w:rsidRPr="00532399" w:rsidRDefault="004F0B9C" w:rsidP="0093109B">
            <w:pPr>
              <w:pStyle w:val="TabellenInhalt"/>
              <w:spacing w:line="360" w:lineRule="auto"/>
              <w:jc w:val="both"/>
              <w:rPr>
                <w:rFonts w:ascii="Book Antiqua" w:hAnsi="Book Antiqua"/>
                <w:lang w:val="en-US"/>
              </w:rPr>
            </w:pPr>
          </w:p>
        </w:tc>
        <w:tc>
          <w:tcPr>
            <w:tcW w:w="6448" w:type="dxa"/>
            <w:gridSpan w:val="3"/>
            <w:tcMar>
              <w:left w:w="54" w:type="dxa"/>
            </w:tcMar>
          </w:tcPr>
          <w:p w14:paraId="16C3E0E7" w14:textId="10DC5087" w:rsidR="004F0B9C" w:rsidRPr="00532399" w:rsidRDefault="00532399" w:rsidP="0093109B">
            <w:pPr>
              <w:pStyle w:val="TabellenInhalt"/>
              <w:spacing w:line="360" w:lineRule="auto"/>
              <w:jc w:val="both"/>
              <w:rPr>
                <w:rFonts w:ascii="Book Antiqua" w:hAnsi="Book Antiqua"/>
                <w:b/>
                <w:bCs/>
                <w:lang w:val="en-US"/>
              </w:rPr>
            </w:pPr>
            <w:r w:rsidRPr="00532399">
              <w:rPr>
                <w:rFonts w:ascii="Book Antiqua" w:hAnsi="Book Antiqua"/>
                <w:b/>
                <w:bCs/>
                <w:lang w:val="en-US"/>
              </w:rPr>
              <w:t>Primary prophylaxis/pre</w:t>
            </w:r>
            <w:r w:rsidR="004F0B9C" w:rsidRPr="00532399">
              <w:rPr>
                <w:rFonts w:ascii="Book Antiqua" w:hAnsi="Book Antiqua"/>
                <w:b/>
                <w:bCs/>
                <w:lang w:val="en-US"/>
              </w:rPr>
              <w:t>vention of VTE in cancer patients</w:t>
            </w:r>
          </w:p>
        </w:tc>
        <w:tc>
          <w:tcPr>
            <w:tcW w:w="5033" w:type="dxa"/>
            <w:gridSpan w:val="3"/>
            <w:tcMar>
              <w:left w:w="54" w:type="dxa"/>
            </w:tcMar>
          </w:tcPr>
          <w:p w14:paraId="7397C938" w14:textId="4E51A61F" w:rsidR="004F0B9C" w:rsidRPr="00532399" w:rsidRDefault="004F0B9C" w:rsidP="0093109B">
            <w:pPr>
              <w:pStyle w:val="TabellenInhalt"/>
              <w:spacing w:line="360" w:lineRule="auto"/>
              <w:jc w:val="both"/>
              <w:rPr>
                <w:rFonts w:ascii="Book Antiqua" w:hAnsi="Book Antiqua"/>
                <w:lang w:val="en-US"/>
              </w:rPr>
            </w:pPr>
            <w:r w:rsidRPr="00532399">
              <w:rPr>
                <w:rFonts w:ascii="Book Antiqua" w:hAnsi="Book Antiqua"/>
                <w:b/>
                <w:bCs/>
                <w:lang w:val="en-US"/>
              </w:rPr>
              <w:t>Treatment of cancer-associated</w:t>
            </w:r>
            <w:r w:rsidR="00451163" w:rsidRPr="00532399">
              <w:rPr>
                <w:rFonts w:ascii="Book Antiqua" w:hAnsi="Book Antiqua"/>
                <w:b/>
                <w:bCs/>
                <w:lang w:val="en-US"/>
              </w:rPr>
              <w:t xml:space="preserve"> </w:t>
            </w:r>
            <w:r w:rsidRPr="00532399">
              <w:rPr>
                <w:rFonts w:ascii="Book Antiqua" w:hAnsi="Book Antiqua"/>
                <w:b/>
                <w:bCs/>
                <w:lang w:val="en-US"/>
              </w:rPr>
              <w:t>VTE</w:t>
            </w:r>
          </w:p>
        </w:tc>
      </w:tr>
      <w:tr w:rsidR="0093109B" w:rsidRPr="00532399" w14:paraId="48A3E086" w14:textId="77777777" w:rsidTr="00532399">
        <w:tblPrEx>
          <w:tblCellMar>
            <w:top w:w="0" w:type="dxa"/>
            <w:left w:w="108" w:type="dxa"/>
            <w:bottom w:w="0" w:type="dxa"/>
            <w:right w:w="108" w:type="dxa"/>
          </w:tblCellMar>
        </w:tblPrEx>
        <w:tc>
          <w:tcPr>
            <w:tcW w:w="993" w:type="dxa"/>
          </w:tcPr>
          <w:p w14:paraId="64B8EF67" w14:textId="77777777" w:rsidR="004F0B9C" w:rsidRPr="00532399" w:rsidRDefault="004F0B9C" w:rsidP="0093109B">
            <w:pPr>
              <w:pStyle w:val="TabellenInhalt"/>
              <w:spacing w:line="360" w:lineRule="auto"/>
              <w:jc w:val="both"/>
              <w:rPr>
                <w:rFonts w:ascii="Book Antiqua" w:hAnsi="Book Antiqua"/>
                <w:lang w:val="en-US"/>
              </w:rPr>
            </w:pPr>
          </w:p>
        </w:tc>
        <w:tc>
          <w:tcPr>
            <w:tcW w:w="1984" w:type="dxa"/>
          </w:tcPr>
          <w:p w14:paraId="25C53B0E" w14:textId="77777777" w:rsidR="004F0B9C" w:rsidRPr="00532399" w:rsidRDefault="004F0B9C" w:rsidP="0093109B">
            <w:pPr>
              <w:pStyle w:val="TabellenInhalt"/>
              <w:spacing w:line="360" w:lineRule="auto"/>
              <w:jc w:val="both"/>
              <w:rPr>
                <w:rFonts w:ascii="Book Antiqua" w:hAnsi="Book Antiqua"/>
                <w:b/>
                <w:bCs/>
              </w:rPr>
            </w:pPr>
            <w:r w:rsidRPr="00532399">
              <w:rPr>
                <w:rFonts w:ascii="Book Antiqua" w:hAnsi="Book Antiqua"/>
                <w:b/>
                <w:bCs/>
              </w:rPr>
              <w:t>Surgical Patients</w:t>
            </w:r>
          </w:p>
        </w:tc>
        <w:tc>
          <w:tcPr>
            <w:tcW w:w="2124" w:type="dxa"/>
          </w:tcPr>
          <w:p w14:paraId="1A774C80" w14:textId="77777777" w:rsidR="004F0B9C" w:rsidRPr="00532399" w:rsidRDefault="004F0B9C" w:rsidP="0093109B">
            <w:pPr>
              <w:pStyle w:val="TabellenInhalt"/>
              <w:spacing w:line="360" w:lineRule="auto"/>
              <w:jc w:val="both"/>
              <w:rPr>
                <w:rFonts w:ascii="Book Antiqua" w:hAnsi="Book Antiqua"/>
                <w:b/>
                <w:bCs/>
              </w:rPr>
            </w:pPr>
            <w:r w:rsidRPr="00532399">
              <w:rPr>
                <w:rFonts w:ascii="Book Antiqua" w:hAnsi="Book Antiqua"/>
                <w:b/>
                <w:bCs/>
              </w:rPr>
              <w:t>In-patients (non surgical)</w:t>
            </w:r>
          </w:p>
        </w:tc>
        <w:tc>
          <w:tcPr>
            <w:tcW w:w="2340" w:type="dxa"/>
          </w:tcPr>
          <w:p w14:paraId="6DBE77C1" w14:textId="77777777" w:rsidR="004F0B9C" w:rsidRPr="00532399" w:rsidRDefault="004F0B9C" w:rsidP="0093109B">
            <w:pPr>
              <w:pStyle w:val="TabellenInhalt"/>
              <w:spacing w:line="360" w:lineRule="auto"/>
              <w:jc w:val="both"/>
              <w:rPr>
                <w:rFonts w:ascii="Book Antiqua" w:hAnsi="Book Antiqua"/>
                <w:b/>
                <w:bCs/>
              </w:rPr>
            </w:pPr>
            <w:r w:rsidRPr="00532399">
              <w:rPr>
                <w:rFonts w:ascii="Book Antiqua" w:hAnsi="Book Antiqua"/>
                <w:b/>
                <w:bCs/>
              </w:rPr>
              <w:t>Out-patients</w:t>
            </w:r>
          </w:p>
        </w:tc>
        <w:tc>
          <w:tcPr>
            <w:tcW w:w="2520" w:type="dxa"/>
          </w:tcPr>
          <w:p w14:paraId="3F051C3A" w14:textId="239E046A" w:rsidR="004F0B9C" w:rsidRPr="00532399" w:rsidRDefault="00532399" w:rsidP="0093109B">
            <w:pPr>
              <w:pStyle w:val="TabellenInhalt"/>
              <w:spacing w:line="360" w:lineRule="auto"/>
              <w:jc w:val="both"/>
              <w:rPr>
                <w:rFonts w:ascii="Book Antiqua" w:hAnsi="Book Antiqua"/>
                <w:b/>
                <w:bCs/>
              </w:rPr>
            </w:pPr>
            <w:r>
              <w:rPr>
                <w:rFonts w:ascii="Book Antiqua" w:hAnsi="Book Antiqua"/>
                <w:b/>
                <w:bCs/>
              </w:rPr>
              <w:t>Acute/</w:t>
            </w:r>
            <w:r w:rsidR="004F0B9C" w:rsidRPr="00532399">
              <w:rPr>
                <w:rFonts w:ascii="Book Antiqua" w:hAnsi="Book Antiqua"/>
                <w:b/>
                <w:bCs/>
              </w:rPr>
              <w:t>initial</w:t>
            </w:r>
          </w:p>
        </w:tc>
        <w:tc>
          <w:tcPr>
            <w:tcW w:w="2513" w:type="dxa"/>
            <w:gridSpan w:val="2"/>
          </w:tcPr>
          <w:p w14:paraId="4218B350" w14:textId="0FD6D7B4" w:rsidR="004F0B9C" w:rsidRPr="00532399" w:rsidRDefault="00532399" w:rsidP="0093109B">
            <w:pPr>
              <w:pStyle w:val="TabellenInhalt"/>
              <w:spacing w:line="360" w:lineRule="auto"/>
              <w:jc w:val="both"/>
              <w:rPr>
                <w:rFonts w:ascii="Book Antiqua" w:hAnsi="Book Antiqua"/>
                <w:b/>
                <w:bCs/>
              </w:rPr>
            </w:pPr>
            <w:r>
              <w:rPr>
                <w:rFonts w:ascii="Book Antiqua" w:hAnsi="Book Antiqua"/>
                <w:b/>
                <w:bCs/>
              </w:rPr>
              <w:t>Long-term/</w:t>
            </w:r>
            <w:r w:rsidR="004F0B9C" w:rsidRPr="00532399">
              <w:rPr>
                <w:rFonts w:ascii="Book Antiqua" w:hAnsi="Book Antiqua"/>
                <w:b/>
                <w:bCs/>
              </w:rPr>
              <w:t>secondary prevention</w:t>
            </w:r>
          </w:p>
        </w:tc>
      </w:tr>
      <w:tr w:rsidR="0093109B" w:rsidRPr="00532399" w14:paraId="14F73711" w14:textId="77777777" w:rsidTr="00532399">
        <w:tblPrEx>
          <w:tblCellMar>
            <w:top w:w="0" w:type="dxa"/>
            <w:left w:w="108" w:type="dxa"/>
            <w:bottom w:w="0" w:type="dxa"/>
            <w:right w:w="108" w:type="dxa"/>
          </w:tblCellMar>
        </w:tblPrEx>
        <w:tc>
          <w:tcPr>
            <w:tcW w:w="993" w:type="dxa"/>
          </w:tcPr>
          <w:p w14:paraId="51E95410" w14:textId="77777777" w:rsidR="004F0B9C" w:rsidRPr="00532399" w:rsidRDefault="004F0B9C" w:rsidP="0093109B">
            <w:pPr>
              <w:pStyle w:val="TabellenInhalt"/>
              <w:spacing w:line="360" w:lineRule="auto"/>
              <w:jc w:val="both"/>
              <w:rPr>
                <w:rFonts w:ascii="Book Antiqua" w:hAnsi="Book Antiqua"/>
                <w:b/>
                <w:bCs/>
                <w:vertAlign w:val="superscript"/>
              </w:rPr>
            </w:pPr>
            <w:r w:rsidRPr="00532399">
              <w:rPr>
                <w:rFonts w:ascii="Book Antiqua" w:hAnsi="Book Antiqua"/>
                <w:b/>
                <w:bCs/>
              </w:rPr>
              <w:t>ASCO Guidelines 2013</w:t>
            </w:r>
            <w:r w:rsidRPr="00532399">
              <w:rPr>
                <w:rFonts w:ascii="Book Antiqua" w:hAnsi="Book Antiqua"/>
                <w:b/>
                <w:bCs/>
                <w:vertAlign w:val="superscript"/>
              </w:rPr>
              <w:t>[15]</w:t>
            </w:r>
          </w:p>
        </w:tc>
        <w:tc>
          <w:tcPr>
            <w:tcW w:w="1984" w:type="dxa"/>
          </w:tcPr>
          <w:p w14:paraId="7F4ACC6A" w14:textId="29034F37" w:rsidR="004F0B9C" w:rsidRPr="00532399" w:rsidRDefault="004F0B9C" w:rsidP="0093109B">
            <w:pPr>
              <w:pStyle w:val="TabellenInhalt"/>
              <w:spacing w:line="360" w:lineRule="auto"/>
              <w:jc w:val="both"/>
              <w:rPr>
                <w:rFonts w:ascii="Book Antiqua" w:hAnsi="Book Antiqua"/>
              </w:rPr>
            </w:pPr>
            <w:r w:rsidRPr="00532399">
              <w:rPr>
                <w:rFonts w:ascii="Book Antiqua" w:hAnsi="Book Antiqua"/>
              </w:rPr>
              <w:t>UFH,</w:t>
            </w:r>
            <w:r w:rsidR="00451163" w:rsidRPr="00532399">
              <w:rPr>
                <w:rFonts w:ascii="Book Antiqua" w:hAnsi="Book Antiqua"/>
              </w:rPr>
              <w:t xml:space="preserve"> </w:t>
            </w:r>
          </w:p>
          <w:p w14:paraId="73910035" w14:textId="77777777" w:rsidR="004F0B9C" w:rsidRPr="00532399" w:rsidRDefault="004F0B9C" w:rsidP="0093109B">
            <w:pPr>
              <w:pStyle w:val="TabellenInhalt"/>
              <w:spacing w:line="360" w:lineRule="auto"/>
              <w:jc w:val="both"/>
              <w:rPr>
                <w:rFonts w:ascii="Book Antiqua" w:hAnsi="Book Antiqua"/>
              </w:rPr>
            </w:pPr>
            <w:r w:rsidRPr="00532399">
              <w:rPr>
                <w:rFonts w:ascii="Book Antiqua" w:hAnsi="Book Antiqua"/>
              </w:rPr>
              <w:t xml:space="preserve">LMWH </w:t>
            </w:r>
          </w:p>
          <w:p w14:paraId="54060D88" w14:textId="5010CAB3" w:rsidR="004F0B9C" w:rsidRPr="00532399" w:rsidRDefault="004F0B9C" w:rsidP="0093109B">
            <w:pPr>
              <w:pStyle w:val="TabellenInhalt"/>
              <w:spacing w:line="360" w:lineRule="auto"/>
              <w:jc w:val="both"/>
              <w:rPr>
                <w:rFonts w:ascii="Book Antiqua" w:hAnsi="Book Antiqua"/>
              </w:rPr>
            </w:pPr>
            <w:r w:rsidRPr="00532399">
              <w:rPr>
                <w:rFonts w:ascii="Book Antiqua" w:hAnsi="Book Antiqua"/>
              </w:rPr>
              <w:t>(Dalteparin, Enoxaparin),</w:t>
            </w:r>
            <w:r w:rsidR="00532399">
              <w:rPr>
                <w:rFonts w:ascii="Book Antiqua" w:hAnsi="Book Antiqua" w:hint="eastAsia"/>
              </w:rPr>
              <w:t xml:space="preserve"> </w:t>
            </w:r>
            <w:r w:rsidRPr="00532399">
              <w:rPr>
                <w:rFonts w:ascii="Book Antiqua" w:hAnsi="Book Antiqua"/>
              </w:rPr>
              <w:t>Fondaparinux</w:t>
            </w:r>
          </w:p>
        </w:tc>
        <w:tc>
          <w:tcPr>
            <w:tcW w:w="2124" w:type="dxa"/>
          </w:tcPr>
          <w:p w14:paraId="0741F2FA" w14:textId="77777777" w:rsidR="004F0B9C" w:rsidRPr="00532399" w:rsidRDefault="004F0B9C" w:rsidP="0093109B">
            <w:pPr>
              <w:spacing w:after="0" w:line="360" w:lineRule="auto"/>
              <w:jc w:val="both"/>
              <w:rPr>
                <w:rFonts w:ascii="Book Antiqua" w:hAnsi="Book Antiqua"/>
                <w:sz w:val="24"/>
                <w:szCs w:val="24"/>
              </w:rPr>
            </w:pPr>
            <w:r w:rsidRPr="00532399">
              <w:rPr>
                <w:rFonts w:ascii="Book Antiqua" w:hAnsi="Book Antiqua"/>
                <w:sz w:val="24"/>
                <w:szCs w:val="24"/>
              </w:rPr>
              <w:t xml:space="preserve">UFH, LMWH </w:t>
            </w:r>
          </w:p>
          <w:p w14:paraId="081308C3" w14:textId="77777777" w:rsidR="004F0B9C" w:rsidRPr="00532399" w:rsidRDefault="004F0B9C" w:rsidP="0093109B">
            <w:pPr>
              <w:spacing w:after="0" w:line="360" w:lineRule="auto"/>
              <w:jc w:val="both"/>
              <w:rPr>
                <w:rFonts w:ascii="Book Antiqua" w:hAnsi="Book Antiqua"/>
                <w:sz w:val="24"/>
                <w:szCs w:val="24"/>
              </w:rPr>
            </w:pPr>
            <w:r w:rsidRPr="00532399">
              <w:rPr>
                <w:rFonts w:ascii="Book Antiqua" w:hAnsi="Book Antiqua"/>
                <w:sz w:val="24"/>
                <w:szCs w:val="24"/>
              </w:rPr>
              <w:t>(Dalteparin, Enoxaparin), Fondaparinux</w:t>
            </w:r>
          </w:p>
        </w:tc>
        <w:tc>
          <w:tcPr>
            <w:tcW w:w="2340" w:type="dxa"/>
            <w:vMerge w:val="restart"/>
          </w:tcPr>
          <w:p w14:paraId="5D43CD32" w14:textId="4A1E01BD" w:rsidR="004F0B9C" w:rsidRPr="00532399" w:rsidRDefault="00532399" w:rsidP="0093109B">
            <w:pPr>
              <w:pStyle w:val="a9"/>
              <w:spacing w:after="0" w:line="360" w:lineRule="auto"/>
              <w:jc w:val="both"/>
              <w:rPr>
                <w:rFonts w:ascii="Book Antiqua" w:hAnsi="Book Antiqua"/>
                <w:lang w:val="en-US"/>
              </w:rPr>
            </w:pPr>
            <w:r>
              <w:rPr>
                <w:rFonts w:ascii="Book Antiqua" w:hAnsi="Book Antiqua"/>
                <w:lang w:val="en-US"/>
              </w:rPr>
              <w:t>1</w:t>
            </w:r>
            <w:r>
              <w:rPr>
                <w:rFonts w:ascii="Book Antiqua" w:hAnsi="Book Antiqua" w:hint="eastAsia"/>
                <w:lang w:val="en-US"/>
              </w:rPr>
              <w:t xml:space="preserve"> </w:t>
            </w:r>
            <w:r w:rsidR="004F0B9C" w:rsidRPr="00532399">
              <w:rPr>
                <w:rFonts w:ascii="Book Antiqua" w:hAnsi="Book Antiqua"/>
                <w:lang w:val="en-US"/>
              </w:rPr>
              <w:t>Not recommended routinely</w:t>
            </w:r>
            <w:r w:rsidR="003E3C73" w:rsidRPr="003E3C73">
              <w:rPr>
                <w:rFonts w:ascii="Book Antiqua" w:hAnsi="Book Antiqua" w:hint="eastAsia"/>
                <w:vertAlign w:val="superscript"/>
                <w:lang w:val="en-US"/>
              </w:rPr>
              <w:t>a</w:t>
            </w:r>
          </w:p>
          <w:p w14:paraId="0D23E563" w14:textId="59B476A2" w:rsidR="004F0B9C" w:rsidRPr="00532399" w:rsidRDefault="00532399" w:rsidP="0093109B">
            <w:pPr>
              <w:pStyle w:val="a9"/>
              <w:spacing w:after="0" w:line="360" w:lineRule="auto"/>
              <w:jc w:val="both"/>
              <w:rPr>
                <w:rFonts w:ascii="Book Antiqua" w:hAnsi="Book Antiqua"/>
                <w:lang w:val="en-US"/>
              </w:rPr>
            </w:pPr>
            <w:r>
              <w:rPr>
                <w:rFonts w:ascii="Book Antiqua" w:hAnsi="Book Antiqua"/>
                <w:lang w:val="en-US"/>
              </w:rPr>
              <w:t>2</w:t>
            </w:r>
            <w:r>
              <w:rPr>
                <w:rFonts w:ascii="Book Antiqua" w:hAnsi="Book Antiqua" w:hint="eastAsia"/>
                <w:lang w:val="en-US"/>
              </w:rPr>
              <w:t xml:space="preserve"> </w:t>
            </w:r>
            <w:r>
              <w:rPr>
                <w:rFonts w:ascii="Book Antiqua" w:hAnsi="Book Antiqua"/>
                <w:lang w:val="en-US"/>
              </w:rPr>
              <w:t>LMWH may be considered</w:t>
            </w:r>
          </w:p>
          <w:p w14:paraId="3523C1DC" w14:textId="42CE1617" w:rsidR="004F0B9C" w:rsidRPr="00532399" w:rsidRDefault="003E3C73" w:rsidP="0093109B">
            <w:pPr>
              <w:autoSpaceDE w:val="0"/>
              <w:autoSpaceDN w:val="0"/>
              <w:adjustRightInd w:val="0"/>
              <w:spacing w:after="0" w:line="360" w:lineRule="auto"/>
              <w:jc w:val="both"/>
              <w:rPr>
                <w:rFonts w:ascii="Book Antiqua" w:hAnsi="Book Antiqua" w:cs="Arial"/>
                <w:sz w:val="24"/>
                <w:szCs w:val="24"/>
                <w:lang w:val="en-US"/>
              </w:rPr>
            </w:pPr>
            <w:r w:rsidRPr="003E3C73">
              <w:rPr>
                <w:rFonts w:ascii="Book Antiqua" w:hAnsi="Book Antiqua" w:cs="Arial" w:hint="eastAsia"/>
                <w:sz w:val="24"/>
                <w:szCs w:val="24"/>
                <w:vertAlign w:val="superscript"/>
                <w:lang w:val="en-US" w:eastAsia="zh-CN"/>
              </w:rPr>
              <w:t>a</w:t>
            </w:r>
            <w:r w:rsidR="004F0B9C" w:rsidRPr="00532399">
              <w:rPr>
                <w:rFonts w:ascii="Book Antiqua" w:hAnsi="Book Antiqua" w:cs="Arial"/>
                <w:sz w:val="24"/>
                <w:szCs w:val="24"/>
                <w:lang w:val="en-US"/>
              </w:rPr>
              <w:t>It may be considered for highly</w:t>
            </w:r>
          </w:p>
          <w:p w14:paraId="37D0E5EC" w14:textId="77777777" w:rsidR="004F0B9C" w:rsidRPr="00532399" w:rsidRDefault="004F0B9C" w:rsidP="0093109B">
            <w:pPr>
              <w:pStyle w:val="a9"/>
              <w:spacing w:after="0" w:line="360" w:lineRule="auto"/>
              <w:jc w:val="both"/>
              <w:rPr>
                <w:rFonts w:ascii="Book Antiqua" w:hAnsi="Book Antiqua"/>
                <w:lang w:val="en-US"/>
              </w:rPr>
            </w:pPr>
            <w:r w:rsidRPr="00532399">
              <w:rPr>
                <w:rFonts w:ascii="Book Antiqua" w:hAnsi="Book Antiqua" w:cs="Arial"/>
                <w:lang w:bidi="ar-SA"/>
              </w:rPr>
              <w:t>select high-risk patients</w:t>
            </w:r>
          </w:p>
        </w:tc>
        <w:tc>
          <w:tcPr>
            <w:tcW w:w="2520" w:type="dxa"/>
          </w:tcPr>
          <w:p w14:paraId="64114FC5" w14:textId="77777777" w:rsidR="004F0B9C" w:rsidRPr="00532399" w:rsidRDefault="004F0B9C" w:rsidP="0093109B">
            <w:pPr>
              <w:pStyle w:val="TabellenInhalt"/>
              <w:spacing w:line="360" w:lineRule="auto"/>
              <w:jc w:val="both"/>
              <w:rPr>
                <w:rFonts w:ascii="Book Antiqua" w:hAnsi="Book Antiqua"/>
              </w:rPr>
            </w:pPr>
            <w:r w:rsidRPr="00532399">
              <w:rPr>
                <w:rFonts w:ascii="Book Antiqua" w:hAnsi="Book Antiqua"/>
              </w:rPr>
              <w:t xml:space="preserve">UFH, </w:t>
            </w:r>
          </w:p>
          <w:p w14:paraId="072E2BE3" w14:textId="77777777" w:rsidR="004F0B9C" w:rsidRPr="00532399" w:rsidRDefault="004F0B9C" w:rsidP="0093109B">
            <w:pPr>
              <w:pStyle w:val="TabellenInhalt"/>
              <w:spacing w:line="360" w:lineRule="auto"/>
              <w:jc w:val="both"/>
              <w:rPr>
                <w:rFonts w:ascii="Book Antiqua" w:hAnsi="Book Antiqua"/>
              </w:rPr>
            </w:pPr>
            <w:r w:rsidRPr="00532399">
              <w:rPr>
                <w:rFonts w:ascii="Book Antiqua" w:hAnsi="Book Antiqua"/>
              </w:rPr>
              <w:t>LMWH</w:t>
            </w:r>
          </w:p>
          <w:p w14:paraId="1156457C" w14:textId="77777777" w:rsidR="004F0B9C" w:rsidRPr="00532399" w:rsidRDefault="004F0B9C" w:rsidP="0093109B">
            <w:pPr>
              <w:pStyle w:val="TabellenInhalt"/>
              <w:spacing w:line="360" w:lineRule="auto"/>
              <w:jc w:val="both"/>
              <w:rPr>
                <w:rFonts w:ascii="Book Antiqua" w:hAnsi="Book Antiqua"/>
              </w:rPr>
            </w:pPr>
            <w:r w:rsidRPr="00532399">
              <w:rPr>
                <w:rFonts w:ascii="Book Antiqua" w:hAnsi="Book Antiqua"/>
              </w:rPr>
              <w:t>(Dalteparin, Enoxaparin,Tinzaparin), Fondaparinux</w:t>
            </w:r>
          </w:p>
        </w:tc>
        <w:tc>
          <w:tcPr>
            <w:tcW w:w="2513" w:type="dxa"/>
            <w:gridSpan w:val="2"/>
          </w:tcPr>
          <w:p w14:paraId="35B46B5B" w14:textId="77777777" w:rsidR="004F0B9C" w:rsidRPr="00532399" w:rsidRDefault="004F0B9C" w:rsidP="0093109B">
            <w:pPr>
              <w:spacing w:after="0" w:line="360" w:lineRule="auto"/>
              <w:jc w:val="both"/>
              <w:rPr>
                <w:rFonts w:ascii="Book Antiqua" w:hAnsi="Book Antiqua"/>
                <w:sz w:val="24"/>
                <w:szCs w:val="24"/>
              </w:rPr>
            </w:pPr>
            <w:r w:rsidRPr="00532399">
              <w:rPr>
                <w:rFonts w:ascii="Book Antiqua" w:hAnsi="Book Antiqua"/>
                <w:sz w:val="24"/>
                <w:szCs w:val="24"/>
              </w:rPr>
              <w:t xml:space="preserve">LMWH </w:t>
            </w:r>
          </w:p>
          <w:p w14:paraId="65875C92" w14:textId="77777777" w:rsidR="004F0B9C" w:rsidRPr="00532399" w:rsidRDefault="004F0B9C" w:rsidP="0093109B">
            <w:pPr>
              <w:spacing w:after="0" w:line="360" w:lineRule="auto"/>
              <w:jc w:val="both"/>
              <w:rPr>
                <w:rFonts w:ascii="Book Antiqua" w:hAnsi="Book Antiqua"/>
                <w:sz w:val="24"/>
                <w:szCs w:val="24"/>
              </w:rPr>
            </w:pPr>
            <w:r w:rsidRPr="00532399">
              <w:rPr>
                <w:rFonts w:ascii="Book Antiqua" w:hAnsi="Book Antiqua"/>
                <w:sz w:val="24"/>
                <w:szCs w:val="24"/>
              </w:rPr>
              <w:t>(Dalteparin, Enoxaparin,Tinzaparin)</w:t>
            </w:r>
          </w:p>
        </w:tc>
      </w:tr>
      <w:tr w:rsidR="0093109B" w:rsidRPr="00532399" w14:paraId="4049372A" w14:textId="77777777" w:rsidTr="00532399">
        <w:tblPrEx>
          <w:tblCellMar>
            <w:top w:w="0" w:type="dxa"/>
            <w:left w:w="108" w:type="dxa"/>
            <w:bottom w:w="0" w:type="dxa"/>
            <w:right w:w="108" w:type="dxa"/>
          </w:tblCellMar>
        </w:tblPrEx>
        <w:tc>
          <w:tcPr>
            <w:tcW w:w="993" w:type="dxa"/>
          </w:tcPr>
          <w:p w14:paraId="6B083B79" w14:textId="77777777" w:rsidR="004F0B9C" w:rsidRPr="00532399" w:rsidRDefault="004F0B9C" w:rsidP="0093109B">
            <w:pPr>
              <w:pStyle w:val="TabellenInhalt"/>
              <w:spacing w:line="360" w:lineRule="auto"/>
              <w:jc w:val="both"/>
              <w:rPr>
                <w:rFonts w:ascii="Book Antiqua" w:hAnsi="Book Antiqua"/>
              </w:rPr>
            </w:pPr>
          </w:p>
        </w:tc>
        <w:tc>
          <w:tcPr>
            <w:tcW w:w="1984" w:type="dxa"/>
          </w:tcPr>
          <w:p w14:paraId="35DE88EB" w14:textId="77777777" w:rsidR="004F0B9C" w:rsidRPr="00532399" w:rsidRDefault="004F0B9C" w:rsidP="0093109B">
            <w:pPr>
              <w:pStyle w:val="TabellenInhalt"/>
              <w:spacing w:line="360" w:lineRule="auto"/>
              <w:jc w:val="both"/>
              <w:rPr>
                <w:rFonts w:ascii="Book Antiqua" w:hAnsi="Book Antiqua"/>
                <w:lang w:val="en-US"/>
              </w:rPr>
            </w:pPr>
            <w:r w:rsidRPr="00532399">
              <w:rPr>
                <w:rFonts w:ascii="Book Antiqua" w:hAnsi="Book Antiqua"/>
                <w:lang w:val="en-US"/>
              </w:rPr>
              <w:t>A combined regimen of pharmacologic and mechanical prophylaxis may improve ef</w:t>
            </w:r>
            <w:r w:rsidRPr="00532399">
              <w:rPr>
                <w:rFonts w:ascii="Book Antiqua" w:hAnsi="Book Antiqua"/>
              </w:rPr>
              <w:t>ﬁ</w:t>
            </w:r>
            <w:r w:rsidRPr="00532399">
              <w:rPr>
                <w:rFonts w:ascii="Book Antiqua" w:hAnsi="Book Antiqua"/>
                <w:lang w:val="en-US"/>
              </w:rPr>
              <w:t>cacy, especially in the highest risk patients.</w:t>
            </w:r>
          </w:p>
        </w:tc>
        <w:tc>
          <w:tcPr>
            <w:tcW w:w="2124" w:type="dxa"/>
          </w:tcPr>
          <w:p w14:paraId="353771DE" w14:textId="77777777" w:rsidR="004F0B9C" w:rsidRPr="00532399" w:rsidRDefault="004F0B9C" w:rsidP="0093109B">
            <w:pPr>
              <w:spacing w:after="0" w:line="360" w:lineRule="auto"/>
              <w:jc w:val="both"/>
              <w:rPr>
                <w:rFonts w:ascii="Book Antiqua" w:hAnsi="Book Antiqua"/>
                <w:sz w:val="24"/>
                <w:szCs w:val="24"/>
                <w:lang w:val="en-US"/>
              </w:rPr>
            </w:pPr>
          </w:p>
        </w:tc>
        <w:tc>
          <w:tcPr>
            <w:tcW w:w="2340" w:type="dxa"/>
            <w:vMerge/>
          </w:tcPr>
          <w:p w14:paraId="2B182AF7" w14:textId="77777777" w:rsidR="004F0B9C" w:rsidRPr="00532399" w:rsidRDefault="004F0B9C" w:rsidP="0093109B">
            <w:pPr>
              <w:spacing w:after="0" w:line="360" w:lineRule="auto"/>
              <w:jc w:val="both"/>
              <w:rPr>
                <w:rFonts w:ascii="Book Antiqua" w:hAnsi="Book Antiqua"/>
                <w:sz w:val="24"/>
                <w:szCs w:val="24"/>
                <w:lang w:val="en-US"/>
              </w:rPr>
            </w:pPr>
          </w:p>
        </w:tc>
        <w:tc>
          <w:tcPr>
            <w:tcW w:w="2520" w:type="dxa"/>
          </w:tcPr>
          <w:p w14:paraId="59350CFC" w14:textId="77777777" w:rsidR="004F0B9C" w:rsidRPr="00532399" w:rsidRDefault="004F0B9C" w:rsidP="0093109B">
            <w:pPr>
              <w:pStyle w:val="TabellenInhalt"/>
              <w:spacing w:line="360" w:lineRule="auto"/>
              <w:jc w:val="both"/>
              <w:rPr>
                <w:rFonts w:ascii="Book Antiqua" w:hAnsi="Book Antiqua"/>
              </w:rPr>
            </w:pPr>
            <w:r w:rsidRPr="00532399">
              <w:rPr>
                <w:rFonts w:ascii="Book Antiqua" w:hAnsi="Book Antiqua"/>
              </w:rPr>
              <w:t>VKA not recommended</w:t>
            </w:r>
          </w:p>
        </w:tc>
        <w:tc>
          <w:tcPr>
            <w:tcW w:w="2513" w:type="dxa"/>
            <w:gridSpan w:val="2"/>
          </w:tcPr>
          <w:p w14:paraId="634015C8" w14:textId="77777777" w:rsidR="004F0B9C" w:rsidRPr="00532399" w:rsidRDefault="004F0B9C" w:rsidP="0093109B">
            <w:pPr>
              <w:spacing w:after="0" w:line="360" w:lineRule="auto"/>
              <w:jc w:val="both"/>
              <w:rPr>
                <w:rFonts w:ascii="Book Antiqua" w:hAnsi="Book Antiqua"/>
                <w:sz w:val="24"/>
                <w:szCs w:val="24"/>
                <w:lang w:val="en-US"/>
              </w:rPr>
            </w:pPr>
            <w:r w:rsidRPr="00532399">
              <w:rPr>
                <w:rFonts w:ascii="Book Antiqua" w:hAnsi="Book Antiqua"/>
                <w:sz w:val="24"/>
                <w:szCs w:val="24"/>
                <w:lang w:val="en-US"/>
              </w:rPr>
              <w:t xml:space="preserve">VKA (INR 2-3) acceptable if LMWH is not available </w:t>
            </w:r>
          </w:p>
          <w:p w14:paraId="2C908BA0" w14:textId="77777777" w:rsidR="004F0B9C" w:rsidRPr="00532399" w:rsidRDefault="004F0B9C" w:rsidP="0093109B">
            <w:pPr>
              <w:spacing w:after="0" w:line="360" w:lineRule="auto"/>
              <w:jc w:val="both"/>
              <w:rPr>
                <w:rFonts w:ascii="Book Antiqua" w:hAnsi="Book Antiqua"/>
                <w:sz w:val="24"/>
                <w:szCs w:val="24"/>
                <w:lang w:val="en-US"/>
              </w:rPr>
            </w:pPr>
            <w:r w:rsidRPr="00532399">
              <w:rPr>
                <w:rFonts w:ascii="Book Antiqua" w:hAnsi="Book Antiqua"/>
                <w:sz w:val="24"/>
                <w:szCs w:val="24"/>
                <w:lang w:val="en-US"/>
              </w:rPr>
              <w:t xml:space="preserve">Use of NOACs is not recommended </w:t>
            </w:r>
          </w:p>
        </w:tc>
      </w:tr>
      <w:tr w:rsidR="0093109B" w:rsidRPr="00532399" w14:paraId="03569A33" w14:textId="77777777" w:rsidTr="00532399">
        <w:tblPrEx>
          <w:tblCellMar>
            <w:top w:w="0" w:type="dxa"/>
            <w:left w:w="108" w:type="dxa"/>
            <w:bottom w:w="0" w:type="dxa"/>
            <w:right w:w="108" w:type="dxa"/>
          </w:tblCellMar>
        </w:tblPrEx>
        <w:tc>
          <w:tcPr>
            <w:tcW w:w="993" w:type="dxa"/>
          </w:tcPr>
          <w:p w14:paraId="53D62F62" w14:textId="77777777" w:rsidR="004F0B9C" w:rsidRPr="00532399" w:rsidRDefault="004F0B9C" w:rsidP="0093109B">
            <w:pPr>
              <w:pStyle w:val="TabellenInhalt"/>
              <w:spacing w:line="360" w:lineRule="auto"/>
              <w:jc w:val="both"/>
              <w:rPr>
                <w:rFonts w:ascii="Book Antiqua" w:hAnsi="Book Antiqua"/>
                <w:lang w:val="en-US"/>
              </w:rPr>
            </w:pPr>
          </w:p>
        </w:tc>
        <w:tc>
          <w:tcPr>
            <w:tcW w:w="1984" w:type="dxa"/>
          </w:tcPr>
          <w:p w14:paraId="5AE4965F" w14:textId="77777777" w:rsidR="004F0B9C" w:rsidRPr="00532399" w:rsidRDefault="004F0B9C" w:rsidP="0093109B">
            <w:pPr>
              <w:pStyle w:val="TabellenInhalt"/>
              <w:spacing w:line="360" w:lineRule="auto"/>
              <w:jc w:val="both"/>
              <w:rPr>
                <w:rFonts w:ascii="Book Antiqua" w:hAnsi="Book Antiqua"/>
                <w:lang w:val="en-US"/>
              </w:rPr>
            </w:pPr>
          </w:p>
        </w:tc>
        <w:tc>
          <w:tcPr>
            <w:tcW w:w="2124" w:type="dxa"/>
          </w:tcPr>
          <w:p w14:paraId="0E699734" w14:textId="77777777" w:rsidR="004F0B9C" w:rsidRPr="00532399" w:rsidRDefault="004F0B9C" w:rsidP="0093109B">
            <w:pPr>
              <w:spacing w:after="0" w:line="360" w:lineRule="auto"/>
              <w:jc w:val="both"/>
              <w:rPr>
                <w:rFonts w:ascii="Book Antiqua" w:hAnsi="Book Antiqua"/>
                <w:sz w:val="24"/>
                <w:szCs w:val="24"/>
                <w:lang w:val="en-US"/>
              </w:rPr>
            </w:pPr>
          </w:p>
        </w:tc>
        <w:tc>
          <w:tcPr>
            <w:tcW w:w="2340" w:type="dxa"/>
          </w:tcPr>
          <w:p w14:paraId="03DA4D75" w14:textId="77777777" w:rsidR="004F0B9C" w:rsidRPr="00532399" w:rsidRDefault="004F0B9C" w:rsidP="0093109B">
            <w:pPr>
              <w:spacing w:after="0" w:line="360" w:lineRule="auto"/>
              <w:jc w:val="both"/>
              <w:rPr>
                <w:rFonts w:ascii="Book Antiqua" w:hAnsi="Book Antiqua"/>
                <w:sz w:val="24"/>
                <w:szCs w:val="24"/>
                <w:lang w:val="en-US"/>
              </w:rPr>
            </w:pPr>
          </w:p>
        </w:tc>
        <w:tc>
          <w:tcPr>
            <w:tcW w:w="2520" w:type="dxa"/>
          </w:tcPr>
          <w:p w14:paraId="68DA3162" w14:textId="77777777" w:rsidR="004F0B9C" w:rsidRPr="00532399" w:rsidRDefault="004F0B9C" w:rsidP="0093109B">
            <w:pPr>
              <w:pStyle w:val="TabellenInhalt"/>
              <w:spacing w:line="360" w:lineRule="auto"/>
              <w:jc w:val="both"/>
              <w:rPr>
                <w:rFonts w:ascii="Book Antiqua" w:hAnsi="Book Antiqua"/>
                <w:lang w:val="en-US"/>
              </w:rPr>
            </w:pPr>
          </w:p>
        </w:tc>
        <w:tc>
          <w:tcPr>
            <w:tcW w:w="2513" w:type="dxa"/>
            <w:gridSpan w:val="2"/>
          </w:tcPr>
          <w:p w14:paraId="15A55911" w14:textId="77777777" w:rsidR="004F0B9C" w:rsidRPr="00532399" w:rsidRDefault="004F0B9C" w:rsidP="0093109B">
            <w:pPr>
              <w:spacing w:after="0" w:line="360" w:lineRule="auto"/>
              <w:jc w:val="both"/>
              <w:rPr>
                <w:rFonts w:ascii="Book Antiqua" w:hAnsi="Book Antiqua"/>
                <w:sz w:val="24"/>
                <w:szCs w:val="24"/>
                <w:lang w:val="en-US"/>
              </w:rPr>
            </w:pPr>
          </w:p>
        </w:tc>
      </w:tr>
      <w:tr w:rsidR="0093109B" w:rsidRPr="00532399" w14:paraId="238A84D3" w14:textId="77777777" w:rsidTr="00532399">
        <w:trPr>
          <w:trHeight w:val="536"/>
        </w:trPr>
        <w:tc>
          <w:tcPr>
            <w:tcW w:w="993" w:type="dxa"/>
            <w:tcMar>
              <w:left w:w="54" w:type="dxa"/>
            </w:tcMar>
          </w:tcPr>
          <w:p w14:paraId="2C6652C5" w14:textId="77777777" w:rsidR="004F0B9C" w:rsidRPr="00532399" w:rsidRDefault="004F0B9C" w:rsidP="0093109B">
            <w:pPr>
              <w:pStyle w:val="TabellenInhalt"/>
              <w:spacing w:line="360" w:lineRule="auto"/>
              <w:jc w:val="both"/>
              <w:rPr>
                <w:rFonts w:ascii="Book Antiqua" w:hAnsi="Book Antiqua"/>
                <w:lang w:val="en-US"/>
              </w:rPr>
            </w:pPr>
          </w:p>
        </w:tc>
        <w:tc>
          <w:tcPr>
            <w:tcW w:w="1984" w:type="dxa"/>
            <w:tcMar>
              <w:left w:w="54" w:type="dxa"/>
            </w:tcMar>
          </w:tcPr>
          <w:p w14:paraId="6C822AE7" w14:textId="465A70F7" w:rsidR="004F0B9C" w:rsidRPr="00532399" w:rsidRDefault="004F0B9C" w:rsidP="00532399">
            <w:pPr>
              <w:pStyle w:val="TabellenInhalt"/>
              <w:spacing w:line="360" w:lineRule="auto"/>
              <w:jc w:val="both"/>
              <w:rPr>
                <w:rFonts w:ascii="Book Antiqua" w:hAnsi="Book Antiqua" w:cs="Arial"/>
                <w:lang w:val="en-US"/>
              </w:rPr>
            </w:pPr>
            <w:r w:rsidRPr="00532399">
              <w:rPr>
                <w:rFonts w:ascii="Book Antiqua" w:hAnsi="Book Antiqua" w:cs="Arial"/>
                <w:lang w:val="en-US" w:bidi="ar-SA"/>
              </w:rPr>
              <w:t xml:space="preserve">Patients undergoing major cancer surgery should receive prophylaxis starting before surgery and continuing for at </w:t>
            </w:r>
            <w:r w:rsidRPr="00532399">
              <w:rPr>
                <w:rFonts w:ascii="Book Antiqua" w:hAnsi="Book Antiqua" w:cs="Arial"/>
                <w:lang w:val="en-US" w:bidi="ar-SA"/>
              </w:rPr>
              <w:lastRenderedPageBreak/>
              <w:t>least 7 to 10 d and it should be consi</w:t>
            </w:r>
            <w:r w:rsidR="00532399">
              <w:rPr>
                <w:rFonts w:ascii="Book Antiqua" w:hAnsi="Book Antiqua" w:cs="Arial"/>
                <w:lang w:val="en-US" w:bidi="ar-SA"/>
              </w:rPr>
              <w:t xml:space="preserve">dered an </w:t>
            </w:r>
            <w:r w:rsidR="00B23213" w:rsidRPr="00B23213">
              <w:rPr>
                <w:rFonts w:ascii="Book Antiqua" w:hAnsi="Book Antiqua" w:cs="Arial"/>
                <w:lang w:val="en-US" w:bidi="ar-SA"/>
              </w:rPr>
              <w:t xml:space="preserve">extension </w:t>
            </w:r>
            <w:r w:rsidR="00532399">
              <w:rPr>
                <w:rFonts w:ascii="Book Antiqua" w:hAnsi="Book Antiqua" w:cs="Arial"/>
                <w:lang w:val="en-US" w:bidi="ar-SA"/>
              </w:rPr>
              <w:t>up to 4 wk</w:t>
            </w:r>
            <w:r w:rsidRPr="00532399">
              <w:rPr>
                <w:rFonts w:ascii="Book Antiqua" w:hAnsi="Book Antiqua" w:cs="Arial"/>
                <w:lang w:val="en-US" w:bidi="ar-SA"/>
              </w:rPr>
              <w:t xml:space="preserve"> in patients undergoin</w:t>
            </w:r>
            <w:r w:rsidR="00532399">
              <w:rPr>
                <w:rFonts w:ascii="Book Antiqua" w:hAnsi="Book Antiqua" w:cs="Arial"/>
                <w:lang w:val="en-US" w:bidi="ar-SA"/>
              </w:rPr>
              <w:t>g abdominal and pelvic surgery</w:t>
            </w:r>
          </w:p>
        </w:tc>
        <w:tc>
          <w:tcPr>
            <w:tcW w:w="2124" w:type="dxa"/>
            <w:tcMar>
              <w:left w:w="54" w:type="dxa"/>
            </w:tcMar>
          </w:tcPr>
          <w:p w14:paraId="58B4C9DE" w14:textId="77777777" w:rsidR="004F0B9C" w:rsidRPr="00532399" w:rsidRDefault="004F0B9C" w:rsidP="0093109B">
            <w:pPr>
              <w:spacing w:after="0" w:line="360" w:lineRule="auto"/>
              <w:jc w:val="both"/>
              <w:rPr>
                <w:rFonts w:ascii="Book Antiqua" w:hAnsi="Book Antiqua"/>
                <w:sz w:val="24"/>
                <w:szCs w:val="24"/>
                <w:lang w:val="en-US"/>
              </w:rPr>
            </w:pPr>
          </w:p>
        </w:tc>
        <w:tc>
          <w:tcPr>
            <w:tcW w:w="2340" w:type="dxa"/>
            <w:tcMar>
              <w:left w:w="54" w:type="dxa"/>
            </w:tcMar>
          </w:tcPr>
          <w:p w14:paraId="2AB11D7F" w14:textId="77777777" w:rsidR="004F0B9C" w:rsidRPr="00532399" w:rsidRDefault="004F0B9C" w:rsidP="0093109B">
            <w:pPr>
              <w:spacing w:after="0" w:line="360" w:lineRule="auto"/>
              <w:jc w:val="both"/>
              <w:rPr>
                <w:rFonts w:ascii="Book Antiqua" w:hAnsi="Book Antiqua"/>
                <w:sz w:val="24"/>
                <w:szCs w:val="24"/>
                <w:lang w:val="en-US"/>
              </w:rPr>
            </w:pPr>
          </w:p>
        </w:tc>
        <w:tc>
          <w:tcPr>
            <w:tcW w:w="5033" w:type="dxa"/>
            <w:gridSpan w:val="3"/>
            <w:tcMar>
              <w:left w:w="54" w:type="dxa"/>
            </w:tcMar>
          </w:tcPr>
          <w:p w14:paraId="67C54E6D" w14:textId="77777777" w:rsidR="004F0B9C" w:rsidRPr="00532399" w:rsidRDefault="004F0B9C" w:rsidP="0093109B">
            <w:pPr>
              <w:spacing w:after="0" w:line="360" w:lineRule="auto"/>
              <w:jc w:val="both"/>
              <w:rPr>
                <w:rFonts w:ascii="Book Antiqua" w:hAnsi="Book Antiqua"/>
                <w:sz w:val="24"/>
                <w:szCs w:val="24"/>
                <w:lang w:val="en-US"/>
              </w:rPr>
            </w:pPr>
            <w:r w:rsidRPr="00532399">
              <w:rPr>
                <w:rFonts w:ascii="Book Antiqua" w:hAnsi="Book Antiqua"/>
                <w:sz w:val="24"/>
                <w:szCs w:val="24"/>
                <w:lang w:val="en-US"/>
              </w:rPr>
              <w:t>Treatment of splanchnic or visceral vein thrombi diagnosed</w:t>
            </w:r>
          </w:p>
          <w:p w14:paraId="175E9BC5" w14:textId="2F7D2F1A" w:rsidR="004F0B9C" w:rsidRPr="00532399" w:rsidRDefault="004F0B9C" w:rsidP="0093109B">
            <w:pPr>
              <w:pStyle w:val="a9"/>
              <w:spacing w:after="0" w:line="360" w:lineRule="auto"/>
              <w:jc w:val="both"/>
              <w:rPr>
                <w:rFonts w:ascii="Book Antiqua" w:hAnsi="Book Antiqua"/>
                <w:lang w:val="en-US"/>
              </w:rPr>
            </w:pPr>
            <w:r w:rsidRPr="00532399">
              <w:rPr>
                <w:rFonts w:ascii="Book Antiqua" w:hAnsi="Book Antiqua"/>
                <w:lang w:val="en-US"/>
              </w:rPr>
              <w:t>incidentally should be considered on a case-by-case basis, considering potential bene</w:t>
            </w:r>
            <w:r w:rsidRPr="00532399">
              <w:rPr>
                <w:rFonts w:ascii="Book Antiqua" w:hAnsi="Book Antiqua"/>
              </w:rPr>
              <w:t>ﬁ</w:t>
            </w:r>
            <w:r w:rsidR="00532399">
              <w:rPr>
                <w:rFonts w:ascii="Book Antiqua" w:hAnsi="Book Antiqua"/>
                <w:lang w:val="en-US"/>
              </w:rPr>
              <w:t>ts and risks of anticoagulation</w:t>
            </w:r>
          </w:p>
        </w:tc>
      </w:tr>
      <w:tr w:rsidR="0093109B" w:rsidRPr="00532399" w14:paraId="356AB337" w14:textId="77777777" w:rsidTr="00532399">
        <w:trPr>
          <w:trHeight w:val="108"/>
        </w:trPr>
        <w:tc>
          <w:tcPr>
            <w:tcW w:w="12474" w:type="dxa"/>
            <w:gridSpan w:val="7"/>
            <w:tcMar>
              <w:left w:w="54" w:type="dxa"/>
            </w:tcMar>
          </w:tcPr>
          <w:p w14:paraId="1416453B" w14:textId="77777777" w:rsidR="004F0B9C" w:rsidRPr="00532399" w:rsidRDefault="004F0B9C" w:rsidP="0093109B">
            <w:pPr>
              <w:spacing w:after="0" w:line="360" w:lineRule="auto"/>
              <w:jc w:val="both"/>
              <w:rPr>
                <w:rFonts w:ascii="Book Antiqua" w:hAnsi="Book Antiqua"/>
                <w:sz w:val="24"/>
                <w:szCs w:val="24"/>
                <w:lang w:val="en-US"/>
              </w:rPr>
            </w:pPr>
          </w:p>
        </w:tc>
      </w:tr>
      <w:tr w:rsidR="0093109B" w:rsidRPr="00532399" w14:paraId="766D812F" w14:textId="77777777" w:rsidTr="00532399">
        <w:trPr>
          <w:trHeight w:val="892"/>
        </w:trPr>
        <w:tc>
          <w:tcPr>
            <w:tcW w:w="993" w:type="dxa"/>
            <w:tcMar>
              <w:left w:w="54" w:type="dxa"/>
            </w:tcMar>
          </w:tcPr>
          <w:p w14:paraId="596A0318" w14:textId="77777777" w:rsidR="004F0B9C" w:rsidRPr="00532399" w:rsidRDefault="004F0B9C" w:rsidP="0093109B">
            <w:pPr>
              <w:pStyle w:val="TabellenInhalt"/>
              <w:spacing w:line="360" w:lineRule="auto"/>
              <w:jc w:val="both"/>
              <w:rPr>
                <w:rFonts w:ascii="Book Antiqua" w:hAnsi="Book Antiqua"/>
                <w:b/>
                <w:bCs/>
              </w:rPr>
            </w:pPr>
            <w:r w:rsidRPr="00532399">
              <w:rPr>
                <w:rFonts w:ascii="Book Antiqua" w:hAnsi="Book Antiqua"/>
                <w:b/>
                <w:bCs/>
              </w:rPr>
              <w:t>ESMO Guidelines 2011</w:t>
            </w:r>
            <w:r w:rsidRPr="00532399">
              <w:rPr>
                <w:rFonts w:ascii="Book Antiqua" w:hAnsi="Book Antiqua"/>
                <w:b/>
                <w:bCs/>
                <w:vertAlign w:val="superscript"/>
              </w:rPr>
              <w:t>[16]</w:t>
            </w:r>
          </w:p>
        </w:tc>
        <w:tc>
          <w:tcPr>
            <w:tcW w:w="1984" w:type="dxa"/>
            <w:tcMar>
              <w:left w:w="54" w:type="dxa"/>
            </w:tcMar>
          </w:tcPr>
          <w:p w14:paraId="53059FD0" w14:textId="77777777" w:rsidR="004F0B9C" w:rsidRPr="00532399" w:rsidRDefault="004F0B9C" w:rsidP="0093109B">
            <w:pPr>
              <w:pStyle w:val="TabellenInhalt"/>
              <w:spacing w:line="360" w:lineRule="auto"/>
              <w:jc w:val="both"/>
              <w:rPr>
                <w:rFonts w:ascii="Book Antiqua" w:hAnsi="Book Antiqua"/>
                <w:lang w:val="en-US"/>
              </w:rPr>
            </w:pPr>
            <w:r w:rsidRPr="00532399">
              <w:rPr>
                <w:rFonts w:ascii="Book Antiqua" w:hAnsi="Book Antiqua"/>
                <w:lang w:val="en-US"/>
              </w:rPr>
              <w:t xml:space="preserve">LMWH </w:t>
            </w:r>
          </w:p>
          <w:p w14:paraId="19D0BE37" w14:textId="77777777" w:rsidR="004F0B9C" w:rsidRPr="00532399" w:rsidRDefault="004F0B9C" w:rsidP="0093109B">
            <w:pPr>
              <w:pStyle w:val="TabellenInhalt"/>
              <w:spacing w:line="360" w:lineRule="auto"/>
              <w:jc w:val="both"/>
              <w:rPr>
                <w:rFonts w:ascii="Book Antiqua" w:hAnsi="Book Antiqua"/>
                <w:lang w:val="en-US"/>
              </w:rPr>
            </w:pPr>
            <w:r w:rsidRPr="00532399">
              <w:rPr>
                <w:rFonts w:ascii="Book Antiqua" w:hAnsi="Book Antiqua"/>
                <w:lang w:val="en-US"/>
              </w:rPr>
              <w:t>(Dalteparin, Enoxaparin),</w:t>
            </w:r>
          </w:p>
          <w:p w14:paraId="781DFAAD" w14:textId="77777777" w:rsidR="004F0B9C" w:rsidRPr="00532399" w:rsidRDefault="004F0B9C" w:rsidP="0093109B">
            <w:pPr>
              <w:pStyle w:val="TabellenInhalt"/>
              <w:spacing w:line="360" w:lineRule="auto"/>
              <w:jc w:val="both"/>
              <w:rPr>
                <w:rFonts w:ascii="Book Antiqua" w:hAnsi="Book Antiqua"/>
                <w:lang w:val="en-US"/>
              </w:rPr>
            </w:pPr>
            <w:r w:rsidRPr="00532399">
              <w:rPr>
                <w:rFonts w:ascii="Book Antiqua" w:hAnsi="Book Antiqua"/>
                <w:lang w:val="en-US"/>
              </w:rPr>
              <w:t>UFH</w:t>
            </w:r>
          </w:p>
          <w:p w14:paraId="3126AF9E" w14:textId="77777777" w:rsidR="004F0B9C" w:rsidRPr="00532399" w:rsidRDefault="004F0B9C" w:rsidP="0093109B">
            <w:pPr>
              <w:pStyle w:val="TabellenInhalt"/>
              <w:spacing w:line="360" w:lineRule="auto"/>
              <w:jc w:val="both"/>
              <w:rPr>
                <w:rFonts w:ascii="Book Antiqua" w:hAnsi="Book Antiqua"/>
                <w:lang w:val="en-US"/>
              </w:rPr>
            </w:pPr>
            <w:r w:rsidRPr="00532399">
              <w:rPr>
                <w:rFonts w:ascii="Book Antiqua" w:hAnsi="Book Antiqua"/>
                <w:lang w:val="en-US"/>
              </w:rPr>
              <w:t>Fondaparinux not recommended</w:t>
            </w:r>
          </w:p>
        </w:tc>
        <w:tc>
          <w:tcPr>
            <w:tcW w:w="2124" w:type="dxa"/>
            <w:tcMar>
              <w:left w:w="54" w:type="dxa"/>
            </w:tcMar>
          </w:tcPr>
          <w:p w14:paraId="342C021D" w14:textId="77777777" w:rsidR="004F0B9C" w:rsidRPr="00532399" w:rsidRDefault="004F0B9C" w:rsidP="0093109B">
            <w:pPr>
              <w:pStyle w:val="TabellenInhalt"/>
              <w:spacing w:line="360" w:lineRule="auto"/>
              <w:jc w:val="both"/>
              <w:rPr>
                <w:rFonts w:ascii="Book Antiqua" w:hAnsi="Book Antiqua"/>
              </w:rPr>
            </w:pPr>
            <w:r w:rsidRPr="00532399">
              <w:rPr>
                <w:rFonts w:ascii="Book Antiqua" w:hAnsi="Book Antiqua"/>
              </w:rPr>
              <w:t xml:space="preserve">LMWH </w:t>
            </w:r>
          </w:p>
          <w:p w14:paraId="1759D17A" w14:textId="77777777" w:rsidR="004F0B9C" w:rsidRPr="00532399" w:rsidRDefault="004F0B9C" w:rsidP="0093109B">
            <w:pPr>
              <w:pStyle w:val="TabellenInhalt"/>
              <w:spacing w:line="360" w:lineRule="auto"/>
              <w:jc w:val="both"/>
              <w:rPr>
                <w:rFonts w:ascii="Book Antiqua" w:hAnsi="Book Antiqua"/>
              </w:rPr>
            </w:pPr>
            <w:r w:rsidRPr="00532399">
              <w:rPr>
                <w:rFonts w:ascii="Book Antiqua" w:hAnsi="Book Antiqua"/>
              </w:rPr>
              <w:t>(Dalteparin, Enoxaparin), Fondaparinux,</w:t>
            </w:r>
          </w:p>
          <w:p w14:paraId="6BC5FEF9" w14:textId="77777777" w:rsidR="004F0B9C" w:rsidRPr="00532399" w:rsidRDefault="004F0B9C" w:rsidP="0093109B">
            <w:pPr>
              <w:pStyle w:val="TabellenInhalt"/>
              <w:spacing w:line="360" w:lineRule="auto"/>
              <w:jc w:val="both"/>
              <w:rPr>
                <w:rFonts w:ascii="Book Antiqua" w:hAnsi="Book Antiqua"/>
              </w:rPr>
            </w:pPr>
            <w:r w:rsidRPr="00532399">
              <w:rPr>
                <w:rFonts w:ascii="Book Antiqua" w:hAnsi="Book Antiqua"/>
              </w:rPr>
              <w:t xml:space="preserve">UFH </w:t>
            </w:r>
          </w:p>
          <w:p w14:paraId="25D38581" w14:textId="77777777" w:rsidR="004F0B9C" w:rsidRPr="00532399" w:rsidRDefault="004F0B9C" w:rsidP="0093109B">
            <w:pPr>
              <w:pStyle w:val="TabellenInhalt"/>
              <w:spacing w:line="360" w:lineRule="auto"/>
              <w:jc w:val="both"/>
              <w:rPr>
                <w:rFonts w:ascii="Book Antiqua" w:hAnsi="Book Antiqua"/>
                <w:lang w:val="en-US"/>
              </w:rPr>
            </w:pPr>
          </w:p>
        </w:tc>
        <w:tc>
          <w:tcPr>
            <w:tcW w:w="2340" w:type="dxa"/>
            <w:tcMar>
              <w:left w:w="54" w:type="dxa"/>
            </w:tcMar>
          </w:tcPr>
          <w:p w14:paraId="3EB560D5" w14:textId="1EC51E3C" w:rsidR="004F0B9C" w:rsidRPr="00532399" w:rsidRDefault="00532399" w:rsidP="0093109B">
            <w:pPr>
              <w:pStyle w:val="a9"/>
              <w:spacing w:after="0" w:line="360" w:lineRule="auto"/>
              <w:jc w:val="both"/>
              <w:rPr>
                <w:rFonts w:ascii="Book Antiqua" w:hAnsi="Book Antiqua"/>
                <w:lang w:val="en-US"/>
              </w:rPr>
            </w:pPr>
            <w:r>
              <w:rPr>
                <w:rFonts w:ascii="Book Antiqua" w:hAnsi="Book Antiqua"/>
                <w:lang w:val="en-US"/>
              </w:rPr>
              <w:t>1</w:t>
            </w:r>
            <w:r w:rsidR="004F0B9C" w:rsidRPr="00532399">
              <w:rPr>
                <w:rFonts w:ascii="Book Antiqua" w:hAnsi="Book Antiqua"/>
                <w:lang w:val="en-US"/>
              </w:rPr>
              <w:t xml:space="preserve"> Not recommended routinely</w:t>
            </w:r>
          </w:p>
          <w:p w14:paraId="4F50A358" w14:textId="370308B9" w:rsidR="004F0B9C" w:rsidRPr="00532399" w:rsidRDefault="00532399" w:rsidP="0093109B">
            <w:pPr>
              <w:pStyle w:val="a9"/>
              <w:spacing w:after="0" w:line="360" w:lineRule="auto"/>
              <w:jc w:val="both"/>
              <w:rPr>
                <w:rFonts w:ascii="Book Antiqua" w:hAnsi="Book Antiqua"/>
                <w:lang w:val="en-US"/>
              </w:rPr>
            </w:pPr>
            <w:r>
              <w:rPr>
                <w:rFonts w:ascii="Book Antiqua" w:hAnsi="Book Antiqua"/>
                <w:lang w:val="en-US"/>
              </w:rPr>
              <w:t>2</w:t>
            </w:r>
            <w:r w:rsidR="004F0B9C" w:rsidRPr="00532399">
              <w:rPr>
                <w:rFonts w:ascii="Book Antiqua" w:hAnsi="Book Antiqua"/>
                <w:lang w:val="en-US"/>
              </w:rPr>
              <w:t xml:space="preserve"> May</w:t>
            </w:r>
            <w:r>
              <w:rPr>
                <w:rFonts w:ascii="Book Antiqua" w:hAnsi="Book Antiqua"/>
                <w:lang w:val="en-US"/>
              </w:rPr>
              <w:t xml:space="preserve"> be considered in high risk p</w:t>
            </w:r>
            <w:r>
              <w:rPr>
                <w:rFonts w:ascii="Book Antiqua" w:hAnsi="Book Antiqua" w:hint="eastAsia"/>
                <w:lang w:val="en-US"/>
              </w:rPr>
              <w:t>a</w:t>
            </w:r>
            <w:r>
              <w:rPr>
                <w:rFonts w:ascii="Book Antiqua" w:hAnsi="Book Antiqua"/>
                <w:lang w:val="en-US"/>
              </w:rPr>
              <w:t>t</w:t>
            </w:r>
            <w:r>
              <w:rPr>
                <w:rFonts w:ascii="Book Antiqua" w:hAnsi="Book Antiqua" w:hint="eastAsia"/>
                <w:lang w:val="en-US"/>
              </w:rPr>
              <w:t>ient</w:t>
            </w:r>
            <w:r>
              <w:rPr>
                <w:rFonts w:ascii="Book Antiqua" w:hAnsi="Book Antiqua"/>
                <w:lang w:val="en-US"/>
              </w:rPr>
              <w:t>s</w:t>
            </w:r>
          </w:p>
        </w:tc>
        <w:tc>
          <w:tcPr>
            <w:tcW w:w="2624" w:type="dxa"/>
            <w:gridSpan w:val="2"/>
            <w:tcMar>
              <w:left w:w="54" w:type="dxa"/>
            </w:tcMar>
          </w:tcPr>
          <w:p w14:paraId="63974A3F" w14:textId="77777777" w:rsidR="004F0B9C" w:rsidRPr="00532399" w:rsidRDefault="004F0B9C" w:rsidP="0093109B">
            <w:pPr>
              <w:spacing w:after="0" w:line="360" w:lineRule="auto"/>
              <w:jc w:val="both"/>
              <w:rPr>
                <w:rFonts w:ascii="Book Antiqua" w:hAnsi="Book Antiqua"/>
                <w:sz w:val="24"/>
                <w:szCs w:val="24"/>
              </w:rPr>
            </w:pPr>
            <w:r w:rsidRPr="00532399">
              <w:rPr>
                <w:rFonts w:ascii="Book Antiqua" w:hAnsi="Book Antiqua"/>
                <w:sz w:val="24"/>
                <w:szCs w:val="24"/>
              </w:rPr>
              <w:t xml:space="preserve">LMWH </w:t>
            </w:r>
          </w:p>
          <w:p w14:paraId="3E084694" w14:textId="77777777" w:rsidR="004F0B9C" w:rsidRPr="00532399" w:rsidRDefault="004F0B9C" w:rsidP="0093109B">
            <w:pPr>
              <w:spacing w:after="0" w:line="360" w:lineRule="auto"/>
              <w:jc w:val="both"/>
              <w:rPr>
                <w:rFonts w:ascii="Book Antiqua" w:hAnsi="Book Antiqua"/>
                <w:sz w:val="24"/>
                <w:szCs w:val="24"/>
              </w:rPr>
            </w:pPr>
            <w:r w:rsidRPr="00532399">
              <w:rPr>
                <w:rFonts w:ascii="Book Antiqua" w:hAnsi="Book Antiqua"/>
                <w:sz w:val="24"/>
                <w:szCs w:val="24"/>
              </w:rPr>
              <w:t xml:space="preserve">(Enoxaparin, Dalteparin), </w:t>
            </w:r>
          </w:p>
          <w:p w14:paraId="5E8860A0" w14:textId="77777777" w:rsidR="004F0B9C" w:rsidRPr="00532399" w:rsidRDefault="004F0B9C" w:rsidP="0093109B">
            <w:pPr>
              <w:spacing w:after="0" w:line="360" w:lineRule="auto"/>
              <w:jc w:val="both"/>
              <w:rPr>
                <w:rFonts w:ascii="Book Antiqua" w:hAnsi="Book Antiqua"/>
                <w:sz w:val="24"/>
                <w:szCs w:val="24"/>
              </w:rPr>
            </w:pPr>
            <w:r w:rsidRPr="00532399">
              <w:rPr>
                <w:rFonts w:ascii="Book Antiqua" w:hAnsi="Book Antiqua"/>
                <w:sz w:val="24"/>
                <w:szCs w:val="24"/>
              </w:rPr>
              <w:t xml:space="preserve">UFH </w:t>
            </w:r>
          </w:p>
        </w:tc>
        <w:tc>
          <w:tcPr>
            <w:tcW w:w="2409" w:type="dxa"/>
            <w:tcMar>
              <w:left w:w="54" w:type="dxa"/>
            </w:tcMar>
          </w:tcPr>
          <w:p w14:paraId="30EFB131" w14:textId="17EB3DF1" w:rsidR="004F0B9C" w:rsidRPr="00532399" w:rsidRDefault="004F0B9C" w:rsidP="00532399">
            <w:pPr>
              <w:pStyle w:val="a9"/>
              <w:spacing w:after="0" w:line="360" w:lineRule="auto"/>
              <w:jc w:val="both"/>
              <w:rPr>
                <w:rFonts w:ascii="Book Antiqua" w:hAnsi="Book Antiqua"/>
                <w:lang w:val="en-US"/>
              </w:rPr>
            </w:pPr>
            <w:r w:rsidRPr="00532399">
              <w:rPr>
                <w:rFonts w:ascii="Book Antiqua" w:hAnsi="Book Antiqua"/>
                <w:lang w:val="en-US"/>
              </w:rPr>
              <w:t>Treatment for a total of 6 mo. Initial dose of LMWH 100% for 1 mo, thereafter 5 mo with 75</w:t>
            </w:r>
            <w:r w:rsidR="00532399">
              <w:rPr>
                <w:rFonts w:ascii="Book Antiqua" w:hAnsi="Book Antiqua" w:hint="eastAsia"/>
                <w:lang w:val="en-US"/>
              </w:rPr>
              <w:t>%-</w:t>
            </w:r>
            <w:r w:rsidRPr="00532399">
              <w:rPr>
                <w:rFonts w:ascii="Book Antiqua" w:hAnsi="Book Antiqua"/>
                <w:lang w:val="en-US"/>
              </w:rPr>
              <w:t>80% of the initial dose of LMWH</w:t>
            </w:r>
          </w:p>
        </w:tc>
      </w:tr>
      <w:tr w:rsidR="0093109B" w:rsidRPr="00532399" w14:paraId="6FADC4A6" w14:textId="77777777" w:rsidTr="00532399">
        <w:tc>
          <w:tcPr>
            <w:tcW w:w="993" w:type="dxa"/>
            <w:tcMar>
              <w:left w:w="54" w:type="dxa"/>
            </w:tcMar>
          </w:tcPr>
          <w:p w14:paraId="6201E6DA" w14:textId="77777777" w:rsidR="004F0B9C" w:rsidRPr="00532399" w:rsidRDefault="004F0B9C" w:rsidP="0093109B">
            <w:pPr>
              <w:pStyle w:val="TabellenInhalt"/>
              <w:spacing w:line="360" w:lineRule="auto"/>
              <w:jc w:val="both"/>
              <w:rPr>
                <w:rFonts w:ascii="Book Antiqua" w:hAnsi="Book Antiqua"/>
                <w:lang w:val="en-US"/>
              </w:rPr>
            </w:pPr>
          </w:p>
        </w:tc>
        <w:tc>
          <w:tcPr>
            <w:tcW w:w="1984" w:type="dxa"/>
            <w:tcMar>
              <w:left w:w="54" w:type="dxa"/>
            </w:tcMar>
          </w:tcPr>
          <w:p w14:paraId="7E021FEB" w14:textId="295CC622" w:rsidR="004F0B9C" w:rsidRPr="00532399" w:rsidRDefault="004F0B9C" w:rsidP="00264574">
            <w:pPr>
              <w:spacing w:after="0" w:line="360" w:lineRule="auto"/>
              <w:jc w:val="both"/>
              <w:rPr>
                <w:rFonts w:ascii="Book Antiqua" w:hAnsi="Book Antiqua"/>
                <w:sz w:val="24"/>
                <w:szCs w:val="24"/>
                <w:lang w:val="en-US"/>
              </w:rPr>
            </w:pPr>
            <w:r w:rsidRPr="00532399">
              <w:rPr>
                <w:rFonts w:ascii="Book Antiqua" w:hAnsi="Book Antiqua"/>
                <w:sz w:val="24"/>
                <w:szCs w:val="24"/>
                <w:lang w:val="en-US"/>
              </w:rPr>
              <w:t xml:space="preserve">Cancer </w:t>
            </w:r>
            <w:r w:rsidR="00532399">
              <w:rPr>
                <w:rFonts w:ascii="Book Antiqua" w:hAnsi="Book Antiqua"/>
                <w:lang w:val="en-US"/>
              </w:rPr>
              <w:t>p</w:t>
            </w:r>
            <w:r w:rsidR="00532399">
              <w:rPr>
                <w:rFonts w:ascii="Book Antiqua" w:hAnsi="Book Antiqua" w:hint="eastAsia"/>
                <w:lang w:val="en-US"/>
              </w:rPr>
              <w:t>a</w:t>
            </w:r>
            <w:r w:rsidR="00532399">
              <w:rPr>
                <w:rFonts w:ascii="Book Antiqua" w:hAnsi="Book Antiqua"/>
                <w:lang w:val="en-US"/>
              </w:rPr>
              <w:t>t</w:t>
            </w:r>
            <w:r w:rsidR="00532399">
              <w:rPr>
                <w:rFonts w:ascii="Book Antiqua" w:hAnsi="Book Antiqua" w:hint="eastAsia"/>
                <w:lang w:val="en-US"/>
              </w:rPr>
              <w:t>ient</w:t>
            </w:r>
            <w:r w:rsidR="00532399">
              <w:rPr>
                <w:rFonts w:ascii="Book Antiqua" w:hAnsi="Book Antiqua"/>
                <w:lang w:val="en-US"/>
              </w:rPr>
              <w:t>s</w:t>
            </w:r>
            <w:r w:rsidRPr="00532399">
              <w:rPr>
                <w:rFonts w:ascii="Book Antiqua" w:hAnsi="Book Antiqua"/>
                <w:sz w:val="24"/>
                <w:szCs w:val="24"/>
                <w:lang w:val="en-US"/>
              </w:rPr>
              <w:t xml:space="preserve"> undergoing elective major abdominal or pelvic surgery should receive in hospital and post-discharge prophylaxis with s.c. LMWH for up to 1 mo after surgery</w:t>
            </w:r>
          </w:p>
        </w:tc>
        <w:tc>
          <w:tcPr>
            <w:tcW w:w="2124" w:type="dxa"/>
            <w:tcMar>
              <w:left w:w="54" w:type="dxa"/>
            </w:tcMar>
          </w:tcPr>
          <w:p w14:paraId="328F7BB3" w14:textId="77777777" w:rsidR="004F0B9C" w:rsidRPr="00532399" w:rsidRDefault="004F0B9C" w:rsidP="0093109B">
            <w:pPr>
              <w:pStyle w:val="TabellenInhalt"/>
              <w:spacing w:line="360" w:lineRule="auto"/>
              <w:jc w:val="both"/>
              <w:rPr>
                <w:rFonts w:ascii="Book Antiqua" w:hAnsi="Book Antiqua"/>
                <w:lang w:val="en-US"/>
              </w:rPr>
            </w:pPr>
            <w:r w:rsidRPr="00532399">
              <w:rPr>
                <w:rFonts w:ascii="Book Antiqua" w:hAnsi="Book Antiqua"/>
                <w:lang w:val="en-US"/>
              </w:rPr>
              <w:t xml:space="preserve"> </w:t>
            </w:r>
          </w:p>
        </w:tc>
        <w:tc>
          <w:tcPr>
            <w:tcW w:w="2340" w:type="dxa"/>
            <w:tcMar>
              <w:left w:w="54" w:type="dxa"/>
            </w:tcMar>
          </w:tcPr>
          <w:p w14:paraId="45894949" w14:textId="77777777" w:rsidR="004F0B9C" w:rsidRPr="00532399" w:rsidRDefault="004F0B9C" w:rsidP="0093109B">
            <w:pPr>
              <w:spacing w:after="0" w:line="360" w:lineRule="auto"/>
              <w:jc w:val="both"/>
              <w:rPr>
                <w:rFonts w:ascii="Book Antiqua" w:hAnsi="Book Antiqua"/>
                <w:sz w:val="24"/>
                <w:szCs w:val="24"/>
                <w:lang w:val="en-US"/>
              </w:rPr>
            </w:pPr>
          </w:p>
        </w:tc>
        <w:tc>
          <w:tcPr>
            <w:tcW w:w="2624" w:type="dxa"/>
            <w:gridSpan w:val="2"/>
            <w:tcMar>
              <w:left w:w="54" w:type="dxa"/>
            </w:tcMar>
          </w:tcPr>
          <w:p w14:paraId="3ECD4565" w14:textId="77777777" w:rsidR="004F0B9C" w:rsidRPr="00532399" w:rsidRDefault="004F0B9C" w:rsidP="0093109B">
            <w:pPr>
              <w:spacing w:after="0" w:line="360" w:lineRule="auto"/>
              <w:jc w:val="both"/>
              <w:rPr>
                <w:rFonts w:ascii="Book Antiqua" w:hAnsi="Book Antiqua"/>
                <w:sz w:val="24"/>
                <w:szCs w:val="24"/>
                <w:lang w:val="en-US"/>
              </w:rPr>
            </w:pPr>
          </w:p>
        </w:tc>
        <w:tc>
          <w:tcPr>
            <w:tcW w:w="2409" w:type="dxa"/>
            <w:tcMar>
              <w:left w:w="54" w:type="dxa"/>
            </w:tcMar>
          </w:tcPr>
          <w:p w14:paraId="63EBFF4B" w14:textId="77777777" w:rsidR="004F0B9C" w:rsidRPr="00532399" w:rsidRDefault="004F0B9C" w:rsidP="0093109B">
            <w:pPr>
              <w:pStyle w:val="TabellenInhalt"/>
              <w:spacing w:line="360" w:lineRule="auto"/>
              <w:jc w:val="both"/>
              <w:rPr>
                <w:rFonts w:ascii="Book Antiqua" w:hAnsi="Book Antiqua"/>
                <w:lang w:val="en-US"/>
              </w:rPr>
            </w:pPr>
          </w:p>
        </w:tc>
      </w:tr>
      <w:tr w:rsidR="0093109B" w:rsidRPr="00532399" w14:paraId="48D038CE" w14:textId="77777777" w:rsidTr="00532399">
        <w:tc>
          <w:tcPr>
            <w:tcW w:w="12474" w:type="dxa"/>
            <w:gridSpan w:val="7"/>
            <w:tcMar>
              <w:left w:w="54" w:type="dxa"/>
            </w:tcMar>
          </w:tcPr>
          <w:p w14:paraId="785DFD6D" w14:textId="77777777" w:rsidR="004F0B9C" w:rsidRPr="00532399" w:rsidRDefault="004F0B9C" w:rsidP="0093109B">
            <w:pPr>
              <w:spacing w:after="0" w:line="360" w:lineRule="auto"/>
              <w:jc w:val="both"/>
              <w:rPr>
                <w:rFonts w:ascii="Book Antiqua" w:hAnsi="Book Antiqua"/>
                <w:sz w:val="24"/>
                <w:szCs w:val="24"/>
                <w:lang w:val="en-US"/>
              </w:rPr>
            </w:pPr>
          </w:p>
        </w:tc>
      </w:tr>
      <w:tr w:rsidR="0093109B" w:rsidRPr="00532399" w14:paraId="258D6339" w14:textId="77777777" w:rsidTr="00532399">
        <w:tc>
          <w:tcPr>
            <w:tcW w:w="993" w:type="dxa"/>
            <w:tcMar>
              <w:left w:w="54" w:type="dxa"/>
            </w:tcMar>
          </w:tcPr>
          <w:p w14:paraId="77201A90" w14:textId="24C7BE88" w:rsidR="004F0B9C" w:rsidRPr="00532399" w:rsidRDefault="004F0B9C" w:rsidP="0093109B">
            <w:pPr>
              <w:pStyle w:val="TabellenInhalt"/>
              <w:spacing w:line="360" w:lineRule="auto"/>
              <w:jc w:val="both"/>
              <w:rPr>
                <w:rFonts w:ascii="Book Antiqua" w:hAnsi="Book Antiqua"/>
                <w:b/>
                <w:bCs/>
                <w:lang w:val="en-US"/>
              </w:rPr>
            </w:pPr>
            <w:r w:rsidRPr="00532399">
              <w:rPr>
                <w:rFonts w:ascii="Book Antiqua" w:hAnsi="Book Antiqua"/>
                <w:b/>
                <w:bCs/>
                <w:lang w:val="en-US"/>
              </w:rPr>
              <w:t>Internat</w:t>
            </w:r>
            <w:r w:rsidRPr="00532399">
              <w:rPr>
                <w:rFonts w:ascii="Book Antiqua" w:hAnsi="Book Antiqua"/>
                <w:b/>
                <w:bCs/>
                <w:lang w:val="en-US"/>
              </w:rPr>
              <w:lastRenderedPageBreak/>
              <w:t>ional Consensus Groupe</w:t>
            </w:r>
            <w:r w:rsidR="00451163" w:rsidRPr="00532399">
              <w:rPr>
                <w:rFonts w:ascii="Book Antiqua" w:hAnsi="Book Antiqua"/>
                <w:b/>
                <w:bCs/>
                <w:lang w:val="en-US"/>
              </w:rPr>
              <w:t xml:space="preserve"> </w:t>
            </w:r>
            <w:r w:rsidRPr="00532399">
              <w:rPr>
                <w:rFonts w:ascii="Book Antiqua" w:hAnsi="Book Antiqua"/>
                <w:b/>
                <w:bCs/>
                <w:lang w:val="en-US"/>
              </w:rPr>
              <w:t>2013</w:t>
            </w:r>
            <w:r w:rsidRPr="00532399">
              <w:rPr>
                <w:rFonts w:ascii="Book Antiqua" w:hAnsi="Book Antiqua"/>
                <w:b/>
                <w:bCs/>
                <w:vertAlign w:val="superscript"/>
              </w:rPr>
              <w:t>[17]</w:t>
            </w:r>
          </w:p>
          <w:p w14:paraId="25A7FD73" w14:textId="77777777" w:rsidR="004F0B9C" w:rsidRPr="00532399" w:rsidRDefault="004F0B9C" w:rsidP="0093109B">
            <w:pPr>
              <w:pStyle w:val="TabellenInhalt"/>
              <w:spacing w:line="360" w:lineRule="auto"/>
              <w:jc w:val="both"/>
              <w:rPr>
                <w:rFonts w:ascii="Book Antiqua" w:hAnsi="Book Antiqua"/>
                <w:b/>
                <w:bCs/>
                <w:lang w:val="en-US"/>
              </w:rPr>
            </w:pPr>
          </w:p>
        </w:tc>
        <w:tc>
          <w:tcPr>
            <w:tcW w:w="1984" w:type="dxa"/>
            <w:tcMar>
              <w:left w:w="54" w:type="dxa"/>
            </w:tcMar>
          </w:tcPr>
          <w:p w14:paraId="38B2F76D" w14:textId="77777777" w:rsidR="004F0B9C" w:rsidRPr="00532399" w:rsidRDefault="004F0B9C" w:rsidP="0093109B">
            <w:pPr>
              <w:pStyle w:val="TabellenInhalt"/>
              <w:spacing w:line="360" w:lineRule="auto"/>
              <w:jc w:val="both"/>
              <w:rPr>
                <w:rFonts w:ascii="Book Antiqua" w:hAnsi="Book Antiqua"/>
                <w:lang w:val="nl-NL"/>
              </w:rPr>
            </w:pPr>
            <w:r w:rsidRPr="00532399">
              <w:rPr>
                <w:rFonts w:ascii="Book Antiqua" w:hAnsi="Book Antiqua"/>
                <w:lang w:val="nl-NL"/>
              </w:rPr>
              <w:lastRenderedPageBreak/>
              <w:t xml:space="preserve">LMWH </w:t>
            </w:r>
          </w:p>
          <w:p w14:paraId="44CAD17C" w14:textId="77777777" w:rsidR="004F0B9C" w:rsidRPr="00532399" w:rsidRDefault="004F0B9C" w:rsidP="0093109B">
            <w:pPr>
              <w:pStyle w:val="TabellenInhalt"/>
              <w:spacing w:line="360" w:lineRule="auto"/>
              <w:jc w:val="both"/>
              <w:rPr>
                <w:rFonts w:ascii="Book Antiqua" w:hAnsi="Book Antiqua"/>
                <w:lang w:val="nl-NL"/>
              </w:rPr>
            </w:pPr>
            <w:r w:rsidRPr="00532399">
              <w:rPr>
                <w:rFonts w:ascii="Book Antiqua" w:hAnsi="Book Antiqua"/>
                <w:lang w:val="nl-NL"/>
              </w:rPr>
              <w:lastRenderedPageBreak/>
              <w:t xml:space="preserve">(Dalteparin, Enoxaparin, Nadroparin, Tinzaparin), Fondaparinux, </w:t>
            </w:r>
          </w:p>
          <w:p w14:paraId="33D3676D" w14:textId="77777777" w:rsidR="004F0B9C" w:rsidRPr="00532399" w:rsidRDefault="004F0B9C" w:rsidP="0093109B">
            <w:pPr>
              <w:pStyle w:val="TabellenInhalt"/>
              <w:spacing w:line="360" w:lineRule="auto"/>
              <w:jc w:val="both"/>
              <w:rPr>
                <w:rFonts w:ascii="Book Antiqua" w:hAnsi="Book Antiqua"/>
                <w:lang w:val="en-US"/>
              </w:rPr>
            </w:pPr>
            <w:r w:rsidRPr="00532399">
              <w:rPr>
                <w:rFonts w:ascii="Book Antiqua" w:hAnsi="Book Antiqua"/>
                <w:lang w:val="en-US"/>
              </w:rPr>
              <w:t xml:space="preserve">UFH </w:t>
            </w:r>
          </w:p>
          <w:p w14:paraId="6556FC44" w14:textId="03CDAADF" w:rsidR="004F0B9C" w:rsidRPr="00BA1C92" w:rsidRDefault="004F0B9C" w:rsidP="00BA1C92">
            <w:pPr>
              <w:spacing w:after="0" w:line="360" w:lineRule="auto"/>
              <w:jc w:val="both"/>
              <w:rPr>
                <w:rFonts w:ascii="Book Antiqua" w:hAnsi="Book Antiqua"/>
                <w:sz w:val="24"/>
                <w:szCs w:val="24"/>
                <w:lang w:val="en-US" w:eastAsia="zh-CN"/>
              </w:rPr>
            </w:pPr>
            <w:r w:rsidRPr="00532399">
              <w:rPr>
                <w:rFonts w:ascii="Book Antiqua" w:hAnsi="Book Antiqua"/>
                <w:sz w:val="24"/>
                <w:szCs w:val="24"/>
                <w:lang w:val="en-US"/>
              </w:rPr>
              <w:t>For 10 ± 2 d or 25</w:t>
            </w:r>
            <w:r w:rsidR="00BA1C92">
              <w:rPr>
                <w:rFonts w:ascii="Book Antiqua" w:hAnsi="Book Antiqua" w:hint="eastAsia"/>
                <w:sz w:val="24"/>
                <w:szCs w:val="24"/>
                <w:lang w:val="en-US" w:eastAsia="zh-CN"/>
              </w:rPr>
              <w:t>-</w:t>
            </w:r>
            <w:r w:rsidRPr="00532399">
              <w:rPr>
                <w:rFonts w:ascii="Book Antiqua" w:hAnsi="Book Antiqua"/>
                <w:sz w:val="24"/>
                <w:szCs w:val="24"/>
                <w:lang w:val="en-US"/>
              </w:rPr>
              <w:t>31 d</w:t>
            </w:r>
            <w:r w:rsidR="00BA1C92">
              <w:rPr>
                <w:rFonts w:ascii="Book Antiqua" w:hAnsi="Book Antiqua"/>
                <w:sz w:val="24"/>
                <w:szCs w:val="24"/>
                <w:lang w:val="en-US"/>
              </w:rPr>
              <w:t xml:space="preserve"> (28 d</w:t>
            </w:r>
            <w:r w:rsidRPr="00532399">
              <w:rPr>
                <w:rFonts w:ascii="Book Antiqua" w:hAnsi="Book Antiqua"/>
                <w:sz w:val="24"/>
                <w:szCs w:val="24"/>
                <w:lang w:val="en-US"/>
              </w:rPr>
              <w:t>)</w:t>
            </w:r>
            <w:r w:rsidR="00451163" w:rsidRPr="00532399">
              <w:rPr>
                <w:rFonts w:ascii="Book Antiqua" w:hAnsi="Book Antiqua"/>
                <w:sz w:val="24"/>
                <w:szCs w:val="24"/>
                <w:lang w:val="en-US"/>
              </w:rPr>
              <w:t xml:space="preserve"> </w:t>
            </w:r>
            <w:r w:rsidRPr="00532399">
              <w:rPr>
                <w:rFonts w:ascii="Book Antiqua" w:hAnsi="Book Antiqua"/>
                <w:sz w:val="24"/>
                <w:szCs w:val="24"/>
                <w:lang w:val="en-US"/>
              </w:rPr>
              <w:t>extended use (Bemiparin so</w:t>
            </w:r>
            <w:r w:rsidR="00BA1C92">
              <w:rPr>
                <w:rFonts w:ascii="Book Antiqua" w:hAnsi="Book Antiqua"/>
                <w:sz w:val="24"/>
                <w:szCs w:val="24"/>
                <w:lang w:val="en-US"/>
              </w:rPr>
              <w:t>dium 3500 IU per day for 28 d</w:t>
            </w:r>
            <w:r w:rsidRPr="00532399">
              <w:rPr>
                <w:rFonts w:ascii="Book Antiqua" w:hAnsi="Book Antiqua"/>
                <w:sz w:val="24"/>
                <w:szCs w:val="24"/>
                <w:lang w:val="en-US"/>
              </w:rPr>
              <w:t>)</w:t>
            </w:r>
          </w:p>
        </w:tc>
        <w:tc>
          <w:tcPr>
            <w:tcW w:w="2124" w:type="dxa"/>
            <w:tcMar>
              <w:left w:w="54" w:type="dxa"/>
            </w:tcMar>
          </w:tcPr>
          <w:p w14:paraId="55189E42" w14:textId="77777777" w:rsidR="004F0B9C" w:rsidRPr="00532399" w:rsidRDefault="004F0B9C" w:rsidP="0093109B">
            <w:pPr>
              <w:pStyle w:val="TabellenInhalt"/>
              <w:spacing w:line="360" w:lineRule="auto"/>
              <w:jc w:val="both"/>
              <w:rPr>
                <w:rFonts w:ascii="Book Antiqua" w:hAnsi="Book Antiqua"/>
                <w:lang w:val="nl-NL"/>
              </w:rPr>
            </w:pPr>
            <w:r w:rsidRPr="00532399">
              <w:rPr>
                <w:rFonts w:ascii="Book Antiqua" w:hAnsi="Book Antiqua"/>
                <w:lang w:val="nl-NL"/>
              </w:rPr>
              <w:lastRenderedPageBreak/>
              <w:t>LMWH</w:t>
            </w:r>
          </w:p>
          <w:p w14:paraId="2C7C36D9" w14:textId="77777777" w:rsidR="004F0B9C" w:rsidRPr="00532399" w:rsidRDefault="004F0B9C" w:rsidP="0093109B">
            <w:pPr>
              <w:pStyle w:val="TabellenInhalt"/>
              <w:spacing w:line="360" w:lineRule="auto"/>
              <w:jc w:val="both"/>
              <w:rPr>
                <w:rFonts w:ascii="Book Antiqua" w:hAnsi="Book Antiqua"/>
                <w:lang w:val="nl-NL"/>
              </w:rPr>
            </w:pPr>
            <w:r w:rsidRPr="00532399">
              <w:rPr>
                <w:rFonts w:ascii="Book Antiqua" w:hAnsi="Book Antiqua"/>
                <w:lang w:val="nl-NL"/>
              </w:rPr>
              <w:lastRenderedPageBreak/>
              <w:t xml:space="preserve">(Dalteparin, Enoxaparin, Nadroparin, Tinzaparin), </w:t>
            </w:r>
          </w:p>
          <w:p w14:paraId="3450F9C0" w14:textId="77777777" w:rsidR="004F0B9C" w:rsidRPr="00532399" w:rsidRDefault="004F0B9C" w:rsidP="0093109B">
            <w:pPr>
              <w:pStyle w:val="TabellenInhalt"/>
              <w:spacing w:line="360" w:lineRule="auto"/>
              <w:jc w:val="both"/>
              <w:rPr>
                <w:rFonts w:ascii="Book Antiqua" w:hAnsi="Book Antiqua"/>
              </w:rPr>
            </w:pPr>
            <w:r w:rsidRPr="00532399">
              <w:rPr>
                <w:rFonts w:ascii="Book Antiqua" w:hAnsi="Book Antiqua"/>
              </w:rPr>
              <w:t xml:space="preserve">Fondaparinux, </w:t>
            </w:r>
          </w:p>
          <w:p w14:paraId="218A0934" w14:textId="77777777" w:rsidR="004F0B9C" w:rsidRPr="00532399" w:rsidRDefault="004F0B9C" w:rsidP="0093109B">
            <w:pPr>
              <w:pStyle w:val="TabellenInhalt"/>
              <w:spacing w:line="360" w:lineRule="auto"/>
              <w:jc w:val="both"/>
              <w:rPr>
                <w:rFonts w:ascii="Book Antiqua" w:hAnsi="Book Antiqua"/>
              </w:rPr>
            </w:pPr>
            <w:r w:rsidRPr="00532399">
              <w:rPr>
                <w:rFonts w:ascii="Book Antiqua" w:hAnsi="Book Antiqua"/>
              </w:rPr>
              <w:t xml:space="preserve">UFH </w:t>
            </w:r>
          </w:p>
          <w:p w14:paraId="478FCA2F" w14:textId="77777777" w:rsidR="004F0B9C" w:rsidRPr="00532399" w:rsidRDefault="004F0B9C" w:rsidP="0093109B">
            <w:pPr>
              <w:spacing w:after="0" w:line="360" w:lineRule="auto"/>
              <w:jc w:val="both"/>
              <w:rPr>
                <w:rFonts w:ascii="Book Antiqua" w:hAnsi="Book Antiqua"/>
                <w:sz w:val="24"/>
                <w:szCs w:val="24"/>
              </w:rPr>
            </w:pPr>
          </w:p>
          <w:p w14:paraId="724C530D" w14:textId="77777777" w:rsidR="004F0B9C" w:rsidRPr="00532399" w:rsidRDefault="004F0B9C" w:rsidP="0093109B">
            <w:pPr>
              <w:spacing w:after="0" w:line="360" w:lineRule="auto"/>
              <w:jc w:val="both"/>
              <w:rPr>
                <w:rFonts w:ascii="Book Antiqua" w:hAnsi="Book Antiqua"/>
                <w:sz w:val="24"/>
                <w:szCs w:val="24"/>
                <w:lang w:val="en-US"/>
              </w:rPr>
            </w:pPr>
          </w:p>
        </w:tc>
        <w:tc>
          <w:tcPr>
            <w:tcW w:w="2340" w:type="dxa"/>
            <w:tcMar>
              <w:left w:w="54" w:type="dxa"/>
            </w:tcMar>
          </w:tcPr>
          <w:p w14:paraId="751AFBBA" w14:textId="7B7676E8" w:rsidR="004F0B9C" w:rsidRPr="00532399" w:rsidRDefault="00BA1C92" w:rsidP="0093109B">
            <w:pPr>
              <w:pStyle w:val="a9"/>
              <w:spacing w:after="0" w:line="360" w:lineRule="auto"/>
              <w:jc w:val="both"/>
              <w:rPr>
                <w:rFonts w:ascii="Book Antiqua" w:hAnsi="Book Antiqua"/>
                <w:lang w:val="en-US"/>
              </w:rPr>
            </w:pPr>
            <w:r>
              <w:rPr>
                <w:rFonts w:ascii="Book Antiqua" w:hAnsi="Book Antiqua"/>
                <w:lang w:val="en-US"/>
              </w:rPr>
              <w:lastRenderedPageBreak/>
              <w:t>1</w:t>
            </w:r>
            <w:r w:rsidR="004F0B9C" w:rsidRPr="00532399">
              <w:rPr>
                <w:rFonts w:ascii="Book Antiqua" w:hAnsi="Book Antiqua"/>
                <w:lang w:val="en-US"/>
              </w:rPr>
              <w:t xml:space="preserve"> Not recommended </w:t>
            </w:r>
            <w:r w:rsidR="004F0B9C" w:rsidRPr="00532399">
              <w:rPr>
                <w:rFonts w:ascii="Book Antiqua" w:hAnsi="Book Antiqua"/>
                <w:lang w:val="en-US"/>
              </w:rPr>
              <w:lastRenderedPageBreak/>
              <w:t>routinely</w:t>
            </w:r>
          </w:p>
          <w:p w14:paraId="2A3A2F18" w14:textId="4724D8C1" w:rsidR="004F0B9C" w:rsidRPr="00532399" w:rsidRDefault="00BA1C92" w:rsidP="0093109B">
            <w:pPr>
              <w:spacing w:after="0" w:line="360" w:lineRule="auto"/>
              <w:jc w:val="both"/>
              <w:rPr>
                <w:rFonts w:ascii="Book Antiqua" w:hAnsi="Book Antiqua"/>
                <w:sz w:val="24"/>
                <w:szCs w:val="24"/>
                <w:lang w:val="en-US" w:eastAsia="zh-CN"/>
              </w:rPr>
            </w:pPr>
            <w:r>
              <w:rPr>
                <w:rFonts w:ascii="Book Antiqua" w:hAnsi="Book Antiqua"/>
                <w:sz w:val="24"/>
                <w:szCs w:val="24"/>
                <w:lang w:val="en-US"/>
              </w:rPr>
              <w:t>2 To be considered/</w:t>
            </w:r>
            <w:r w:rsidR="004F0B9C" w:rsidRPr="00532399">
              <w:rPr>
                <w:rFonts w:ascii="Book Antiqua" w:hAnsi="Book Antiqua"/>
                <w:sz w:val="24"/>
                <w:szCs w:val="24"/>
                <w:lang w:val="en-US"/>
              </w:rPr>
              <w:t>recommended: P</w:t>
            </w:r>
            <w:r>
              <w:rPr>
                <w:rFonts w:ascii="Book Antiqua" w:hAnsi="Book Antiqua" w:hint="eastAsia"/>
                <w:sz w:val="24"/>
                <w:szCs w:val="24"/>
                <w:lang w:val="en-US" w:eastAsia="zh-CN"/>
              </w:rPr>
              <w:t>a</w:t>
            </w:r>
            <w:r w:rsidR="004F0B9C" w:rsidRPr="00532399">
              <w:rPr>
                <w:rFonts w:ascii="Book Antiqua" w:hAnsi="Book Antiqua"/>
                <w:sz w:val="24"/>
                <w:szCs w:val="24"/>
                <w:lang w:val="en-US"/>
              </w:rPr>
              <w:t>t</w:t>
            </w:r>
            <w:r>
              <w:rPr>
                <w:rFonts w:ascii="Book Antiqua" w:hAnsi="Book Antiqua" w:hint="eastAsia"/>
                <w:sz w:val="24"/>
                <w:szCs w:val="24"/>
                <w:lang w:val="en-US" w:eastAsia="zh-CN"/>
              </w:rPr>
              <w:t>ient</w:t>
            </w:r>
            <w:r w:rsidR="004F0B9C" w:rsidRPr="00532399">
              <w:rPr>
                <w:rFonts w:ascii="Book Antiqua" w:hAnsi="Book Antiqua"/>
                <w:sz w:val="24"/>
                <w:szCs w:val="24"/>
                <w:lang w:val="en-US"/>
              </w:rPr>
              <w:t xml:space="preserve">s with locally advanced or metastatic lung or pancreatic cancer treated with chemotherapy </w:t>
            </w:r>
            <w:r>
              <w:rPr>
                <w:rFonts w:ascii="Book Antiqua" w:hAnsi="Book Antiqua"/>
                <w:sz w:val="24"/>
                <w:szCs w:val="24"/>
                <w:lang w:val="en-US"/>
              </w:rPr>
              <w:t>and having a low bleeding risk</w:t>
            </w:r>
          </w:p>
        </w:tc>
        <w:tc>
          <w:tcPr>
            <w:tcW w:w="2624" w:type="dxa"/>
            <w:gridSpan w:val="2"/>
            <w:tcMar>
              <w:left w:w="54" w:type="dxa"/>
            </w:tcMar>
          </w:tcPr>
          <w:p w14:paraId="152D8363" w14:textId="77777777" w:rsidR="004F0B9C" w:rsidRPr="00532399" w:rsidRDefault="004F0B9C" w:rsidP="0093109B">
            <w:pPr>
              <w:spacing w:after="0" w:line="360" w:lineRule="auto"/>
              <w:jc w:val="both"/>
              <w:rPr>
                <w:rFonts w:ascii="Book Antiqua" w:hAnsi="Book Antiqua"/>
                <w:sz w:val="24"/>
                <w:szCs w:val="24"/>
              </w:rPr>
            </w:pPr>
            <w:r w:rsidRPr="00532399">
              <w:rPr>
                <w:rFonts w:ascii="Book Antiqua" w:hAnsi="Book Antiqua"/>
                <w:sz w:val="24"/>
                <w:szCs w:val="24"/>
              </w:rPr>
              <w:lastRenderedPageBreak/>
              <w:t>LMWH</w:t>
            </w:r>
          </w:p>
          <w:p w14:paraId="0E163460" w14:textId="77777777" w:rsidR="004F0B9C" w:rsidRPr="00532399" w:rsidRDefault="004F0B9C" w:rsidP="0093109B">
            <w:pPr>
              <w:spacing w:after="0" w:line="360" w:lineRule="auto"/>
              <w:jc w:val="both"/>
              <w:rPr>
                <w:rFonts w:ascii="Book Antiqua" w:hAnsi="Book Antiqua"/>
                <w:sz w:val="24"/>
                <w:szCs w:val="24"/>
              </w:rPr>
            </w:pPr>
            <w:r w:rsidRPr="00532399">
              <w:rPr>
                <w:rFonts w:ascii="Book Antiqua" w:hAnsi="Book Antiqua"/>
                <w:sz w:val="24"/>
                <w:szCs w:val="24"/>
              </w:rPr>
              <w:lastRenderedPageBreak/>
              <w:t xml:space="preserve">(Dalteparin, Enoxaparin), </w:t>
            </w:r>
          </w:p>
          <w:p w14:paraId="04E3FE53" w14:textId="1BBC1148" w:rsidR="004F0B9C" w:rsidRPr="00532399" w:rsidRDefault="004F0B9C" w:rsidP="0093109B">
            <w:pPr>
              <w:spacing w:after="0" w:line="360" w:lineRule="auto"/>
              <w:jc w:val="both"/>
              <w:rPr>
                <w:rFonts w:ascii="Book Antiqua" w:hAnsi="Book Antiqua"/>
                <w:sz w:val="24"/>
                <w:szCs w:val="24"/>
              </w:rPr>
            </w:pPr>
            <w:r w:rsidRPr="00532399">
              <w:rPr>
                <w:rFonts w:ascii="Book Antiqua" w:hAnsi="Book Antiqua"/>
                <w:sz w:val="24"/>
                <w:szCs w:val="24"/>
              </w:rPr>
              <w:t>UFH</w:t>
            </w:r>
            <w:r w:rsidR="00451163" w:rsidRPr="00532399">
              <w:rPr>
                <w:rFonts w:ascii="Book Antiqua" w:hAnsi="Book Antiqua"/>
                <w:sz w:val="24"/>
                <w:szCs w:val="24"/>
              </w:rPr>
              <w:t xml:space="preserve"> </w:t>
            </w:r>
          </w:p>
          <w:p w14:paraId="39A07983" w14:textId="77777777" w:rsidR="004F0B9C" w:rsidRPr="00532399" w:rsidRDefault="004F0B9C" w:rsidP="0093109B">
            <w:pPr>
              <w:spacing w:after="0" w:line="360" w:lineRule="auto"/>
              <w:jc w:val="both"/>
              <w:rPr>
                <w:rFonts w:ascii="Book Antiqua" w:hAnsi="Book Antiqua"/>
                <w:sz w:val="24"/>
                <w:szCs w:val="24"/>
              </w:rPr>
            </w:pPr>
            <w:r w:rsidRPr="00532399">
              <w:rPr>
                <w:rFonts w:ascii="Book Antiqua" w:hAnsi="Book Antiqua"/>
                <w:sz w:val="24"/>
                <w:szCs w:val="24"/>
              </w:rPr>
              <w:t xml:space="preserve"> </w:t>
            </w:r>
          </w:p>
          <w:p w14:paraId="5C627BBE" w14:textId="77777777" w:rsidR="004F0B9C" w:rsidRPr="00532399" w:rsidRDefault="004F0B9C" w:rsidP="0093109B">
            <w:pPr>
              <w:pStyle w:val="TabellenInhalt"/>
              <w:spacing w:line="360" w:lineRule="auto"/>
              <w:jc w:val="both"/>
              <w:rPr>
                <w:rFonts w:ascii="Book Antiqua" w:hAnsi="Book Antiqua"/>
              </w:rPr>
            </w:pPr>
          </w:p>
        </w:tc>
        <w:tc>
          <w:tcPr>
            <w:tcW w:w="2409" w:type="dxa"/>
            <w:tcMar>
              <w:left w:w="54" w:type="dxa"/>
            </w:tcMar>
          </w:tcPr>
          <w:p w14:paraId="49320A1B" w14:textId="77777777" w:rsidR="004F0B9C" w:rsidRPr="00532399" w:rsidRDefault="004F0B9C" w:rsidP="0093109B">
            <w:pPr>
              <w:spacing w:after="0" w:line="360" w:lineRule="auto"/>
              <w:jc w:val="both"/>
              <w:rPr>
                <w:rFonts w:ascii="Book Antiqua" w:hAnsi="Book Antiqua"/>
                <w:sz w:val="24"/>
                <w:szCs w:val="24"/>
                <w:lang w:val="en-US"/>
              </w:rPr>
            </w:pPr>
            <w:r w:rsidRPr="00532399">
              <w:rPr>
                <w:rFonts w:ascii="Book Antiqua" w:hAnsi="Book Antiqua"/>
                <w:sz w:val="24"/>
                <w:szCs w:val="24"/>
                <w:lang w:val="en-US"/>
              </w:rPr>
              <w:lastRenderedPageBreak/>
              <w:t xml:space="preserve">LMWH </w:t>
            </w:r>
          </w:p>
          <w:p w14:paraId="1FBA7EBC" w14:textId="77777777" w:rsidR="004F0B9C" w:rsidRPr="00532399" w:rsidRDefault="004F0B9C" w:rsidP="0093109B">
            <w:pPr>
              <w:spacing w:after="0" w:line="360" w:lineRule="auto"/>
              <w:jc w:val="both"/>
              <w:rPr>
                <w:rFonts w:ascii="Book Antiqua" w:hAnsi="Book Antiqua"/>
                <w:sz w:val="24"/>
                <w:szCs w:val="24"/>
                <w:lang w:val="en-US"/>
              </w:rPr>
            </w:pPr>
            <w:r w:rsidRPr="00532399">
              <w:rPr>
                <w:rFonts w:ascii="Book Antiqua" w:hAnsi="Book Antiqua"/>
                <w:sz w:val="24"/>
                <w:szCs w:val="24"/>
                <w:lang w:val="en-US"/>
              </w:rPr>
              <w:lastRenderedPageBreak/>
              <w:t xml:space="preserve">(Dalteparin, Enoxaparin) </w:t>
            </w:r>
          </w:p>
          <w:p w14:paraId="509CAC5E" w14:textId="6B9C39C1" w:rsidR="004F0B9C" w:rsidRPr="00532399" w:rsidRDefault="004F0B9C" w:rsidP="00BA1C92">
            <w:pPr>
              <w:spacing w:after="0" w:line="360" w:lineRule="auto"/>
              <w:jc w:val="both"/>
              <w:rPr>
                <w:rFonts w:ascii="Book Antiqua" w:hAnsi="Book Antiqua"/>
                <w:sz w:val="24"/>
                <w:szCs w:val="24"/>
                <w:lang w:val="en-US"/>
              </w:rPr>
            </w:pPr>
            <w:r w:rsidRPr="00532399">
              <w:rPr>
                <w:rFonts w:ascii="Book Antiqua" w:hAnsi="Book Antiqua"/>
                <w:sz w:val="24"/>
                <w:szCs w:val="24"/>
                <w:lang w:val="en-US"/>
              </w:rPr>
              <w:t>for 3 to 6 mo</w:t>
            </w:r>
          </w:p>
        </w:tc>
      </w:tr>
      <w:tr w:rsidR="0093109B" w:rsidRPr="00532399" w14:paraId="572CBA4F" w14:textId="77777777" w:rsidTr="00532399">
        <w:tc>
          <w:tcPr>
            <w:tcW w:w="12474" w:type="dxa"/>
            <w:gridSpan w:val="7"/>
            <w:tcMar>
              <w:left w:w="54" w:type="dxa"/>
            </w:tcMar>
          </w:tcPr>
          <w:p w14:paraId="3C2449B7" w14:textId="77777777" w:rsidR="004F0B9C" w:rsidRPr="00532399" w:rsidRDefault="004F0B9C" w:rsidP="0093109B">
            <w:pPr>
              <w:pStyle w:val="TabellenInhalt"/>
              <w:spacing w:line="360" w:lineRule="auto"/>
              <w:jc w:val="both"/>
              <w:rPr>
                <w:rFonts w:ascii="Book Antiqua" w:hAnsi="Book Antiqua"/>
                <w:lang w:val="en-US"/>
              </w:rPr>
            </w:pPr>
          </w:p>
        </w:tc>
      </w:tr>
      <w:tr w:rsidR="0093109B" w:rsidRPr="00532399" w14:paraId="6A474001" w14:textId="77777777" w:rsidTr="00532399">
        <w:tc>
          <w:tcPr>
            <w:tcW w:w="993" w:type="dxa"/>
            <w:tcMar>
              <w:left w:w="54" w:type="dxa"/>
            </w:tcMar>
          </w:tcPr>
          <w:p w14:paraId="69F457D1" w14:textId="77777777" w:rsidR="004F0B9C" w:rsidRPr="00532399" w:rsidRDefault="004F0B9C" w:rsidP="0093109B">
            <w:pPr>
              <w:pStyle w:val="TabellenInhalt"/>
              <w:spacing w:line="360" w:lineRule="auto"/>
              <w:jc w:val="both"/>
              <w:rPr>
                <w:rFonts w:ascii="Book Antiqua" w:hAnsi="Book Antiqua"/>
                <w:b/>
                <w:bCs/>
                <w:lang w:val="en-US"/>
              </w:rPr>
            </w:pPr>
            <w:r w:rsidRPr="00532399">
              <w:rPr>
                <w:rFonts w:ascii="Book Antiqua" w:hAnsi="Book Antiqua"/>
                <w:b/>
                <w:bCs/>
                <w:lang w:val="en-US"/>
              </w:rPr>
              <w:t>British Committee for Standards in Haematology 2015</w:t>
            </w:r>
            <w:r w:rsidRPr="00BA1C92">
              <w:rPr>
                <w:rFonts w:ascii="Book Antiqua" w:hAnsi="Book Antiqua"/>
                <w:b/>
                <w:bCs/>
                <w:vertAlign w:val="superscript"/>
                <w:lang w:val="en-US"/>
              </w:rPr>
              <w:t>[18]</w:t>
            </w:r>
          </w:p>
        </w:tc>
        <w:tc>
          <w:tcPr>
            <w:tcW w:w="1984" w:type="dxa"/>
            <w:tcMar>
              <w:left w:w="54" w:type="dxa"/>
            </w:tcMar>
          </w:tcPr>
          <w:p w14:paraId="5DD9D513" w14:textId="0AE32B94" w:rsidR="004F0B9C" w:rsidRPr="00532399" w:rsidRDefault="004F0B9C" w:rsidP="0093109B">
            <w:pPr>
              <w:spacing w:after="0" w:line="360" w:lineRule="auto"/>
              <w:jc w:val="both"/>
              <w:rPr>
                <w:rFonts w:ascii="Book Antiqua" w:hAnsi="Book Antiqua"/>
                <w:sz w:val="24"/>
                <w:szCs w:val="24"/>
                <w:lang w:val="en-US"/>
              </w:rPr>
            </w:pPr>
            <w:r w:rsidRPr="00532399">
              <w:rPr>
                <w:rFonts w:ascii="Book Antiqua" w:hAnsi="Book Antiqua"/>
                <w:sz w:val="24"/>
                <w:szCs w:val="24"/>
                <w:lang w:val="en-US"/>
              </w:rPr>
              <w:t>P</w:t>
            </w:r>
            <w:r w:rsidR="00BA1C92">
              <w:rPr>
                <w:rFonts w:ascii="Book Antiqua" w:hAnsi="Book Antiqua" w:hint="eastAsia"/>
                <w:sz w:val="24"/>
                <w:szCs w:val="24"/>
                <w:lang w:val="en-US" w:eastAsia="zh-CN"/>
              </w:rPr>
              <w:t>a</w:t>
            </w:r>
            <w:r w:rsidRPr="00532399">
              <w:rPr>
                <w:rFonts w:ascii="Book Antiqua" w:hAnsi="Book Antiqua"/>
                <w:sz w:val="24"/>
                <w:szCs w:val="24"/>
                <w:lang w:val="en-US"/>
              </w:rPr>
              <w:t>t</w:t>
            </w:r>
            <w:r w:rsidR="00BA1C92">
              <w:rPr>
                <w:rFonts w:ascii="Book Antiqua" w:hAnsi="Book Antiqua" w:hint="eastAsia"/>
                <w:sz w:val="24"/>
                <w:szCs w:val="24"/>
                <w:lang w:val="en-US" w:eastAsia="zh-CN"/>
              </w:rPr>
              <w:t>ient</w:t>
            </w:r>
            <w:r w:rsidRPr="00532399">
              <w:rPr>
                <w:rFonts w:ascii="Book Antiqua" w:hAnsi="Book Antiqua"/>
                <w:sz w:val="24"/>
                <w:szCs w:val="24"/>
                <w:lang w:val="en-US"/>
              </w:rPr>
              <w:t xml:space="preserve">s undergoing abdominal and pelvic surgery for cancer should be </w:t>
            </w:r>
          </w:p>
          <w:p w14:paraId="08D0262D" w14:textId="77777777" w:rsidR="004F0B9C" w:rsidRPr="00532399" w:rsidRDefault="004F0B9C" w:rsidP="0093109B">
            <w:pPr>
              <w:spacing w:after="0" w:line="360" w:lineRule="auto"/>
              <w:jc w:val="both"/>
              <w:rPr>
                <w:rFonts w:ascii="Book Antiqua" w:hAnsi="Book Antiqua"/>
                <w:sz w:val="24"/>
                <w:szCs w:val="24"/>
                <w:lang w:val="en-US"/>
              </w:rPr>
            </w:pPr>
            <w:r w:rsidRPr="00532399">
              <w:rPr>
                <w:rFonts w:ascii="Book Antiqua" w:hAnsi="Book Antiqua"/>
                <w:sz w:val="24"/>
                <w:szCs w:val="24"/>
                <w:lang w:val="en-US"/>
              </w:rPr>
              <w:t>considered for extended thromboprophylaxis</w:t>
            </w:r>
          </w:p>
        </w:tc>
        <w:tc>
          <w:tcPr>
            <w:tcW w:w="2124" w:type="dxa"/>
            <w:tcMar>
              <w:left w:w="54" w:type="dxa"/>
            </w:tcMar>
          </w:tcPr>
          <w:p w14:paraId="345551E2" w14:textId="08DF2416" w:rsidR="004F0B9C" w:rsidRPr="00532399" w:rsidRDefault="00BA1C92" w:rsidP="0093109B">
            <w:pPr>
              <w:spacing w:after="0" w:line="360" w:lineRule="auto"/>
              <w:jc w:val="both"/>
              <w:rPr>
                <w:rFonts w:ascii="Book Antiqua" w:hAnsi="Book Antiqua"/>
                <w:sz w:val="24"/>
                <w:szCs w:val="24"/>
                <w:lang w:val="en-US"/>
              </w:rPr>
            </w:pPr>
            <w:r w:rsidRPr="00532399">
              <w:rPr>
                <w:rFonts w:ascii="Book Antiqua" w:hAnsi="Book Antiqua"/>
                <w:sz w:val="24"/>
                <w:szCs w:val="24"/>
                <w:lang w:val="en-US"/>
              </w:rPr>
              <w:t>P</w:t>
            </w:r>
            <w:r>
              <w:rPr>
                <w:rFonts w:ascii="Book Antiqua" w:hAnsi="Book Antiqua" w:hint="eastAsia"/>
                <w:sz w:val="24"/>
                <w:szCs w:val="24"/>
                <w:lang w:val="en-US" w:eastAsia="zh-CN"/>
              </w:rPr>
              <w:t>a</w:t>
            </w:r>
            <w:r w:rsidRPr="00532399">
              <w:rPr>
                <w:rFonts w:ascii="Book Antiqua" w:hAnsi="Book Antiqua"/>
                <w:sz w:val="24"/>
                <w:szCs w:val="24"/>
                <w:lang w:val="en-US"/>
              </w:rPr>
              <w:t>t</w:t>
            </w:r>
            <w:r>
              <w:rPr>
                <w:rFonts w:ascii="Book Antiqua" w:hAnsi="Book Antiqua" w:hint="eastAsia"/>
                <w:sz w:val="24"/>
                <w:szCs w:val="24"/>
                <w:lang w:val="en-US" w:eastAsia="zh-CN"/>
              </w:rPr>
              <w:t>ient</w:t>
            </w:r>
            <w:r w:rsidRPr="00532399">
              <w:rPr>
                <w:rFonts w:ascii="Book Antiqua" w:hAnsi="Book Antiqua"/>
                <w:sz w:val="24"/>
                <w:szCs w:val="24"/>
                <w:lang w:val="en-US"/>
              </w:rPr>
              <w:t>s</w:t>
            </w:r>
            <w:r w:rsidR="004F0B9C" w:rsidRPr="00532399">
              <w:rPr>
                <w:rFonts w:ascii="Book Antiqua" w:hAnsi="Book Antiqua"/>
                <w:sz w:val="24"/>
                <w:szCs w:val="24"/>
                <w:lang w:val="en-US"/>
              </w:rPr>
              <w:t xml:space="preserve"> with active or recent cancer should receive thromboprophylaxis throughout their admission unless contraindicated</w:t>
            </w:r>
          </w:p>
          <w:p w14:paraId="48331428" w14:textId="639AB137" w:rsidR="004F0B9C" w:rsidRPr="00532399" w:rsidRDefault="00BA1C92" w:rsidP="0093109B">
            <w:pPr>
              <w:spacing w:after="0" w:line="360" w:lineRule="auto"/>
              <w:jc w:val="both"/>
              <w:rPr>
                <w:rFonts w:ascii="Book Antiqua" w:hAnsi="Book Antiqua"/>
                <w:sz w:val="24"/>
                <w:szCs w:val="24"/>
                <w:lang w:val="en-US"/>
              </w:rPr>
            </w:pPr>
            <w:r w:rsidRPr="00532399">
              <w:rPr>
                <w:rFonts w:ascii="Book Antiqua" w:hAnsi="Book Antiqua"/>
                <w:sz w:val="24"/>
                <w:szCs w:val="24"/>
                <w:lang w:val="en-US"/>
              </w:rPr>
              <w:t>P</w:t>
            </w:r>
            <w:r>
              <w:rPr>
                <w:rFonts w:ascii="Book Antiqua" w:hAnsi="Book Antiqua" w:hint="eastAsia"/>
                <w:sz w:val="24"/>
                <w:szCs w:val="24"/>
                <w:lang w:val="en-US" w:eastAsia="zh-CN"/>
              </w:rPr>
              <w:t>a</w:t>
            </w:r>
            <w:r w:rsidRPr="00532399">
              <w:rPr>
                <w:rFonts w:ascii="Book Antiqua" w:hAnsi="Book Antiqua"/>
                <w:sz w:val="24"/>
                <w:szCs w:val="24"/>
                <w:lang w:val="en-US"/>
              </w:rPr>
              <w:t>t</w:t>
            </w:r>
            <w:r>
              <w:rPr>
                <w:rFonts w:ascii="Book Antiqua" w:hAnsi="Book Antiqua" w:hint="eastAsia"/>
                <w:sz w:val="24"/>
                <w:szCs w:val="24"/>
                <w:lang w:val="en-US" w:eastAsia="zh-CN"/>
              </w:rPr>
              <w:t>ient</w:t>
            </w:r>
            <w:r w:rsidRPr="00532399">
              <w:rPr>
                <w:rFonts w:ascii="Book Antiqua" w:hAnsi="Book Antiqua"/>
                <w:sz w:val="24"/>
                <w:szCs w:val="24"/>
                <w:lang w:val="en-US"/>
              </w:rPr>
              <w:t>s</w:t>
            </w:r>
            <w:r w:rsidR="004F0B9C" w:rsidRPr="00532399">
              <w:rPr>
                <w:rFonts w:ascii="Book Antiqua" w:hAnsi="Book Antiqua"/>
                <w:sz w:val="24"/>
                <w:szCs w:val="24"/>
                <w:lang w:val="en-US"/>
              </w:rPr>
              <w:t xml:space="preserve"> without a history of venous thromboembolism receiving adjuvant hormonal therapies for cancer should not routinely receive thrombo-</w:t>
            </w:r>
            <w:r w:rsidR="004F0B9C" w:rsidRPr="00532399">
              <w:rPr>
                <w:rFonts w:ascii="Book Antiqua" w:hAnsi="Book Antiqua"/>
                <w:sz w:val="24"/>
                <w:szCs w:val="24"/>
                <w:lang w:val="en-US"/>
              </w:rPr>
              <w:lastRenderedPageBreak/>
              <w:t>prophylaxis</w:t>
            </w:r>
          </w:p>
        </w:tc>
        <w:tc>
          <w:tcPr>
            <w:tcW w:w="2340" w:type="dxa"/>
            <w:tcMar>
              <w:left w:w="54" w:type="dxa"/>
            </w:tcMar>
          </w:tcPr>
          <w:p w14:paraId="6A992030" w14:textId="0771BACE" w:rsidR="004F0B9C" w:rsidRPr="00532399" w:rsidRDefault="00BA1C92" w:rsidP="0093109B">
            <w:pPr>
              <w:spacing w:after="0" w:line="360" w:lineRule="auto"/>
              <w:jc w:val="both"/>
              <w:rPr>
                <w:rFonts w:ascii="Book Antiqua" w:hAnsi="Book Antiqua"/>
                <w:sz w:val="24"/>
                <w:szCs w:val="24"/>
                <w:lang w:val="en-US"/>
              </w:rPr>
            </w:pPr>
            <w:r w:rsidRPr="00532399">
              <w:rPr>
                <w:rFonts w:ascii="Book Antiqua" w:hAnsi="Book Antiqua"/>
                <w:sz w:val="24"/>
                <w:szCs w:val="24"/>
                <w:lang w:val="en-US"/>
              </w:rPr>
              <w:lastRenderedPageBreak/>
              <w:t>P</w:t>
            </w:r>
            <w:r>
              <w:rPr>
                <w:rFonts w:ascii="Book Antiqua" w:hAnsi="Book Antiqua" w:hint="eastAsia"/>
                <w:sz w:val="24"/>
                <w:szCs w:val="24"/>
                <w:lang w:val="en-US" w:eastAsia="zh-CN"/>
              </w:rPr>
              <w:t>a</w:t>
            </w:r>
            <w:r w:rsidRPr="00532399">
              <w:rPr>
                <w:rFonts w:ascii="Book Antiqua" w:hAnsi="Book Antiqua"/>
                <w:sz w:val="24"/>
                <w:szCs w:val="24"/>
                <w:lang w:val="en-US"/>
              </w:rPr>
              <w:t>t</w:t>
            </w:r>
            <w:r>
              <w:rPr>
                <w:rFonts w:ascii="Book Antiqua" w:hAnsi="Book Antiqua" w:hint="eastAsia"/>
                <w:sz w:val="24"/>
                <w:szCs w:val="24"/>
                <w:lang w:val="en-US" w:eastAsia="zh-CN"/>
              </w:rPr>
              <w:t>ient</w:t>
            </w:r>
            <w:r w:rsidRPr="00532399">
              <w:rPr>
                <w:rFonts w:ascii="Book Antiqua" w:hAnsi="Book Antiqua"/>
                <w:sz w:val="24"/>
                <w:szCs w:val="24"/>
                <w:lang w:val="en-US"/>
              </w:rPr>
              <w:t>s</w:t>
            </w:r>
            <w:r w:rsidR="004F0B9C" w:rsidRPr="00532399">
              <w:rPr>
                <w:rFonts w:ascii="Book Antiqua" w:hAnsi="Book Antiqua"/>
                <w:sz w:val="24"/>
                <w:szCs w:val="24"/>
                <w:lang w:val="en-US"/>
              </w:rPr>
              <w:t xml:space="preserve"> should be assessed for thrombosis risk </w:t>
            </w:r>
          </w:p>
          <w:p w14:paraId="0F74D397" w14:textId="77777777" w:rsidR="004F0B9C" w:rsidRPr="00532399" w:rsidRDefault="004F0B9C" w:rsidP="0093109B">
            <w:pPr>
              <w:spacing w:after="0" w:line="360" w:lineRule="auto"/>
              <w:jc w:val="both"/>
              <w:rPr>
                <w:rFonts w:ascii="Book Antiqua" w:hAnsi="Book Antiqua"/>
                <w:sz w:val="24"/>
                <w:szCs w:val="24"/>
                <w:lang w:val="en-US"/>
              </w:rPr>
            </w:pPr>
            <w:r w:rsidRPr="00532399">
              <w:rPr>
                <w:rFonts w:ascii="Book Antiqua" w:hAnsi="Book Antiqua"/>
                <w:sz w:val="24"/>
                <w:szCs w:val="24"/>
                <w:lang w:val="en-US"/>
              </w:rPr>
              <w:t xml:space="preserve">and although most do not routinely require thromboprophylaxis, it </w:t>
            </w:r>
          </w:p>
          <w:p w14:paraId="0FE60EE4" w14:textId="77777777" w:rsidR="004F0B9C" w:rsidRPr="00532399" w:rsidRDefault="004F0B9C" w:rsidP="0093109B">
            <w:pPr>
              <w:spacing w:after="0" w:line="360" w:lineRule="auto"/>
              <w:jc w:val="both"/>
              <w:rPr>
                <w:rFonts w:ascii="Book Antiqua" w:hAnsi="Book Antiqua"/>
                <w:sz w:val="24"/>
                <w:szCs w:val="24"/>
                <w:lang w:val="en-US"/>
              </w:rPr>
            </w:pPr>
            <w:r w:rsidRPr="00532399">
              <w:rPr>
                <w:rFonts w:ascii="Book Antiqua" w:hAnsi="Book Antiqua"/>
                <w:sz w:val="24"/>
                <w:szCs w:val="24"/>
                <w:lang w:val="en-US"/>
              </w:rPr>
              <w:t xml:space="preserve">should be considered for high risk patients </w:t>
            </w:r>
          </w:p>
          <w:p w14:paraId="07D5FBCD" w14:textId="77777777" w:rsidR="004F0B9C" w:rsidRPr="00532399" w:rsidRDefault="004F0B9C" w:rsidP="0093109B">
            <w:pPr>
              <w:pStyle w:val="TabellenInhalt"/>
              <w:spacing w:line="360" w:lineRule="auto"/>
              <w:jc w:val="both"/>
              <w:rPr>
                <w:rFonts w:ascii="Book Antiqua" w:hAnsi="Book Antiqua"/>
                <w:lang w:val="en-US"/>
              </w:rPr>
            </w:pPr>
          </w:p>
        </w:tc>
        <w:tc>
          <w:tcPr>
            <w:tcW w:w="2624" w:type="dxa"/>
            <w:gridSpan w:val="2"/>
            <w:tcMar>
              <w:left w:w="54" w:type="dxa"/>
            </w:tcMar>
          </w:tcPr>
          <w:p w14:paraId="37299913" w14:textId="73F9DD22" w:rsidR="004F0B9C" w:rsidRPr="00532399" w:rsidRDefault="00BA1C92" w:rsidP="0093109B">
            <w:pPr>
              <w:spacing w:after="0" w:line="360" w:lineRule="auto"/>
              <w:jc w:val="both"/>
              <w:rPr>
                <w:rFonts w:ascii="Book Antiqua" w:hAnsi="Book Antiqua"/>
                <w:sz w:val="24"/>
                <w:szCs w:val="24"/>
                <w:lang w:val="en-US"/>
              </w:rPr>
            </w:pPr>
            <w:r w:rsidRPr="00532399">
              <w:rPr>
                <w:rFonts w:ascii="Book Antiqua" w:hAnsi="Book Antiqua"/>
                <w:sz w:val="24"/>
                <w:szCs w:val="24"/>
                <w:lang w:val="en-US"/>
              </w:rPr>
              <w:t>I</w:t>
            </w:r>
            <w:r w:rsidR="004F0B9C" w:rsidRPr="00532399">
              <w:rPr>
                <w:rFonts w:ascii="Book Antiqua" w:hAnsi="Book Antiqua"/>
                <w:sz w:val="24"/>
                <w:szCs w:val="24"/>
                <w:lang w:val="en-US"/>
              </w:rPr>
              <w:t xml:space="preserve">nitial treatment should </w:t>
            </w:r>
          </w:p>
          <w:p w14:paraId="51E2512E" w14:textId="77777777" w:rsidR="004F0B9C" w:rsidRPr="00532399" w:rsidRDefault="004F0B9C" w:rsidP="0093109B">
            <w:pPr>
              <w:spacing w:after="0" w:line="360" w:lineRule="auto"/>
              <w:jc w:val="both"/>
              <w:rPr>
                <w:rFonts w:ascii="Book Antiqua" w:hAnsi="Book Antiqua"/>
                <w:sz w:val="24"/>
                <w:szCs w:val="24"/>
                <w:lang w:val="en-US"/>
              </w:rPr>
            </w:pPr>
            <w:r w:rsidRPr="00532399">
              <w:rPr>
                <w:rFonts w:ascii="Book Antiqua" w:hAnsi="Book Antiqua"/>
                <w:sz w:val="24"/>
                <w:szCs w:val="24"/>
                <w:lang w:val="en-US"/>
              </w:rPr>
              <w:t>be with LMWH for six months</w:t>
            </w:r>
          </w:p>
        </w:tc>
        <w:tc>
          <w:tcPr>
            <w:tcW w:w="2409" w:type="dxa"/>
            <w:tcMar>
              <w:left w:w="54" w:type="dxa"/>
            </w:tcMar>
          </w:tcPr>
          <w:p w14:paraId="72514566" w14:textId="77777777" w:rsidR="004F0B9C" w:rsidRPr="00532399" w:rsidRDefault="004F0B9C" w:rsidP="0093109B">
            <w:pPr>
              <w:spacing w:after="0" w:line="360" w:lineRule="auto"/>
              <w:jc w:val="both"/>
              <w:rPr>
                <w:rFonts w:ascii="Book Antiqua" w:hAnsi="Book Antiqua"/>
                <w:sz w:val="24"/>
                <w:szCs w:val="24"/>
                <w:lang w:val="en-US"/>
              </w:rPr>
            </w:pPr>
            <w:r w:rsidRPr="00532399">
              <w:rPr>
                <w:rFonts w:ascii="Book Antiqua" w:hAnsi="Book Antiqua"/>
                <w:sz w:val="24"/>
                <w:szCs w:val="24"/>
                <w:lang w:val="en-US"/>
              </w:rPr>
              <w:t xml:space="preserve">Warfarin and other oral anticoagulants are acceptable alternatives if LMWH is impractical and anticoagulation is indicated </w:t>
            </w:r>
          </w:p>
          <w:p w14:paraId="32E04547" w14:textId="77777777" w:rsidR="004F0B9C" w:rsidRPr="00532399" w:rsidRDefault="004F0B9C" w:rsidP="0093109B">
            <w:pPr>
              <w:spacing w:after="0" w:line="360" w:lineRule="auto"/>
              <w:jc w:val="both"/>
              <w:rPr>
                <w:rFonts w:ascii="Book Antiqua" w:hAnsi="Book Antiqua"/>
                <w:sz w:val="24"/>
                <w:szCs w:val="24"/>
                <w:lang w:val="en-US"/>
              </w:rPr>
            </w:pPr>
            <w:r w:rsidRPr="00532399">
              <w:rPr>
                <w:rFonts w:ascii="Book Antiqua" w:hAnsi="Book Antiqua"/>
                <w:sz w:val="24"/>
                <w:szCs w:val="24"/>
                <w:lang w:val="en-US"/>
              </w:rPr>
              <w:t xml:space="preserve">Anticoagulation should be </w:t>
            </w:r>
          </w:p>
          <w:p w14:paraId="60CE8BEF" w14:textId="77777777" w:rsidR="004F0B9C" w:rsidRPr="00532399" w:rsidRDefault="004F0B9C" w:rsidP="0093109B">
            <w:pPr>
              <w:spacing w:after="0" w:line="360" w:lineRule="auto"/>
              <w:jc w:val="both"/>
              <w:rPr>
                <w:rFonts w:ascii="Book Antiqua" w:hAnsi="Book Antiqua"/>
                <w:sz w:val="24"/>
                <w:szCs w:val="24"/>
                <w:lang w:val="en-US"/>
              </w:rPr>
            </w:pPr>
            <w:r w:rsidRPr="00532399">
              <w:rPr>
                <w:rFonts w:ascii="Book Antiqua" w:hAnsi="Book Antiqua"/>
                <w:sz w:val="24"/>
                <w:szCs w:val="24"/>
                <w:lang w:val="en-US"/>
              </w:rPr>
              <w:t xml:space="preserve">continued, taking pt status and wishes and bleeding risk into </w:t>
            </w:r>
          </w:p>
          <w:p w14:paraId="6EDB332D" w14:textId="77777777" w:rsidR="004F0B9C" w:rsidRPr="00532399" w:rsidRDefault="004F0B9C" w:rsidP="0093109B">
            <w:pPr>
              <w:pStyle w:val="TabellenInhalt"/>
              <w:spacing w:line="360" w:lineRule="auto"/>
              <w:jc w:val="both"/>
              <w:rPr>
                <w:rFonts w:ascii="Book Antiqua" w:hAnsi="Book Antiqua"/>
                <w:lang w:val="en-US"/>
              </w:rPr>
            </w:pPr>
            <w:proofErr w:type="gramStart"/>
            <w:r w:rsidRPr="00532399">
              <w:rPr>
                <w:rFonts w:ascii="Book Antiqua" w:hAnsi="Book Antiqua"/>
                <w:lang w:val="en-US"/>
              </w:rPr>
              <w:t>consideration</w:t>
            </w:r>
            <w:proofErr w:type="gramEnd"/>
            <w:r w:rsidRPr="00532399">
              <w:rPr>
                <w:rFonts w:ascii="Book Antiqua" w:hAnsi="Book Antiqua"/>
                <w:lang w:val="en-US"/>
              </w:rPr>
              <w:t xml:space="preserve">. There is a rationale but little direct evidence for preferring to continue to use </w:t>
            </w:r>
            <w:r w:rsidRPr="00532399">
              <w:rPr>
                <w:rFonts w:ascii="Book Antiqua" w:hAnsi="Book Antiqua"/>
                <w:lang w:val="en-US"/>
              </w:rPr>
              <w:lastRenderedPageBreak/>
              <w:t>LMWH</w:t>
            </w:r>
          </w:p>
        </w:tc>
      </w:tr>
      <w:tr w:rsidR="0093109B" w:rsidRPr="00532399" w14:paraId="50DC0341" w14:textId="77777777" w:rsidTr="00532399">
        <w:tc>
          <w:tcPr>
            <w:tcW w:w="993" w:type="dxa"/>
            <w:tcMar>
              <w:left w:w="54" w:type="dxa"/>
            </w:tcMar>
          </w:tcPr>
          <w:p w14:paraId="4A6F4D8A" w14:textId="77777777" w:rsidR="004F0B9C" w:rsidRPr="00532399" w:rsidRDefault="004F0B9C" w:rsidP="0093109B">
            <w:pPr>
              <w:pStyle w:val="TabellenInhalt"/>
              <w:spacing w:line="360" w:lineRule="auto"/>
              <w:jc w:val="both"/>
              <w:rPr>
                <w:rFonts w:ascii="Book Antiqua" w:hAnsi="Book Antiqua"/>
                <w:lang w:val="en-US"/>
              </w:rPr>
            </w:pPr>
          </w:p>
        </w:tc>
        <w:tc>
          <w:tcPr>
            <w:tcW w:w="1984" w:type="dxa"/>
            <w:tcMar>
              <w:left w:w="54" w:type="dxa"/>
            </w:tcMar>
          </w:tcPr>
          <w:p w14:paraId="2AFE858B" w14:textId="77777777" w:rsidR="004F0B9C" w:rsidRPr="00532399" w:rsidRDefault="004F0B9C" w:rsidP="0093109B">
            <w:pPr>
              <w:spacing w:after="0" w:line="360" w:lineRule="auto"/>
              <w:jc w:val="both"/>
              <w:rPr>
                <w:rFonts w:ascii="Book Antiqua" w:hAnsi="Book Antiqua"/>
                <w:sz w:val="24"/>
                <w:szCs w:val="24"/>
                <w:lang w:val="en-US"/>
              </w:rPr>
            </w:pPr>
          </w:p>
        </w:tc>
        <w:tc>
          <w:tcPr>
            <w:tcW w:w="2124" w:type="dxa"/>
            <w:tcMar>
              <w:left w:w="54" w:type="dxa"/>
            </w:tcMar>
          </w:tcPr>
          <w:p w14:paraId="0155FA3F" w14:textId="77777777" w:rsidR="004F0B9C" w:rsidRPr="00532399" w:rsidRDefault="004F0B9C" w:rsidP="0093109B">
            <w:pPr>
              <w:spacing w:after="0" w:line="360" w:lineRule="auto"/>
              <w:jc w:val="both"/>
              <w:rPr>
                <w:rFonts w:ascii="Book Antiqua" w:hAnsi="Book Antiqua"/>
                <w:sz w:val="24"/>
                <w:szCs w:val="24"/>
                <w:lang w:val="en-US"/>
              </w:rPr>
            </w:pPr>
          </w:p>
        </w:tc>
        <w:tc>
          <w:tcPr>
            <w:tcW w:w="2340" w:type="dxa"/>
            <w:tcMar>
              <w:left w:w="54" w:type="dxa"/>
            </w:tcMar>
          </w:tcPr>
          <w:p w14:paraId="5A6DE0B5" w14:textId="77777777" w:rsidR="004F0B9C" w:rsidRPr="00532399" w:rsidRDefault="004F0B9C" w:rsidP="0093109B">
            <w:pPr>
              <w:pStyle w:val="TabellenInhalt"/>
              <w:spacing w:line="360" w:lineRule="auto"/>
              <w:jc w:val="both"/>
              <w:rPr>
                <w:rFonts w:ascii="Book Antiqua" w:hAnsi="Book Antiqua"/>
                <w:lang w:val="en-US"/>
              </w:rPr>
            </w:pPr>
          </w:p>
        </w:tc>
        <w:tc>
          <w:tcPr>
            <w:tcW w:w="5033" w:type="dxa"/>
            <w:gridSpan w:val="3"/>
            <w:tcMar>
              <w:left w:w="54" w:type="dxa"/>
            </w:tcMar>
          </w:tcPr>
          <w:p w14:paraId="445264D5" w14:textId="4CEF3EF2" w:rsidR="004F0B9C" w:rsidRPr="00532399" w:rsidRDefault="004F0B9C" w:rsidP="0093109B">
            <w:pPr>
              <w:spacing w:after="0" w:line="360" w:lineRule="auto"/>
              <w:jc w:val="both"/>
              <w:rPr>
                <w:rFonts w:ascii="Book Antiqua" w:hAnsi="Book Antiqua"/>
                <w:sz w:val="24"/>
                <w:szCs w:val="24"/>
                <w:lang w:val="en-US"/>
              </w:rPr>
            </w:pPr>
            <w:r w:rsidRPr="00532399">
              <w:rPr>
                <w:rFonts w:ascii="Book Antiqua" w:hAnsi="Book Antiqua"/>
                <w:sz w:val="24"/>
                <w:szCs w:val="24"/>
                <w:lang w:val="en-US"/>
              </w:rPr>
              <w:t xml:space="preserve">Cancer </w:t>
            </w:r>
            <w:r w:rsidR="00BA1C92" w:rsidRPr="00532399">
              <w:rPr>
                <w:rFonts w:ascii="Book Antiqua" w:hAnsi="Book Antiqua"/>
                <w:sz w:val="24"/>
                <w:szCs w:val="24"/>
                <w:lang w:val="en-US"/>
              </w:rPr>
              <w:t>p</w:t>
            </w:r>
            <w:r w:rsidR="00BA1C92">
              <w:rPr>
                <w:rFonts w:ascii="Book Antiqua" w:hAnsi="Book Antiqua" w:hint="eastAsia"/>
                <w:sz w:val="24"/>
                <w:szCs w:val="24"/>
                <w:lang w:val="en-US" w:eastAsia="zh-CN"/>
              </w:rPr>
              <w:t>a</w:t>
            </w:r>
            <w:r w:rsidR="00BA1C92" w:rsidRPr="00532399">
              <w:rPr>
                <w:rFonts w:ascii="Book Antiqua" w:hAnsi="Book Antiqua"/>
                <w:sz w:val="24"/>
                <w:szCs w:val="24"/>
                <w:lang w:val="en-US"/>
              </w:rPr>
              <w:t>t</w:t>
            </w:r>
            <w:r w:rsidR="00BA1C92">
              <w:rPr>
                <w:rFonts w:ascii="Book Antiqua" w:hAnsi="Book Antiqua" w:hint="eastAsia"/>
                <w:sz w:val="24"/>
                <w:szCs w:val="24"/>
                <w:lang w:val="en-US" w:eastAsia="zh-CN"/>
              </w:rPr>
              <w:t>ient</w:t>
            </w:r>
            <w:r w:rsidR="00BA1C92" w:rsidRPr="00532399">
              <w:rPr>
                <w:rFonts w:ascii="Book Antiqua" w:hAnsi="Book Antiqua"/>
                <w:sz w:val="24"/>
                <w:szCs w:val="24"/>
                <w:lang w:val="en-US"/>
              </w:rPr>
              <w:t>s</w:t>
            </w:r>
            <w:r w:rsidRPr="00532399">
              <w:rPr>
                <w:rFonts w:ascii="Book Antiqua" w:hAnsi="Book Antiqua"/>
                <w:sz w:val="24"/>
                <w:szCs w:val="24"/>
                <w:lang w:val="en-US"/>
              </w:rPr>
              <w:t xml:space="preserve"> with incidental pulmonary embolus or deep vein </w:t>
            </w:r>
          </w:p>
          <w:p w14:paraId="27F325F5" w14:textId="77777777" w:rsidR="004F0B9C" w:rsidRPr="00532399" w:rsidRDefault="004F0B9C" w:rsidP="0093109B">
            <w:pPr>
              <w:spacing w:after="0" w:line="360" w:lineRule="auto"/>
              <w:jc w:val="both"/>
              <w:rPr>
                <w:rFonts w:ascii="Book Antiqua" w:hAnsi="Book Antiqua"/>
                <w:sz w:val="24"/>
                <w:szCs w:val="24"/>
                <w:lang w:val="en-US"/>
              </w:rPr>
            </w:pPr>
            <w:r w:rsidRPr="00532399">
              <w:rPr>
                <w:rFonts w:ascii="Book Antiqua" w:hAnsi="Book Antiqua"/>
                <w:sz w:val="24"/>
                <w:szCs w:val="24"/>
                <w:lang w:val="en-US"/>
              </w:rPr>
              <w:t xml:space="preserve">thrombosis should be therapeutically anticoagulated as for symptomatic </w:t>
            </w:r>
          </w:p>
          <w:p w14:paraId="3603F508" w14:textId="77777777" w:rsidR="004F0B9C" w:rsidRPr="00532399" w:rsidRDefault="004F0B9C" w:rsidP="0093109B">
            <w:pPr>
              <w:spacing w:after="0" w:line="360" w:lineRule="auto"/>
              <w:jc w:val="both"/>
              <w:rPr>
                <w:rFonts w:ascii="Book Antiqua" w:hAnsi="Book Antiqua"/>
                <w:sz w:val="24"/>
                <w:szCs w:val="24"/>
              </w:rPr>
            </w:pPr>
            <w:r w:rsidRPr="00532399">
              <w:rPr>
                <w:rFonts w:ascii="Book Antiqua" w:hAnsi="Book Antiqua"/>
                <w:sz w:val="24"/>
                <w:szCs w:val="24"/>
              </w:rPr>
              <w:t>disease</w:t>
            </w:r>
          </w:p>
        </w:tc>
      </w:tr>
      <w:tr w:rsidR="0093109B" w:rsidRPr="00532399" w14:paraId="76C07225" w14:textId="77777777" w:rsidTr="00532399">
        <w:tc>
          <w:tcPr>
            <w:tcW w:w="12474" w:type="dxa"/>
            <w:gridSpan w:val="7"/>
            <w:tcMar>
              <w:left w:w="54" w:type="dxa"/>
            </w:tcMar>
          </w:tcPr>
          <w:p w14:paraId="2375BC2B" w14:textId="77777777" w:rsidR="004F0B9C" w:rsidRPr="00532399" w:rsidRDefault="004F0B9C" w:rsidP="0093109B">
            <w:pPr>
              <w:spacing w:after="0" w:line="360" w:lineRule="auto"/>
              <w:jc w:val="both"/>
              <w:rPr>
                <w:rFonts w:ascii="Book Antiqua" w:hAnsi="Book Antiqua"/>
                <w:sz w:val="24"/>
                <w:szCs w:val="24"/>
                <w:lang w:val="en-US"/>
              </w:rPr>
            </w:pPr>
          </w:p>
        </w:tc>
      </w:tr>
      <w:tr w:rsidR="0093109B" w:rsidRPr="00532399" w14:paraId="6793472D" w14:textId="77777777" w:rsidTr="00532399">
        <w:tc>
          <w:tcPr>
            <w:tcW w:w="993" w:type="dxa"/>
            <w:tcMar>
              <w:left w:w="54" w:type="dxa"/>
            </w:tcMar>
          </w:tcPr>
          <w:p w14:paraId="4FE7DBF1" w14:textId="77777777" w:rsidR="004F0B9C" w:rsidRPr="00532399" w:rsidRDefault="004F0B9C" w:rsidP="0093109B">
            <w:pPr>
              <w:pStyle w:val="TabellenInhalt"/>
              <w:spacing w:line="360" w:lineRule="auto"/>
              <w:jc w:val="both"/>
              <w:rPr>
                <w:rFonts w:ascii="Book Antiqua" w:hAnsi="Book Antiqua"/>
                <w:b/>
                <w:bCs/>
                <w:lang w:val="en-US"/>
              </w:rPr>
            </w:pPr>
            <w:r w:rsidRPr="00532399">
              <w:rPr>
                <w:rFonts w:ascii="Book Antiqua" w:hAnsi="Book Antiqua"/>
                <w:b/>
                <w:bCs/>
                <w:lang w:val="en-US"/>
              </w:rPr>
              <w:t>Australian Governments</w:t>
            </w:r>
          </w:p>
          <w:p w14:paraId="0CED98FA" w14:textId="77777777" w:rsidR="004F0B9C" w:rsidRPr="00532399" w:rsidRDefault="004F0B9C" w:rsidP="0093109B">
            <w:pPr>
              <w:pStyle w:val="TabellenInhalt"/>
              <w:spacing w:line="360" w:lineRule="auto"/>
              <w:jc w:val="both"/>
              <w:rPr>
                <w:rFonts w:ascii="Book Antiqua" w:hAnsi="Book Antiqua"/>
                <w:b/>
                <w:bCs/>
                <w:lang w:val="en-US"/>
              </w:rPr>
            </w:pPr>
            <w:r w:rsidRPr="00532399">
              <w:rPr>
                <w:rFonts w:ascii="Book Antiqua" w:hAnsi="Book Antiqua"/>
                <w:b/>
                <w:bCs/>
                <w:lang w:val="en-US"/>
              </w:rPr>
              <w:t>National Health and Medical Research Council 2009</w:t>
            </w:r>
            <w:r w:rsidRPr="00BA1C92">
              <w:rPr>
                <w:rFonts w:ascii="Book Antiqua" w:hAnsi="Book Antiqua"/>
                <w:b/>
                <w:bCs/>
                <w:vertAlign w:val="superscript"/>
                <w:lang w:val="en-US"/>
              </w:rPr>
              <w:t>[19]</w:t>
            </w:r>
          </w:p>
        </w:tc>
        <w:tc>
          <w:tcPr>
            <w:tcW w:w="1984" w:type="dxa"/>
            <w:tcMar>
              <w:left w:w="54" w:type="dxa"/>
            </w:tcMar>
          </w:tcPr>
          <w:p w14:paraId="12125BEE" w14:textId="63E8AD26" w:rsidR="004F0B9C" w:rsidRPr="00532399" w:rsidRDefault="004F0B9C" w:rsidP="00BA1C92">
            <w:pPr>
              <w:spacing w:after="0" w:line="360" w:lineRule="auto"/>
              <w:jc w:val="both"/>
              <w:rPr>
                <w:rFonts w:ascii="Book Antiqua" w:hAnsi="Book Antiqua"/>
                <w:sz w:val="24"/>
                <w:szCs w:val="24"/>
                <w:lang w:val="en-US"/>
              </w:rPr>
            </w:pPr>
            <w:r w:rsidRPr="00532399">
              <w:rPr>
                <w:rFonts w:ascii="Book Antiqua" w:hAnsi="Book Antiqua"/>
                <w:sz w:val="24"/>
                <w:szCs w:val="24"/>
                <w:lang w:val="en-US"/>
              </w:rPr>
              <w:t xml:space="preserve">LMWH, continue for at least seven to 10 d following major general surgery Consider using extended thromboprophylaxis with LMWH for up to 28 d after major abdominal or pelvic surgery for cancer, especially in </w:t>
            </w:r>
            <w:r w:rsidR="00BA1C92" w:rsidRPr="00532399">
              <w:rPr>
                <w:rFonts w:ascii="Book Antiqua" w:hAnsi="Book Antiqua"/>
                <w:sz w:val="24"/>
                <w:szCs w:val="24"/>
                <w:lang w:val="en-US"/>
              </w:rPr>
              <w:t>p</w:t>
            </w:r>
            <w:r w:rsidR="00BA1C92">
              <w:rPr>
                <w:rFonts w:ascii="Book Antiqua" w:hAnsi="Book Antiqua" w:hint="eastAsia"/>
                <w:sz w:val="24"/>
                <w:szCs w:val="24"/>
                <w:lang w:val="en-US" w:eastAsia="zh-CN"/>
              </w:rPr>
              <w:t>a</w:t>
            </w:r>
            <w:r w:rsidR="00BA1C92" w:rsidRPr="00532399">
              <w:rPr>
                <w:rFonts w:ascii="Book Antiqua" w:hAnsi="Book Antiqua"/>
                <w:sz w:val="24"/>
                <w:szCs w:val="24"/>
                <w:lang w:val="en-US"/>
              </w:rPr>
              <w:t>t</w:t>
            </w:r>
            <w:r w:rsidR="00BA1C92">
              <w:rPr>
                <w:rFonts w:ascii="Book Antiqua" w:hAnsi="Book Antiqua" w:hint="eastAsia"/>
                <w:sz w:val="24"/>
                <w:szCs w:val="24"/>
                <w:lang w:val="en-US" w:eastAsia="zh-CN"/>
              </w:rPr>
              <w:t>ient</w:t>
            </w:r>
            <w:r w:rsidR="00BA1C92" w:rsidRPr="00532399">
              <w:rPr>
                <w:rFonts w:ascii="Book Antiqua" w:hAnsi="Book Antiqua"/>
                <w:sz w:val="24"/>
                <w:szCs w:val="24"/>
                <w:lang w:val="en-US"/>
              </w:rPr>
              <w:t>s</w:t>
            </w:r>
            <w:r w:rsidRPr="00532399">
              <w:rPr>
                <w:rFonts w:ascii="Book Antiqua" w:hAnsi="Book Antiqua"/>
                <w:sz w:val="24"/>
                <w:szCs w:val="24"/>
                <w:lang w:val="en-US"/>
              </w:rPr>
              <w:t xml:space="preserve"> who are obese, slow to mobilise or have a past history of VTE</w:t>
            </w:r>
          </w:p>
        </w:tc>
        <w:tc>
          <w:tcPr>
            <w:tcW w:w="2124" w:type="dxa"/>
            <w:tcMar>
              <w:left w:w="54" w:type="dxa"/>
            </w:tcMar>
          </w:tcPr>
          <w:p w14:paraId="655D7A46" w14:textId="77777777" w:rsidR="004F0B9C" w:rsidRPr="00532399" w:rsidRDefault="004F0B9C" w:rsidP="0093109B">
            <w:pPr>
              <w:pStyle w:val="TabellenInhalt"/>
              <w:spacing w:line="360" w:lineRule="auto"/>
              <w:jc w:val="both"/>
              <w:rPr>
                <w:rFonts w:ascii="Book Antiqua" w:hAnsi="Book Antiqua"/>
              </w:rPr>
            </w:pPr>
            <w:r w:rsidRPr="00532399">
              <w:rPr>
                <w:rFonts w:ascii="Book Antiqua" w:hAnsi="Book Antiqua"/>
              </w:rPr>
              <w:t>LMWH,</w:t>
            </w:r>
          </w:p>
          <w:p w14:paraId="4E28ADD7" w14:textId="77777777" w:rsidR="004F0B9C" w:rsidRPr="00532399" w:rsidRDefault="004F0B9C" w:rsidP="0093109B">
            <w:pPr>
              <w:pStyle w:val="TabellenInhalt"/>
              <w:spacing w:line="360" w:lineRule="auto"/>
              <w:jc w:val="both"/>
              <w:rPr>
                <w:rFonts w:ascii="Book Antiqua" w:hAnsi="Book Antiqua"/>
              </w:rPr>
            </w:pPr>
            <w:r w:rsidRPr="00532399">
              <w:rPr>
                <w:rFonts w:ascii="Book Antiqua" w:hAnsi="Book Antiqua"/>
              </w:rPr>
              <w:t>UFH</w:t>
            </w:r>
          </w:p>
          <w:p w14:paraId="09A1E5DA" w14:textId="77777777" w:rsidR="004F0B9C" w:rsidRPr="00532399" w:rsidRDefault="004F0B9C" w:rsidP="0093109B">
            <w:pPr>
              <w:spacing w:after="0" w:line="360" w:lineRule="auto"/>
              <w:jc w:val="both"/>
              <w:rPr>
                <w:rFonts w:ascii="Book Antiqua" w:hAnsi="Book Antiqua"/>
                <w:sz w:val="24"/>
                <w:szCs w:val="24"/>
                <w:lang w:val="en-US"/>
              </w:rPr>
            </w:pPr>
          </w:p>
        </w:tc>
        <w:tc>
          <w:tcPr>
            <w:tcW w:w="2340" w:type="dxa"/>
            <w:tcMar>
              <w:left w:w="54" w:type="dxa"/>
            </w:tcMar>
          </w:tcPr>
          <w:p w14:paraId="22FBA062" w14:textId="77777777" w:rsidR="004F0B9C" w:rsidRPr="00532399" w:rsidRDefault="004F0B9C" w:rsidP="0093109B">
            <w:pPr>
              <w:pStyle w:val="TabellenInhalt"/>
              <w:spacing w:line="360" w:lineRule="auto"/>
              <w:jc w:val="both"/>
              <w:rPr>
                <w:rFonts w:ascii="Book Antiqua" w:hAnsi="Book Antiqua"/>
              </w:rPr>
            </w:pPr>
          </w:p>
        </w:tc>
        <w:tc>
          <w:tcPr>
            <w:tcW w:w="2624" w:type="dxa"/>
            <w:gridSpan w:val="2"/>
            <w:tcMar>
              <w:left w:w="54" w:type="dxa"/>
            </w:tcMar>
          </w:tcPr>
          <w:p w14:paraId="2A448E51" w14:textId="77777777" w:rsidR="004F0B9C" w:rsidRPr="00532399" w:rsidRDefault="004F0B9C" w:rsidP="0093109B">
            <w:pPr>
              <w:pStyle w:val="TabellenInhalt"/>
              <w:spacing w:line="360" w:lineRule="auto"/>
              <w:jc w:val="both"/>
              <w:rPr>
                <w:rFonts w:ascii="Book Antiqua" w:hAnsi="Book Antiqua"/>
              </w:rPr>
            </w:pPr>
            <w:r w:rsidRPr="00532399">
              <w:rPr>
                <w:rFonts w:ascii="Book Antiqua" w:hAnsi="Book Antiqua"/>
              </w:rPr>
              <w:t>-</w:t>
            </w:r>
          </w:p>
        </w:tc>
        <w:tc>
          <w:tcPr>
            <w:tcW w:w="2409" w:type="dxa"/>
            <w:tcMar>
              <w:left w:w="54" w:type="dxa"/>
            </w:tcMar>
          </w:tcPr>
          <w:p w14:paraId="2314948A" w14:textId="77777777" w:rsidR="004F0B9C" w:rsidRPr="00532399" w:rsidRDefault="004F0B9C" w:rsidP="0093109B">
            <w:pPr>
              <w:pStyle w:val="TabellenInhalt"/>
              <w:spacing w:line="360" w:lineRule="auto"/>
              <w:jc w:val="both"/>
              <w:rPr>
                <w:rFonts w:ascii="Book Antiqua" w:hAnsi="Book Antiqua"/>
              </w:rPr>
            </w:pPr>
            <w:r w:rsidRPr="00532399">
              <w:rPr>
                <w:rFonts w:ascii="Book Antiqua" w:hAnsi="Book Antiqua"/>
              </w:rPr>
              <w:t>-</w:t>
            </w:r>
          </w:p>
        </w:tc>
      </w:tr>
      <w:tr w:rsidR="0093109B" w:rsidRPr="00532399" w14:paraId="61BE8F60" w14:textId="77777777" w:rsidTr="00532399">
        <w:tc>
          <w:tcPr>
            <w:tcW w:w="12474" w:type="dxa"/>
            <w:gridSpan w:val="7"/>
            <w:tcMar>
              <w:left w:w="54" w:type="dxa"/>
            </w:tcMar>
          </w:tcPr>
          <w:p w14:paraId="181E6969" w14:textId="77777777" w:rsidR="004F0B9C" w:rsidRPr="00532399" w:rsidRDefault="004F0B9C" w:rsidP="0093109B">
            <w:pPr>
              <w:pStyle w:val="TabellenInhalt"/>
              <w:spacing w:line="360" w:lineRule="auto"/>
              <w:jc w:val="both"/>
              <w:rPr>
                <w:rFonts w:ascii="Book Antiqua" w:hAnsi="Book Antiqua"/>
                <w:lang w:val="en-US"/>
              </w:rPr>
            </w:pPr>
          </w:p>
        </w:tc>
      </w:tr>
      <w:tr w:rsidR="0093109B" w:rsidRPr="00532399" w14:paraId="5869F9EF" w14:textId="77777777" w:rsidTr="00532399">
        <w:trPr>
          <w:trHeight w:val="1082"/>
        </w:trPr>
        <w:tc>
          <w:tcPr>
            <w:tcW w:w="993" w:type="dxa"/>
            <w:tcMar>
              <w:left w:w="54" w:type="dxa"/>
            </w:tcMar>
          </w:tcPr>
          <w:p w14:paraId="668F327C" w14:textId="77777777" w:rsidR="004F0B9C" w:rsidRPr="00532399" w:rsidRDefault="004F0B9C" w:rsidP="0093109B">
            <w:pPr>
              <w:spacing w:after="0" w:line="360" w:lineRule="auto"/>
              <w:jc w:val="both"/>
              <w:rPr>
                <w:rFonts w:ascii="Book Antiqua" w:hAnsi="Book Antiqua"/>
                <w:b/>
                <w:bCs/>
                <w:sz w:val="24"/>
                <w:szCs w:val="24"/>
                <w:lang w:val="en-US"/>
              </w:rPr>
            </w:pPr>
            <w:r w:rsidRPr="00532399">
              <w:rPr>
                <w:rFonts w:ascii="Book Antiqua" w:hAnsi="Book Antiqua"/>
                <w:b/>
                <w:bCs/>
                <w:sz w:val="24"/>
                <w:szCs w:val="24"/>
                <w:lang w:val="en-US"/>
              </w:rPr>
              <w:t xml:space="preserve">MAYO CLINIC VTE </w:t>
            </w:r>
            <w:r w:rsidRPr="00532399">
              <w:rPr>
                <w:rFonts w:ascii="Book Antiqua" w:hAnsi="Book Antiqua"/>
                <w:b/>
                <w:bCs/>
                <w:sz w:val="24"/>
                <w:szCs w:val="24"/>
                <w:lang w:val="en-US"/>
              </w:rPr>
              <w:lastRenderedPageBreak/>
              <w:t>Prevention and Management Guidelines 2014</w:t>
            </w:r>
            <w:r w:rsidRPr="00BA1C92">
              <w:rPr>
                <w:rFonts w:ascii="Book Antiqua" w:hAnsi="Book Antiqua"/>
                <w:b/>
                <w:bCs/>
                <w:sz w:val="24"/>
                <w:szCs w:val="24"/>
                <w:vertAlign w:val="superscript"/>
                <w:lang w:val="en-US"/>
              </w:rPr>
              <w:t>[[20]</w:t>
            </w:r>
          </w:p>
        </w:tc>
        <w:tc>
          <w:tcPr>
            <w:tcW w:w="1984" w:type="dxa"/>
            <w:tcMar>
              <w:left w:w="54" w:type="dxa"/>
            </w:tcMar>
          </w:tcPr>
          <w:p w14:paraId="1E90AC5F" w14:textId="77777777" w:rsidR="004F0B9C" w:rsidRPr="00532399" w:rsidRDefault="004F0B9C" w:rsidP="0093109B">
            <w:pPr>
              <w:spacing w:after="0" w:line="360" w:lineRule="auto"/>
              <w:jc w:val="both"/>
              <w:rPr>
                <w:rFonts w:ascii="Book Antiqua" w:hAnsi="Book Antiqua"/>
                <w:sz w:val="24"/>
                <w:szCs w:val="24"/>
                <w:lang w:val="en-US"/>
              </w:rPr>
            </w:pPr>
            <w:r w:rsidRPr="00532399">
              <w:rPr>
                <w:rFonts w:ascii="Book Antiqua" w:hAnsi="Book Antiqua"/>
                <w:sz w:val="24"/>
                <w:szCs w:val="24"/>
                <w:lang w:val="en-US"/>
              </w:rPr>
              <w:lastRenderedPageBreak/>
              <w:t>UFH,</w:t>
            </w:r>
          </w:p>
          <w:p w14:paraId="2F316C83" w14:textId="77777777" w:rsidR="004F0B9C" w:rsidRPr="00532399" w:rsidRDefault="004F0B9C" w:rsidP="0093109B">
            <w:pPr>
              <w:spacing w:after="0" w:line="360" w:lineRule="auto"/>
              <w:jc w:val="both"/>
              <w:rPr>
                <w:rFonts w:ascii="Book Antiqua" w:hAnsi="Book Antiqua"/>
                <w:sz w:val="24"/>
                <w:szCs w:val="24"/>
                <w:lang w:val="en-US"/>
              </w:rPr>
            </w:pPr>
            <w:r w:rsidRPr="00532399">
              <w:rPr>
                <w:rFonts w:ascii="Book Antiqua" w:hAnsi="Book Antiqua"/>
                <w:sz w:val="24"/>
                <w:szCs w:val="24"/>
                <w:lang w:val="en-US"/>
              </w:rPr>
              <w:t>LMWH</w:t>
            </w:r>
          </w:p>
          <w:p w14:paraId="161CB9AE" w14:textId="77777777" w:rsidR="004F0B9C" w:rsidRPr="00532399" w:rsidRDefault="004F0B9C" w:rsidP="0093109B">
            <w:pPr>
              <w:spacing w:after="0" w:line="360" w:lineRule="auto"/>
              <w:jc w:val="both"/>
              <w:rPr>
                <w:rFonts w:ascii="Book Antiqua" w:hAnsi="Book Antiqua"/>
                <w:sz w:val="24"/>
                <w:szCs w:val="24"/>
                <w:lang w:val="en-US"/>
              </w:rPr>
            </w:pPr>
            <w:r w:rsidRPr="00532399">
              <w:rPr>
                <w:rFonts w:ascii="Book Antiqua" w:hAnsi="Book Antiqua"/>
                <w:sz w:val="24"/>
                <w:szCs w:val="24"/>
                <w:lang w:val="en-US"/>
              </w:rPr>
              <w:t xml:space="preserve">(Enoxaparin, </w:t>
            </w:r>
            <w:r w:rsidRPr="00532399">
              <w:rPr>
                <w:rFonts w:ascii="Book Antiqua" w:hAnsi="Book Antiqua"/>
                <w:sz w:val="24"/>
                <w:szCs w:val="24"/>
                <w:lang w:val="en-US"/>
              </w:rPr>
              <w:lastRenderedPageBreak/>
              <w:t>Dalteparin),</w:t>
            </w:r>
          </w:p>
          <w:p w14:paraId="670C04C0" w14:textId="77777777" w:rsidR="004F0B9C" w:rsidRPr="00532399" w:rsidRDefault="004F0B9C" w:rsidP="0093109B">
            <w:pPr>
              <w:spacing w:after="0" w:line="360" w:lineRule="auto"/>
              <w:jc w:val="both"/>
              <w:rPr>
                <w:rFonts w:ascii="Book Antiqua" w:hAnsi="Book Antiqua"/>
                <w:sz w:val="24"/>
                <w:szCs w:val="24"/>
                <w:lang w:val="en-US"/>
              </w:rPr>
            </w:pPr>
            <w:r w:rsidRPr="00532399">
              <w:rPr>
                <w:rFonts w:ascii="Book Antiqua" w:hAnsi="Book Antiqua"/>
                <w:sz w:val="24"/>
                <w:szCs w:val="24"/>
                <w:lang w:val="en-US"/>
              </w:rPr>
              <w:t>Fondaparinux</w:t>
            </w:r>
          </w:p>
          <w:p w14:paraId="531F30F6" w14:textId="77777777" w:rsidR="004F0B9C" w:rsidRPr="00532399" w:rsidRDefault="004F0B9C" w:rsidP="0093109B">
            <w:pPr>
              <w:autoSpaceDE w:val="0"/>
              <w:autoSpaceDN w:val="0"/>
              <w:adjustRightInd w:val="0"/>
              <w:spacing w:after="0" w:line="360" w:lineRule="auto"/>
              <w:jc w:val="both"/>
              <w:rPr>
                <w:rFonts w:ascii="Book Antiqua" w:hAnsi="Book Antiqua" w:cs="Arial"/>
                <w:sz w:val="24"/>
                <w:szCs w:val="24"/>
                <w:lang w:val="en-US"/>
              </w:rPr>
            </w:pPr>
            <w:r w:rsidRPr="00532399">
              <w:rPr>
                <w:rFonts w:ascii="Book Antiqua" w:hAnsi="Book Antiqua" w:cs="Arial"/>
                <w:sz w:val="24"/>
                <w:szCs w:val="24"/>
                <w:lang w:val="en-US"/>
              </w:rPr>
              <w:t>Cancer patients undergoing pelvic or abdominal surgery</w:t>
            </w:r>
          </w:p>
          <w:p w14:paraId="6EA626D4" w14:textId="77777777" w:rsidR="004F0B9C" w:rsidRPr="00532399" w:rsidRDefault="004F0B9C" w:rsidP="0093109B">
            <w:pPr>
              <w:autoSpaceDE w:val="0"/>
              <w:autoSpaceDN w:val="0"/>
              <w:adjustRightInd w:val="0"/>
              <w:spacing w:after="0" w:line="360" w:lineRule="auto"/>
              <w:jc w:val="both"/>
              <w:rPr>
                <w:rFonts w:ascii="Book Antiqua" w:hAnsi="Book Antiqua" w:cs="Arial"/>
                <w:sz w:val="24"/>
                <w:szCs w:val="24"/>
                <w:lang w:val="en-US"/>
              </w:rPr>
            </w:pPr>
            <w:r w:rsidRPr="00532399">
              <w:rPr>
                <w:rFonts w:ascii="Book Antiqua" w:hAnsi="Book Antiqua" w:cs="Arial"/>
                <w:sz w:val="24"/>
                <w:szCs w:val="24"/>
                <w:lang w:val="en-US"/>
              </w:rPr>
              <w:t>should receive</w:t>
            </w:r>
          </w:p>
          <w:p w14:paraId="772C8E92" w14:textId="53E865CD" w:rsidR="004F0B9C" w:rsidRPr="00532399" w:rsidRDefault="00BA1C92" w:rsidP="0093109B">
            <w:pPr>
              <w:spacing w:after="0" w:line="360" w:lineRule="auto"/>
              <w:jc w:val="both"/>
              <w:rPr>
                <w:rFonts w:ascii="Book Antiqua" w:hAnsi="Book Antiqua"/>
                <w:sz w:val="24"/>
                <w:szCs w:val="24"/>
                <w:lang w:val="en-US"/>
              </w:rPr>
            </w:pPr>
            <w:r>
              <w:rPr>
                <w:rFonts w:ascii="Book Antiqua" w:hAnsi="Book Antiqua" w:cs="Arial"/>
                <w:sz w:val="24"/>
                <w:szCs w:val="24"/>
                <w:lang w:val="en-US"/>
              </w:rPr>
              <w:t>4 wk</w:t>
            </w:r>
            <w:r w:rsidR="004F0B9C" w:rsidRPr="00532399">
              <w:rPr>
                <w:rFonts w:ascii="Book Antiqua" w:hAnsi="Book Antiqua" w:cs="Arial"/>
                <w:sz w:val="24"/>
                <w:szCs w:val="24"/>
                <w:lang w:val="en-US"/>
              </w:rPr>
              <w:t xml:space="preserve"> of LMWH</w:t>
            </w:r>
          </w:p>
        </w:tc>
        <w:tc>
          <w:tcPr>
            <w:tcW w:w="2124" w:type="dxa"/>
            <w:tcMar>
              <w:left w:w="54" w:type="dxa"/>
            </w:tcMar>
          </w:tcPr>
          <w:p w14:paraId="0366651D" w14:textId="77777777" w:rsidR="004F0B9C" w:rsidRPr="00532399" w:rsidRDefault="004F0B9C" w:rsidP="0093109B">
            <w:pPr>
              <w:spacing w:after="0" w:line="360" w:lineRule="auto"/>
              <w:jc w:val="both"/>
              <w:rPr>
                <w:rFonts w:ascii="Book Antiqua" w:hAnsi="Book Antiqua"/>
                <w:sz w:val="24"/>
                <w:szCs w:val="24"/>
                <w:lang w:val="en-US"/>
              </w:rPr>
            </w:pPr>
            <w:r w:rsidRPr="00532399">
              <w:rPr>
                <w:rFonts w:ascii="Book Antiqua" w:hAnsi="Book Antiqua"/>
                <w:sz w:val="24"/>
                <w:szCs w:val="24"/>
                <w:lang w:val="en-US"/>
              </w:rPr>
              <w:lastRenderedPageBreak/>
              <w:t>UFH,</w:t>
            </w:r>
          </w:p>
          <w:p w14:paraId="0A41B692" w14:textId="77777777" w:rsidR="004F0B9C" w:rsidRPr="00532399" w:rsidRDefault="004F0B9C" w:rsidP="0093109B">
            <w:pPr>
              <w:spacing w:after="0" w:line="360" w:lineRule="auto"/>
              <w:jc w:val="both"/>
              <w:rPr>
                <w:rFonts w:ascii="Book Antiqua" w:hAnsi="Book Antiqua"/>
                <w:sz w:val="24"/>
                <w:szCs w:val="24"/>
                <w:lang w:val="en-US"/>
              </w:rPr>
            </w:pPr>
            <w:r w:rsidRPr="00532399">
              <w:rPr>
                <w:rFonts w:ascii="Book Antiqua" w:hAnsi="Book Antiqua"/>
                <w:sz w:val="24"/>
                <w:szCs w:val="24"/>
                <w:lang w:val="en-US"/>
              </w:rPr>
              <w:t>LMWH</w:t>
            </w:r>
          </w:p>
          <w:p w14:paraId="1605B8E3" w14:textId="77777777" w:rsidR="004F0B9C" w:rsidRPr="00532399" w:rsidRDefault="004F0B9C" w:rsidP="0093109B">
            <w:pPr>
              <w:spacing w:after="0" w:line="360" w:lineRule="auto"/>
              <w:jc w:val="both"/>
              <w:rPr>
                <w:rFonts w:ascii="Book Antiqua" w:hAnsi="Book Antiqua"/>
                <w:sz w:val="24"/>
                <w:szCs w:val="24"/>
                <w:lang w:val="en-US"/>
              </w:rPr>
            </w:pPr>
            <w:r w:rsidRPr="00532399">
              <w:rPr>
                <w:rFonts w:ascii="Book Antiqua" w:hAnsi="Book Antiqua"/>
                <w:sz w:val="24"/>
                <w:szCs w:val="24"/>
                <w:lang w:val="en-US"/>
              </w:rPr>
              <w:t xml:space="preserve">(Enoxaparin, </w:t>
            </w:r>
            <w:r w:rsidRPr="00532399">
              <w:rPr>
                <w:rFonts w:ascii="Book Antiqua" w:hAnsi="Book Antiqua"/>
                <w:sz w:val="24"/>
                <w:szCs w:val="24"/>
                <w:lang w:val="en-US"/>
              </w:rPr>
              <w:lastRenderedPageBreak/>
              <w:t>Dalteparin),</w:t>
            </w:r>
          </w:p>
          <w:p w14:paraId="749298A1" w14:textId="26BA67C2" w:rsidR="004F0B9C" w:rsidRPr="00532399" w:rsidRDefault="00BA1C92" w:rsidP="0093109B">
            <w:pPr>
              <w:spacing w:after="0" w:line="360" w:lineRule="auto"/>
              <w:jc w:val="both"/>
              <w:rPr>
                <w:rFonts w:ascii="Book Antiqua" w:hAnsi="Book Antiqua"/>
                <w:sz w:val="24"/>
                <w:szCs w:val="24"/>
                <w:lang w:val="en-US" w:eastAsia="zh-CN"/>
              </w:rPr>
            </w:pPr>
            <w:r>
              <w:rPr>
                <w:rFonts w:ascii="Book Antiqua" w:hAnsi="Book Antiqua"/>
                <w:sz w:val="24"/>
                <w:szCs w:val="24"/>
                <w:lang w:val="en-US"/>
              </w:rPr>
              <w:t>Fondaparinux</w:t>
            </w:r>
          </w:p>
          <w:p w14:paraId="36F65339" w14:textId="77777777" w:rsidR="004F0B9C" w:rsidRPr="00532399" w:rsidRDefault="004F0B9C" w:rsidP="0093109B">
            <w:pPr>
              <w:spacing w:after="0" w:line="360" w:lineRule="auto"/>
              <w:jc w:val="both"/>
              <w:rPr>
                <w:rFonts w:ascii="Book Antiqua" w:hAnsi="Book Antiqua"/>
                <w:sz w:val="24"/>
                <w:szCs w:val="24"/>
                <w:lang w:val="en-US"/>
              </w:rPr>
            </w:pPr>
          </w:p>
        </w:tc>
        <w:tc>
          <w:tcPr>
            <w:tcW w:w="2340" w:type="dxa"/>
            <w:tcMar>
              <w:left w:w="54" w:type="dxa"/>
            </w:tcMar>
          </w:tcPr>
          <w:p w14:paraId="22E37991" w14:textId="77777777" w:rsidR="004F0B9C" w:rsidRPr="00532399" w:rsidRDefault="004F0B9C" w:rsidP="0093109B">
            <w:pPr>
              <w:pStyle w:val="TabellenInhalt"/>
              <w:spacing w:line="360" w:lineRule="auto"/>
              <w:jc w:val="both"/>
              <w:rPr>
                <w:rFonts w:ascii="Book Antiqua" w:hAnsi="Book Antiqua"/>
                <w:lang w:val="en-US"/>
              </w:rPr>
            </w:pPr>
          </w:p>
        </w:tc>
        <w:tc>
          <w:tcPr>
            <w:tcW w:w="2624" w:type="dxa"/>
            <w:gridSpan w:val="2"/>
            <w:tcMar>
              <w:left w:w="54" w:type="dxa"/>
            </w:tcMar>
          </w:tcPr>
          <w:p w14:paraId="0BBB6A93" w14:textId="77777777" w:rsidR="004F0B9C" w:rsidRPr="00532399" w:rsidRDefault="004F0B9C" w:rsidP="0093109B">
            <w:pPr>
              <w:spacing w:after="0" w:line="360" w:lineRule="auto"/>
              <w:jc w:val="both"/>
              <w:rPr>
                <w:rFonts w:ascii="Book Antiqua" w:hAnsi="Book Antiqua"/>
                <w:sz w:val="24"/>
                <w:szCs w:val="24"/>
                <w:lang w:val="en-US"/>
              </w:rPr>
            </w:pPr>
            <w:r w:rsidRPr="00532399">
              <w:rPr>
                <w:rFonts w:ascii="Book Antiqua" w:hAnsi="Book Antiqua"/>
                <w:sz w:val="24"/>
                <w:szCs w:val="24"/>
                <w:lang w:val="en-US"/>
              </w:rPr>
              <w:t>UFH,</w:t>
            </w:r>
          </w:p>
          <w:p w14:paraId="2FF4340A" w14:textId="77777777" w:rsidR="004F0B9C" w:rsidRPr="00532399" w:rsidRDefault="004F0B9C" w:rsidP="0093109B">
            <w:pPr>
              <w:spacing w:after="0" w:line="360" w:lineRule="auto"/>
              <w:jc w:val="both"/>
              <w:rPr>
                <w:rFonts w:ascii="Book Antiqua" w:hAnsi="Book Antiqua"/>
                <w:sz w:val="24"/>
                <w:szCs w:val="24"/>
                <w:lang w:val="en-US"/>
              </w:rPr>
            </w:pPr>
            <w:r w:rsidRPr="00532399">
              <w:rPr>
                <w:rFonts w:ascii="Book Antiqua" w:hAnsi="Book Antiqua"/>
                <w:sz w:val="24"/>
                <w:szCs w:val="24"/>
                <w:lang w:val="en-US"/>
              </w:rPr>
              <w:t>LMWH</w:t>
            </w:r>
          </w:p>
          <w:p w14:paraId="467D24AC" w14:textId="77777777" w:rsidR="004F0B9C" w:rsidRPr="00532399" w:rsidRDefault="004F0B9C" w:rsidP="0093109B">
            <w:pPr>
              <w:spacing w:after="0" w:line="360" w:lineRule="auto"/>
              <w:jc w:val="both"/>
              <w:rPr>
                <w:rFonts w:ascii="Book Antiqua" w:hAnsi="Book Antiqua"/>
                <w:sz w:val="24"/>
                <w:szCs w:val="24"/>
                <w:lang w:val="en-US"/>
              </w:rPr>
            </w:pPr>
            <w:r w:rsidRPr="00532399">
              <w:rPr>
                <w:rFonts w:ascii="Book Antiqua" w:hAnsi="Book Antiqua"/>
                <w:sz w:val="24"/>
                <w:szCs w:val="24"/>
                <w:lang w:val="en-US"/>
              </w:rPr>
              <w:t xml:space="preserve">(Enoxaparin, </w:t>
            </w:r>
            <w:r w:rsidRPr="00532399">
              <w:rPr>
                <w:rFonts w:ascii="Book Antiqua" w:hAnsi="Book Antiqua"/>
                <w:sz w:val="24"/>
                <w:szCs w:val="24"/>
                <w:lang w:val="en-US"/>
              </w:rPr>
              <w:lastRenderedPageBreak/>
              <w:t>Dalteparin),</w:t>
            </w:r>
          </w:p>
          <w:p w14:paraId="49F4A76F" w14:textId="77777777" w:rsidR="004F0B9C" w:rsidRPr="00532399" w:rsidRDefault="004F0B9C" w:rsidP="0093109B">
            <w:pPr>
              <w:spacing w:after="0" w:line="360" w:lineRule="auto"/>
              <w:jc w:val="both"/>
              <w:rPr>
                <w:rFonts w:ascii="Book Antiqua" w:hAnsi="Book Antiqua"/>
                <w:sz w:val="24"/>
                <w:szCs w:val="24"/>
                <w:lang w:val="en-US"/>
              </w:rPr>
            </w:pPr>
            <w:r w:rsidRPr="00532399">
              <w:rPr>
                <w:rFonts w:ascii="Book Antiqua" w:hAnsi="Book Antiqua"/>
                <w:sz w:val="24"/>
                <w:szCs w:val="24"/>
                <w:lang w:val="en-US"/>
              </w:rPr>
              <w:t xml:space="preserve">Fondaparinux </w:t>
            </w:r>
          </w:p>
          <w:p w14:paraId="49C83C11" w14:textId="112936F4" w:rsidR="004F0B9C" w:rsidRPr="00532399" w:rsidRDefault="00BA1C92" w:rsidP="0093109B">
            <w:pPr>
              <w:spacing w:after="0" w:line="360" w:lineRule="auto"/>
              <w:jc w:val="both"/>
              <w:rPr>
                <w:rFonts w:ascii="Book Antiqua" w:hAnsi="Book Antiqua"/>
                <w:sz w:val="24"/>
                <w:szCs w:val="24"/>
                <w:lang w:val="en-US" w:eastAsia="zh-CN"/>
              </w:rPr>
            </w:pPr>
            <w:r>
              <w:rPr>
                <w:rFonts w:ascii="Book Antiqua" w:hAnsi="Book Antiqua"/>
                <w:sz w:val="24"/>
                <w:szCs w:val="24"/>
                <w:lang w:val="en-US"/>
              </w:rPr>
              <w:t>VKA (INR2-3)</w:t>
            </w:r>
          </w:p>
          <w:p w14:paraId="21B543DA" w14:textId="77777777" w:rsidR="004F0B9C" w:rsidRPr="00532399" w:rsidRDefault="004F0B9C" w:rsidP="0093109B">
            <w:pPr>
              <w:spacing w:after="0" w:line="360" w:lineRule="auto"/>
              <w:jc w:val="both"/>
              <w:rPr>
                <w:rFonts w:ascii="Book Antiqua" w:hAnsi="Book Antiqua"/>
                <w:sz w:val="24"/>
                <w:szCs w:val="24"/>
                <w:lang w:val="en-US"/>
              </w:rPr>
            </w:pPr>
          </w:p>
        </w:tc>
        <w:tc>
          <w:tcPr>
            <w:tcW w:w="2409" w:type="dxa"/>
            <w:tcMar>
              <w:left w:w="54" w:type="dxa"/>
            </w:tcMar>
          </w:tcPr>
          <w:p w14:paraId="41F8B658" w14:textId="77777777" w:rsidR="004F0B9C" w:rsidRPr="00532399" w:rsidRDefault="004F0B9C" w:rsidP="0093109B">
            <w:pPr>
              <w:autoSpaceDE w:val="0"/>
              <w:autoSpaceDN w:val="0"/>
              <w:adjustRightInd w:val="0"/>
              <w:spacing w:after="0" w:line="360" w:lineRule="auto"/>
              <w:jc w:val="both"/>
              <w:rPr>
                <w:rFonts w:ascii="Book Antiqua" w:hAnsi="Book Antiqua" w:cs="Arial"/>
                <w:sz w:val="24"/>
                <w:szCs w:val="24"/>
                <w:lang w:val="en-US"/>
              </w:rPr>
            </w:pPr>
            <w:r w:rsidRPr="00532399">
              <w:rPr>
                <w:rFonts w:ascii="Book Antiqua" w:hAnsi="Book Antiqua" w:cs="Arial"/>
                <w:sz w:val="24"/>
                <w:szCs w:val="24"/>
                <w:lang w:val="en-US"/>
              </w:rPr>
              <w:lastRenderedPageBreak/>
              <w:t>Anticoagulants are continued</w:t>
            </w:r>
          </w:p>
          <w:p w14:paraId="7D7837FD" w14:textId="77777777" w:rsidR="004F0B9C" w:rsidRPr="00532399" w:rsidRDefault="004F0B9C" w:rsidP="0093109B">
            <w:pPr>
              <w:autoSpaceDE w:val="0"/>
              <w:autoSpaceDN w:val="0"/>
              <w:adjustRightInd w:val="0"/>
              <w:spacing w:after="0" w:line="360" w:lineRule="auto"/>
              <w:jc w:val="both"/>
              <w:rPr>
                <w:rFonts w:ascii="Book Antiqua" w:hAnsi="Book Antiqua" w:cs="Arial"/>
                <w:sz w:val="24"/>
                <w:szCs w:val="24"/>
                <w:lang w:val="en-US"/>
              </w:rPr>
            </w:pPr>
            <w:r w:rsidRPr="00532399">
              <w:rPr>
                <w:rFonts w:ascii="Book Antiqua" w:hAnsi="Book Antiqua" w:cs="Arial"/>
                <w:sz w:val="24"/>
                <w:szCs w:val="24"/>
                <w:lang w:val="en-US"/>
              </w:rPr>
              <w:t xml:space="preserve">until there is no </w:t>
            </w:r>
            <w:r w:rsidRPr="00532399">
              <w:rPr>
                <w:rFonts w:ascii="Book Antiqua" w:hAnsi="Book Antiqua" w:cs="Arial"/>
                <w:sz w:val="24"/>
                <w:szCs w:val="24"/>
                <w:lang w:val="en-US"/>
              </w:rPr>
              <w:lastRenderedPageBreak/>
              <w:t>evidence of active malignant disease defined as any evidence of cancer on cross-sectional imaging or any cancer-related treatment (surgery, radiation, or chemotherapy) within the</w:t>
            </w:r>
          </w:p>
          <w:p w14:paraId="0808E5F1" w14:textId="19F92A34" w:rsidR="004F0B9C" w:rsidRPr="00532399" w:rsidRDefault="00BA1C92" w:rsidP="0093109B">
            <w:pPr>
              <w:pStyle w:val="TabellenInhalt"/>
              <w:spacing w:line="360" w:lineRule="auto"/>
              <w:jc w:val="both"/>
              <w:rPr>
                <w:rFonts w:ascii="Book Antiqua" w:hAnsi="Book Antiqua"/>
                <w:lang w:val="en-US"/>
              </w:rPr>
            </w:pPr>
            <w:r>
              <w:rPr>
                <w:rFonts w:ascii="Book Antiqua" w:hAnsi="Book Antiqua" w:cs="Arial"/>
                <w:lang w:bidi="ar-SA"/>
              </w:rPr>
              <w:t>past 6 mo</w:t>
            </w:r>
          </w:p>
        </w:tc>
      </w:tr>
      <w:tr w:rsidR="0093109B" w:rsidRPr="00532399" w14:paraId="2513A32E" w14:textId="77777777" w:rsidTr="00532399">
        <w:tc>
          <w:tcPr>
            <w:tcW w:w="12474" w:type="dxa"/>
            <w:gridSpan w:val="7"/>
            <w:tcMar>
              <w:left w:w="54" w:type="dxa"/>
            </w:tcMar>
          </w:tcPr>
          <w:p w14:paraId="74A6262E" w14:textId="77777777" w:rsidR="004F0B9C" w:rsidRPr="00532399" w:rsidRDefault="004F0B9C" w:rsidP="0093109B">
            <w:pPr>
              <w:pStyle w:val="TabellenInhalt"/>
              <w:spacing w:line="360" w:lineRule="auto"/>
              <w:jc w:val="both"/>
              <w:rPr>
                <w:rFonts w:ascii="Book Antiqua" w:hAnsi="Book Antiqua"/>
                <w:lang w:val="en-US"/>
              </w:rPr>
            </w:pPr>
            <w:r w:rsidRPr="00532399">
              <w:rPr>
                <w:rFonts w:ascii="Book Antiqua" w:hAnsi="Book Antiqua"/>
                <w:lang w:val="en-US"/>
              </w:rPr>
              <w:lastRenderedPageBreak/>
              <w:t xml:space="preserve"> </w:t>
            </w:r>
          </w:p>
        </w:tc>
      </w:tr>
      <w:tr w:rsidR="0093109B" w:rsidRPr="00532399" w14:paraId="23D37D59" w14:textId="77777777" w:rsidTr="00532399">
        <w:tc>
          <w:tcPr>
            <w:tcW w:w="993" w:type="dxa"/>
            <w:tcMar>
              <w:left w:w="54" w:type="dxa"/>
            </w:tcMar>
          </w:tcPr>
          <w:p w14:paraId="7D67E7E9" w14:textId="77777777" w:rsidR="004F0B9C" w:rsidRPr="00532399" w:rsidRDefault="004F0B9C" w:rsidP="0093109B">
            <w:pPr>
              <w:pStyle w:val="TabellenInhalt"/>
              <w:spacing w:line="360" w:lineRule="auto"/>
              <w:jc w:val="both"/>
              <w:rPr>
                <w:rFonts w:ascii="Book Antiqua" w:hAnsi="Book Antiqua"/>
                <w:b/>
                <w:bCs/>
              </w:rPr>
            </w:pPr>
            <w:r w:rsidRPr="00532399">
              <w:rPr>
                <w:rFonts w:ascii="Book Antiqua" w:hAnsi="Book Antiqua"/>
                <w:b/>
                <w:bCs/>
              </w:rPr>
              <w:t>ASH Guidelines 2013</w:t>
            </w:r>
            <w:r w:rsidRPr="00BA1C92">
              <w:rPr>
                <w:rFonts w:ascii="Book Antiqua" w:hAnsi="Book Antiqua"/>
                <w:b/>
                <w:bCs/>
                <w:vertAlign w:val="superscript"/>
              </w:rPr>
              <w:t>[21]</w:t>
            </w:r>
          </w:p>
        </w:tc>
        <w:tc>
          <w:tcPr>
            <w:tcW w:w="1984" w:type="dxa"/>
            <w:tcMar>
              <w:left w:w="54" w:type="dxa"/>
            </w:tcMar>
          </w:tcPr>
          <w:p w14:paraId="1638CB6F" w14:textId="77777777" w:rsidR="004F0B9C" w:rsidRPr="00532399" w:rsidRDefault="004F0B9C" w:rsidP="0093109B">
            <w:pPr>
              <w:spacing w:after="0" w:line="360" w:lineRule="auto"/>
              <w:jc w:val="both"/>
              <w:rPr>
                <w:rFonts w:ascii="Book Antiqua" w:hAnsi="Book Antiqua"/>
                <w:sz w:val="24"/>
                <w:szCs w:val="24"/>
                <w:lang w:val="en-US"/>
              </w:rPr>
            </w:pPr>
            <w:r w:rsidRPr="00532399">
              <w:rPr>
                <w:rFonts w:ascii="Book Antiqua" w:hAnsi="Book Antiqua"/>
                <w:sz w:val="24"/>
                <w:szCs w:val="24"/>
                <w:lang w:val="en-US"/>
              </w:rPr>
              <w:t>UFH,</w:t>
            </w:r>
          </w:p>
          <w:p w14:paraId="1BE1297C" w14:textId="77777777" w:rsidR="004F0B9C" w:rsidRPr="00532399" w:rsidRDefault="004F0B9C" w:rsidP="0093109B">
            <w:pPr>
              <w:spacing w:after="0" w:line="360" w:lineRule="auto"/>
              <w:jc w:val="both"/>
              <w:rPr>
                <w:rFonts w:ascii="Book Antiqua" w:hAnsi="Book Antiqua"/>
                <w:sz w:val="24"/>
                <w:szCs w:val="24"/>
                <w:lang w:val="en-US"/>
              </w:rPr>
            </w:pPr>
            <w:r w:rsidRPr="00532399">
              <w:rPr>
                <w:rFonts w:ascii="Book Antiqua" w:hAnsi="Book Antiqua"/>
                <w:sz w:val="24"/>
                <w:szCs w:val="24"/>
                <w:lang w:val="en-US"/>
              </w:rPr>
              <w:t>LMWH,</w:t>
            </w:r>
          </w:p>
          <w:p w14:paraId="28012A74" w14:textId="77777777" w:rsidR="004F0B9C" w:rsidRPr="00532399" w:rsidRDefault="004F0B9C" w:rsidP="0093109B">
            <w:pPr>
              <w:spacing w:after="0" w:line="360" w:lineRule="auto"/>
              <w:jc w:val="both"/>
              <w:rPr>
                <w:rFonts w:ascii="Book Antiqua" w:hAnsi="Book Antiqua"/>
                <w:sz w:val="24"/>
                <w:szCs w:val="24"/>
                <w:lang w:val="en-US"/>
              </w:rPr>
            </w:pPr>
            <w:r w:rsidRPr="00532399">
              <w:rPr>
                <w:rFonts w:ascii="Book Antiqua" w:hAnsi="Book Antiqua"/>
                <w:sz w:val="24"/>
                <w:szCs w:val="24"/>
                <w:lang w:val="en-US"/>
              </w:rPr>
              <w:t xml:space="preserve">Fondaparinux </w:t>
            </w:r>
          </w:p>
          <w:p w14:paraId="4FC664A7" w14:textId="4BBB92C9" w:rsidR="004F0B9C" w:rsidRPr="00532399" w:rsidRDefault="004F0B9C" w:rsidP="0093109B">
            <w:pPr>
              <w:spacing w:after="0" w:line="360" w:lineRule="auto"/>
              <w:jc w:val="both"/>
              <w:rPr>
                <w:rFonts w:ascii="Book Antiqua" w:hAnsi="Book Antiqua"/>
                <w:sz w:val="24"/>
                <w:szCs w:val="24"/>
                <w:lang w:val="en-US"/>
              </w:rPr>
            </w:pPr>
            <w:r w:rsidRPr="00532399">
              <w:rPr>
                <w:rFonts w:ascii="Book Antiqua" w:hAnsi="Book Antiqua"/>
                <w:sz w:val="24"/>
                <w:szCs w:val="24"/>
                <w:lang w:val="en-US"/>
              </w:rPr>
              <w:t>in all p</w:t>
            </w:r>
            <w:r w:rsidR="00264574">
              <w:rPr>
                <w:rFonts w:ascii="Book Antiqua" w:hAnsi="Book Antiqua" w:hint="eastAsia"/>
                <w:sz w:val="24"/>
                <w:szCs w:val="24"/>
                <w:lang w:val="en-US" w:eastAsia="zh-CN"/>
              </w:rPr>
              <w:t>a</w:t>
            </w:r>
            <w:r w:rsidRPr="00532399">
              <w:rPr>
                <w:rFonts w:ascii="Book Antiqua" w:hAnsi="Book Antiqua"/>
                <w:sz w:val="24"/>
                <w:szCs w:val="24"/>
                <w:lang w:val="en-US"/>
              </w:rPr>
              <w:t>t</w:t>
            </w:r>
            <w:r w:rsidR="00264574">
              <w:rPr>
                <w:rFonts w:ascii="Book Antiqua" w:hAnsi="Book Antiqua" w:hint="eastAsia"/>
                <w:sz w:val="24"/>
                <w:szCs w:val="24"/>
                <w:lang w:val="en-US" w:eastAsia="zh-CN"/>
              </w:rPr>
              <w:t>ient</w:t>
            </w:r>
            <w:r w:rsidRPr="00532399">
              <w:rPr>
                <w:rFonts w:ascii="Book Antiqua" w:hAnsi="Book Antiqua"/>
                <w:sz w:val="24"/>
                <w:szCs w:val="24"/>
                <w:lang w:val="en-US"/>
              </w:rPr>
              <w:t>s undergoing major surgical intervention for malignant disease</w:t>
            </w:r>
          </w:p>
          <w:p w14:paraId="09104392" w14:textId="154FAD1B" w:rsidR="004F0B9C" w:rsidRPr="00532399" w:rsidRDefault="004F0B9C" w:rsidP="0093109B">
            <w:pPr>
              <w:spacing w:after="0" w:line="360" w:lineRule="auto"/>
              <w:jc w:val="both"/>
              <w:rPr>
                <w:rFonts w:ascii="Book Antiqua" w:hAnsi="Book Antiqua"/>
                <w:sz w:val="24"/>
                <w:szCs w:val="24"/>
                <w:lang w:val="en-US"/>
              </w:rPr>
            </w:pPr>
            <w:r w:rsidRPr="00532399">
              <w:rPr>
                <w:rFonts w:ascii="Book Antiqua" w:hAnsi="Book Antiqua"/>
                <w:sz w:val="24"/>
                <w:szCs w:val="24"/>
                <w:lang w:val="en-US"/>
              </w:rPr>
              <w:t xml:space="preserve">Prolonged prophylaxis for up to 4 wk may be considered in </w:t>
            </w:r>
            <w:r w:rsidR="00264574" w:rsidRPr="00532399">
              <w:rPr>
                <w:rFonts w:ascii="Book Antiqua" w:hAnsi="Book Antiqua"/>
                <w:sz w:val="24"/>
                <w:szCs w:val="24"/>
                <w:lang w:val="en-US"/>
              </w:rPr>
              <w:t>p</w:t>
            </w:r>
            <w:r w:rsidR="00264574">
              <w:rPr>
                <w:rFonts w:ascii="Book Antiqua" w:hAnsi="Book Antiqua" w:hint="eastAsia"/>
                <w:sz w:val="24"/>
                <w:szCs w:val="24"/>
                <w:lang w:val="en-US" w:eastAsia="zh-CN"/>
              </w:rPr>
              <w:t>a</w:t>
            </w:r>
            <w:r w:rsidR="00264574" w:rsidRPr="00532399">
              <w:rPr>
                <w:rFonts w:ascii="Book Antiqua" w:hAnsi="Book Antiqua"/>
                <w:sz w:val="24"/>
                <w:szCs w:val="24"/>
                <w:lang w:val="en-US"/>
              </w:rPr>
              <w:t>t</w:t>
            </w:r>
            <w:r w:rsidR="00264574">
              <w:rPr>
                <w:rFonts w:ascii="Book Antiqua" w:hAnsi="Book Antiqua" w:hint="eastAsia"/>
                <w:sz w:val="24"/>
                <w:szCs w:val="24"/>
                <w:lang w:val="en-US" w:eastAsia="zh-CN"/>
              </w:rPr>
              <w:t>ient</w:t>
            </w:r>
            <w:r w:rsidR="00264574" w:rsidRPr="00532399">
              <w:rPr>
                <w:rFonts w:ascii="Book Antiqua" w:hAnsi="Book Antiqua"/>
                <w:sz w:val="24"/>
                <w:szCs w:val="24"/>
                <w:lang w:val="en-US"/>
              </w:rPr>
              <w:t>s</w:t>
            </w:r>
            <w:r w:rsidRPr="00532399">
              <w:rPr>
                <w:rFonts w:ascii="Book Antiqua" w:hAnsi="Book Antiqua"/>
                <w:sz w:val="24"/>
                <w:szCs w:val="24"/>
                <w:lang w:val="en-US"/>
              </w:rPr>
              <w:t xml:space="preserve"> undergoing major abdominal or pelvic surgery for cancer with </w:t>
            </w:r>
            <w:r w:rsidRPr="00532399">
              <w:rPr>
                <w:rFonts w:ascii="Book Antiqua" w:hAnsi="Book Antiqua"/>
                <w:sz w:val="24"/>
                <w:szCs w:val="24"/>
                <w:lang w:val="en-US"/>
              </w:rPr>
              <w:lastRenderedPageBreak/>
              <w:t>high-risk features such as residual</w:t>
            </w:r>
          </w:p>
          <w:p w14:paraId="4FFCF6E7" w14:textId="77777777" w:rsidR="004F0B9C" w:rsidRPr="00532399" w:rsidRDefault="004F0B9C" w:rsidP="0093109B">
            <w:pPr>
              <w:spacing w:after="0" w:line="360" w:lineRule="auto"/>
              <w:jc w:val="both"/>
              <w:rPr>
                <w:rFonts w:ascii="Book Antiqua" w:hAnsi="Book Antiqua"/>
                <w:sz w:val="24"/>
                <w:szCs w:val="24"/>
                <w:lang w:val="en-US"/>
              </w:rPr>
            </w:pPr>
            <w:r w:rsidRPr="00532399">
              <w:rPr>
                <w:rFonts w:ascii="Book Antiqua" w:hAnsi="Book Antiqua"/>
                <w:sz w:val="24"/>
                <w:szCs w:val="24"/>
                <w:lang w:val="en-US"/>
              </w:rPr>
              <w:t>malignant disease, obesity, and prior history of VTE</w:t>
            </w:r>
          </w:p>
        </w:tc>
        <w:tc>
          <w:tcPr>
            <w:tcW w:w="2124" w:type="dxa"/>
            <w:tcMar>
              <w:left w:w="54" w:type="dxa"/>
            </w:tcMar>
          </w:tcPr>
          <w:p w14:paraId="3698E4F8" w14:textId="77777777" w:rsidR="004F0B9C" w:rsidRPr="00532399" w:rsidRDefault="004F0B9C" w:rsidP="0093109B">
            <w:pPr>
              <w:spacing w:after="0" w:line="360" w:lineRule="auto"/>
              <w:jc w:val="both"/>
              <w:rPr>
                <w:rFonts w:ascii="Book Antiqua" w:hAnsi="Book Antiqua"/>
                <w:sz w:val="24"/>
                <w:szCs w:val="24"/>
                <w:lang w:val="en-US"/>
              </w:rPr>
            </w:pPr>
            <w:r w:rsidRPr="00532399">
              <w:rPr>
                <w:rFonts w:ascii="Book Antiqua" w:hAnsi="Book Antiqua"/>
                <w:sz w:val="24"/>
                <w:szCs w:val="24"/>
                <w:lang w:val="en-US"/>
              </w:rPr>
              <w:lastRenderedPageBreak/>
              <w:t>UFH,</w:t>
            </w:r>
          </w:p>
          <w:p w14:paraId="2294CAE6" w14:textId="77777777" w:rsidR="004F0B9C" w:rsidRPr="00532399" w:rsidRDefault="004F0B9C" w:rsidP="0093109B">
            <w:pPr>
              <w:spacing w:after="0" w:line="360" w:lineRule="auto"/>
              <w:jc w:val="both"/>
              <w:rPr>
                <w:rFonts w:ascii="Book Antiqua" w:hAnsi="Book Antiqua"/>
                <w:sz w:val="24"/>
                <w:szCs w:val="24"/>
                <w:lang w:val="en-US"/>
              </w:rPr>
            </w:pPr>
            <w:r w:rsidRPr="00532399">
              <w:rPr>
                <w:rFonts w:ascii="Book Antiqua" w:hAnsi="Book Antiqua"/>
                <w:sz w:val="24"/>
                <w:szCs w:val="24"/>
                <w:lang w:val="en-US"/>
              </w:rPr>
              <w:t>LMWH,</w:t>
            </w:r>
          </w:p>
          <w:p w14:paraId="41389400" w14:textId="77777777" w:rsidR="004F0B9C" w:rsidRPr="00532399" w:rsidRDefault="004F0B9C" w:rsidP="0093109B">
            <w:pPr>
              <w:spacing w:after="0" w:line="360" w:lineRule="auto"/>
              <w:jc w:val="both"/>
              <w:rPr>
                <w:rFonts w:ascii="Book Antiqua" w:hAnsi="Book Antiqua"/>
                <w:sz w:val="24"/>
                <w:szCs w:val="24"/>
                <w:lang w:val="en-US"/>
              </w:rPr>
            </w:pPr>
            <w:r w:rsidRPr="00532399">
              <w:rPr>
                <w:rFonts w:ascii="Book Antiqua" w:hAnsi="Book Antiqua"/>
                <w:sz w:val="24"/>
                <w:szCs w:val="24"/>
                <w:lang w:val="en-US"/>
              </w:rPr>
              <w:t xml:space="preserve">Fondaparinux </w:t>
            </w:r>
          </w:p>
          <w:p w14:paraId="3292918D" w14:textId="77777777" w:rsidR="004F0B9C" w:rsidRPr="00532399" w:rsidRDefault="004F0B9C" w:rsidP="0093109B">
            <w:pPr>
              <w:spacing w:after="0" w:line="360" w:lineRule="auto"/>
              <w:jc w:val="both"/>
              <w:rPr>
                <w:rFonts w:ascii="Book Antiqua" w:hAnsi="Book Antiqua"/>
                <w:sz w:val="24"/>
                <w:szCs w:val="24"/>
                <w:lang w:val="en-US"/>
              </w:rPr>
            </w:pPr>
          </w:p>
        </w:tc>
        <w:tc>
          <w:tcPr>
            <w:tcW w:w="2340" w:type="dxa"/>
            <w:tcMar>
              <w:left w:w="54" w:type="dxa"/>
            </w:tcMar>
          </w:tcPr>
          <w:p w14:paraId="3BE6A7FD" w14:textId="77777777" w:rsidR="004F0B9C" w:rsidRPr="00532399" w:rsidRDefault="004F0B9C" w:rsidP="0093109B">
            <w:pPr>
              <w:spacing w:after="0" w:line="360" w:lineRule="auto"/>
              <w:jc w:val="both"/>
              <w:rPr>
                <w:rFonts w:ascii="Book Antiqua" w:hAnsi="Book Antiqua"/>
                <w:sz w:val="24"/>
                <w:szCs w:val="24"/>
                <w:lang w:val="en-US"/>
              </w:rPr>
            </w:pPr>
            <w:r w:rsidRPr="00532399">
              <w:rPr>
                <w:rFonts w:ascii="Book Antiqua" w:hAnsi="Book Antiqua"/>
                <w:sz w:val="24"/>
                <w:szCs w:val="24"/>
                <w:lang w:val="en-US"/>
              </w:rPr>
              <w:t>Routine VTE prophylaxis in</w:t>
            </w:r>
          </w:p>
          <w:p w14:paraId="1AC75F9E" w14:textId="11A60DF7" w:rsidR="004F0B9C" w:rsidRPr="00532399" w:rsidRDefault="004F0B9C" w:rsidP="0093109B">
            <w:pPr>
              <w:spacing w:after="0" w:line="360" w:lineRule="auto"/>
              <w:jc w:val="both"/>
              <w:rPr>
                <w:rFonts w:ascii="Book Antiqua" w:hAnsi="Book Antiqua"/>
                <w:sz w:val="24"/>
                <w:szCs w:val="24"/>
                <w:lang w:val="en-US"/>
              </w:rPr>
            </w:pPr>
            <w:r w:rsidRPr="00532399">
              <w:rPr>
                <w:rFonts w:ascii="Book Antiqua" w:hAnsi="Book Antiqua"/>
                <w:sz w:val="24"/>
                <w:szCs w:val="24"/>
                <w:lang w:val="en-US"/>
              </w:rPr>
              <w:t xml:space="preserve">ambulatory </w:t>
            </w:r>
            <w:r w:rsidR="00264574" w:rsidRPr="00532399">
              <w:rPr>
                <w:rFonts w:ascii="Book Antiqua" w:hAnsi="Book Antiqua"/>
                <w:sz w:val="24"/>
                <w:szCs w:val="24"/>
                <w:lang w:val="en-US"/>
              </w:rPr>
              <w:t>p</w:t>
            </w:r>
            <w:r w:rsidR="00264574">
              <w:rPr>
                <w:rFonts w:ascii="Book Antiqua" w:hAnsi="Book Antiqua" w:hint="eastAsia"/>
                <w:sz w:val="24"/>
                <w:szCs w:val="24"/>
                <w:lang w:val="en-US" w:eastAsia="zh-CN"/>
              </w:rPr>
              <w:t>a</w:t>
            </w:r>
            <w:r w:rsidR="00264574" w:rsidRPr="00532399">
              <w:rPr>
                <w:rFonts w:ascii="Book Antiqua" w:hAnsi="Book Antiqua"/>
                <w:sz w:val="24"/>
                <w:szCs w:val="24"/>
                <w:lang w:val="en-US"/>
              </w:rPr>
              <w:t>t</w:t>
            </w:r>
            <w:r w:rsidR="00264574">
              <w:rPr>
                <w:rFonts w:ascii="Book Antiqua" w:hAnsi="Book Antiqua" w:hint="eastAsia"/>
                <w:sz w:val="24"/>
                <w:szCs w:val="24"/>
                <w:lang w:val="en-US" w:eastAsia="zh-CN"/>
              </w:rPr>
              <w:t>ient</w:t>
            </w:r>
            <w:r w:rsidR="00264574" w:rsidRPr="00532399">
              <w:rPr>
                <w:rFonts w:ascii="Book Antiqua" w:hAnsi="Book Antiqua"/>
                <w:sz w:val="24"/>
                <w:szCs w:val="24"/>
                <w:lang w:val="en-US"/>
              </w:rPr>
              <w:t>s</w:t>
            </w:r>
            <w:r w:rsidRPr="00532399">
              <w:rPr>
                <w:rFonts w:ascii="Book Antiqua" w:hAnsi="Book Antiqua"/>
                <w:sz w:val="24"/>
                <w:szCs w:val="24"/>
                <w:lang w:val="en-US"/>
              </w:rPr>
              <w:t xml:space="preserve"> receiving</w:t>
            </w:r>
          </w:p>
          <w:p w14:paraId="6DABE78B" w14:textId="77777777" w:rsidR="004F0B9C" w:rsidRPr="00532399" w:rsidRDefault="004F0B9C" w:rsidP="0093109B">
            <w:pPr>
              <w:spacing w:after="0" w:line="360" w:lineRule="auto"/>
              <w:jc w:val="both"/>
              <w:rPr>
                <w:rFonts w:ascii="Book Antiqua" w:hAnsi="Book Antiqua"/>
                <w:sz w:val="24"/>
                <w:szCs w:val="24"/>
              </w:rPr>
            </w:pPr>
            <w:r w:rsidRPr="00532399">
              <w:rPr>
                <w:rFonts w:ascii="Book Antiqua" w:hAnsi="Book Antiqua"/>
                <w:sz w:val="24"/>
                <w:szCs w:val="24"/>
              </w:rPr>
              <w:t>chemotherapy is not</w:t>
            </w:r>
          </w:p>
          <w:p w14:paraId="76DEB3B5" w14:textId="77777777" w:rsidR="004F0B9C" w:rsidRPr="00532399" w:rsidRDefault="004F0B9C" w:rsidP="0093109B">
            <w:pPr>
              <w:spacing w:after="0" w:line="360" w:lineRule="auto"/>
              <w:jc w:val="both"/>
              <w:rPr>
                <w:rFonts w:ascii="Book Antiqua" w:hAnsi="Book Antiqua"/>
                <w:sz w:val="24"/>
                <w:szCs w:val="24"/>
              </w:rPr>
            </w:pPr>
            <w:r w:rsidRPr="00532399">
              <w:rPr>
                <w:rFonts w:ascii="Book Antiqua" w:hAnsi="Book Antiqua"/>
                <w:sz w:val="24"/>
                <w:szCs w:val="24"/>
              </w:rPr>
              <w:t>recommended</w:t>
            </w:r>
          </w:p>
          <w:p w14:paraId="58A11C77" w14:textId="77777777" w:rsidR="004F0B9C" w:rsidRPr="00532399" w:rsidRDefault="004F0B9C" w:rsidP="0093109B">
            <w:pPr>
              <w:pStyle w:val="TabellenInhalt"/>
              <w:spacing w:line="360" w:lineRule="auto"/>
              <w:jc w:val="both"/>
              <w:rPr>
                <w:rFonts w:ascii="Book Antiqua" w:hAnsi="Book Antiqua"/>
              </w:rPr>
            </w:pPr>
          </w:p>
        </w:tc>
        <w:tc>
          <w:tcPr>
            <w:tcW w:w="2624" w:type="dxa"/>
            <w:gridSpan w:val="2"/>
            <w:tcMar>
              <w:left w:w="54" w:type="dxa"/>
            </w:tcMar>
          </w:tcPr>
          <w:p w14:paraId="37CDE8DB" w14:textId="77777777" w:rsidR="004F0B9C" w:rsidRPr="00532399" w:rsidRDefault="004F0B9C" w:rsidP="0093109B">
            <w:pPr>
              <w:spacing w:after="0" w:line="360" w:lineRule="auto"/>
              <w:jc w:val="both"/>
              <w:rPr>
                <w:rFonts w:ascii="Book Antiqua" w:hAnsi="Book Antiqua"/>
                <w:sz w:val="24"/>
                <w:szCs w:val="24"/>
              </w:rPr>
            </w:pPr>
            <w:r w:rsidRPr="00532399">
              <w:rPr>
                <w:rFonts w:ascii="Book Antiqua" w:hAnsi="Book Antiqua"/>
                <w:sz w:val="24"/>
                <w:szCs w:val="24"/>
                <w:lang w:val="en-US"/>
              </w:rPr>
              <w:t xml:space="preserve">LMWH </w:t>
            </w:r>
          </w:p>
        </w:tc>
        <w:tc>
          <w:tcPr>
            <w:tcW w:w="2409" w:type="dxa"/>
            <w:tcMar>
              <w:left w:w="54" w:type="dxa"/>
            </w:tcMar>
          </w:tcPr>
          <w:p w14:paraId="716AFB6A" w14:textId="2F4B7520" w:rsidR="004F0B9C" w:rsidRPr="00532399" w:rsidRDefault="00BA1C92" w:rsidP="0093109B">
            <w:pPr>
              <w:spacing w:after="0" w:line="360" w:lineRule="auto"/>
              <w:jc w:val="both"/>
              <w:rPr>
                <w:rFonts w:ascii="Book Antiqua" w:hAnsi="Book Antiqua"/>
                <w:sz w:val="24"/>
                <w:szCs w:val="24"/>
                <w:lang w:val="en-US"/>
              </w:rPr>
            </w:pPr>
            <w:r>
              <w:rPr>
                <w:rFonts w:ascii="Book Antiqua" w:hAnsi="Book Antiqua"/>
                <w:sz w:val="24"/>
                <w:szCs w:val="24"/>
                <w:lang w:val="en-US"/>
              </w:rPr>
              <w:t>LMWH</w:t>
            </w:r>
            <w:r w:rsidR="004F0B9C" w:rsidRPr="00532399">
              <w:rPr>
                <w:rFonts w:ascii="Book Antiqua" w:hAnsi="Book Antiqua"/>
                <w:sz w:val="24"/>
                <w:szCs w:val="24"/>
                <w:lang w:val="en-US"/>
              </w:rPr>
              <w:t>.</w:t>
            </w:r>
          </w:p>
          <w:p w14:paraId="303BF3E4" w14:textId="77777777" w:rsidR="004F0B9C" w:rsidRPr="00532399" w:rsidRDefault="004F0B9C" w:rsidP="0093109B">
            <w:pPr>
              <w:spacing w:after="0" w:line="360" w:lineRule="auto"/>
              <w:jc w:val="both"/>
              <w:rPr>
                <w:rFonts w:ascii="Book Antiqua" w:hAnsi="Book Antiqua"/>
                <w:sz w:val="24"/>
                <w:szCs w:val="24"/>
                <w:lang w:val="en-US"/>
              </w:rPr>
            </w:pPr>
            <w:r w:rsidRPr="00532399">
              <w:rPr>
                <w:rFonts w:ascii="Book Antiqua" w:hAnsi="Book Antiqua"/>
                <w:sz w:val="24"/>
                <w:szCs w:val="24"/>
                <w:lang w:val="en-US"/>
              </w:rPr>
              <w:t>Continue treatment with LMWH is</w:t>
            </w:r>
          </w:p>
          <w:p w14:paraId="07083857" w14:textId="7CD921D1" w:rsidR="004F0B9C" w:rsidRPr="00532399" w:rsidRDefault="004F0B9C" w:rsidP="0093109B">
            <w:pPr>
              <w:spacing w:after="0" w:line="360" w:lineRule="auto"/>
              <w:jc w:val="both"/>
              <w:rPr>
                <w:rFonts w:ascii="Book Antiqua" w:hAnsi="Book Antiqua"/>
                <w:sz w:val="24"/>
                <w:szCs w:val="24"/>
                <w:lang w:val="en-US"/>
              </w:rPr>
            </w:pPr>
            <w:r w:rsidRPr="00532399">
              <w:rPr>
                <w:rFonts w:ascii="Book Antiqua" w:hAnsi="Book Antiqua"/>
                <w:sz w:val="24"/>
                <w:szCs w:val="24"/>
                <w:lang w:val="en-US"/>
              </w:rPr>
              <w:t>preferred for at least the initial 6 mo of treatment</w:t>
            </w:r>
          </w:p>
          <w:p w14:paraId="61661228" w14:textId="77777777" w:rsidR="004F0B9C" w:rsidRPr="00532399" w:rsidRDefault="004F0B9C" w:rsidP="0093109B">
            <w:pPr>
              <w:pStyle w:val="TabellenInhalt"/>
              <w:spacing w:line="360" w:lineRule="auto"/>
              <w:jc w:val="both"/>
              <w:rPr>
                <w:rFonts w:ascii="Book Antiqua" w:hAnsi="Book Antiqua"/>
                <w:lang w:val="en-US"/>
              </w:rPr>
            </w:pPr>
          </w:p>
        </w:tc>
      </w:tr>
      <w:tr w:rsidR="0093109B" w:rsidRPr="00532399" w14:paraId="5952D51A" w14:textId="77777777" w:rsidTr="00532399">
        <w:tc>
          <w:tcPr>
            <w:tcW w:w="12474" w:type="dxa"/>
            <w:gridSpan w:val="7"/>
            <w:tcMar>
              <w:left w:w="54" w:type="dxa"/>
            </w:tcMar>
          </w:tcPr>
          <w:p w14:paraId="037C79A1" w14:textId="77777777" w:rsidR="004F0B9C" w:rsidRPr="00532399" w:rsidRDefault="004F0B9C" w:rsidP="0093109B">
            <w:pPr>
              <w:pStyle w:val="TabellenInhalt"/>
              <w:spacing w:line="360" w:lineRule="auto"/>
              <w:jc w:val="both"/>
              <w:rPr>
                <w:rFonts w:ascii="Book Antiqua" w:hAnsi="Book Antiqua"/>
                <w:lang w:val="en-US"/>
              </w:rPr>
            </w:pPr>
          </w:p>
        </w:tc>
      </w:tr>
      <w:tr w:rsidR="0093109B" w:rsidRPr="00532399" w14:paraId="4E812500" w14:textId="77777777" w:rsidTr="00532399">
        <w:tc>
          <w:tcPr>
            <w:tcW w:w="993" w:type="dxa"/>
            <w:tcMar>
              <w:left w:w="54" w:type="dxa"/>
            </w:tcMar>
          </w:tcPr>
          <w:p w14:paraId="220AB419" w14:textId="30F33CEC" w:rsidR="004F0B9C" w:rsidRPr="00BA1C92" w:rsidRDefault="004F0B9C" w:rsidP="0093109B">
            <w:pPr>
              <w:pStyle w:val="TabellenInhalt"/>
              <w:spacing w:line="360" w:lineRule="auto"/>
              <w:jc w:val="both"/>
              <w:rPr>
                <w:rFonts w:ascii="Book Antiqua" w:hAnsi="Book Antiqua" w:cs="Arial"/>
                <w:b/>
                <w:bCs/>
              </w:rPr>
            </w:pPr>
            <w:r w:rsidRPr="00532399">
              <w:rPr>
                <w:rFonts w:ascii="Book Antiqua" w:hAnsi="Book Antiqua" w:cs="Arial"/>
                <w:b/>
                <w:bCs/>
              </w:rPr>
              <w:t>German Guidelines</w:t>
            </w:r>
            <w:r w:rsidRPr="00BA1C92">
              <w:rPr>
                <w:rFonts w:ascii="Book Antiqua" w:hAnsi="Book Antiqua"/>
                <w:b/>
                <w:bCs/>
                <w:vertAlign w:val="superscript"/>
              </w:rPr>
              <w:t>[</w:t>
            </w:r>
            <w:r w:rsidRPr="00BA1C92">
              <w:rPr>
                <w:rFonts w:ascii="Book Antiqua" w:hAnsi="Book Antiqua" w:cs="Arial"/>
                <w:b/>
                <w:bCs/>
                <w:vertAlign w:val="superscript"/>
              </w:rPr>
              <w:t>22,23</w:t>
            </w:r>
            <w:r w:rsidRPr="00BA1C92">
              <w:rPr>
                <w:rFonts w:ascii="Book Antiqua" w:hAnsi="Book Antiqua"/>
                <w:b/>
                <w:bCs/>
                <w:vertAlign w:val="superscript"/>
              </w:rPr>
              <w:t>]</w:t>
            </w:r>
            <w:r w:rsidRPr="00BA1C92">
              <w:rPr>
                <w:rFonts w:ascii="Book Antiqua" w:hAnsi="Book Antiqua" w:cs="Arial"/>
                <w:b/>
                <w:bCs/>
                <w:vertAlign w:val="superscript"/>
              </w:rPr>
              <w:t xml:space="preserve"> </w:t>
            </w:r>
          </w:p>
        </w:tc>
        <w:tc>
          <w:tcPr>
            <w:tcW w:w="1984" w:type="dxa"/>
            <w:tcMar>
              <w:left w:w="54" w:type="dxa"/>
            </w:tcMar>
          </w:tcPr>
          <w:p w14:paraId="0FABE147" w14:textId="77777777" w:rsidR="004F0B9C" w:rsidRPr="00532399" w:rsidRDefault="004F0B9C" w:rsidP="0093109B">
            <w:pPr>
              <w:spacing w:after="0" w:line="360" w:lineRule="auto"/>
              <w:jc w:val="both"/>
              <w:rPr>
                <w:rFonts w:ascii="Book Antiqua" w:hAnsi="Book Antiqua" w:cs="Arial"/>
                <w:sz w:val="24"/>
                <w:szCs w:val="24"/>
                <w:lang w:val="en-US"/>
              </w:rPr>
            </w:pPr>
            <w:r w:rsidRPr="00532399">
              <w:rPr>
                <w:rFonts w:ascii="Book Antiqua" w:hAnsi="Book Antiqua" w:cs="Arial"/>
                <w:sz w:val="24"/>
                <w:szCs w:val="24"/>
                <w:lang w:val="en-US"/>
              </w:rPr>
              <w:t>LMWH,</w:t>
            </w:r>
          </w:p>
          <w:p w14:paraId="4FEE0B20" w14:textId="77777777" w:rsidR="004F0B9C" w:rsidRPr="00532399" w:rsidRDefault="004F0B9C" w:rsidP="0093109B">
            <w:pPr>
              <w:spacing w:after="0" w:line="360" w:lineRule="auto"/>
              <w:jc w:val="both"/>
              <w:rPr>
                <w:rFonts w:ascii="Book Antiqua" w:hAnsi="Book Antiqua" w:cs="Arial"/>
                <w:sz w:val="24"/>
                <w:szCs w:val="24"/>
                <w:lang w:val="en-US"/>
              </w:rPr>
            </w:pPr>
            <w:r w:rsidRPr="00532399">
              <w:rPr>
                <w:rFonts w:ascii="Book Antiqua" w:hAnsi="Book Antiqua" w:cs="Arial"/>
                <w:sz w:val="24"/>
                <w:szCs w:val="24"/>
                <w:lang w:val="en-US"/>
              </w:rPr>
              <w:t>Fondaparinux,</w:t>
            </w:r>
          </w:p>
          <w:p w14:paraId="7A2DBC83" w14:textId="77777777" w:rsidR="004F0B9C" w:rsidRPr="00532399" w:rsidRDefault="004F0B9C" w:rsidP="0093109B">
            <w:pPr>
              <w:spacing w:after="0" w:line="360" w:lineRule="auto"/>
              <w:jc w:val="both"/>
              <w:rPr>
                <w:rFonts w:ascii="Book Antiqua" w:hAnsi="Book Antiqua" w:cs="Arial"/>
                <w:sz w:val="24"/>
                <w:szCs w:val="24"/>
                <w:lang w:val="en-US"/>
              </w:rPr>
            </w:pPr>
            <w:r w:rsidRPr="00532399">
              <w:rPr>
                <w:rFonts w:ascii="Book Antiqua" w:hAnsi="Book Antiqua" w:cs="Arial"/>
                <w:sz w:val="24"/>
                <w:szCs w:val="24"/>
                <w:lang w:val="en-US"/>
              </w:rPr>
              <w:t>(UFH)</w:t>
            </w:r>
          </w:p>
          <w:p w14:paraId="47A5F163" w14:textId="2FE9EE97" w:rsidR="004F0B9C" w:rsidRPr="00532399" w:rsidRDefault="00264574" w:rsidP="00BA1C92">
            <w:pPr>
              <w:spacing w:after="0" w:line="360" w:lineRule="auto"/>
              <w:jc w:val="both"/>
              <w:rPr>
                <w:rFonts w:ascii="Book Antiqua" w:hAnsi="Book Antiqua" w:cs="Arial"/>
                <w:sz w:val="24"/>
                <w:szCs w:val="24"/>
                <w:lang w:val="en-US"/>
              </w:rPr>
            </w:pPr>
            <w:r w:rsidRPr="00532399">
              <w:rPr>
                <w:rFonts w:ascii="Book Antiqua" w:hAnsi="Book Antiqua"/>
                <w:sz w:val="24"/>
                <w:szCs w:val="24"/>
                <w:lang w:val="en-US"/>
              </w:rPr>
              <w:t>P</w:t>
            </w:r>
            <w:r>
              <w:rPr>
                <w:rFonts w:ascii="Book Antiqua" w:hAnsi="Book Antiqua" w:hint="eastAsia"/>
                <w:sz w:val="24"/>
                <w:szCs w:val="24"/>
                <w:lang w:val="en-US" w:eastAsia="zh-CN"/>
              </w:rPr>
              <w:t>a</w:t>
            </w:r>
            <w:r w:rsidRPr="00532399">
              <w:rPr>
                <w:rFonts w:ascii="Book Antiqua" w:hAnsi="Book Antiqua"/>
                <w:sz w:val="24"/>
                <w:szCs w:val="24"/>
                <w:lang w:val="en-US"/>
              </w:rPr>
              <w:t>t</w:t>
            </w:r>
            <w:r>
              <w:rPr>
                <w:rFonts w:ascii="Book Antiqua" w:hAnsi="Book Antiqua" w:hint="eastAsia"/>
                <w:sz w:val="24"/>
                <w:szCs w:val="24"/>
                <w:lang w:val="en-US" w:eastAsia="zh-CN"/>
              </w:rPr>
              <w:t>ient</w:t>
            </w:r>
            <w:r w:rsidRPr="00532399">
              <w:rPr>
                <w:rFonts w:ascii="Book Antiqua" w:hAnsi="Book Antiqua"/>
                <w:sz w:val="24"/>
                <w:szCs w:val="24"/>
                <w:lang w:val="en-US"/>
              </w:rPr>
              <w:t>s</w:t>
            </w:r>
            <w:r w:rsidR="004F0B9C" w:rsidRPr="00532399">
              <w:rPr>
                <w:rFonts w:ascii="Book Antiqua" w:hAnsi="Book Antiqua"/>
                <w:sz w:val="24"/>
                <w:szCs w:val="24"/>
                <w:lang w:val="en-US"/>
              </w:rPr>
              <w:t xml:space="preserve"> undergoing abdominal and pelvic surgery for cancer are recommended to get extended thromboprophylaxis (28 to 35 d)</w:t>
            </w:r>
          </w:p>
        </w:tc>
        <w:tc>
          <w:tcPr>
            <w:tcW w:w="2124" w:type="dxa"/>
            <w:tcMar>
              <w:left w:w="54" w:type="dxa"/>
            </w:tcMar>
          </w:tcPr>
          <w:p w14:paraId="442A5049" w14:textId="77777777" w:rsidR="004F0B9C" w:rsidRPr="00532399" w:rsidRDefault="004F0B9C" w:rsidP="0093109B">
            <w:pPr>
              <w:spacing w:after="0" w:line="360" w:lineRule="auto"/>
              <w:jc w:val="both"/>
              <w:rPr>
                <w:rFonts w:ascii="Book Antiqua" w:hAnsi="Book Antiqua" w:cs="Arial"/>
                <w:sz w:val="24"/>
                <w:szCs w:val="24"/>
              </w:rPr>
            </w:pPr>
            <w:r w:rsidRPr="00532399">
              <w:rPr>
                <w:rFonts w:ascii="Book Antiqua" w:hAnsi="Book Antiqua" w:cs="Arial"/>
                <w:sz w:val="24"/>
                <w:szCs w:val="24"/>
              </w:rPr>
              <w:t>LMWH,</w:t>
            </w:r>
          </w:p>
          <w:p w14:paraId="2656DAE3" w14:textId="77777777" w:rsidR="004F0B9C" w:rsidRPr="00532399" w:rsidRDefault="004F0B9C" w:rsidP="0093109B">
            <w:pPr>
              <w:spacing w:after="0" w:line="360" w:lineRule="auto"/>
              <w:jc w:val="both"/>
              <w:rPr>
                <w:rFonts w:ascii="Book Antiqua" w:hAnsi="Book Antiqua" w:cs="Arial"/>
                <w:sz w:val="24"/>
                <w:szCs w:val="24"/>
              </w:rPr>
            </w:pPr>
            <w:r w:rsidRPr="00532399">
              <w:rPr>
                <w:rFonts w:ascii="Book Antiqua" w:hAnsi="Book Antiqua" w:cs="Arial"/>
                <w:sz w:val="24"/>
                <w:szCs w:val="24"/>
              </w:rPr>
              <w:t>Fondaparinux,</w:t>
            </w:r>
          </w:p>
          <w:p w14:paraId="6D17EC30" w14:textId="77777777" w:rsidR="004F0B9C" w:rsidRPr="00532399" w:rsidRDefault="004F0B9C" w:rsidP="0093109B">
            <w:pPr>
              <w:spacing w:after="0" w:line="360" w:lineRule="auto"/>
              <w:jc w:val="both"/>
              <w:rPr>
                <w:rFonts w:ascii="Book Antiqua" w:hAnsi="Book Antiqua" w:cs="Arial"/>
                <w:sz w:val="24"/>
                <w:szCs w:val="24"/>
              </w:rPr>
            </w:pPr>
            <w:r w:rsidRPr="00532399">
              <w:rPr>
                <w:rFonts w:ascii="Book Antiqua" w:hAnsi="Book Antiqua" w:cs="Arial"/>
                <w:sz w:val="24"/>
                <w:szCs w:val="24"/>
              </w:rPr>
              <w:t>(UFH)</w:t>
            </w:r>
          </w:p>
        </w:tc>
        <w:tc>
          <w:tcPr>
            <w:tcW w:w="2340" w:type="dxa"/>
            <w:tcMar>
              <w:left w:w="54" w:type="dxa"/>
            </w:tcMar>
          </w:tcPr>
          <w:p w14:paraId="49CCD058" w14:textId="77777777" w:rsidR="004F0B9C" w:rsidRPr="00532399" w:rsidRDefault="004F0B9C" w:rsidP="0093109B">
            <w:pPr>
              <w:spacing w:after="0" w:line="360" w:lineRule="auto"/>
              <w:jc w:val="both"/>
              <w:rPr>
                <w:rFonts w:ascii="Book Antiqua" w:hAnsi="Book Antiqua" w:cs="Arial"/>
                <w:sz w:val="24"/>
                <w:szCs w:val="24"/>
                <w:lang w:val="en-US"/>
              </w:rPr>
            </w:pPr>
            <w:r w:rsidRPr="00532399">
              <w:rPr>
                <w:rFonts w:ascii="Book Antiqua" w:hAnsi="Book Antiqua" w:cs="Arial"/>
                <w:sz w:val="24"/>
                <w:szCs w:val="24"/>
                <w:lang w:val="en-US"/>
              </w:rPr>
              <w:t>LMWH,</w:t>
            </w:r>
          </w:p>
          <w:p w14:paraId="516190D1" w14:textId="454A32E9" w:rsidR="004F0B9C" w:rsidRPr="00532399" w:rsidRDefault="00264574" w:rsidP="0093109B">
            <w:pPr>
              <w:spacing w:after="0" w:line="360" w:lineRule="auto"/>
              <w:jc w:val="both"/>
              <w:rPr>
                <w:rFonts w:ascii="Book Antiqua" w:hAnsi="Book Antiqua"/>
                <w:sz w:val="24"/>
                <w:szCs w:val="24"/>
                <w:lang w:val="en-US"/>
              </w:rPr>
            </w:pPr>
            <w:r w:rsidRPr="00532399">
              <w:rPr>
                <w:rFonts w:ascii="Book Antiqua" w:hAnsi="Book Antiqua"/>
                <w:sz w:val="24"/>
                <w:szCs w:val="24"/>
                <w:lang w:val="en-US"/>
              </w:rPr>
              <w:t>P</w:t>
            </w:r>
            <w:r>
              <w:rPr>
                <w:rFonts w:ascii="Book Antiqua" w:hAnsi="Book Antiqua" w:hint="eastAsia"/>
                <w:sz w:val="24"/>
                <w:szCs w:val="24"/>
                <w:lang w:val="en-US" w:eastAsia="zh-CN"/>
              </w:rPr>
              <w:t>a</w:t>
            </w:r>
            <w:r w:rsidRPr="00532399">
              <w:rPr>
                <w:rFonts w:ascii="Book Antiqua" w:hAnsi="Book Antiqua"/>
                <w:sz w:val="24"/>
                <w:szCs w:val="24"/>
                <w:lang w:val="en-US"/>
              </w:rPr>
              <w:t>t</w:t>
            </w:r>
            <w:r>
              <w:rPr>
                <w:rFonts w:ascii="Book Antiqua" w:hAnsi="Book Antiqua" w:hint="eastAsia"/>
                <w:sz w:val="24"/>
                <w:szCs w:val="24"/>
                <w:lang w:val="en-US" w:eastAsia="zh-CN"/>
              </w:rPr>
              <w:t>ient</w:t>
            </w:r>
            <w:r w:rsidRPr="00532399">
              <w:rPr>
                <w:rFonts w:ascii="Book Antiqua" w:hAnsi="Book Antiqua"/>
                <w:sz w:val="24"/>
                <w:szCs w:val="24"/>
                <w:lang w:val="en-US"/>
              </w:rPr>
              <w:t>s</w:t>
            </w:r>
            <w:r w:rsidR="004F0B9C" w:rsidRPr="00532399">
              <w:rPr>
                <w:rFonts w:ascii="Book Antiqua" w:hAnsi="Book Antiqua"/>
                <w:sz w:val="24"/>
                <w:szCs w:val="24"/>
                <w:lang w:val="en-US"/>
              </w:rPr>
              <w:t xml:space="preserve"> should be assessed for thrombosis risk and thromboprophylaxis </w:t>
            </w:r>
          </w:p>
          <w:p w14:paraId="26FD7B64" w14:textId="77777777" w:rsidR="004F0B9C" w:rsidRPr="00532399" w:rsidRDefault="004F0B9C" w:rsidP="0093109B">
            <w:pPr>
              <w:spacing w:after="0" w:line="360" w:lineRule="auto"/>
              <w:jc w:val="both"/>
              <w:rPr>
                <w:rFonts w:ascii="Book Antiqua" w:hAnsi="Book Antiqua"/>
                <w:sz w:val="24"/>
                <w:szCs w:val="24"/>
                <w:lang w:val="en-US"/>
              </w:rPr>
            </w:pPr>
            <w:r w:rsidRPr="00532399">
              <w:rPr>
                <w:rFonts w:ascii="Book Antiqua" w:hAnsi="Book Antiqua"/>
                <w:sz w:val="24"/>
                <w:szCs w:val="24"/>
                <w:lang w:val="en-US"/>
              </w:rPr>
              <w:t xml:space="preserve">should be considered for high risk patients </w:t>
            </w:r>
          </w:p>
          <w:p w14:paraId="65738085" w14:textId="77777777" w:rsidR="004F0B9C" w:rsidRPr="00532399" w:rsidRDefault="004F0B9C" w:rsidP="0093109B">
            <w:pPr>
              <w:spacing w:after="0" w:line="360" w:lineRule="auto"/>
              <w:jc w:val="both"/>
              <w:rPr>
                <w:rFonts w:ascii="Book Antiqua" w:hAnsi="Book Antiqua" w:cs="Arial"/>
                <w:sz w:val="24"/>
                <w:szCs w:val="24"/>
                <w:lang w:val="en-US"/>
              </w:rPr>
            </w:pPr>
          </w:p>
        </w:tc>
        <w:tc>
          <w:tcPr>
            <w:tcW w:w="2624" w:type="dxa"/>
            <w:gridSpan w:val="2"/>
            <w:tcMar>
              <w:left w:w="54" w:type="dxa"/>
            </w:tcMar>
          </w:tcPr>
          <w:p w14:paraId="1B165C50" w14:textId="77777777" w:rsidR="004F0B9C" w:rsidRPr="00532399" w:rsidRDefault="004F0B9C" w:rsidP="0093109B">
            <w:pPr>
              <w:spacing w:after="0" w:line="360" w:lineRule="auto"/>
              <w:jc w:val="both"/>
              <w:rPr>
                <w:rFonts w:ascii="Book Antiqua" w:hAnsi="Book Antiqua" w:cs="Arial"/>
                <w:sz w:val="24"/>
                <w:szCs w:val="24"/>
                <w:lang w:val="en-US"/>
              </w:rPr>
            </w:pPr>
            <w:r w:rsidRPr="00532399">
              <w:rPr>
                <w:rFonts w:ascii="Book Antiqua" w:hAnsi="Book Antiqua" w:cs="Arial"/>
                <w:sz w:val="24"/>
                <w:szCs w:val="24"/>
                <w:lang w:val="en-US"/>
              </w:rPr>
              <w:t>LMWH,</w:t>
            </w:r>
          </w:p>
          <w:p w14:paraId="43E0356A" w14:textId="77777777" w:rsidR="004F0B9C" w:rsidRPr="00532399" w:rsidRDefault="004F0B9C" w:rsidP="0093109B">
            <w:pPr>
              <w:spacing w:after="0" w:line="360" w:lineRule="auto"/>
              <w:jc w:val="both"/>
              <w:rPr>
                <w:rFonts w:ascii="Book Antiqua" w:hAnsi="Book Antiqua" w:cs="Arial"/>
                <w:sz w:val="24"/>
                <w:szCs w:val="24"/>
                <w:lang w:val="en-US"/>
              </w:rPr>
            </w:pPr>
            <w:r w:rsidRPr="00532399">
              <w:rPr>
                <w:rFonts w:ascii="Book Antiqua" w:hAnsi="Book Antiqua" w:cs="Arial"/>
                <w:sz w:val="24"/>
                <w:szCs w:val="24"/>
                <w:lang w:val="en-US"/>
              </w:rPr>
              <w:t>Fondaparinux,</w:t>
            </w:r>
          </w:p>
          <w:p w14:paraId="0B6E00DF" w14:textId="77777777" w:rsidR="004F0B9C" w:rsidRPr="00532399" w:rsidRDefault="004F0B9C" w:rsidP="0093109B">
            <w:pPr>
              <w:spacing w:after="0" w:line="360" w:lineRule="auto"/>
              <w:jc w:val="both"/>
              <w:rPr>
                <w:rFonts w:ascii="Book Antiqua" w:hAnsi="Book Antiqua" w:cs="Arial"/>
                <w:sz w:val="24"/>
                <w:szCs w:val="24"/>
                <w:lang w:val="en-US"/>
              </w:rPr>
            </w:pPr>
            <w:r w:rsidRPr="00532399">
              <w:rPr>
                <w:rFonts w:ascii="Book Antiqua" w:hAnsi="Book Antiqua" w:cs="Arial"/>
                <w:sz w:val="24"/>
                <w:szCs w:val="24"/>
                <w:lang w:val="en-US"/>
              </w:rPr>
              <w:t>UFH</w:t>
            </w:r>
          </w:p>
          <w:p w14:paraId="16242AEE" w14:textId="77777777" w:rsidR="004F0B9C" w:rsidRPr="00532399" w:rsidRDefault="004F0B9C" w:rsidP="0093109B">
            <w:pPr>
              <w:pStyle w:val="TabellenInhalt"/>
              <w:spacing w:line="360" w:lineRule="auto"/>
              <w:jc w:val="both"/>
              <w:rPr>
                <w:rFonts w:ascii="Book Antiqua" w:hAnsi="Book Antiqua" w:cs="Arial"/>
                <w:lang w:val="en-US"/>
              </w:rPr>
            </w:pPr>
          </w:p>
        </w:tc>
        <w:tc>
          <w:tcPr>
            <w:tcW w:w="2409" w:type="dxa"/>
            <w:tcMar>
              <w:left w:w="54" w:type="dxa"/>
            </w:tcMar>
          </w:tcPr>
          <w:p w14:paraId="048F9D9E" w14:textId="77777777" w:rsidR="004F0B9C" w:rsidRPr="00532399" w:rsidRDefault="004F0B9C" w:rsidP="0093109B">
            <w:pPr>
              <w:spacing w:after="0" w:line="360" w:lineRule="auto"/>
              <w:jc w:val="both"/>
              <w:rPr>
                <w:rFonts w:ascii="Book Antiqua" w:hAnsi="Book Antiqua" w:cs="Arial"/>
                <w:sz w:val="24"/>
                <w:szCs w:val="24"/>
                <w:lang w:val="en-US"/>
              </w:rPr>
            </w:pPr>
            <w:r w:rsidRPr="00532399">
              <w:rPr>
                <w:rFonts w:ascii="Book Antiqua" w:hAnsi="Book Antiqua" w:cs="Arial"/>
                <w:sz w:val="24"/>
                <w:szCs w:val="24"/>
                <w:lang w:val="en-US"/>
              </w:rPr>
              <w:t xml:space="preserve">LMWH </w:t>
            </w:r>
          </w:p>
          <w:p w14:paraId="149E6FDF" w14:textId="6811875A" w:rsidR="004F0B9C" w:rsidRPr="00532399" w:rsidRDefault="004F0B9C" w:rsidP="0093109B">
            <w:pPr>
              <w:spacing w:after="0" w:line="360" w:lineRule="auto"/>
              <w:jc w:val="both"/>
              <w:rPr>
                <w:rFonts w:ascii="Book Antiqua" w:hAnsi="Book Antiqua" w:cs="Arial"/>
                <w:sz w:val="24"/>
                <w:szCs w:val="24"/>
                <w:lang w:val="en-US"/>
              </w:rPr>
            </w:pPr>
            <w:r w:rsidRPr="00532399">
              <w:rPr>
                <w:rFonts w:ascii="Book Antiqua" w:hAnsi="Book Antiqua" w:cs="Arial"/>
                <w:sz w:val="24"/>
                <w:szCs w:val="24"/>
                <w:lang w:val="en-US"/>
              </w:rPr>
              <w:t>for 3 to 6 mo</w:t>
            </w:r>
          </w:p>
          <w:p w14:paraId="1D367DB4" w14:textId="77777777" w:rsidR="004F0B9C" w:rsidRPr="00532399" w:rsidRDefault="004F0B9C" w:rsidP="0093109B">
            <w:pPr>
              <w:spacing w:after="0" w:line="360" w:lineRule="auto"/>
              <w:jc w:val="both"/>
              <w:rPr>
                <w:rFonts w:ascii="Book Antiqua" w:hAnsi="Book Antiqua" w:cs="Arial"/>
                <w:sz w:val="24"/>
                <w:szCs w:val="24"/>
                <w:lang w:val="en-US"/>
              </w:rPr>
            </w:pPr>
            <w:r w:rsidRPr="00532399">
              <w:rPr>
                <w:rFonts w:ascii="Book Antiqua" w:hAnsi="Book Antiqua" w:cs="Arial"/>
                <w:sz w:val="24"/>
                <w:szCs w:val="24"/>
                <w:lang w:val="en-US"/>
              </w:rPr>
              <w:t xml:space="preserve">If cancer persists extended secundary prophylaxis (with LMWH, VKA, or NOAC) is usefull (till death) </w:t>
            </w:r>
          </w:p>
        </w:tc>
      </w:tr>
    </w:tbl>
    <w:p w14:paraId="5D9CE412" w14:textId="77777777" w:rsidR="003E3C73" w:rsidRDefault="003E3C73" w:rsidP="003E3C73">
      <w:pPr>
        <w:spacing w:after="0" w:line="360" w:lineRule="auto"/>
        <w:jc w:val="both"/>
        <w:rPr>
          <w:lang w:eastAsia="zh-CN"/>
        </w:rPr>
      </w:pPr>
      <w:r w:rsidRPr="008E19F2">
        <w:rPr>
          <w:rFonts w:ascii="Book Antiqua" w:hAnsi="Book Antiqua" w:hint="eastAsia"/>
          <w:sz w:val="24"/>
          <w:szCs w:val="24"/>
          <w:lang w:eastAsia="zh-CN"/>
        </w:rPr>
        <w:t xml:space="preserve">VTE: </w:t>
      </w:r>
      <w:r w:rsidRPr="008E19F2">
        <w:rPr>
          <w:rFonts w:ascii="Book Antiqua" w:hAnsi="Book Antiqua"/>
          <w:sz w:val="24"/>
          <w:szCs w:val="24"/>
          <w:lang w:val="en-US"/>
        </w:rPr>
        <w:t>Venous thromboembolic event</w:t>
      </w:r>
      <w:r>
        <w:rPr>
          <w:rFonts w:ascii="Book Antiqua" w:hAnsi="Book Antiqua" w:hint="eastAsia"/>
          <w:sz w:val="24"/>
          <w:szCs w:val="24"/>
          <w:lang w:val="en-US" w:eastAsia="zh-CN"/>
        </w:rPr>
        <w:t xml:space="preserve">; </w:t>
      </w:r>
      <w:r w:rsidRPr="006B4444">
        <w:rPr>
          <w:rFonts w:ascii="Book Antiqua" w:hAnsi="Book Antiqua" w:cs="Arial"/>
          <w:sz w:val="24"/>
          <w:szCs w:val="24"/>
          <w:lang w:val="en-GB"/>
        </w:rPr>
        <w:t>LMWH</w:t>
      </w:r>
      <w:r>
        <w:rPr>
          <w:rFonts w:ascii="Book Antiqua" w:hAnsi="Book Antiqua" w:cs="Arial" w:hint="eastAsia"/>
          <w:sz w:val="24"/>
          <w:szCs w:val="24"/>
          <w:lang w:val="en-GB" w:eastAsia="zh-CN"/>
        </w:rPr>
        <w:t>:</w:t>
      </w:r>
      <w:r w:rsidRPr="007536F7">
        <w:rPr>
          <w:rFonts w:ascii="Book Antiqua" w:hAnsi="Book Antiqua" w:cs="Arial"/>
          <w:sz w:val="24"/>
          <w:szCs w:val="24"/>
          <w:lang w:val="en-GB"/>
        </w:rPr>
        <w:t xml:space="preserve"> </w:t>
      </w:r>
      <w:r w:rsidRPr="006B4444">
        <w:rPr>
          <w:rFonts w:ascii="Book Antiqua" w:hAnsi="Book Antiqua" w:cs="Arial"/>
          <w:sz w:val="24"/>
          <w:szCs w:val="24"/>
          <w:lang w:val="en-GB"/>
        </w:rPr>
        <w:t>L</w:t>
      </w:r>
      <w:r>
        <w:rPr>
          <w:rFonts w:ascii="Book Antiqua" w:hAnsi="Book Antiqua" w:cs="Arial"/>
          <w:sz w:val="24"/>
          <w:szCs w:val="24"/>
          <w:lang w:val="en-GB"/>
        </w:rPr>
        <w:t>ow molecular weight heparins</w:t>
      </w:r>
      <w:r>
        <w:rPr>
          <w:rFonts w:ascii="Book Antiqua" w:hAnsi="Book Antiqua" w:cs="Arial" w:hint="eastAsia"/>
          <w:sz w:val="24"/>
          <w:szCs w:val="24"/>
          <w:lang w:val="en-GB" w:eastAsia="zh-CN"/>
        </w:rPr>
        <w:t xml:space="preserve">; </w:t>
      </w:r>
      <w:r w:rsidRPr="006B4444">
        <w:rPr>
          <w:rFonts w:ascii="Book Antiqua" w:hAnsi="Book Antiqua"/>
          <w:sz w:val="24"/>
          <w:szCs w:val="24"/>
          <w:lang w:val="en-US"/>
        </w:rPr>
        <w:t>UFH</w:t>
      </w:r>
      <w:r>
        <w:rPr>
          <w:rFonts w:ascii="Book Antiqua" w:hAnsi="Book Antiqua" w:hint="eastAsia"/>
          <w:sz w:val="24"/>
          <w:szCs w:val="24"/>
          <w:lang w:val="en-US" w:eastAsia="zh-CN"/>
        </w:rPr>
        <w:t>:</w:t>
      </w:r>
      <w:r w:rsidRPr="007536F7">
        <w:rPr>
          <w:rFonts w:ascii="Book Antiqua" w:hAnsi="Book Antiqua"/>
          <w:sz w:val="24"/>
          <w:szCs w:val="24"/>
          <w:lang w:val="en-US"/>
        </w:rPr>
        <w:t xml:space="preserve"> </w:t>
      </w:r>
      <w:r w:rsidRPr="006B4444">
        <w:rPr>
          <w:rFonts w:ascii="Book Antiqua" w:hAnsi="Book Antiqua"/>
          <w:sz w:val="24"/>
          <w:szCs w:val="24"/>
          <w:lang w:val="en-US"/>
        </w:rPr>
        <w:t>Unfractionated heparin</w:t>
      </w:r>
      <w:r>
        <w:rPr>
          <w:rFonts w:ascii="Book Antiqua" w:hAnsi="Book Antiqua" w:hint="eastAsia"/>
          <w:sz w:val="24"/>
          <w:szCs w:val="24"/>
          <w:lang w:val="en-US" w:eastAsia="zh-CN"/>
        </w:rPr>
        <w:t xml:space="preserve">; </w:t>
      </w:r>
      <w:r w:rsidRPr="006B4444">
        <w:rPr>
          <w:rFonts w:ascii="Book Antiqua" w:hAnsi="Book Antiqua"/>
          <w:sz w:val="24"/>
          <w:szCs w:val="24"/>
          <w:lang w:val="en-US"/>
        </w:rPr>
        <w:t>VKA</w:t>
      </w:r>
      <w:r>
        <w:rPr>
          <w:rFonts w:ascii="Book Antiqua" w:hAnsi="Book Antiqua" w:hint="eastAsia"/>
          <w:sz w:val="24"/>
          <w:szCs w:val="24"/>
          <w:lang w:val="en-US" w:eastAsia="zh-CN"/>
        </w:rPr>
        <w:t>:</w:t>
      </w:r>
      <w:r w:rsidRPr="007536F7">
        <w:rPr>
          <w:rFonts w:ascii="Book Antiqua" w:hAnsi="Book Antiqua"/>
          <w:sz w:val="24"/>
          <w:szCs w:val="24"/>
          <w:lang w:val="en-US"/>
        </w:rPr>
        <w:t xml:space="preserve"> </w:t>
      </w:r>
      <w:r w:rsidRPr="006B4444">
        <w:rPr>
          <w:rFonts w:ascii="Book Antiqua" w:hAnsi="Book Antiqua"/>
          <w:sz w:val="24"/>
          <w:szCs w:val="24"/>
          <w:lang w:val="en-US"/>
        </w:rPr>
        <w:t>Vitamin K antagonist</w:t>
      </w:r>
      <w:r>
        <w:rPr>
          <w:rFonts w:ascii="Book Antiqua" w:hAnsi="Book Antiqua" w:hint="eastAsia"/>
          <w:sz w:val="24"/>
          <w:szCs w:val="24"/>
          <w:lang w:val="en-US" w:eastAsia="zh-CN"/>
        </w:rPr>
        <w:t xml:space="preserve">; </w:t>
      </w:r>
      <w:r w:rsidRPr="006B4444">
        <w:rPr>
          <w:rFonts w:ascii="Book Antiqua" w:hAnsi="Book Antiqua"/>
          <w:sz w:val="24"/>
          <w:szCs w:val="24"/>
          <w:lang w:val="en-US"/>
        </w:rPr>
        <w:t>INR</w:t>
      </w:r>
      <w:r>
        <w:rPr>
          <w:rFonts w:ascii="Book Antiqua" w:hAnsi="Book Antiqua" w:hint="eastAsia"/>
          <w:sz w:val="24"/>
          <w:szCs w:val="24"/>
          <w:lang w:val="en-US" w:eastAsia="zh-CN"/>
        </w:rPr>
        <w:t>:</w:t>
      </w:r>
      <w:r w:rsidRPr="007536F7">
        <w:rPr>
          <w:rFonts w:ascii="Book Antiqua" w:hAnsi="Book Antiqua"/>
          <w:sz w:val="24"/>
          <w:szCs w:val="24"/>
          <w:lang w:val="en-US"/>
        </w:rPr>
        <w:t xml:space="preserve"> </w:t>
      </w:r>
      <w:r w:rsidRPr="006B4444">
        <w:rPr>
          <w:rFonts w:ascii="Book Antiqua" w:hAnsi="Book Antiqua"/>
          <w:sz w:val="24"/>
          <w:szCs w:val="24"/>
          <w:lang w:val="en-US"/>
        </w:rPr>
        <w:t>International normalized ratios</w:t>
      </w:r>
      <w:r>
        <w:rPr>
          <w:rFonts w:ascii="Book Antiqua" w:hAnsi="Book Antiqua" w:hint="eastAsia"/>
          <w:sz w:val="24"/>
          <w:szCs w:val="24"/>
          <w:lang w:val="en-US" w:eastAsia="zh-CN"/>
        </w:rPr>
        <w:t xml:space="preserve">; </w:t>
      </w:r>
      <w:r w:rsidRPr="006B4444">
        <w:rPr>
          <w:rFonts w:ascii="Book Antiqua" w:hAnsi="Book Antiqua"/>
          <w:sz w:val="24"/>
          <w:szCs w:val="24"/>
          <w:lang w:val="en-US"/>
        </w:rPr>
        <w:t>NOAC</w:t>
      </w:r>
      <w:r>
        <w:rPr>
          <w:rFonts w:ascii="Book Antiqua" w:hAnsi="Book Antiqua" w:hint="eastAsia"/>
          <w:sz w:val="24"/>
          <w:szCs w:val="24"/>
          <w:lang w:val="en-US" w:eastAsia="zh-CN"/>
        </w:rPr>
        <w:t>:</w:t>
      </w:r>
      <w:r w:rsidRPr="007536F7">
        <w:rPr>
          <w:rFonts w:ascii="Book Antiqua" w:hAnsi="Book Antiqua"/>
          <w:sz w:val="24"/>
          <w:szCs w:val="24"/>
          <w:lang w:val="en-US"/>
        </w:rPr>
        <w:t xml:space="preserve"> </w:t>
      </w:r>
      <w:r w:rsidRPr="006B4444">
        <w:rPr>
          <w:rFonts w:ascii="Book Antiqua" w:hAnsi="Book Antiqua"/>
          <w:sz w:val="24"/>
          <w:szCs w:val="24"/>
          <w:lang w:val="en-US"/>
        </w:rPr>
        <w:t>New oral anticoagulants</w:t>
      </w:r>
      <w:r>
        <w:rPr>
          <w:rFonts w:ascii="Book Antiqua" w:hAnsi="Book Antiqua" w:hint="eastAsia"/>
          <w:sz w:val="24"/>
          <w:szCs w:val="24"/>
          <w:lang w:val="en-US" w:eastAsia="zh-CN"/>
        </w:rPr>
        <w:t>.</w:t>
      </w:r>
    </w:p>
    <w:p w14:paraId="4B755D32" w14:textId="77777777" w:rsidR="004F0B9C" w:rsidRPr="00712539" w:rsidRDefault="004F0B9C" w:rsidP="0093109B">
      <w:pPr>
        <w:spacing w:after="0" w:line="360" w:lineRule="auto"/>
        <w:jc w:val="both"/>
        <w:rPr>
          <w:rFonts w:ascii="Book Antiqua" w:hAnsi="Book Antiqua"/>
          <w:sz w:val="24"/>
          <w:szCs w:val="24"/>
          <w:lang w:val="en-US"/>
        </w:rPr>
      </w:pPr>
      <w:r w:rsidRPr="00712539">
        <w:rPr>
          <w:rFonts w:ascii="Book Antiqua" w:hAnsi="Book Antiqua"/>
          <w:sz w:val="24"/>
          <w:szCs w:val="24"/>
          <w:lang w:val="en-US"/>
        </w:rPr>
        <w:br w:type="page"/>
      </w:r>
    </w:p>
    <w:p w14:paraId="70852C17" w14:textId="02F892C2" w:rsidR="004F0B9C" w:rsidRPr="003E3C73" w:rsidRDefault="00BA1C92" w:rsidP="0093109B">
      <w:pPr>
        <w:spacing w:after="0" w:line="360" w:lineRule="auto"/>
        <w:jc w:val="both"/>
        <w:rPr>
          <w:rFonts w:ascii="Book Antiqua" w:hAnsi="Book Antiqua"/>
          <w:b/>
          <w:sz w:val="24"/>
          <w:szCs w:val="24"/>
          <w:lang w:val="en-US"/>
        </w:rPr>
      </w:pPr>
      <w:r w:rsidRPr="003E3C73">
        <w:rPr>
          <w:rFonts w:ascii="Book Antiqua" w:hAnsi="Book Antiqua"/>
          <w:b/>
          <w:sz w:val="24"/>
          <w:szCs w:val="24"/>
          <w:lang w:val="en-US"/>
        </w:rPr>
        <w:lastRenderedPageBreak/>
        <w:t>Table 3</w:t>
      </w:r>
      <w:r w:rsidR="004F0B9C" w:rsidRPr="003E3C73">
        <w:rPr>
          <w:rFonts w:ascii="Book Antiqua" w:hAnsi="Book Antiqua"/>
          <w:b/>
          <w:sz w:val="24"/>
          <w:szCs w:val="24"/>
          <w:lang w:val="en-US"/>
        </w:rPr>
        <w:t xml:space="preserve"> Primary prevention of cancer-associated </w:t>
      </w:r>
      <w:r w:rsidR="003E3C73" w:rsidRPr="003E3C73">
        <w:rPr>
          <w:rFonts w:ascii="Book Antiqua" w:hAnsi="Book Antiqua"/>
          <w:b/>
          <w:sz w:val="24"/>
          <w:szCs w:val="24"/>
          <w:lang w:val="en-US"/>
        </w:rPr>
        <w:t xml:space="preserve">venous thromboembolic event </w:t>
      </w:r>
      <w:r w:rsidR="004F0B9C" w:rsidRPr="003E3C73">
        <w:rPr>
          <w:rFonts w:ascii="Book Antiqua" w:hAnsi="Book Antiqua"/>
          <w:b/>
          <w:sz w:val="24"/>
          <w:szCs w:val="24"/>
          <w:lang w:val="en-US"/>
        </w:rPr>
        <w:t>in gastrointestinal cancers</w:t>
      </w:r>
    </w:p>
    <w:p w14:paraId="3FF961E5" w14:textId="77777777" w:rsidR="004F0B9C" w:rsidRPr="00712539" w:rsidRDefault="004F0B9C" w:rsidP="0093109B">
      <w:pPr>
        <w:spacing w:after="0" w:line="360" w:lineRule="auto"/>
        <w:jc w:val="both"/>
        <w:rPr>
          <w:rFonts w:ascii="Book Antiqua" w:hAnsi="Book Antiqua"/>
          <w:sz w:val="24"/>
          <w:szCs w:val="24"/>
          <w:lang w:val="en-US"/>
        </w:rPr>
      </w:pPr>
    </w:p>
    <w:p w14:paraId="3286C65F" w14:textId="6396CCFD" w:rsidR="004F0B9C" w:rsidRPr="00712539" w:rsidRDefault="004F0B9C" w:rsidP="0093109B">
      <w:pPr>
        <w:spacing w:after="0" w:line="360" w:lineRule="auto"/>
        <w:jc w:val="both"/>
        <w:rPr>
          <w:rFonts w:ascii="Book Antiqua" w:hAnsi="Book Antiqua"/>
          <w:sz w:val="24"/>
          <w:szCs w:val="24"/>
          <w:lang w:val="en-US"/>
        </w:rPr>
      </w:pPr>
    </w:p>
    <w:tbl>
      <w:tblPr>
        <w:tblW w:w="8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66"/>
        <w:gridCol w:w="1834"/>
        <w:gridCol w:w="1011"/>
        <w:gridCol w:w="1011"/>
        <w:gridCol w:w="900"/>
        <w:gridCol w:w="1152"/>
        <w:gridCol w:w="1152"/>
      </w:tblGrid>
      <w:tr w:rsidR="0093109B" w:rsidRPr="00712539" w14:paraId="251D1B89" w14:textId="77777777" w:rsidTr="003E3C73">
        <w:trPr>
          <w:trHeight w:val="1175"/>
        </w:trPr>
        <w:tc>
          <w:tcPr>
            <w:tcW w:w="1466" w:type="dxa"/>
            <w:shd w:val="clear" w:color="auto" w:fill="auto"/>
            <w:tcMar>
              <w:top w:w="72" w:type="dxa"/>
              <w:left w:w="144" w:type="dxa"/>
              <w:bottom w:w="72" w:type="dxa"/>
              <w:right w:w="144" w:type="dxa"/>
            </w:tcMar>
            <w:vAlign w:val="center"/>
          </w:tcPr>
          <w:p w14:paraId="7774FDE7" w14:textId="77777777" w:rsidR="004F0B9C" w:rsidRPr="00712539" w:rsidRDefault="004F0B9C" w:rsidP="0093109B">
            <w:pPr>
              <w:spacing w:after="0" w:line="360" w:lineRule="auto"/>
              <w:jc w:val="both"/>
              <w:rPr>
                <w:rFonts w:ascii="Book Antiqua" w:hAnsi="Book Antiqua"/>
                <w:sz w:val="24"/>
                <w:szCs w:val="24"/>
              </w:rPr>
            </w:pPr>
            <w:r w:rsidRPr="00712539">
              <w:rPr>
                <w:rFonts w:ascii="Book Antiqua" w:hAnsi="Book Antiqua"/>
                <w:sz w:val="24"/>
                <w:szCs w:val="24"/>
              </w:rPr>
              <w:t>Study</w:t>
            </w:r>
          </w:p>
        </w:tc>
        <w:tc>
          <w:tcPr>
            <w:tcW w:w="1834" w:type="dxa"/>
            <w:shd w:val="clear" w:color="auto" w:fill="auto"/>
            <w:tcMar>
              <w:top w:w="72" w:type="dxa"/>
              <w:left w:w="144" w:type="dxa"/>
              <w:bottom w:w="72" w:type="dxa"/>
              <w:right w:w="144" w:type="dxa"/>
            </w:tcMar>
            <w:vAlign w:val="center"/>
          </w:tcPr>
          <w:p w14:paraId="5E3D8D7D" w14:textId="77777777" w:rsidR="004F0B9C" w:rsidRPr="00712539" w:rsidRDefault="004F0B9C" w:rsidP="0093109B">
            <w:pPr>
              <w:spacing w:after="0" w:line="360" w:lineRule="auto"/>
              <w:jc w:val="both"/>
              <w:rPr>
                <w:rFonts w:ascii="Book Antiqua" w:hAnsi="Book Antiqua"/>
                <w:sz w:val="24"/>
                <w:szCs w:val="24"/>
              </w:rPr>
            </w:pPr>
            <w:r w:rsidRPr="00712539">
              <w:rPr>
                <w:rFonts w:ascii="Book Antiqua" w:hAnsi="Book Antiqua"/>
                <w:sz w:val="24"/>
                <w:szCs w:val="24"/>
              </w:rPr>
              <w:t>Cancer</w:t>
            </w:r>
          </w:p>
        </w:tc>
        <w:tc>
          <w:tcPr>
            <w:tcW w:w="1011" w:type="dxa"/>
            <w:shd w:val="clear" w:color="auto" w:fill="auto"/>
            <w:tcMar>
              <w:top w:w="72" w:type="dxa"/>
              <w:left w:w="144" w:type="dxa"/>
              <w:bottom w:w="72" w:type="dxa"/>
              <w:right w:w="144" w:type="dxa"/>
            </w:tcMar>
            <w:vAlign w:val="center"/>
          </w:tcPr>
          <w:p w14:paraId="7A69D6F0" w14:textId="77777777" w:rsidR="004F0B9C" w:rsidRPr="003E3C73" w:rsidRDefault="004F0B9C" w:rsidP="0093109B">
            <w:pPr>
              <w:spacing w:after="0" w:line="360" w:lineRule="auto"/>
              <w:jc w:val="both"/>
              <w:rPr>
                <w:rFonts w:ascii="Book Antiqua" w:hAnsi="Book Antiqua"/>
                <w:i/>
                <w:sz w:val="24"/>
                <w:szCs w:val="24"/>
              </w:rPr>
            </w:pPr>
            <w:r w:rsidRPr="003E3C73">
              <w:rPr>
                <w:rFonts w:ascii="Book Antiqua" w:hAnsi="Book Antiqua"/>
                <w:i/>
                <w:sz w:val="24"/>
                <w:szCs w:val="24"/>
              </w:rPr>
              <w:t>n</w:t>
            </w:r>
          </w:p>
        </w:tc>
        <w:tc>
          <w:tcPr>
            <w:tcW w:w="1011" w:type="dxa"/>
            <w:shd w:val="clear" w:color="auto" w:fill="auto"/>
            <w:tcMar>
              <w:top w:w="72" w:type="dxa"/>
              <w:left w:w="144" w:type="dxa"/>
              <w:bottom w:w="72" w:type="dxa"/>
              <w:right w:w="144" w:type="dxa"/>
            </w:tcMar>
            <w:vAlign w:val="center"/>
          </w:tcPr>
          <w:p w14:paraId="4967AFEB" w14:textId="77777777" w:rsidR="004F0B9C" w:rsidRPr="00712539" w:rsidRDefault="004F0B9C" w:rsidP="0093109B">
            <w:pPr>
              <w:spacing w:after="0" w:line="360" w:lineRule="auto"/>
              <w:jc w:val="both"/>
              <w:rPr>
                <w:rFonts w:ascii="Book Antiqua" w:hAnsi="Book Antiqua"/>
                <w:sz w:val="24"/>
                <w:szCs w:val="24"/>
              </w:rPr>
            </w:pPr>
            <w:r w:rsidRPr="00712539">
              <w:rPr>
                <w:rFonts w:ascii="Book Antiqua" w:hAnsi="Book Antiqua"/>
                <w:sz w:val="24"/>
                <w:szCs w:val="24"/>
              </w:rPr>
              <w:t>VTE</w:t>
            </w:r>
          </w:p>
          <w:p w14:paraId="29D4B898" w14:textId="316AD72A" w:rsidR="004F0B9C" w:rsidRPr="00712539" w:rsidRDefault="003E3C73" w:rsidP="0093109B">
            <w:pPr>
              <w:spacing w:after="0" w:line="360" w:lineRule="auto"/>
              <w:jc w:val="both"/>
              <w:rPr>
                <w:rFonts w:ascii="Book Antiqua" w:hAnsi="Book Antiqua"/>
                <w:sz w:val="24"/>
                <w:szCs w:val="24"/>
              </w:rPr>
            </w:pPr>
            <w:r w:rsidRPr="00712539">
              <w:rPr>
                <w:rFonts w:ascii="Book Antiqua" w:hAnsi="Book Antiqua"/>
                <w:sz w:val="24"/>
                <w:szCs w:val="24"/>
              </w:rPr>
              <w:t>p</w:t>
            </w:r>
            <w:r w:rsidR="004F0B9C" w:rsidRPr="00712539">
              <w:rPr>
                <w:rFonts w:ascii="Book Antiqua" w:hAnsi="Book Antiqua"/>
                <w:sz w:val="24"/>
                <w:szCs w:val="24"/>
              </w:rPr>
              <w:t>lacebo</w:t>
            </w:r>
          </w:p>
        </w:tc>
        <w:tc>
          <w:tcPr>
            <w:tcW w:w="900" w:type="dxa"/>
            <w:shd w:val="clear" w:color="auto" w:fill="auto"/>
            <w:tcMar>
              <w:top w:w="72" w:type="dxa"/>
              <w:left w:w="144" w:type="dxa"/>
              <w:bottom w:w="72" w:type="dxa"/>
              <w:right w:w="144" w:type="dxa"/>
            </w:tcMar>
            <w:vAlign w:val="center"/>
          </w:tcPr>
          <w:p w14:paraId="60BA5A1C" w14:textId="77777777" w:rsidR="004F0B9C" w:rsidRPr="00712539" w:rsidRDefault="004F0B9C" w:rsidP="0093109B">
            <w:pPr>
              <w:spacing w:after="0" w:line="360" w:lineRule="auto"/>
              <w:jc w:val="both"/>
              <w:rPr>
                <w:rFonts w:ascii="Book Antiqua" w:hAnsi="Book Antiqua"/>
                <w:sz w:val="24"/>
                <w:szCs w:val="24"/>
              </w:rPr>
            </w:pPr>
            <w:r w:rsidRPr="00712539">
              <w:rPr>
                <w:rFonts w:ascii="Book Antiqua" w:hAnsi="Book Antiqua"/>
                <w:sz w:val="24"/>
                <w:szCs w:val="24"/>
              </w:rPr>
              <w:t>VTE</w:t>
            </w:r>
          </w:p>
          <w:p w14:paraId="681FDB88" w14:textId="77777777" w:rsidR="004F0B9C" w:rsidRPr="00712539" w:rsidRDefault="004F0B9C" w:rsidP="0093109B">
            <w:pPr>
              <w:spacing w:after="0" w:line="360" w:lineRule="auto"/>
              <w:jc w:val="both"/>
              <w:rPr>
                <w:rFonts w:ascii="Book Antiqua" w:hAnsi="Book Antiqua"/>
                <w:sz w:val="24"/>
                <w:szCs w:val="24"/>
              </w:rPr>
            </w:pPr>
            <w:r w:rsidRPr="00712539">
              <w:rPr>
                <w:rFonts w:ascii="Book Antiqua" w:hAnsi="Book Antiqua"/>
                <w:sz w:val="24"/>
                <w:szCs w:val="24"/>
              </w:rPr>
              <w:t>LMWH</w:t>
            </w:r>
          </w:p>
        </w:tc>
        <w:tc>
          <w:tcPr>
            <w:tcW w:w="1152" w:type="dxa"/>
            <w:shd w:val="clear" w:color="auto" w:fill="auto"/>
            <w:vAlign w:val="center"/>
          </w:tcPr>
          <w:p w14:paraId="2935D7CF" w14:textId="77777777" w:rsidR="004F0B9C" w:rsidRPr="00712539" w:rsidRDefault="004F0B9C" w:rsidP="0093109B">
            <w:pPr>
              <w:spacing w:after="0" w:line="360" w:lineRule="auto"/>
              <w:jc w:val="both"/>
              <w:rPr>
                <w:rFonts w:ascii="Book Antiqua" w:hAnsi="Book Antiqua"/>
                <w:sz w:val="24"/>
                <w:szCs w:val="24"/>
              </w:rPr>
            </w:pPr>
            <w:r w:rsidRPr="00712539">
              <w:rPr>
                <w:rFonts w:ascii="Book Antiqua" w:hAnsi="Book Antiqua"/>
                <w:sz w:val="24"/>
                <w:szCs w:val="24"/>
              </w:rPr>
              <w:t>VTE</w:t>
            </w:r>
          </w:p>
          <w:p w14:paraId="11A4ED27" w14:textId="77777777" w:rsidR="004F0B9C" w:rsidRPr="00712539" w:rsidRDefault="004F0B9C" w:rsidP="0093109B">
            <w:pPr>
              <w:spacing w:after="0" w:line="360" w:lineRule="auto"/>
              <w:jc w:val="both"/>
              <w:rPr>
                <w:rFonts w:ascii="Book Antiqua" w:hAnsi="Book Antiqua"/>
                <w:sz w:val="24"/>
                <w:szCs w:val="24"/>
              </w:rPr>
            </w:pPr>
            <w:r w:rsidRPr="00712539">
              <w:rPr>
                <w:rFonts w:ascii="Book Antiqua" w:hAnsi="Book Antiqua"/>
                <w:sz w:val="24"/>
                <w:szCs w:val="24"/>
              </w:rPr>
              <w:t>U-LMWH</w:t>
            </w:r>
          </w:p>
        </w:tc>
        <w:tc>
          <w:tcPr>
            <w:tcW w:w="1152" w:type="dxa"/>
            <w:shd w:val="clear" w:color="auto" w:fill="auto"/>
            <w:tcMar>
              <w:top w:w="72" w:type="dxa"/>
              <w:left w:w="144" w:type="dxa"/>
              <w:bottom w:w="72" w:type="dxa"/>
              <w:right w:w="144" w:type="dxa"/>
            </w:tcMar>
            <w:vAlign w:val="center"/>
          </w:tcPr>
          <w:p w14:paraId="7F2AB98C" w14:textId="77777777" w:rsidR="004F0B9C" w:rsidRPr="00712539" w:rsidRDefault="004F0B9C" w:rsidP="0093109B">
            <w:pPr>
              <w:spacing w:after="0" w:line="360" w:lineRule="auto"/>
              <w:jc w:val="both"/>
              <w:rPr>
                <w:rFonts w:ascii="Book Antiqua" w:hAnsi="Book Antiqua"/>
                <w:sz w:val="24"/>
                <w:szCs w:val="24"/>
              </w:rPr>
            </w:pPr>
            <w:r w:rsidRPr="00712539">
              <w:rPr>
                <w:rFonts w:ascii="Book Antiqua" w:hAnsi="Book Antiqua"/>
                <w:sz w:val="24"/>
                <w:szCs w:val="24"/>
              </w:rPr>
              <w:t>RR</w:t>
            </w:r>
          </w:p>
        </w:tc>
      </w:tr>
      <w:tr w:rsidR="0093109B" w:rsidRPr="00712539" w14:paraId="05B45807" w14:textId="77777777" w:rsidTr="003E3C73">
        <w:trPr>
          <w:trHeight w:val="475"/>
        </w:trPr>
        <w:tc>
          <w:tcPr>
            <w:tcW w:w="1466" w:type="dxa"/>
            <w:vMerge w:val="restart"/>
            <w:shd w:val="clear" w:color="auto" w:fill="auto"/>
            <w:tcMar>
              <w:top w:w="72" w:type="dxa"/>
              <w:left w:w="144" w:type="dxa"/>
              <w:bottom w:w="72" w:type="dxa"/>
              <w:right w:w="144" w:type="dxa"/>
            </w:tcMar>
            <w:vAlign w:val="center"/>
          </w:tcPr>
          <w:p w14:paraId="68B60AFE" w14:textId="5A9D8174" w:rsidR="004F0B9C" w:rsidRPr="00712539" w:rsidRDefault="004F0B9C" w:rsidP="0093109B">
            <w:pPr>
              <w:spacing w:after="0" w:line="360" w:lineRule="auto"/>
              <w:jc w:val="both"/>
              <w:rPr>
                <w:rFonts w:ascii="Book Antiqua" w:hAnsi="Book Antiqua"/>
                <w:sz w:val="24"/>
                <w:szCs w:val="24"/>
                <w:lang w:eastAsia="zh-CN"/>
              </w:rPr>
            </w:pPr>
            <w:r w:rsidRPr="00712539">
              <w:rPr>
                <w:rFonts w:ascii="Book Antiqua" w:hAnsi="Book Antiqua"/>
                <w:sz w:val="24"/>
                <w:szCs w:val="24"/>
              </w:rPr>
              <w:t>PROTECHT</w:t>
            </w:r>
            <w:r w:rsidR="00D637A7">
              <w:rPr>
                <w:rFonts w:ascii="Book Antiqua" w:hAnsi="Book Antiqua" w:hint="eastAsia"/>
                <w:sz w:val="24"/>
                <w:szCs w:val="24"/>
                <w:vertAlign w:val="superscript"/>
                <w:lang w:eastAsia="zh-CN"/>
              </w:rPr>
              <w:t>1</w:t>
            </w:r>
          </w:p>
          <w:p w14:paraId="2AD0A344" w14:textId="0E59B53B" w:rsidR="004F0B9C" w:rsidRPr="00712539" w:rsidRDefault="004F0B9C" w:rsidP="00D637A7">
            <w:pPr>
              <w:spacing w:after="0" w:line="360" w:lineRule="auto"/>
              <w:jc w:val="both"/>
              <w:rPr>
                <w:rFonts w:ascii="Book Antiqua" w:hAnsi="Book Antiqua"/>
                <w:sz w:val="24"/>
                <w:szCs w:val="24"/>
              </w:rPr>
            </w:pPr>
            <w:r w:rsidRPr="00712539">
              <w:rPr>
                <w:rFonts w:ascii="Book Antiqua" w:hAnsi="Book Antiqua"/>
                <w:sz w:val="24"/>
                <w:szCs w:val="24"/>
              </w:rPr>
              <w:t xml:space="preserve">Agnelli </w:t>
            </w:r>
            <w:r w:rsidR="00D637A7">
              <w:rPr>
                <w:rFonts w:ascii="Book Antiqua" w:hAnsi="Book Antiqua" w:hint="eastAsia"/>
                <w:i/>
                <w:sz w:val="24"/>
                <w:szCs w:val="24"/>
                <w:lang w:eastAsia="zh-CN"/>
              </w:rPr>
              <w:t>et al</w:t>
            </w:r>
            <w:r w:rsidR="00D637A7" w:rsidRPr="003E3C73">
              <w:rPr>
                <w:rFonts w:ascii="Book Antiqua" w:hAnsi="Book Antiqua"/>
                <w:sz w:val="24"/>
                <w:szCs w:val="24"/>
                <w:vertAlign w:val="superscript"/>
              </w:rPr>
              <w:t>[68]</w:t>
            </w:r>
            <w:r w:rsidR="00D637A7">
              <w:rPr>
                <w:rFonts w:ascii="Book Antiqua" w:hAnsi="Book Antiqua" w:hint="eastAsia"/>
                <w:sz w:val="24"/>
                <w:szCs w:val="24"/>
                <w:lang w:eastAsia="zh-CN"/>
              </w:rPr>
              <w:t xml:space="preserve">, </w:t>
            </w:r>
            <w:r w:rsidRPr="00712539">
              <w:rPr>
                <w:rFonts w:ascii="Book Antiqua" w:hAnsi="Book Antiqua"/>
                <w:sz w:val="24"/>
                <w:szCs w:val="24"/>
              </w:rPr>
              <w:t>2009</w:t>
            </w:r>
          </w:p>
        </w:tc>
        <w:tc>
          <w:tcPr>
            <w:tcW w:w="1834" w:type="dxa"/>
            <w:shd w:val="clear" w:color="auto" w:fill="auto"/>
            <w:tcMar>
              <w:top w:w="72" w:type="dxa"/>
              <w:left w:w="144" w:type="dxa"/>
              <w:bottom w:w="72" w:type="dxa"/>
              <w:right w:w="144" w:type="dxa"/>
            </w:tcMar>
            <w:vAlign w:val="center"/>
          </w:tcPr>
          <w:p w14:paraId="21143E3F" w14:textId="019F9D81" w:rsidR="004F0B9C" w:rsidRPr="00712539" w:rsidRDefault="004F0B9C" w:rsidP="00D637A7">
            <w:pPr>
              <w:spacing w:after="0" w:line="360" w:lineRule="auto"/>
              <w:jc w:val="both"/>
              <w:rPr>
                <w:rFonts w:ascii="Book Antiqua" w:hAnsi="Book Antiqua"/>
                <w:sz w:val="24"/>
                <w:szCs w:val="24"/>
                <w:lang w:eastAsia="zh-CN"/>
              </w:rPr>
            </w:pPr>
            <w:r w:rsidRPr="00712539">
              <w:rPr>
                <w:rFonts w:ascii="Book Antiqua" w:hAnsi="Book Antiqua"/>
                <w:sz w:val="24"/>
                <w:szCs w:val="24"/>
              </w:rPr>
              <w:t>Gastorintestinal</w:t>
            </w:r>
            <w:r w:rsidR="00D637A7">
              <w:rPr>
                <w:rFonts w:ascii="Book Antiqua" w:hAnsi="Book Antiqua" w:hint="eastAsia"/>
                <w:sz w:val="24"/>
                <w:szCs w:val="24"/>
                <w:vertAlign w:val="superscript"/>
                <w:lang w:eastAsia="zh-CN"/>
              </w:rPr>
              <w:t>2</w:t>
            </w:r>
          </w:p>
        </w:tc>
        <w:tc>
          <w:tcPr>
            <w:tcW w:w="1011" w:type="dxa"/>
            <w:shd w:val="clear" w:color="auto" w:fill="auto"/>
            <w:tcMar>
              <w:top w:w="72" w:type="dxa"/>
              <w:left w:w="144" w:type="dxa"/>
              <w:bottom w:w="72" w:type="dxa"/>
              <w:right w:w="144" w:type="dxa"/>
            </w:tcMar>
            <w:vAlign w:val="center"/>
          </w:tcPr>
          <w:p w14:paraId="20A4C8DC" w14:textId="77777777" w:rsidR="004F0B9C" w:rsidRPr="00712539" w:rsidRDefault="004F0B9C" w:rsidP="0093109B">
            <w:pPr>
              <w:spacing w:after="0" w:line="360" w:lineRule="auto"/>
              <w:jc w:val="both"/>
              <w:rPr>
                <w:rFonts w:ascii="Book Antiqua" w:hAnsi="Book Antiqua"/>
                <w:sz w:val="24"/>
                <w:szCs w:val="24"/>
              </w:rPr>
            </w:pPr>
            <w:r w:rsidRPr="00712539">
              <w:rPr>
                <w:rFonts w:ascii="Book Antiqua" w:hAnsi="Book Antiqua"/>
                <w:sz w:val="24"/>
                <w:szCs w:val="24"/>
              </w:rPr>
              <w:t>148/272</w:t>
            </w:r>
          </w:p>
        </w:tc>
        <w:tc>
          <w:tcPr>
            <w:tcW w:w="1011" w:type="dxa"/>
            <w:shd w:val="clear" w:color="auto" w:fill="auto"/>
            <w:tcMar>
              <w:top w:w="72" w:type="dxa"/>
              <w:left w:w="144" w:type="dxa"/>
              <w:bottom w:w="72" w:type="dxa"/>
              <w:right w:w="144" w:type="dxa"/>
            </w:tcMar>
            <w:vAlign w:val="center"/>
          </w:tcPr>
          <w:p w14:paraId="6CBA6ED2" w14:textId="7D310F25" w:rsidR="004F0B9C" w:rsidRPr="00712539" w:rsidRDefault="003E3C73" w:rsidP="003E3C73">
            <w:pPr>
              <w:spacing w:after="0" w:line="360" w:lineRule="auto"/>
              <w:jc w:val="both"/>
              <w:rPr>
                <w:rFonts w:ascii="Book Antiqua" w:hAnsi="Book Antiqua"/>
                <w:sz w:val="24"/>
                <w:szCs w:val="24"/>
              </w:rPr>
            </w:pPr>
            <w:r>
              <w:rPr>
                <w:rFonts w:ascii="Book Antiqua" w:hAnsi="Book Antiqua"/>
                <w:sz w:val="24"/>
                <w:szCs w:val="24"/>
              </w:rPr>
              <w:t>2</w:t>
            </w:r>
            <w:r>
              <w:rPr>
                <w:rFonts w:ascii="Book Antiqua" w:hAnsi="Book Antiqua" w:hint="eastAsia"/>
                <w:sz w:val="24"/>
                <w:szCs w:val="24"/>
                <w:lang w:eastAsia="zh-CN"/>
              </w:rPr>
              <w:t>.</w:t>
            </w:r>
            <w:r>
              <w:rPr>
                <w:rFonts w:ascii="Book Antiqua" w:hAnsi="Book Antiqua"/>
                <w:sz w:val="24"/>
                <w:szCs w:val="24"/>
              </w:rPr>
              <w:t>7</w:t>
            </w:r>
            <w:r w:rsidR="004F0B9C" w:rsidRPr="00712539">
              <w:rPr>
                <w:rFonts w:ascii="Book Antiqua" w:hAnsi="Book Antiqua"/>
                <w:sz w:val="24"/>
                <w:szCs w:val="24"/>
              </w:rPr>
              <w:t>%</w:t>
            </w:r>
          </w:p>
        </w:tc>
        <w:tc>
          <w:tcPr>
            <w:tcW w:w="900" w:type="dxa"/>
            <w:shd w:val="clear" w:color="auto" w:fill="auto"/>
            <w:tcMar>
              <w:top w:w="72" w:type="dxa"/>
              <w:left w:w="144" w:type="dxa"/>
              <w:bottom w:w="72" w:type="dxa"/>
              <w:right w:w="144" w:type="dxa"/>
            </w:tcMar>
            <w:vAlign w:val="center"/>
          </w:tcPr>
          <w:p w14:paraId="473A5265" w14:textId="5C6835DD" w:rsidR="004F0B9C" w:rsidRPr="00712539" w:rsidRDefault="004F0B9C" w:rsidP="003E3C73">
            <w:pPr>
              <w:spacing w:after="0" w:line="360" w:lineRule="auto"/>
              <w:jc w:val="both"/>
              <w:rPr>
                <w:rFonts w:ascii="Book Antiqua" w:hAnsi="Book Antiqua"/>
                <w:sz w:val="24"/>
                <w:szCs w:val="24"/>
              </w:rPr>
            </w:pPr>
            <w:r w:rsidRPr="00712539">
              <w:rPr>
                <w:rFonts w:ascii="Book Antiqua" w:hAnsi="Book Antiqua"/>
                <w:sz w:val="24"/>
                <w:szCs w:val="24"/>
              </w:rPr>
              <w:t>1</w:t>
            </w:r>
            <w:r w:rsidR="003E3C73">
              <w:rPr>
                <w:rFonts w:ascii="Book Antiqua" w:hAnsi="Book Antiqua" w:hint="eastAsia"/>
                <w:sz w:val="24"/>
                <w:szCs w:val="24"/>
                <w:lang w:eastAsia="zh-CN"/>
              </w:rPr>
              <w:t>.</w:t>
            </w:r>
            <w:r w:rsidR="003E3C73">
              <w:rPr>
                <w:rFonts w:ascii="Book Antiqua" w:hAnsi="Book Antiqua"/>
                <w:sz w:val="24"/>
                <w:szCs w:val="24"/>
              </w:rPr>
              <w:t>5</w:t>
            </w:r>
            <w:r w:rsidRPr="00712539">
              <w:rPr>
                <w:rFonts w:ascii="Book Antiqua" w:hAnsi="Book Antiqua"/>
                <w:sz w:val="24"/>
                <w:szCs w:val="24"/>
              </w:rPr>
              <w:t>%</w:t>
            </w:r>
          </w:p>
        </w:tc>
        <w:tc>
          <w:tcPr>
            <w:tcW w:w="1152" w:type="dxa"/>
            <w:shd w:val="clear" w:color="auto" w:fill="auto"/>
            <w:vAlign w:val="center"/>
          </w:tcPr>
          <w:p w14:paraId="2377B9F2" w14:textId="77777777" w:rsidR="004F0B9C" w:rsidRPr="00712539" w:rsidRDefault="004F0B9C" w:rsidP="0093109B">
            <w:pPr>
              <w:spacing w:after="0" w:line="360" w:lineRule="auto"/>
              <w:jc w:val="both"/>
              <w:rPr>
                <w:rFonts w:ascii="Book Antiqua" w:hAnsi="Book Antiqua"/>
                <w:sz w:val="24"/>
                <w:szCs w:val="24"/>
              </w:rPr>
            </w:pPr>
          </w:p>
        </w:tc>
        <w:tc>
          <w:tcPr>
            <w:tcW w:w="1152" w:type="dxa"/>
            <w:shd w:val="clear" w:color="auto" w:fill="auto"/>
            <w:tcMar>
              <w:top w:w="72" w:type="dxa"/>
              <w:left w:w="144" w:type="dxa"/>
              <w:bottom w:w="72" w:type="dxa"/>
              <w:right w:w="144" w:type="dxa"/>
            </w:tcMar>
            <w:vAlign w:val="center"/>
          </w:tcPr>
          <w:p w14:paraId="432536CE" w14:textId="101C4763" w:rsidR="004F0B9C" w:rsidRPr="00712539" w:rsidRDefault="003E3C73" w:rsidP="0093109B">
            <w:pPr>
              <w:spacing w:after="0" w:line="360" w:lineRule="auto"/>
              <w:jc w:val="both"/>
              <w:rPr>
                <w:rFonts w:ascii="Book Antiqua" w:hAnsi="Book Antiqua"/>
                <w:sz w:val="24"/>
                <w:szCs w:val="24"/>
              </w:rPr>
            </w:pPr>
            <w:r>
              <w:rPr>
                <w:rFonts w:ascii="Book Antiqua" w:hAnsi="Book Antiqua"/>
                <w:sz w:val="24"/>
                <w:szCs w:val="24"/>
              </w:rPr>
              <w:t>-</w:t>
            </w:r>
            <w:r>
              <w:rPr>
                <w:rFonts w:ascii="Book Antiqua" w:hAnsi="Book Antiqua" w:hint="eastAsia"/>
                <w:sz w:val="24"/>
                <w:szCs w:val="24"/>
                <w:lang w:eastAsia="zh-CN"/>
              </w:rPr>
              <w:t xml:space="preserve"> </w:t>
            </w:r>
            <w:r>
              <w:rPr>
                <w:rFonts w:ascii="Book Antiqua" w:hAnsi="Book Antiqua"/>
                <w:sz w:val="24"/>
                <w:szCs w:val="24"/>
              </w:rPr>
              <w:t>44</w:t>
            </w:r>
            <w:r w:rsidR="004F0B9C" w:rsidRPr="00712539">
              <w:rPr>
                <w:rFonts w:ascii="Book Antiqua" w:hAnsi="Book Antiqua"/>
                <w:sz w:val="24"/>
                <w:szCs w:val="24"/>
              </w:rPr>
              <w:t>%</w:t>
            </w:r>
          </w:p>
        </w:tc>
      </w:tr>
      <w:tr w:rsidR="0093109B" w:rsidRPr="00712539" w14:paraId="41AAAA7E" w14:textId="77777777" w:rsidTr="003E3C73">
        <w:trPr>
          <w:trHeight w:val="399"/>
        </w:trPr>
        <w:tc>
          <w:tcPr>
            <w:tcW w:w="1466" w:type="dxa"/>
            <w:vMerge/>
            <w:shd w:val="clear" w:color="auto" w:fill="auto"/>
            <w:vAlign w:val="center"/>
          </w:tcPr>
          <w:p w14:paraId="72A1BA30" w14:textId="77777777" w:rsidR="004F0B9C" w:rsidRPr="00712539" w:rsidRDefault="004F0B9C" w:rsidP="0093109B">
            <w:pPr>
              <w:spacing w:after="0" w:line="360" w:lineRule="auto"/>
              <w:jc w:val="both"/>
              <w:rPr>
                <w:rFonts w:ascii="Book Antiqua" w:hAnsi="Book Antiqua"/>
                <w:sz w:val="24"/>
                <w:szCs w:val="24"/>
              </w:rPr>
            </w:pPr>
          </w:p>
        </w:tc>
        <w:tc>
          <w:tcPr>
            <w:tcW w:w="1834" w:type="dxa"/>
            <w:shd w:val="clear" w:color="auto" w:fill="auto"/>
            <w:tcMar>
              <w:top w:w="72" w:type="dxa"/>
              <w:left w:w="144" w:type="dxa"/>
              <w:bottom w:w="72" w:type="dxa"/>
              <w:right w:w="144" w:type="dxa"/>
            </w:tcMar>
            <w:vAlign w:val="center"/>
          </w:tcPr>
          <w:p w14:paraId="4170C5BD" w14:textId="77777777" w:rsidR="004F0B9C" w:rsidRPr="00712539" w:rsidRDefault="004F0B9C" w:rsidP="0093109B">
            <w:pPr>
              <w:spacing w:after="0" w:line="360" w:lineRule="auto"/>
              <w:jc w:val="both"/>
              <w:rPr>
                <w:rFonts w:ascii="Book Antiqua" w:hAnsi="Book Antiqua"/>
                <w:sz w:val="24"/>
                <w:szCs w:val="24"/>
              </w:rPr>
            </w:pPr>
            <w:r w:rsidRPr="00712539">
              <w:rPr>
                <w:rFonts w:ascii="Book Antiqua" w:hAnsi="Book Antiqua"/>
                <w:sz w:val="24"/>
                <w:szCs w:val="24"/>
              </w:rPr>
              <w:t>Pancreas</w:t>
            </w:r>
          </w:p>
        </w:tc>
        <w:tc>
          <w:tcPr>
            <w:tcW w:w="1011" w:type="dxa"/>
            <w:shd w:val="clear" w:color="auto" w:fill="auto"/>
            <w:tcMar>
              <w:top w:w="72" w:type="dxa"/>
              <w:left w:w="144" w:type="dxa"/>
              <w:bottom w:w="72" w:type="dxa"/>
              <w:right w:w="144" w:type="dxa"/>
            </w:tcMar>
            <w:vAlign w:val="center"/>
          </w:tcPr>
          <w:p w14:paraId="1E5EB8B5" w14:textId="77777777" w:rsidR="004F0B9C" w:rsidRPr="00712539" w:rsidRDefault="004F0B9C" w:rsidP="0093109B">
            <w:pPr>
              <w:spacing w:after="0" w:line="360" w:lineRule="auto"/>
              <w:jc w:val="both"/>
              <w:rPr>
                <w:rFonts w:ascii="Book Antiqua" w:hAnsi="Book Antiqua"/>
                <w:sz w:val="24"/>
                <w:szCs w:val="24"/>
              </w:rPr>
            </w:pPr>
            <w:r w:rsidRPr="00712539">
              <w:rPr>
                <w:rFonts w:ascii="Book Antiqua" w:hAnsi="Book Antiqua"/>
                <w:sz w:val="24"/>
                <w:szCs w:val="24"/>
              </w:rPr>
              <w:t>17/36</w:t>
            </w:r>
          </w:p>
        </w:tc>
        <w:tc>
          <w:tcPr>
            <w:tcW w:w="1011" w:type="dxa"/>
            <w:shd w:val="clear" w:color="auto" w:fill="auto"/>
            <w:tcMar>
              <w:top w:w="72" w:type="dxa"/>
              <w:left w:w="144" w:type="dxa"/>
              <w:bottom w:w="72" w:type="dxa"/>
              <w:right w:w="144" w:type="dxa"/>
            </w:tcMar>
            <w:vAlign w:val="center"/>
          </w:tcPr>
          <w:p w14:paraId="32E0B173" w14:textId="0EB1E230" w:rsidR="004F0B9C" w:rsidRPr="00712539" w:rsidRDefault="003E3C73" w:rsidP="003E3C73">
            <w:pPr>
              <w:spacing w:after="0" w:line="360" w:lineRule="auto"/>
              <w:jc w:val="both"/>
              <w:rPr>
                <w:rFonts w:ascii="Book Antiqua" w:hAnsi="Book Antiqua"/>
                <w:sz w:val="24"/>
                <w:szCs w:val="24"/>
              </w:rPr>
            </w:pPr>
            <w:r>
              <w:rPr>
                <w:rFonts w:ascii="Book Antiqua" w:hAnsi="Book Antiqua"/>
                <w:sz w:val="24"/>
                <w:szCs w:val="24"/>
              </w:rPr>
              <w:t>5</w:t>
            </w:r>
            <w:r>
              <w:rPr>
                <w:rFonts w:ascii="Book Antiqua" w:hAnsi="Book Antiqua" w:hint="eastAsia"/>
                <w:sz w:val="24"/>
                <w:szCs w:val="24"/>
                <w:lang w:eastAsia="zh-CN"/>
              </w:rPr>
              <w:t>.</w:t>
            </w:r>
            <w:r>
              <w:rPr>
                <w:rFonts w:ascii="Book Antiqua" w:hAnsi="Book Antiqua"/>
                <w:sz w:val="24"/>
                <w:szCs w:val="24"/>
              </w:rPr>
              <w:t>9</w:t>
            </w:r>
            <w:r w:rsidR="004F0B9C" w:rsidRPr="00712539">
              <w:rPr>
                <w:rFonts w:ascii="Book Antiqua" w:hAnsi="Book Antiqua"/>
                <w:sz w:val="24"/>
                <w:szCs w:val="24"/>
              </w:rPr>
              <w:t>%</w:t>
            </w:r>
          </w:p>
        </w:tc>
        <w:tc>
          <w:tcPr>
            <w:tcW w:w="900" w:type="dxa"/>
            <w:shd w:val="clear" w:color="auto" w:fill="auto"/>
            <w:tcMar>
              <w:top w:w="72" w:type="dxa"/>
              <w:left w:w="144" w:type="dxa"/>
              <w:bottom w:w="72" w:type="dxa"/>
              <w:right w:w="144" w:type="dxa"/>
            </w:tcMar>
            <w:vAlign w:val="center"/>
          </w:tcPr>
          <w:p w14:paraId="71045D5E" w14:textId="55173757" w:rsidR="004F0B9C" w:rsidRPr="00712539" w:rsidRDefault="004F0B9C" w:rsidP="003E3C73">
            <w:pPr>
              <w:spacing w:after="0" w:line="360" w:lineRule="auto"/>
              <w:jc w:val="both"/>
              <w:rPr>
                <w:rFonts w:ascii="Book Antiqua" w:hAnsi="Book Antiqua"/>
                <w:sz w:val="24"/>
                <w:szCs w:val="24"/>
              </w:rPr>
            </w:pPr>
            <w:r w:rsidRPr="00712539">
              <w:rPr>
                <w:rFonts w:ascii="Book Antiqua" w:hAnsi="Book Antiqua"/>
                <w:sz w:val="24"/>
                <w:szCs w:val="24"/>
              </w:rPr>
              <w:t>8</w:t>
            </w:r>
            <w:r w:rsidR="003E3C73">
              <w:rPr>
                <w:rFonts w:ascii="Book Antiqua" w:hAnsi="Book Antiqua" w:hint="eastAsia"/>
                <w:sz w:val="24"/>
                <w:szCs w:val="24"/>
                <w:lang w:eastAsia="zh-CN"/>
              </w:rPr>
              <w:t>.</w:t>
            </w:r>
            <w:r w:rsidR="003E3C73">
              <w:rPr>
                <w:rFonts w:ascii="Book Antiqua" w:hAnsi="Book Antiqua"/>
                <w:sz w:val="24"/>
                <w:szCs w:val="24"/>
              </w:rPr>
              <w:t>3</w:t>
            </w:r>
            <w:r w:rsidRPr="00712539">
              <w:rPr>
                <w:rFonts w:ascii="Book Antiqua" w:hAnsi="Book Antiqua"/>
                <w:sz w:val="24"/>
                <w:szCs w:val="24"/>
              </w:rPr>
              <w:t>%</w:t>
            </w:r>
          </w:p>
        </w:tc>
        <w:tc>
          <w:tcPr>
            <w:tcW w:w="1152" w:type="dxa"/>
            <w:shd w:val="clear" w:color="auto" w:fill="auto"/>
            <w:vAlign w:val="center"/>
          </w:tcPr>
          <w:p w14:paraId="4F7EE21F" w14:textId="77777777" w:rsidR="004F0B9C" w:rsidRPr="00712539" w:rsidRDefault="004F0B9C" w:rsidP="0093109B">
            <w:pPr>
              <w:spacing w:after="0" w:line="360" w:lineRule="auto"/>
              <w:jc w:val="both"/>
              <w:rPr>
                <w:rFonts w:ascii="Book Antiqua" w:hAnsi="Book Antiqua"/>
                <w:sz w:val="24"/>
                <w:szCs w:val="24"/>
              </w:rPr>
            </w:pPr>
          </w:p>
        </w:tc>
        <w:tc>
          <w:tcPr>
            <w:tcW w:w="1152" w:type="dxa"/>
            <w:shd w:val="clear" w:color="auto" w:fill="auto"/>
            <w:tcMar>
              <w:top w:w="72" w:type="dxa"/>
              <w:left w:w="144" w:type="dxa"/>
              <w:bottom w:w="72" w:type="dxa"/>
              <w:right w:w="144" w:type="dxa"/>
            </w:tcMar>
            <w:vAlign w:val="center"/>
          </w:tcPr>
          <w:p w14:paraId="51B5AC95" w14:textId="7603F008" w:rsidR="004F0B9C" w:rsidRPr="00712539" w:rsidRDefault="003E3C73" w:rsidP="0093109B">
            <w:pPr>
              <w:spacing w:after="0" w:line="360" w:lineRule="auto"/>
              <w:jc w:val="both"/>
              <w:rPr>
                <w:rFonts w:ascii="Book Antiqua" w:hAnsi="Book Antiqua"/>
                <w:sz w:val="24"/>
                <w:szCs w:val="24"/>
              </w:rPr>
            </w:pPr>
            <w:r>
              <w:rPr>
                <w:rFonts w:ascii="Book Antiqua" w:hAnsi="Book Antiqua"/>
                <w:sz w:val="24"/>
                <w:szCs w:val="24"/>
              </w:rPr>
              <w:t>+ 40</w:t>
            </w:r>
            <w:r w:rsidR="004F0B9C" w:rsidRPr="00712539">
              <w:rPr>
                <w:rFonts w:ascii="Book Antiqua" w:hAnsi="Book Antiqua"/>
                <w:sz w:val="24"/>
                <w:szCs w:val="24"/>
              </w:rPr>
              <w:t>%</w:t>
            </w:r>
          </w:p>
        </w:tc>
      </w:tr>
      <w:tr w:rsidR="0093109B" w:rsidRPr="00712539" w14:paraId="0E092A1A" w14:textId="77777777" w:rsidTr="003E3C73">
        <w:trPr>
          <w:trHeight w:val="407"/>
        </w:trPr>
        <w:tc>
          <w:tcPr>
            <w:tcW w:w="1466" w:type="dxa"/>
            <w:vMerge w:val="restart"/>
            <w:shd w:val="clear" w:color="auto" w:fill="auto"/>
            <w:tcMar>
              <w:top w:w="72" w:type="dxa"/>
              <w:left w:w="144" w:type="dxa"/>
              <w:bottom w:w="72" w:type="dxa"/>
              <w:right w:w="144" w:type="dxa"/>
            </w:tcMar>
            <w:vAlign w:val="center"/>
          </w:tcPr>
          <w:p w14:paraId="4B5B7FDC" w14:textId="77777777" w:rsidR="004F0B9C" w:rsidRPr="00712539" w:rsidRDefault="004F0B9C" w:rsidP="0093109B">
            <w:pPr>
              <w:spacing w:after="0" w:line="360" w:lineRule="auto"/>
              <w:jc w:val="both"/>
              <w:rPr>
                <w:rFonts w:ascii="Book Antiqua" w:hAnsi="Book Antiqua"/>
                <w:sz w:val="24"/>
                <w:szCs w:val="24"/>
              </w:rPr>
            </w:pPr>
            <w:r w:rsidRPr="00712539">
              <w:rPr>
                <w:rFonts w:ascii="Book Antiqua" w:hAnsi="Book Antiqua"/>
                <w:sz w:val="24"/>
                <w:szCs w:val="24"/>
              </w:rPr>
              <w:t>SAVE-ONCO</w:t>
            </w:r>
          </w:p>
          <w:p w14:paraId="1044FDD5" w14:textId="4D66AE9C" w:rsidR="004F0B9C" w:rsidRPr="00712539" w:rsidRDefault="004F0B9C" w:rsidP="00D637A7">
            <w:pPr>
              <w:spacing w:after="0" w:line="360" w:lineRule="auto"/>
              <w:jc w:val="both"/>
              <w:rPr>
                <w:rFonts w:ascii="Book Antiqua" w:hAnsi="Book Antiqua"/>
                <w:sz w:val="24"/>
                <w:szCs w:val="24"/>
              </w:rPr>
            </w:pPr>
            <w:r w:rsidRPr="00712539">
              <w:rPr>
                <w:rFonts w:ascii="Book Antiqua" w:hAnsi="Book Antiqua"/>
                <w:sz w:val="24"/>
                <w:szCs w:val="24"/>
              </w:rPr>
              <w:t xml:space="preserve">Agnelli </w:t>
            </w:r>
            <w:r w:rsidR="00D637A7">
              <w:rPr>
                <w:rFonts w:ascii="Book Antiqua" w:hAnsi="Book Antiqua" w:hint="eastAsia"/>
                <w:i/>
                <w:sz w:val="24"/>
                <w:szCs w:val="24"/>
                <w:lang w:eastAsia="zh-CN"/>
              </w:rPr>
              <w:t>et al</w:t>
            </w:r>
            <w:r w:rsidR="00D637A7" w:rsidRPr="003E3C73">
              <w:rPr>
                <w:rFonts w:ascii="Book Antiqua" w:hAnsi="Book Antiqua"/>
                <w:sz w:val="24"/>
                <w:szCs w:val="24"/>
                <w:vertAlign w:val="superscript"/>
              </w:rPr>
              <w:t>[69]</w:t>
            </w:r>
            <w:r w:rsidR="00D637A7">
              <w:rPr>
                <w:rFonts w:ascii="Book Antiqua" w:hAnsi="Book Antiqua" w:hint="eastAsia"/>
                <w:sz w:val="24"/>
                <w:szCs w:val="24"/>
                <w:lang w:eastAsia="zh-CN"/>
              </w:rPr>
              <w:t xml:space="preserve">, </w:t>
            </w:r>
            <w:r w:rsidRPr="00712539">
              <w:rPr>
                <w:rFonts w:ascii="Book Antiqua" w:hAnsi="Book Antiqua"/>
                <w:sz w:val="24"/>
                <w:szCs w:val="24"/>
              </w:rPr>
              <w:t>2012</w:t>
            </w:r>
          </w:p>
        </w:tc>
        <w:tc>
          <w:tcPr>
            <w:tcW w:w="1834" w:type="dxa"/>
            <w:shd w:val="clear" w:color="auto" w:fill="auto"/>
            <w:tcMar>
              <w:top w:w="72" w:type="dxa"/>
              <w:left w:w="144" w:type="dxa"/>
              <w:bottom w:w="72" w:type="dxa"/>
              <w:right w:w="144" w:type="dxa"/>
            </w:tcMar>
            <w:vAlign w:val="center"/>
          </w:tcPr>
          <w:p w14:paraId="41CA7EDD" w14:textId="77777777" w:rsidR="004F0B9C" w:rsidRPr="00712539" w:rsidRDefault="004F0B9C" w:rsidP="0093109B">
            <w:pPr>
              <w:spacing w:after="0" w:line="360" w:lineRule="auto"/>
              <w:jc w:val="both"/>
              <w:rPr>
                <w:rFonts w:ascii="Book Antiqua" w:hAnsi="Book Antiqua"/>
                <w:sz w:val="24"/>
                <w:szCs w:val="24"/>
              </w:rPr>
            </w:pPr>
            <w:r w:rsidRPr="00712539">
              <w:rPr>
                <w:rFonts w:ascii="Book Antiqua" w:hAnsi="Book Antiqua"/>
                <w:sz w:val="24"/>
                <w:szCs w:val="24"/>
              </w:rPr>
              <w:t>Colo-rectal</w:t>
            </w:r>
          </w:p>
        </w:tc>
        <w:tc>
          <w:tcPr>
            <w:tcW w:w="1011" w:type="dxa"/>
            <w:shd w:val="clear" w:color="auto" w:fill="auto"/>
            <w:tcMar>
              <w:top w:w="72" w:type="dxa"/>
              <w:left w:w="144" w:type="dxa"/>
              <w:bottom w:w="72" w:type="dxa"/>
              <w:right w:w="144" w:type="dxa"/>
            </w:tcMar>
            <w:vAlign w:val="center"/>
          </w:tcPr>
          <w:p w14:paraId="1071BDC1" w14:textId="77777777" w:rsidR="004F0B9C" w:rsidRPr="00712539" w:rsidRDefault="004F0B9C" w:rsidP="0093109B">
            <w:pPr>
              <w:spacing w:after="0" w:line="360" w:lineRule="auto"/>
              <w:jc w:val="both"/>
              <w:rPr>
                <w:rFonts w:ascii="Book Antiqua" w:hAnsi="Book Antiqua"/>
                <w:sz w:val="24"/>
                <w:szCs w:val="24"/>
              </w:rPr>
            </w:pPr>
            <w:r w:rsidRPr="00712539">
              <w:rPr>
                <w:rFonts w:ascii="Book Antiqua" w:hAnsi="Book Antiqua"/>
                <w:sz w:val="24"/>
                <w:szCs w:val="24"/>
              </w:rPr>
              <w:t>461/464</w:t>
            </w:r>
          </w:p>
        </w:tc>
        <w:tc>
          <w:tcPr>
            <w:tcW w:w="1011" w:type="dxa"/>
            <w:shd w:val="clear" w:color="auto" w:fill="auto"/>
            <w:tcMar>
              <w:top w:w="72" w:type="dxa"/>
              <w:left w:w="144" w:type="dxa"/>
              <w:bottom w:w="72" w:type="dxa"/>
              <w:right w:w="144" w:type="dxa"/>
            </w:tcMar>
            <w:vAlign w:val="center"/>
          </w:tcPr>
          <w:p w14:paraId="768943F1" w14:textId="73F37BA1" w:rsidR="004F0B9C" w:rsidRPr="00712539" w:rsidRDefault="003E3C73" w:rsidP="0093109B">
            <w:pPr>
              <w:spacing w:after="0" w:line="360" w:lineRule="auto"/>
              <w:jc w:val="both"/>
              <w:rPr>
                <w:rFonts w:ascii="Book Antiqua" w:hAnsi="Book Antiqua"/>
                <w:sz w:val="24"/>
                <w:szCs w:val="24"/>
              </w:rPr>
            </w:pPr>
            <w:r>
              <w:rPr>
                <w:rFonts w:ascii="Book Antiqua" w:hAnsi="Book Antiqua"/>
                <w:sz w:val="24"/>
                <w:szCs w:val="24"/>
              </w:rPr>
              <w:t>2.0</w:t>
            </w:r>
            <w:r w:rsidR="004F0B9C" w:rsidRPr="00712539">
              <w:rPr>
                <w:rFonts w:ascii="Book Antiqua" w:hAnsi="Book Antiqua"/>
                <w:sz w:val="24"/>
                <w:szCs w:val="24"/>
              </w:rPr>
              <w:t>%</w:t>
            </w:r>
          </w:p>
        </w:tc>
        <w:tc>
          <w:tcPr>
            <w:tcW w:w="900" w:type="dxa"/>
            <w:shd w:val="clear" w:color="auto" w:fill="auto"/>
            <w:tcMar>
              <w:top w:w="72" w:type="dxa"/>
              <w:left w:w="144" w:type="dxa"/>
              <w:bottom w:w="72" w:type="dxa"/>
              <w:right w:w="144" w:type="dxa"/>
            </w:tcMar>
            <w:vAlign w:val="center"/>
          </w:tcPr>
          <w:p w14:paraId="0B00628D" w14:textId="77777777" w:rsidR="004F0B9C" w:rsidRPr="00712539" w:rsidRDefault="004F0B9C" w:rsidP="0093109B">
            <w:pPr>
              <w:spacing w:after="0" w:line="360" w:lineRule="auto"/>
              <w:jc w:val="both"/>
              <w:rPr>
                <w:rFonts w:ascii="Book Antiqua" w:hAnsi="Book Antiqua"/>
                <w:sz w:val="24"/>
                <w:szCs w:val="24"/>
              </w:rPr>
            </w:pPr>
          </w:p>
        </w:tc>
        <w:tc>
          <w:tcPr>
            <w:tcW w:w="1152" w:type="dxa"/>
            <w:shd w:val="clear" w:color="auto" w:fill="auto"/>
            <w:vAlign w:val="center"/>
          </w:tcPr>
          <w:p w14:paraId="28D16137" w14:textId="6B5B0E21" w:rsidR="004F0B9C" w:rsidRPr="00712539" w:rsidRDefault="003E3C73" w:rsidP="0093109B">
            <w:pPr>
              <w:spacing w:after="0" w:line="360" w:lineRule="auto"/>
              <w:jc w:val="both"/>
              <w:rPr>
                <w:rFonts w:ascii="Book Antiqua" w:hAnsi="Book Antiqua"/>
                <w:sz w:val="24"/>
                <w:szCs w:val="24"/>
              </w:rPr>
            </w:pPr>
            <w:r>
              <w:rPr>
                <w:rFonts w:ascii="Book Antiqua" w:hAnsi="Book Antiqua"/>
                <w:sz w:val="24"/>
                <w:szCs w:val="24"/>
              </w:rPr>
              <w:t>1.1</w:t>
            </w:r>
            <w:r w:rsidR="004F0B9C" w:rsidRPr="00712539">
              <w:rPr>
                <w:rFonts w:ascii="Book Antiqua" w:hAnsi="Book Antiqua"/>
                <w:sz w:val="24"/>
                <w:szCs w:val="24"/>
              </w:rPr>
              <w:t>%</w:t>
            </w:r>
          </w:p>
        </w:tc>
        <w:tc>
          <w:tcPr>
            <w:tcW w:w="1152" w:type="dxa"/>
            <w:shd w:val="clear" w:color="auto" w:fill="auto"/>
            <w:tcMar>
              <w:top w:w="72" w:type="dxa"/>
              <w:left w:w="144" w:type="dxa"/>
              <w:bottom w:w="72" w:type="dxa"/>
              <w:right w:w="144" w:type="dxa"/>
            </w:tcMar>
            <w:vAlign w:val="center"/>
          </w:tcPr>
          <w:p w14:paraId="038B31FB" w14:textId="2671598F" w:rsidR="004F0B9C" w:rsidRPr="00712539" w:rsidRDefault="003E3C73" w:rsidP="0093109B">
            <w:pPr>
              <w:spacing w:after="0" w:line="360" w:lineRule="auto"/>
              <w:jc w:val="both"/>
              <w:rPr>
                <w:rFonts w:ascii="Book Antiqua" w:hAnsi="Book Antiqua"/>
                <w:sz w:val="24"/>
                <w:szCs w:val="24"/>
              </w:rPr>
            </w:pPr>
            <w:r>
              <w:rPr>
                <w:rFonts w:ascii="Book Antiqua" w:hAnsi="Book Antiqua"/>
                <w:sz w:val="24"/>
                <w:szCs w:val="24"/>
              </w:rPr>
              <w:t>- 45</w:t>
            </w:r>
            <w:r w:rsidR="004F0B9C" w:rsidRPr="00712539">
              <w:rPr>
                <w:rFonts w:ascii="Book Antiqua" w:hAnsi="Book Antiqua"/>
                <w:sz w:val="24"/>
                <w:szCs w:val="24"/>
              </w:rPr>
              <w:t>%</w:t>
            </w:r>
          </w:p>
        </w:tc>
      </w:tr>
      <w:tr w:rsidR="0093109B" w:rsidRPr="00712539" w14:paraId="05CB0627" w14:textId="77777777" w:rsidTr="003E3C73">
        <w:trPr>
          <w:trHeight w:val="387"/>
        </w:trPr>
        <w:tc>
          <w:tcPr>
            <w:tcW w:w="1466" w:type="dxa"/>
            <w:vMerge/>
            <w:shd w:val="clear" w:color="auto" w:fill="auto"/>
            <w:vAlign w:val="center"/>
          </w:tcPr>
          <w:p w14:paraId="10A0D89A" w14:textId="77777777" w:rsidR="004F0B9C" w:rsidRPr="00712539" w:rsidRDefault="004F0B9C" w:rsidP="0093109B">
            <w:pPr>
              <w:spacing w:after="0" w:line="360" w:lineRule="auto"/>
              <w:jc w:val="both"/>
              <w:rPr>
                <w:rFonts w:ascii="Book Antiqua" w:hAnsi="Book Antiqua"/>
                <w:sz w:val="24"/>
                <w:szCs w:val="24"/>
              </w:rPr>
            </w:pPr>
          </w:p>
        </w:tc>
        <w:tc>
          <w:tcPr>
            <w:tcW w:w="1834" w:type="dxa"/>
            <w:shd w:val="clear" w:color="auto" w:fill="auto"/>
            <w:tcMar>
              <w:top w:w="72" w:type="dxa"/>
              <w:left w:w="144" w:type="dxa"/>
              <w:bottom w:w="72" w:type="dxa"/>
              <w:right w:w="144" w:type="dxa"/>
            </w:tcMar>
            <w:vAlign w:val="center"/>
          </w:tcPr>
          <w:p w14:paraId="05A2456B" w14:textId="77777777" w:rsidR="004F0B9C" w:rsidRPr="00712539" w:rsidRDefault="004F0B9C" w:rsidP="0093109B">
            <w:pPr>
              <w:spacing w:after="0" w:line="360" w:lineRule="auto"/>
              <w:jc w:val="both"/>
              <w:rPr>
                <w:rFonts w:ascii="Book Antiqua" w:hAnsi="Book Antiqua"/>
                <w:sz w:val="24"/>
                <w:szCs w:val="24"/>
              </w:rPr>
            </w:pPr>
            <w:r w:rsidRPr="00712539">
              <w:rPr>
                <w:rFonts w:ascii="Book Antiqua" w:hAnsi="Book Antiqua"/>
                <w:sz w:val="24"/>
                <w:szCs w:val="24"/>
              </w:rPr>
              <w:t>Pancreas</w:t>
            </w:r>
          </w:p>
        </w:tc>
        <w:tc>
          <w:tcPr>
            <w:tcW w:w="1011" w:type="dxa"/>
            <w:shd w:val="clear" w:color="auto" w:fill="auto"/>
            <w:tcMar>
              <w:top w:w="72" w:type="dxa"/>
              <w:left w:w="144" w:type="dxa"/>
              <w:bottom w:w="72" w:type="dxa"/>
              <w:right w:w="144" w:type="dxa"/>
            </w:tcMar>
            <w:vAlign w:val="center"/>
          </w:tcPr>
          <w:p w14:paraId="3D4DD990" w14:textId="77777777" w:rsidR="004F0B9C" w:rsidRPr="00712539" w:rsidRDefault="004F0B9C" w:rsidP="0093109B">
            <w:pPr>
              <w:spacing w:after="0" w:line="360" w:lineRule="auto"/>
              <w:jc w:val="both"/>
              <w:rPr>
                <w:rFonts w:ascii="Book Antiqua" w:hAnsi="Book Antiqua"/>
                <w:sz w:val="24"/>
                <w:szCs w:val="24"/>
              </w:rPr>
            </w:pPr>
            <w:r w:rsidRPr="00712539">
              <w:rPr>
                <w:rFonts w:ascii="Book Antiqua" w:hAnsi="Book Antiqua"/>
                <w:sz w:val="24"/>
                <w:szCs w:val="24"/>
              </w:rPr>
              <w:t>128/126</w:t>
            </w:r>
          </w:p>
        </w:tc>
        <w:tc>
          <w:tcPr>
            <w:tcW w:w="1011" w:type="dxa"/>
            <w:shd w:val="clear" w:color="auto" w:fill="auto"/>
            <w:tcMar>
              <w:top w:w="72" w:type="dxa"/>
              <w:left w:w="144" w:type="dxa"/>
              <w:bottom w:w="72" w:type="dxa"/>
              <w:right w:w="144" w:type="dxa"/>
            </w:tcMar>
            <w:vAlign w:val="center"/>
          </w:tcPr>
          <w:p w14:paraId="6EA02BEC" w14:textId="103547CD" w:rsidR="004F0B9C" w:rsidRPr="00712539" w:rsidRDefault="003E3C73" w:rsidP="0093109B">
            <w:pPr>
              <w:spacing w:after="0" w:line="360" w:lineRule="auto"/>
              <w:jc w:val="both"/>
              <w:rPr>
                <w:rFonts w:ascii="Book Antiqua" w:hAnsi="Book Antiqua"/>
                <w:sz w:val="24"/>
                <w:szCs w:val="24"/>
              </w:rPr>
            </w:pPr>
            <w:r>
              <w:rPr>
                <w:rFonts w:ascii="Book Antiqua" w:hAnsi="Book Antiqua"/>
                <w:sz w:val="24"/>
                <w:szCs w:val="24"/>
              </w:rPr>
              <w:t>10.9</w:t>
            </w:r>
            <w:r w:rsidR="004F0B9C" w:rsidRPr="00712539">
              <w:rPr>
                <w:rFonts w:ascii="Book Antiqua" w:hAnsi="Book Antiqua"/>
                <w:sz w:val="24"/>
                <w:szCs w:val="24"/>
              </w:rPr>
              <w:t>%</w:t>
            </w:r>
          </w:p>
        </w:tc>
        <w:tc>
          <w:tcPr>
            <w:tcW w:w="900" w:type="dxa"/>
            <w:shd w:val="clear" w:color="auto" w:fill="auto"/>
            <w:tcMar>
              <w:top w:w="72" w:type="dxa"/>
              <w:left w:w="144" w:type="dxa"/>
              <w:bottom w:w="72" w:type="dxa"/>
              <w:right w:w="144" w:type="dxa"/>
            </w:tcMar>
            <w:vAlign w:val="center"/>
          </w:tcPr>
          <w:p w14:paraId="11C1E8EF" w14:textId="77777777" w:rsidR="004F0B9C" w:rsidRPr="00712539" w:rsidRDefault="004F0B9C" w:rsidP="0093109B">
            <w:pPr>
              <w:spacing w:after="0" w:line="360" w:lineRule="auto"/>
              <w:jc w:val="both"/>
              <w:rPr>
                <w:rFonts w:ascii="Book Antiqua" w:hAnsi="Book Antiqua"/>
                <w:sz w:val="24"/>
                <w:szCs w:val="24"/>
              </w:rPr>
            </w:pPr>
          </w:p>
        </w:tc>
        <w:tc>
          <w:tcPr>
            <w:tcW w:w="1152" w:type="dxa"/>
            <w:shd w:val="clear" w:color="auto" w:fill="auto"/>
            <w:vAlign w:val="center"/>
          </w:tcPr>
          <w:p w14:paraId="5711D763" w14:textId="317EA811" w:rsidR="004F0B9C" w:rsidRPr="00712539" w:rsidRDefault="003E3C73" w:rsidP="0093109B">
            <w:pPr>
              <w:spacing w:after="0" w:line="360" w:lineRule="auto"/>
              <w:jc w:val="both"/>
              <w:rPr>
                <w:rFonts w:ascii="Book Antiqua" w:hAnsi="Book Antiqua"/>
                <w:sz w:val="24"/>
                <w:szCs w:val="24"/>
              </w:rPr>
            </w:pPr>
            <w:r>
              <w:rPr>
                <w:rFonts w:ascii="Book Antiqua" w:hAnsi="Book Antiqua"/>
                <w:sz w:val="24"/>
                <w:szCs w:val="24"/>
              </w:rPr>
              <w:t>2.4</w:t>
            </w:r>
            <w:r w:rsidR="004F0B9C" w:rsidRPr="00712539">
              <w:rPr>
                <w:rFonts w:ascii="Book Antiqua" w:hAnsi="Book Antiqua"/>
                <w:sz w:val="24"/>
                <w:szCs w:val="24"/>
              </w:rPr>
              <w:t>%</w:t>
            </w:r>
          </w:p>
        </w:tc>
        <w:tc>
          <w:tcPr>
            <w:tcW w:w="1152" w:type="dxa"/>
            <w:shd w:val="clear" w:color="auto" w:fill="auto"/>
            <w:tcMar>
              <w:top w:w="72" w:type="dxa"/>
              <w:left w:w="144" w:type="dxa"/>
              <w:bottom w:w="72" w:type="dxa"/>
              <w:right w:w="144" w:type="dxa"/>
            </w:tcMar>
            <w:vAlign w:val="center"/>
          </w:tcPr>
          <w:p w14:paraId="6280E481" w14:textId="4FD19A97" w:rsidR="004F0B9C" w:rsidRPr="00712539" w:rsidRDefault="003E3C73" w:rsidP="0093109B">
            <w:pPr>
              <w:spacing w:after="0" w:line="360" w:lineRule="auto"/>
              <w:jc w:val="both"/>
              <w:rPr>
                <w:rFonts w:ascii="Book Antiqua" w:hAnsi="Book Antiqua"/>
                <w:sz w:val="24"/>
                <w:szCs w:val="24"/>
              </w:rPr>
            </w:pPr>
            <w:r>
              <w:rPr>
                <w:rFonts w:ascii="Book Antiqua" w:hAnsi="Book Antiqua"/>
                <w:sz w:val="24"/>
                <w:szCs w:val="24"/>
              </w:rPr>
              <w:t>- 78</w:t>
            </w:r>
            <w:r w:rsidR="004F0B9C" w:rsidRPr="00712539">
              <w:rPr>
                <w:rFonts w:ascii="Book Antiqua" w:hAnsi="Book Antiqua"/>
                <w:sz w:val="24"/>
                <w:szCs w:val="24"/>
              </w:rPr>
              <w:t>%</w:t>
            </w:r>
          </w:p>
        </w:tc>
      </w:tr>
      <w:tr w:rsidR="0093109B" w:rsidRPr="00712539" w14:paraId="7A44A253" w14:textId="77777777" w:rsidTr="003E3C73">
        <w:trPr>
          <w:trHeight w:val="423"/>
        </w:trPr>
        <w:tc>
          <w:tcPr>
            <w:tcW w:w="1466" w:type="dxa"/>
            <w:vMerge/>
            <w:shd w:val="clear" w:color="auto" w:fill="auto"/>
            <w:vAlign w:val="center"/>
          </w:tcPr>
          <w:p w14:paraId="58B7BF1D" w14:textId="77777777" w:rsidR="004F0B9C" w:rsidRPr="00712539" w:rsidRDefault="004F0B9C" w:rsidP="0093109B">
            <w:pPr>
              <w:spacing w:after="0" w:line="360" w:lineRule="auto"/>
              <w:jc w:val="both"/>
              <w:rPr>
                <w:rFonts w:ascii="Book Antiqua" w:hAnsi="Book Antiqua"/>
                <w:sz w:val="24"/>
                <w:szCs w:val="24"/>
              </w:rPr>
            </w:pPr>
          </w:p>
        </w:tc>
        <w:tc>
          <w:tcPr>
            <w:tcW w:w="1834" w:type="dxa"/>
            <w:shd w:val="clear" w:color="auto" w:fill="auto"/>
            <w:tcMar>
              <w:top w:w="72" w:type="dxa"/>
              <w:left w:w="144" w:type="dxa"/>
              <w:bottom w:w="72" w:type="dxa"/>
              <w:right w:w="144" w:type="dxa"/>
            </w:tcMar>
            <w:vAlign w:val="center"/>
          </w:tcPr>
          <w:p w14:paraId="1C2B972D" w14:textId="77777777" w:rsidR="004F0B9C" w:rsidRPr="00712539" w:rsidRDefault="004F0B9C" w:rsidP="0093109B">
            <w:pPr>
              <w:spacing w:after="0" w:line="360" w:lineRule="auto"/>
              <w:jc w:val="both"/>
              <w:rPr>
                <w:rFonts w:ascii="Book Antiqua" w:hAnsi="Book Antiqua"/>
                <w:sz w:val="24"/>
                <w:szCs w:val="24"/>
              </w:rPr>
            </w:pPr>
            <w:r w:rsidRPr="00712539">
              <w:rPr>
                <w:rFonts w:ascii="Book Antiqua" w:hAnsi="Book Antiqua"/>
                <w:sz w:val="24"/>
                <w:szCs w:val="24"/>
              </w:rPr>
              <w:t>Stomach</w:t>
            </w:r>
          </w:p>
        </w:tc>
        <w:tc>
          <w:tcPr>
            <w:tcW w:w="1011" w:type="dxa"/>
            <w:shd w:val="clear" w:color="auto" w:fill="auto"/>
            <w:tcMar>
              <w:top w:w="72" w:type="dxa"/>
              <w:left w:w="144" w:type="dxa"/>
              <w:bottom w:w="72" w:type="dxa"/>
              <w:right w:w="144" w:type="dxa"/>
            </w:tcMar>
            <w:vAlign w:val="center"/>
          </w:tcPr>
          <w:p w14:paraId="4F535271" w14:textId="77777777" w:rsidR="004F0B9C" w:rsidRPr="00712539" w:rsidRDefault="004F0B9C" w:rsidP="0093109B">
            <w:pPr>
              <w:spacing w:after="0" w:line="360" w:lineRule="auto"/>
              <w:jc w:val="both"/>
              <w:rPr>
                <w:rFonts w:ascii="Book Antiqua" w:hAnsi="Book Antiqua"/>
                <w:sz w:val="24"/>
                <w:szCs w:val="24"/>
              </w:rPr>
            </w:pPr>
            <w:r w:rsidRPr="00712539">
              <w:rPr>
                <w:rFonts w:ascii="Book Antiqua" w:hAnsi="Book Antiqua"/>
                <w:sz w:val="24"/>
                <w:szCs w:val="24"/>
              </w:rPr>
              <w:t>207/204</w:t>
            </w:r>
          </w:p>
        </w:tc>
        <w:tc>
          <w:tcPr>
            <w:tcW w:w="1011" w:type="dxa"/>
            <w:shd w:val="clear" w:color="auto" w:fill="auto"/>
            <w:tcMar>
              <w:top w:w="72" w:type="dxa"/>
              <w:left w:w="144" w:type="dxa"/>
              <w:bottom w:w="72" w:type="dxa"/>
              <w:right w:w="144" w:type="dxa"/>
            </w:tcMar>
            <w:vAlign w:val="center"/>
          </w:tcPr>
          <w:p w14:paraId="4A8EA2A0" w14:textId="3B3A6122" w:rsidR="004F0B9C" w:rsidRPr="00712539" w:rsidRDefault="003E3C73" w:rsidP="003E3C73">
            <w:pPr>
              <w:spacing w:after="0" w:line="360" w:lineRule="auto"/>
              <w:jc w:val="both"/>
              <w:rPr>
                <w:rFonts w:ascii="Book Antiqua" w:hAnsi="Book Antiqua"/>
                <w:sz w:val="24"/>
                <w:szCs w:val="24"/>
              </w:rPr>
            </w:pPr>
            <w:r>
              <w:rPr>
                <w:rFonts w:ascii="Book Antiqua" w:hAnsi="Book Antiqua"/>
                <w:sz w:val="24"/>
                <w:szCs w:val="24"/>
              </w:rPr>
              <w:t>1</w:t>
            </w:r>
            <w:r>
              <w:rPr>
                <w:rFonts w:ascii="Book Antiqua" w:hAnsi="Book Antiqua" w:hint="eastAsia"/>
                <w:sz w:val="24"/>
                <w:szCs w:val="24"/>
                <w:lang w:eastAsia="zh-CN"/>
              </w:rPr>
              <w:t>.</w:t>
            </w:r>
            <w:r>
              <w:rPr>
                <w:rFonts w:ascii="Book Antiqua" w:hAnsi="Book Antiqua"/>
                <w:sz w:val="24"/>
                <w:szCs w:val="24"/>
              </w:rPr>
              <w:t>9</w:t>
            </w:r>
            <w:r w:rsidR="004F0B9C" w:rsidRPr="00712539">
              <w:rPr>
                <w:rFonts w:ascii="Book Antiqua" w:hAnsi="Book Antiqua"/>
                <w:sz w:val="24"/>
                <w:szCs w:val="24"/>
              </w:rPr>
              <w:t>%</w:t>
            </w:r>
          </w:p>
        </w:tc>
        <w:tc>
          <w:tcPr>
            <w:tcW w:w="900" w:type="dxa"/>
            <w:shd w:val="clear" w:color="auto" w:fill="auto"/>
            <w:tcMar>
              <w:top w:w="72" w:type="dxa"/>
              <w:left w:w="144" w:type="dxa"/>
              <w:bottom w:w="72" w:type="dxa"/>
              <w:right w:w="144" w:type="dxa"/>
            </w:tcMar>
            <w:vAlign w:val="center"/>
          </w:tcPr>
          <w:p w14:paraId="5D01AB57" w14:textId="77777777" w:rsidR="004F0B9C" w:rsidRPr="00712539" w:rsidRDefault="004F0B9C" w:rsidP="0093109B">
            <w:pPr>
              <w:spacing w:after="0" w:line="360" w:lineRule="auto"/>
              <w:jc w:val="both"/>
              <w:rPr>
                <w:rFonts w:ascii="Book Antiqua" w:hAnsi="Book Antiqua"/>
                <w:sz w:val="24"/>
                <w:szCs w:val="24"/>
              </w:rPr>
            </w:pPr>
          </w:p>
        </w:tc>
        <w:tc>
          <w:tcPr>
            <w:tcW w:w="1152" w:type="dxa"/>
            <w:shd w:val="clear" w:color="auto" w:fill="auto"/>
            <w:vAlign w:val="center"/>
          </w:tcPr>
          <w:p w14:paraId="241712EE" w14:textId="1B646006" w:rsidR="004F0B9C" w:rsidRPr="00712539" w:rsidRDefault="003E3C73" w:rsidP="003E3C73">
            <w:pPr>
              <w:spacing w:after="0" w:line="360" w:lineRule="auto"/>
              <w:jc w:val="both"/>
              <w:rPr>
                <w:rFonts w:ascii="Book Antiqua" w:hAnsi="Book Antiqua"/>
                <w:sz w:val="24"/>
                <w:szCs w:val="24"/>
              </w:rPr>
            </w:pPr>
            <w:r>
              <w:rPr>
                <w:rFonts w:ascii="Book Antiqua" w:hAnsi="Book Antiqua"/>
                <w:sz w:val="24"/>
                <w:szCs w:val="24"/>
              </w:rPr>
              <w:t>0</w:t>
            </w:r>
            <w:r>
              <w:rPr>
                <w:rFonts w:ascii="Book Antiqua" w:hAnsi="Book Antiqua" w:hint="eastAsia"/>
                <w:sz w:val="24"/>
                <w:szCs w:val="24"/>
                <w:lang w:eastAsia="zh-CN"/>
              </w:rPr>
              <w:t>.</w:t>
            </w:r>
            <w:r>
              <w:rPr>
                <w:rFonts w:ascii="Book Antiqua" w:hAnsi="Book Antiqua"/>
                <w:sz w:val="24"/>
                <w:szCs w:val="24"/>
              </w:rPr>
              <w:t>5</w:t>
            </w:r>
            <w:r w:rsidR="004F0B9C" w:rsidRPr="00712539">
              <w:rPr>
                <w:rFonts w:ascii="Book Antiqua" w:hAnsi="Book Antiqua"/>
                <w:sz w:val="24"/>
                <w:szCs w:val="24"/>
              </w:rPr>
              <w:t>%</w:t>
            </w:r>
          </w:p>
        </w:tc>
        <w:tc>
          <w:tcPr>
            <w:tcW w:w="1152" w:type="dxa"/>
            <w:shd w:val="clear" w:color="auto" w:fill="auto"/>
            <w:tcMar>
              <w:top w:w="72" w:type="dxa"/>
              <w:left w:w="144" w:type="dxa"/>
              <w:bottom w:w="72" w:type="dxa"/>
              <w:right w:w="144" w:type="dxa"/>
            </w:tcMar>
            <w:vAlign w:val="center"/>
          </w:tcPr>
          <w:p w14:paraId="243E04A3" w14:textId="0E8416A5" w:rsidR="004F0B9C" w:rsidRPr="00712539" w:rsidRDefault="003E3C73" w:rsidP="0093109B">
            <w:pPr>
              <w:spacing w:after="0" w:line="360" w:lineRule="auto"/>
              <w:jc w:val="both"/>
              <w:rPr>
                <w:rFonts w:ascii="Book Antiqua" w:hAnsi="Book Antiqua"/>
                <w:sz w:val="24"/>
                <w:szCs w:val="24"/>
              </w:rPr>
            </w:pPr>
            <w:r>
              <w:rPr>
                <w:rFonts w:ascii="Book Antiqua" w:hAnsi="Book Antiqua"/>
                <w:sz w:val="24"/>
                <w:szCs w:val="24"/>
              </w:rPr>
              <w:t>- 75</w:t>
            </w:r>
            <w:r w:rsidR="004F0B9C" w:rsidRPr="00712539">
              <w:rPr>
                <w:rFonts w:ascii="Book Antiqua" w:hAnsi="Book Antiqua"/>
                <w:sz w:val="24"/>
                <w:szCs w:val="24"/>
              </w:rPr>
              <w:t>%</w:t>
            </w:r>
          </w:p>
        </w:tc>
      </w:tr>
      <w:tr w:rsidR="0093109B" w:rsidRPr="00712539" w14:paraId="70233CFE" w14:textId="77777777" w:rsidTr="003E3C73">
        <w:trPr>
          <w:trHeight w:val="545"/>
        </w:trPr>
        <w:tc>
          <w:tcPr>
            <w:tcW w:w="1466" w:type="dxa"/>
            <w:shd w:val="clear" w:color="auto" w:fill="auto"/>
            <w:tcMar>
              <w:top w:w="72" w:type="dxa"/>
              <w:left w:w="144" w:type="dxa"/>
              <w:bottom w:w="72" w:type="dxa"/>
              <w:right w:w="144" w:type="dxa"/>
            </w:tcMar>
            <w:vAlign w:val="center"/>
          </w:tcPr>
          <w:p w14:paraId="36144470" w14:textId="77777777" w:rsidR="004F0B9C" w:rsidRPr="00712539" w:rsidRDefault="004F0B9C" w:rsidP="0093109B">
            <w:pPr>
              <w:spacing w:after="0" w:line="360" w:lineRule="auto"/>
              <w:jc w:val="both"/>
              <w:rPr>
                <w:rFonts w:ascii="Book Antiqua" w:hAnsi="Book Antiqua"/>
                <w:sz w:val="24"/>
                <w:szCs w:val="24"/>
              </w:rPr>
            </w:pPr>
            <w:r w:rsidRPr="00712539">
              <w:rPr>
                <w:rFonts w:ascii="Book Antiqua" w:hAnsi="Book Antiqua"/>
                <w:sz w:val="24"/>
                <w:szCs w:val="24"/>
              </w:rPr>
              <w:t>FRAGEM</w:t>
            </w:r>
          </w:p>
          <w:p w14:paraId="429240F3" w14:textId="60A2C23B" w:rsidR="004F0B9C" w:rsidRPr="00712539" w:rsidRDefault="004F0B9C" w:rsidP="00D637A7">
            <w:pPr>
              <w:spacing w:after="0" w:line="360" w:lineRule="auto"/>
              <w:jc w:val="both"/>
              <w:rPr>
                <w:rFonts w:ascii="Book Antiqua" w:hAnsi="Book Antiqua"/>
                <w:sz w:val="24"/>
                <w:szCs w:val="24"/>
              </w:rPr>
            </w:pPr>
            <w:r w:rsidRPr="00712539">
              <w:rPr>
                <w:rFonts w:ascii="Book Antiqua" w:hAnsi="Book Antiqua"/>
                <w:sz w:val="24"/>
                <w:szCs w:val="24"/>
              </w:rPr>
              <w:t>Maraveyas</w:t>
            </w:r>
            <w:r w:rsidR="00D637A7">
              <w:rPr>
                <w:rFonts w:ascii="Book Antiqua" w:hAnsi="Book Antiqua" w:hint="eastAsia"/>
                <w:i/>
                <w:sz w:val="24"/>
                <w:szCs w:val="24"/>
                <w:lang w:eastAsia="zh-CN"/>
              </w:rPr>
              <w:t xml:space="preserve"> et al</w:t>
            </w:r>
            <w:r w:rsidR="00D637A7" w:rsidRPr="003E3C73">
              <w:rPr>
                <w:rFonts w:ascii="Book Antiqua" w:hAnsi="Book Antiqua"/>
                <w:sz w:val="24"/>
                <w:szCs w:val="24"/>
                <w:vertAlign w:val="superscript"/>
              </w:rPr>
              <w:t>[70]</w:t>
            </w:r>
            <w:r w:rsidR="00D637A7">
              <w:rPr>
                <w:rFonts w:ascii="Book Antiqua" w:hAnsi="Book Antiqua" w:hint="eastAsia"/>
                <w:sz w:val="24"/>
                <w:szCs w:val="24"/>
                <w:lang w:eastAsia="zh-CN"/>
              </w:rPr>
              <w:t xml:space="preserve">, </w:t>
            </w:r>
            <w:r w:rsidRPr="00712539">
              <w:rPr>
                <w:rFonts w:ascii="Book Antiqua" w:hAnsi="Book Antiqua"/>
                <w:sz w:val="24"/>
                <w:szCs w:val="24"/>
              </w:rPr>
              <w:t xml:space="preserve"> 2012</w:t>
            </w:r>
          </w:p>
        </w:tc>
        <w:tc>
          <w:tcPr>
            <w:tcW w:w="1834" w:type="dxa"/>
            <w:shd w:val="clear" w:color="auto" w:fill="auto"/>
            <w:tcMar>
              <w:top w:w="72" w:type="dxa"/>
              <w:left w:w="144" w:type="dxa"/>
              <w:bottom w:w="72" w:type="dxa"/>
              <w:right w:w="144" w:type="dxa"/>
            </w:tcMar>
            <w:vAlign w:val="center"/>
          </w:tcPr>
          <w:p w14:paraId="7FD26FF5" w14:textId="77777777" w:rsidR="004F0B9C" w:rsidRPr="00712539" w:rsidRDefault="004F0B9C" w:rsidP="0093109B">
            <w:pPr>
              <w:spacing w:after="0" w:line="360" w:lineRule="auto"/>
              <w:jc w:val="both"/>
              <w:rPr>
                <w:rFonts w:ascii="Book Antiqua" w:hAnsi="Book Antiqua"/>
                <w:sz w:val="24"/>
                <w:szCs w:val="24"/>
              </w:rPr>
            </w:pPr>
            <w:r w:rsidRPr="00712539">
              <w:rPr>
                <w:rFonts w:ascii="Book Antiqua" w:hAnsi="Book Antiqua"/>
                <w:sz w:val="24"/>
                <w:szCs w:val="24"/>
              </w:rPr>
              <w:t>Pancreas</w:t>
            </w:r>
          </w:p>
        </w:tc>
        <w:tc>
          <w:tcPr>
            <w:tcW w:w="1011" w:type="dxa"/>
            <w:shd w:val="clear" w:color="auto" w:fill="auto"/>
            <w:tcMar>
              <w:top w:w="72" w:type="dxa"/>
              <w:left w:w="144" w:type="dxa"/>
              <w:bottom w:w="72" w:type="dxa"/>
              <w:right w:w="144" w:type="dxa"/>
            </w:tcMar>
            <w:vAlign w:val="center"/>
          </w:tcPr>
          <w:p w14:paraId="471E075C" w14:textId="77777777" w:rsidR="004F0B9C" w:rsidRPr="00712539" w:rsidRDefault="004F0B9C" w:rsidP="0093109B">
            <w:pPr>
              <w:spacing w:after="0" w:line="360" w:lineRule="auto"/>
              <w:jc w:val="both"/>
              <w:rPr>
                <w:rFonts w:ascii="Book Antiqua" w:hAnsi="Book Antiqua"/>
                <w:sz w:val="24"/>
                <w:szCs w:val="24"/>
              </w:rPr>
            </w:pPr>
            <w:r w:rsidRPr="00712539">
              <w:rPr>
                <w:rFonts w:ascii="Book Antiqua" w:hAnsi="Book Antiqua"/>
                <w:sz w:val="24"/>
                <w:szCs w:val="24"/>
              </w:rPr>
              <w:t>60/63</w:t>
            </w:r>
          </w:p>
        </w:tc>
        <w:tc>
          <w:tcPr>
            <w:tcW w:w="1011" w:type="dxa"/>
            <w:shd w:val="clear" w:color="auto" w:fill="auto"/>
            <w:tcMar>
              <w:top w:w="72" w:type="dxa"/>
              <w:left w:w="144" w:type="dxa"/>
              <w:bottom w:w="72" w:type="dxa"/>
              <w:right w:w="144" w:type="dxa"/>
            </w:tcMar>
            <w:vAlign w:val="center"/>
          </w:tcPr>
          <w:p w14:paraId="660D29EA" w14:textId="418E0626" w:rsidR="004F0B9C" w:rsidRPr="00712539" w:rsidRDefault="003E3C73" w:rsidP="0093109B">
            <w:pPr>
              <w:spacing w:after="0" w:line="360" w:lineRule="auto"/>
              <w:jc w:val="both"/>
              <w:rPr>
                <w:rFonts w:ascii="Book Antiqua" w:hAnsi="Book Antiqua"/>
                <w:sz w:val="24"/>
                <w:szCs w:val="24"/>
              </w:rPr>
            </w:pPr>
            <w:r>
              <w:rPr>
                <w:rFonts w:ascii="Book Antiqua" w:hAnsi="Book Antiqua"/>
                <w:sz w:val="24"/>
                <w:szCs w:val="24"/>
              </w:rPr>
              <w:t>23</w:t>
            </w:r>
            <w:r w:rsidR="004F0B9C" w:rsidRPr="00712539">
              <w:rPr>
                <w:rFonts w:ascii="Book Antiqua" w:hAnsi="Book Antiqua"/>
                <w:sz w:val="24"/>
                <w:szCs w:val="24"/>
              </w:rPr>
              <w:t>%</w:t>
            </w:r>
          </w:p>
        </w:tc>
        <w:tc>
          <w:tcPr>
            <w:tcW w:w="900" w:type="dxa"/>
            <w:shd w:val="clear" w:color="auto" w:fill="auto"/>
            <w:tcMar>
              <w:top w:w="72" w:type="dxa"/>
              <w:left w:w="144" w:type="dxa"/>
              <w:bottom w:w="72" w:type="dxa"/>
              <w:right w:w="144" w:type="dxa"/>
            </w:tcMar>
            <w:vAlign w:val="center"/>
          </w:tcPr>
          <w:p w14:paraId="220DD984" w14:textId="378F8ACE" w:rsidR="004F0B9C" w:rsidRPr="00712539" w:rsidRDefault="003E3C73" w:rsidP="0093109B">
            <w:pPr>
              <w:spacing w:after="0" w:line="360" w:lineRule="auto"/>
              <w:jc w:val="both"/>
              <w:rPr>
                <w:rFonts w:ascii="Book Antiqua" w:hAnsi="Book Antiqua"/>
                <w:sz w:val="24"/>
                <w:szCs w:val="24"/>
              </w:rPr>
            </w:pPr>
            <w:r>
              <w:rPr>
                <w:rFonts w:ascii="Book Antiqua" w:hAnsi="Book Antiqua"/>
                <w:sz w:val="24"/>
                <w:szCs w:val="24"/>
              </w:rPr>
              <w:t>3.4</w:t>
            </w:r>
            <w:r w:rsidR="004F0B9C" w:rsidRPr="00712539">
              <w:rPr>
                <w:rFonts w:ascii="Book Antiqua" w:hAnsi="Book Antiqua"/>
                <w:sz w:val="24"/>
                <w:szCs w:val="24"/>
              </w:rPr>
              <w:t>%</w:t>
            </w:r>
          </w:p>
        </w:tc>
        <w:tc>
          <w:tcPr>
            <w:tcW w:w="1152" w:type="dxa"/>
            <w:shd w:val="clear" w:color="auto" w:fill="auto"/>
            <w:vAlign w:val="center"/>
          </w:tcPr>
          <w:p w14:paraId="085E58D3" w14:textId="77777777" w:rsidR="004F0B9C" w:rsidRPr="00712539" w:rsidRDefault="004F0B9C" w:rsidP="0093109B">
            <w:pPr>
              <w:spacing w:after="0" w:line="360" w:lineRule="auto"/>
              <w:jc w:val="both"/>
              <w:rPr>
                <w:rFonts w:ascii="Book Antiqua" w:hAnsi="Book Antiqua"/>
                <w:sz w:val="24"/>
                <w:szCs w:val="24"/>
              </w:rPr>
            </w:pPr>
          </w:p>
        </w:tc>
        <w:tc>
          <w:tcPr>
            <w:tcW w:w="1152" w:type="dxa"/>
            <w:shd w:val="clear" w:color="auto" w:fill="auto"/>
            <w:tcMar>
              <w:top w:w="72" w:type="dxa"/>
              <w:left w:w="144" w:type="dxa"/>
              <w:bottom w:w="72" w:type="dxa"/>
              <w:right w:w="144" w:type="dxa"/>
            </w:tcMar>
            <w:vAlign w:val="center"/>
          </w:tcPr>
          <w:p w14:paraId="26824F26" w14:textId="5BCAE30A" w:rsidR="004F0B9C" w:rsidRPr="00712539" w:rsidRDefault="003E3C73" w:rsidP="0093109B">
            <w:pPr>
              <w:spacing w:after="0" w:line="360" w:lineRule="auto"/>
              <w:jc w:val="both"/>
              <w:rPr>
                <w:rFonts w:ascii="Book Antiqua" w:hAnsi="Book Antiqua"/>
                <w:sz w:val="24"/>
                <w:szCs w:val="24"/>
              </w:rPr>
            </w:pPr>
            <w:r>
              <w:rPr>
                <w:rFonts w:ascii="Book Antiqua" w:hAnsi="Book Antiqua"/>
                <w:sz w:val="24"/>
                <w:szCs w:val="24"/>
              </w:rPr>
              <w:t>- 85</w:t>
            </w:r>
            <w:r w:rsidR="004F0B9C" w:rsidRPr="00712539">
              <w:rPr>
                <w:rFonts w:ascii="Book Antiqua" w:hAnsi="Book Antiqua"/>
                <w:sz w:val="24"/>
                <w:szCs w:val="24"/>
              </w:rPr>
              <w:t>%</w:t>
            </w:r>
          </w:p>
        </w:tc>
      </w:tr>
      <w:tr w:rsidR="0093109B" w:rsidRPr="00712539" w14:paraId="317950C9" w14:textId="77777777" w:rsidTr="003E3C73">
        <w:trPr>
          <w:trHeight w:val="528"/>
        </w:trPr>
        <w:tc>
          <w:tcPr>
            <w:tcW w:w="1466" w:type="dxa"/>
            <w:shd w:val="clear" w:color="auto" w:fill="auto"/>
            <w:tcMar>
              <w:top w:w="72" w:type="dxa"/>
              <w:left w:w="144" w:type="dxa"/>
              <w:bottom w:w="72" w:type="dxa"/>
              <w:right w:w="144" w:type="dxa"/>
            </w:tcMar>
            <w:vAlign w:val="center"/>
          </w:tcPr>
          <w:p w14:paraId="12E7D476" w14:textId="77777777" w:rsidR="004F0B9C" w:rsidRPr="00712539" w:rsidRDefault="004F0B9C" w:rsidP="0093109B">
            <w:pPr>
              <w:spacing w:after="0" w:line="360" w:lineRule="auto"/>
              <w:jc w:val="both"/>
              <w:rPr>
                <w:rFonts w:ascii="Book Antiqua" w:hAnsi="Book Antiqua"/>
                <w:sz w:val="24"/>
                <w:szCs w:val="24"/>
              </w:rPr>
            </w:pPr>
            <w:r w:rsidRPr="00712539">
              <w:rPr>
                <w:rFonts w:ascii="Book Antiqua" w:hAnsi="Book Antiqua"/>
                <w:sz w:val="24"/>
                <w:szCs w:val="24"/>
              </w:rPr>
              <w:t>CONKO 004</w:t>
            </w:r>
          </w:p>
          <w:p w14:paraId="62CE73D4" w14:textId="5BBF28CB" w:rsidR="004F0B9C" w:rsidRPr="00712539" w:rsidRDefault="004F0B9C" w:rsidP="00D637A7">
            <w:pPr>
              <w:spacing w:after="0" w:line="360" w:lineRule="auto"/>
              <w:jc w:val="both"/>
              <w:rPr>
                <w:rFonts w:ascii="Book Antiqua" w:hAnsi="Book Antiqua"/>
                <w:sz w:val="24"/>
                <w:szCs w:val="24"/>
              </w:rPr>
            </w:pPr>
            <w:r w:rsidRPr="00712539">
              <w:rPr>
                <w:rFonts w:ascii="Book Antiqua" w:hAnsi="Book Antiqua"/>
                <w:sz w:val="24"/>
                <w:szCs w:val="24"/>
              </w:rPr>
              <w:t xml:space="preserve">Pelzer </w:t>
            </w:r>
            <w:r w:rsidR="00D637A7">
              <w:rPr>
                <w:rFonts w:ascii="Book Antiqua" w:hAnsi="Book Antiqua" w:hint="eastAsia"/>
                <w:i/>
                <w:sz w:val="24"/>
                <w:szCs w:val="24"/>
                <w:lang w:eastAsia="zh-CN"/>
              </w:rPr>
              <w:t>et al</w:t>
            </w:r>
            <w:r w:rsidR="00D637A7" w:rsidRPr="003E3C73">
              <w:rPr>
                <w:rFonts w:ascii="Book Antiqua" w:hAnsi="Book Antiqua"/>
                <w:sz w:val="24"/>
                <w:szCs w:val="24"/>
                <w:vertAlign w:val="superscript"/>
              </w:rPr>
              <w:t>[71]</w:t>
            </w:r>
            <w:r w:rsidR="00D637A7">
              <w:rPr>
                <w:rFonts w:ascii="Book Antiqua" w:hAnsi="Book Antiqua" w:hint="eastAsia"/>
                <w:sz w:val="24"/>
                <w:szCs w:val="24"/>
                <w:lang w:eastAsia="zh-CN"/>
              </w:rPr>
              <w:t xml:space="preserve">, </w:t>
            </w:r>
            <w:r w:rsidRPr="00712539">
              <w:rPr>
                <w:rFonts w:ascii="Book Antiqua" w:hAnsi="Book Antiqua"/>
                <w:sz w:val="24"/>
                <w:szCs w:val="24"/>
              </w:rPr>
              <w:t>2015</w:t>
            </w:r>
          </w:p>
        </w:tc>
        <w:tc>
          <w:tcPr>
            <w:tcW w:w="1834" w:type="dxa"/>
            <w:shd w:val="clear" w:color="auto" w:fill="auto"/>
            <w:tcMar>
              <w:top w:w="72" w:type="dxa"/>
              <w:left w:w="144" w:type="dxa"/>
              <w:bottom w:w="72" w:type="dxa"/>
              <w:right w:w="144" w:type="dxa"/>
            </w:tcMar>
            <w:vAlign w:val="center"/>
          </w:tcPr>
          <w:p w14:paraId="253E785D" w14:textId="77777777" w:rsidR="004F0B9C" w:rsidRPr="00712539" w:rsidRDefault="004F0B9C" w:rsidP="0093109B">
            <w:pPr>
              <w:spacing w:after="0" w:line="360" w:lineRule="auto"/>
              <w:jc w:val="both"/>
              <w:rPr>
                <w:rFonts w:ascii="Book Antiqua" w:hAnsi="Book Antiqua"/>
                <w:sz w:val="24"/>
                <w:szCs w:val="24"/>
              </w:rPr>
            </w:pPr>
            <w:r w:rsidRPr="00712539">
              <w:rPr>
                <w:rFonts w:ascii="Book Antiqua" w:hAnsi="Book Antiqua"/>
                <w:sz w:val="24"/>
                <w:szCs w:val="24"/>
              </w:rPr>
              <w:t>Pancreas</w:t>
            </w:r>
          </w:p>
        </w:tc>
        <w:tc>
          <w:tcPr>
            <w:tcW w:w="1011" w:type="dxa"/>
            <w:shd w:val="clear" w:color="auto" w:fill="auto"/>
            <w:tcMar>
              <w:top w:w="72" w:type="dxa"/>
              <w:left w:w="144" w:type="dxa"/>
              <w:bottom w:w="72" w:type="dxa"/>
              <w:right w:w="144" w:type="dxa"/>
            </w:tcMar>
            <w:vAlign w:val="center"/>
          </w:tcPr>
          <w:p w14:paraId="689C5449" w14:textId="77777777" w:rsidR="004F0B9C" w:rsidRPr="00712539" w:rsidRDefault="004F0B9C" w:rsidP="0093109B">
            <w:pPr>
              <w:spacing w:after="0" w:line="360" w:lineRule="auto"/>
              <w:jc w:val="both"/>
              <w:rPr>
                <w:rFonts w:ascii="Book Antiqua" w:hAnsi="Book Antiqua"/>
                <w:sz w:val="24"/>
                <w:szCs w:val="24"/>
              </w:rPr>
            </w:pPr>
            <w:r w:rsidRPr="00712539">
              <w:rPr>
                <w:rFonts w:ascii="Book Antiqua" w:hAnsi="Book Antiqua"/>
                <w:sz w:val="24"/>
                <w:szCs w:val="24"/>
              </w:rPr>
              <w:t>152/160</w:t>
            </w:r>
          </w:p>
        </w:tc>
        <w:tc>
          <w:tcPr>
            <w:tcW w:w="1011" w:type="dxa"/>
            <w:shd w:val="clear" w:color="auto" w:fill="auto"/>
            <w:tcMar>
              <w:top w:w="72" w:type="dxa"/>
              <w:left w:w="144" w:type="dxa"/>
              <w:bottom w:w="72" w:type="dxa"/>
              <w:right w:w="144" w:type="dxa"/>
            </w:tcMar>
            <w:vAlign w:val="center"/>
          </w:tcPr>
          <w:p w14:paraId="505A5FD1" w14:textId="48122151" w:rsidR="004F0B9C" w:rsidRPr="00712539" w:rsidRDefault="003E3C73" w:rsidP="0093109B">
            <w:pPr>
              <w:spacing w:after="0" w:line="360" w:lineRule="auto"/>
              <w:jc w:val="both"/>
              <w:rPr>
                <w:rFonts w:ascii="Book Antiqua" w:hAnsi="Book Antiqua"/>
                <w:sz w:val="24"/>
                <w:szCs w:val="24"/>
              </w:rPr>
            </w:pPr>
            <w:r>
              <w:rPr>
                <w:rFonts w:ascii="Book Antiqua" w:hAnsi="Book Antiqua"/>
                <w:sz w:val="24"/>
                <w:szCs w:val="24"/>
              </w:rPr>
              <w:t>9.9</w:t>
            </w:r>
            <w:r w:rsidR="004F0B9C" w:rsidRPr="00712539">
              <w:rPr>
                <w:rFonts w:ascii="Book Antiqua" w:hAnsi="Book Antiqua"/>
                <w:sz w:val="24"/>
                <w:szCs w:val="24"/>
              </w:rPr>
              <w:t>%</w:t>
            </w:r>
          </w:p>
        </w:tc>
        <w:tc>
          <w:tcPr>
            <w:tcW w:w="900" w:type="dxa"/>
            <w:shd w:val="clear" w:color="auto" w:fill="auto"/>
            <w:tcMar>
              <w:top w:w="72" w:type="dxa"/>
              <w:left w:w="144" w:type="dxa"/>
              <w:bottom w:w="72" w:type="dxa"/>
              <w:right w:w="144" w:type="dxa"/>
            </w:tcMar>
            <w:vAlign w:val="center"/>
          </w:tcPr>
          <w:p w14:paraId="361AB2F6" w14:textId="655E74C8" w:rsidR="004F0B9C" w:rsidRPr="00712539" w:rsidRDefault="003E3C73" w:rsidP="0093109B">
            <w:pPr>
              <w:spacing w:after="0" w:line="360" w:lineRule="auto"/>
              <w:jc w:val="both"/>
              <w:rPr>
                <w:rFonts w:ascii="Book Antiqua" w:hAnsi="Book Antiqua"/>
                <w:sz w:val="24"/>
                <w:szCs w:val="24"/>
              </w:rPr>
            </w:pPr>
            <w:r>
              <w:rPr>
                <w:rFonts w:ascii="Book Antiqua" w:hAnsi="Book Antiqua"/>
                <w:sz w:val="24"/>
                <w:szCs w:val="24"/>
              </w:rPr>
              <w:t>1.3</w:t>
            </w:r>
            <w:r w:rsidR="004F0B9C" w:rsidRPr="00712539">
              <w:rPr>
                <w:rFonts w:ascii="Book Antiqua" w:hAnsi="Book Antiqua"/>
                <w:sz w:val="24"/>
                <w:szCs w:val="24"/>
              </w:rPr>
              <w:t>%</w:t>
            </w:r>
          </w:p>
        </w:tc>
        <w:tc>
          <w:tcPr>
            <w:tcW w:w="1152" w:type="dxa"/>
            <w:shd w:val="clear" w:color="auto" w:fill="auto"/>
            <w:vAlign w:val="center"/>
          </w:tcPr>
          <w:p w14:paraId="39505FA2" w14:textId="77777777" w:rsidR="004F0B9C" w:rsidRPr="00712539" w:rsidRDefault="004F0B9C" w:rsidP="0093109B">
            <w:pPr>
              <w:spacing w:after="0" w:line="360" w:lineRule="auto"/>
              <w:jc w:val="both"/>
              <w:rPr>
                <w:rFonts w:ascii="Book Antiqua" w:hAnsi="Book Antiqua"/>
                <w:sz w:val="24"/>
                <w:szCs w:val="24"/>
              </w:rPr>
            </w:pPr>
          </w:p>
        </w:tc>
        <w:tc>
          <w:tcPr>
            <w:tcW w:w="1152" w:type="dxa"/>
            <w:shd w:val="clear" w:color="auto" w:fill="auto"/>
            <w:tcMar>
              <w:top w:w="72" w:type="dxa"/>
              <w:left w:w="144" w:type="dxa"/>
              <w:bottom w:w="72" w:type="dxa"/>
              <w:right w:w="144" w:type="dxa"/>
            </w:tcMar>
            <w:vAlign w:val="center"/>
          </w:tcPr>
          <w:p w14:paraId="5B71A2A4" w14:textId="4B236FF9" w:rsidR="004F0B9C" w:rsidRPr="00712539" w:rsidRDefault="003E3C73" w:rsidP="0093109B">
            <w:pPr>
              <w:spacing w:after="0" w:line="360" w:lineRule="auto"/>
              <w:jc w:val="both"/>
              <w:rPr>
                <w:rFonts w:ascii="Book Antiqua" w:hAnsi="Book Antiqua"/>
                <w:sz w:val="24"/>
                <w:szCs w:val="24"/>
              </w:rPr>
            </w:pPr>
            <w:r>
              <w:rPr>
                <w:rFonts w:ascii="Book Antiqua" w:hAnsi="Book Antiqua"/>
                <w:sz w:val="24"/>
                <w:szCs w:val="24"/>
              </w:rPr>
              <w:t>- 87</w:t>
            </w:r>
            <w:r w:rsidR="004F0B9C" w:rsidRPr="00712539">
              <w:rPr>
                <w:rFonts w:ascii="Book Antiqua" w:hAnsi="Book Antiqua"/>
                <w:sz w:val="24"/>
                <w:szCs w:val="24"/>
              </w:rPr>
              <w:t>%</w:t>
            </w:r>
          </w:p>
        </w:tc>
      </w:tr>
    </w:tbl>
    <w:p w14:paraId="161CF561" w14:textId="77777777" w:rsidR="004F0B9C" w:rsidRPr="00712539" w:rsidRDefault="004F0B9C" w:rsidP="0093109B">
      <w:pPr>
        <w:spacing w:after="0" w:line="360" w:lineRule="auto"/>
        <w:jc w:val="both"/>
        <w:rPr>
          <w:rFonts w:ascii="Book Antiqua" w:hAnsi="Book Antiqua"/>
          <w:sz w:val="24"/>
          <w:szCs w:val="24"/>
          <w:lang w:val="en-US"/>
        </w:rPr>
      </w:pPr>
    </w:p>
    <w:p w14:paraId="2B42F04F" w14:textId="02E819AA" w:rsidR="003E3C73" w:rsidRPr="00712539" w:rsidRDefault="00D637A7" w:rsidP="003E3C73">
      <w:pPr>
        <w:spacing w:after="0" w:line="360" w:lineRule="auto"/>
        <w:jc w:val="both"/>
        <w:rPr>
          <w:rFonts w:ascii="Book Antiqua" w:hAnsi="Book Antiqua"/>
          <w:sz w:val="24"/>
          <w:szCs w:val="24"/>
          <w:lang w:val="en-US" w:eastAsia="zh-CN"/>
        </w:rPr>
      </w:pPr>
      <w:r>
        <w:rPr>
          <w:rFonts w:ascii="Book Antiqua" w:hAnsi="Book Antiqua" w:hint="eastAsia"/>
          <w:sz w:val="24"/>
          <w:szCs w:val="24"/>
          <w:vertAlign w:val="superscript"/>
          <w:lang w:eastAsia="zh-CN"/>
        </w:rPr>
        <w:t>1</w:t>
      </w:r>
      <w:r w:rsidRPr="00712539">
        <w:rPr>
          <w:rFonts w:ascii="Book Antiqua" w:hAnsi="Book Antiqua"/>
          <w:sz w:val="24"/>
          <w:szCs w:val="24"/>
          <w:lang w:val="en-US"/>
        </w:rPr>
        <w:t xml:space="preserve">Randomization 1:2; </w:t>
      </w:r>
      <w:r w:rsidRPr="00D637A7">
        <w:rPr>
          <w:rFonts w:ascii="Book Antiqua" w:hAnsi="Book Antiqua" w:hint="eastAsia"/>
          <w:sz w:val="24"/>
          <w:szCs w:val="24"/>
          <w:vertAlign w:val="superscript"/>
          <w:lang w:val="en-US" w:eastAsia="zh-CN"/>
        </w:rPr>
        <w:t>2</w:t>
      </w:r>
      <w:r w:rsidRPr="00712539">
        <w:rPr>
          <w:rFonts w:ascii="Book Antiqua" w:hAnsi="Book Antiqua"/>
          <w:sz w:val="24"/>
          <w:szCs w:val="24"/>
          <w:lang w:val="en-US"/>
        </w:rPr>
        <w:t>Gastric (</w:t>
      </w:r>
      <w:r w:rsidRPr="00D637A7">
        <w:rPr>
          <w:rFonts w:ascii="Book Antiqua" w:hAnsi="Book Antiqua"/>
          <w:i/>
          <w:sz w:val="24"/>
          <w:szCs w:val="24"/>
          <w:lang w:val="en-US"/>
        </w:rPr>
        <w:t>n</w:t>
      </w:r>
      <w:r w:rsidRPr="00712539">
        <w:rPr>
          <w:rFonts w:ascii="Book Antiqua" w:hAnsi="Book Antiqua"/>
          <w:sz w:val="24"/>
          <w:szCs w:val="24"/>
          <w:lang w:val="en-US"/>
        </w:rPr>
        <w:t xml:space="preserve"> = 40/58), colon (</w:t>
      </w:r>
      <w:r w:rsidRPr="00D637A7">
        <w:rPr>
          <w:rFonts w:ascii="Book Antiqua" w:hAnsi="Book Antiqua"/>
          <w:i/>
          <w:sz w:val="24"/>
          <w:szCs w:val="24"/>
          <w:lang w:val="en-US"/>
        </w:rPr>
        <w:t>n</w:t>
      </w:r>
      <w:r>
        <w:rPr>
          <w:rFonts w:ascii="Book Antiqua" w:hAnsi="Book Antiqua" w:hint="eastAsia"/>
          <w:sz w:val="24"/>
          <w:szCs w:val="24"/>
          <w:lang w:val="en-US" w:eastAsia="zh-CN"/>
        </w:rPr>
        <w:t xml:space="preserve"> </w:t>
      </w:r>
      <w:r w:rsidRPr="00712539">
        <w:rPr>
          <w:rFonts w:ascii="Book Antiqua" w:hAnsi="Book Antiqua"/>
          <w:sz w:val="24"/>
          <w:szCs w:val="24"/>
          <w:lang w:val="en-US"/>
        </w:rPr>
        <w:t>=</w:t>
      </w:r>
      <w:r>
        <w:rPr>
          <w:rFonts w:ascii="Book Antiqua" w:hAnsi="Book Antiqua" w:hint="eastAsia"/>
          <w:sz w:val="24"/>
          <w:szCs w:val="24"/>
          <w:lang w:val="en-US" w:eastAsia="zh-CN"/>
        </w:rPr>
        <w:t xml:space="preserve"> </w:t>
      </w:r>
      <w:r w:rsidRPr="00712539">
        <w:rPr>
          <w:rFonts w:ascii="Book Antiqua" w:hAnsi="Book Antiqua"/>
          <w:sz w:val="24"/>
          <w:szCs w:val="24"/>
          <w:lang w:val="en-US"/>
        </w:rPr>
        <w:t>79/156) and rectal (</w:t>
      </w:r>
      <w:r w:rsidRPr="00D637A7">
        <w:rPr>
          <w:rFonts w:ascii="Book Antiqua" w:hAnsi="Book Antiqua"/>
          <w:i/>
          <w:sz w:val="24"/>
          <w:szCs w:val="24"/>
          <w:lang w:val="en-US"/>
        </w:rPr>
        <w:t>n</w:t>
      </w:r>
      <w:r>
        <w:rPr>
          <w:rFonts w:ascii="Book Antiqua" w:hAnsi="Book Antiqua" w:hint="eastAsia"/>
          <w:sz w:val="24"/>
          <w:szCs w:val="24"/>
          <w:lang w:val="en-US" w:eastAsia="zh-CN"/>
        </w:rPr>
        <w:t xml:space="preserve"> </w:t>
      </w:r>
      <w:r w:rsidRPr="00712539">
        <w:rPr>
          <w:rFonts w:ascii="Book Antiqua" w:hAnsi="Book Antiqua"/>
          <w:sz w:val="24"/>
          <w:szCs w:val="24"/>
          <w:lang w:val="en-US"/>
        </w:rPr>
        <w:t>=</w:t>
      </w:r>
      <w:r>
        <w:rPr>
          <w:rFonts w:ascii="Book Antiqua" w:hAnsi="Book Antiqua" w:hint="eastAsia"/>
          <w:sz w:val="24"/>
          <w:szCs w:val="24"/>
          <w:lang w:val="en-US" w:eastAsia="zh-CN"/>
        </w:rPr>
        <w:t xml:space="preserve"> </w:t>
      </w:r>
      <w:r w:rsidRPr="00712539">
        <w:rPr>
          <w:rFonts w:ascii="Book Antiqua" w:hAnsi="Book Antiqua"/>
          <w:sz w:val="24"/>
          <w:szCs w:val="24"/>
          <w:lang w:val="en-US"/>
        </w:rPr>
        <w:t>29/58) cancers</w:t>
      </w:r>
      <w:r>
        <w:rPr>
          <w:rFonts w:ascii="Book Antiqua" w:hAnsi="Book Antiqua" w:hint="eastAsia"/>
          <w:sz w:val="24"/>
          <w:szCs w:val="24"/>
          <w:lang w:val="en-US" w:eastAsia="zh-CN"/>
        </w:rPr>
        <w:t xml:space="preserve">. </w:t>
      </w:r>
      <w:r w:rsidR="003E3C73" w:rsidRPr="00712539">
        <w:rPr>
          <w:rFonts w:ascii="Book Antiqua" w:hAnsi="Book Antiqua"/>
          <w:sz w:val="24"/>
          <w:szCs w:val="24"/>
          <w:lang w:val="en-US"/>
        </w:rPr>
        <w:t xml:space="preserve">LMWH: </w:t>
      </w:r>
      <w:r w:rsidRPr="00712539">
        <w:rPr>
          <w:rFonts w:ascii="Book Antiqua" w:hAnsi="Book Antiqua"/>
          <w:sz w:val="24"/>
          <w:szCs w:val="24"/>
          <w:lang w:val="en-US"/>
        </w:rPr>
        <w:t>L</w:t>
      </w:r>
      <w:r w:rsidR="003E3C73" w:rsidRPr="00712539">
        <w:rPr>
          <w:rFonts w:ascii="Book Antiqua" w:hAnsi="Book Antiqua"/>
          <w:sz w:val="24"/>
          <w:szCs w:val="24"/>
          <w:lang w:val="en-US"/>
        </w:rPr>
        <w:t xml:space="preserve">ow molecular weight heparin; U-LMWH: </w:t>
      </w:r>
      <w:r w:rsidRPr="00712539">
        <w:rPr>
          <w:rFonts w:ascii="Book Antiqua" w:hAnsi="Book Antiqua"/>
          <w:sz w:val="24"/>
          <w:szCs w:val="24"/>
          <w:lang w:val="en-US"/>
        </w:rPr>
        <w:t>U</w:t>
      </w:r>
      <w:r w:rsidR="003E3C73" w:rsidRPr="00712539">
        <w:rPr>
          <w:rFonts w:ascii="Book Antiqua" w:hAnsi="Book Antiqua"/>
          <w:sz w:val="24"/>
          <w:szCs w:val="24"/>
          <w:lang w:val="en-US"/>
        </w:rPr>
        <w:t xml:space="preserve">ltra-LMWH; RR: </w:t>
      </w:r>
      <w:r w:rsidRPr="00712539">
        <w:rPr>
          <w:rFonts w:ascii="Book Antiqua" w:hAnsi="Book Antiqua"/>
          <w:sz w:val="24"/>
          <w:szCs w:val="24"/>
          <w:lang w:val="en-US"/>
        </w:rPr>
        <w:t>R</w:t>
      </w:r>
      <w:r w:rsidR="003E3C73" w:rsidRPr="00712539">
        <w:rPr>
          <w:rFonts w:ascii="Book Antiqua" w:hAnsi="Book Antiqua"/>
          <w:sz w:val="24"/>
          <w:szCs w:val="24"/>
          <w:lang w:val="en-US"/>
        </w:rPr>
        <w:t>elative</w:t>
      </w:r>
      <w:r>
        <w:rPr>
          <w:rFonts w:ascii="Book Antiqua" w:hAnsi="Book Antiqua"/>
          <w:sz w:val="24"/>
          <w:szCs w:val="24"/>
          <w:lang w:val="en-US"/>
        </w:rPr>
        <w:t xml:space="preserve"> risk</w:t>
      </w:r>
      <w:r w:rsidR="003E3C73" w:rsidRPr="00712539">
        <w:rPr>
          <w:rFonts w:ascii="Book Antiqua" w:hAnsi="Book Antiqua"/>
          <w:sz w:val="24"/>
          <w:szCs w:val="24"/>
          <w:lang w:val="en-US"/>
        </w:rPr>
        <w:t xml:space="preserve">; VTE: </w:t>
      </w:r>
      <w:r w:rsidRPr="00712539">
        <w:rPr>
          <w:rFonts w:ascii="Book Antiqua" w:hAnsi="Book Antiqua"/>
          <w:sz w:val="24"/>
          <w:szCs w:val="24"/>
          <w:lang w:val="en-US"/>
        </w:rPr>
        <w:t>V</w:t>
      </w:r>
      <w:r w:rsidR="003E3C73" w:rsidRPr="00712539">
        <w:rPr>
          <w:rFonts w:ascii="Book Antiqua" w:hAnsi="Book Antiqua"/>
          <w:sz w:val="24"/>
          <w:szCs w:val="24"/>
          <w:lang w:val="en-US"/>
        </w:rPr>
        <w:t>enous thromboembolic event.</w:t>
      </w:r>
    </w:p>
    <w:p w14:paraId="377CD341" w14:textId="7808EC87" w:rsidR="004F0B9C" w:rsidRPr="006675F9" w:rsidRDefault="004F0B9C" w:rsidP="0093109B">
      <w:pPr>
        <w:spacing w:after="0" w:line="360" w:lineRule="auto"/>
        <w:jc w:val="both"/>
        <w:rPr>
          <w:rFonts w:ascii="Book Antiqua" w:hAnsi="Book Antiqua"/>
          <w:b/>
          <w:sz w:val="24"/>
          <w:szCs w:val="24"/>
          <w:lang w:val="en-US"/>
        </w:rPr>
      </w:pPr>
      <w:r w:rsidRPr="00712539">
        <w:rPr>
          <w:rFonts w:ascii="Book Antiqua" w:hAnsi="Book Antiqua"/>
          <w:sz w:val="24"/>
          <w:szCs w:val="24"/>
          <w:lang w:val="en-US"/>
        </w:rPr>
        <w:br w:type="page"/>
      </w:r>
      <w:r w:rsidR="005D5C96" w:rsidRPr="006675F9">
        <w:rPr>
          <w:rFonts w:ascii="Book Antiqua" w:hAnsi="Book Antiqua"/>
          <w:b/>
          <w:sz w:val="24"/>
          <w:szCs w:val="24"/>
          <w:lang w:val="en-US"/>
        </w:rPr>
        <w:lastRenderedPageBreak/>
        <w:t>Table 4</w:t>
      </w:r>
      <w:r w:rsidRPr="006675F9">
        <w:rPr>
          <w:rFonts w:ascii="Book Antiqua" w:hAnsi="Book Antiqua"/>
          <w:b/>
          <w:sz w:val="24"/>
          <w:szCs w:val="24"/>
          <w:lang w:val="en-US"/>
        </w:rPr>
        <w:t xml:space="preserve"> Assessment scores for prediction of the </w:t>
      </w:r>
      <w:r w:rsidR="005D5C96" w:rsidRPr="006675F9">
        <w:rPr>
          <w:rFonts w:ascii="Book Antiqua" w:hAnsi="Book Antiqua"/>
          <w:b/>
          <w:sz w:val="24"/>
          <w:szCs w:val="24"/>
          <w:lang w:val="en-US"/>
        </w:rPr>
        <w:t>venous thromboembolic event</w:t>
      </w:r>
      <w:r w:rsidRPr="006675F9">
        <w:rPr>
          <w:rFonts w:ascii="Book Antiqua" w:hAnsi="Book Antiqua"/>
          <w:b/>
          <w:sz w:val="24"/>
          <w:szCs w:val="24"/>
          <w:lang w:val="en-US"/>
        </w:rPr>
        <w:t>-risk in cancer out-patients receiving chemother</w:t>
      </w:r>
      <w:r w:rsidR="005D5C96" w:rsidRPr="006675F9">
        <w:rPr>
          <w:rFonts w:ascii="Book Antiqua" w:hAnsi="Book Antiqua"/>
          <w:b/>
          <w:sz w:val="24"/>
          <w:szCs w:val="24"/>
          <w:lang w:val="en-US"/>
        </w:rPr>
        <w:t xml:space="preserve">apy, according to Khorana </w:t>
      </w:r>
      <w:r w:rsidR="005D5C96" w:rsidRPr="006675F9">
        <w:rPr>
          <w:rFonts w:ascii="Book Antiqua" w:hAnsi="Book Antiqua"/>
          <w:b/>
          <w:i/>
          <w:sz w:val="24"/>
          <w:szCs w:val="24"/>
          <w:lang w:val="en-US"/>
        </w:rPr>
        <w:t xml:space="preserve">et </w:t>
      </w:r>
      <w:proofErr w:type="gramStart"/>
      <w:r w:rsidR="005D5C96" w:rsidRPr="006675F9">
        <w:rPr>
          <w:rFonts w:ascii="Book Antiqua" w:hAnsi="Book Antiqua"/>
          <w:b/>
          <w:i/>
          <w:sz w:val="24"/>
          <w:szCs w:val="24"/>
          <w:lang w:val="en-US"/>
        </w:rPr>
        <w:t>al</w:t>
      </w:r>
      <w:r w:rsidR="006675F9" w:rsidRPr="006675F9">
        <w:rPr>
          <w:rFonts w:ascii="Book Antiqua" w:hAnsi="Book Antiqua" w:hint="eastAsia"/>
          <w:b/>
          <w:sz w:val="24"/>
          <w:szCs w:val="24"/>
          <w:vertAlign w:val="superscript"/>
          <w:lang w:val="en-US" w:eastAsia="zh-CN"/>
        </w:rPr>
        <w:t>[</w:t>
      </w:r>
      <w:proofErr w:type="gramEnd"/>
      <w:r w:rsidR="006675F9" w:rsidRPr="006675F9">
        <w:rPr>
          <w:rFonts w:ascii="Book Antiqua" w:hAnsi="Book Antiqua" w:hint="eastAsia"/>
          <w:b/>
          <w:sz w:val="24"/>
          <w:szCs w:val="24"/>
          <w:vertAlign w:val="superscript"/>
          <w:lang w:val="en-US" w:eastAsia="zh-CN"/>
        </w:rPr>
        <w:t>73]</w:t>
      </w:r>
      <w:r w:rsidR="006675F9" w:rsidRPr="006675F9">
        <w:rPr>
          <w:rFonts w:ascii="Book Antiqua" w:hAnsi="Book Antiqua" w:hint="eastAsia"/>
          <w:b/>
          <w:sz w:val="24"/>
          <w:szCs w:val="24"/>
          <w:lang w:val="en-US" w:eastAsia="zh-CN"/>
        </w:rPr>
        <w:t>,</w:t>
      </w:r>
      <w:r w:rsidRPr="006675F9">
        <w:rPr>
          <w:rFonts w:ascii="Book Antiqua" w:hAnsi="Book Antiqua"/>
          <w:b/>
          <w:sz w:val="24"/>
          <w:szCs w:val="24"/>
          <w:lang w:val="en-US"/>
        </w:rPr>
        <w:t xml:space="preserve"> Pabinger </w:t>
      </w:r>
      <w:r w:rsidRPr="006675F9">
        <w:rPr>
          <w:rFonts w:ascii="Book Antiqua" w:hAnsi="Book Antiqua"/>
          <w:b/>
          <w:i/>
          <w:sz w:val="24"/>
          <w:szCs w:val="24"/>
          <w:lang w:val="en-US"/>
        </w:rPr>
        <w:t>et al</w:t>
      </w:r>
      <w:r w:rsidR="006675F9" w:rsidRPr="006675F9">
        <w:rPr>
          <w:rFonts w:ascii="Book Antiqua" w:hAnsi="Book Antiqua" w:hint="eastAsia"/>
          <w:b/>
          <w:sz w:val="24"/>
          <w:szCs w:val="24"/>
          <w:vertAlign w:val="superscript"/>
          <w:lang w:val="en-US" w:eastAsia="zh-CN"/>
        </w:rPr>
        <w:t>[75]</w:t>
      </w:r>
      <w:r w:rsidR="006675F9" w:rsidRPr="006675F9">
        <w:rPr>
          <w:rFonts w:ascii="Book Antiqua" w:hAnsi="Book Antiqua"/>
          <w:b/>
          <w:sz w:val="24"/>
          <w:szCs w:val="24"/>
          <w:lang w:val="en-US"/>
        </w:rPr>
        <w:t xml:space="preserve"> and Verso</w:t>
      </w:r>
      <w:r w:rsidR="006675F9" w:rsidRPr="006675F9">
        <w:rPr>
          <w:rFonts w:ascii="Book Antiqua" w:hAnsi="Book Antiqua"/>
          <w:b/>
          <w:i/>
          <w:sz w:val="24"/>
          <w:szCs w:val="24"/>
          <w:lang w:val="en-US"/>
        </w:rPr>
        <w:t xml:space="preserve"> et al</w:t>
      </w:r>
      <w:r w:rsidRPr="006675F9">
        <w:rPr>
          <w:rFonts w:ascii="Book Antiqua" w:hAnsi="Book Antiqua"/>
          <w:b/>
          <w:sz w:val="24"/>
          <w:szCs w:val="24"/>
          <w:vertAlign w:val="superscript"/>
          <w:lang w:val="en-US"/>
        </w:rPr>
        <w:t xml:space="preserve">[76] </w:t>
      </w:r>
    </w:p>
    <w:p w14:paraId="70B12EE4" w14:textId="77777777" w:rsidR="004F0B9C" w:rsidRPr="00712539" w:rsidRDefault="004F0B9C" w:rsidP="0093109B">
      <w:pPr>
        <w:spacing w:after="0" w:line="360" w:lineRule="auto"/>
        <w:jc w:val="both"/>
        <w:rPr>
          <w:rFonts w:ascii="Book Antiqua" w:hAnsi="Book Antiqua"/>
          <w:sz w:val="24"/>
          <w:szCs w:val="24"/>
          <w:lang w:val="en-US"/>
        </w:rPr>
      </w:pPr>
    </w:p>
    <w:tbl>
      <w:tblPr>
        <w:tblW w:w="9376" w:type="dxa"/>
        <w:tblCellMar>
          <w:left w:w="0" w:type="dxa"/>
          <w:right w:w="0" w:type="dxa"/>
        </w:tblCellMar>
        <w:tblLook w:val="0000" w:firstRow="0" w:lastRow="0" w:firstColumn="0" w:lastColumn="0" w:noHBand="0" w:noVBand="0"/>
      </w:tblPr>
      <w:tblGrid>
        <w:gridCol w:w="8452"/>
        <w:gridCol w:w="924"/>
      </w:tblGrid>
      <w:tr w:rsidR="0093109B" w:rsidRPr="00712539" w14:paraId="18559600" w14:textId="77777777" w:rsidTr="001F0C30">
        <w:trPr>
          <w:trHeight w:val="408"/>
        </w:trPr>
        <w:tc>
          <w:tcPr>
            <w:tcW w:w="8526" w:type="dxa"/>
            <w:tcBorders>
              <w:top w:val="single" w:sz="8" w:space="0" w:color="000000"/>
              <w:left w:val="single" w:sz="8" w:space="0" w:color="000000"/>
              <w:bottom w:val="single" w:sz="8" w:space="0" w:color="000000"/>
              <w:right w:val="single" w:sz="8" w:space="0" w:color="000000"/>
            </w:tcBorders>
            <w:tcMar>
              <w:top w:w="72" w:type="dxa"/>
              <w:left w:w="162" w:type="dxa"/>
              <w:bottom w:w="72" w:type="dxa"/>
              <w:right w:w="162" w:type="dxa"/>
            </w:tcMar>
            <w:vAlign w:val="center"/>
          </w:tcPr>
          <w:p w14:paraId="5860CDC6" w14:textId="77777777" w:rsidR="004F0B9C" w:rsidRPr="006675F9" w:rsidRDefault="004F0B9C" w:rsidP="0093109B">
            <w:pPr>
              <w:spacing w:after="0" w:line="360" w:lineRule="auto"/>
              <w:jc w:val="both"/>
              <w:rPr>
                <w:rFonts w:ascii="Book Antiqua" w:hAnsi="Book Antiqua"/>
                <w:sz w:val="24"/>
                <w:szCs w:val="24"/>
              </w:rPr>
            </w:pPr>
            <w:r w:rsidRPr="006675F9">
              <w:rPr>
                <w:rFonts w:ascii="Book Antiqua" w:hAnsi="Book Antiqua"/>
                <w:b/>
                <w:bCs/>
                <w:sz w:val="24"/>
                <w:szCs w:val="24"/>
              </w:rPr>
              <w:t>Khorana score criteria</w:t>
            </w:r>
            <w:r w:rsidRPr="006675F9">
              <w:rPr>
                <w:rFonts w:ascii="Book Antiqua" w:hAnsi="Book Antiqua"/>
                <w:b/>
                <w:bCs/>
                <w:sz w:val="24"/>
                <w:szCs w:val="24"/>
                <w:vertAlign w:val="superscript"/>
              </w:rPr>
              <w:t>[73]</w:t>
            </w:r>
          </w:p>
        </w:tc>
        <w:tc>
          <w:tcPr>
            <w:tcW w:w="850" w:type="dxa"/>
            <w:tcBorders>
              <w:top w:val="single" w:sz="8" w:space="0" w:color="000000"/>
              <w:left w:val="single" w:sz="8" w:space="0" w:color="000000"/>
              <w:bottom w:val="single" w:sz="8" w:space="0" w:color="000000"/>
              <w:right w:val="single" w:sz="8" w:space="0" w:color="000000"/>
            </w:tcBorders>
            <w:tcMar>
              <w:top w:w="72" w:type="dxa"/>
              <w:left w:w="162" w:type="dxa"/>
              <w:bottom w:w="72" w:type="dxa"/>
              <w:right w:w="162" w:type="dxa"/>
            </w:tcMar>
            <w:vAlign w:val="center"/>
          </w:tcPr>
          <w:p w14:paraId="14C302F8" w14:textId="033717B5" w:rsidR="004F0B9C" w:rsidRPr="006675F9" w:rsidRDefault="006675F9" w:rsidP="0093109B">
            <w:pPr>
              <w:spacing w:after="0" w:line="360" w:lineRule="auto"/>
              <w:jc w:val="both"/>
              <w:rPr>
                <w:rFonts w:ascii="Book Antiqua" w:hAnsi="Book Antiqua"/>
                <w:sz w:val="24"/>
                <w:szCs w:val="24"/>
              </w:rPr>
            </w:pPr>
            <w:r w:rsidRPr="006675F9">
              <w:rPr>
                <w:rFonts w:ascii="Book Antiqua" w:hAnsi="Book Antiqua"/>
                <w:b/>
                <w:bCs/>
                <w:sz w:val="24"/>
                <w:szCs w:val="24"/>
              </w:rPr>
              <w:t>S</w:t>
            </w:r>
            <w:r w:rsidR="004F0B9C" w:rsidRPr="006675F9">
              <w:rPr>
                <w:rFonts w:ascii="Book Antiqua" w:hAnsi="Book Antiqua"/>
                <w:b/>
                <w:bCs/>
                <w:sz w:val="24"/>
                <w:szCs w:val="24"/>
              </w:rPr>
              <w:t>core</w:t>
            </w:r>
          </w:p>
        </w:tc>
      </w:tr>
      <w:tr w:rsidR="0093109B" w:rsidRPr="00712539" w14:paraId="2E56AD32" w14:textId="77777777" w:rsidTr="001F0C30">
        <w:trPr>
          <w:trHeight w:val="242"/>
        </w:trPr>
        <w:tc>
          <w:tcPr>
            <w:tcW w:w="8526" w:type="dxa"/>
            <w:tcBorders>
              <w:top w:val="single" w:sz="8" w:space="0" w:color="000000"/>
              <w:left w:val="single" w:sz="8" w:space="0" w:color="000000"/>
              <w:bottom w:val="single" w:sz="8" w:space="0" w:color="000000"/>
              <w:right w:val="single" w:sz="8" w:space="0" w:color="000000"/>
            </w:tcBorders>
            <w:tcMar>
              <w:top w:w="72" w:type="dxa"/>
              <w:left w:w="162" w:type="dxa"/>
              <w:bottom w:w="72" w:type="dxa"/>
              <w:right w:w="162" w:type="dxa"/>
            </w:tcMar>
            <w:vAlign w:val="center"/>
          </w:tcPr>
          <w:p w14:paraId="2668306E" w14:textId="77777777" w:rsidR="004F0B9C" w:rsidRPr="006675F9" w:rsidRDefault="004F0B9C" w:rsidP="0093109B">
            <w:pPr>
              <w:spacing w:after="0" w:line="360" w:lineRule="auto"/>
              <w:jc w:val="both"/>
              <w:rPr>
                <w:rFonts w:ascii="Book Antiqua" w:hAnsi="Book Antiqua"/>
                <w:sz w:val="24"/>
                <w:szCs w:val="24"/>
              </w:rPr>
            </w:pPr>
            <w:r w:rsidRPr="006675F9">
              <w:rPr>
                <w:rFonts w:ascii="Book Antiqua" w:hAnsi="Book Antiqua"/>
                <w:sz w:val="24"/>
                <w:szCs w:val="24"/>
              </w:rPr>
              <w:t>Primary cancer</w:t>
            </w:r>
          </w:p>
        </w:tc>
        <w:tc>
          <w:tcPr>
            <w:tcW w:w="850" w:type="dxa"/>
            <w:tcBorders>
              <w:top w:val="single" w:sz="8" w:space="0" w:color="000000"/>
              <w:left w:val="single" w:sz="8" w:space="0" w:color="000000"/>
              <w:bottom w:val="single" w:sz="8" w:space="0" w:color="000000"/>
              <w:right w:val="single" w:sz="8" w:space="0" w:color="000000"/>
            </w:tcBorders>
            <w:tcMar>
              <w:top w:w="72" w:type="dxa"/>
              <w:left w:w="162" w:type="dxa"/>
              <w:bottom w:w="72" w:type="dxa"/>
              <w:right w:w="162" w:type="dxa"/>
            </w:tcMar>
            <w:vAlign w:val="center"/>
          </w:tcPr>
          <w:p w14:paraId="0616A8CE" w14:textId="77777777" w:rsidR="004F0B9C" w:rsidRPr="006675F9" w:rsidRDefault="004F0B9C" w:rsidP="0093109B">
            <w:pPr>
              <w:spacing w:after="0" w:line="360" w:lineRule="auto"/>
              <w:jc w:val="both"/>
              <w:rPr>
                <w:rFonts w:ascii="Book Antiqua" w:hAnsi="Book Antiqua"/>
                <w:sz w:val="24"/>
                <w:szCs w:val="24"/>
              </w:rPr>
            </w:pPr>
          </w:p>
        </w:tc>
      </w:tr>
      <w:tr w:rsidR="0093109B" w:rsidRPr="00712539" w14:paraId="157BB243" w14:textId="77777777" w:rsidTr="001F0C30">
        <w:trPr>
          <w:trHeight w:val="248"/>
        </w:trPr>
        <w:tc>
          <w:tcPr>
            <w:tcW w:w="8526" w:type="dxa"/>
            <w:tcBorders>
              <w:top w:val="single" w:sz="8" w:space="0" w:color="000000"/>
              <w:left w:val="single" w:sz="8" w:space="0" w:color="000000"/>
              <w:bottom w:val="single" w:sz="8" w:space="0" w:color="000000"/>
              <w:right w:val="single" w:sz="8" w:space="0" w:color="000000"/>
            </w:tcBorders>
            <w:tcMar>
              <w:top w:w="72" w:type="dxa"/>
              <w:left w:w="162" w:type="dxa"/>
              <w:bottom w:w="72" w:type="dxa"/>
              <w:right w:w="162" w:type="dxa"/>
            </w:tcMar>
            <w:vAlign w:val="center"/>
          </w:tcPr>
          <w:p w14:paraId="4E3F2025" w14:textId="210BD479" w:rsidR="004F0B9C" w:rsidRPr="006675F9" w:rsidRDefault="006675F9" w:rsidP="006675F9">
            <w:pPr>
              <w:spacing w:after="0" w:line="360" w:lineRule="auto"/>
              <w:ind w:firstLineChars="100" w:firstLine="240"/>
              <w:jc w:val="both"/>
              <w:rPr>
                <w:rFonts w:ascii="Book Antiqua" w:hAnsi="Book Antiqua"/>
                <w:sz w:val="24"/>
                <w:szCs w:val="24"/>
                <w:lang w:val="en-US"/>
              </w:rPr>
            </w:pPr>
            <w:r w:rsidRPr="006675F9">
              <w:rPr>
                <w:rFonts w:ascii="Book Antiqua" w:hAnsi="Book Antiqua"/>
                <w:sz w:val="24"/>
                <w:szCs w:val="24"/>
                <w:lang w:val="en-US"/>
              </w:rPr>
              <w:t>W</w:t>
            </w:r>
            <w:r w:rsidR="004F0B9C" w:rsidRPr="006675F9">
              <w:rPr>
                <w:rFonts w:ascii="Book Antiqua" w:hAnsi="Book Antiqua"/>
                <w:sz w:val="24"/>
                <w:szCs w:val="24"/>
                <w:lang w:val="en-US"/>
              </w:rPr>
              <w:t>ith very high risk (pancreas, stomach) (</w:t>
            </w:r>
            <w:r w:rsidR="004F0B9C" w:rsidRPr="006675F9">
              <w:rPr>
                <w:rFonts w:ascii="Book Antiqua" w:hAnsi="Book Antiqua"/>
                <w:iCs/>
                <w:sz w:val="24"/>
                <w:szCs w:val="24"/>
                <w:lang w:val="en-US"/>
              </w:rPr>
              <w:t>high grade glioma</w:t>
            </w:r>
            <w:r w:rsidRPr="006675F9">
              <w:rPr>
                <w:rFonts w:ascii="Book Antiqua" w:hAnsi="Book Antiqua" w:hint="eastAsia"/>
                <w:iCs/>
                <w:sz w:val="24"/>
                <w:szCs w:val="24"/>
                <w:vertAlign w:val="superscript"/>
                <w:lang w:val="en-US" w:eastAsia="zh-CN"/>
              </w:rPr>
              <w:t>1</w:t>
            </w:r>
            <w:r w:rsidR="004F0B9C" w:rsidRPr="006675F9">
              <w:rPr>
                <w:rFonts w:ascii="Book Antiqua" w:hAnsi="Book Antiqua"/>
                <w:sz w:val="24"/>
                <w:szCs w:val="24"/>
                <w:lang w:val="en-US"/>
              </w:rPr>
              <w:t>)</w:t>
            </w:r>
          </w:p>
        </w:tc>
        <w:tc>
          <w:tcPr>
            <w:tcW w:w="850" w:type="dxa"/>
            <w:tcBorders>
              <w:top w:val="single" w:sz="8" w:space="0" w:color="000000"/>
              <w:left w:val="single" w:sz="8" w:space="0" w:color="000000"/>
              <w:bottom w:val="single" w:sz="8" w:space="0" w:color="000000"/>
              <w:right w:val="single" w:sz="8" w:space="0" w:color="000000"/>
            </w:tcBorders>
            <w:tcMar>
              <w:top w:w="72" w:type="dxa"/>
              <w:left w:w="162" w:type="dxa"/>
              <w:bottom w:w="72" w:type="dxa"/>
              <w:right w:w="162" w:type="dxa"/>
            </w:tcMar>
            <w:vAlign w:val="center"/>
          </w:tcPr>
          <w:p w14:paraId="66C10222" w14:textId="77777777" w:rsidR="004F0B9C" w:rsidRPr="006675F9" w:rsidRDefault="004F0B9C" w:rsidP="0093109B">
            <w:pPr>
              <w:spacing w:after="0" w:line="360" w:lineRule="auto"/>
              <w:jc w:val="both"/>
              <w:rPr>
                <w:rFonts w:ascii="Book Antiqua" w:hAnsi="Book Antiqua"/>
                <w:sz w:val="24"/>
                <w:szCs w:val="24"/>
              </w:rPr>
            </w:pPr>
            <w:r w:rsidRPr="006675F9">
              <w:rPr>
                <w:rFonts w:ascii="Book Antiqua" w:hAnsi="Book Antiqua"/>
                <w:sz w:val="24"/>
                <w:szCs w:val="24"/>
              </w:rPr>
              <w:t>2</w:t>
            </w:r>
          </w:p>
        </w:tc>
      </w:tr>
      <w:tr w:rsidR="0093109B" w:rsidRPr="00712539" w14:paraId="23A640FC" w14:textId="77777777" w:rsidTr="001F0C30">
        <w:trPr>
          <w:trHeight w:val="240"/>
        </w:trPr>
        <w:tc>
          <w:tcPr>
            <w:tcW w:w="8526" w:type="dxa"/>
            <w:tcBorders>
              <w:top w:val="single" w:sz="8" w:space="0" w:color="000000"/>
              <w:left w:val="single" w:sz="8" w:space="0" w:color="000000"/>
              <w:bottom w:val="single" w:sz="8" w:space="0" w:color="000000"/>
              <w:right w:val="single" w:sz="8" w:space="0" w:color="000000"/>
            </w:tcBorders>
            <w:tcMar>
              <w:top w:w="72" w:type="dxa"/>
              <w:left w:w="162" w:type="dxa"/>
              <w:bottom w:w="72" w:type="dxa"/>
              <w:right w:w="162" w:type="dxa"/>
            </w:tcMar>
            <w:vAlign w:val="center"/>
          </w:tcPr>
          <w:p w14:paraId="45727AFF" w14:textId="086FBE08" w:rsidR="004F0B9C" w:rsidRPr="006675F9" w:rsidRDefault="006675F9" w:rsidP="006675F9">
            <w:pPr>
              <w:spacing w:after="0" w:line="360" w:lineRule="auto"/>
              <w:ind w:firstLineChars="100" w:firstLine="240"/>
              <w:jc w:val="both"/>
              <w:rPr>
                <w:rFonts w:ascii="Book Antiqua" w:hAnsi="Book Antiqua"/>
                <w:sz w:val="24"/>
                <w:szCs w:val="24"/>
                <w:lang w:val="en-US"/>
              </w:rPr>
            </w:pPr>
            <w:r w:rsidRPr="006675F9">
              <w:rPr>
                <w:rFonts w:ascii="Book Antiqua" w:hAnsi="Book Antiqua"/>
                <w:sz w:val="24"/>
                <w:szCs w:val="24"/>
                <w:lang w:val="en-US"/>
              </w:rPr>
              <w:t>W</w:t>
            </w:r>
            <w:r w:rsidR="004F0B9C" w:rsidRPr="006675F9">
              <w:rPr>
                <w:rFonts w:ascii="Book Antiqua" w:hAnsi="Book Antiqua"/>
                <w:sz w:val="24"/>
                <w:szCs w:val="24"/>
                <w:lang w:val="en-US"/>
              </w:rPr>
              <w:t>ith high risk (lung,</w:t>
            </w:r>
            <w:r w:rsidR="00451163" w:rsidRPr="006675F9">
              <w:rPr>
                <w:rFonts w:ascii="Book Antiqua" w:hAnsi="Book Antiqua"/>
                <w:sz w:val="24"/>
                <w:szCs w:val="24"/>
                <w:lang w:val="en-US"/>
              </w:rPr>
              <w:t xml:space="preserve"> </w:t>
            </w:r>
            <w:r w:rsidR="004F0B9C" w:rsidRPr="006675F9">
              <w:rPr>
                <w:rFonts w:ascii="Book Antiqua" w:hAnsi="Book Antiqua"/>
                <w:sz w:val="24"/>
                <w:szCs w:val="24"/>
                <w:lang w:val="en-US"/>
              </w:rPr>
              <w:t>lymphoma, gynecologic, bladder, testicular)</w:t>
            </w:r>
          </w:p>
        </w:tc>
        <w:tc>
          <w:tcPr>
            <w:tcW w:w="850" w:type="dxa"/>
            <w:tcBorders>
              <w:top w:val="single" w:sz="8" w:space="0" w:color="000000"/>
              <w:left w:val="single" w:sz="8" w:space="0" w:color="000000"/>
              <w:bottom w:val="single" w:sz="8" w:space="0" w:color="000000"/>
              <w:right w:val="single" w:sz="8" w:space="0" w:color="000000"/>
            </w:tcBorders>
            <w:tcMar>
              <w:top w:w="72" w:type="dxa"/>
              <w:left w:w="162" w:type="dxa"/>
              <w:bottom w:w="72" w:type="dxa"/>
              <w:right w:w="162" w:type="dxa"/>
            </w:tcMar>
            <w:vAlign w:val="center"/>
          </w:tcPr>
          <w:p w14:paraId="53E56D7D" w14:textId="77777777" w:rsidR="004F0B9C" w:rsidRPr="006675F9" w:rsidRDefault="004F0B9C" w:rsidP="0093109B">
            <w:pPr>
              <w:spacing w:after="0" w:line="360" w:lineRule="auto"/>
              <w:jc w:val="both"/>
              <w:rPr>
                <w:rFonts w:ascii="Book Antiqua" w:hAnsi="Book Antiqua"/>
                <w:sz w:val="24"/>
                <w:szCs w:val="24"/>
              </w:rPr>
            </w:pPr>
            <w:r w:rsidRPr="006675F9">
              <w:rPr>
                <w:rFonts w:ascii="Book Antiqua" w:hAnsi="Book Antiqua"/>
                <w:sz w:val="24"/>
                <w:szCs w:val="24"/>
              </w:rPr>
              <w:t>1</w:t>
            </w:r>
          </w:p>
        </w:tc>
      </w:tr>
      <w:tr w:rsidR="0093109B" w:rsidRPr="00712539" w14:paraId="33D4758B" w14:textId="77777777" w:rsidTr="001F0C30">
        <w:trPr>
          <w:trHeight w:val="90"/>
        </w:trPr>
        <w:tc>
          <w:tcPr>
            <w:tcW w:w="8526" w:type="dxa"/>
            <w:tcBorders>
              <w:top w:val="single" w:sz="8" w:space="0" w:color="000000"/>
              <w:left w:val="single" w:sz="8" w:space="0" w:color="000000"/>
              <w:bottom w:val="single" w:sz="8" w:space="0" w:color="000000"/>
              <w:right w:val="single" w:sz="8" w:space="0" w:color="000000"/>
            </w:tcBorders>
            <w:tcMar>
              <w:top w:w="72" w:type="dxa"/>
              <w:left w:w="162" w:type="dxa"/>
              <w:bottom w:w="72" w:type="dxa"/>
              <w:right w:w="162" w:type="dxa"/>
            </w:tcMar>
            <w:vAlign w:val="center"/>
          </w:tcPr>
          <w:p w14:paraId="3C17BE97" w14:textId="626D84D4" w:rsidR="004F0B9C" w:rsidRPr="006675F9" w:rsidRDefault="004F0B9C" w:rsidP="0093109B">
            <w:pPr>
              <w:spacing w:after="0" w:line="360" w:lineRule="auto"/>
              <w:jc w:val="both"/>
              <w:rPr>
                <w:rFonts w:ascii="Book Antiqua" w:hAnsi="Book Antiqua"/>
                <w:sz w:val="24"/>
                <w:szCs w:val="24"/>
                <w:lang w:val="en-US"/>
              </w:rPr>
            </w:pPr>
            <w:r w:rsidRPr="006675F9">
              <w:rPr>
                <w:rFonts w:ascii="Book Antiqua" w:hAnsi="Book Antiqua"/>
                <w:sz w:val="24"/>
                <w:szCs w:val="24"/>
                <w:lang w:val="en-US"/>
              </w:rPr>
              <w:t>Platelet count prior to chemotherapy &gt; 350 000/µ</w:t>
            </w:r>
            <w:r w:rsidR="006675F9" w:rsidRPr="006675F9">
              <w:rPr>
                <w:rFonts w:ascii="Book Antiqua" w:hAnsi="Book Antiqua"/>
                <w:sz w:val="24"/>
                <w:szCs w:val="24"/>
                <w:lang w:val="en-US"/>
              </w:rPr>
              <w:t>L</w:t>
            </w:r>
          </w:p>
        </w:tc>
        <w:tc>
          <w:tcPr>
            <w:tcW w:w="850" w:type="dxa"/>
            <w:tcBorders>
              <w:top w:val="single" w:sz="8" w:space="0" w:color="000000"/>
              <w:left w:val="single" w:sz="8" w:space="0" w:color="000000"/>
              <w:bottom w:val="single" w:sz="8" w:space="0" w:color="000000"/>
              <w:right w:val="single" w:sz="8" w:space="0" w:color="000000"/>
            </w:tcBorders>
            <w:tcMar>
              <w:top w:w="72" w:type="dxa"/>
              <w:left w:w="162" w:type="dxa"/>
              <w:bottom w:w="72" w:type="dxa"/>
              <w:right w:w="162" w:type="dxa"/>
            </w:tcMar>
            <w:vAlign w:val="center"/>
          </w:tcPr>
          <w:p w14:paraId="75F785C9" w14:textId="77777777" w:rsidR="004F0B9C" w:rsidRPr="006675F9" w:rsidRDefault="004F0B9C" w:rsidP="0093109B">
            <w:pPr>
              <w:spacing w:after="0" w:line="360" w:lineRule="auto"/>
              <w:jc w:val="both"/>
              <w:rPr>
                <w:rFonts w:ascii="Book Antiqua" w:hAnsi="Book Antiqua"/>
                <w:sz w:val="24"/>
                <w:szCs w:val="24"/>
              </w:rPr>
            </w:pPr>
            <w:r w:rsidRPr="006675F9">
              <w:rPr>
                <w:rFonts w:ascii="Book Antiqua" w:hAnsi="Book Antiqua"/>
                <w:sz w:val="24"/>
                <w:szCs w:val="24"/>
              </w:rPr>
              <w:t>1</w:t>
            </w:r>
          </w:p>
        </w:tc>
      </w:tr>
      <w:tr w:rsidR="0093109B" w:rsidRPr="00712539" w14:paraId="42B2070B" w14:textId="77777777" w:rsidTr="001F0C30">
        <w:trPr>
          <w:trHeight w:val="224"/>
        </w:trPr>
        <w:tc>
          <w:tcPr>
            <w:tcW w:w="8526" w:type="dxa"/>
            <w:tcBorders>
              <w:top w:val="single" w:sz="8" w:space="0" w:color="000000"/>
              <w:left w:val="single" w:sz="8" w:space="0" w:color="000000"/>
              <w:bottom w:val="single" w:sz="8" w:space="0" w:color="000000"/>
              <w:right w:val="single" w:sz="8" w:space="0" w:color="000000"/>
            </w:tcBorders>
            <w:tcMar>
              <w:top w:w="72" w:type="dxa"/>
              <w:left w:w="162" w:type="dxa"/>
              <w:bottom w:w="72" w:type="dxa"/>
              <w:right w:w="162" w:type="dxa"/>
            </w:tcMar>
            <w:vAlign w:val="center"/>
          </w:tcPr>
          <w:p w14:paraId="78AE2358" w14:textId="6358B972" w:rsidR="004F0B9C" w:rsidRPr="006675F9" w:rsidRDefault="004F0B9C" w:rsidP="0093109B">
            <w:pPr>
              <w:spacing w:after="0" w:line="360" w:lineRule="auto"/>
              <w:jc w:val="both"/>
              <w:rPr>
                <w:rFonts w:ascii="Book Antiqua" w:hAnsi="Book Antiqua"/>
                <w:sz w:val="24"/>
                <w:szCs w:val="24"/>
                <w:lang w:val="en-US"/>
              </w:rPr>
            </w:pPr>
            <w:r w:rsidRPr="006675F9">
              <w:rPr>
                <w:rFonts w:ascii="Book Antiqua" w:hAnsi="Book Antiqua"/>
                <w:sz w:val="24"/>
                <w:szCs w:val="24"/>
                <w:lang w:val="en-US"/>
              </w:rPr>
              <w:t>Hb &lt; 10</w:t>
            </w:r>
            <w:r w:rsidR="006675F9">
              <w:rPr>
                <w:rFonts w:ascii="Book Antiqua" w:hAnsi="Book Antiqua" w:hint="eastAsia"/>
                <w:sz w:val="24"/>
                <w:szCs w:val="24"/>
                <w:lang w:val="en-US" w:eastAsia="zh-CN"/>
              </w:rPr>
              <w:t xml:space="preserve"> </w:t>
            </w:r>
            <w:r w:rsidRPr="006675F9">
              <w:rPr>
                <w:rFonts w:ascii="Book Antiqua" w:hAnsi="Book Antiqua"/>
                <w:sz w:val="24"/>
                <w:szCs w:val="24"/>
                <w:lang w:val="en-US"/>
              </w:rPr>
              <w:t>g/d</w:t>
            </w:r>
            <w:r w:rsidR="006675F9" w:rsidRPr="006675F9">
              <w:rPr>
                <w:rFonts w:ascii="Book Antiqua" w:hAnsi="Book Antiqua"/>
                <w:sz w:val="24"/>
                <w:szCs w:val="24"/>
                <w:lang w:val="en-US"/>
              </w:rPr>
              <w:t>L</w:t>
            </w:r>
            <w:r w:rsidRPr="006675F9">
              <w:rPr>
                <w:rFonts w:ascii="Book Antiqua" w:hAnsi="Book Antiqua"/>
                <w:sz w:val="24"/>
                <w:szCs w:val="24"/>
                <w:lang w:val="en-US"/>
              </w:rPr>
              <w:t xml:space="preserve"> or ESA-application</w:t>
            </w:r>
          </w:p>
        </w:tc>
        <w:tc>
          <w:tcPr>
            <w:tcW w:w="850" w:type="dxa"/>
            <w:tcBorders>
              <w:top w:val="single" w:sz="8" w:space="0" w:color="000000"/>
              <w:left w:val="single" w:sz="8" w:space="0" w:color="000000"/>
              <w:bottom w:val="single" w:sz="8" w:space="0" w:color="000000"/>
              <w:right w:val="single" w:sz="8" w:space="0" w:color="000000"/>
            </w:tcBorders>
            <w:tcMar>
              <w:top w:w="72" w:type="dxa"/>
              <w:left w:w="162" w:type="dxa"/>
              <w:bottom w:w="72" w:type="dxa"/>
              <w:right w:w="162" w:type="dxa"/>
            </w:tcMar>
            <w:vAlign w:val="center"/>
          </w:tcPr>
          <w:p w14:paraId="4B8EDC9B" w14:textId="77777777" w:rsidR="004F0B9C" w:rsidRPr="006675F9" w:rsidRDefault="004F0B9C" w:rsidP="0093109B">
            <w:pPr>
              <w:spacing w:after="0" w:line="360" w:lineRule="auto"/>
              <w:jc w:val="both"/>
              <w:rPr>
                <w:rFonts w:ascii="Book Antiqua" w:hAnsi="Book Antiqua"/>
                <w:sz w:val="24"/>
                <w:szCs w:val="24"/>
              </w:rPr>
            </w:pPr>
            <w:r w:rsidRPr="006675F9">
              <w:rPr>
                <w:rFonts w:ascii="Book Antiqua" w:hAnsi="Book Antiqua"/>
                <w:sz w:val="24"/>
                <w:szCs w:val="24"/>
              </w:rPr>
              <w:t>1</w:t>
            </w:r>
          </w:p>
        </w:tc>
      </w:tr>
      <w:tr w:rsidR="0093109B" w:rsidRPr="00712539" w14:paraId="4A83BEFF" w14:textId="77777777" w:rsidTr="001F0C30">
        <w:trPr>
          <w:trHeight w:val="216"/>
        </w:trPr>
        <w:tc>
          <w:tcPr>
            <w:tcW w:w="8526" w:type="dxa"/>
            <w:tcBorders>
              <w:top w:val="single" w:sz="8" w:space="0" w:color="000000"/>
              <w:left w:val="single" w:sz="8" w:space="0" w:color="000000"/>
              <w:bottom w:val="single" w:sz="8" w:space="0" w:color="000000"/>
              <w:right w:val="single" w:sz="8" w:space="0" w:color="000000"/>
            </w:tcBorders>
            <w:tcMar>
              <w:top w:w="72" w:type="dxa"/>
              <w:left w:w="162" w:type="dxa"/>
              <w:bottom w:w="72" w:type="dxa"/>
              <w:right w:w="162" w:type="dxa"/>
            </w:tcMar>
            <w:vAlign w:val="center"/>
          </w:tcPr>
          <w:p w14:paraId="42C4F794" w14:textId="6F669B01" w:rsidR="004F0B9C" w:rsidRPr="006675F9" w:rsidRDefault="004F0B9C" w:rsidP="0093109B">
            <w:pPr>
              <w:spacing w:after="0" w:line="360" w:lineRule="auto"/>
              <w:jc w:val="both"/>
              <w:rPr>
                <w:rFonts w:ascii="Book Antiqua" w:hAnsi="Book Antiqua"/>
                <w:sz w:val="24"/>
                <w:szCs w:val="24"/>
                <w:lang w:val="en-US"/>
              </w:rPr>
            </w:pPr>
            <w:r w:rsidRPr="006675F9">
              <w:rPr>
                <w:rFonts w:ascii="Book Antiqua" w:hAnsi="Book Antiqua"/>
                <w:sz w:val="24"/>
                <w:szCs w:val="24"/>
                <w:lang w:val="en-US"/>
              </w:rPr>
              <w:t>Leukocyte count prior to chemotherapy &gt; 11 000/µ</w:t>
            </w:r>
            <w:r w:rsidR="006675F9" w:rsidRPr="006675F9">
              <w:rPr>
                <w:rFonts w:ascii="Book Antiqua" w:hAnsi="Book Antiqua"/>
                <w:sz w:val="24"/>
                <w:szCs w:val="24"/>
                <w:lang w:val="en-US"/>
              </w:rPr>
              <w:t>L</w:t>
            </w:r>
          </w:p>
        </w:tc>
        <w:tc>
          <w:tcPr>
            <w:tcW w:w="850" w:type="dxa"/>
            <w:tcBorders>
              <w:top w:val="single" w:sz="8" w:space="0" w:color="000000"/>
              <w:left w:val="single" w:sz="8" w:space="0" w:color="000000"/>
              <w:bottom w:val="single" w:sz="8" w:space="0" w:color="000000"/>
              <w:right w:val="single" w:sz="8" w:space="0" w:color="000000"/>
            </w:tcBorders>
            <w:tcMar>
              <w:top w:w="72" w:type="dxa"/>
              <w:left w:w="162" w:type="dxa"/>
              <w:bottom w:w="72" w:type="dxa"/>
              <w:right w:w="162" w:type="dxa"/>
            </w:tcMar>
            <w:vAlign w:val="center"/>
          </w:tcPr>
          <w:p w14:paraId="195AC6A7" w14:textId="77777777" w:rsidR="004F0B9C" w:rsidRPr="006675F9" w:rsidRDefault="004F0B9C" w:rsidP="0093109B">
            <w:pPr>
              <w:spacing w:after="0" w:line="360" w:lineRule="auto"/>
              <w:jc w:val="both"/>
              <w:rPr>
                <w:rFonts w:ascii="Book Antiqua" w:hAnsi="Book Antiqua"/>
                <w:sz w:val="24"/>
                <w:szCs w:val="24"/>
              </w:rPr>
            </w:pPr>
            <w:r w:rsidRPr="006675F9">
              <w:rPr>
                <w:rFonts w:ascii="Book Antiqua" w:hAnsi="Book Antiqua"/>
                <w:sz w:val="24"/>
                <w:szCs w:val="24"/>
              </w:rPr>
              <w:t>1</w:t>
            </w:r>
          </w:p>
        </w:tc>
      </w:tr>
      <w:tr w:rsidR="0093109B" w:rsidRPr="00712539" w14:paraId="6686FA2A" w14:textId="77777777" w:rsidTr="001F0C30">
        <w:trPr>
          <w:trHeight w:val="208"/>
        </w:trPr>
        <w:tc>
          <w:tcPr>
            <w:tcW w:w="8526" w:type="dxa"/>
            <w:tcBorders>
              <w:top w:val="single" w:sz="8" w:space="0" w:color="000000"/>
              <w:left w:val="single" w:sz="8" w:space="0" w:color="000000"/>
              <w:bottom w:val="single" w:sz="8" w:space="0" w:color="000000"/>
              <w:right w:val="single" w:sz="8" w:space="0" w:color="000000"/>
            </w:tcBorders>
            <w:tcMar>
              <w:top w:w="72" w:type="dxa"/>
              <w:left w:w="162" w:type="dxa"/>
              <w:bottom w:w="72" w:type="dxa"/>
              <w:right w:w="162" w:type="dxa"/>
            </w:tcMar>
            <w:vAlign w:val="center"/>
          </w:tcPr>
          <w:p w14:paraId="3B431DAB" w14:textId="77777777" w:rsidR="004F0B9C" w:rsidRPr="006675F9" w:rsidRDefault="004F0B9C" w:rsidP="0093109B">
            <w:pPr>
              <w:spacing w:after="0" w:line="360" w:lineRule="auto"/>
              <w:jc w:val="both"/>
              <w:rPr>
                <w:rFonts w:ascii="Book Antiqua" w:hAnsi="Book Antiqua"/>
                <w:sz w:val="24"/>
                <w:szCs w:val="24"/>
              </w:rPr>
            </w:pPr>
            <w:r w:rsidRPr="006675F9">
              <w:rPr>
                <w:rFonts w:ascii="Book Antiqua" w:hAnsi="Book Antiqua"/>
                <w:sz w:val="24"/>
                <w:szCs w:val="24"/>
              </w:rPr>
              <w:t>BMI &gt; 35 kg/m²</w:t>
            </w:r>
          </w:p>
        </w:tc>
        <w:tc>
          <w:tcPr>
            <w:tcW w:w="850" w:type="dxa"/>
            <w:tcBorders>
              <w:top w:val="single" w:sz="8" w:space="0" w:color="000000"/>
              <w:left w:val="single" w:sz="8" w:space="0" w:color="000000"/>
              <w:bottom w:val="single" w:sz="8" w:space="0" w:color="000000"/>
              <w:right w:val="single" w:sz="8" w:space="0" w:color="000000"/>
            </w:tcBorders>
            <w:tcMar>
              <w:top w:w="72" w:type="dxa"/>
              <w:left w:w="162" w:type="dxa"/>
              <w:bottom w:w="72" w:type="dxa"/>
              <w:right w:w="162" w:type="dxa"/>
            </w:tcMar>
            <w:vAlign w:val="center"/>
          </w:tcPr>
          <w:p w14:paraId="18D60B94" w14:textId="77777777" w:rsidR="004F0B9C" w:rsidRPr="006675F9" w:rsidRDefault="004F0B9C" w:rsidP="0093109B">
            <w:pPr>
              <w:spacing w:after="0" w:line="360" w:lineRule="auto"/>
              <w:jc w:val="both"/>
              <w:rPr>
                <w:rFonts w:ascii="Book Antiqua" w:hAnsi="Book Antiqua"/>
                <w:sz w:val="24"/>
                <w:szCs w:val="24"/>
              </w:rPr>
            </w:pPr>
            <w:r w:rsidRPr="006675F9">
              <w:rPr>
                <w:rFonts w:ascii="Book Antiqua" w:hAnsi="Book Antiqua"/>
                <w:sz w:val="24"/>
                <w:szCs w:val="24"/>
              </w:rPr>
              <w:t>1</w:t>
            </w:r>
          </w:p>
        </w:tc>
      </w:tr>
      <w:tr w:rsidR="0093109B" w:rsidRPr="00712539" w14:paraId="663E72F7" w14:textId="77777777" w:rsidTr="001F0C30">
        <w:trPr>
          <w:trHeight w:val="214"/>
        </w:trPr>
        <w:tc>
          <w:tcPr>
            <w:tcW w:w="8526" w:type="dxa"/>
            <w:tcBorders>
              <w:top w:val="single" w:sz="8" w:space="0" w:color="000000"/>
              <w:left w:val="single" w:sz="8" w:space="0" w:color="000000"/>
              <w:bottom w:val="single" w:sz="8" w:space="0" w:color="000000"/>
              <w:right w:val="single" w:sz="8" w:space="0" w:color="000000"/>
            </w:tcBorders>
            <w:tcMar>
              <w:top w:w="72" w:type="dxa"/>
              <w:left w:w="162" w:type="dxa"/>
              <w:bottom w:w="72" w:type="dxa"/>
              <w:right w:w="162" w:type="dxa"/>
            </w:tcMar>
            <w:vAlign w:val="center"/>
          </w:tcPr>
          <w:p w14:paraId="63380F72" w14:textId="77777777" w:rsidR="004F0B9C" w:rsidRPr="006675F9" w:rsidRDefault="004F0B9C" w:rsidP="0093109B">
            <w:pPr>
              <w:spacing w:after="0" w:line="360" w:lineRule="auto"/>
              <w:jc w:val="both"/>
              <w:rPr>
                <w:rFonts w:ascii="Book Antiqua" w:hAnsi="Book Antiqua"/>
                <w:sz w:val="24"/>
                <w:szCs w:val="24"/>
              </w:rPr>
            </w:pPr>
            <w:r w:rsidRPr="006675F9">
              <w:rPr>
                <w:rFonts w:ascii="Book Antiqua" w:hAnsi="Book Antiqua"/>
                <w:b/>
                <w:bCs/>
                <w:sz w:val="24"/>
                <w:szCs w:val="24"/>
              </w:rPr>
              <w:t>High risk</w:t>
            </w:r>
          </w:p>
        </w:tc>
        <w:tc>
          <w:tcPr>
            <w:tcW w:w="850" w:type="dxa"/>
            <w:tcBorders>
              <w:top w:val="single" w:sz="8" w:space="0" w:color="000000"/>
              <w:left w:val="single" w:sz="8" w:space="0" w:color="000000"/>
              <w:bottom w:val="single" w:sz="8" w:space="0" w:color="000000"/>
              <w:right w:val="single" w:sz="8" w:space="0" w:color="000000"/>
            </w:tcBorders>
            <w:tcMar>
              <w:top w:w="72" w:type="dxa"/>
              <w:left w:w="162" w:type="dxa"/>
              <w:bottom w:w="72" w:type="dxa"/>
              <w:right w:w="162" w:type="dxa"/>
            </w:tcMar>
            <w:vAlign w:val="center"/>
          </w:tcPr>
          <w:p w14:paraId="78B581B8" w14:textId="77777777" w:rsidR="004F0B9C" w:rsidRPr="006675F9" w:rsidRDefault="004F0B9C" w:rsidP="0093109B">
            <w:pPr>
              <w:spacing w:after="0" w:line="360" w:lineRule="auto"/>
              <w:jc w:val="both"/>
              <w:rPr>
                <w:rFonts w:ascii="Book Antiqua" w:hAnsi="Book Antiqua"/>
                <w:sz w:val="24"/>
                <w:szCs w:val="24"/>
              </w:rPr>
            </w:pPr>
            <w:r w:rsidRPr="006675F9">
              <w:rPr>
                <w:rFonts w:ascii="Book Antiqua" w:hAnsi="Book Antiqua"/>
                <w:b/>
                <w:bCs/>
                <w:sz w:val="24"/>
                <w:szCs w:val="24"/>
              </w:rPr>
              <w:t>&gt; 3</w:t>
            </w:r>
          </w:p>
        </w:tc>
      </w:tr>
      <w:tr w:rsidR="0093109B" w:rsidRPr="00712539" w14:paraId="63FFD786" w14:textId="77777777" w:rsidTr="001F0C30">
        <w:trPr>
          <w:trHeight w:val="410"/>
        </w:trPr>
        <w:tc>
          <w:tcPr>
            <w:tcW w:w="8526" w:type="dxa"/>
            <w:tcBorders>
              <w:top w:val="single" w:sz="8" w:space="0" w:color="000000"/>
              <w:left w:val="single" w:sz="8" w:space="0" w:color="000000"/>
              <w:bottom w:val="single" w:sz="8" w:space="0" w:color="000000"/>
              <w:right w:val="single" w:sz="8" w:space="0" w:color="000000"/>
            </w:tcBorders>
            <w:tcMar>
              <w:top w:w="72" w:type="dxa"/>
              <w:left w:w="162" w:type="dxa"/>
              <w:bottom w:w="72" w:type="dxa"/>
              <w:right w:w="162" w:type="dxa"/>
            </w:tcMar>
            <w:vAlign w:val="center"/>
          </w:tcPr>
          <w:p w14:paraId="04CD6924" w14:textId="4E5579E9" w:rsidR="004F0B9C" w:rsidRPr="006675F9" w:rsidRDefault="004F0B9C" w:rsidP="0093109B">
            <w:pPr>
              <w:spacing w:after="0" w:line="360" w:lineRule="auto"/>
              <w:jc w:val="both"/>
              <w:rPr>
                <w:rFonts w:ascii="Book Antiqua" w:hAnsi="Book Antiqua"/>
                <w:sz w:val="24"/>
                <w:szCs w:val="24"/>
                <w:lang w:val="en-US"/>
              </w:rPr>
            </w:pPr>
            <w:r w:rsidRPr="006675F9">
              <w:rPr>
                <w:rFonts w:ascii="Book Antiqua" w:hAnsi="Book Antiqua"/>
                <w:b/>
                <w:bCs/>
                <w:iCs/>
                <w:sz w:val="24"/>
                <w:szCs w:val="24"/>
                <w:lang w:val="en-US"/>
              </w:rPr>
              <w:t xml:space="preserve">Vienna prediction score </w:t>
            </w:r>
            <w:r w:rsidRPr="006675F9">
              <w:rPr>
                <w:rFonts w:ascii="Book Antiqua" w:hAnsi="Book Antiqua"/>
                <w:iCs/>
                <w:sz w:val="24"/>
                <w:szCs w:val="24"/>
                <w:lang w:val="en-US"/>
              </w:rPr>
              <w:t>(additional parameters to Khorana score)</w:t>
            </w:r>
            <w:r w:rsidRPr="006675F9">
              <w:rPr>
                <w:rFonts w:ascii="Book Antiqua" w:hAnsi="Book Antiqua"/>
                <w:b/>
                <w:bCs/>
                <w:sz w:val="24"/>
                <w:szCs w:val="24"/>
                <w:vertAlign w:val="superscript"/>
                <w:lang w:val="en-US"/>
              </w:rPr>
              <w:t>[75]</w:t>
            </w:r>
          </w:p>
        </w:tc>
        <w:tc>
          <w:tcPr>
            <w:tcW w:w="850" w:type="dxa"/>
            <w:tcBorders>
              <w:top w:val="single" w:sz="8" w:space="0" w:color="000000"/>
              <w:left w:val="single" w:sz="8" w:space="0" w:color="000000"/>
              <w:bottom w:val="single" w:sz="8" w:space="0" w:color="000000"/>
              <w:right w:val="single" w:sz="8" w:space="0" w:color="000000"/>
            </w:tcBorders>
            <w:tcMar>
              <w:top w:w="72" w:type="dxa"/>
              <w:left w:w="162" w:type="dxa"/>
              <w:bottom w:w="72" w:type="dxa"/>
              <w:right w:w="162" w:type="dxa"/>
            </w:tcMar>
            <w:vAlign w:val="center"/>
          </w:tcPr>
          <w:p w14:paraId="574743C6" w14:textId="77777777" w:rsidR="004F0B9C" w:rsidRPr="006675F9" w:rsidRDefault="004F0B9C" w:rsidP="0093109B">
            <w:pPr>
              <w:spacing w:after="0" w:line="360" w:lineRule="auto"/>
              <w:jc w:val="both"/>
              <w:rPr>
                <w:rFonts w:ascii="Book Antiqua" w:hAnsi="Book Antiqua"/>
                <w:sz w:val="24"/>
                <w:szCs w:val="24"/>
                <w:lang w:val="en-US"/>
              </w:rPr>
            </w:pPr>
          </w:p>
        </w:tc>
      </w:tr>
      <w:tr w:rsidR="0093109B" w:rsidRPr="00712539" w14:paraId="7A278540" w14:textId="77777777" w:rsidTr="001F0C30">
        <w:trPr>
          <w:trHeight w:val="328"/>
        </w:trPr>
        <w:tc>
          <w:tcPr>
            <w:tcW w:w="8526" w:type="dxa"/>
            <w:tcBorders>
              <w:top w:val="single" w:sz="8" w:space="0" w:color="000000"/>
              <w:left w:val="single" w:sz="8" w:space="0" w:color="000000"/>
              <w:bottom w:val="single" w:sz="8" w:space="0" w:color="000000"/>
              <w:right w:val="single" w:sz="8" w:space="0" w:color="000000"/>
            </w:tcBorders>
            <w:tcMar>
              <w:top w:w="72" w:type="dxa"/>
              <w:left w:w="162" w:type="dxa"/>
              <w:bottom w:w="72" w:type="dxa"/>
              <w:right w:w="162" w:type="dxa"/>
            </w:tcMar>
            <w:vAlign w:val="center"/>
          </w:tcPr>
          <w:p w14:paraId="68FC0C4A" w14:textId="01C56516" w:rsidR="004F0B9C" w:rsidRPr="006675F9" w:rsidRDefault="004F0B9C" w:rsidP="0093109B">
            <w:pPr>
              <w:spacing w:after="0" w:line="360" w:lineRule="auto"/>
              <w:jc w:val="both"/>
              <w:rPr>
                <w:rFonts w:ascii="Book Antiqua" w:hAnsi="Book Antiqua"/>
                <w:sz w:val="24"/>
                <w:szCs w:val="24"/>
              </w:rPr>
            </w:pPr>
            <w:r w:rsidRPr="006675F9">
              <w:rPr>
                <w:rFonts w:ascii="Book Antiqua" w:hAnsi="Book Antiqua"/>
                <w:iCs/>
                <w:sz w:val="24"/>
                <w:szCs w:val="24"/>
              </w:rPr>
              <w:t>D-dimer &gt; 1.44</w:t>
            </w:r>
            <w:r w:rsidR="006675F9">
              <w:rPr>
                <w:rFonts w:ascii="Book Antiqua" w:hAnsi="Book Antiqua" w:hint="eastAsia"/>
                <w:iCs/>
                <w:sz w:val="24"/>
                <w:szCs w:val="24"/>
                <w:lang w:eastAsia="zh-CN"/>
              </w:rPr>
              <w:t xml:space="preserve"> </w:t>
            </w:r>
            <w:r w:rsidRPr="006675F9">
              <w:rPr>
                <w:rFonts w:ascii="Book Antiqua" w:hAnsi="Book Antiqua"/>
                <w:iCs/>
                <w:sz w:val="24"/>
                <w:szCs w:val="24"/>
              </w:rPr>
              <w:t>µg/m</w:t>
            </w:r>
            <w:r w:rsidR="006675F9" w:rsidRPr="006675F9">
              <w:rPr>
                <w:rFonts w:ascii="Book Antiqua" w:hAnsi="Book Antiqua"/>
                <w:iCs/>
                <w:sz w:val="24"/>
                <w:szCs w:val="24"/>
              </w:rPr>
              <w:t>L</w:t>
            </w:r>
          </w:p>
        </w:tc>
        <w:tc>
          <w:tcPr>
            <w:tcW w:w="850" w:type="dxa"/>
            <w:tcBorders>
              <w:top w:val="single" w:sz="8" w:space="0" w:color="000000"/>
              <w:left w:val="single" w:sz="8" w:space="0" w:color="000000"/>
              <w:bottom w:val="single" w:sz="8" w:space="0" w:color="000000"/>
              <w:right w:val="single" w:sz="8" w:space="0" w:color="000000"/>
            </w:tcBorders>
            <w:tcMar>
              <w:top w:w="72" w:type="dxa"/>
              <w:left w:w="162" w:type="dxa"/>
              <w:bottom w:w="72" w:type="dxa"/>
              <w:right w:w="162" w:type="dxa"/>
            </w:tcMar>
            <w:vAlign w:val="center"/>
          </w:tcPr>
          <w:p w14:paraId="28706034" w14:textId="77777777" w:rsidR="004F0B9C" w:rsidRPr="006675F9" w:rsidRDefault="004F0B9C" w:rsidP="0093109B">
            <w:pPr>
              <w:spacing w:after="0" w:line="360" w:lineRule="auto"/>
              <w:jc w:val="both"/>
              <w:rPr>
                <w:rFonts w:ascii="Book Antiqua" w:hAnsi="Book Antiqua"/>
                <w:sz w:val="24"/>
                <w:szCs w:val="24"/>
              </w:rPr>
            </w:pPr>
            <w:r w:rsidRPr="006675F9">
              <w:rPr>
                <w:rFonts w:ascii="Book Antiqua" w:hAnsi="Book Antiqua"/>
                <w:b/>
                <w:bCs/>
                <w:sz w:val="24"/>
                <w:szCs w:val="24"/>
              </w:rPr>
              <w:t>1</w:t>
            </w:r>
          </w:p>
        </w:tc>
      </w:tr>
      <w:tr w:rsidR="0093109B" w:rsidRPr="00712539" w14:paraId="59DEFC8B" w14:textId="77777777" w:rsidTr="001F0C30">
        <w:trPr>
          <w:trHeight w:val="122"/>
        </w:trPr>
        <w:tc>
          <w:tcPr>
            <w:tcW w:w="8526" w:type="dxa"/>
            <w:tcBorders>
              <w:top w:val="single" w:sz="8" w:space="0" w:color="000000"/>
              <w:left w:val="single" w:sz="8" w:space="0" w:color="000000"/>
              <w:bottom w:val="single" w:sz="8" w:space="0" w:color="000000"/>
              <w:right w:val="single" w:sz="8" w:space="0" w:color="000000"/>
            </w:tcBorders>
            <w:tcMar>
              <w:top w:w="72" w:type="dxa"/>
              <w:left w:w="162" w:type="dxa"/>
              <w:bottom w:w="72" w:type="dxa"/>
              <w:right w:w="162" w:type="dxa"/>
            </w:tcMar>
            <w:vAlign w:val="center"/>
          </w:tcPr>
          <w:p w14:paraId="592FEAB3" w14:textId="7B66A027" w:rsidR="004F0B9C" w:rsidRPr="006675F9" w:rsidRDefault="004F0B9C" w:rsidP="0093109B">
            <w:pPr>
              <w:spacing w:after="0" w:line="360" w:lineRule="auto"/>
              <w:jc w:val="both"/>
              <w:rPr>
                <w:rFonts w:ascii="Book Antiqua" w:hAnsi="Book Antiqua"/>
                <w:sz w:val="24"/>
                <w:szCs w:val="24"/>
                <w:lang w:val="en-US"/>
              </w:rPr>
            </w:pPr>
            <w:r w:rsidRPr="006675F9">
              <w:rPr>
                <w:rFonts w:ascii="Book Antiqua" w:hAnsi="Book Antiqua"/>
                <w:iCs/>
                <w:sz w:val="24"/>
                <w:szCs w:val="24"/>
                <w:lang w:val="en-US"/>
              </w:rPr>
              <w:t>Soluble P-selectin &gt; 153.1</w:t>
            </w:r>
            <w:r w:rsidR="006675F9">
              <w:rPr>
                <w:rFonts w:ascii="Book Antiqua" w:hAnsi="Book Antiqua" w:hint="eastAsia"/>
                <w:iCs/>
                <w:sz w:val="24"/>
                <w:szCs w:val="24"/>
                <w:lang w:val="en-US" w:eastAsia="zh-CN"/>
              </w:rPr>
              <w:t xml:space="preserve"> </w:t>
            </w:r>
            <w:r w:rsidRPr="006675F9">
              <w:rPr>
                <w:rFonts w:ascii="Book Antiqua" w:hAnsi="Book Antiqua"/>
                <w:iCs/>
                <w:sz w:val="24"/>
                <w:szCs w:val="24"/>
                <w:lang w:val="en-US"/>
              </w:rPr>
              <w:t>µg/m</w:t>
            </w:r>
            <w:r w:rsidR="006675F9" w:rsidRPr="006675F9">
              <w:rPr>
                <w:rFonts w:ascii="Book Antiqua" w:hAnsi="Book Antiqua"/>
                <w:iCs/>
                <w:sz w:val="24"/>
                <w:szCs w:val="24"/>
                <w:lang w:val="en-US"/>
              </w:rPr>
              <w:t>L</w:t>
            </w:r>
          </w:p>
        </w:tc>
        <w:tc>
          <w:tcPr>
            <w:tcW w:w="850" w:type="dxa"/>
            <w:tcBorders>
              <w:top w:val="single" w:sz="8" w:space="0" w:color="000000"/>
              <w:left w:val="single" w:sz="8" w:space="0" w:color="000000"/>
              <w:bottom w:val="single" w:sz="8" w:space="0" w:color="000000"/>
              <w:right w:val="single" w:sz="8" w:space="0" w:color="000000"/>
            </w:tcBorders>
            <w:tcMar>
              <w:top w:w="72" w:type="dxa"/>
              <w:left w:w="162" w:type="dxa"/>
              <w:bottom w:w="72" w:type="dxa"/>
              <w:right w:w="162" w:type="dxa"/>
            </w:tcMar>
            <w:vAlign w:val="center"/>
          </w:tcPr>
          <w:p w14:paraId="1E4BB803" w14:textId="77777777" w:rsidR="004F0B9C" w:rsidRPr="006675F9" w:rsidRDefault="004F0B9C" w:rsidP="0093109B">
            <w:pPr>
              <w:spacing w:after="0" w:line="360" w:lineRule="auto"/>
              <w:jc w:val="both"/>
              <w:rPr>
                <w:rFonts w:ascii="Book Antiqua" w:hAnsi="Book Antiqua"/>
                <w:sz w:val="24"/>
                <w:szCs w:val="24"/>
              </w:rPr>
            </w:pPr>
            <w:r w:rsidRPr="006675F9">
              <w:rPr>
                <w:rFonts w:ascii="Book Antiqua" w:hAnsi="Book Antiqua"/>
                <w:b/>
                <w:bCs/>
                <w:sz w:val="24"/>
                <w:szCs w:val="24"/>
              </w:rPr>
              <w:t>1</w:t>
            </w:r>
          </w:p>
        </w:tc>
      </w:tr>
      <w:tr w:rsidR="0093109B" w:rsidRPr="00712539" w14:paraId="12E006F6" w14:textId="77777777" w:rsidTr="001F0C30">
        <w:trPr>
          <w:trHeight w:val="256"/>
        </w:trPr>
        <w:tc>
          <w:tcPr>
            <w:tcW w:w="8526" w:type="dxa"/>
            <w:tcBorders>
              <w:top w:val="single" w:sz="8" w:space="0" w:color="000000"/>
              <w:left w:val="single" w:sz="8" w:space="0" w:color="000000"/>
              <w:bottom w:val="single" w:sz="8" w:space="0" w:color="000000"/>
              <w:right w:val="single" w:sz="8" w:space="0" w:color="000000"/>
            </w:tcBorders>
            <w:tcMar>
              <w:top w:w="72" w:type="dxa"/>
              <w:left w:w="162" w:type="dxa"/>
              <w:bottom w:w="72" w:type="dxa"/>
              <w:right w:w="162" w:type="dxa"/>
            </w:tcMar>
            <w:vAlign w:val="center"/>
          </w:tcPr>
          <w:p w14:paraId="5A8B35D7" w14:textId="77777777" w:rsidR="004F0B9C" w:rsidRPr="006675F9" w:rsidRDefault="004F0B9C" w:rsidP="0093109B">
            <w:pPr>
              <w:spacing w:after="0" w:line="360" w:lineRule="auto"/>
              <w:jc w:val="both"/>
              <w:rPr>
                <w:rFonts w:ascii="Book Antiqua" w:hAnsi="Book Antiqua"/>
                <w:sz w:val="24"/>
                <w:szCs w:val="24"/>
              </w:rPr>
            </w:pPr>
            <w:r w:rsidRPr="006675F9">
              <w:rPr>
                <w:rFonts w:ascii="Book Antiqua" w:hAnsi="Book Antiqua"/>
                <w:b/>
                <w:bCs/>
                <w:iCs/>
                <w:sz w:val="24"/>
                <w:szCs w:val="24"/>
              </w:rPr>
              <w:t>High risk</w:t>
            </w:r>
          </w:p>
        </w:tc>
        <w:tc>
          <w:tcPr>
            <w:tcW w:w="850" w:type="dxa"/>
            <w:tcBorders>
              <w:top w:val="single" w:sz="8" w:space="0" w:color="000000"/>
              <w:left w:val="single" w:sz="8" w:space="0" w:color="000000"/>
              <w:bottom w:val="single" w:sz="8" w:space="0" w:color="000000"/>
              <w:right w:val="single" w:sz="8" w:space="0" w:color="000000"/>
            </w:tcBorders>
            <w:tcMar>
              <w:top w:w="72" w:type="dxa"/>
              <w:left w:w="162" w:type="dxa"/>
              <w:bottom w:w="72" w:type="dxa"/>
              <w:right w:w="162" w:type="dxa"/>
            </w:tcMar>
            <w:vAlign w:val="center"/>
          </w:tcPr>
          <w:p w14:paraId="299D4EAD" w14:textId="77777777" w:rsidR="004F0B9C" w:rsidRPr="006675F9" w:rsidRDefault="004F0B9C" w:rsidP="0093109B">
            <w:pPr>
              <w:spacing w:after="0" w:line="360" w:lineRule="auto"/>
              <w:jc w:val="both"/>
              <w:rPr>
                <w:rFonts w:ascii="Book Antiqua" w:hAnsi="Book Antiqua"/>
                <w:sz w:val="24"/>
                <w:szCs w:val="24"/>
              </w:rPr>
            </w:pPr>
            <w:r w:rsidRPr="006675F9">
              <w:rPr>
                <w:rFonts w:ascii="Book Antiqua" w:hAnsi="Book Antiqua"/>
                <w:b/>
                <w:bCs/>
                <w:sz w:val="24"/>
                <w:szCs w:val="24"/>
              </w:rPr>
              <w:t>&gt; 4</w:t>
            </w:r>
          </w:p>
        </w:tc>
      </w:tr>
      <w:tr w:rsidR="0093109B" w:rsidRPr="00712539" w14:paraId="7394703C" w14:textId="77777777" w:rsidTr="001F0C30">
        <w:trPr>
          <w:trHeight w:val="410"/>
        </w:trPr>
        <w:tc>
          <w:tcPr>
            <w:tcW w:w="8526" w:type="dxa"/>
            <w:tcBorders>
              <w:top w:val="single" w:sz="8" w:space="0" w:color="000000"/>
              <w:left w:val="single" w:sz="8" w:space="0" w:color="000000"/>
              <w:bottom w:val="single" w:sz="8" w:space="0" w:color="000000"/>
              <w:right w:val="single" w:sz="8" w:space="0" w:color="000000"/>
            </w:tcBorders>
            <w:tcMar>
              <w:top w:w="72" w:type="dxa"/>
              <w:left w:w="162" w:type="dxa"/>
              <w:bottom w:w="72" w:type="dxa"/>
              <w:right w:w="162" w:type="dxa"/>
            </w:tcMar>
            <w:vAlign w:val="center"/>
          </w:tcPr>
          <w:p w14:paraId="3777C31D" w14:textId="42C8BC81" w:rsidR="004F0B9C" w:rsidRPr="006675F9" w:rsidRDefault="004F0B9C" w:rsidP="0093109B">
            <w:pPr>
              <w:spacing w:after="0" w:line="360" w:lineRule="auto"/>
              <w:jc w:val="both"/>
              <w:rPr>
                <w:rFonts w:ascii="Book Antiqua" w:hAnsi="Book Antiqua"/>
                <w:sz w:val="24"/>
                <w:szCs w:val="24"/>
                <w:lang w:val="en-US"/>
              </w:rPr>
            </w:pPr>
            <w:r w:rsidRPr="006675F9">
              <w:rPr>
                <w:rFonts w:ascii="Book Antiqua" w:hAnsi="Book Antiqua"/>
                <w:b/>
                <w:bCs/>
                <w:iCs/>
                <w:sz w:val="24"/>
                <w:szCs w:val="24"/>
                <w:lang w:val="en-US"/>
              </w:rPr>
              <w:t xml:space="preserve">Protecht prediction score </w:t>
            </w:r>
            <w:r w:rsidRPr="006675F9">
              <w:rPr>
                <w:rFonts w:ascii="Book Antiqua" w:hAnsi="Book Antiqua"/>
                <w:iCs/>
                <w:sz w:val="24"/>
                <w:szCs w:val="24"/>
                <w:lang w:val="en-US"/>
              </w:rPr>
              <w:t>(addition</w:t>
            </w:r>
            <w:r w:rsidR="006675F9">
              <w:rPr>
                <w:rFonts w:ascii="Book Antiqua" w:hAnsi="Book Antiqua"/>
                <w:iCs/>
                <w:sz w:val="24"/>
                <w:szCs w:val="24"/>
                <w:lang w:val="en-US"/>
              </w:rPr>
              <w:t>al parameters to Khorana score)</w:t>
            </w:r>
            <w:r w:rsidRPr="006675F9">
              <w:rPr>
                <w:rFonts w:ascii="Book Antiqua" w:hAnsi="Book Antiqua"/>
                <w:b/>
                <w:bCs/>
                <w:sz w:val="24"/>
                <w:szCs w:val="24"/>
                <w:vertAlign w:val="superscript"/>
                <w:lang w:val="en-US"/>
              </w:rPr>
              <w:t>[76]</w:t>
            </w:r>
            <w:r w:rsidRPr="006675F9">
              <w:rPr>
                <w:rFonts w:ascii="Book Antiqua" w:hAnsi="Book Antiqua"/>
                <w:b/>
                <w:bCs/>
                <w:iCs/>
                <w:sz w:val="24"/>
                <w:szCs w:val="24"/>
                <w:vertAlign w:val="superscript"/>
                <w:lang w:val="en-US"/>
              </w:rPr>
              <w:t xml:space="preserve"> </w:t>
            </w:r>
          </w:p>
        </w:tc>
        <w:tc>
          <w:tcPr>
            <w:tcW w:w="850" w:type="dxa"/>
            <w:tcBorders>
              <w:top w:val="single" w:sz="8" w:space="0" w:color="000000"/>
              <w:left w:val="single" w:sz="8" w:space="0" w:color="000000"/>
              <w:bottom w:val="single" w:sz="8" w:space="0" w:color="000000"/>
              <w:right w:val="single" w:sz="8" w:space="0" w:color="000000"/>
            </w:tcBorders>
            <w:tcMar>
              <w:top w:w="72" w:type="dxa"/>
              <w:left w:w="162" w:type="dxa"/>
              <w:bottom w:w="72" w:type="dxa"/>
              <w:right w:w="162" w:type="dxa"/>
            </w:tcMar>
            <w:vAlign w:val="center"/>
          </w:tcPr>
          <w:p w14:paraId="08850EC6" w14:textId="77777777" w:rsidR="004F0B9C" w:rsidRPr="006675F9" w:rsidRDefault="004F0B9C" w:rsidP="0093109B">
            <w:pPr>
              <w:spacing w:after="0" w:line="360" w:lineRule="auto"/>
              <w:jc w:val="both"/>
              <w:rPr>
                <w:rFonts w:ascii="Book Antiqua" w:hAnsi="Book Antiqua"/>
                <w:sz w:val="24"/>
                <w:szCs w:val="24"/>
                <w:lang w:val="en-US"/>
              </w:rPr>
            </w:pPr>
          </w:p>
        </w:tc>
      </w:tr>
      <w:tr w:rsidR="0093109B" w:rsidRPr="00712539" w14:paraId="54F60883" w14:textId="77777777" w:rsidTr="001F0C30">
        <w:trPr>
          <w:trHeight w:val="222"/>
        </w:trPr>
        <w:tc>
          <w:tcPr>
            <w:tcW w:w="8526" w:type="dxa"/>
            <w:tcBorders>
              <w:top w:val="single" w:sz="8" w:space="0" w:color="000000"/>
              <w:left w:val="single" w:sz="8" w:space="0" w:color="000000"/>
              <w:bottom w:val="single" w:sz="8" w:space="0" w:color="000000"/>
              <w:right w:val="single" w:sz="8" w:space="0" w:color="000000"/>
            </w:tcBorders>
            <w:tcMar>
              <w:top w:w="72" w:type="dxa"/>
              <w:left w:w="162" w:type="dxa"/>
              <w:bottom w:w="72" w:type="dxa"/>
              <w:right w:w="162" w:type="dxa"/>
            </w:tcMar>
            <w:vAlign w:val="center"/>
          </w:tcPr>
          <w:p w14:paraId="20A29161" w14:textId="77777777" w:rsidR="004F0B9C" w:rsidRPr="006675F9" w:rsidRDefault="004F0B9C" w:rsidP="0093109B">
            <w:pPr>
              <w:spacing w:after="0" w:line="360" w:lineRule="auto"/>
              <w:jc w:val="both"/>
              <w:rPr>
                <w:rFonts w:ascii="Book Antiqua" w:hAnsi="Book Antiqua"/>
                <w:sz w:val="24"/>
                <w:szCs w:val="24"/>
              </w:rPr>
            </w:pPr>
            <w:r w:rsidRPr="006675F9">
              <w:rPr>
                <w:rFonts w:ascii="Book Antiqua" w:hAnsi="Book Antiqua"/>
                <w:iCs/>
                <w:sz w:val="24"/>
                <w:szCs w:val="24"/>
              </w:rPr>
              <w:t>Cisplatin or carboplatin</w:t>
            </w:r>
          </w:p>
        </w:tc>
        <w:tc>
          <w:tcPr>
            <w:tcW w:w="850" w:type="dxa"/>
            <w:tcBorders>
              <w:top w:val="single" w:sz="8" w:space="0" w:color="000000"/>
              <w:left w:val="single" w:sz="8" w:space="0" w:color="000000"/>
              <w:bottom w:val="single" w:sz="8" w:space="0" w:color="000000"/>
              <w:right w:val="single" w:sz="8" w:space="0" w:color="000000"/>
            </w:tcBorders>
            <w:tcMar>
              <w:top w:w="72" w:type="dxa"/>
              <w:left w:w="162" w:type="dxa"/>
              <w:bottom w:w="72" w:type="dxa"/>
              <w:right w:w="162" w:type="dxa"/>
            </w:tcMar>
            <w:vAlign w:val="center"/>
          </w:tcPr>
          <w:p w14:paraId="17AFF927" w14:textId="77777777" w:rsidR="004F0B9C" w:rsidRPr="006675F9" w:rsidRDefault="004F0B9C" w:rsidP="0093109B">
            <w:pPr>
              <w:spacing w:after="0" w:line="360" w:lineRule="auto"/>
              <w:jc w:val="both"/>
              <w:rPr>
                <w:rFonts w:ascii="Book Antiqua" w:hAnsi="Book Antiqua"/>
                <w:sz w:val="24"/>
                <w:szCs w:val="24"/>
              </w:rPr>
            </w:pPr>
            <w:r w:rsidRPr="006675F9">
              <w:rPr>
                <w:rFonts w:ascii="Book Antiqua" w:hAnsi="Book Antiqua"/>
                <w:iCs/>
                <w:sz w:val="24"/>
                <w:szCs w:val="24"/>
              </w:rPr>
              <w:t>1</w:t>
            </w:r>
          </w:p>
        </w:tc>
      </w:tr>
      <w:tr w:rsidR="0093109B" w:rsidRPr="00712539" w14:paraId="4DC80C43" w14:textId="77777777" w:rsidTr="001F0C30">
        <w:trPr>
          <w:trHeight w:val="214"/>
        </w:trPr>
        <w:tc>
          <w:tcPr>
            <w:tcW w:w="8526" w:type="dxa"/>
            <w:tcBorders>
              <w:top w:val="single" w:sz="8" w:space="0" w:color="000000"/>
              <w:left w:val="single" w:sz="8" w:space="0" w:color="000000"/>
              <w:bottom w:val="single" w:sz="8" w:space="0" w:color="000000"/>
              <w:right w:val="single" w:sz="8" w:space="0" w:color="000000"/>
            </w:tcBorders>
            <w:tcMar>
              <w:top w:w="72" w:type="dxa"/>
              <w:left w:w="162" w:type="dxa"/>
              <w:bottom w:w="72" w:type="dxa"/>
              <w:right w:w="162" w:type="dxa"/>
            </w:tcMar>
            <w:vAlign w:val="center"/>
          </w:tcPr>
          <w:p w14:paraId="7DB15E08" w14:textId="77777777" w:rsidR="004F0B9C" w:rsidRPr="006675F9" w:rsidRDefault="004F0B9C" w:rsidP="0093109B">
            <w:pPr>
              <w:spacing w:after="0" w:line="360" w:lineRule="auto"/>
              <w:jc w:val="both"/>
              <w:rPr>
                <w:rFonts w:ascii="Book Antiqua" w:hAnsi="Book Antiqua"/>
                <w:sz w:val="24"/>
                <w:szCs w:val="24"/>
              </w:rPr>
            </w:pPr>
            <w:r w:rsidRPr="006675F9">
              <w:rPr>
                <w:rFonts w:ascii="Book Antiqua" w:hAnsi="Book Antiqua"/>
                <w:iCs/>
                <w:sz w:val="24"/>
                <w:szCs w:val="24"/>
              </w:rPr>
              <w:t>Gemcitabine</w:t>
            </w:r>
          </w:p>
        </w:tc>
        <w:tc>
          <w:tcPr>
            <w:tcW w:w="850" w:type="dxa"/>
            <w:tcBorders>
              <w:top w:val="single" w:sz="8" w:space="0" w:color="000000"/>
              <w:left w:val="single" w:sz="8" w:space="0" w:color="000000"/>
              <w:bottom w:val="single" w:sz="8" w:space="0" w:color="000000"/>
              <w:right w:val="single" w:sz="8" w:space="0" w:color="000000"/>
            </w:tcBorders>
            <w:tcMar>
              <w:top w:w="72" w:type="dxa"/>
              <w:left w:w="162" w:type="dxa"/>
              <w:bottom w:w="72" w:type="dxa"/>
              <w:right w:w="162" w:type="dxa"/>
            </w:tcMar>
            <w:vAlign w:val="center"/>
          </w:tcPr>
          <w:p w14:paraId="18714DF2" w14:textId="77777777" w:rsidR="004F0B9C" w:rsidRPr="006675F9" w:rsidRDefault="004F0B9C" w:rsidP="0093109B">
            <w:pPr>
              <w:spacing w:after="0" w:line="360" w:lineRule="auto"/>
              <w:jc w:val="both"/>
              <w:rPr>
                <w:rFonts w:ascii="Book Antiqua" w:hAnsi="Book Antiqua"/>
                <w:sz w:val="24"/>
                <w:szCs w:val="24"/>
              </w:rPr>
            </w:pPr>
            <w:r w:rsidRPr="006675F9">
              <w:rPr>
                <w:rFonts w:ascii="Book Antiqua" w:hAnsi="Book Antiqua"/>
                <w:iCs/>
                <w:sz w:val="24"/>
                <w:szCs w:val="24"/>
              </w:rPr>
              <w:t>1</w:t>
            </w:r>
          </w:p>
        </w:tc>
      </w:tr>
      <w:tr w:rsidR="0093109B" w:rsidRPr="00712539" w14:paraId="2C3398FC" w14:textId="77777777" w:rsidTr="001F0C30">
        <w:trPr>
          <w:trHeight w:val="206"/>
        </w:trPr>
        <w:tc>
          <w:tcPr>
            <w:tcW w:w="8526" w:type="dxa"/>
            <w:tcBorders>
              <w:top w:val="single" w:sz="8" w:space="0" w:color="000000"/>
              <w:left w:val="single" w:sz="8" w:space="0" w:color="000000"/>
              <w:bottom w:val="single" w:sz="8" w:space="0" w:color="000000"/>
              <w:right w:val="single" w:sz="8" w:space="0" w:color="000000"/>
            </w:tcBorders>
            <w:tcMar>
              <w:top w:w="72" w:type="dxa"/>
              <w:left w:w="162" w:type="dxa"/>
              <w:bottom w:w="72" w:type="dxa"/>
              <w:right w:w="162" w:type="dxa"/>
            </w:tcMar>
            <w:vAlign w:val="center"/>
          </w:tcPr>
          <w:p w14:paraId="0E8B4DE5" w14:textId="77777777" w:rsidR="004F0B9C" w:rsidRPr="006675F9" w:rsidRDefault="004F0B9C" w:rsidP="0093109B">
            <w:pPr>
              <w:spacing w:after="0" w:line="360" w:lineRule="auto"/>
              <w:jc w:val="both"/>
              <w:rPr>
                <w:rFonts w:ascii="Book Antiqua" w:hAnsi="Book Antiqua"/>
                <w:sz w:val="24"/>
                <w:szCs w:val="24"/>
              </w:rPr>
            </w:pPr>
            <w:r w:rsidRPr="006675F9">
              <w:rPr>
                <w:rFonts w:ascii="Book Antiqua" w:hAnsi="Book Antiqua"/>
                <w:b/>
                <w:bCs/>
                <w:iCs/>
                <w:sz w:val="24"/>
                <w:szCs w:val="24"/>
              </w:rPr>
              <w:t>High risk</w:t>
            </w:r>
          </w:p>
        </w:tc>
        <w:tc>
          <w:tcPr>
            <w:tcW w:w="850" w:type="dxa"/>
            <w:tcBorders>
              <w:top w:val="single" w:sz="8" w:space="0" w:color="000000"/>
              <w:left w:val="single" w:sz="8" w:space="0" w:color="000000"/>
              <w:bottom w:val="single" w:sz="8" w:space="0" w:color="000000"/>
              <w:right w:val="single" w:sz="8" w:space="0" w:color="000000"/>
            </w:tcBorders>
            <w:tcMar>
              <w:top w:w="72" w:type="dxa"/>
              <w:left w:w="162" w:type="dxa"/>
              <w:bottom w:w="72" w:type="dxa"/>
              <w:right w:w="162" w:type="dxa"/>
            </w:tcMar>
            <w:vAlign w:val="center"/>
          </w:tcPr>
          <w:p w14:paraId="1137FEB8" w14:textId="77777777" w:rsidR="004F0B9C" w:rsidRPr="006675F9" w:rsidRDefault="004F0B9C" w:rsidP="0093109B">
            <w:pPr>
              <w:spacing w:after="0" w:line="360" w:lineRule="auto"/>
              <w:jc w:val="both"/>
              <w:rPr>
                <w:rFonts w:ascii="Book Antiqua" w:hAnsi="Book Antiqua"/>
                <w:sz w:val="24"/>
                <w:szCs w:val="24"/>
              </w:rPr>
            </w:pPr>
            <w:r w:rsidRPr="006675F9">
              <w:rPr>
                <w:rFonts w:ascii="Book Antiqua" w:hAnsi="Book Antiqua"/>
                <w:b/>
                <w:bCs/>
                <w:iCs/>
                <w:sz w:val="24"/>
                <w:szCs w:val="24"/>
              </w:rPr>
              <w:t>&gt; 3</w:t>
            </w:r>
          </w:p>
        </w:tc>
      </w:tr>
    </w:tbl>
    <w:p w14:paraId="5280C19B" w14:textId="77777777" w:rsidR="004F0B9C" w:rsidRPr="00712539" w:rsidRDefault="004F0B9C" w:rsidP="0093109B">
      <w:pPr>
        <w:spacing w:after="0" w:line="360" w:lineRule="auto"/>
        <w:jc w:val="both"/>
        <w:rPr>
          <w:rFonts w:ascii="Book Antiqua" w:hAnsi="Book Antiqua"/>
          <w:sz w:val="24"/>
          <w:szCs w:val="24"/>
          <w:lang w:val="en-US"/>
        </w:rPr>
      </w:pPr>
    </w:p>
    <w:p w14:paraId="367AE019" w14:textId="535D4F60" w:rsidR="006675F9" w:rsidRPr="00712539" w:rsidRDefault="006675F9" w:rsidP="006675F9">
      <w:pPr>
        <w:spacing w:after="0" w:line="360" w:lineRule="auto"/>
        <w:jc w:val="both"/>
        <w:rPr>
          <w:rFonts w:ascii="Book Antiqua" w:hAnsi="Book Antiqua"/>
          <w:sz w:val="24"/>
          <w:szCs w:val="24"/>
          <w:lang w:val="en-US" w:eastAsia="zh-CN"/>
        </w:rPr>
      </w:pPr>
      <w:r w:rsidRPr="006675F9">
        <w:rPr>
          <w:rFonts w:ascii="Book Antiqua" w:hAnsi="Book Antiqua" w:hint="eastAsia"/>
          <w:sz w:val="24"/>
          <w:szCs w:val="24"/>
          <w:vertAlign w:val="superscript"/>
          <w:lang w:val="en-US" w:eastAsia="zh-CN"/>
        </w:rPr>
        <w:t>1</w:t>
      </w:r>
      <w:r w:rsidRPr="00712539">
        <w:rPr>
          <w:rFonts w:ascii="Book Antiqua" w:hAnsi="Book Antiqua"/>
          <w:sz w:val="24"/>
          <w:szCs w:val="24"/>
          <w:lang w:val="en-US"/>
        </w:rPr>
        <w:t>High grade glioma are considered very high risk site of cancer in the Vienna prediction score only</w:t>
      </w:r>
      <w:r>
        <w:rPr>
          <w:rFonts w:ascii="Book Antiqua" w:hAnsi="Book Antiqua" w:hint="eastAsia"/>
          <w:sz w:val="24"/>
          <w:szCs w:val="24"/>
          <w:lang w:val="en-US" w:eastAsia="zh-CN"/>
        </w:rPr>
        <w:t>.</w:t>
      </w:r>
      <w:r w:rsidRPr="006675F9">
        <w:rPr>
          <w:rFonts w:ascii="Book Antiqua" w:hAnsi="Book Antiqua"/>
          <w:sz w:val="24"/>
          <w:szCs w:val="24"/>
          <w:lang w:val="en-US"/>
        </w:rPr>
        <w:t xml:space="preserve"> </w:t>
      </w:r>
      <w:r w:rsidRPr="00712539">
        <w:rPr>
          <w:rFonts w:ascii="Book Antiqua" w:hAnsi="Book Antiqua"/>
          <w:sz w:val="24"/>
          <w:szCs w:val="24"/>
          <w:lang w:val="en-US"/>
        </w:rPr>
        <w:t>ESA: Erythropoiesis stimulating agents</w:t>
      </w:r>
      <w:r>
        <w:rPr>
          <w:rFonts w:ascii="Book Antiqua" w:hAnsi="Book Antiqua" w:hint="eastAsia"/>
          <w:sz w:val="24"/>
          <w:szCs w:val="24"/>
          <w:lang w:val="en-US" w:eastAsia="zh-CN"/>
        </w:rPr>
        <w:t>.</w:t>
      </w:r>
    </w:p>
    <w:p w14:paraId="04B0E7D5" w14:textId="77777777" w:rsidR="004F0B9C" w:rsidRPr="00712539" w:rsidRDefault="004F0B9C" w:rsidP="0093109B">
      <w:pPr>
        <w:spacing w:after="0" w:line="360" w:lineRule="auto"/>
        <w:jc w:val="both"/>
        <w:rPr>
          <w:rFonts w:ascii="Book Antiqua" w:hAnsi="Book Antiqua"/>
          <w:sz w:val="24"/>
          <w:szCs w:val="24"/>
          <w:lang w:val="en-US"/>
        </w:rPr>
      </w:pPr>
    </w:p>
    <w:p w14:paraId="11BA8510" w14:textId="77777777" w:rsidR="004F0B9C" w:rsidRPr="00712539" w:rsidRDefault="004F0B9C" w:rsidP="0093109B">
      <w:pPr>
        <w:spacing w:after="0" w:line="360" w:lineRule="auto"/>
        <w:jc w:val="both"/>
        <w:rPr>
          <w:rFonts w:ascii="Book Antiqua" w:hAnsi="Book Antiqua"/>
          <w:sz w:val="24"/>
          <w:szCs w:val="24"/>
          <w:lang w:val="en-US"/>
        </w:rPr>
      </w:pPr>
    </w:p>
    <w:p w14:paraId="2FC01FE0" w14:textId="0FC93B51" w:rsidR="004F0B9C" w:rsidRPr="00BE7D41" w:rsidRDefault="0065731B" w:rsidP="0093109B">
      <w:pPr>
        <w:spacing w:after="0" w:line="360" w:lineRule="auto"/>
        <w:jc w:val="both"/>
        <w:rPr>
          <w:rFonts w:ascii="Book Antiqua" w:hAnsi="Book Antiqua"/>
          <w:b/>
          <w:sz w:val="24"/>
          <w:szCs w:val="24"/>
          <w:lang w:val="en-US"/>
        </w:rPr>
      </w:pPr>
      <w:r w:rsidRPr="00BE7D41">
        <w:rPr>
          <w:rFonts w:ascii="Book Antiqua" w:hAnsi="Book Antiqua"/>
          <w:b/>
          <w:sz w:val="24"/>
          <w:szCs w:val="24"/>
          <w:lang w:val="en-US"/>
        </w:rPr>
        <w:lastRenderedPageBreak/>
        <w:t>Table 5</w:t>
      </w:r>
      <w:r w:rsidR="004F0B9C" w:rsidRPr="00BE7D41">
        <w:rPr>
          <w:rFonts w:ascii="Book Antiqua" w:hAnsi="Book Antiqua"/>
          <w:b/>
          <w:sz w:val="24"/>
          <w:szCs w:val="24"/>
          <w:lang w:val="en-US"/>
        </w:rPr>
        <w:t xml:space="preserve"> The CLOT and CATCH </w:t>
      </w:r>
      <w:proofErr w:type="gramStart"/>
      <w:r w:rsidR="004F0B9C" w:rsidRPr="00BE7D41">
        <w:rPr>
          <w:rFonts w:ascii="Book Antiqua" w:hAnsi="Book Antiqua"/>
          <w:b/>
          <w:sz w:val="24"/>
          <w:szCs w:val="24"/>
          <w:lang w:val="en-US"/>
        </w:rPr>
        <w:t>studies</w:t>
      </w:r>
      <w:r w:rsidR="004F0B9C" w:rsidRPr="00BE7D41">
        <w:rPr>
          <w:rFonts w:ascii="Book Antiqua" w:hAnsi="Book Antiqua"/>
          <w:b/>
          <w:sz w:val="24"/>
          <w:szCs w:val="24"/>
          <w:vertAlign w:val="superscript"/>
          <w:lang w:val="en-US"/>
        </w:rPr>
        <w:t>[</w:t>
      </w:r>
      <w:proofErr w:type="gramEnd"/>
      <w:r w:rsidR="004F0B9C" w:rsidRPr="00BE7D41">
        <w:rPr>
          <w:rFonts w:ascii="Book Antiqua" w:hAnsi="Book Antiqua"/>
          <w:b/>
          <w:sz w:val="24"/>
          <w:szCs w:val="24"/>
          <w:vertAlign w:val="superscript"/>
          <w:lang w:val="en-US"/>
        </w:rPr>
        <w:t>80,81]</w:t>
      </w:r>
      <w:r w:rsidR="004F0B9C" w:rsidRPr="00BE7D41">
        <w:rPr>
          <w:rFonts w:ascii="Book Antiqua" w:hAnsi="Book Antiqua"/>
          <w:b/>
          <w:sz w:val="24"/>
          <w:szCs w:val="24"/>
          <w:lang w:val="en-US"/>
        </w:rPr>
        <w:t>:</w:t>
      </w:r>
      <w:r w:rsidR="00BE7D41" w:rsidRPr="00BE7D41">
        <w:rPr>
          <w:rFonts w:ascii="Book Antiqua" w:hAnsi="Book Antiqua" w:hint="eastAsia"/>
          <w:b/>
          <w:sz w:val="24"/>
          <w:szCs w:val="24"/>
          <w:lang w:val="en-US" w:eastAsia="zh-CN"/>
        </w:rPr>
        <w:t xml:space="preserve"> </w:t>
      </w:r>
      <w:r w:rsidR="004F0B9C" w:rsidRPr="00BE7D41">
        <w:rPr>
          <w:rFonts w:ascii="Book Antiqua" w:hAnsi="Book Antiqua"/>
          <w:b/>
          <w:sz w:val="24"/>
          <w:szCs w:val="24"/>
          <w:lang w:val="en-US"/>
        </w:rPr>
        <w:t>S</w:t>
      </w:r>
      <w:r w:rsidR="00BE7D41" w:rsidRPr="00BE7D41">
        <w:rPr>
          <w:rFonts w:ascii="Book Antiqua" w:hAnsi="Book Antiqua"/>
          <w:b/>
          <w:sz w:val="24"/>
          <w:szCs w:val="24"/>
          <w:lang w:val="en-US"/>
        </w:rPr>
        <w:t>tudy-population characteristics</w:t>
      </w:r>
      <w:r w:rsidR="004F0B9C" w:rsidRPr="00BE7D41">
        <w:rPr>
          <w:rFonts w:ascii="Book Antiqua" w:hAnsi="Book Antiqua"/>
          <w:b/>
          <w:sz w:val="24"/>
          <w:szCs w:val="24"/>
          <w:lang w:val="en-US"/>
        </w:rPr>
        <w:t xml:space="preserve"> and study outcomes </w:t>
      </w:r>
    </w:p>
    <w:p w14:paraId="23E45179" w14:textId="71EC5C90" w:rsidR="004F0B9C" w:rsidRPr="00712539" w:rsidRDefault="004F0B9C" w:rsidP="0093109B">
      <w:pPr>
        <w:spacing w:after="0" w:line="360" w:lineRule="auto"/>
        <w:jc w:val="both"/>
        <w:rPr>
          <w:rFonts w:ascii="Book Antiqua" w:hAnsi="Book Antiqua"/>
          <w:sz w:val="24"/>
          <w:szCs w:val="24"/>
          <w:lang w:val="en-US" w:eastAsia="zh-CN"/>
        </w:rPr>
      </w:pPr>
    </w:p>
    <w:tbl>
      <w:tblPr>
        <w:tblW w:w="9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20" w:firstRow="1" w:lastRow="0" w:firstColumn="0" w:lastColumn="0" w:noHBand="0" w:noVBand="0"/>
      </w:tblPr>
      <w:tblGrid>
        <w:gridCol w:w="1958"/>
        <w:gridCol w:w="1253"/>
        <w:gridCol w:w="1382"/>
        <w:gridCol w:w="980"/>
        <w:gridCol w:w="1385"/>
        <w:gridCol w:w="1551"/>
        <w:gridCol w:w="1111"/>
      </w:tblGrid>
      <w:tr w:rsidR="00542ADF" w:rsidRPr="00712539" w14:paraId="291410AA" w14:textId="77777777" w:rsidTr="00BE393C">
        <w:trPr>
          <w:trHeight w:val="462"/>
        </w:trPr>
        <w:tc>
          <w:tcPr>
            <w:tcW w:w="1958" w:type="dxa"/>
            <w:shd w:val="clear" w:color="auto" w:fill="auto"/>
            <w:tcMar>
              <w:top w:w="61" w:type="dxa"/>
              <w:left w:w="122" w:type="dxa"/>
              <w:bottom w:w="61" w:type="dxa"/>
              <w:right w:w="122" w:type="dxa"/>
            </w:tcMar>
          </w:tcPr>
          <w:p w14:paraId="32BB1AFF" w14:textId="77777777" w:rsidR="00542ADF" w:rsidRPr="0065731B" w:rsidRDefault="00542ADF" w:rsidP="0093109B">
            <w:pPr>
              <w:spacing w:after="0" w:line="360" w:lineRule="auto"/>
              <w:jc w:val="both"/>
              <w:rPr>
                <w:rFonts w:ascii="Book Antiqua" w:hAnsi="Book Antiqua"/>
                <w:b/>
                <w:bCs/>
                <w:i/>
                <w:sz w:val="24"/>
                <w:szCs w:val="24"/>
                <w:lang w:eastAsia="zh-CN"/>
              </w:rPr>
            </w:pPr>
          </w:p>
        </w:tc>
        <w:tc>
          <w:tcPr>
            <w:tcW w:w="3615" w:type="dxa"/>
            <w:gridSpan w:val="3"/>
            <w:shd w:val="clear" w:color="auto" w:fill="auto"/>
            <w:tcMar>
              <w:top w:w="61" w:type="dxa"/>
              <w:left w:w="122" w:type="dxa"/>
              <w:bottom w:w="61" w:type="dxa"/>
              <w:right w:w="122" w:type="dxa"/>
            </w:tcMar>
          </w:tcPr>
          <w:p w14:paraId="4F07827A" w14:textId="77E4D714" w:rsidR="00542ADF" w:rsidRDefault="00542ADF" w:rsidP="0093109B">
            <w:pPr>
              <w:spacing w:after="0" w:line="360" w:lineRule="auto"/>
              <w:jc w:val="both"/>
              <w:rPr>
                <w:rFonts w:ascii="Book Antiqua" w:hAnsi="Book Antiqua"/>
                <w:b/>
                <w:bCs/>
                <w:sz w:val="24"/>
                <w:szCs w:val="24"/>
                <w:lang w:eastAsia="zh-CN"/>
              </w:rPr>
            </w:pPr>
            <w:r w:rsidRPr="00EA08AD">
              <w:rPr>
                <w:rFonts w:ascii="Book Antiqua" w:hAnsi="Book Antiqua"/>
                <w:b/>
                <w:bCs/>
                <w:sz w:val="24"/>
                <w:szCs w:val="24"/>
              </w:rPr>
              <w:t>CLOT</w:t>
            </w:r>
          </w:p>
        </w:tc>
        <w:tc>
          <w:tcPr>
            <w:tcW w:w="4047" w:type="dxa"/>
            <w:gridSpan w:val="3"/>
            <w:shd w:val="clear" w:color="auto" w:fill="auto"/>
            <w:tcMar>
              <w:top w:w="61" w:type="dxa"/>
              <w:left w:w="122" w:type="dxa"/>
              <w:bottom w:w="61" w:type="dxa"/>
              <w:right w:w="122" w:type="dxa"/>
            </w:tcMar>
          </w:tcPr>
          <w:p w14:paraId="6E2553FD" w14:textId="211C027F" w:rsidR="00542ADF" w:rsidRDefault="00542ADF" w:rsidP="0093109B">
            <w:pPr>
              <w:spacing w:after="0" w:line="360" w:lineRule="auto"/>
              <w:jc w:val="both"/>
              <w:rPr>
                <w:rFonts w:ascii="Book Antiqua" w:hAnsi="Book Antiqua"/>
                <w:b/>
                <w:bCs/>
                <w:sz w:val="24"/>
                <w:szCs w:val="24"/>
                <w:lang w:eastAsia="zh-CN"/>
              </w:rPr>
            </w:pPr>
            <w:r w:rsidRPr="00EA08AD">
              <w:rPr>
                <w:rFonts w:ascii="Book Antiqua" w:hAnsi="Book Antiqua"/>
                <w:b/>
                <w:bCs/>
                <w:sz w:val="24"/>
                <w:szCs w:val="24"/>
              </w:rPr>
              <w:t>CATCH</w:t>
            </w:r>
          </w:p>
        </w:tc>
      </w:tr>
      <w:tr w:rsidR="00542ADF" w:rsidRPr="00712539" w14:paraId="08FACB1A" w14:textId="77777777" w:rsidTr="00BE393C">
        <w:trPr>
          <w:trHeight w:val="462"/>
        </w:trPr>
        <w:tc>
          <w:tcPr>
            <w:tcW w:w="9620" w:type="dxa"/>
            <w:gridSpan w:val="7"/>
            <w:shd w:val="clear" w:color="auto" w:fill="auto"/>
            <w:tcMar>
              <w:top w:w="61" w:type="dxa"/>
              <w:left w:w="122" w:type="dxa"/>
              <w:bottom w:w="61" w:type="dxa"/>
              <w:right w:w="122" w:type="dxa"/>
            </w:tcMar>
          </w:tcPr>
          <w:p w14:paraId="79D8B092" w14:textId="4F4A8D8A" w:rsidR="00542ADF" w:rsidRDefault="00542ADF" w:rsidP="0093109B">
            <w:pPr>
              <w:spacing w:after="0" w:line="360" w:lineRule="auto"/>
              <w:jc w:val="both"/>
              <w:rPr>
                <w:rFonts w:ascii="Book Antiqua" w:hAnsi="Book Antiqua"/>
                <w:b/>
                <w:bCs/>
                <w:sz w:val="24"/>
                <w:szCs w:val="24"/>
                <w:lang w:eastAsia="zh-CN"/>
              </w:rPr>
            </w:pPr>
            <w:r w:rsidRPr="00712539">
              <w:rPr>
                <w:rFonts w:ascii="Book Antiqua" w:hAnsi="Book Antiqua"/>
                <w:sz w:val="24"/>
                <w:szCs w:val="24"/>
                <w:lang w:val="en-US"/>
              </w:rPr>
              <w:t>Study-population characteristics</w:t>
            </w:r>
          </w:p>
        </w:tc>
      </w:tr>
      <w:tr w:rsidR="0065731B" w:rsidRPr="00712539" w14:paraId="4A296B4F" w14:textId="77777777" w:rsidTr="00BE393C">
        <w:trPr>
          <w:trHeight w:val="462"/>
        </w:trPr>
        <w:tc>
          <w:tcPr>
            <w:tcW w:w="1958" w:type="dxa"/>
            <w:shd w:val="clear" w:color="auto" w:fill="auto"/>
            <w:tcMar>
              <w:top w:w="61" w:type="dxa"/>
              <w:left w:w="122" w:type="dxa"/>
              <w:bottom w:w="61" w:type="dxa"/>
              <w:right w:w="122" w:type="dxa"/>
            </w:tcMar>
          </w:tcPr>
          <w:p w14:paraId="7787EA03" w14:textId="20BC4A05" w:rsidR="0065731B" w:rsidRPr="0065731B" w:rsidRDefault="0065731B" w:rsidP="0093109B">
            <w:pPr>
              <w:spacing w:after="0" w:line="360" w:lineRule="auto"/>
              <w:jc w:val="both"/>
              <w:rPr>
                <w:rFonts w:ascii="Book Antiqua" w:hAnsi="Book Antiqua"/>
                <w:b/>
                <w:bCs/>
                <w:i/>
                <w:sz w:val="24"/>
                <w:szCs w:val="24"/>
                <w:lang w:eastAsia="zh-CN"/>
              </w:rPr>
            </w:pPr>
            <w:r w:rsidRPr="0065731B">
              <w:rPr>
                <w:rFonts w:ascii="Book Antiqua" w:hAnsi="Book Antiqua" w:hint="eastAsia"/>
                <w:b/>
                <w:bCs/>
                <w:i/>
                <w:sz w:val="24"/>
                <w:szCs w:val="24"/>
                <w:lang w:eastAsia="zh-CN"/>
              </w:rPr>
              <w:t>n</w:t>
            </w:r>
          </w:p>
        </w:tc>
        <w:tc>
          <w:tcPr>
            <w:tcW w:w="3615" w:type="dxa"/>
            <w:gridSpan w:val="3"/>
            <w:shd w:val="clear" w:color="auto" w:fill="auto"/>
            <w:tcMar>
              <w:top w:w="61" w:type="dxa"/>
              <w:left w:w="122" w:type="dxa"/>
              <w:bottom w:w="61" w:type="dxa"/>
              <w:right w:w="122" w:type="dxa"/>
            </w:tcMar>
          </w:tcPr>
          <w:p w14:paraId="342979B7" w14:textId="72706B05" w:rsidR="0065731B" w:rsidRPr="00712539" w:rsidRDefault="0065731B" w:rsidP="0093109B">
            <w:pPr>
              <w:spacing w:after="0" w:line="360" w:lineRule="auto"/>
              <w:jc w:val="both"/>
              <w:rPr>
                <w:rFonts w:ascii="Book Antiqua" w:hAnsi="Book Antiqua"/>
                <w:b/>
                <w:bCs/>
                <w:sz w:val="24"/>
                <w:szCs w:val="24"/>
                <w:lang w:eastAsia="zh-CN"/>
              </w:rPr>
            </w:pPr>
            <w:r>
              <w:rPr>
                <w:rFonts w:ascii="Book Antiqua" w:hAnsi="Book Antiqua" w:hint="eastAsia"/>
                <w:b/>
                <w:bCs/>
                <w:sz w:val="24"/>
                <w:szCs w:val="24"/>
                <w:lang w:eastAsia="zh-CN"/>
              </w:rPr>
              <w:t>676</w:t>
            </w:r>
          </w:p>
        </w:tc>
        <w:tc>
          <w:tcPr>
            <w:tcW w:w="4047" w:type="dxa"/>
            <w:gridSpan w:val="3"/>
            <w:shd w:val="clear" w:color="auto" w:fill="auto"/>
            <w:tcMar>
              <w:top w:w="61" w:type="dxa"/>
              <w:left w:w="122" w:type="dxa"/>
              <w:bottom w:w="61" w:type="dxa"/>
              <w:right w:w="122" w:type="dxa"/>
            </w:tcMar>
          </w:tcPr>
          <w:p w14:paraId="362F284A" w14:textId="5DC68A69" w:rsidR="0065731B" w:rsidRPr="00712539" w:rsidRDefault="0065731B" w:rsidP="0093109B">
            <w:pPr>
              <w:spacing w:after="0" w:line="360" w:lineRule="auto"/>
              <w:jc w:val="both"/>
              <w:rPr>
                <w:rFonts w:ascii="Book Antiqua" w:hAnsi="Book Antiqua"/>
                <w:b/>
                <w:bCs/>
                <w:sz w:val="24"/>
                <w:szCs w:val="24"/>
                <w:lang w:eastAsia="zh-CN"/>
              </w:rPr>
            </w:pPr>
            <w:r>
              <w:rPr>
                <w:rFonts w:ascii="Book Antiqua" w:hAnsi="Book Antiqua" w:hint="eastAsia"/>
                <w:b/>
                <w:bCs/>
                <w:sz w:val="24"/>
                <w:szCs w:val="24"/>
                <w:lang w:eastAsia="zh-CN"/>
              </w:rPr>
              <w:t>900</w:t>
            </w:r>
          </w:p>
        </w:tc>
      </w:tr>
      <w:tr w:rsidR="0065731B" w:rsidRPr="00712539" w14:paraId="04EBB5B0" w14:textId="77777777" w:rsidTr="00BE393C">
        <w:trPr>
          <w:trHeight w:val="462"/>
        </w:trPr>
        <w:tc>
          <w:tcPr>
            <w:tcW w:w="1958" w:type="dxa"/>
            <w:shd w:val="clear" w:color="auto" w:fill="auto"/>
            <w:tcMar>
              <w:top w:w="61" w:type="dxa"/>
              <w:left w:w="122" w:type="dxa"/>
              <w:bottom w:w="61" w:type="dxa"/>
              <w:right w:w="122" w:type="dxa"/>
            </w:tcMar>
          </w:tcPr>
          <w:p w14:paraId="32069A08" w14:textId="24B8D80E" w:rsidR="0065731B" w:rsidRPr="00712539" w:rsidRDefault="0065731B" w:rsidP="0093109B">
            <w:pPr>
              <w:spacing w:after="0" w:line="360" w:lineRule="auto"/>
              <w:jc w:val="both"/>
              <w:rPr>
                <w:rFonts w:ascii="Book Antiqua" w:hAnsi="Book Antiqua"/>
                <w:b/>
                <w:bCs/>
                <w:sz w:val="24"/>
                <w:szCs w:val="24"/>
                <w:lang w:eastAsia="zh-CN"/>
              </w:rPr>
            </w:pPr>
            <w:r>
              <w:rPr>
                <w:rFonts w:ascii="Book Antiqua" w:hAnsi="Book Antiqua" w:hint="eastAsia"/>
                <w:b/>
                <w:bCs/>
                <w:sz w:val="24"/>
                <w:szCs w:val="24"/>
                <w:lang w:eastAsia="zh-CN"/>
              </w:rPr>
              <w:t>Women</w:t>
            </w:r>
          </w:p>
        </w:tc>
        <w:tc>
          <w:tcPr>
            <w:tcW w:w="3615" w:type="dxa"/>
            <w:gridSpan w:val="3"/>
            <w:shd w:val="clear" w:color="auto" w:fill="auto"/>
            <w:tcMar>
              <w:top w:w="61" w:type="dxa"/>
              <w:left w:w="122" w:type="dxa"/>
              <w:bottom w:w="61" w:type="dxa"/>
              <w:right w:w="122" w:type="dxa"/>
            </w:tcMar>
          </w:tcPr>
          <w:p w14:paraId="424FE0B3" w14:textId="624558DE" w:rsidR="0065731B" w:rsidRPr="00712539" w:rsidRDefault="0065731B" w:rsidP="0093109B">
            <w:pPr>
              <w:spacing w:after="0" w:line="360" w:lineRule="auto"/>
              <w:jc w:val="both"/>
              <w:rPr>
                <w:rFonts w:ascii="Book Antiqua" w:hAnsi="Book Antiqua"/>
                <w:b/>
                <w:bCs/>
                <w:sz w:val="24"/>
                <w:szCs w:val="24"/>
                <w:lang w:eastAsia="zh-CN"/>
              </w:rPr>
            </w:pPr>
            <w:r>
              <w:rPr>
                <w:rFonts w:ascii="Book Antiqua" w:hAnsi="Book Antiqua" w:hint="eastAsia"/>
                <w:b/>
                <w:bCs/>
                <w:sz w:val="24"/>
                <w:szCs w:val="24"/>
                <w:lang w:eastAsia="zh-CN"/>
              </w:rPr>
              <w:t>52%</w:t>
            </w:r>
          </w:p>
        </w:tc>
        <w:tc>
          <w:tcPr>
            <w:tcW w:w="4047" w:type="dxa"/>
            <w:gridSpan w:val="3"/>
            <w:shd w:val="clear" w:color="auto" w:fill="auto"/>
            <w:tcMar>
              <w:top w:w="61" w:type="dxa"/>
              <w:left w:w="122" w:type="dxa"/>
              <w:bottom w:w="61" w:type="dxa"/>
              <w:right w:w="122" w:type="dxa"/>
            </w:tcMar>
          </w:tcPr>
          <w:p w14:paraId="0D6C0AEC" w14:textId="196F16F1" w:rsidR="0065731B" w:rsidRPr="00712539" w:rsidRDefault="0065731B" w:rsidP="0093109B">
            <w:pPr>
              <w:spacing w:after="0" w:line="360" w:lineRule="auto"/>
              <w:jc w:val="both"/>
              <w:rPr>
                <w:rFonts w:ascii="Book Antiqua" w:hAnsi="Book Antiqua"/>
                <w:b/>
                <w:bCs/>
                <w:sz w:val="24"/>
                <w:szCs w:val="24"/>
                <w:lang w:eastAsia="zh-CN"/>
              </w:rPr>
            </w:pPr>
            <w:r>
              <w:rPr>
                <w:rFonts w:ascii="Book Antiqua" w:hAnsi="Book Antiqua" w:hint="eastAsia"/>
                <w:b/>
                <w:bCs/>
                <w:sz w:val="24"/>
                <w:szCs w:val="24"/>
                <w:lang w:eastAsia="zh-CN"/>
              </w:rPr>
              <w:t>59%</w:t>
            </w:r>
          </w:p>
        </w:tc>
      </w:tr>
      <w:tr w:rsidR="0065731B" w:rsidRPr="00712539" w14:paraId="66581AF5" w14:textId="77777777" w:rsidTr="00BE393C">
        <w:trPr>
          <w:trHeight w:val="462"/>
        </w:trPr>
        <w:tc>
          <w:tcPr>
            <w:tcW w:w="1958" w:type="dxa"/>
            <w:shd w:val="clear" w:color="auto" w:fill="auto"/>
            <w:tcMar>
              <w:top w:w="61" w:type="dxa"/>
              <w:left w:w="122" w:type="dxa"/>
              <w:bottom w:w="61" w:type="dxa"/>
              <w:right w:w="122" w:type="dxa"/>
            </w:tcMar>
          </w:tcPr>
          <w:p w14:paraId="61A5CC05" w14:textId="38481160" w:rsidR="0065731B" w:rsidRPr="00712539" w:rsidRDefault="0065731B" w:rsidP="0093109B">
            <w:pPr>
              <w:spacing w:after="0" w:line="360" w:lineRule="auto"/>
              <w:jc w:val="both"/>
              <w:rPr>
                <w:rFonts w:ascii="Book Antiqua" w:hAnsi="Book Antiqua"/>
                <w:b/>
                <w:bCs/>
                <w:sz w:val="24"/>
                <w:szCs w:val="24"/>
                <w:lang w:eastAsia="zh-CN"/>
              </w:rPr>
            </w:pPr>
            <w:r>
              <w:rPr>
                <w:rFonts w:ascii="Book Antiqua" w:hAnsi="Book Antiqua" w:hint="eastAsia"/>
                <w:b/>
                <w:bCs/>
                <w:sz w:val="24"/>
                <w:szCs w:val="24"/>
                <w:lang w:eastAsia="zh-CN"/>
              </w:rPr>
              <w:t>Median age (yr)</w:t>
            </w:r>
          </w:p>
        </w:tc>
        <w:tc>
          <w:tcPr>
            <w:tcW w:w="3615" w:type="dxa"/>
            <w:gridSpan w:val="3"/>
            <w:shd w:val="clear" w:color="auto" w:fill="auto"/>
            <w:tcMar>
              <w:top w:w="61" w:type="dxa"/>
              <w:left w:w="122" w:type="dxa"/>
              <w:bottom w:w="61" w:type="dxa"/>
              <w:right w:w="122" w:type="dxa"/>
            </w:tcMar>
          </w:tcPr>
          <w:p w14:paraId="3090C6AA" w14:textId="78AD4696" w:rsidR="0065731B" w:rsidRPr="00712539" w:rsidRDefault="0065731B" w:rsidP="0093109B">
            <w:pPr>
              <w:spacing w:after="0" w:line="360" w:lineRule="auto"/>
              <w:jc w:val="both"/>
              <w:rPr>
                <w:rFonts w:ascii="Book Antiqua" w:hAnsi="Book Antiqua"/>
                <w:b/>
                <w:bCs/>
                <w:sz w:val="24"/>
                <w:szCs w:val="24"/>
                <w:lang w:eastAsia="zh-CN"/>
              </w:rPr>
            </w:pPr>
            <w:r>
              <w:rPr>
                <w:rFonts w:ascii="Book Antiqua" w:hAnsi="Book Antiqua" w:hint="eastAsia"/>
                <w:b/>
                <w:bCs/>
                <w:sz w:val="24"/>
                <w:szCs w:val="24"/>
                <w:lang w:eastAsia="zh-CN"/>
              </w:rPr>
              <w:t xml:space="preserve">63 </w:t>
            </w:r>
          </w:p>
        </w:tc>
        <w:tc>
          <w:tcPr>
            <w:tcW w:w="4047" w:type="dxa"/>
            <w:gridSpan w:val="3"/>
            <w:shd w:val="clear" w:color="auto" w:fill="auto"/>
            <w:tcMar>
              <w:top w:w="61" w:type="dxa"/>
              <w:left w:w="122" w:type="dxa"/>
              <w:bottom w:w="61" w:type="dxa"/>
              <w:right w:w="122" w:type="dxa"/>
            </w:tcMar>
          </w:tcPr>
          <w:p w14:paraId="3D224259" w14:textId="1CF91092" w:rsidR="0065731B" w:rsidRPr="00712539" w:rsidRDefault="0065731B" w:rsidP="0093109B">
            <w:pPr>
              <w:spacing w:after="0" w:line="360" w:lineRule="auto"/>
              <w:jc w:val="both"/>
              <w:rPr>
                <w:rFonts w:ascii="Book Antiqua" w:hAnsi="Book Antiqua"/>
                <w:b/>
                <w:bCs/>
                <w:sz w:val="24"/>
                <w:szCs w:val="24"/>
                <w:lang w:eastAsia="zh-CN"/>
              </w:rPr>
            </w:pPr>
            <w:r>
              <w:rPr>
                <w:rFonts w:ascii="Book Antiqua" w:hAnsi="Book Antiqua" w:hint="eastAsia"/>
                <w:b/>
                <w:bCs/>
                <w:sz w:val="24"/>
                <w:szCs w:val="24"/>
                <w:lang w:eastAsia="zh-CN"/>
              </w:rPr>
              <w:t xml:space="preserve">59 </w:t>
            </w:r>
          </w:p>
        </w:tc>
      </w:tr>
      <w:tr w:rsidR="0065731B" w:rsidRPr="00712539" w14:paraId="613BA8B6" w14:textId="77777777" w:rsidTr="00BE393C">
        <w:trPr>
          <w:trHeight w:val="462"/>
        </w:trPr>
        <w:tc>
          <w:tcPr>
            <w:tcW w:w="1958" w:type="dxa"/>
            <w:shd w:val="clear" w:color="auto" w:fill="auto"/>
            <w:tcMar>
              <w:top w:w="61" w:type="dxa"/>
              <w:left w:w="122" w:type="dxa"/>
              <w:bottom w:w="61" w:type="dxa"/>
              <w:right w:w="122" w:type="dxa"/>
            </w:tcMar>
          </w:tcPr>
          <w:p w14:paraId="5D0F25E8" w14:textId="19FD8423" w:rsidR="0065731B" w:rsidRPr="00712539" w:rsidRDefault="0065731B" w:rsidP="0093109B">
            <w:pPr>
              <w:spacing w:after="0" w:line="360" w:lineRule="auto"/>
              <w:jc w:val="both"/>
              <w:rPr>
                <w:rFonts w:ascii="Book Antiqua" w:hAnsi="Book Antiqua"/>
                <w:b/>
                <w:bCs/>
                <w:sz w:val="24"/>
                <w:szCs w:val="24"/>
                <w:lang w:eastAsia="zh-CN"/>
              </w:rPr>
            </w:pPr>
            <w:r>
              <w:rPr>
                <w:rFonts w:ascii="Book Antiqua" w:hAnsi="Book Antiqua" w:hint="eastAsia"/>
                <w:b/>
                <w:bCs/>
                <w:sz w:val="24"/>
                <w:szCs w:val="24"/>
                <w:lang w:eastAsia="zh-CN"/>
              </w:rPr>
              <w:t>ECOG 0-1</w:t>
            </w:r>
          </w:p>
        </w:tc>
        <w:tc>
          <w:tcPr>
            <w:tcW w:w="3615" w:type="dxa"/>
            <w:gridSpan w:val="3"/>
            <w:shd w:val="clear" w:color="auto" w:fill="auto"/>
            <w:tcMar>
              <w:top w:w="61" w:type="dxa"/>
              <w:left w:w="122" w:type="dxa"/>
              <w:bottom w:w="61" w:type="dxa"/>
              <w:right w:w="122" w:type="dxa"/>
            </w:tcMar>
          </w:tcPr>
          <w:p w14:paraId="292E2D9E" w14:textId="2DC2F70D" w:rsidR="0065731B" w:rsidRPr="00712539" w:rsidRDefault="0065731B" w:rsidP="0093109B">
            <w:pPr>
              <w:spacing w:after="0" w:line="360" w:lineRule="auto"/>
              <w:jc w:val="both"/>
              <w:rPr>
                <w:rFonts w:ascii="Book Antiqua" w:hAnsi="Book Antiqua"/>
                <w:b/>
                <w:bCs/>
                <w:sz w:val="24"/>
                <w:szCs w:val="24"/>
                <w:lang w:eastAsia="zh-CN"/>
              </w:rPr>
            </w:pPr>
            <w:r>
              <w:rPr>
                <w:rFonts w:ascii="Book Antiqua" w:hAnsi="Book Antiqua" w:hint="eastAsia"/>
                <w:b/>
                <w:bCs/>
                <w:sz w:val="24"/>
                <w:szCs w:val="24"/>
                <w:lang w:eastAsia="zh-CN"/>
              </w:rPr>
              <w:t>63%</w:t>
            </w:r>
          </w:p>
        </w:tc>
        <w:tc>
          <w:tcPr>
            <w:tcW w:w="4047" w:type="dxa"/>
            <w:gridSpan w:val="3"/>
            <w:shd w:val="clear" w:color="auto" w:fill="auto"/>
            <w:tcMar>
              <w:top w:w="61" w:type="dxa"/>
              <w:left w:w="122" w:type="dxa"/>
              <w:bottom w:w="61" w:type="dxa"/>
              <w:right w:w="122" w:type="dxa"/>
            </w:tcMar>
          </w:tcPr>
          <w:p w14:paraId="6B98D54C" w14:textId="2B8C7A60" w:rsidR="0065731B" w:rsidRPr="00712539" w:rsidRDefault="0065731B" w:rsidP="0093109B">
            <w:pPr>
              <w:spacing w:after="0" w:line="360" w:lineRule="auto"/>
              <w:jc w:val="both"/>
              <w:rPr>
                <w:rFonts w:ascii="Book Antiqua" w:hAnsi="Book Antiqua"/>
                <w:b/>
                <w:bCs/>
                <w:sz w:val="24"/>
                <w:szCs w:val="24"/>
                <w:lang w:eastAsia="zh-CN"/>
              </w:rPr>
            </w:pPr>
            <w:r>
              <w:rPr>
                <w:rFonts w:ascii="Book Antiqua" w:hAnsi="Book Antiqua" w:hint="eastAsia"/>
                <w:b/>
                <w:bCs/>
                <w:sz w:val="24"/>
                <w:szCs w:val="24"/>
                <w:lang w:eastAsia="zh-CN"/>
              </w:rPr>
              <w:t>77%</w:t>
            </w:r>
          </w:p>
        </w:tc>
      </w:tr>
      <w:tr w:rsidR="0065731B" w:rsidRPr="00712539" w14:paraId="5AB43123" w14:textId="77777777" w:rsidTr="00BE393C">
        <w:trPr>
          <w:trHeight w:val="462"/>
        </w:trPr>
        <w:tc>
          <w:tcPr>
            <w:tcW w:w="1958" w:type="dxa"/>
            <w:shd w:val="clear" w:color="auto" w:fill="auto"/>
            <w:tcMar>
              <w:top w:w="61" w:type="dxa"/>
              <w:left w:w="122" w:type="dxa"/>
              <w:bottom w:w="61" w:type="dxa"/>
              <w:right w:w="122" w:type="dxa"/>
            </w:tcMar>
          </w:tcPr>
          <w:p w14:paraId="48C441BB" w14:textId="2A3D2A20" w:rsidR="0065731B" w:rsidRPr="00712539" w:rsidRDefault="0065731B" w:rsidP="0093109B">
            <w:pPr>
              <w:spacing w:after="0" w:line="360" w:lineRule="auto"/>
              <w:jc w:val="both"/>
              <w:rPr>
                <w:rFonts w:ascii="Book Antiqua" w:hAnsi="Book Antiqua"/>
                <w:b/>
                <w:bCs/>
                <w:sz w:val="24"/>
                <w:szCs w:val="24"/>
                <w:lang w:eastAsia="zh-CN"/>
              </w:rPr>
            </w:pPr>
            <w:r>
              <w:rPr>
                <w:rFonts w:ascii="Book Antiqua" w:hAnsi="Book Antiqua" w:hint="eastAsia"/>
                <w:b/>
                <w:bCs/>
                <w:sz w:val="24"/>
                <w:szCs w:val="24"/>
                <w:lang w:eastAsia="zh-CN"/>
              </w:rPr>
              <w:t>Metastasized cancer</w:t>
            </w:r>
          </w:p>
        </w:tc>
        <w:tc>
          <w:tcPr>
            <w:tcW w:w="3615" w:type="dxa"/>
            <w:gridSpan w:val="3"/>
            <w:shd w:val="clear" w:color="auto" w:fill="auto"/>
            <w:tcMar>
              <w:top w:w="61" w:type="dxa"/>
              <w:left w:w="122" w:type="dxa"/>
              <w:bottom w:w="61" w:type="dxa"/>
              <w:right w:w="122" w:type="dxa"/>
            </w:tcMar>
          </w:tcPr>
          <w:p w14:paraId="2C1A8730" w14:textId="0785D9C2" w:rsidR="0065731B" w:rsidRPr="00712539" w:rsidRDefault="0065731B" w:rsidP="0093109B">
            <w:pPr>
              <w:spacing w:after="0" w:line="360" w:lineRule="auto"/>
              <w:jc w:val="both"/>
              <w:rPr>
                <w:rFonts w:ascii="Book Antiqua" w:hAnsi="Book Antiqua"/>
                <w:b/>
                <w:bCs/>
                <w:sz w:val="24"/>
                <w:szCs w:val="24"/>
                <w:lang w:eastAsia="zh-CN"/>
              </w:rPr>
            </w:pPr>
            <w:r>
              <w:rPr>
                <w:rFonts w:ascii="Book Antiqua" w:hAnsi="Book Antiqua" w:hint="eastAsia"/>
                <w:b/>
                <w:bCs/>
                <w:sz w:val="24"/>
                <w:szCs w:val="24"/>
                <w:lang w:eastAsia="zh-CN"/>
              </w:rPr>
              <w:t>67%</w:t>
            </w:r>
          </w:p>
        </w:tc>
        <w:tc>
          <w:tcPr>
            <w:tcW w:w="4047" w:type="dxa"/>
            <w:gridSpan w:val="3"/>
            <w:shd w:val="clear" w:color="auto" w:fill="auto"/>
            <w:tcMar>
              <w:top w:w="61" w:type="dxa"/>
              <w:left w:w="122" w:type="dxa"/>
              <w:bottom w:w="61" w:type="dxa"/>
              <w:right w:w="122" w:type="dxa"/>
            </w:tcMar>
          </w:tcPr>
          <w:p w14:paraId="10C117A1" w14:textId="34FF8992" w:rsidR="0065731B" w:rsidRPr="00712539" w:rsidRDefault="0065731B" w:rsidP="0093109B">
            <w:pPr>
              <w:spacing w:after="0" w:line="360" w:lineRule="auto"/>
              <w:jc w:val="both"/>
              <w:rPr>
                <w:rFonts w:ascii="Book Antiqua" w:hAnsi="Book Antiqua"/>
                <w:b/>
                <w:bCs/>
                <w:sz w:val="24"/>
                <w:szCs w:val="24"/>
                <w:lang w:eastAsia="zh-CN"/>
              </w:rPr>
            </w:pPr>
            <w:r>
              <w:rPr>
                <w:rFonts w:ascii="Book Antiqua" w:hAnsi="Book Antiqua" w:hint="eastAsia"/>
                <w:b/>
                <w:bCs/>
                <w:sz w:val="24"/>
                <w:szCs w:val="24"/>
                <w:lang w:eastAsia="zh-CN"/>
              </w:rPr>
              <w:t>55%</w:t>
            </w:r>
          </w:p>
        </w:tc>
      </w:tr>
      <w:tr w:rsidR="0065731B" w:rsidRPr="00712539" w14:paraId="6EEC6D20" w14:textId="77777777" w:rsidTr="00BE393C">
        <w:trPr>
          <w:trHeight w:val="462"/>
        </w:trPr>
        <w:tc>
          <w:tcPr>
            <w:tcW w:w="1958" w:type="dxa"/>
            <w:shd w:val="clear" w:color="auto" w:fill="auto"/>
            <w:tcMar>
              <w:top w:w="61" w:type="dxa"/>
              <w:left w:w="122" w:type="dxa"/>
              <w:bottom w:w="61" w:type="dxa"/>
              <w:right w:w="122" w:type="dxa"/>
            </w:tcMar>
          </w:tcPr>
          <w:p w14:paraId="4DCDE7A7" w14:textId="7316CE4B" w:rsidR="0065731B" w:rsidRPr="00712539" w:rsidRDefault="0065731B" w:rsidP="0093109B">
            <w:pPr>
              <w:spacing w:after="0" w:line="360" w:lineRule="auto"/>
              <w:jc w:val="both"/>
              <w:rPr>
                <w:rFonts w:ascii="Book Antiqua" w:hAnsi="Book Antiqua"/>
                <w:b/>
                <w:bCs/>
                <w:sz w:val="24"/>
                <w:szCs w:val="24"/>
                <w:lang w:eastAsia="zh-CN"/>
              </w:rPr>
            </w:pPr>
            <w:r>
              <w:rPr>
                <w:rFonts w:ascii="Book Antiqua" w:hAnsi="Book Antiqua"/>
                <w:b/>
                <w:bCs/>
                <w:sz w:val="24"/>
                <w:szCs w:val="24"/>
                <w:lang w:eastAsia="zh-CN"/>
              </w:rPr>
              <w:t>B</w:t>
            </w:r>
            <w:r>
              <w:rPr>
                <w:rFonts w:ascii="Book Antiqua" w:hAnsi="Book Antiqua" w:hint="eastAsia"/>
                <w:b/>
                <w:bCs/>
                <w:sz w:val="24"/>
                <w:szCs w:val="24"/>
                <w:lang w:eastAsia="zh-CN"/>
              </w:rPr>
              <w:t>rest cancer</w:t>
            </w:r>
          </w:p>
        </w:tc>
        <w:tc>
          <w:tcPr>
            <w:tcW w:w="3615" w:type="dxa"/>
            <w:gridSpan w:val="3"/>
            <w:shd w:val="clear" w:color="auto" w:fill="auto"/>
            <w:tcMar>
              <w:top w:w="61" w:type="dxa"/>
              <w:left w:w="122" w:type="dxa"/>
              <w:bottom w:w="61" w:type="dxa"/>
              <w:right w:w="122" w:type="dxa"/>
            </w:tcMar>
          </w:tcPr>
          <w:p w14:paraId="6F3CC6A2" w14:textId="4CF4F69A" w:rsidR="0065731B" w:rsidRPr="00712539" w:rsidRDefault="0065731B" w:rsidP="0093109B">
            <w:pPr>
              <w:spacing w:after="0" w:line="360" w:lineRule="auto"/>
              <w:jc w:val="both"/>
              <w:rPr>
                <w:rFonts w:ascii="Book Antiqua" w:hAnsi="Book Antiqua"/>
                <w:b/>
                <w:bCs/>
                <w:sz w:val="24"/>
                <w:szCs w:val="24"/>
                <w:lang w:eastAsia="zh-CN"/>
              </w:rPr>
            </w:pPr>
            <w:r>
              <w:rPr>
                <w:rFonts w:ascii="Book Antiqua" w:hAnsi="Book Antiqua" w:hint="eastAsia"/>
                <w:b/>
                <w:bCs/>
                <w:sz w:val="24"/>
                <w:szCs w:val="24"/>
                <w:lang w:eastAsia="zh-CN"/>
              </w:rPr>
              <w:t>17.6%</w:t>
            </w:r>
          </w:p>
        </w:tc>
        <w:tc>
          <w:tcPr>
            <w:tcW w:w="4047" w:type="dxa"/>
            <w:gridSpan w:val="3"/>
            <w:shd w:val="clear" w:color="auto" w:fill="auto"/>
            <w:tcMar>
              <w:top w:w="61" w:type="dxa"/>
              <w:left w:w="122" w:type="dxa"/>
              <w:bottom w:w="61" w:type="dxa"/>
              <w:right w:w="122" w:type="dxa"/>
            </w:tcMar>
          </w:tcPr>
          <w:p w14:paraId="099D344F" w14:textId="6F372AC6" w:rsidR="0065731B" w:rsidRPr="00712539" w:rsidRDefault="0065731B" w:rsidP="00542ADF">
            <w:pPr>
              <w:spacing w:after="0" w:line="360" w:lineRule="auto"/>
              <w:jc w:val="both"/>
              <w:rPr>
                <w:rFonts w:ascii="Book Antiqua" w:hAnsi="Book Antiqua"/>
                <w:b/>
                <w:bCs/>
                <w:sz w:val="24"/>
                <w:szCs w:val="24"/>
                <w:lang w:eastAsia="zh-CN"/>
              </w:rPr>
            </w:pPr>
            <w:r>
              <w:rPr>
                <w:rFonts w:ascii="Book Antiqua" w:hAnsi="Book Antiqua" w:hint="eastAsia"/>
                <w:b/>
                <w:bCs/>
                <w:sz w:val="24"/>
                <w:szCs w:val="24"/>
                <w:lang w:eastAsia="zh-CN"/>
              </w:rPr>
              <w:t>9</w:t>
            </w:r>
            <w:r w:rsidR="00542ADF">
              <w:rPr>
                <w:rFonts w:ascii="Book Antiqua" w:hAnsi="Book Antiqua" w:hint="eastAsia"/>
                <w:b/>
                <w:bCs/>
                <w:sz w:val="24"/>
                <w:szCs w:val="24"/>
                <w:lang w:eastAsia="zh-CN"/>
              </w:rPr>
              <w:t>%</w:t>
            </w:r>
          </w:p>
        </w:tc>
      </w:tr>
      <w:tr w:rsidR="0065731B" w:rsidRPr="00712539" w14:paraId="07057525" w14:textId="77777777" w:rsidTr="00BE393C">
        <w:trPr>
          <w:trHeight w:val="462"/>
        </w:trPr>
        <w:tc>
          <w:tcPr>
            <w:tcW w:w="1958" w:type="dxa"/>
            <w:shd w:val="clear" w:color="auto" w:fill="auto"/>
            <w:tcMar>
              <w:top w:w="61" w:type="dxa"/>
              <w:left w:w="122" w:type="dxa"/>
              <w:bottom w:w="61" w:type="dxa"/>
              <w:right w:w="122" w:type="dxa"/>
            </w:tcMar>
          </w:tcPr>
          <w:p w14:paraId="7F2347D4" w14:textId="1FE6CB7E" w:rsidR="0065731B" w:rsidRPr="00712539" w:rsidRDefault="0065731B" w:rsidP="0093109B">
            <w:pPr>
              <w:spacing w:after="0" w:line="360" w:lineRule="auto"/>
              <w:jc w:val="both"/>
              <w:rPr>
                <w:rFonts w:ascii="Book Antiqua" w:hAnsi="Book Antiqua"/>
                <w:b/>
                <w:bCs/>
                <w:sz w:val="24"/>
                <w:szCs w:val="24"/>
                <w:lang w:eastAsia="zh-CN"/>
              </w:rPr>
            </w:pPr>
            <w:r>
              <w:rPr>
                <w:rFonts w:ascii="Book Antiqua" w:hAnsi="Book Antiqua"/>
                <w:b/>
                <w:bCs/>
                <w:sz w:val="24"/>
                <w:szCs w:val="24"/>
                <w:lang w:eastAsia="zh-CN"/>
              </w:rPr>
              <w:t>C</w:t>
            </w:r>
            <w:r>
              <w:rPr>
                <w:rFonts w:ascii="Book Antiqua" w:hAnsi="Book Antiqua" w:hint="eastAsia"/>
                <w:b/>
                <w:bCs/>
                <w:sz w:val="24"/>
                <w:szCs w:val="24"/>
                <w:lang w:eastAsia="zh-CN"/>
              </w:rPr>
              <w:t>olo-rectal cancer</w:t>
            </w:r>
          </w:p>
        </w:tc>
        <w:tc>
          <w:tcPr>
            <w:tcW w:w="3615" w:type="dxa"/>
            <w:gridSpan w:val="3"/>
            <w:shd w:val="clear" w:color="auto" w:fill="auto"/>
            <w:tcMar>
              <w:top w:w="61" w:type="dxa"/>
              <w:left w:w="122" w:type="dxa"/>
              <w:bottom w:w="61" w:type="dxa"/>
              <w:right w:w="122" w:type="dxa"/>
            </w:tcMar>
          </w:tcPr>
          <w:p w14:paraId="07877CBE" w14:textId="74196302" w:rsidR="0065731B" w:rsidRPr="00712539" w:rsidRDefault="0065731B" w:rsidP="0093109B">
            <w:pPr>
              <w:spacing w:after="0" w:line="360" w:lineRule="auto"/>
              <w:jc w:val="both"/>
              <w:rPr>
                <w:rFonts w:ascii="Book Antiqua" w:hAnsi="Book Antiqua"/>
                <w:b/>
                <w:bCs/>
                <w:sz w:val="24"/>
                <w:szCs w:val="24"/>
                <w:lang w:eastAsia="zh-CN"/>
              </w:rPr>
            </w:pPr>
            <w:r>
              <w:rPr>
                <w:rFonts w:ascii="Book Antiqua" w:hAnsi="Book Antiqua" w:hint="eastAsia"/>
                <w:b/>
                <w:bCs/>
                <w:sz w:val="24"/>
                <w:szCs w:val="24"/>
                <w:lang w:eastAsia="zh-CN"/>
              </w:rPr>
              <w:t>17.8%</w:t>
            </w:r>
          </w:p>
        </w:tc>
        <w:tc>
          <w:tcPr>
            <w:tcW w:w="4047" w:type="dxa"/>
            <w:gridSpan w:val="3"/>
            <w:shd w:val="clear" w:color="auto" w:fill="auto"/>
            <w:tcMar>
              <w:top w:w="61" w:type="dxa"/>
              <w:left w:w="122" w:type="dxa"/>
              <w:bottom w:w="61" w:type="dxa"/>
              <w:right w:w="122" w:type="dxa"/>
            </w:tcMar>
          </w:tcPr>
          <w:p w14:paraId="73C927B6" w14:textId="0CF83373" w:rsidR="0065731B" w:rsidRPr="00712539" w:rsidRDefault="0065731B" w:rsidP="0093109B">
            <w:pPr>
              <w:spacing w:after="0" w:line="360" w:lineRule="auto"/>
              <w:jc w:val="both"/>
              <w:rPr>
                <w:rFonts w:ascii="Book Antiqua" w:hAnsi="Book Antiqua"/>
                <w:b/>
                <w:bCs/>
                <w:sz w:val="24"/>
                <w:szCs w:val="24"/>
                <w:lang w:eastAsia="zh-CN"/>
              </w:rPr>
            </w:pPr>
            <w:r>
              <w:rPr>
                <w:rFonts w:ascii="Book Antiqua" w:hAnsi="Book Antiqua" w:hint="eastAsia"/>
                <w:b/>
                <w:bCs/>
                <w:sz w:val="24"/>
                <w:szCs w:val="24"/>
                <w:lang w:eastAsia="zh-CN"/>
              </w:rPr>
              <w:t>13%</w:t>
            </w:r>
          </w:p>
        </w:tc>
      </w:tr>
      <w:tr w:rsidR="0065731B" w:rsidRPr="00712539" w14:paraId="61A8B889" w14:textId="77777777" w:rsidTr="00BE393C">
        <w:trPr>
          <w:trHeight w:val="462"/>
        </w:trPr>
        <w:tc>
          <w:tcPr>
            <w:tcW w:w="1958" w:type="dxa"/>
            <w:shd w:val="clear" w:color="auto" w:fill="auto"/>
            <w:tcMar>
              <w:top w:w="61" w:type="dxa"/>
              <w:left w:w="122" w:type="dxa"/>
              <w:bottom w:w="61" w:type="dxa"/>
              <w:right w:w="122" w:type="dxa"/>
            </w:tcMar>
          </w:tcPr>
          <w:p w14:paraId="776BC1DD" w14:textId="195EBFF6" w:rsidR="0065731B" w:rsidRPr="00712539" w:rsidRDefault="0065731B" w:rsidP="0093109B">
            <w:pPr>
              <w:spacing w:after="0" w:line="360" w:lineRule="auto"/>
              <w:jc w:val="both"/>
              <w:rPr>
                <w:rFonts w:ascii="Book Antiqua" w:hAnsi="Book Antiqua"/>
                <w:b/>
                <w:bCs/>
                <w:sz w:val="24"/>
                <w:szCs w:val="24"/>
                <w:lang w:eastAsia="zh-CN"/>
              </w:rPr>
            </w:pPr>
            <w:r>
              <w:rPr>
                <w:rFonts w:ascii="Book Antiqua" w:hAnsi="Book Antiqua"/>
                <w:b/>
                <w:bCs/>
                <w:sz w:val="24"/>
                <w:szCs w:val="24"/>
                <w:lang w:eastAsia="zh-CN"/>
              </w:rPr>
              <w:t>L</w:t>
            </w:r>
            <w:r>
              <w:rPr>
                <w:rFonts w:ascii="Book Antiqua" w:hAnsi="Book Antiqua" w:hint="eastAsia"/>
                <w:b/>
                <w:bCs/>
                <w:sz w:val="24"/>
                <w:szCs w:val="24"/>
                <w:lang w:eastAsia="zh-CN"/>
              </w:rPr>
              <w:t>ung cancer</w:t>
            </w:r>
          </w:p>
        </w:tc>
        <w:tc>
          <w:tcPr>
            <w:tcW w:w="3615" w:type="dxa"/>
            <w:gridSpan w:val="3"/>
            <w:shd w:val="clear" w:color="auto" w:fill="auto"/>
            <w:tcMar>
              <w:top w:w="61" w:type="dxa"/>
              <w:left w:w="122" w:type="dxa"/>
              <w:bottom w:w="61" w:type="dxa"/>
              <w:right w:w="122" w:type="dxa"/>
            </w:tcMar>
          </w:tcPr>
          <w:p w14:paraId="7BF928AD" w14:textId="62F6F62A" w:rsidR="0065731B" w:rsidRPr="00712539" w:rsidRDefault="0065731B" w:rsidP="0093109B">
            <w:pPr>
              <w:spacing w:after="0" w:line="360" w:lineRule="auto"/>
              <w:jc w:val="both"/>
              <w:rPr>
                <w:rFonts w:ascii="Book Antiqua" w:hAnsi="Book Antiqua"/>
                <w:b/>
                <w:bCs/>
                <w:sz w:val="24"/>
                <w:szCs w:val="24"/>
                <w:lang w:eastAsia="zh-CN"/>
              </w:rPr>
            </w:pPr>
            <w:r>
              <w:rPr>
                <w:rFonts w:ascii="Book Antiqua" w:hAnsi="Book Antiqua" w:hint="eastAsia"/>
                <w:b/>
                <w:bCs/>
                <w:sz w:val="24"/>
                <w:szCs w:val="24"/>
                <w:lang w:eastAsia="zh-CN"/>
              </w:rPr>
              <w:t>14.8%</w:t>
            </w:r>
          </w:p>
        </w:tc>
        <w:tc>
          <w:tcPr>
            <w:tcW w:w="4047" w:type="dxa"/>
            <w:gridSpan w:val="3"/>
            <w:shd w:val="clear" w:color="auto" w:fill="auto"/>
            <w:tcMar>
              <w:top w:w="61" w:type="dxa"/>
              <w:left w:w="122" w:type="dxa"/>
              <w:bottom w:w="61" w:type="dxa"/>
              <w:right w:w="122" w:type="dxa"/>
            </w:tcMar>
          </w:tcPr>
          <w:p w14:paraId="209A7C8C" w14:textId="374E9322" w:rsidR="0065731B" w:rsidRPr="00712539" w:rsidRDefault="0065731B" w:rsidP="0093109B">
            <w:pPr>
              <w:spacing w:after="0" w:line="360" w:lineRule="auto"/>
              <w:jc w:val="both"/>
              <w:rPr>
                <w:rFonts w:ascii="Book Antiqua" w:hAnsi="Book Antiqua"/>
                <w:b/>
                <w:bCs/>
                <w:sz w:val="24"/>
                <w:szCs w:val="24"/>
                <w:lang w:eastAsia="zh-CN"/>
              </w:rPr>
            </w:pPr>
            <w:r>
              <w:rPr>
                <w:rFonts w:ascii="Book Antiqua" w:hAnsi="Book Antiqua" w:hint="eastAsia"/>
                <w:b/>
                <w:bCs/>
                <w:sz w:val="24"/>
                <w:szCs w:val="24"/>
                <w:lang w:eastAsia="zh-CN"/>
              </w:rPr>
              <w:t>12%</w:t>
            </w:r>
          </w:p>
        </w:tc>
      </w:tr>
      <w:tr w:rsidR="0065731B" w:rsidRPr="00712539" w14:paraId="6A703300" w14:textId="77777777" w:rsidTr="00BE393C">
        <w:trPr>
          <w:trHeight w:val="462"/>
        </w:trPr>
        <w:tc>
          <w:tcPr>
            <w:tcW w:w="1958" w:type="dxa"/>
            <w:shd w:val="clear" w:color="auto" w:fill="auto"/>
            <w:tcMar>
              <w:top w:w="61" w:type="dxa"/>
              <w:left w:w="122" w:type="dxa"/>
              <w:bottom w:w="61" w:type="dxa"/>
              <w:right w:w="122" w:type="dxa"/>
            </w:tcMar>
          </w:tcPr>
          <w:p w14:paraId="30406E13" w14:textId="0B89B340" w:rsidR="0065731B" w:rsidRDefault="0065731B" w:rsidP="0093109B">
            <w:pPr>
              <w:spacing w:after="0" w:line="360" w:lineRule="auto"/>
              <w:jc w:val="both"/>
              <w:rPr>
                <w:rFonts w:ascii="Book Antiqua" w:hAnsi="Book Antiqua"/>
                <w:b/>
                <w:bCs/>
                <w:sz w:val="24"/>
                <w:szCs w:val="24"/>
                <w:lang w:eastAsia="zh-CN"/>
              </w:rPr>
            </w:pPr>
            <w:r>
              <w:rPr>
                <w:rFonts w:ascii="Book Antiqua" w:hAnsi="Book Antiqua"/>
                <w:b/>
                <w:bCs/>
                <w:sz w:val="24"/>
                <w:szCs w:val="24"/>
                <w:lang w:eastAsia="zh-CN"/>
              </w:rPr>
              <w:t>G</w:t>
            </w:r>
            <w:r>
              <w:rPr>
                <w:rFonts w:ascii="Book Antiqua" w:hAnsi="Book Antiqua" w:hint="eastAsia"/>
                <w:b/>
                <w:bCs/>
                <w:sz w:val="24"/>
                <w:szCs w:val="24"/>
                <w:lang w:eastAsia="zh-CN"/>
              </w:rPr>
              <w:t>ynecological cancer</w:t>
            </w:r>
          </w:p>
        </w:tc>
        <w:tc>
          <w:tcPr>
            <w:tcW w:w="3615" w:type="dxa"/>
            <w:gridSpan w:val="3"/>
            <w:shd w:val="clear" w:color="auto" w:fill="auto"/>
            <w:tcMar>
              <w:top w:w="61" w:type="dxa"/>
              <w:left w:w="122" w:type="dxa"/>
              <w:bottom w:w="61" w:type="dxa"/>
              <w:right w:w="122" w:type="dxa"/>
            </w:tcMar>
          </w:tcPr>
          <w:p w14:paraId="32CB9D21" w14:textId="3CAE65A8" w:rsidR="0065731B" w:rsidRDefault="0065731B" w:rsidP="0093109B">
            <w:pPr>
              <w:spacing w:after="0" w:line="360" w:lineRule="auto"/>
              <w:jc w:val="both"/>
              <w:rPr>
                <w:rFonts w:ascii="Book Antiqua" w:hAnsi="Book Antiqua"/>
                <w:b/>
                <w:bCs/>
                <w:sz w:val="24"/>
                <w:szCs w:val="24"/>
                <w:lang w:eastAsia="zh-CN"/>
              </w:rPr>
            </w:pPr>
            <w:r>
              <w:rPr>
                <w:rFonts w:ascii="Book Antiqua" w:hAnsi="Book Antiqua" w:hint="eastAsia"/>
                <w:b/>
                <w:bCs/>
                <w:sz w:val="24"/>
                <w:szCs w:val="24"/>
                <w:lang w:eastAsia="zh-CN"/>
              </w:rPr>
              <w:t>11.2%</w:t>
            </w:r>
          </w:p>
        </w:tc>
        <w:tc>
          <w:tcPr>
            <w:tcW w:w="4047" w:type="dxa"/>
            <w:gridSpan w:val="3"/>
            <w:shd w:val="clear" w:color="auto" w:fill="auto"/>
            <w:tcMar>
              <w:top w:w="61" w:type="dxa"/>
              <w:left w:w="122" w:type="dxa"/>
              <w:bottom w:w="61" w:type="dxa"/>
              <w:right w:w="122" w:type="dxa"/>
            </w:tcMar>
          </w:tcPr>
          <w:p w14:paraId="4857C6BE" w14:textId="097EBBD8" w:rsidR="0065731B" w:rsidRDefault="0065731B" w:rsidP="0093109B">
            <w:pPr>
              <w:spacing w:after="0" w:line="360" w:lineRule="auto"/>
              <w:jc w:val="both"/>
              <w:rPr>
                <w:rFonts w:ascii="Book Antiqua" w:hAnsi="Book Antiqua"/>
                <w:b/>
                <w:bCs/>
                <w:sz w:val="24"/>
                <w:szCs w:val="24"/>
                <w:lang w:eastAsia="zh-CN"/>
              </w:rPr>
            </w:pPr>
            <w:r>
              <w:rPr>
                <w:rFonts w:ascii="Book Antiqua" w:hAnsi="Book Antiqua" w:hint="eastAsia"/>
                <w:b/>
                <w:bCs/>
                <w:sz w:val="24"/>
                <w:szCs w:val="24"/>
                <w:lang w:eastAsia="zh-CN"/>
              </w:rPr>
              <w:t>23%</w:t>
            </w:r>
          </w:p>
        </w:tc>
      </w:tr>
      <w:tr w:rsidR="0065731B" w:rsidRPr="00712539" w14:paraId="27F68ADC" w14:textId="77777777" w:rsidTr="00BE393C">
        <w:trPr>
          <w:trHeight w:val="462"/>
        </w:trPr>
        <w:tc>
          <w:tcPr>
            <w:tcW w:w="1958" w:type="dxa"/>
            <w:shd w:val="clear" w:color="auto" w:fill="auto"/>
            <w:tcMar>
              <w:top w:w="61" w:type="dxa"/>
              <w:left w:w="122" w:type="dxa"/>
              <w:bottom w:w="61" w:type="dxa"/>
              <w:right w:w="122" w:type="dxa"/>
            </w:tcMar>
          </w:tcPr>
          <w:p w14:paraId="6D6167E1" w14:textId="0F6FBB51" w:rsidR="0065731B" w:rsidRDefault="0065731B" w:rsidP="0093109B">
            <w:pPr>
              <w:spacing w:after="0" w:line="360" w:lineRule="auto"/>
              <w:jc w:val="both"/>
              <w:rPr>
                <w:rFonts w:ascii="Book Antiqua" w:hAnsi="Book Antiqua"/>
                <w:b/>
                <w:bCs/>
                <w:sz w:val="24"/>
                <w:szCs w:val="24"/>
                <w:lang w:eastAsia="zh-CN"/>
              </w:rPr>
            </w:pPr>
            <w:r>
              <w:rPr>
                <w:rFonts w:ascii="Book Antiqua" w:hAnsi="Book Antiqua"/>
                <w:b/>
                <w:bCs/>
                <w:sz w:val="24"/>
                <w:szCs w:val="24"/>
                <w:lang w:eastAsia="zh-CN"/>
              </w:rPr>
              <w:t>P</w:t>
            </w:r>
            <w:r>
              <w:rPr>
                <w:rFonts w:ascii="Book Antiqua" w:hAnsi="Book Antiqua" w:hint="eastAsia"/>
                <w:b/>
                <w:bCs/>
                <w:sz w:val="24"/>
                <w:szCs w:val="24"/>
                <w:lang w:eastAsia="zh-CN"/>
              </w:rPr>
              <w:t>ancreatic cancer</w:t>
            </w:r>
          </w:p>
        </w:tc>
        <w:tc>
          <w:tcPr>
            <w:tcW w:w="3615" w:type="dxa"/>
            <w:gridSpan w:val="3"/>
            <w:shd w:val="clear" w:color="auto" w:fill="auto"/>
            <w:tcMar>
              <w:top w:w="61" w:type="dxa"/>
              <w:left w:w="122" w:type="dxa"/>
              <w:bottom w:w="61" w:type="dxa"/>
              <w:right w:w="122" w:type="dxa"/>
            </w:tcMar>
          </w:tcPr>
          <w:p w14:paraId="4CDB1D9F" w14:textId="15E4155E" w:rsidR="0065731B" w:rsidRDefault="0065731B" w:rsidP="0093109B">
            <w:pPr>
              <w:spacing w:after="0" w:line="360" w:lineRule="auto"/>
              <w:jc w:val="both"/>
              <w:rPr>
                <w:rFonts w:ascii="Book Antiqua" w:hAnsi="Book Antiqua"/>
                <w:b/>
                <w:bCs/>
                <w:sz w:val="24"/>
                <w:szCs w:val="24"/>
                <w:lang w:eastAsia="zh-CN"/>
              </w:rPr>
            </w:pPr>
            <w:r>
              <w:rPr>
                <w:rFonts w:ascii="Book Antiqua" w:hAnsi="Book Antiqua" w:hint="eastAsia"/>
                <w:b/>
                <w:bCs/>
                <w:sz w:val="24"/>
                <w:szCs w:val="24"/>
                <w:lang w:eastAsia="zh-CN"/>
              </w:rPr>
              <w:t>4.8%</w:t>
            </w:r>
          </w:p>
        </w:tc>
        <w:tc>
          <w:tcPr>
            <w:tcW w:w="4047" w:type="dxa"/>
            <w:gridSpan w:val="3"/>
            <w:shd w:val="clear" w:color="auto" w:fill="auto"/>
            <w:tcMar>
              <w:top w:w="61" w:type="dxa"/>
              <w:left w:w="122" w:type="dxa"/>
              <w:bottom w:w="61" w:type="dxa"/>
              <w:right w:w="122" w:type="dxa"/>
            </w:tcMar>
          </w:tcPr>
          <w:p w14:paraId="0D0C3268" w14:textId="77777777" w:rsidR="0065731B" w:rsidRDefault="0065731B" w:rsidP="0093109B">
            <w:pPr>
              <w:spacing w:after="0" w:line="360" w:lineRule="auto"/>
              <w:jc w:val="both"/>
              <w:rPr>
                <w:rFonts w:ascii="Book Antiqua" w:hAnsi="Book Antiqua"/>
                <w:b/>
                <w:bCs/>
                <w:sz w:val="24"/>
                <w:szCs w:val="24"/>
                <w:lang w:eastAsia="zh-CN"/>
              </w:rPr>
            </w:pPr>
          </w:p>
        </w:tc>
      </w:tr>
      <w:tr w:rsidR="0065731B" w:rsidRPr="00712539" w14:paraId="4A10F6D0" w14:textId="77777777" w:rsidTr="00BE393C">
        <w:trPr>
          <w:trHeight w:val="462"/>
        </w:trPr>
        <w:tc>
          <w:tcPr>
            <w:tcW w:w="1958" w:type="dxa"/>
            <w:shd w:val="clear" w:color="auto" w:fill="auto"/>
            <w:tcMar>
              <w:top w:w="61" w:type="dxa"/>
              <w:left w:w="122" w:type="dxa"/>
              <w:bottom w:w="61" w:type="dxa"/>
              <w:right w:w="122" w:type="dxa"/>
            </w:tcMar>
          </w:tcPr>
          <w:p w14:paraId="3839F3E9" w14:textId="26D120EA" w:rsidR="0065731B" w:rsidRDefault="0065731B" w:rsidP="0093109B">
            <w:pPr>
              <w:spacing w:after="0" w:line="360" w:lineRule="auto"/>
              <w:jc w:val="both"/>
              <w:rPr>
                <w:rFonts w:ascii="Book Antiqua" w:hAnsi="Book Antiqua"/>
                <w:b/>
                <w:bCs/>
                <w:sz w:val="24"/>
                <w:szCs w:val="24"/>
                <w:lang w:eastAsia="zh-CN"/>
              </w:rPr>
            </w:pPr>
            <w:r>
              <w:rPr>
                <w:rFonts w:ascii="Book Antiqua" w:hAnsi="Book Antiqua"/>
                <w:b/>
                <w:bCs/>
                <w:sz w:val="24"/>
                <w:szCs w:val="24"/>
                <w:lang w:eastAsia="zh-CN"/>
              </w:rPr>
              <w:t>U</w:t>
            </w:r>
            <w:r>
              <w:rPr>
                <w:rFonts w:ascii="Book Antiqua" w:hAnsi="Book Antiqua" w:hint="eastAsia"/>
                <w:b/>
                <w:bCs/>
                <w:sz w:val="24"/>
                <w:szCs w:val="24"/>
                <w:lang w:eastAsia="zh-CN"/>
              </w:rPr>
              <w:t>rogenital cancers</w:t>
            </w:r>
          </w:p>
        </w:tc>
        <w:tc>
          <w:tcPr>
            <w:tcW w:w="3615" w:type="dxa"/>
            <w:gridSpan w:val="3"/>
            <w:shd w:val="clear" w:color="auto" w:fill="auto"/>
            <w:tcMar>
              <w:top w:w="61" w:type="dxa"/>
              <w:left w:w="122" w:type="dxa"/>
              <w:bottom w:w="61" w:type="dxa"/>
              <w:right w:w="122" w:type="dxa"/>
            </w:tcMar>
          </w:tcPr>
          <w:p w14:paraId="224F1141" w14:textId="3FE86861" w:rsidR="0065731B" w:rsidRDefault="0065731B" w:rsidP="0093109B">
            <w:pPr>
              <w:spacing w:after="0" w:line="360" w:lineRule="auto"/>
              <w:jc w:val="both"/>
              <w:rPr>
                <w:rFonts w:ascii="Book Antiqua" w:hAnsi="Book Antiqua"/>
                <w:b/>
                <w:bCs/>
                <w:sz w:val="24"/>
                <w:szCs w:val="24"/>
                <w:lang w:eastAsia="zh-CN"/>
              </w:rPr>
            </w:pPr>
            <w:r>
              <w:rPr>
                <w:rFonts w:ascii="Book Antiqua" w:hAnsi="Book Antiqua" w:hint="eastAsia"/>
                <w:b/>
                <w:bCs/>
                <w:sz w:val="24"/>
                <w:szCs w:val="24"/>
                <w:lang w:eastAsia="zh-CN"/>
              </w:rPr>
              <w:t>14.2%</w:t>
            </w:r>
          </w:p>
        </w:tc>
        <w:tc>
          <w:tcPr>
            <w:tcW w:w="4047" w:type="dxa"/>
            <w:gridSpan w:val="3"/>
            <w:shd w:val="clear" w:color="auto" w:fill="auto"/>
            <w:tcMar>
              <w:top w:w="61" w:type="dxa"/>
              <w:left w:w="122" w:type="dxa"/>
              <w:bottom w:w="61" w:type="dxa"/>
              <w:right w:w="122" w:type="dxa"/>
            </w:tcMar>
          </w:tcPr>
          <w:p w14:paraId="4E55BBC3" w14:textId="77777777" w:rsidR="0065731B" w:rsidRDefault="0065731B" w:rsidP="0093109B">
            <w:pPr>
              <w:spacing w:after="0" w:line="360" w:lineRule="auto"/>
              <w:jc w:val="both"/>
              <w:rPr>
                <w:rFonts w:ascii="Book Antiqua" w:hAnsi="Book Antiqua"/>
                <w:b/>
                <w:bCs/>
                <w:sz w:val="24"/>
                <w:szCs w:val="24"/>
                <w:lang w:eastAsia="zh-CN"/>
              </w:rPr>
            </w:pPr>
          </w:p>
        </w:tc>
      </w:tr>
      <w:tr w:rsidR="0065731B" w:rsidRPr="00712539" w14:paraId="25F582EC" w14:textId="77777777" w:rsidTr="00BE393C">
        <w:trPr>
          <w:trHeight w:val="462"/>
        </w:trPr>
        <w:tc>
          <w:tcPr>
            <w:tcW w:w="1958" w:type="dxa"/>
            <w:shd w:val="clear" w:color="auto" w:fill="auto"/>
            <w:tcMar>
              <w:top w:w="61" w:type="dxa"/>
              <w:left w:w="122" w:type="dxa"/>
              <w:bottom w:w="61" w:type="dxa"/>
              <w:right w:w="122" w:type="dxa"/>
            </w:tcMar>
          </w:tcPr>
          <w:p w14:paraId="77DB654F" w14:textId="2A53D00A" w:rsidR="0065731B" w:rsidRDefault="0065731B" w:rsidP="0093109B">
            <w:pPr>
              <w:spacing w:after="0" w:line="360" w:lineRule="auto"/>
              <w:jc w:val="both"/>
              <w:rPr>
                <w:rFonts w:ascii="Book Antiqua" w:hAnsi="Book Antiqua"/>
                <w:b/>
                <w:bCs/>
                <w:sz w:val="24"/>
                <w:szCs w:val="24"/>
                <w:lang w:eastAsia="zh-CN"/>
              </w:rPr>
            </w:pPr>
            <w:r>
              <w:rPr>
                <w:rFonts w:ascii="Book Antiqua" w:hAnsi="Book Antiqua"/>
                <w:b/>
                <w:bCs/>
                <w:sz w:val="24"/>
                <w:szCs w:val="24"/>
                <w:lang w:eastAsia="zh-CN"/>
              </w:rPr>
              <w:t>B</w:t>
            </w:r>
            <w:r>
              <w:rPr>
                <w:rFonts w:ascii="Book Antiqua" w:hAnsi="Book Antiqua" w:hint="eastAsia"/>
                <w:b/>
                <w:bCs/>
                <w:sz w:val="24"/>
                <w:szCs w:val="24"/>
                <w:lang w:eastAsia="zh-CN"/>
              </w:rPr>
              <w:t>rain cancers</w:t>
            </w:r>
          </w:p>
        </w:tc>
        <w:tc>
          <w:tcPr>
            <w:tcW w:w="3615" w:type="dxa"/>
            <w:gridSpan w:val="3"/>
            <w:shd w:val="clear" w:color="auto" w:fill="auto"/>
            <w:tcMar>
              <w:top w:w="61" w:type="dxa"/>
              <w:left w:w="122" w:type="dxa"/>
              <w:bottom w:w="61" w:type="dxa"/>
              <w:right w:w="122" w:type="dxa"/>
            </w:tcMar>
          </w:tcPr>
          <w:p w14:paraId="36CA8CEC" w14:textId="6C60E6EC" w:rsidR="0065731B" w:rsidRDefault="0065731B" w:rsidP="0093109B">
            <w:pPr>
              <w:spacing w:after="0" w:line="360" w:lineRule="auto"/>
              <w:jc w:val="both"/>
              <w:rPr>
                <w:rFonts w:ascii="Book Antiqua" w:hAnsi="Book Antiqua"/>
                <w:b/>
                <w:bCs/>
                <w:sz w:val="24"/>
                <w:szCs w:val="24"/>
                <w:lang w:eastAsia="zh-CN"/>
              </w:rPr>
            </w:pPr>
            <w:r>
              <w:rPr>
                <w:rFonts w:ascii="Book Antiqua" w:hAnsi="Book Antiqua" w:hint="eastAsia"/>
                <w:b/>
                <w:bCs/>
                <w:sz w:val="24"/>
                <w:szCs w:val="24"/>
                <w:lang w:eastAsia="zh-CN"/>
              </w:rPr>
              <w:t>5.5%</w:t>
            </w:r>
          </w:p>
        </w:tc>
        <w:tc>
          <w:tcPr>
            <w:tcW w:w="4047" w:type="dxa"/>
            <w:gridSpan w:val="3"/>
            <w:shd w:val="clear" w:color="auto" w:fill="auto"/>
            <w:tcMar>
              <w:top w:w="61" w:type="dxa"/>
              <w:left w:w="122" w:type="dxa"/>
              <w:bottom w:w="61" w:type="dxa"/>
              <w:right w:w="122" w:type="dxa"/>
            </w:tcMar>
          </w:tcPr>
          <w:p w14:paraId="138D11EE" w14:textId="77777777" w:rsidR="0065731B" w:rsidRDefault="0065731B" w:rsidP="0093109B">
            <w:pPr>
              <w:spacing w:after="0" w:line="360" w:lineRule="auto"/>
              <w:jc w:val="both"/>
              <w:rPr>
                <w:rFonts w:ascii="Book Antiqua" w:hAnsi="Book Antiqua"/>
                <w:b/>
                <w:bCs/>
                <w:sz w:val="24"/>
                <w:szCs w:val="24"/>
                <w:lang w:eastAsia="zh-CN"/>
              </w:rPr>
            </w:pPr>
          </w:p>
        </w:tc>
      </w:tr>
      <w:tr w:rsidR="0065731B" w:rsidRPr="00712539" w14:paraId="79774826" w14:textId="77777777" w:rsidTr="00BE393C">
        <w:trPr>
          <w:trHeight w:val="462"/>
        </w:trPr>
        <w:tc>
          <w:tcPr>
            <w:tcW w:w="1958" w:type="dxa"/>
            <w:shd w:val="clear" w:color="auto" w:fill="auto"/>
            <w:tcMar>
              <w:top w:w="61" w:type="dxa"/>
              <w:left w:w="122" w:type="dxa"/>
              <w:bottom w:w="61" w:type="dxa"/>
              <w:right w:w="122" w:type="dxa"/>
            </w:tcMar>
          </w:tcPr>
          <w:p w14:paraId="56AC58B2" w14:textId="292CCA08" w:rsidR="0065731B" w:rsidRDefault="0065731B" w:rsidP="0093109B">
            <w:pPr>
              <w:spacing w:after="0" w:line="360" w:lineRule="auto"/>
              <w:jc w:val="both"/>
              <w:rPr>
                <w:rFonts w:ascii="Book Antiqua" w:hAnsi="Book Antiqua"/>
                <w:b/>
                <w:bCs/>
                <w:sz w:val="24"/>
                <w:szCs w:val="24"/>
                <w:lang w:eastAsia="zh-CN"/>
              </w:rPr>
            </w:pPr>
            <w:r>
              <w:rPr>
                <w:rFonts w:ascii="Book Antiqua" w:hAnsi="Book Antiqua" w:hint="eastAsia"/>
                <w:b/>
                <w:bCs/>
                <w:sz w:val="24"/>
                <w:szCs w:val="24"/>
                <w:lang w:eastAsia="zh-CN"/>
              </w:rPr>
              <w:t>Hematological cancers</w:t>
            </w:r>
          </w:p>
        </w:tc>
        <w:tc>
          <w:tcPr>
            <w:tcW w:w="3615" w:type="dxa"/>
            <w:gridSpan w:val="3"/>
            <w:shd w:val="clear" w:color="auto" w:fill="auto"/>
            <w:tcMar>
              <w:top w:w="61" w:type="dxa"/>
              <w:left w:w="122" w:type="dxa"/>
              <w:bottom w:w="61" w:type="dxa"/>
              <w:right w:w="122" w:type="dxa"/>
            </w:tcMar>
          </w:tcPr>
          <w:p w14:paraId="2CD39103" w14:textId="5C87DD06" w:rsidR="0065731B" w:rsidRDefault="0065731B" w:rsidP="0093109B">
            <w:pPr>
              <w:spacing w:after="0" w:line="360" w:lineRule="auto"/>
              <w:jc w:val="both"/>
              <w:rPr>
                <w:rFonts w:ascii="Book Antiqua" w:hAnsi="Book Antiqua"/>
                <w:b/>
                <w:bCs/>
                <w:sz w:val="24"/>
                <w:szCs w:val="24"/>
                <w:lang w:eastAsia="zh-CN"/>
              </w:rPr>
            </w:pPr>
            <w:r>
              <w:rPr>
                <w:rFonts w:ascii="Book Antiqua" w:hAnsi="Book Antiqua" w:hint="eastAsia"/>
                <w:b/>
                <w:bCs/>
                <w:sz w:val="24"/>
                <w:szCs w:val="24"/>
                <w:lang w:eastAsia="zh-CN"/>
              </w:rPr>
              <w:t>10%</w:t>
            </w:r>
          </w:p>
        </w:tc>
        <w:tc>
          <w:tcPr>
            <w:tcW w:w="4047" w:type="dxa"/>
            <w:gridSpan w:val="3"/>
            <w:shd w:val="clear" w:color="auto" w:fill="auto"/>
            <w:tcMar>
              <w:top w:w="61" w:type="dxa"/>
              <w:left w:w="122" w:type="dxa"/>
              <w:bottom w:w="61" w:type="dxa"/>
              <w:right w:w="122" w:type="dxa"/>
            </w:tcMar>
          </w:tcPr>
          <w:p w14:paraId="4B6EEC97" w14:textId="63372198" w:rsidR="0065731B" w:rsidRDefault="0065731B" w:rsidP="0093109B">
            <w:pPr>
              <w:spacing w:after="0" w:line="360" w:lineRule="auto"/>
              <w:jc w:val="both"/>
              <w:rPr>
                <w:rFonts w:ascii="Book Antiqua" w:hAnsi="Book Antiqua"/>
                <w:b/>
                <w:bCs/>
                <w:sz w:val="24"/>
                <w:szCs w:val="24"/>
                <w:lang w:eastAsia="zh-CN"/>
              </w:rPr>
            </w:pPr>
            <w:r>
              <w:rPr>
                <w:rFonts w:ascii="Book Antiqua" w:hAnsi="Book Antiqua" w:hint="eastAsia"/>
                <w:b/>
                <w:bCs/>
                <w:sz w:val="24"/>
                <w:szCs w:val="24"/>
                <w:lang w:eastAsia="zh-CN"/>
              </w:rPr>
              <w:t>10%</w:t>
            </w:r>
          </w:p>
        </w:tc>
      </w:tr>
      <w:tr w:rsidR="00542ADF" w:rsidRPr="00712539" w14:paraId="4CF7AE00" w14:textId="77777777" w:rsidTr="00BE393C">
        <w:trPr>
          <w:trHeight w:val="462"/>
        </w:trPr>
        <w:tc>
          <w:tcPr>
            <w:tcW w:w="9620" w:type="dxa"/>
            <w:gridSpan w:val="7"/>
            <w:shd w:val="clear" w:color="auto" w:fill="auto"/>
            <w:tcMar>
              <w:top w:w="61" w:type="dxa"/>
              <w:left w:w="122" w:type="dxa"/>
              <w:bottom w:w="61" w:type="dxa"/>
              <w:right w:w="122" w:type="dxa"/>
            </w:tcMar>
          </w:tcPr>
          <w:p w14:paraId="59E1F819" w14:textId="458FAC03" w:rsidR="00542ADF" w:rsidRPr="00712539" w:rsidRDefault="00542ADF" w:rsidP="0093109B">
            <w:pPr>
              <w:spacing w:after="0" w:line="360" w:lineRule="auto"/>
              <w:jc w:val="both"/>
              <w:rPr>
                <w:rFonts w:ascii="Book Antiqua" w:hAnsi="Book Antiqua"/>
                <w:sz w:val="24"/>
                <w:szCs w:val="24"/>
                <w:lang w:eastAsia="zh-CN"/>
              </w:rPr>
            </w:pPr>
            <w:r w:rsidRPr="00712539">
              <w:rPr>
                <w:rFonts w:ascii="Book Antiqua" w:hAnsi="Book Antiqua"/>
                <w:sz w:val="24"/>
                <w:szCs w:val="24"/>
                <w:lang w:val="en-US"/>
              </w:rPr>
              <w:t>Study outcomes</w:t>
            </w:r>
          </w:p>
        </w:tc>
      </w:tr>
      <w:tr w:rsidR="0093109B" w:rsidRPr="00712539" w14:paraId="399DFE1A" w14:textId="77777777" w:rsidTr="00BE393C">
        <w:trPr>
          <w:trHeight w:val="430"/>
        </w:trPr>
        <w:tc>
          <w:tcPr>
            <w:tcW w:w="1958" w:type="dxa"/>
            <w:shd w:val="clear" w:color="auto" w:fill="auto"/>
            <w:tcMar>
              <w:top w:w="61" w:type="dxa"/>
              <w:left w:w="122" w:type="dxa"/>
              <w:bottom w:w="61" w:type="dxa"/>
              <w:right w:w="122" w:type="dxa"/>
            </w:tcMar>
          </w:tcPr>
          <w:p w14:paraId="54DB0473" w14:textId="77777777" w:rsidR="004F0B9C" w:rsidRPr="00712539" w:rsidRDefault="004F0B9C" w:rsidP="0093109B">
            <w:pPr>
              <w:spacing w:after="0" w:line="360" w:lineRule="auto"/>
              <w:jc w:val="both"/>
              <w:rPr>
                <w:rFonts w:ascii="Book Antiqua" w:hAnsi="Book Antiqua"/>
                <w:sz w:val="24"/>
                <w:szCs w:val="24"/>
              </w:rPr>
            </w:pPr>
          </w:p>
        </w:tc>
        <w:tc>
          <w:tcPr>
            <w:tcW w:w="1253" w:type="dxa"/>
            <w:shd w:val="clear" w:color="auto" w:fill="auto"/>
            <w:tcMar>
              <w:top w:w="61" w:type="dxa"/>
              <w:left w:w="122" w:type="dxa"/>
              <w:bottom w:w="61" w:type="dxa"/>
              <w:right w:w="122" w:type="dxa"/>
            </w:tcMar>
          </w:tcPr>
          <w:p w14:paraId="7146906F" w14:textId="77777777" w:rsidR="004F0B9C" w:rsidRPr="00712539" w:rsidRDefault="004F0B9C" w:rsidP="0093109B">
            <w:pPr>
              <w:spacing w:after="0" w:line="360" w:lineRule="auto"/>
              <w:jc w:val="both"/>
              <w:rPr>
                <w:rFonts w:ascii="Book Antiqua" w:hAnsi="Book Antiqua"/>
                <w:sz w:val="24"/>
                <w:szCs w:val="24"/>
              </w:rPr>
            </w:pPr>
            <w:r w:rsidRPr="00712539">
              <w:rPr>
                <w:rFonts w:ascii="Book Antiqua" w:hAnsi="Book Antiqua"/>
                <w:sz w:val="24"/>
                <w:szCs w:val="24"/>
              </w:rPr>
              <w:t>VKA</w:t>
            </w:r>
          </w:p>
        </w:tc>
        <w:tc>
          <w:tcPr>
            <w:tcW w:w="1382" w:type="dxa"/>
            <w:shd w:val="clear" w:color="auto" w:fill="auto"/>
            <w:tcMar>
              <w:top w:w="61" w:type="dxa"/>
              <w:left w:w="122" w:type="dxa"/>
              <w:bottom w:w="61" w:type="dxa"/>
              <w:right w:w="122" w:type="dxa"/>
            </w:tcMar>
          </w:tcPr>
          <w:p w14:paraId="3B1FD84D" w14:textId="77777777" w:rsidR="004F0B9C" w:rsidRPr="00712539" w:rsidRDefault="004F0B9C" w:rsidP="0093109B">
            <w:pPr>
              <w:spacing w:after="0" w:line="360" w:lineRule="auto"/>
              <w:jc w:val="both"/>
              <w:rPr>
                <w:rFonts w:ascii="Book Antiqua" w:hAnsi="Book Antiqua"/>
                <w:sz w:val="24"/>
                <w:szCs w:val="24"/>
              </w:rPr>
            </w:pPr>
            <w:r w:rsidRPr="00712539">
              <w:rPr>
                <w:rFonts w:ascii="Book Antiqua" w:hAnsi="Book Antiqua"/>
                <w:sz w:val="24"/>
                <w:szCs w:val="24"/>
              </w:rPr>
              <w:t>Dalteparin</w:t>
            </w:r>
          </w:p>
        </w:tc>
        <w:tc>
          <w:tcPr>
            <w:tcW w:w="980" w:type="dxa"/>
            <w:shd w:val="clear" w:color="auto" w:fill="auto"/>
            <w:tcMar>
              <w:top w:w="61" w:type="dxa"/>
              <w:left w:w="122" w:type="dxa"/>
              <w:bottom w:w="61" w:type="dxa"/>
              <w:right w:w="122" w:type="dxa"/>
            </w:tcMar>
          </w:tcPr>
          <w:p w14:paraId="4FB9E40E" w14:textId="6D8CD351" w:rsidR="004F0B9C" w:rsidRPr="00542ADF" w:rsidRDefault="004F0B9C" w:rsidP="0093109B">
            <w:pPr>
              <w:spacing w:after="0" w:line="360" w:lineRule="auto"/>
              <w:jc w:val="both"/>
              <w:rPr>
                <w:rFonts w:ascii="Book Antiqua" w:hAnsi="Book Antiqua"/>
                <w:i/>
                <w:sz w:val="24"/>
                <w:szCs w:val="24"/>
              </w:rPr>
            </w:pPr>
            <w:r w:rsidRPr="00712539">
              <w:rPr>
                <w:rFonts w:ascii="Book Antiqua" w:hAnsi="Book Antiqua"/>
                <w:sz w:val="24"/>
                <w:szCs w:val="24"/>
              </w:rPr>
              <w:t xml:space="preserve"> </w:t>
            </w:r>
            <w:r w:rsidR="00542ADF" w:rsidRPr="00542ADF">
              <w:rPr>
                <w:rFonts w:ascii="Book Antiqua" w:hAnsi="Book Antiqua"/>
                <w:i/>
                <w:sz w:val="24"/>
                <w:szCs w:val="24"/>
              </w:rPr>
              <w:t>P</w:t>
            </w:r>
          </w:p>
        </w:tc>
        <w:tc>
          <w:tcPr>
            <w:tcW w:w="1385" w:type="dxa"/>
            <w:shd w:val="clear" w:color="auto" w:fill="auto"/>
            <w:tcMar>
              <w:top w:w="61" w:type="dxa"/>
              <w:left w:w="122" w:type="dxa"/>
              <w:bottom w:w="61" w:type="dxa"/>
              <w:right w:w="122" w:type="dxa"/>
            </w:tcMar>
          </w:tcPr>
          <w:p w14:paraId="296EBE03" w14:textId="77777777" w:rsidR="004F0B9C" w:rsidRPr="00712539" w:rsidRDefault="004F0B9C" w:rsidP="0093109B">
            <w:pPr>
              <w:spacing w:after="0" w:line="360" w:lineRule="auto"/>
              <w:jc w:val="both"/>
              <w:rPr>
                <w:rFonts w:ascii="Book Antiqua" w:hAnsi="Book Antiqua"/>
                <w:sz w:val="24"/>
                <w:szCs w:val="24"/>
              </w:rPr>
            </w:pPr>
            <w:r w:rsidRPr="00712539">
              <w:rPr>
                <w:rFonts w:ascii="Book Antiqua" w:hAnsi="Book Antiqua"/>
                <w:sz w:val="24"/>
                <w:szCs w:val="24"/>
              </w:rPr>
              <w:t>VKA</w:t>
            </w:r>
          </w:p>
        </w:tc>
        <w:tc>
          <w:tcPr>
            <w:tcW w:w="1551" w:type="dxa"/>
            <w:shd w:val="clear" w:color="auto" w:fill="auto"/>
            <w:tcMar>
              <w:top w:w="61" w:type="dxa"/>
              <w:left w:w="122" w:type="dxa"/>
              <w:bottom w:w="61" w:type="dxa"/>
              <w:right w:w="122" w:type="dxa"/>
            </w:tcMar>
          </w:tcPr>
          <w:p w14:paraId="187C3329" w14:textId="77777777" w:rsidR="004F0B9C" w:rsidRPr="00712539" w:rsidRDefault="004F0B9C" w:rsidP="0093109B">
            <w:pPr>
              <w:spacing w:after="0" w:line="360" w:lineRule="auto"/>
              <w:jc w:val="both"/>
              <w:rPr>
                <w:rFonts w:ascii="Book Antiqua" w:hAnsi="Book Antiqua"/>
                <w:sz w:val="24"/>
                <w:szCs w:val="24"/>
              </w:rPr>
            </w:pPr>
            <w:r w:rsidRPr="00712539">
              <w:rPr>
                <w:rFonts w:ascii="Book Antiqua" w:hAnsi="Book Antiqua"/>
                <w:sz w:val="24"/>
                <w:szCs w:val="24"/>
              </w:rPr>
              <w:t>Tinzaparin</w:t>
            </w:r>
          </w:p>
        </w:tc>
        <w:tc>
          <w:tcPr>
            <w:tcW w:w="1111" w:type="dxa"/>
            <w:shd w:val="clear" w:color="auto" w:fill="auto"/>
            <w:tcMar>
              <w:top w:w="61" w:type="dxa"/>
              <w:left w:w="122" w:type="dxa"/>
              <w:bottom w:w="61" w:type="dxa"/>
              <w:right w:w="122" w:type="dxa"/>
            </w:tcMar>
          </w:tcPr>
          <w:p w14:paraId="6FC37CF7" w14:textId="16F3D2B0" w:rsidR="004F0B9C" w:rsidRPr="00542ADF" w:rsidRDefault="004F0B9C" w:rsidP="0093109B">
            <w:pPr>
              <w:spacing w:after="0" w:line="360" w:lineRule="auto"/>
              <w:jc w:val="both"/>
              <w:rPr>
                <w:rFonts w:ascii="Book Antiqua" w:hAnsi="Book Antiqua"/>
                <w:i/>
                <w:sz w:val="24"/>
                <w:szCs w:val="24"/>
              </w:rPr>
            </w:pPr>
            <w:r w:rsidRPr="00712539">
              <w:rPr>
                <w:rFonts w:ascii="Book Antiqua" w:hAnsi="Book Antiqua"/>
                <w:sz w:val="24"/>
                <w:szCs w:val="24"/>
              </w:rPr>
              <w:t xml:space="preserve"> </w:t>
            </w:r>
            <w:r w:rsidR="00542ADF" w:rsidRPr="00542ADF">
              <w:rPr>
                <w:rFonts w:ascii="Book Antiqua" w:hAnsi="Book Antiqua"/>
                <w:i/>
                <w:sz w:val="24"/>
                <w:szCs w:val="24"/>
              </w:rPr>
              <w:t>P</w:t>
            </w:r>
          </w:p>
        </w:tc>
      </w:tr>
      <w:tr w:rsidR="0093109B" w:rsidRPr="00712539" w14:paraId="15F3E4AB" w14:textId="77777777" w:rsidTr="00BE393C">
        <w:trPr>
          <w:trHeight w:val="411"/>
        </w:trPr>
        <w:tc>
          <w:tcPr>
            <w:tcW w:w="1958" w:type="dxa"/>
            <w:shd w:val="clear" w:color="auto" w:fill="auto"/>
            <w:tcMar>
              <w:top w:w="61" w:type="dxa"/>
              <w:left w:w="122" w:type="dxa"/>
              <w:bottom w:w="61" w:type="dxa"/>
              <w:right w:w="122" w:type="dxa"/>
            </w:tcMar>
          </w:tcPr>
          <w:p w14:paraId="7D29F459" w14:textId="77777777" w:rsidR="004F0B9C" w:rsidRPr="00712539" w:rsidRDefault="004F0B9C" w:rsidP="0093109B">
            <w:pPr>
              <w:spacing w:after="0" w:line="360" w:lineRule="auto"/>
              <w:jc w:val="both"/>
              <w:rPr>
                <w:rFonts w:ascii="Book Antiqua" w:hAnsi="Book Antiqua"/>
                <w:sz w:val="24"/>
                <w:szCs w:val="24"/>
              </w:rPr>
            </w:pPr>
            <w:r w:rsidRPr="00712539">
              <w:rPr>
                <w:rFonts w:ascii="Book Antiqua" w:hAnsi="Book Antiqua"/>
                <w:sz w:val="24"/>
                <w:szCs w:val="24"/>
              </w:rPr>
              <w:lastRenderedPageBreak/>
              <w:t>VTE</w:t>
            </w:r>
          </w:p>
        </w:tc>
        <w:tc>
          <w:tcPr>
            <w:tcW w:w="1253" w:type="dxa"/>
            <w:shd w:val="clear" w:color="auto" w:fill="auto"/>
            <w:tcMar>
              <w:top w:w="61" w:type="dxa"/>
              <w:left w:w="122" w:type="dxa"/>
              <w:bottom w:w="61" w:type="dxa"/>
              <w:right w:w="122" w:type="dxa"/>
            </w:tcMar>
          </w:tcPr>
          <w:p w14:paraId="4D8FF06B" w14:textId="1C904BB7" w:rsidR="004F0B9C" w:rsidRPr="00712539" w:rsidRDefault="004F0B9C" w:rsidP="00BE7D41">
            <w:pPr>
              <w:spacing w:after="0" w:line="360" w:lineRule="auto"/>
              <w:jc w:val="both"/>
              <w:rPr>
                <w:rFonts w:ascii="Book Antiqua" w:hAnsi="Book Antiqua"/>
                <w:sz w:val="24"/>
                <w:szCs w:val="24"/>
              </w:rPr>
            </w:pPr>
            <w:r w:rsidRPr="00712539">
              <w:rPr>
                <w:rFonts w:ascii="Book Antiqua" w:hAnsi="Book Antiqua"/>
                <w:sz w:val="24"/>
                <w:szCs w:val="24"/>
              </w:rPr>
              <w:t>15</w:t>
            </w:r>
            <w:r w:rsidR="00BE7D41">
              <w:rPr>
                <w:rFonts w:ascii="Book Antiqua" w:hAnsi="Book Antiqua" w:hint="eastAsia"/>
                <w:sz w:val="24"/>
                <w:szCs w:val="24"/>
                <w:lang w:eastAsia="zh-CN"/>
              </w:rPr>
              <w:t>.</w:t>
            </w:r>
            <w:r w:rsidRPr="00712539">
              <w:rPr>
                <w:rFonts w:ascii="Book Antiqua" w:hAnsi="Book Antiqua"/>
                <w:sz w:val="24"/>
                <w:szCs w:val="24"/>
              </w:rPr>
              <w:t>8%</w:t>
            </w:r>
          </w:p>
        </w:tc>
        <w:tc>
          <w:tcPr>
            <w:tcW w:w="1382" w:type="dxa"/>
            <w:shd w:val="clear" w:color="auto" w:fill="auto"/>
            <w:tcMar>
              <w:top w:w="61" w:type="dxa"/>
              <w:left w:w="122" w:type="dxa"/>
              <w:bottom w:w="61" w:type="dxa"/>
              <w:right w:w="122" w:type="dxa"/>
            </w:tcMar>
          </w:tcPr>
          <w:p w14:paraId="26071CE7" w14:textId="63ECE94A" w:rsidR="004F0B9C" w:rsidRPr="00712539" w:rsidRDefault="004F0B9C" w:rsidP="00BE7D41">
            <w:pPr>
              <w:spacing w:after="0" w:line="360" w:lineRule="auto"/>
              <w:jc w:val="both"/>
              <w:rPr>
                <w:rFonts w:ascii="Book Antiqua" w:hAnsi="Book Antiqua"/>
                <w:sz w:val="24"/>
                <w:szCs w:val="24"/>
              </w:rPr>
            </w:pPr>
            <w:r w:rsidRPr="00712539">
              <w:rPr>
                <w:rFonts w:ascii="Book Antiqua" w:hAnsi="Book Antiqua"/>
                <w:sz w:val="24"/>
                <w:szCs w:val="24"/>
              </w:rPr>
              <w:t>8</w:t>
            </w:r>
            <w:r w:rsidR="00BE7D41">
              <w:rPr>
                <w:rFonts w:ascii="Book Antiqua" w:hAnsi="Book Antiqua" w:hint="eastAsia"/>
                <w:sz w:val="24"/>
                <w:szCs w:val="24"/>
                <w:lang w:eastAsia="zh-CN"/>
              </w:rPr>
              <w:t>.</w:t>
            </w:r>
            <w:r w:rsidRPr="00712539">
              <w:rPr>
                <w:rFonts w:ascii="Book Antiqua" w:hAnsi="Book Antiqua"/>
                <w:sz w:val="24"/>
                <w:szCs w:val="24"/>
              </w:rPr>
              <w:t>0%</w:t>
            </w:r>
          </w:p>
        </w:tc>
        <w:tc>
          <w:tcPr>
            <w:tcW w:w="980" w:type="dxa"/>
            <w:shd w:val="clear" w:color="auto" w:fill="auto"/>
            <w:tcMar>
              <w:top w:w="61" w:type="dxa"/>
              <w:left w:w="122" w:type="dxa"/>
              <w:bottom w:w="61" w:type="dxa"/>
              <w:right w:w="122" w:type="dxa"/>
            </w:tcMar>
          </w:tcPr>
          <w:p w14:paraId="79EC9033" w14:textId="38CDE45B" w:rsidR="004F0B9C" w:rsidRPr="00712539" w:rsidRDefault="004F0B9C" w:rsidP="00BE7D41">
            <w:pPr>
              <w:spacing w:after="0" w:line="360" w:lineRule="auto"/>
              <w:jc w:val="both"/>
              <w:rPr>
                <w:rFonts w:ascii="Book Antiqua" w:hAnsi="Book Antiqua"/>
                <w:sz w:val="24"/>
                <w:szCs w:val="24"/>
              </w:rPr>
            </w:pPr>
            <w:r w:rsidRPr="00712539">
              <w:rPr>
                <w:rFonts w:ascii="Book Antiqua" w:hAnsi="Book Antiqua"/>
                <w:sz w:val="24"/>
                <w:szCs w:val="24"/>
              </w:rPr>
              <w:t xml:space="preserve"> 0</w:t>
            </w:r>
            <w:r w:rsidR="00BE7D41">
              <w:rPr>
                <w:rFonts w:ascii="Book Antiqua" w:hAnsi="Book Antiqua" w:hint="eastAsia"/>
                <w:sz w:val="24"/>
                <w:szCs w:val="24"/>
                <w:lang w:eastAsia="zh-CN"/>
              </w:rPr>
              <w:t>.</w:t>
            </w:r>
            <w:r w:rsidRPr="00712539">
              <w:rPr>
                <w:rFonts w:ascii="Book Antiqua" w:hAnsi="Book Antiqua"/>
                <w:sz w:val="24"/>
                <w:szCs w:val="24"/>
              </w:rPr>
              <w:t>002</w:t>
            </w:r>
          </w:p>
        </w:tc>
        <w:tc>
          <w:tcPr>
            <w:tcW w:w="1385" w:type="dxa"/>
            <w:shd w:val="clear" w:color="auto" w:fill="auto"/>
            <w:tcMar>
              <w:top w:w="61" w:type="dxa"/>
              <w:left w:w="122" w:type="dxa"/>
              <w:bottom w:w="61" w:type="dxa"/>
              <w:right w:w="122" w:type="dxa"/>
            </w:tcMar>
          </w:tcPr>
          <w:p w14:paraId="0364DCE8" w14:textId="09BBED62" w:rsidR="004F0B9C" w:rsidRPr="00712539" w:rsidRDefault="004F0B9C" w:rsidP="00BE7D41">
            <w:pPr>
              <w:spacing w:after="0" w:line="360" w:lineRule="auto"/>
              <w:jc w:val="both"/>
              <w:rPr>
                <w:rFonts w:ascii="Book Antiqua" w:hAnsi="Book Antiqua"/>
                <w:sz w:val="24"/>
                <w:szCs w:val="24"/>
              </w:rPr>
            </w:pPr>
            <w:r w:rsidRPr="00712539">
              <w:rPr>
                <w:rFonts w:ascii="Book Antiqua" w:hAnsi="Book Antiqua"/>
                <w:sz w:val="24"/>
                <w:szCs w:val="24"/>
              </w:rPr>
              <w:t>10</w:t>
            </w:r>
            <w:r w:rsidR="00BE7D41">
              <w:rPr>
                <w:rFonts w:ascii="Book Antiqua" w:hAnsi="Book Antiqua" w:hint="eastAsia"/>
                <w:sz w:val="24"/>
                <w:szCs w:val="24"/>
                <w:lang w:eastAsia="zh-CN"/>
              </w:rPr>
              <w:t>.</w:t>
            </w:r>
            <w:r w:rsidRPr="00712539">
              <w:rPr>
                <w:rFonts w:ascii="Book Antiqua" w:hAnsi="Book Antiqua"/>
                <w:sz w:val="24"/>
                <w:szCs w:val="24"/>
              </w:rPr>
              <w:t>0%</w:t>
            </w:r>
          </w:p>
        </w:tc>
        <w:tc>
          <w:tcPr>
            <w:tcW w:w="1551" w:type="dxa"/>
            <w:shd w:val="clear" w:color="auto" w:fill="auto"/>
            <w:tcMar>
              <w:top w:w="61" w:type="dxa"/>
              <w:left w:w="122" w:type="dxa"/>
              <w:bottom w:w="61" w:type="dxa"/>
              <w:right w:w="122" w:type="dxa"/>
            </w:tcMar>
          </w:tcPr>
          <w:p w14:paraId="4F7B64CE" w14:textId="416849A2" w:rsidR="004F0B9C" w:rsidRPr="00712539" w:rsidRDefault="004F0B9C" w:rsidP="00BE7D41">
            <w:pPr>
              <w:spacing w:after="0" w:line="360" w:lineRule="auto"/>
              <w:jc w:val="both"/>
              <w:rPr>
                <w:rFonts w:ascii="Book Antiqua" w:hAnsi="Book Antiqua"/>
                <w:sz w:val="24"/>
                <w:szCs w:val="24"/>
              </w:rPr>
            </w:pPr>
            <w:r w:rsidRPr="00712539">
              <w:rPr>
                <w:rFonts w:ascii="Book Antiqua" w:hAnsi="Book Antiqua"/>
                <w:sz w:val="24"/>
                <w:szCs w:val="24"/>
              </w:rPr>
              <w:t>6</w:t>
            </w:r>
            <w:r w:rsidR="00BE7D41">
              <w:rPr>
                <w:rFonts w:ascii="Book Antiqua" w:hAnsi="Book Antiqua" w:hint="eastAsia"/>
                <w:sz w:val="24"/>
                <w:szCs w:val="24"/>
                <w:lang w:eastAsia="zh-CN"/>
              </w:rPr>
              <w:t>.</w:t>
            </w:r>
            <w:r w:rsidRPr="00712539">
              <w:rPr>
                <w:rFonts w:ascii="Book Antiqua" w:hAnsi="Book Antiqua"/>
                <w:sz w:val="24"/>
                <w:szCs w:val="24"/>
              </w:rPr>
              <w:t>9%</w:t>
            </w:r>
          </w:p>
        </w:tc>
        <w:tc>
          <w:tcPr>
            <w:tcW w:w="1111" w:type="dxa"/>
            <w:shd w:val="clear" w:color="auto" w:fill="auto"/>
            <w:tcMar>
              <w:top w:w="61" w:type="dxa"/>
              <w:left w:w="122" w:type="dxa"/>
              <w:bottom w:w="61" w:type="dxa"/>
              <w:right w:w="122" w:type="dxa"/>
            </w:tcMar>
          </w:tcPr>
          <w:p w14:paraId="4BD71956" w14:textId="4C272078" w:rsidR="004F0B9C" w:rsidRPr="00712539" w:rsidRDefault="004F0B9C" w:rsidP="00BE7D41">
            <w:pPr>
              <w:spacing w:after="0" w:line="360" w:lineRule="auto"/>
              <w:jc w:val="both"/>
              <w:rPr>
                <w:rFonts w:ascii="Book Antiqua" w:hAnsi="Book Antiqua"/>
                <w:sz w:val="24"/>
                <w:szCs w:val="24"/>
              </w:rPr>
            </w:pPr>
            <w:r w:rsidRPr="00712539">
              <w:rPr>
                <w:rFonts w:ascii="Book Antiqua" w:hAnsi="Book Antiqua"/>
                <w:sz w:val="24"/>
                <w:szCs w:val="24"/>
              </w:rPr>
              <w:t xml:space="preserve"> 0</w:t>
            </w:r>
            <w:r w:rsidR="00BE7D41">
              <w:rPr>
                <w:rFonts w:ascii="Book Antiqua" w:hAnsi="Book Antiqua" w:hint="eastAsia"/>
                <w:sz w:val="24"/>
                <w:szCs w:val="24"/>
                <w:lang w:eastAsia="zh-CN"/>
              </w:rPr>
              <w:t>.</w:t>
            </w:r>
            <w:r w:rsidRPr="00712539">
              <w:rPr>
                <w:rFonts w:ascii="Book Antiqua" w:hAnsi="Book Antiqua"/>
                <w:sz w:val="24"/>
                <w:szCs w:val="24"/>
              </w:rPr>
              <w:t>07</w:t>
            </w:r>
          </w:p>
        </w:tc>
      </w:tr>
      <w:tr w:rsidR="0093109B" w:rsidRPr="00712539" w14:paraId="23EF44FF" w14:textId="77777777" w:rsidTr="00BE393C">
        <w:trPr>
          <w:trHeight w:val="235"/>
        </w:trPr>
        <w:tc>
          <w:tcPr>
            <w:tcW w:w="1958" w:type="dxa"/>
            <w:shd w:val="clear" w:color="auto" w:fill="auto"/>
            <w:tcMar>
              <w:top w:w="61" w:type="dxa"/>
              <w:left w:w="122" w:type="dxa"/>
              <w:bottom w:w="61" w:type="dxa"/>
              <w:right w:w="122" w:type="dxa"/>
            </w:tcMar>
          </w:tcPr>
          <w:p w14:paraId="4898213A" w14:textId="77777777" w:rsidR="004F0B9C" w:rsidRPr="00712539" w:rsidRDefault="004F0B9C" w:rsidP="0093109B">
            <w:pPr>
              <w:spacing w:after="0" w:line="360" w:lineRule="auto"/>
              <w:jc w:val="both"/>
              <w:rPr>
                <w:rFonts w:ascii="Book Antiqua" w:hAnsi="Book Antiqua"/>
                <w:sz w:val="24"/>
                <w:szCs w:val="24"/>
              </w:rPr>
            </w:pPr>
            <w:r w:rsidRPr="00712539">
              <w:rPr>
                <w:rFonts w:ascii="Book Antiqua" w:hAnsi="Book Antiqua"/>
                <w:sz w:val="24"/>
                <w:szCs w:val="24"/>
              </w:rPr>
              <w:t>DVT</w:t>
            </w:r>
          </w:p>
        </w:tc>
        <w:tc>
          <w:tcPr>
            <w:tcW w:w="1253" w:type="dxa"/>
            <w:shd w:val="clear" w:color="auto" w:fill="auto"/>
            <w:tcMar>
              <w:top w:w="61" w:type="dxa"/>
              <w:left w:w="122" w:type="dxa"/>
              <w:bottom w:w="61" w:type="dxa"/>
              <w:right w:w="122" w:type="dxa"/>
            </w:tcMar>
          </w:tcPr>
          <w:p w14:paraId="0F3F9540" w14:textId="58561FAC" w:rsidR="004F0B9C" w:rsidRPr="00712539" w:rsidRDefault="004F0B9C" w:rsidP="00BE7D41">
            <w:pPr>
              <w:spacing w:after="0" w:line="360" w:lineRule="auto"/>
              <w:jc w:val="both"/>
              <w:rPr>
                <w:rFonts w:ascii="Book Antiqua" w:hAnsi="Book Antiqua"/>
                <w:sz w:val="24"/>
                <w:szCs w:val="24"/>
              </w:rPr>
            </w:pPr>
            <w:r w:rsidRPr="00712539">
              <w:rPr>
                <w:rFonts w:ascii="Book Antiqua" w:hAnsi="Book Antiqua"/>
                <w:sz w:val="24"/>
                <w:szCs w:val="24"/>
              </w:rPr>
              <w:t>11</w:t>
            </w:r>
            <w:r w:rsidR="00BE7D41">
              <w:rPr>
                <w:rFonts w:ascii="Book Antiqua" w:hAnsi="Book Antiqua" w:hint="eastAsia"/>
                <w:sz w:val="24"/>
                <w:szCs w:val="24"/>
                <w:lang w:eastAsia="zh-CN"/>
              </w:rPr>
              <w:t>.</w:t>
            </w:r>
            <w:r w:rsidRPr="00712539">
              <w:rPr>
                <w:rFonts w:ascii="Book Antiqua" w:hAnsi="Book Antiqua"/>
                <w:sz w:val="24"/>
                <w:szCs w:val="24"/>
              </w:rPr>
              <w:t>0%</w:t>
            </w:r>
          </w:p>
        </w:tc>
        <w:tc>
          <w:tcPr>
            <w:tcW w:w="1382" w:type="dxa"/>
            <w:shd w:val="clear" w:color="auto" w:fill="auto"/>
            <w:tcMar>
              <w:top w:w="61" w:type="dxa"/>
              <w:left w:w="122" w:type="dxa"/>
              <w:bottom w:w="61" w:type="dxa"/>
              <w:right w:w="122" w:type="dxa"/>
            </w:tcMar>
          </w:tcPr>
          <w:p w14:paraId="154D704D" w14:textId="4777B022" w:rsidR="004F0B9C" w:rsidRPr="00712539" w:rsidRDefault="004F0B9C" w:rsidP="00BE7D41">
            <w:pPr>
              <w:spacing w:after="0" w:line="360" w:lineRule="auto"/>
              <w:jc w:val="both"/>
              <w:rPr>
                <w:rFonts w:ascii="Book Antiqua" w:hAnsi="Book Antiqua"/>
                <w:sz w:val="24"/>
                <w:szCs w:val="24"/>
              </w:rPr>
            </w:pPr>
            <w:r w:rsidRPr="00712539">
              <w:rPr>
                <w:rFonts w:ascii="Book Antiqua" w:hAnsi="Book Antiqua"/>
                <w:sz w:val="24"/>
                <w:szCs w:val="24"/>
              </w:rPr>
              <w:t>4</w:t>
            </w:r>
            <w:r w:rsidR="00BE7D41">
              <w:rPr>
                <w:rFonts w:ascii="Book Antiqua" w:hAnsi="Book Antiqua" w:hint="eastAsia"/>
                <w:sz w:val="24"/>
                <w:szCs w:val="24"/>
                <w:lang w:eastAsia="zh-CN"/>
              </w:rPr>
              <w:t>.</w:t>
            </w:r>
            <w:r w:rsidRPr="00712539">
              <w:rPr>
                <w:rFonts w:ascii="Book Antiqua" w:hAnsi="Book Antiqua"/>
                <w:sz w:val="24"/>
                <w:szCs w:val="24"/>
              </w:rPr>
              <w:t>2%</w:t>
            </w:r>
          </w:p>
        </w:tc>
        <w:tc>
          <w:tcPr>
            <w:tcW w:w="980" w:type="dxa"/>
            <w:shd w:val="clear" w:color="auto" w:fill="auto"/>
            <w:tcMar>
              <w:top w:w="61" w:type="dxa"/>
              <w:left w:w="122" w:type="dxa"/>
              <w:bottom w:w="61" w:type="dxa"/>
              <w:right w:w="122" w:type="dxa"/>
            </w:tcMar>
          </w:tcPr>
          <w:p w14:paraId="56D9E85A" w14:textId="77777777" w:rsidR="004F0B9C" w:rsidRPr="00712539" w:rsidRDefault="004F0B9C" w:rsidP="0093109B">
            <w:pPr>
              <w:spacing w:after="0" w:line="360" w:lineRule="auto"/>
              <w:jc w:val="both"/>
              <w:rPr>
                <w:rFonts w:ascii="Book Antiqua" w:hAnsi="Book Antiqua"/>
                <w:sz w:val="24"/>
                <w:szCs w:val="24"/>
              </w:rPr>
            </w:pPr>
          </w:p>
        </w:tc>
        <w:tc>
          <w:tcPr>
            <w:tcW w:w="1385" w:type="dxa"/>
            <w:shd w:val="clear" w:color="auto" w:fill="auto"/>
            <w:tcMar>
              <w:top w:w="61" w:type="dxa"/>
              <w:left w:w="122" w:type="dxa"/>
              <w:bottom w:w="61" w:type="dxa"/>
              <w:right w:w="122" w:type="dxa"/>
            </w:tcMar>
          </w:tcPr>
          <w:p w14:paraId="00B3AF3F" w14:textId="15699EF5" w:rsidR="004F0B9C" w:rsidRPr="00712539" w:rsidRDefault="004F0B9C" w:rsidP="00BE7D41">
            <w:pPr>
              <w:spacing w:after="0" w:line="360" w:lineRule="auto"/>
              <w:jc w:val="both"/>
              <w:rPr>
                <w:rFonts w:ascii="Book Antiqua" w:hAnsi="Book Antiqua"/>
                <w:sz w:val="24"/>
                <w:szCs w:val="24"/>
              </w:rPr>
            </w:pPr>
            <w:r w:rsidRPr="00712539">
              <w:rPr>
                <w:rFonts w:ascii="Book Antiqua" w:hAnsi="Book Antiqua"/>
                <w:sz w:val="24"/>
                <w:szCs w:val="24"/>
              </w:rPr>
              <w:t>5</w:t>
            </w:r>
            <w:r w:rsidR="00BE7D41">
              <w:rPr>
                <w:rFonts w:ascii="Book Antiqua" w:hAnsi="Book Antiqua" w:hint="eastAsia"/>
                <w:sz w:val="24"/>
                <w:szCs w:val="24"/>
                <w:lang w:eastAsia="zh-CN"/>
              </w:rPr>
              <w:t>.</w:t>
            </w:r>
            <w:r w:rsidRPr="00712539">
              <w:rPr>
                <w:rFonts w:ascii="Book Antiqua" w:hAnsi="Book Antiqua"/>
                <w:sz w:val="24"/>
                <w:szCs w:val="24"/>
              </w:rPr>
              <w:t>3</w:t>
            </w:r>
          </w:p>
        </w:tc>
        <w:tc>
          <w:tcPr>
            <w:tcW w:w="1551" w:type="dxa"/>
            <w:shd w:val="clear" w:color="auto" w:fill="auto"/>
            <w:tcMar>
              <w:top w:w="61" w:type="dxa"/>
              <w:left w:w="122" w:type="dxa"/>
              <w:bottom w:w="61" w:type="dxa"/>
              <w:right w:w="122" w:type="dxa"/>
            </w:tcMar>
          </w:tcPr>
          <w:p w14:paraId="0856C29B" w14:textId="25A68509" w:rsidR="004F0B9C" w:rsidRPr="00712539" w:rsidRDefault="004F0B9C" w:rsidP="00BE7D41">
            <w:pPr>
              <w:spacing w:after="0" w:line="360" w:lineRule="auto"/>
              <w:jc w:val="both"/>
              <w:rPr>
                <w:rFonts w:ascii="Book Antiqua" w:hAnsi="Book Antiqua"/>
                <w:sz w:val="24"/>
                <w:szCs w:val="24"/>
              </w:rPr>
            </w:pPr>
            <w:r w:rsidRPr="00712539">
              <w:rPr>
                <w:rFonts w:ascii="Book Antiqua" w:hAnsi="Book Antiqua"/>
                <w:sz w:val="24"/>
                <w:szCs w:val="24"/>
              </w:rPr>
              <w:t>2</w:t>
            </w:r>
            <w:r w:rsidR="00BE7D41">
              <w:rPr>
                <w:rFonts w:ascii="Book Antiqua" w:hAnsi="Book Antiqua" w:hint="eastAsia"/>
                <w:sz w:val="24"/>
                <w:szCs w:val="24"/>
                <w:lang w:eastAsia="zh-CN"/>
              </w:rPr>
              <w:t>.</w:t>
            </w:r>
            <w:r w:rsidRPr="00712539">
              <w:rPr>
                <w:rFonts w:ascii="Book Antiqua" w:hAnsi="Book Antiqua"/>
                <w:sz w:val="24"/>
                <w:szCs w:val="24"/>
              </w:rPr>
              <w:t xml:space="preserve">7 </w:t>
            </w:r>
          </w:p>
        </w:tc>
        <w:tc>
          <w:tcPr>
            <w:tcW w:w="1111" w:type="dxa"/>
            <w:shd w:val="clear" w:color="auto" w:fill="auto"/>
            <w:tcMar>
              <w:top w:w="61" w:type="dxa"/>
              <w:left w:w="122" w:type="dxa"/>
              <w:bottom w:w="61" w:type="dxa"/>
              <w:right w:w="122" w:type="dxa"/>
            </w:tcMar>
          </w:tcPr>
          <w:p w14:paraId="03746910" w14:textId="6004CA64" w:rsidR="004F0B9C" w:rsidRPr="00712539" w:rsidRDefault="004F0B9C" w:rsidP="00BE7D41">
            <w:pPr>
              <w:spacing w:after="0" w:line="360" w:lineRule="auto"/>
              <w:jc w:val="both"/>
              <w:rPr>
                <w:rFonts w:ascii="Book Antiqua" w:hAnsi="Book Antiqua"/>
                <w:sz w:val="24"/>
                <w:szCs w:val="24"/>
              </w:rPr>
            </w:pPr>
            <w:r w:rsidRPr="00712539">
              <w:rPr>
                <w:rFonts w:ascii="Book Antiqua" w:hAnsi="Book Antiqua"/>
                <w:sz w:val="24"/>
                <w:szCs w:val="24"/>
              </w:rPr>
              <w:t xml:space="preserve"> 0</w:t>
            </w:r>
            <w:r w:rsidR="00BE7D41">
              <w:rPr>
                <w:rFonts w:ascii="Book Antiqua" w:hAnsi="Book Antiqua" w:hint="eastAsia"/>
                <w:sz w:val="24"/>
                <w:szCs w:val="24"/>
                <w:lang w:eastAsia="zh-CN"/>
              </w:rPr>
              <w:t>.</w:t>
            </w:r>
            <w:r w:rsidRPr="00712539">
              <w:rPr>
                <w:rFonts w:ascii="Book Antiqua" w:hAnsi="Book Antiqua"/>
                <w:sz w:val="24"/>
                <w:szCs w:val="24"/>
              </w:rPr>
              <w:t>04</w:t>
            </w:r>
          </w:p>
        </w:tc>
      </w:tr>
      <w:tr w:rsidR="0093109B" w:rsidRPr="00712539" w14:paraId="4F2082FF" w14:textId="77777777" w:rsidTr="00BE393C">
        <w:trPr>
          <w:trHeight w:val="370"/>
        </w:trPr>
        <w:tc>
          <w:tcPr>
            <w:tcW w:w="1958" w:type="dxa"/>
            <w:shd w:val="clear" w:color="auto" w:fill="auto"/>
            <w:tcMar>
              <w:top w:w="61" w:type="dxa"/>
              <w:left w:w="122" w:type="dxa"/>
              <w:bottom w:w="61" w:type="dxa"/>
              <w:right w:w="122" w:type="dxa"/>
            </w:tcMar>
          </w:tcPr>
          <w:p w14:paraId="2D36B2FB" w14:textId="77777777" w:rsidR="004F0B9C" w:rsidRPr="00712539" w:rsidRDefault="004F0B9C" w:rsidP="0093109B">
            <w:pPr>
              <w:spacing w:after="0" w:line="360" w:lineRule="auto"/>
              <w:jc w:val="both"/>
              <w:rPr>
                <w:rFonts w:ascii="Book Antiqua" w:hAnsi="Book Antiqua"/>
                <w:sz w:val="24"/>
                <w:szCs w:val="24"/>
              </w:rPr>
            </w:pPr>
            <w:r w:rsidRPr="00712539">
              <w:rPr>
                <w:rFonts w:ascii="Book Antiqua" w:hAnsi="Book Antiqua"/>
                <w:sz w:val="24"/>
                <w:szCs w:val="24"/>
              </w:rPr>
              <w:t>Fatal PE</w:t>
            </w:r>
          </w:p>
        </w:tc>
        <w:tc>
          <w:tcPr>
            <w:tcW w:w="1253" w:type="dxa"/>
            <w:shd w:val="clear" w:color="auto" w:fill="auto"/>
            <w:tcMar>
              <w:top w:w="61" w:type="dxa"/>
              <w:left w:w="122" w:type="dxa"/>
              <w:bottom w:w="61" w:type="dxa"/>
              <w:right w:w="122" w:type="dxa"/>
            </w:tcMar>
          </w:tcPr>
          <w:p w14:paraId="267D1C31" w14:textId="486AD5E8" w:rsidR="004F0B9C" w:rsidRPr="00712539" w:rsidRDefault="004F0B9C" w:rsidP="00BE7D41">
            <w:pPr>
              <w:spacing w:after="0" w:line="360" w:lineRule="auto"/>
              <w:jc w:val="both"/>
              <w:rPr>
                <w:rFonts w:ascii="Book Antiqua" w:hAnsi="Book Antiqua"/>
                <w:sz w:val="24"/>
                <w:szCs w:val="24"/>
              </w:rPr>
            </w:pPr>
            <w:r w:rsidRPr="00712539">
              <w:rPr>
                <w:rFonts w:ascii="Book Antiqua" w:hAnsi="Book Antiqua"/>
                <w:sz w:val="24"/>
                <w:szCs w:val="24"/>
              </w:rPr>
              <w:t>2</w:t>
            </w:r>
            <w:r w:rsidR="00BE7D41">
              <w:rPr>
                <w:rFonts w:ascii="Book Antiqua" w:hAnsi="Book Antiqua" w:hint="eastAsia"/>
                <w:sz w:val="24"/>
                <w:szCs w:val="24"/>
                <w:lang w:eastAsia="zh-CN"/>
              </w:rPr>
              <w:t>.</w:t>
            </w:r>
            <w:r w:rsidRPr="00712539">
              <w:rPr>
                <w:rFonts w:ascii="Book Antiqua" w:hAnsi="Book Antiqua"/>
                <w:sz w:val="24"/>
                <w:szCs w:val="24"/>
              </w:rPr>
              <w:t>1%</w:t>
            </w:r>
          </w:p>
        </w:tc>
        <w:tc>
          <w:tcPr>
            <w:tcW w:w="1382" w:type="dxa"/>
            <w:shd w:val="clear" w:color="auto" w:fill="auto"/>
            <w:tcMar>
              <w:top w:w="61" w:type="dxa"/>
              <w:left w:w="122" w:type="dxa"/>
              <w:bottom w:w="61" w:type="dxa"/>
              <w:right w:w="122" w:type="dxa"/>
            </w:tcMar>
          </w:tcPr>
          <w:p w14:paraId="28AF4D32" w14:textId="192DAD73" w:rsidR="004F0B9C" w:rsidRPr="00712539" w:rsidRDefault="004F0B9C" w:rsidP="00BE7D41">
            <w:pPr>
              <w:spacing w:after="0" w:line="360" w:lineRule="auto"/>
              <w:jc w:val="both"/>
              <w:rPr>
                <w:rFonts w:ascii="Book Antiqua" w:hAnsi="Book Antiqua"/>
                <w:sz w:val="24"/>
                <w:szCs w:val="24"/>
              </w:rPr>
            </w:pPr>
            <w:r w:rsidRPr="00712539">
              <w:rPr>
                <w:rFonts w:ascii="Book Antiqua" w:hAnsi="Book Antiqua"/>
                <w:sz w:val="24"/>
                <w:szCs w:val="24"/>
              </w:rPr>
              <w:t>1</w:t>
            </w:r>
            <w:r w:rsidR="00BE7D41">
              <w:rPr>
                <w:rFonts w:ascii="Book Antiqua" w:hAnsi="Book Antiqua" w:hint="eastAsia"/>
                <w:sz w:val="24"/>
                <w:szCs w:val="24"/>
                <w:lang w:eastAsia="zh-CN"/>
              </w:rPr>
              <w:t>.</w:t>
            </w:r>
            <w:r w:rsidRPr="00712539">
              <w:rPr>
                <w:rFonts w:ascii="Book Antiqua" w:hAnsi="Book Antiqua"/>
                <w:sz w:val="24"/>
                <w:szCs w:val="24"/>
              </w:rPr>
              <w:t>7%</w:t>
            </w:r>
          </w:p>
        </w:tc>
        <w:tc>
          <w:tcPr>
            <w:tcW w:w="980" w:type="dxa"/>
            <w:shd w:val="clear" w:color="auto" w:fill="auto"/>
            <w:tcMar>
              <w:top w:w="61" w:type="dxa"/>
              <w:left w:w="122" w:type="dxa"/>
              <w:bottom w:w="61" w:type="dxa"/>
              <w:right w:w="122" w:type="dxa"/>
            </w:tcMar>
          </w:tcPr>
          <w:p w14:paraId="68313AA3" w14:textId="77777777" w:rsidR="004F0B9C" w:rsidRPr="00712539" w:rsidRDefault="004F0B9C" w:rsidP="0093109B">
            <w:pPr>
              <w:spacing w:after="0" w:line="360" w:lineRule="auto"/>
              <w:jc w:val="both"/>
              <w:rPr>
                <w:rFonts w:ascii="Book Antiqua" w:hAnsi="Book Antiqua"/>
                <w:sz w:val="24"/>
                <w:szCs w:val="24"/>
              </w:rPr>
            </w:pPr>
          </w:p>
        </w:tc>
        <w:tc>
          <w:tcPr>
            <w:tcW w:w="1385" w:type="dxa"/>
            <w:shd w:val="clear" w:color="auto" w:fill="auto"/>
            <w:tcMar>
              <w:top w:w="61" w:type="dxa"/>
              <w:left w:w="122" w:type="dxa"/>
              <w:bottom w:w="61" w:type="dxa"/>
              <w:right w:w="122" w:type="dxa"/>
            </w:tcMar>
          </w:tcPr>
          <w:p w14:paraId="43A35BA4" w14:textId="7EE01F27" w:rsidR="004F0B9C" w:rsidRPr="00712539" w:rsidRDefault="004F0B9C" w:rsidP="00BE7D41">
            <w:pPr>
              <w:spacing w:after="0" w:line="360" w:lineRule="auto"/>
              <w:jc w:val="both"/>
              <w:rPr>
                <w:rFonts w:ascii="Book Antiqua" w:hAnsi="Book Antiqua"/>
                <w:sz w:val="24"/>
                <w:szCs w:val="24"/>
              </w:rPr>
            </w:pPr>
            <w:r w:rsidRPr="00712539">
              <w:rPr>
                <w:rFonts w:ascii="Book Antiqua" w:hAnsi="Book Antiqua"/>
                <w:sz w:val="24"/>
                <w:szCs w:val="24"/>
              </w:rPr>
              <w:t>3</w:t>
            </w:r>
            <w:r w:rsidR="00BE7D41">
              <w:rPr>
                <w:rFonts w:ascii="Book Antiqua" w:hAnsi="Book Antiqua" w:hint="eastAsia"/>
                <w:sz w:val="24"/>
                <w:szCs w:val="24"/>
                <w:lang w:eastAsia="zh-CN"/>
              </w:rPr>
              <w:t>.</w:t>
            </w:r>
            <w:r w:rsidRPr="00712539">
              <w:rPr>
                <w:rFonts w:ascii="Book Antiqua" w:hAnsi="Book Antiqua"/>
                <w:sz w:val="24"/>
                <w:szCs w:val="24"/>
              </w:rPr>
              <w:t>8%</w:t>
            </w:r>
          </w:p>
        </w:tc>
        <w:tc>
          <w:tcPr>
            <w:tcW w:w="1551" w:type="dxa"/>
            <w:shd w:val="clear" w:color="auto" w:fill="auto"/>
            <w:tcMar>
              <w:top w:w="61" w:type="dxa"/>
              <w:left w:w="122" w:type="dxa"/>
              <w:bottom w:w="61" w:type="dxa"/>
              <w:right w:w="122" w:type="dxa"/>
            </w:tcMar>
          </w:tcPr>
          <w:p w14:paraId="6CFF6B42" w14:textId="74BCFF26" w:rsidR="004F0B9C" w:rsidRPr="00712539" w:rsidRDefault="004F0B9C" w:rsidP="00BE7D41">
            <w:pPr>
              <w:spacing w:after="0" w:line="360" w:lineRule="auto"/>
              <w:jc w:val="both"/>
              <w:rPr>
                <w:rFonts w:ascii="Book Antiqua" w:hAnsi="Book Antiqua"/>
                <w:sz w:val="24"/>
                <w:szCs w:val="24"/>
              </w:rPr>
            </w:pPr>
            <w:r w:rsidRPr="00712539">
              <w:rPr>
                <w:rFonts w:ascii="Book Antiqua" w:hAnsi="Book Antiqua"/>
                <w:sz w:val="24"/>
                <w:szCs w:val="24"/>
              </w:rPr>
              <w:t>3</w:t>
            </w:r>
            <w:r w:rsidR="00BE7D41">
              <w:rPr>
                <w:rFonts w:ascii="Book Antiqua" w:hAnsi="Book Antiqua" w:hint="eastAsia"/>
                <w:sz w:val="24"/>
                <w:szCs w:val="24"/>
                <w:lang w:eastAsia="zh-CN"/>
              </w:rPr>
              <w:t>.</w:t>
            </w:r>
            <w:r w:rsidRPr="00712539">
              <w:rPr>
                <w:rFonts w:ascii="Book Antiqua" w:hAnsi="Book Antiqua"/>
                <w:sz w:val="24"/>
                <w:szCs w:val="24"/>
              </w:rPr>
              <w:t>8%</w:t>
            </w:r>
          </w:p>
        </w:tc>
        <w:tc>
          <w:tcPr>
            <w:tcW w:w="1111" w:type="dxa"/>
            <w:shd w:val="clear" w:color="auto" w:fill="auto"/>
            <w:tcMar>
              <w:top w:w="61" w:type="dxa"/>
              <w:left w:w="122" w:type="dxa"/>
              <w:bottom w:w="61" w:type="dxa"/>
              <w:right w:w="122" w:type="dxa"/>
            </w:tcMar>
          </w:tcPr>
          <w:p w14:paraId="1DC2A429" w14:textId="77777777" w:rsidR="004F0B9C" w:rsidRPr="00712539" w:rsidRDefault="004F0B9C" w:rsidP="0093109B">
            <w:pPr>
              <w:spacing w:after="0" w:line="360" w:lineRule="auto"/>
              <w:jc w:val="both"/>
              <w:rPr>
                <w:rFonts w:ascii="Book Antiqua" w:hAnsi="Book Antiqua"/>
                <w:sz w:val="24"/>
                <w:szCs w:val="24"/>
              </w:rPr>
            </w:pPr>
          </w:p>
        </w:tc>
      </w:tr>
      <w:tr w:rsidR="0093109B" w:rsidRPr="00712539" w14:paraId="787D2B43" w14:textId="77777777" w:rsidTr="00BE393C">
        <w:trPr>
          <w:trHeight w:val="370"/>
        </w:trPr>
        <w:tc>
          <w:tcPr>
            <w:tcW w:w="1958" w:type="dxa"/>
            <w:shd w:val="clear" w:color="auto" w:fill="auto"/>
            <w:tcMar>
              <w:top w:w="61" w:type="dxa"/>
              <w:left w:w="122" w:type="dxa"/>
              <w:bottom w:w="61" w:type="dxa"/>
              <w:right w:w="122" w:type="dxa"/>
            </w:tcMar>
          </w:tcPr>
          <w:p w14:paraId="2D4E6321" w14:textId="77777777" w:rsidR="004F0B9C" w:rsidRPr="00712539" w:rsidRDefault="004F0B9C" w:rsidP="0093109B">
            <w:pPr>
              <w:spacing w:after="0" w:line="360" w:lineRule="auto"/>
              <w:jc w:val="both"/>
              <w:rPr>
                <w:rFonts w:ascii="Book Antiqua" w:hAnsi="Book Antiqua"/>
                <w:sz w:val="24"/>
                <w:szCs w:val="24"/>
              </w:rPr>
            </w:pPr>
            <w:r w:rsidRPr="00712539">
              <w:rPr>
                <w:rFonts w:ascii="Book Antiqua" w:hAnsi="Book Antiqua"/>
                <w:sz w:val="24"/>
                <w:szCs w:val="24"/>
              </w:rPr>
              <w:t>Non-fatel PE</w:t>
            </w:r>
          </w:p>
        </w:tc>
        <w:tc>
          <w:tcPr>
            <w:tcW w:w="1253" w:type="dxa"/>
            <w:shd w:val="clear" w:color="auto" w:fill="auto"/>
            <w:tcMar>
              <w:top w:w="61" w:type="dxa"/>
              <w:left w:w="122" w:type="dxa"/>
              <w:bottom w:w="61" w:type="dxa"/>
              <w:right w:w="122" w:type="dxa"/>
            </w:tcMar>
          </w:tcPr>
          <w:p w14:paraId="333DB172" w14:textId="32DD1AF8" w:rsidR="004F0B9C" w:rsidRPr="00712539" w:rsidRDefault="004F0B9C" w:rsidP="00BE7D41">
            <w:pPr>
              <w:spacing w:after="0" w:line="360" w:lineRule="auto"/>
              <w:jc w:val="both"/>
              <w:rPr>
                <w:rFonts w:ascii="Book Antiqua" w:hAnsi="Book Antiqua"/>
                <w:sz w:val="24"/>
                <w:szCs w:val="24"/>
              </w:rPr>
            </w:pPr>
            <w:r w:rsidRPr="00712539">
              <w:rPr>
                <w:rFonts w:ascii="Book Antiqua" w:hAnsi="Book Antiqua"/>
                <w:sz w:val="24"/>
                <w:szCs w:val="24"/>
              </w:rPr>
              <w:t>2</w:t>
            </w:r>
            <w:r w:rsidR="00BE7D41">
              <w:rPr>
                <w:rFonts w:ascii="Book Antiqua" w:hAnsi="Book Antiqua" w:hint="eastAsia"/>
                <w:sz w:val="24"/>
                <w:szCs w:val="24"/>
                <w:lang w:eastAsia="zh-CN"/>
              </w:rPr>
              <w:t>.</w:t>
            </w:r>
            <w:r w:rsidRPr="00712539">
              <w:rPr>
                <w:rFonts w:ascii="Book Antiqua" w:hAnsi="Book Antiqua"/>
                <w:sz w:val="24"/>
                <w:szCs w:val="24"/>
              </w:rPr>
              <w:t>7%</w:t>
            </w:r>
          </w:p>
        </w:tc>
        <w:tc>
          <w:tcPr>
            <w:tcW w:w="1382" w:type="dxa"/>
            <w:shd w:val="clear" w:color="auto" w:fill="auto"/>
            <w:tcMar>
              <w:top w:w="61" w:type="dxa"/>
              <w:left w:w="122" w:type="dxa"/>
              <w:bottom w:w="61" w:type="dxa"/>
              <w:right w:w="122" w:type="dxa"/>
            </w:tcMar>
          </w:tcPr>
          <w:p w14:paraId="60CD2EB0" w14:textId="78174AFF" w:rsidR="004F0B9C" w:rsidRPr="00712539" w:rsidRDefault="004F0B9C" w:rsidP="00BE7D41">
            <w:pPr>
              <w:spacing w:after="0" w:line="360" w:lineRule="auto"/>
              <w:jc w:val="both"/>
              <w:rPr>
                <w:rFonts w:ascii="Book Antiqua" w:hAnsi="Book Antiqua"/>
                <w:sz w:val="24"/>
                <w:szCs w:val="24"/>
              </w:rPr>
            </w:pPr>
            <w:r w:rsidRPr="00712539">
              <w:rPr>
                <w:rFonts w:ascii="Book Antiqua" w:hAnsi="Book Antiqua"/>
                <w:sz w:val="24"/>
                <w:szCs w:val="24"/>
              </w:rPr>
              <w:t>2</w:t>
            </w:r>
            <w:r w:rsidR="00BE7D41">
              <w:rPr>
                <w:rFonts w:ascii="Book Antiqua" w:hAnsi="Book Antiqua" w:hint="eastAsia"/>
                <w:sz w:val="24"/>
                <w:szCs w:val="24"/>
                <w:lang w:eastAsia="zh-CN"/>
              </w:rPr>
              <w:t>.</w:t>
            </w:r>
            <w:r w:rsidRPr="00712539">
              <w:rPr>
                <w:rFonts w:ascii="Book Antiqua" w:hAnsi="Book Antiqua"/>
                <w:sz w:val="24"/>
                <w:szCs w:val="24"/>
              </w:rPr>
              <w:t>7%</w:t>
            </w:r>
          </w:p>
        </w:tc>
        <w:tc>
          <w:tcPr>
            <w:tcW w:w="980" w:type="dxa"/>
            <w:shd w:val="clear" w:color="auto" w:fill="auto"/>
            <w:tcMar>
              <w:top w:w="61" w:type="dxa"/>
              <w:left w:w="122" w:type="dxa"/>
              <w:bottom w:w="61" w:type="dxa"/>
              <w:right w:w="122" w:type="dxa"/>
            </w:tcMar>
          </w:tcPr>
          <w:p w14:paraId="3A8512B2" w14:textId="77777777" w:rsidR="004F0B9C" w:rsidRPr="00712539" w:rsidRDefault="004F0B9C" w:rsidP="0093109B">
            <w:pPr>
              <w:spacing w:after="0" w:line="360" w:lineRule="auto"/>
              <w:jc w:val="both"/>
              <w:rPr>
                <w:rFonts w:ascii="Book Antiqua" w:hAnsi="Book Antiqua"/>
                <w:sz w:val="24"/>
                <w:szCs w:val="24"/>
              </w:rPr>
            </w:pPr>
          </w:p>
        </w:tc>
        <w:tc>
          <w:tcPr>
            <w:tcW w:w="1385" w:type="dxa"/>
            <w:shd w:val="clear" w:color="auto" w:fill="auto"/>
            <w:tcMar>
              <w:top w:w="61" w:type="dxa"/>
              <w:left w:w="122" w:type="dxa"/>
              <w:bottom w:w="61" w:type="dxa"/>
              <w:right w:w="122" w:type="dxa"/>
            </w:tcMar>
          </w:tcPr>
          <w:p w14:paraId="1E2AFAB4" w14:textId="712710F8" w:rsidR="004F0B9C" w:rsidRPr="00712539" w:rsidRDefault="004F0B9C" w:rsidP="00BE7D41">
            <w:pPr>
              <w:spacing w:after="0" w:line="360" w:lineRule="auto"/>
              <w:jc w:val="both"/>
              <w:rPr>
                <w:rFonts w:ascii="Book Antiqua" w:hAnsi="Book Antiqua"/>
                <w:sz w:val="24"/>
                <w:szCs w:val="24"/>
              </w:rPr>
            </w:pPr>
            <w:r w:rsidRPr="00712539">
              <w:rPr>
                <w:rFonts w:ascii="Book Antiqua" w:hAnsi="Book Antiqua"/>
                <w:sz w:val="24"/>
                <w:szCs w:val="24"/>
              </w:rPr>
              <w:t>0</w:t>
            </w:r>
            <w:r w:rsidR="00BE7D41">
              <w:rPr>
                <w:rFonts w:ascii="Book Antiqua" w:hAnsi="Book Antiqua" w:hint="eastAsia"/>
                <w:sz w:val="24"/>
                <w:szCs w:val="24"/>
                <w:lang w:eastAsia="zh-CN"/>
              </w:rPr>
              <w:t>.</w:t>
            </w:r>
            <w:r w:rsidRPr="00712539">
              <w:rPr>
                <w:rFonts w:ascii="Book Antiqua" w:hAnsi="Book Antiqua"/>
                <w:sz w:val="24"/>
                <w:szCs w:val="24"/>
              </w:rPr>
              <w:t>7%</w:t>
            </w:r>
          </w:p>
        </w:tc>
        <w:tc>
          <w:tcPr>
            <w:tcW w:w="1551" w:type="dxa"/>
            <w:shd w:val="clear" w:color="auto" w:fill="auto"/>
            <w:tcMar>
              <w:top w:w="61" w:type="dxa"/>
              <w:left w:w="122" w:type="dxa"/>
              <w:bottom w:w="61" w:type="dxa"/>
              <w:right w:w="122" w:type="dxa"/>
            </w:tcMar>
          </w:tcPr>
          <w:p w14:paraId="71E07C2B" w14:textId="3C8A50BF" w:rsidR="004F0B9C" w:rsidRPr="00712539" w:rsidRDefault="004F0B9C" w:rsidP="00BE7D41">
            <w:pPr>
              <w:spacing w:after="0" w:line="360" w:lineRule="auto"/>
              <w:jc w:val="both"/>
              <w:rPr>
                <w:rFonts w:ascii="Book Antiqua" w:hAnsi="Book Antiqua"/>
                <w:sz w:val="24"/>
                <w:szCs w:val="24"/>
              </w:rPr>
            </w:pPr>
            <w:r w:rsidRPr="00712539">
              <w:rPr>
                <w:rFonts w:ascii="Book Antiqua" w:hAnsi="Book Antiqua"/>
                <w:sz w:val="24"/>
                <w:szCs w:val="24"/>
              </w:rPr>
              <w:t>0</w:t>
            </w:r>
            <w:r w:rsidR="00BE7D41">
              <w:rPr>
                <w:rFonts w:ascii="Book Antiqua" w:hAnsi="Book Antiqua" w:hint="eastAsia"/>
                <w:sz w:val="24"/>
                <w:szCs w:val="24"/>
                <w:lang w:eastAsia="zh-CN"/>
              </w:rPr>
              <w:t>.</w:t>
            </w:r>
            <w:r w:rsidRPr="00712539">
              <w:rPr>
                <w:rFonts w:ascii="Book Antiqua" w:hAnsi="Book Antiqua"/>
                <w:sz w:val="24"/>
                <w:szCs w:val="24"/>
              </w:rPr>
              <w:t>4%</w:t>
            </w:r>
          </w:p>
        </w:tc>
        <w:tc>
          <w:tcPr>
            <w:tcW w:w="1111" w:type="dxa"/>
            <w:shd w:val="clear" w:color="auto" w:fill="auto"/>
            <w:tcMar>
              <w:top w:w="61" w:type="dxa"/>
              <w:left w:w="122" w:type="dxa"/>
              <w:bottom w:w="61" w:type="dxa"/>
              <w:right w:w="122" w:type="dxa"/>
            </w:tcMar>
          </w:tcPr>
          <w:p w14:paraId="4C0860FA" w14:textId="77777777" w:rsidR="004F0B9C" w:rsidRPr="00712539" w:rsidRDefault="004F0B9C" w:rsidP="0093109B">
            <w:pPr>
              <w:spacing w:after="0" w:line="360" w:lineRule="auto"/>
              <w:jc w:val="both"/>
              <w:rPr>
                <w:rFonts w:ascii="Book Antiqua" w:hAnsi="Book Antiqua"/>
                <w:sz w:val="24"/>
                <w:szCs w:val="24"/>
              </w:rPr>
            </w:pPr>
          </w:p>
        </w:tc>
      </w:tr>
      <w:tr w:rsidR="0093109B" w:rsidRPr="00712539" w14:paraId="22A8CFCC" w14:textId="77777777" w:rsidTr="00BE393C">
        <w:trPr>
          <w:trHeight w:val="370"/>
        </w:trPr>
        <w:tc>
          <w:tcPr>
            <w:tcW w:w="1958" w:type="dxa"/>
            <w:shd w:val="clear" w:color="auto" w:fill="auto"/>
            <w:tcMar>
              <w:top w:w="61" w:type="dxa"/>
              <w:left w:w="122" w:type="dxa"/>
              <w:bottom w:w="61" w:type="dxa"/>
              <w:right w:w="122" w:type="dxa"/>
            </w:tcMar>
          </w:tcPr>
          <w:p w14:paraId="74F19E60" w14:textId="77777777" w:rsidR="004F0B9C" w:rsidRPr="00712539" w:rsidRDefault="004F0B9C" w:rsidP="0093109B">
            <w:pPr>
              <w:spacing w:after="0" w:line="360" w:lineRule="auto"/>
              <w:jc w:val="both"/>
              <w:rPr>
                <w:rFonts w:ascii="Book Antiqua" w:hAnsi="Book Antiqua"/>
                <w:sz w:val="24"/>
                <w:szCs w:val="24"/>
              </w:rPr>
            </w:pPr>
            <w:r w:rsidRPr="00712539">
              <w:rPr>
                <w:rFonts w:ascii="Book Antiqua" w:hAnsi="Book Antiqua"/>
                <w:sz w:val="24"/>
                <w:szCs w:val="24"/>
              </w:rPr>
              <w:t>Major bleeding</w:t>
            </w:r>
          </w:p>
        </w:tc>
        <w:tc>
          <w:tcPr>
            <w:tcW w:w="1253" w:type="dxa"/>
            <w:shd w:val="clear" w:color="auto" w:fill="auto"/>
            <w:tcMar>
              <w:top w:w="61" w:type="dxa"/>
              <w:left w:w="122" w:type="dxa"/>
              <w:bottom w:w="61" w:type="dxa"/>
              <w:right w:w="122" w:type="dxa"/>
            </w:tcMar>
          </w:tcPr>
          <w:p w14:paraId="7455BE96" w14:textId="77777777" w:rsidR="004F0B9C" w:rsidRPr="00712539" w:rsidRDefault="004F0B9C" w:rsidP="0093109B">
            <w:pPr>
              <w:spacing w:after="0" w:line="360" w:lineRule="auto"/>
              <w:jc w:val="both"/>
              <w:rPr>
                <w:rFonts w:ascii="Book Antiqua" w:hAnsi="Book Antiqua"/>
                <w:sz w:val="24"/>
                <w:szCs w:val="24"/>
              </w:rPr>
            </w:pPr>
            <w:r w:rsidRPr="00712539">
              <w:rPr>
                <w:rFonts w:ascii="Book Antiqua" w:hAnsi="Book Antiqua"/>
                <w:sz w:val="24"/>
                <w:szCs w:val="24"/>
              </w:rPr>
              <w:t>4%</w:t>
            </w:r>
          </w:p>
        </w:tc>
        <w:tc>
          <w:tcPr>
            <w:tcW w:w="1382" w:type="dxa"/>
            <w:shd w:val="clear" w:color="auto" w:fill="auto"/>
            <w:tcMar>
              <w:top w:w="61" w:type="dxa"/>
              <w:left w:w="122" w:type="dxa"/>
              <w:bottom w:w="61" w:type="dxa"/>
              <w:right w:w="122" w:type="dxa"/>
            </w:tcMar>
          </w:tcPr>
          <w:p w14:paraId="187D681F" w14:textId="77777777" w:rsidR="004F0B9C" w:rsidRPr="00712539" w:rsidRDefault="004F0B9C" w:rsidP="0093109B">
            <w:pPr>
              <w:spacing w:after="0" w:line="360" w:lineRule="auto"/>
              <w:jc w:val="both"/>
              <w:rPr>
                <w:rFonts w:ascii="Book Antiqua" w:hAnsi="Book Antiqua"/>
                <w:sz w:val="24"/>
                <w:szCs w:val="24"/>
              </w:rPr>
            </w:pPr>
            <w:r w:rsidRPr="00712539">
              <w:rPr>
                <w:rFonts w:ascii="Book Antiqua" w:hAnsi="Book Antiqua"/>
                <w:sz w:val="24"/>
                <w:szCs w:val="24"/>
              </w:rPr>
              <w:t>6%</w:t>
            </w:r>
          </w:p>
        </w:tc>
        <w:tc>
          <w:tcPr>
            <w:tcW w:w="980" w:type="dxa"/>
            <w:shd w:val="clear" w:color="auto" w:fill="auto"/>
            <w:tcMar>
              <w:top w:w="61" w:type="dxa"/>
              <w:left w:w="122" w:type="dxa"/>
              <w:bottom w:w="61" w:type="dxa"/>
              <w:right w:w="122" w:type="dxa"/>
            </w:tcMar>
          </w:tcPr>
          <w:p w14:paraId="1E1028D5" w14:textId="1DEED188" w:rsidR="004F0B9C" w:rsidRPr="00712539" w:rsidRDefault="004F0B9C" w:rsidP="00BE7D41">
            <w:pPr>
              <w:spacing w:after="0" w:line="360" w:lineRule="auto"/>
              <w:jc w:val="both"/>
              <w:rPr>
                <w:rFonts w:ascii="Book Antiqua" w:hAnsi="Book Antiqua"/>
                <w:sz w:val="24"/>
                <w:szCs w:val="24"/>
              </w:rPr>
            </w:pPr>
            <w:r w:rsidRPr="00712539">
              <w:rPr>
                <w:rFonts w:ascii="Book Antiqua" w:hAnsi="Book Antiqua"/>
                <w:sz w:val="24"/>
                <w:szCs w:val="24"/>
              </w:rPr>
              <w:t>0</w:t>
            </w:r>
            <w:r w:rsidR="00BE7D41">
              <w:rPr>
                <w:rFonts w:ascii="Book Antiqua" w:hAnsi="Book Antiqua" w:hint="eastAsia"/>
                <w:sz w:val="24"/>
                <w:szCs w:val="24"/>
                <w:lang w:eastAsia="zh-CN"/>
              </w:rPr>
              <w:t>.</w:t>
            </w:r>
            <w:r w:rsidRPr="00712539">
              <w:rPr>
                <w:rFonts w:ascii="Book Antiqua" w:hAnsi="Book Antiqua"/>
                <w:sz w:val="24"/>
                <w:szCs w:val="24"/>
              </w:rPr>
              <w:t>25</w:t>
            </w:r>
          </w:p>
        </w:tc>
        <w:tc>
          <w:tcPr>
            <w:tcW w:w="1385" w:type="dxa"/>
            <w:shd w:val="clear" w:color="auto" w:fill="auto"/>
            <w:tcMar>
              <w:top w:w="61" w:type="dxa"/>
              <w:left w:w="122" w:type="dxa"/>
              <w:bottom w:w="61" w:type="dxa"/>
              <w:right w:w="122" w:type="dxa"/>
            </w:tcMar>
          </w:tcPr>
          <w:p w14:paraId="6CFB365D" w14:textId="1ED4AE75" w:rsidR="004F0B9C" w:rsidRPr="00712539" w:rsidRDefault="004F0B9C" w:rsidP="00BE7D41">
            <w:pPr>
              <w:spacing w:after="0" w:line="360" w:lineRule="auto"/>
              <w:jc w:val="both"/>
              <w:rPr>
                <w:rFonts w:ascii="Book Antiqua" w:hAnsi="Book Antiqua"/>
                <w:sz w:val="24"/>
                <w:szCs w:val="24"/>
              </w:rPr>
            </w:pPr>
            <w:r w:rsidRPr="00712539">
              <w:rPr>
                <w:rFonts w:ascii="Book Antiqua" w:hAnsi="Book Antiqua"/>
                <w:sz w:val="24"/>
                <w:szCs w:val="24"/>
              </w:rPr>
              <w:t>2</w:t>
            </w:r>
            <w:r w:rsidR="00BE7D41">
              <w:rPr>
                <w:rFonts w:ascii="Book Antiqua" w:hAnsi="Book Antiqua" w:hint="eastAsia"/>
                <w:sz w:val="24"/>
                <w:szCs w:val="24"/>
                <w:lang w:eastAsia="zh-CN"/>
              </w:rPr>
              <w:t>.</w:t>
            </w:r>
            <w:r w:rsidRPr="00712539">
              <w:rPr>
                <w:rFonts w:ascii="Book Antiqua" w:hAnsi="Book Antiqua"/>
                <w:sz w:val="24"/>
                <w:szCs w:val="24"/>
              </w:rPr>
              <w:t>7%</w:t>
            </w:r>
          </w:p>
        </w:tc>
        <w:tc>
          <w:tcPr>
            <w:tcW w:w="1551" w:type="dxa"/>
            <w:shd w:val="clear" w:color="auto" w:fill="auto"/>
            <w:tcMar>
              <w:top w:w="61" w:type="dxa"/>
              <w:left w:w="122" w:type="dxa"/>
              <w:bottom w:w="61" w:type="dxa"/>
              <w:right w:w="122" w:type="dxa"/>
            </w:tcMar>
          </w:tcPr>
          <w:p w14:paraId="7C617675" w14:textId="7F9BA23F" w:rsidR="004F0B9C" w:rsidRPr="00712539" w:rsidRDefault="004F0B9C" w:rsidP="00BE7D41">
            <w:pPr>
              <w:spacing w:after="0" w:line="360" w:lineRule="auto"/>
              <w:jc w:val="both"/>
              <w:rPr>
                <w:rFonts w:ascii="Book Antiqua" w:hAnsi="Book Antiqua"/>
                <w:sz w:val="24"/>
                <w:szCs w:val="24"/>
              </w:rPr>
            </w:pPr>
            <w:r w:rsidRPr="00712539">
              <w:rPr>
                <w:rFonts w:ascii="Book Antiqua" w:hAnsi="Book Antiqua"/>
                <w:sz w:val="24"/>
                <w:szCs w:val="24"/>
              </w:rPr>
              <w:t>2</w:t>
            </w:r>
            <w:r w:rsidR="00BE7D41">
              <w:rPr>
                <w:rFonts w:ascii="Book Antiqua" w:hAnsi="Book Antiqua" w:hint="eastAsia"/>
                <w:sz w:val="24"/>
                <w:szCs w:val="24"/>
                <w:lang w:eastAsia="zh-CN"/>
              </w:rPr>
              <w:t>.</w:t>
            </w:r>
            <w:r w:rsidRPr="00712539">
              <w:rPr>
                <w:rFonts w:ascii="Book Antiqua" w:hAnsi="Book Antiqua"/>
                <w:sz w:val="24"/>
                <w:szCs w:val="24"/>
              </w:rPr>
              <w:t>9%</w:t>
            </w:r>
          </w:p>
        </w:tc>
        <w:tc>
          <w:tcPr>
            <w:tcW w:w="1111" w:type="dxa"/>
            <w:shd w:val="clear" w:color="auto" w:fill="auto"/>
            <w:tcMar>
              <w:top w:w="61" w:type="dxa"/>
              <w:left w:w="122" w:type="dxa"/>
              <w:bottom w:w="61" w:type="dxa"/>
              <w:right w:w="122" w:type="dxa"/>
            </w:tcMar>
          </w:tcPr>
          <w:p w14:paraId="420A5D44" w14:textId="77777777" w:rsidR="004F0B9C" w:rsidRPr="00712539" w:rsidRDefault="004F0B9C" w:rsidP="0093109B">
            <w:pPr>
              <w:spacing w:after="0" w:line="360" w:lineRule="auto"/>
              <w:jc w:val="both"/>
              <w:rPr>
                <w:rFonts w:ascii="Book Antiqua" w:hAnsi="Book Antiqua"/>
                <w:sz w:val="24"/>
                <w:szCs w:val="24"/>
              </w:rPr>
            </w:pPr>
          </w:p>
        </w:tc>
      </w:tr>
      <w:tr w:rsidR="0093109B" w:rsidRPr="00712539" w14:paraId="4AE334F3" w14:textId="77777777" w:rsidTr="00BE393C">
        <w:trPr>
          <w:trHeight w:val="417"/>
        </w:trPr>
        <w:tc>
          <w:tcPr>
            <w:tcW w:w="1958" w:type="dxa"/>
            <w:shd w:val="clear" w:color="auto" w:fill="auto"/>
            <w:tcMar>
              <w:top w:w="61" w:type="dxa"/>
              <w:left w:w="122" w:type="dxa"/>
              <w:bottom w:w="61" w:type="dxa"/>
              <w:right w:w="122" w:type="dxa"/>
            </w:tcMar>
          </w:tcPr>
          <w:p w14:paraId="413893A2" w14:textId="77777777" w:rsidR="004F0B9C" w:rsidRPr="00712539" w:rsidRDefault="004F0B9C" w:rsidP="0093109B">
            <w:pPr>
              <w:spacing w:after="0" w:line="360" w:lineRule="auto"/>
              <w:jc w:val="both"/>
              <w:rPr>
                <w:rFonts w:ascii="Book Antiqua" w:hAnsi="Book Antiqua"/>
                <w:sz w:val="24"/>
                <w:szCs w:val="24"/>
              </w:rPr>
            </w:pPr>
            <w:r w:rsidRPr="00712539">
              <w:rPr>
                <w:rFonts w:ascii="Book Antiqua" w:hAnsi="Book Antiqua"/>
                <w:sz w:val="24"/>
                <w:szCs w:val="24"/>
              </w:rPr>
              <w:t>CRNM-bleeding</w:t>
            </w:r>
          </w:p>
        </w:tc>
        <w:tc>
          <w:tcPr>
            <w:tcW w:w="1253" w:type="dxa"/>
            <w:shd w:val="clear" w:color="auto" w:fill="auto"/>
            <w:tcMar>
              <w:top w:w="61" w:type="dxa"/>
              <w:left w:w="122" w:type="dxa"/>
              <w:bottom w:w="61" w:type="dxa"/>
              <w:right w:w="122" w:type="dxa"/>
            </w:tcMar>
          </w:tcPr>
          <w:p w14:paraId="3284957B" w14:textId="77777777" w:rsidR="004F0B9C" w:rsidRPr="00712539" w:rsidRDefault="004F0B9C" w:rsidP="0093109B">
            <w:pPr>
              <w:spacing w:after="0" w:line="360" w:lineRule="auto"/>
              <w:jc w:val="both"/>
              <w:rPr>
                <w:rFonts w:ascii="Book Antiqua" w:hAnsi="Book Antiqua"/>
                <w:sz w:val="24"/>
                <w:szCs w:val="24"/>
              </w:rPr>
            </w:pPr>
          </w:p>
        </w:tc>
        <w:tc>
          <w:tcPr>
            <w:tcW w:w="1382" w:type="dxa"/>
            <w:shd w:val="clear" w:color="auto" w:fill="auto"/>
            <w:tcMar>
              <w:top w:w="61" w:type="dxa"/>
              <w:left w:w="122" w:type="dxa"/>
              <w:bottom w:w="61" w:type="dxa"/>
              <w:right w:w="122" w:type="dxa"/>
            </w:tcMar>
          </w:tcPr>
          <w:p w14:paraId="23674B2E" w14:textId="77777777" w:rsidR="004F0B9C" w:rsidRPr="00712539" w:rsidRDefault="004F0B9C" w:rsidP="0093109B">
            <w:pPr>
              <w:spacing w:after="0" w:line="360" w:lineRule="auto"/>
              <w:jc w:val="both"/>
              <w:rPr>
                <w:rFonts w:ascii="Book Antiqua" w:hAnsi="Book Antiqua"/>
                <w:sz w:val="24"/>
                <w:szCs w:val="24"/>
              </w:rPr>
            </w:pPr>
          </w:p>
        </w:tc>
        <w:tc>
          <w:tcPr>
            <w:tcW w:w="980" w:type="dxa"/>
            <w:shd w:val="clear" w:color="auto" w:fill="auto"/>
            <w:tcMar>
              <w:top w:w="61" w:type="dxa"/>
              <w:left w:w="122" w:type="dxa"/>
              <w:bottom w:w="61" w:type="dxa"/>
              <w:right w:w="122" w:type="dxa"/>
            </w:tcMar>
          </w:tcPr>
          <w:p w14:paraId="4CBBDFBA" w14:textId="77777777" w:rsidR="004F0B9C" w:rsidRPr="00712539" w:rsidRDefault="004F0B9C" w:rsidP="0093109B">
            <w:pPr>
              <w:spacing w:after="0" w:line="360" w:lineRule="auto"/>
              <w:jc w:val="both"/>
              <w:rPr>
                <w:rFonts w:ascii="Book Antiqua" w:hAnsi="Book Antiqua"/>
                <w:sz w:val="24"/>
                <w:szCs w:val="24"/>
              </w:rPr>
            </w:pPr>
          </w:p>
        </w:tc>
        <w:tc>
          <w:tcPr>
            <w:tcW w:w="1385" w:type="dxa"/>
            <w:shd w:val="clear" w:color="auto" w:fill="auto"/>
            <w:tcMar>
              <w:top w:w="61" w:type="dxa"/>
              <w:left w:w="122" w:type="dxa"/>
              <w:bottom w:w="61" w:type="dxa"/>
              <w:right w:w="122" w:type="dxa"/>
            </w:tcMar>
          </w:tcPr>
          <w:p w14:paraId="5E82CF5D" w14:textId="77777777" w:rsidR="004F0B9C" w:rsidRPr="00712539" w:rsidRDefault="004F0B9C" w:rsidP="0093109B">
            <w:pPr>
              <w:spacing w:after="0" w:line="360" w:lineRule="auto"/>
              <w:jc w:val="both"/>
              <w:rPr>
                <w:rFonts w:ascii="Book Antiqua" w:hAnsi="Book Antiqua"/>
                <w:sz w:val="24"/>
                <w:szCs w:val="24"/>
              </w:rPr>
            </w:pPr>
            <w:r w:rsidRPr="00712539">
              <w:rPr>
                <w:rFonts w:ascii="Book Antiqua" w:hAnsi="Book Antiqua"/>
                <w:sz w:val="24"/>
                <w:szCs w:val="24"/>
              </w:rPr>
              <w:t>16%</w:t>
            </w:r>
          </w:p>
        </w:tc>
        <w:tc>
          <w:tcPr>
            <w:tcW w:w="1551" w:type="dxa"/>
            <w:shd w:val="clear" w:color="auto" w:fill="auto"/>
            <w:tcMar>
              <w:top w:w="61" w:type="dxa"/>
              <w:left w:w="122" w:type="dxa"/>
              <w:bottom w:w="61" w:type="dxa"/>
              <w:right w:w="122" w:type="dxa"/>
            </w:tcMar>
          </w:tcPr>
          <w:p w14:paraId="5B5A1918" w14:textId="77777777" w:rsidR="004F0B9C" w:rsidRPr="00712539" w:rsidRDefault="004F0B9C" w:rsidP="0093109B">
            <w:pPr>
              <w:spacing w:after="0" w:line="360" w:lineRule="auto"/>
              <w:jc w:val="both"/>
              <w:rPr>
                <w:rFonts w:ascii="Book Antiqua" w:hAnsi="Book Antiqua"/>
                <w:sz w:val="24"/>
                <w:szCs w:val="24"/>
              </w:rPr>
            </w:pPr>
            <w:r w:rsidRPr="00712539">
              <w:rPr>
                <w:rFonts w:ascii="Book Antiqua" w:hAnsi="Book Antiqua"/>
                <w:sz w:val="24"/>
                <w:szCs w:val="24"/>
              </w:rPr>
              <w:t>11%</w:t>
            </w:r>
          </w:p>
        </w:tc>
        <w:tc>
          <w:tcPr>
            <w:tcW w:w="1111" w:type="dxa"/>
            <w:shd w:val="clear" w:color="auto" w:fill="auto"/>
            <w:tcMar>
              <w:top w:w="61" w:type="dxa"/>
              <w:left w:w="122" w:type="dxa"/>
              <w:bottom w:w="61" w:type="dxa"/>
              <w:right w:w="122" w:type="dxa"/>
            </w:tcMar>
          </w:tcPr>
          <w:p w14:paraId="2A81A6A8" w14:textId="01BF9225" w:rsidR="004F0B9C" w:rsidRPr="00712539" w:rsidRDefault="004F0B9C" w:rsidP="00BE7D41">
            <w:pPr>
              <w:spacing w:after="0" w:line="360" w:lineRule="auto"/>
              <w:jc w:val="both"/>
              <w:rPr>
                <w:rFonts w:ascii="Book Antiqua" w:hAnsi="Book Antiqua"/>
                <w:sz w:val="24"/>
                <w:szCs w:val="24"/>
              </w:rPr>
            </w:pPr>
            <w:r w:rsidRPr="00712539">
              <w:rPr>
                <w:rFonts w:ascii="Book Antiqua" w:hAnsi="Book Antiqua"/>
                <w:sz w:val="24"/>
                <w:szCs w:val="24"/>
              </w:rPr>
              <w:t>0</w:t>
            </w:r>
            <w:r w:rsidR="00BE7D41">
              <w:rPr>
                <w:rFonts w:ascii="Book Antiqua" w:hAnsi="Book Antiqua" w:hint="eastAsia"/>
                <w:sz w:val="24"/>
                <w:szCs w:val="24"/>
                <w:lang w:eastAsia="zh-CN"/>
              </w:rPr>
              <w:t>.</w:t>
            </w:r>
            <w:r w:rsidRPr="00712539">
              <w:rPr>
                <w:rFonts w:ascii="Book Antiqua" w:hAnsi="Book Antiqua"/>
                <w:sz w:val="24"/>
                <w:szCs w:val="24"/>
              </w:rPr>
              <w:t>03</w:t>
            </w:r>
          </w:p>
        </w:tc>
      </w:tr>
      <w:tr w:rsidR="0093109B" w:rsidRPr="00712539" w14:paraId="4E92C6AA" w14:textId="77777777" w:rsidTr="00BE393C">
        <w:trPr>
          <w:trHeight w:val="370"/>
        </w:trPr>
        <w:tc>
          <w:tcPr>
            <w:tcW w:w="1958" w:type="dxa"/>
            <w:shd w:val="clear" w:color="auto" w:fill="auto"/>
            <w:tcMar>
              <w:top w:w="61" w:type="dxa"/>
              <w:left w:w="122" w:type="dxa"/>
              <w:bottom w:w="61" w:type="dxa"/>
              <w:right w:w="122" w:type="dxa"/>
            </w:tcMar>
          </w:tcPr>
          <w:p w14:paraId="097337C8" w14:textId="77777777" w:rsidR="004F0B9C" w:rsidRPr="00712539" w:rsidRDefault="004F0B9C" w:rsidP="0093109B">
            <w:pPr>
              <w:spacing w:after="0" w:line="360" w:lineRule="auto"/>
              <w:jc w:val="both"/>
              <w:rPr>
                <w:rFonts w:ascii="Book Antiqua" w:hAnsi="Book Antiqua"/>
                <w:sz w:val="24"/>
                <w:szCs w:val="24"/>
              </w:rPr>
            </w:pPr>
            <w:r w:rsidRPr="00712539">
              <w:rPr>
                <w:rFonts w:ascii="Book Antiqua" w:hAnsi="Book Antiqua"/>
                <w:sz w:val="24"/>
                <w:szCs w:val="24"/>
              </w:rPr>
              <w:t>Any bleeding</w:t>
            </w:r>
          </w:p>
        </w:tc>
        <w:tc>
          <w:tcPr>
            <w:tcW w:w="1253" w:type="dxa"/>
            <w:shd w:val="clear" w:color="auto" w:fill="auto"/>
            <w:tcMar>
              <w:top w:w="61" w:type="dxa"/>
              <w:left w:w="122" w:type="dxa"/>
              <w:bottom w:w="61" w:type="dxa"/>
              <w:right w:w="122" w:type="dxa"/>
            </w:tcMar>
          </w:tcPr>
          <w:p w14:paraId="242F9D8B" w14:textId="77777777" w:rsidR="004F0B9C" w:rsidRPr="00712539" w:rsidRDefault="004F0B9C" w:rsidP="0093109B">
            <w:pPr>
              <w:spacing w:after="0" w:line="360" w:lineRule="auto"/>
              <w:jc w:val="both"/>
              <w:rPr>
                <w:rFonts w:ascii="Book Antiqua" w:hAnsi="Book Antiqua"/>
                <w:sz w:val="24"/>
                <w:szCs w:val="24"/>
              </w:rPr>
            </w:pPr>
            <w:r w:rsidRPr="00712539">
              <w:rPr>
                <w:rFonts w:ascii="Book Antiqua" w:hAnsi="Book Antiqua"/>
                <w:sz w:val="24"/>
                <w:szCs w:val="24"/>
              </w:rPr>
              <w:t>19%</w:t>
            </w:r>
          </w:p>
        </w:tc>
        <w:tc>
          <w:tcPr>
            <w:tcW w:w="1382" w:type="dxa"/>
            <w:shd w:val="clear" w:color="auto" w:fill="auto"/>
            <w:tcMar>
              <w:top w:w="61" w:type="dxa"/>
              <w:left w:w="122" w:type="dxa"/>
              <w:bottom w:w="61" w:type="dxa"/>
              <w:right w:w="122" w:type="dxa"/>
            </w:tcMar>
          </w:tcPr>
          <w:p w14:paraId="51BBA594" w14:textId="77777777" w:rsidR="004F0B9C" w:rsidRPr="00712539" w:rsidRDefault="004F0B9C" w:rsidP="0093109B">
            <w:pPr>
              <w:spacing w:after="0" w:line="360" w:lineRule="auto"/>
              <w:jc w:val="both"/>
              <w:rPr>
                <w:rFonts w:ascii="Book Antiqua" w:hAnsi="Book Antiqua"/>
                <w:sz w:val="24"/>
                <w:szCs w:val="24"/>
              </w:rPr>
            </w:pPr>
            <w:r w:rsidRPr="00712539">
              <w:rPr>
                <w:rFonts w:ascii="Book Antiqua" w:hAnsi="Book Antiqua"/>
                <w:sz w:val="24"/>
                <w:szCs w:val="24"/>
              </w:rPr>
              <w:t>14%</w:t>
            </w:r>
          </w:p>
        </w:tc>
        <w:tc>
          <w:tcPr>
            <w:tcW w:w="980" w:type="dxa"/>
            <w:shd w:val="clear" w:color="auto" w:fill="auto"/>
            <w:tcMar>
              <w:top w:w="61" w:type="dxa"/>
              <w:left w:w="122" w:type="dxa"/>
              <w:bottom w:w="61" w:type="dxa"/>
              <w:right w:w="122" w:type="dxa"/>
            </w:tcMar>
          </w:tcPr>
          <w:p w14:paraId="26CBEE91" w14:textId="79B8ED95" w:rsidR="004F0B9C" w:rsidRPr="00712539" w:rsidRDefault="004F0B9C" w:rsidP="00BE7D41">
            <w:pPr>
              <w:spacing w:after="0" w:line="360" w:lineRule="auto"/>
              <w:jc w:val="both"/>
              <w:rPr>
                <w:rFonts w:ascii="Book Antiqua" w:hAnsi="Book Antiqua"/>
                <w:sz w:val="24"/>
                <w:szCs w:val="24"/>
              </w:rPr>
            </w:pPr>
            <w:r w:rsidRPr="00712539">
              <w:rPr>
                <w:rFonts w:ascii="Book Antiqua" w:hAnsi="Book Antiqua"/>
                <w:sz w:val="24"/>
                <w:szCs w:val="24"/>
              </w:rPr>
              <w:t>0</w:t>
            </w:r>
            <w:r w:rsidR="00BE7D41">
              <w:rPr>
                <w:rFonts w:ascii="Book Antiqua" w:hAnsi="Book Antiqua" w:hint="eastAsia"/>
                <w:sz w:val="24"/>
                <w:szCs w:val="24"/>
                <w:lang w:eastAsia="zh-CN"/>
              </w:rPr>
              <w:t>.</w:t>
            </w:r>
            <w:r w:rsidRPr="00712539">
              <w:rPr>
                <w:rFonts w:ascii="Book Antiqua" w:hAnsi="Book Antiqua"/>
                <w:sz w:val="24"/>
                <w:szCs w:val="24"/>
              </w:rPr>
              <w:t>09</w:t>
            </w:r>
          </w:p>
        </w:tc>
        <w:tc>
          <w:tcPr>
            <w:tcW w:w="1385" w:type="dxa"/>
            <w:shd w:val="clear" w:color="auto" w:fill="auto"/>
            <w:tcMar>
              <w:top w:w="61" w:type="dxa"/>
              <w:left w:w="122" w:type="dxa"/>
              <w:bottom w:w="61" w:type="dxa"/>
              <w:right w:w="122" w:type="dxa"/>
            </w:tcMar>
          </w:tcPr>
          <w:p w14:paraId="788BF54F" w14:textId="77777777" w:rsidR="004F0B9C" w:rsidRPr="00712539" w:rsidRDefault="004F0B9C" w:rsidP="0093109B">
            <w:pPr>
              <w:spacing w:after="0" w:line="360" w:lineRule="auto"/>
              <w:jc w:val="both"/>
              <w:rPr>
                <w:rFonts w:ascii="Book Antiqua" w:hAnsi="Book Antiqua"/>
                <w:sz w:val="24"/>
                <w:szCs w:val="24"/>
              </w:rPr>
            </w:pPr>
          </w:p>
        </w:tc>
        <w:tc>
          <w:tcPr>
            <w:tcW w:w="1551" w:type="dxa"/>
            <w:shd w:val="clear" w:color="auto" w:fill="auto"/>
            <w:tcMar>
              <w:top w:w="61" w:type="dxa"/>
              <w:left w:w="122" w:type="dxa"/>
              <w:bottom w:w="61" w:type="dxa"/>
              <w:right w:w="122" w:type="dxa"/>
            </w:tcMar>
          </w:tcPr>
          <w:p w14:paraId="2C4EC03A" w14:textId="77777777" w:rsidR="004F0B9C" w:rsidRPr="00712539" w:rsidRDefault="004F0B9C" w:rsidP="0093109B">
            <w:pPr>
              <w:spacing w:after="0" w:line="360" w:lineRule="auto"/>
              <w:jc w:val="both"/>
              <w:rPr>
                <w:rFonts w:ascii="Book Antiqua" w:hAnsi="Book Antiqua"/>
                <w:sz w:val="24"/>
                <w:szCs w:val="24"/>
              </w:rPr>
            </w:pPr>
          </w:p>
        </w:tc>
        <w:tc>
          <w:tcPr>
            <w:tcW w:w="1111" w:type="dxa"/>
            <w:shd w:val="clear" w:color="auto" w:fill="auto"/>
            <w:tcMar>
              <w:top w:w="61" w:type="dxa"/>
              <w:left w:w="122" w:type="dxa"/>
              <w:bottom w:w="61" w:type="dxa"/>
              <w:right w:w="122" w:type="dxa"/>
            </w:tcMar>
          </w:tcPr>
          <w:p w14:paraId="64313388" w14:textId="77777777" w:rsidR="004F0B9C" w:rsidRPr="00712539" w:rsidRDefault="004F0B9C" w:rsidP="0093109B">
            <w:pPr>
              <w:spacing w:after="0" w:line="360" w:lineRule="auto"/>
              <w:jc w:val="both"/>
              <w:rPr>
                <w:rFonts w:ascii="Book Antiqua" w:hAnsi="Book Antiqua"/>
                <w:sz w:val="24"/>
                <w:szCs w:val="24"/>
              </w:rPr>
            </w:pPr>
          </w:p>
        </w:tc>
      </w:tr>
      <w:tr w:rsidR="0093109B" w:rsidRPr="00712539" w14:paraId="792CE37C" w14:textId="77777777" w:rsidTr="00BE393C">
        <w:trPr>
          <w:trHeight w:val="370"/>
        </w:trPr>
        <w:tc>
          <w:tcPr>
            <w:tcW w:w="1958" w:type="dxa"/>
            <w:shd w:val="clear" w:color="auto" w:fill="auto"/>
            <w:tcMar>
              <w:top w:w="61" w:type="dxa"/>
              <w:left w:w="122" w:type="dxa"/>
              <w:bottom w:w="61" w:type="dxa"/>
              <w:right w:w="122" w:type="dxa"/>
            </w:tcMar>
          </w:tcPr>
          <w:p w14:paraId="6FDC54ED" w14:textId="6FD51417" w:rsidR="004F0B9C" w:rsidRPr="00712539" w:rsidRDefault="004F0B9C" w:rsidP="00BE393C">
            <w:pPr>
              <w:spacing w:after="0" w:line="360" w:lineRule="auto"/>
              <w:jc w:val="both"/>
              <w:rPr>
                <w:rFonts w:ascii="Book Antiqua" w:hAnsi="Book Antiqua"/>
                <w:sz w:val="24"/>
                <w:szCs w:val="24"/>
              </w:rPr>
            </w:pPr>
            <w:r w:rsidRPr="00712539">
              <w:rPr>
                <w:rFonts w:ascii="Book Antiqua" w:hAnsi="Book Antiqua"/>
                <w:sz w:val="24"/>
                <w:szCs w:val="24"/>
              </w:rPr>
              <w:t>6-mo mortality</w:t>
            </w:r>
          </w:p>
        </w:tc>
        <w:tc>
          <w:tcPr>
            <w:tcW w:w="1253" w:type="dxa"/>
            <w:shd w:val="clear" w:color="auto" w:fill="auto"/>
            <w:tcMar>
              <w:top w:w="61" w:type="dxa"/>
              <w:left w:w="122" w:type="dxa"/>
              <w:bottom w:w="61" w:type="dxa"/>
              <w:right w:w="122" w:type="dxa"/>
            </w:tcMar>
          </w:tcPr>
          <w:p w14:paraId="72B2FAE3" w14:textId="77777777" w:rsidR="004F0B9C" w:rsidRPr="00712539" w:rsidRDefault="004F0B9C" w:rsidP="0093109B">
            <w:pPr>
              <w:spacing w:after="0" w:line="360" w:lineRule="auto"/>
              <w:jc w:val="both"/>
              <w:rPr>
                <w:rFonts w:ascii="Book Antiqua" w:hAnsi="Book Antiqua"/>
                <w:sz w:val="24"/>
                <w:szCs w:val="24"/>
              </w:rPr>
            </w:pPr>
            <w:r w:rsidRPr="00712539">
              <w:rPr>
                <w:rFonts w:ascii="Book Antiqua" w:hAnsi="Book Antiqua"/>
                <w:sz w:val="24"/>
                <w:szCs w:val="24"/>
              </w:rPr>
              <w:t>41%</w:t>
            </w:r>
          </w:p>
        </w:tc>
        <w:tc>
          <w:tcPr>
            <w:tcW w:w="1382" w:type="dxa"/>
            <w:shd w:val="clear" w:color="auto" w:fill="auto"/>
            <w:tcMar>
              <w:top w:w="61" w:type="dxa"/>
              <w:left w:w="122" w:type="dxa"/>
              <w:bottom w:w="61" w:type="dxa"/>
              <w:right w:w="122" w:type="dxa"/>
            </w:tcMar>
          </w:tcPr>
          <w:p w14:paraId="574FBACB" w14:textId="77777777" w:rsidR="004F0B9C" w:rsidRPr="00712539" w:rsidRDefault="004F0B9C" w:rsidP="0093109B">
            <w:pPr>
              <w:spacing w:after="0" w:line="360" w:lineRule="auto"/>
              <w:jc w:val="both"/>
              <w:rPr>
                <w:rFonts w:ascii="Book Antiqua" w:hAnsi="Book Antiqua"/>
                <w:sz w:val="24"/>
                <w:szCs w:val="24"/>
              </w:rPr>
            </w:pPr>
            <w:r w:rsidRPr="00712539">
              <w:rPr>
                <w:rFonts w:ascii="Book Antiqua" w:hAnsi="Book Antiqua"/>
                <w:sz w:val="24"/>
                <w:szCs w:val="24"/>
              </w:rPr>
              <w:t>39%</w:t>
            </w:r>
          </w:p>
        </w:tc>
        <w:tc>
          <w:tcPr>
            <w:tcW w:w="980" w:type="dxa"/>
            <w:shd w:val="clear" w:color="auto" w:fill="auto"/>
            <w:tcMar>
              <w:top w:w="61" w:type="dxa"/>
              <w:left w:w="122" w:type="dxa"/>
              <w:bottom w:w="61" w:type="dxa"/>
              <w:right w:w="122" w:type="dxa"/>
            </w:tcMar>
          </w:tcPr>
          <w:p w14:paraId="28BDDFFB" w14:textId="77777777" w:rsidR="004F0B9C" w:rsidRPr="00712539" w:rsidRDefault="004F0B9C" w:rsidP="0093109B">
            <w:pPr>
              <w:spacing w:after="0" w:line="360" w:lineRule="auto"/>
              <w:jc w:val="both"/>
              <w:rPr>
                <w:rFonts w:ascii="Book Antiqua" w:hAnsi="Book Antiqua"/>
                <w:sz w:val="24"/>
                <w:szCs w:val="24"/>
              </w:rPr>
            </w:pPr>
          </w:p>
        </w:tc>
        <w:tc>
          <w:tcPr>
            <w:tcW w:w="1385" w:type="dxa"/>
            <w:shd w:val="clear" w:color="auto" w:fill="auto"/>
            <w:tcMar>
              <w:top w:w="61" w:type="dxa"/>
              <w:left w:w="122" w:type="dxa"/>
              <w:bottom w:w="61" w:type="dxa"/>
              <w:right w:w="122" w:type="dxa"/>
            </w:tcMar>
          </w:tcPr>
          <w:p w14:paraId="174658AF" w14:textId="77777777" w:rsidR="004F0B9C" w:rsidRPr="00712539" w:rsidRDefault="004F0B9C" w:rsidP="0093109B">
            <w:pPr>
              <w:spacing w:after="0" w:line="360" w:lineRule="auto"/>
              <w:jc w:val="both"/>
              <w:rPr>
                <w:rFonts w:ascii="Book Antiqua" w:hAnsi="Book Antiqua"/>
                <w:sz w:val="24"/>
                <w:szCs w:val="24"/>
              </w:rPr>
            </w:pPr>
            <w:r w:rsidRPr="00712539">
              <w:rPr>
                <w:rFonts w:ascii="Book Antiqua" w:hAnsi="Book Antiqua"/>
                <w:sz w:val="24"/>
                <w:szCs w:val="24"/>
              </w:rPr>
              <w:t>41%</w:t>
            </w:r>
          </w:p>
        </w:tc>
        <w:tc>
          <w:tcPr>
            <w:tcW w:w="1551" w:type="dxa"/>
            <w:shd w:val="clear" w:color="auto" w:fill="auto"/>
            <w:tcMar>
              <w:top w:w="61" w:type="dxa"/>
              <w:left w:w="122" w:type="dxa"/>
              <w:bottom w:w="61" w:type="dxa"/>
              <w:right w:w="122" w:type="dxa"/>
            </w:tcMar>
          </w:tcPr>
          <w:p w14:paraId="00C4E368" w14:textId="77777777" w:rsidR="004F0B9C" w:rsidRPr="00712539" w:rsidRDefault="004F0B9C" w:rsidP="0093109B">
            <w:pPr>
              <w:spacing w:after="0" w:line="360" w:lineRule="auto"/>
              <w:jc w:val="both"/>
              <w:rPr>
                <w:rFonts w:ascii="Book Antiqua" w:hAnsi="Book Antiqua"/>
                <w:sz w:val="24"/>
                <w:szCs w:val="24"/>
              </w:rPr>
            </w:pPr>
            <w:r w:rsidRPr="00712539">
              <w:rPr>
                <w:rFonts w:ascii="Book Antiqua" w:hAnsi="Book Antiqua"/>
                <w:sz w:val="24"/>
                <w:szCs w:val="24"/>
              </w:rPr>
              <w:t>40%</w:t>
            </w:r>
          </w:p>
        </w:tc>
        <w:tc>
          <w:tcPr>
            <w:tcW w:w="1111" w:type="dxa"/>
            <w:shd w:val="clear" w:color="auto" w:fill="auto"/>
            <w:tcMar>
              <w:top w:w="61" w:type="dxa"/>
              <w:left w:w="122" w:type="dxa"/>
              <w:bottom w:w="61" w:type="dxa"/>
              <w:right w:w="122" w:type="dxa"/>
            </w:tcMar>
          </w:tcPr>
          <w:p w14:paraId="1C54B83E" w14:textId="77777777" w:rsidR="004F0B9C" w:rsidRPr="00712539" w:rsidRDefault="004F0B9C" w:rsidP="0093109B">
            <w:pPr>
              <w:spacing w:after="0" w:line="360" w:lineRule="auto"/>
              <w:jc w:val="both"/>
              <w:rPr>
                <w:rFonts w:ascii="Book Antiqua" w:hAnsi="Book Antiqua"/>
                <w:sz w:val="24"/>
                <w:szCs w:val="24"/>
              </w:rPr>
            </w:pPr>
          </w:p>
        </w:tc>
      </w:tr>
      <w:tr w:rsidR="0093109B" w:rsidRPr="00712539" w14:paraId="5B1C5196" w14:textId="77777777" w:rsidTr="00BE393C">
        <w:trPr>
          <w:trHeight w:val="417"/>
        </w:trPr>
        <w:tc>
          <w:tcPr>
            <w:tcW w:w="1958" w:type="dxa"/>
            <w:shd w:val="clear" w:color="auto" w:fill="auto"/>
            <w:tcMar>
              <w:top w:w="61" w:type="dxa"/>
              <w:left w:w="122" w:type="dxa"/>
              <w:bottom w:w="61" w:type="dxa"/>
              <w:right w:w="122" w:type="dxa"/>
            </w:tcMar>
          </w:tcPr>
          <w:p w14:paraId="4A2003E5" w14:textId="77777777" w:rsidR="004F0B9C" w:rsidRPr="00712539" w:rsidRDefault="004F0B9C" w:rsidP="0093109B">
            <w:pPr>
              <w:spacing w:after="0" w:line="360" w:lineRule="auto"/>
              <w:jc w:val="both"/>
              <w:rPr>
                <w:rFonts w:ascii="Book Antiqua" w:hAnsi="Book Antiqua"/>
                <w:sz w:val="24"/>
                <w:szCs w:val="24"/>
              </w:rPr>
            </w:pPr>
          </w:p>
        </w:tc>
        <w:tc>
          <w:tcPr>
            <w:tcW w:w="1253" w:type="dxa"/>
            <w:shd w:val="clear" w:color="auto" w:fill="auto"/>
            <w:tcMar>
              <w:top w:w="61" w:type="dxa"/>
              <w:left w:w="122" w:type="dxa"/>
              <w:bottom w:w="61" w:type="dxa"/>
              <w:right w:w="122" w:type="dxa"/>
            </w:tcMar>
          </w:tcPr>
          <w:p w14:paraId="49424361" w14:textId="77777777" w:rsidR="004F0B9C" w:rsidRPr="00712539" w:rsidRDefault="004F0B9C" w:rsidP="0093109B">
            <w:pPr>
              <w:spacing w:after="0" w:line="360" w:lineRule="auto"/>
              <w:jc w:val="both"/>
              <w:rPr>
                <w:rFonts w:ascii="Book Antiqua" w:hAnsi="Book Antiqua"/>
                <w:sz w:val="24"/>
                <w:szCs w:val="24"/>
              </w:rPr>
            </w:pPr>
          </w:p>
        </w:tc>
        <w:tc>
          <w:tcPr>
            <w:tcW w:w="1382" w:type="dxa"/>
            <w:shd w:val="clear" w:color="auto" w:fill="auto"/>
            <w:tcMar>
              <w:top w:w="61" w:type="dxa"/>
              <w:left w:w="122" w:type="dxa"/>
              <w:bottom w:w="61" w:type="dxa"/>
              <w:right w:w="122" w:type="dxa"/>
            </w:tcMar>
          </w:tcPr>
          <w:p w14:paraId="0E1FBC41" w14:textId="77777777" w:rsidR="004F0B9C" w:rsidRPr="00712539" w:rsidRDefault="004F0B9C" w:rsidP="0093109B">
            <w:pPr>
              <w:spacing w:after="0" w:line="360" w:lineRule="auto"/>
              <w:jc w:val="both"/>
              <w:rPr>
                <w:rFonts w:ascii="Book Antiqua" w:hAnsi="Book Antiqua"/>
                <w:sz w:val="24"/>
                <w:szCs w:val="24"/>
              </w:rPr>
            </w:pPr>
          </w:p>
        </w:tc>
        <w:tc>
          <w:tcPr>
            <w:tcW w:w="980" w:type="dxa"/>
            <w:shd w:val="clear" w:color="auto" w:fill="auto"/>
            <w:tcMar>
              <w:top w:w="61" w:type="dxa"/>
              <w:left w:w="122" w:type="dxa"/>
              <w:bottom w:w="61" w:type="dxa"/>
              <w:right w:w="122" w:type="dxa"/>
            </w:tcMar>
          </w:tcPr>
          <w:p w14:paraId="7285BF2F" w14:textId="77777777" w:rsidR="004F0B9C" w:rsidRPr="00712539" w:rsidRDefault="004F0B9C" w:rsidP="0093109B">
            <w:pPr>
              <w:spacing w:after="0" w:line="360" w:lineRule="auto"/>
              <w:jc w:val="both"/>
              <w:rPr>
                <w:rFonts w:ascii="Book Antiqua" w:hAnsi="Book Antiqua"/>
                <w:sz w:val="24"/>
                <w:szCs w:val="24"/>
              </w:rPr>
            </w:pPr>
          </w:p>
        </w:tc>
        <w:tc>
          <w:tcPr>
            <w:tcW w:w="1385" w:type="dxa"/>
            <w:shd w:val="clear" w:color="auto" w:fill="auto"/>
            <w:tcMar>
              <w:top w:w="61" w:type="dxa"/>
              <w:left w:w="122" w:type="dxa"/>
              <w:bottom w:w="61" w:type="dxa"/>
              <w:right w:w="122" w:type="dxa"/>
            </w:tcMar>
          </w:tcPr>
          <w:p w14:paraId="10046969" w14:textId="77777777" w:rsidR="004F0B9C" w:rsidRPr="00712539" w:rsidRDefault="004F0B9C" w:rsidP="0093109B">
            <w:pPr>
              <w:spacing w:after="0" w:line="360" w:lineRule="auto"/>
              <w:jc w:val="both"/>
              <w:rPr>
                <w:rFonts w:ascii="Book Antiqua" w:hAnsi="Book Antiqua"/>
                <w:sz w:val="24"/>
                <w:szCs w:val="24"/>
              </w:rPr>
            </w:pPr>
          </w:p>
        </w:tc>
        <w:tc>
          <w:tcPr>
            <w:tcW w:w="1551" w:type="dxa"/>
            <w:shd w:val="clear" w:color="auto" w:fill="auto"/>
            <w:tcMar>
              <w:top w:w="61" w:type="dxa"/>
              <w:left w:w="122" w:type="dxa"/>
              <w:bottom w:w="61" w:type="dxa"/>
              <w:right w:w="122" w:type="dxa"/>
            </w:tcMar>
          </w:tcPr>
          <w:p w14:paraId="144C9406" w14:textId="77777777" w:rsidR="004F0B9C" w:rsidRPr="00712539" w:rsidRDefault="004F0B9C" w:rsidP="0093109B">
            <w:pPr>
              <w:spacing w:after="0" w:line="360" w:lineRule="auto"/>
              <w:jc w:val="both"/>
              <w:rPr>
                <w:rFonts w:ascii="Book Antiqua" w:hAnsi="Book Antiqua"/>
                <w:sz w:val="24"/>
                <w:szCs w:val="24"/>
              </w:rPr>
            </w:pPr>
          </w:p>
        </w:tc>
        <w:tc>
          <w:tcPr>
            <w:tcW w:w="1111" w:type="dxa"/>
            <w:shd w:val="clear" w:color="auto" w:fill="auto"/>
            <w:tcMar>
              <w:top w:w="61" w:type="dxa"/>
              <w:left w:w="122" w:type="dxa"/>
              <w:bottom w:w="61" w:type="dxa"/>
              <w:right w:w="122" w:type="dxa"/>
            </w:tcMar>
          </w:tcPr>
          <w:p w14:paraId="58D76A78" w14:textId="77777777" w:rsidR="004F0B9C" w:rsidRPr="00712539" w:rsidRDefault="004F0B9C" w:rsidP="0093109B">
            <w:pPr>
              <w:spacing w:after="0" w:line="360" w:lineRule="auto"/>
              <w:jc w:val="both"/>
              <w:rPr>
                <w:rFonts w:ascii="Book Antiqua" w:hAnsi="Book Antiqua"/>
                <w:sz w:val="24"/>
                <w:szCs w:val="24"/>
              </w:rPr>
            </w:pPr>
          </w:p>
        </w:tc>
      </w:tr>
      <w:tr w:rsidR="0093109B" w:rsidRPr="00712539" w14:paraId="0EEC6528" w14:textId="77777777" w:rsidTr="00BE393C">
        <w:trPr>
          <w:trHeight w:val="417"/>
        </w:trPr>
        <w:tc>
          <w:tcPr>
            <w:tcW w:w="1958" w:type="dxa"/>
            <w:shd w:val="clear" w:color="auto" w:fill="auto"/>
            <w:tcMar>
              <w:top w:w="61" w:type="dxa"/>
              <w:left w:w="122" w:type="dxa"/>
              <w:bottom w:w="61" w:type="dxa"/>
              <w:right w:w="122" w:type="dxa"/>
            </w:tcMar>
          </w:tcPr>
          <w:p w14:paraId="6872D915" w14:textId="664A150C" w:rsidR="004F0B9C" w:rsidRPr="00712539" w:rsidRDefault="004F0B9C" w:rsidP="0093109B">
            <w:pPr>
              <w:spacing w:after="0" w:line="360" w:lineRule="auto"/>
              <w:jc w:val="both"/>
              <w:rPr>
                <w:rFonts w:ascii="Book Antiqua" w:hAnsi="Book Antiqua"/>
                <w:sz w:val="24"/>
                <w:szCs w:val="24"/>
              </w:rPr>
            </w:pPr>
            <w:r w:rsidRPr="00712539">
              <w:rPr>
                <w:rFonts w:ascii="Book Antiqua" w:hAnsi="Book Antiqua"/>
                <w:sz w:val="24"/>
                <w:szCs w:val="24"/>
              </w:rPr>
              <w:t>INR</w:t>
            </w:r>
            <w:r w:rsidR="00BE393C">
              <w:rPr>
                <w:rFonts w:ascii="Book Antiqua" w:hAnsi="Book Antiqua" w:hint="eastAsia"/>
                <w:sz w:val="24"/>
                <w:szCs w:val="24"/>
                <w:lang w:eastAsia="zh-CN"/>
              </w:rPr>
              <w:t xml:space="preserve"> </w:t>
            </w:r>
            <w:r w:rsidRPr="00712539">
              <w:rPr>
                <w:rFonts w:ascii="Book Antiqua" w:hAnsi="Book Antiqua"/>
                <w:sz w:val="24"/>
                <w:szCs w:val="24"/>
              </w:rPr>
              <w:t>&lt;</w:t>
            </w:r>
            <w:r w:rsidR="00BE393C">
              <w:rPr>
                <w:rFonts w:ascii="Book Antiqua" w:hAnsi="Book Antiqua" w:hint="eastAsia"/>
                <w:sz w:val="24"/>
                <w:szCs w:val="24"/>
                <w:lang w:eastAsia="zh-CN"/>
              </w:rPr>
              <w:t xml:space="preserve"> </w:t>
            </w:r>
            <w:r w:rsidRPr="00712539">
              <w:rPr>
                <w:rFonts w:ascii="Book Antiqua" w:hAnsi="Book Antiqua"/>
                <w:sz w:val="24"/>
                <w:szCs w:val="24"/>
              </w:rPr>
              <w:t>2</w:t>
            </w:r>
          </w:p>
        </w:tc>
        <w:tc>
          <w:tcPr>
            <w:tcW w:w="1253" w:type="dxa"/>
            <w:shd w:val="clear" w:color="auto" w:fill="auto"/>
            <w:tcMar>
              <w:top w:w="61" w:type="dxa"/>
              <w:left w:w="122" w:type="dxa"/>
              <w:bottom w:w="61" w:type="dxa"/>
              <w:right w:w="122" w:type="dxa"/>
            </w:tcMar>
          </w:tcPr>
          <w:p w14:paraId="18FEE28F" w14:textId="77777777" w:rsidR="004F0B9C" w:rsidRPr="00712539" w:rsidRDefault="004F0B9C" w:rsidP="0093109B">
            <w:pPr>
              <w:spacing w:after="0" w:line="360" w:lineRule="auto"/>
              <w:jc w:val="both"/>
              <w:rPr>
                <w:rFonts w:ascii="Book Antiqua" w:hAnsi="Book Antiqua"/>
                <w:sz w:val="24"/>
                <w:szCs w:val="24"/>
              </w:rPr>
            </w:pPr>
            <w:r w:rsidRPr="00712539">
              <w:rPr>
                <w:rFonts w:ascii="Book Antiqua" w:hAnsi="Book Antiqua"/>
                <w:sz w:val="24"/>
                <w:szCs w:val="24"/>
              </w:rPr>
              <w:t>30%</w:t>
            </w:r>
          </w:p>
        </w:tc>
        <w:tc>
          <w:tcPr>
            <w:tcW w:w="1382" w:type="dxa"/>
            <w:shd w:val="clear" w:color="auto" w:fill="auto"/>
            <w:tcMar>
              <w:top w:w="61" w:type="dxa"/>
              <w:left w:w="122" w:type="dxa"/>
              <w:bottom w:w="61" w:type="dxa"/>
              <w:right w:w="122" w:type="dxa"/>
            </w:tcMar>
          </w:tcPr>
          <w:p w14:paraId="054638F5" w14:textId="77777777" w:rsidR="004F0B9C" w:rsidRPr="00712539" w:rsidRDefault="004F0B9C" w:rsidP="0093109B">
            <w:pPr>
              <w:spacing w:after="0" w:line="360" w:lineRule="auto"/>
              <w:jc w:val="both"/>
              <w:rPr>
                <w:rFonts w:ascii="Book Antiqua" w:hAnsi="Book Antiqua"/>
                <w:sz w:val="24"/>
                <w:szCs w:val="24"/>
              </w:rPr>
            </w:pPr>
          </w:p>
        </w:tc>
        <w:tc>
          <w:tcPr>
            <w:tcW w:w="980" w:type="dxa"/>
            <w:shd w:val="clear" w:color="auto" w:fill="auto"/>
            <w:tcMar>
              <w:top w:w="61" w:type="dxa"/>
              <w:left w:w="122" w:type="dxa"/>
              <w:bottom w:w="61" w:type="dxa"/>
              <w:right w:w="122" w:type="dxa"/>
            </w:tcMar>
          </w:tcPr>
          <w:p w14:paraId="7203BA89" w14:textId="77777777" w:rsidR="004F0B9C" w:rsidRPr="00712539" w:rsidRDefault="004F0B9C" w:rsidP="0093109B">
            <w:pPr>
              <w:spacing w:after="0" w:line="360" w:lineRule="auto"/>
              <w:jc w:val="both"/>
              <w:rPr>
                <w:rFonts w:ascii="Book Antiqua" w:hAnsi="Book Antiqua"/>
                <w:sz w:val="24"/>
                <w:szCs w:val="24"/>
              </w:rPr>
            </w:pPr>
          </w:p>
        </w:tc>
        <w:tc>
          <w:tcPr>
            <w:tcW w:w="1385" w:type="dxa"/>
            <w:shd w:val="clear" w:color="auto" w:fill="auto"/>
            <w:tcMar>
              <w:top w:w="61" w:type="dxa"/>
              <w:left w:w="122" w:type="dxa"/>
              <w:bottom w:w="61" w:type="dxa"/>
              <w:right w:w="122" w:type="dxa"/>
            </w:tcMar>
          </w:tcPr>
          <w:p w14:paraId="14180811" w14:textId="77777777" w:rsidR="004F0B9C" w:rsidRPr="00712539" w:rsidRDefault="004F0B9C" w:rsidP="0093109B">
            <w:pPr>
              <w:spacing w:after="0" w:line="360" w:lineRule="auto"/>
              <w:jc w:val="both"/>
              <w:rPr>
                <w:rFonts w:ascii="Book Antiqua" w:hAnsi="Book Antiqua"/>
                <w:sz w:val="24"/>
                <w:szCs w:val="24"/>
              </w:rPr>
            </w:pPr>
            <w:r w:rsidRPr="00712539">
              <w:rPr>
                <w:rFonts w:ascii="Book Antiqua" w:hAnsi="Book Antiqua"/>
                <w:sz w:val="24"/>
                <w:szCs w:val="24"/>
              </w:rPr>
              <w:t>26%</w:t>
            </w:r>
          </w:p>
        </w:tc>
        <w:tc>
          <w:tcPr>
            <w:tcW w:w="1551" w:type="dxa"/>
            <w:shd w:val="clear" w:color="auto" w:fill="auto"/>
            <w:tcMar>
              <w:top w:w="61" w:type="dxa"/>
              <w:left w:w="122" w:type="dxa"/>
              <w:bottom w:w="61" w:type="dxa"/>
              <w:right w:w="122" w:type="dxa"/>
            </w:tcMar>
          </w:tcPr>
          <w:p w14:paraId="78FA3609" w14:textId="77777777" w:rsidR="004F0B9C" w:rsidRPr="00712539" w:rsidRDefault="004F0B9C" w:rsidP="0093109B">
            <w:pPr>
              <w:spacing w:after="0" w:line="360" w:lineRule="auto"/>
              <w:jc w:val="both"/>
              <w:rPr>
                <w:rFonts w:ascii="Book Antiqua" w:hAnsi="Book Antiqua"/>
                <w:sz w:val="24"/>
                <w:szCs w:val="24"/>
              </w:rPr>
            </w:pPr>
          </w:p>
        </w:tc>
        <w:tc>
          <w:tcPr>
            <w:tcW w:w="1111" w:type="dxa"/>
            <w:shd w:val="clear" w:color="auto" w:fill="auto"/>
            <w:tcMar>
              <w:top w:w="61" w:type="dxa"/>
              <w:left w:w="122" w:type="dxa"/>
              <w:bottom w:w="61" w:type="dxa"/>
              <w:right w:w="122" w:type="dxa"/>
            </w:tcMar>
          </w:tcPr>
          <w:p w14:paraId="31F7EA83" w14:textId="77777777" w:rsidR="004F0B9C" w:rsidRPr="00712539" w:rsidRDefault="004F0B9C" w:rsidP="0093109B">
            <w:pPr>
              <w:spacing w:after="0" w:line="360" w:lineRule="auto"/>
              <w:jc w:val="both"/>
              <w:rPr>
                <w:rFonts w:ascii="Book Antiqua" w:hAnsi="Book Antiqua"/>
                <w:sz w:val="24"/>
                <w:szCs w:val="24"/>
              </w:rPr>
            </w:pPr>
          </w:p>
        </w:tc>
      </w:tr>
      <w:tr w:rsidR="0093109B" w:rsidRPr="00712539" w14:paraId="7245A01B" w14:textId="77777777" w:rsidTr="00BE393C">
        <w:trPr>
          <w:trHeight w:val="417"/>
        </w:trPr>
        <w:tc>
          <w:tcPr>
            <w:tcW w:w="1958" w:type="dxa"/>
            <w:shd w:val="clear" w:color="auto" w:fill="auto"/>
            <w:tcMar>
              <w:top w:w="61" w:type="dxa"/>
              <w:left w:w="122" w:type="dxa"/>
              <w:bottom w:w="61" w:type="dxa"/>
              <w:right w:w="122" w:type="dxa"/>
            </w:tcMar>
          </w:tcPr>
          <w:p w14:paraId="1DF16089" w14:textId="77777777" w:rsidR="004F0B9C" w:rsidRPr="00712539" w:rsidRDefault="004F0B9C" w:rsidP="0093109B">
            <w:pPr>
              <w:spacing w:after="0" w:line="360" w:lineRule="auto"/>
              <w:jc w:val="both"/>
              <w:rPr>
                <w:rFonts w:ascii="Book Antiqua" w:hAnsi="Book Antiqua"/>
                <w:sz w:val="24"/>
                <w:szCs w:val="24"/>
              </w:rPr>
            </w:pPr>
            <w:r w:rsidRPr="00712539">
              <w:rPr>
                <w:rFonts w:ascii="Book Antiqua" w:hAnsi="Book Antiqua"/>
                <w:sz w:val="24"/>
                <w:szCs w:val="24"/>
              </w:rPr>
              <w:t>INR 2-3</w:t>
            </w:r>
          </w:p>
        </w:tc>
        <w:tc>
          <w:tcPr>
            <w:tcW w:w="1253" w:type="dxa"/>
            <w:shd w:val="clear" w:color="auto" w:fill="auto"/>
            <w:tcMar>
              <w:top w:w="61" w:type="dxa"/>
              <w:left w:w="122" w:type="dxa"/>
              <w:bottom w:w="61" w:type="dxa"/>
              <w:right w:w="122" w:type="dxa"/>
            </w:tcMar>
          </w:tcPr>
          <w:p w14:paraId="501139AA" w14:textId="77777777" w:rsidR="004F0B9C" w:rsidRPr="00712539" w:rsidRDefault="004F0B9C" w:rsidP="0093109B">
            <w:pPr>
              <w:spacing w:after="0" w:line="360" w:lineRule="auto"/>
              <w:jc w:val="both"/>
              <w:rPr>
                <w:rFonts w:ascii="Book Antiqua" w:hAnsi="Book Antiqua"/>
                <w:sz w:val="24"/>
                <w:szCs w:val="24"/>
              </w:rPr>
            </w:pPr>
            <w:r w:rsidRPr="00712539">
              <w:rPr>
                <w:rFonts w:ascii="Book Antiqua" w:hAnsi="Book Antiqua"/>
                <w:sz w:val="24"/>
                <w:szCs w:val="24"/>
              </w:rPr>
              <w:t>46%</w:t>
            </w:r>
          </w:p>
        </w:tc>
        <w:tc>
          <w:tcPr>
            <w:tcW w:w="1382" w:type="dxa"/>
            <w:shd w:val="clear" w:color="auto" w:fill="auto"/>
            <w:tcMar>
              <w:top w:w="61" w:type="dxa"/>
              <w:left w:w="122" w:type="dxa"/>
              <w:bottom w:w="61" w:type="dxa"/>
              <w:right w:w="122" w:type="dxa"/>
            </w:tcMar>
          </w:tcPr>
          <w:p w14:paraId="3FDE1D0D" w14:textId="77777777" w:rsidR="004F0B9C" w:rsidRPr="00712539" w:rsidRDefault="004F0B9C" w:rsidP="0093109B">
            <w:pPr>
              <w:spacing w:after="0" w:line="360" w:lineRule="auto"/>
              <w:jc w:val="both"/>
              <w:rPr>
                <w:rFonts w:ascii="Book Antiqua" w:hAnsi="Book Antiqua"/>
                <w:sz w:val="24"/>
                <w:szCs w:val="24"/>
              </w:rPr>
            </w:pPr>
          </w:p>
        </w:tc>
        <w:tc>
          <w:tcPr>
            <w:tcW w:w="980" w:type="dxa"/>
            <w:shd w:val="clear" w:color="auto" w:fill="auto"/>
            <w:tcMar>
              <w:top w:w="61" w:type="dxa"/>
              <w:left w:w="122" w:type="dxa"/>
              <w:bottom w:w="61" w:type="dxa"/>
              <w:right w:w="122" w:type="dxa"/>
            </w:tcMar>
          </w:tcPr>
          <w:p w14:paraId="470D63F3" w14:textId="77777777" w:rsidR="004F0B9C" w:rsidRPr="00712539" w:rsidRDefault="004F0B9C" w:rsidP="0093109B">
            <w:pPr>
              <w:spacing w:after="0" w:line="360" w:lineRule="auto"/>
              <w:jc w:val="both"/>
              <w:rPr>
                <w:rFonts w:ascii="Book Antiqua" w:hAnsi="Book Antiqua"/>
                <w:sz w:val="24"/>
                <w:szCs w:val="24"/>
              </w:rPr>
            </w:pPr>
          </w:p>
        </w:tc>
        <w:tc>
          <w:tcPr>
            <w:tcW w:w="1385" w:type="dxa"/>
            <w:shd w:val="clear" w:color="auto" w:fill="auto"/>
            <w:tcMar>
              <w:top w:w="61" w:type="dxa"/>
              <w:left w:w="122" w:type="dxa"/>
              <w:bottom w:w="61" w:type="dxa"/>
              <w:right w:w="122" w:type="dxa"/>
            </w:tcMar>
          </w:tcPr>
          <w:p w14:paraId="67C02E27" w14:textId="77777777" w:rsidR="004F0B9C" w:rsidRPr="00712539" w:rsidRDefault="004F0B9C" w:rsidP="0093109B">
            <w:pPr>
              <w:spacing w:after="0" w:line="360" w:lineRule="auto"/>
              <w:jc w:val="both"/>
              <w:rPr>
                <w:rFonts w:ascii="Book Antiqua" w:hAnsi="Book Antiqua"/>
                <w:sz w:val="24"/>
                <w:szCs w:val="24"/>
              </w:rPr>
            </w:pPr>
            <w:r w:rsidRPr="00712539">
              <w:rPr>
                <w:rFonts w:ascii="Book Antiqua" w:hAnsi="Book Antiqua"/>
                <w:sz w:val="24"/>
                <w:szCs w:val="24"/>
              </w:rPr>
              <w:t>47%</w:t>
            </w:r>
          </w:p>
        </w:tc>
        <w:tc>
          <w:tcPr>
            <w:tcW w:w="1551" w:type="dxa"/>
            <w:shd w:val="clear" w:color="auto" w:fill="auto"/>
            <w:tcMar>
              <w:top w:w="61" w:type="dxa"/>
              <w:left w:w="122" w:type="dxa"/>
              <w:bottom w:w="61" w:type="dxa"/>
              <w:right w:w="122" w:type="dxa"/>
            </w:tcMar>
          </w:tcPr>
          <w:p w14:paraId="52B775F1" w14:textId="77777777" w:rsidR="004F0B9C" w:rsidRPr="00712539" w:rsidRDefault="004F0B9C" w:rsidP="0093109B">
            <w:pPr>
              <w:spacing w:after="0" w:line="360" w:lineRule="auto"/>
              <w:jc w:val="both"/>
              <w:rPr>
                <w:rFonts w:ascii="Book Antiqua" w:hAnsi="Book Antiqua"/>
                <w:sz w:val="24"/>
                <w:szCs w:val="24"/>
              </w:rPr>
            </w:pPr>
          </w:p>
        </w:tc>
        <w:tc>
          <w:tcPr>
            <w:tcW w:w="1111" w:type="dxa"/>
            <w:shd w:val="clear" w:color="auto" w:fill="auto"/>
            <w:tcMar>
              <w:top w:w="61" w:type="dxa"/>
              <w:left w:w="122" w:type="dxa"/>
              <w:bottom w:w="61" w:type="dxa"/>
              <w:right w:w="122" w:type="dxa"/>
            </w:tcMar>
          </w:tcPr>
          <w:p w14:paraId="63348E58" w14:textId="77777777" w:rsidR="004F0B9C" w:rsidRPr="00712539" w:rsidRDefault="004F0B9C" w:rsidP="0093109B">
            <w:pPr>
              <w:spacing w:after="0" w:line="360" w:lineRule="auto"/>
              <w:jc w:val="both"/>
              <w:rPr>
                <w:rFonts w:ascii="Book Antiqua" w:hAnsi="Book Antiqua"/>
                <w:sz w:val="24"/>
                <w:szCs w:val="24"/>
              </w:rPr>
            </w:pPr>
          </w:p>
        </w:tc>
      </w:tr>
    </w:tbl>
    <w:p w14:paraId="15290D03" w14:textId="77777777" w:rsidR="00BE393C" w:rsidRDefault="00BE393C" w:rsidP="00BE393C">
      <w:pPr>
        <w:spacing w:after="0" w:line="360" w:lineRule="auto"/>
        <w:jc w:val="both"/>
        <w:rPr>
          <w:rFonts w:ascii="Book Antiqua" w:hAnsi="Book Antiqua"/>
          <w:sz w:val="24"/>
          <w:szCs w:val="24"/>
          <w:lang w:eastAsia="zh-CN"/>
        </w:rPr>
      </w:pPr>
      <w:r w:rsidRPr="006B4444">
        <w:rPr>
          <w:rFonts w:ascii="Book Antiqua" w:hAnsi="Book Antiqua"/>
          <w:sz w:val="24"/>
          <w:szCs w:val="24"/>
          <w:lang w:val="en-US"/>
        </w:rPr>
        <w:t>VKA</w:t>
      </w:r>
      <w:r>
        <w:rPr>
          <w:rFonts w:ascii="Book Antiqua" w:hAnsi="Book Antiqua" w:hint="eastAsia"/>
          <w:sz w:val="24"/>
          <w:szCs w:val="24"/>
          <w:lang w:val="en-US" w:eastAsia="zh-CN"/>
        </w:rPr>
        <w:t>:</w:t>
      </w:r>
      <w:r w:rsidRPr="007536F7">
        <w:rPr>
          <w:rFonts w:ascii="Book Antiqua" w:hAnsi="Book Antiqua"/>
          <w:sz w:val="24"/>
          <w:szCs w:val="24"/>
          <w:lang w:val="en-US"/>
        </w:rPr>
        <w:t xml:space="preserve"> </w:t>
      </w:r>
      <w:r w:rsidRPr="006B4444">
        <w:rPr>
          <w:rFonts w:ascii="Book Antiqua" w:hAnsi="Book Antiqua"/>
          <w:sz w:val="24"/>
          <w:szCs w:val="24"/>
          <w:lang w:val="en-US"/>
        </w:rPr>
        <w:t>Vitamin K antagonist</w:t>
      </w:r>
      <w:r>
        <w:rPr>
          <w:rFonts w:ascii="Book Antiqua" w:hAnsi="Book Antiqua" w:hint="eastAsia"/>
          <w:sz w:val="24"/>
          <w:szCs w:val="24"/>
          <w:lang w:val="en-US" w:eastAsia="zh-CN"/>
        </w:rPr>
        <w:t>;</w:t>
      </w:r>
      <w:r w:rsidRPr="003859AC">
        <w:rPr>
          <w:rFonts w:ascii="Book Antiqua" w:hAnsi="Book Antiqua"/>
          <w:sz w:val="24"/>
          <w:szCs w:val="24"/>
          <w:lang w:val="en-US"/>
        </w:rPr>
        <w:t xml:space="preserve"> </w:t>
      </w:r>
      <w:r w:rsidRPr="00712539">
        <w:rPr>
          <w:rFonts w:ascii="Book Antiqua" w:hAnsi="Book Antiqua"/>
          <w:sz w:val="24"/>
          <w:szCs w:val="24"/>
          <w:lang w:val="en-US"/>
        </w:rPr>
        <w:t>VTE: V</w:t>
      </w:r>
      <w:r>
        <w:rPr>
          <w:rFonts w:ascii="Book Antiqua" w:hAnsi="Book Antiqua"/>
          <w:sz w:val="24"/>
          <w:szCs w:val="24"/>
          <w:lang w:val="en-US"/>
        </w:rPr>
        <w:t>enous thromboembolic event</w:t>
      </w:r>
      <w:r>
        <w:rPr>
          <w:rFonts w:ascii="Book Antiqua" w:hAnsi="Book Antiqua" w:hint="eastAsia"/>
          <w:sz w:val="24"/>
          <w:szCs w:val="24"/>
          <w:lang w:val="en-US" w:eastAsia="zh-CN"/>
        </w:rPr>
        <w:t>;</w:t>
      </w:r>
      <w:r w:rsidRPr="003859AC">
        <w:rPr>
          <w:rFonts w:ascii="Book Antiqua" w:hAnsi="Book Antiqua"/>
          <w:sz w:val="24"/>
          <w:szCs w:val="24"/>
        </w:rPr>
        <w:t xml:space="preserve"> </w:t>
      </w:r>
      <w:r w:rsidRPr="00712539">
        <w:rPr>
          <w:rFonts w:ascii="Book Antiqua" w:hAnsi="Book Antiqua"/>
          <w:sz w:val="24"/>
          <w:szCs w:val="24"/>
        </w:rPr>
        <w:t>DVT</w:t>
      </w:r>
      <w:r>
        <w:rPr>
          <w:rFonts w:ascii="Book Antiqua" w:hAnsi="Book Antiqua" w:hint="eastAsia"/>
          <w:sz w:val="24"/>
          <w:szCs w:val="24"/>
          <w:lang w:eastAsia="zh-CN"/>
        </w:rPr>
        <w:t>:</w:t>
      </w:r>
      <w:r w:rsidRPr="003859AC">
        <w:rPr>
          <w:rFonts w:ascii="Book Antiqua" w:hAnsi="Book Antiqua"/>
          <w:sz w:val="24"/>
          <w:szCs w:val="24"/>
          <w:lang w:val="en-US"/>
        </w:rPr>
        <w:t xml:space="preserve"> </w:t>
      </w:r>
      <w:r w:rsidRPr="006B4444">
        <w:rPr>
          <w:rFonts w:ascii="Book Antiqua" w:hAnsi="Book Antiqua"/>
          <w:sz w:val="24"/>
          <w:szCs w:val="24"/>
          <w:lang w:val="en-US"/>
        </w:rPr>
        <w:t>Deep vein thrombosis</w:t>
      </w:r>
      <w:r>
        <w:rPr>
          <w:rFonts w:ascii="Book Antiqua" w:hAnsi="Book Antiqua" w:hint="eastAsia"/>
          <w:sz w:val="24"/>
          <w:szCs w:val="24"/>
          <w:lang w:val="en-US" w:eastAsia="zh-CN"/>
        </w:rPr>
        <w:t xml:space="preserve">; PE: </w:t>
      </w:r>
      <w:r w:rsidRPr="006B4444">
        <w:rPr>
          <w:rFonts w:ascii="Book Antiqua" w:hAnsi="Book Antiqua"/>
          <w:sz w:val="24"/>
          <w:szCs w:val="24"/>
          <w:lang w:val="en-US"/>
        </w:rPr>
        <w:t>Pulmonary embolism</w:t>
      </w:r>
      <w:r>
        <w:rPr>
          <w:rFonts w:ascii="Book Antiqua" w:hAnsi="Book Antiqua" w:hint="eastAsia"/>
          <w:sz w:val="24"/>
          <w:szCs w:val="24"/>
          <w:lang w:val="en-US" w:eastAsia="zh-CN"/>
        </w:rPr>
        <w:t xml:space="preserve">; </w:t>
      </w:r>
      <w:r w:rsidRPr="006B4444">
        <w:rPr>
          <w:rFonts w:ascii="Book Antiqua" w:hAnsi="Book Antiqua"/>
          <w:sz w:val="24"/>
          <w:szCs w:val="24"/>
          <w:lang w:val="en-US"/>
        </w:rPr>
        <w:t>INR</w:t>
      </w:r>
      <w:r>
        <w:rPr>
          <w:rFonts w:ascii="Book Antiqua" w:hAnsi="Book Antiqua" w:hint="eastAsia"/>
          <w:sz w:val="24"/>
          <w:szCs w:val="24"/>
          <w:lang w:val="en-US" w:eastAsia="zh-CN"/>
        </w:rPr>
        <w:t>:</w:t>
      </w:r>
      <w:r w:rsidRPr="007536F7">
        <w:rPr>
          <w:rFonts w:ascii="Book Antiqua" w:hAnsi="Book Antiqua"/>
          <w:sz w:val="24"/>
          <w:szCs w:val="24"/>
          <w:lang w:val="en-US"/>
        </w:rPr>
        <w:t xml:space="preserve"> </w:t>
      </w:r>
      <w:r w:rsidRPr="006B4444">
        <w:rPr>
          <w:rFonts w:ascii="Book Antiqua" w:hAnsi="Book Antiqua"/>
          <w:sz w:val="24"/>
          <w:szCs w:val="24"/>
          <w:lang w:val="en-US"/>
        </w:rPr>
        <w:t>International normalized ratios</w:t>
      </w:r>
      <w:r>
        <w:rPr>
          <w:rFonts w:ascii="Book Antiqua" w:hAnsi="Book Antiqua" w:hint="eastAsia"/>
          <w:sz w:val="24"/>
          <w:szCs w:val="24"/>
          <w:lang w:val="en-US" w:eastAsia="zh-CN"/>
        </w:rPr>
        <w:t>.</w:t>
      </w:r>
    </w:p>
    <w:p w14:paraId="741C195A" w14:textId="77777777" w:rsidR="004F0B9C" w:rsidRPr="00BE393C" w:rsidRDefault="004F0B9C" w:rsidP="0093109B">
      <w:pPr>
        <w:spacing w:after="0" w:line="360" w:lineRule="auto"/>
        <w:jc w:val="both"/>
        <w:rPr>
          <w:rFonts w:ascii="Book Antiqua" w:hAnsi="Book Antiqua"/>
          <w:sz w:val="24"/>
          <w:szCs w:val="24"/>
        </w:rPr>
      </w:pPr>
    </w:p>
    <w:p w14:paraId="7C12E655" w14:textId="77777777" w:rsidR="00BE393C" w:rsidRDefault="00BE393C">
      <w:pPr>
        <w:spacing w:after="0" w:line="240" w:lineRule="auto"/>
        <w:rPr>
          <w:rFonts w:ascii="Book Antiqua" w:hAnsi="Book Antiqua"/>
          <w:b/>
          <w:sz w:val="24"/>
          <w:szCs w:val="24"/>
          <w:lang w:val="en-US"/>
        </w:rPr>
      </w:pPr>
      <w:r>
        <w:rPr>
          <w:rFonts w:ascii="Book Antiqua" w:hAnsi="Book Antiqua"/>
          <w:b/>
          <w:sz w:val="24"/>
          <w:szCs w:val="24"/>
          <w:lang w:val="en-US"/>
        </w:rPr>
        <w:br w:type="page"/>
      </w:r>
    </w:p>
    <w:p w14:paraId="7505811C" w14:textId="7CD46AD2" w:rsidR="004F0B9C" w:rsidRPr="00BE393C" w:rsidRDefault="00BE393C" w:rsidP="0093109B">
      <w:pPr>
        <w:spacing w:after="0" w:line="360" w:lineRule="auto"/>
        <w:jc w:val="both"/>
        <w:rPr>
          <w:rFonts w:ascii="Book Antiqua" w:hAnsi="Book Antiqua"/>
          <w:b/>
          <w:sz w:val="24"/>
          <w:szCs w:val="24"/>
          <w:lang w:val="en-US"/>
        </w:rPr>
      </w:pPr>
      <w:r w:rsidRPr="00BE393C">
        <w:rPr>
          <w:rFonts w:ascii="Book Antiqua" w:hAnsi="Book Antiqua"/>
          <w:b/>
          <w:sz w:val="24"/>
          <w:szCs w:val="24"/>
          <w:lang w:val="en-US"/>
        </w:rPr>
        <w:lastRenderedPageBreak/>
        <w:t>Table 6</w:t>
      </w:r>
      <w:r w:rsidR="004F0B9C" w:rsidRPr="00BE393C">
        <w:rPr>
          <w:rFonts w:ascii="Book Antiqua" w:hAnsi="Book Antiqua"/>
          <w:b/>
          <w:sz w:val="24"/>
          <w:szCs w:val="24"/>
          <w:lang w:val="en-US"/>
        </w:rPr>
        <w:t xml:space="preserve"> Take home messages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46"/>
      </w:tblGrid>
      <w:tr w:rsidR="0093109B" w:rsidRPr="00712539" w14:paraId="2EEB20E6" w14:textId="77777777" w:rsidTr="006459AD">
        <w:tc>
          <w:tcPr>
            <w:tcW w:w="8646" w:type="dxa"/>
            <w:vAlign w:val="center"/>
          </w:tcPr>
          <w:p w14:paraId="6F371345" w14:textId="69292A23" w:rsidR="004F0B9C" w:rsidRPr="00712539" w:rsidRDefault="004F0B9C" w:rsidP="0093109B">
            <w:pPr>
              <w:spacing w:after="0" w:line="360" w:lineRule="auto"/>
              <w:jc w:val="both"/>
              <w:rPr>
                <w:rFonts w:ascii="Book Antiqua" w:hAnsi="Book Antiqua"/>
                <w:sz w:val="24"/>
                <w:szCs w:val="24"/>
                <w:lang w:val="en-US" w:eastAsia="zh-CN"/>
              </w:rPr>
            </w:pPr>
            <w:r w:rsidRPr="00712539">
              <w:rPr>
                <w:rFonts w:ascii="Book Antiqua" w:hAnsi="Book Antiqua"/>
                <w:sz w:val="24"/>
                <w:szCs w:val="24"/>
                <w:lang w:val="en-US"/>
              </w:rPr>
              <w:t>Patients with gastrointestinal cancers are among those with the highest cancer-associated VTE risk (</w:t>
            </w:r>
            <w:r w:rsidRPr="004010EC">
              <w:rPr>
                <w:rFonts w:ascii="Book Antiqua" w:hAnsi="Book Antiqua"/>
                <w:i/>
                <w:sz w:val="24"/>
                <w:szCs w:val="24"/>
                <w:lang w:val="en-US"/>
              </w:rPr>
              <w:t>e.g.</w:t>
            </w:r>
            <w:r w:rsidR="004010EC">
              <w:rPr>
                <w:rFonts w:ascii="Book Antiqua" w:hAnsi="Book Antiqua" w:hint="eastAsia"/>
                <w:sz w:val="24"/>
                <w:szCs w:val="24"/>
                <w:lang w:val="en-US" w:eastAsia="zh-CN"/>
              </w:rPr>
              <w:t>,</w:t>
            </w:r>
            <w:r w:rsidRPr="00712539">
              <w:rPr>
                <w:rFonts w:ascii="Book Antiqua" w:hAnsi="Book Antiqua"/>
                <w:sz w:val="24"/>
                <w:szCs w:val="24"/>
                <w:lang w:val="en-US"/>
              </w:rPr>
              <w:t xml:space="preserve"> pan</w:t>
            </w:r>
            <w:r w:rsidR="00D36884">
              <w:rPr>
                <w:rFonts w:ascii="Book Antiqua" w:hAnsi="Book Antiqua"/>
                <w:sz w:val="24"/>
                <w:szCs w:val="24"/>
                <w:lang w:val="en-US"/>
              </w:rPr>
              <w:t>creatic cancer, gastric cancer)</w:t>
            </w:r>
          </w:p>
        </w:tc>
      </w:tr>
      <w:tr w:rsidR="0093109B" w:rsidRPr="00712539" w14:paraId="4C2D1CC8" w14:textId="77777777" w:rsidTr="006459AD">
        <w:tc>
          <w:tcPr>
            <w:tcW w:w="8646" w:type="dxa"/>
            <w:vAlign w:val="center"/>
          </w:tcPr>
          <w:p w14:paraId="0D59E183" w14:textId="32BF3A3F" w:rsidR="004F0B9C" w:rsidRPr="00712539" w:rsidRDefault="004F0B9C" w:rsidP="0093109B">
            <w:pPr>
              <w:spacing w:after="0" w:line="360" w:lineRule="auto"/>
              <w:jc w:val="both"/>
              <w:rPr>
                <w:rFonts w:ascii="Book Antiqua" w:hAnsi="Book Antiqua"/>
                <w:sz w:val="24"/>
                <w:szCs w:val="24"/>
                <w:lang w:val="en-US" w:eastAsia="zh-CN"/>
              </w:rPr>
            </w:pPr>
            <w:r w:rsidRPr="00712539">
              <w:rPr>
                <w:rFonts w:ascii="Book Antiqua" w:hAnsi="Book Antiqua"/>
                <w:sz w:val="24"/>
                <w:szCs w:val="24"/>
                <w:lang w:val="en-US"/>
              </w:rPr>
              <w:t>Primary prevention of VTE should be considered according to an ind</w:t>
            </w:r>
            <w:r w:rsidR="004010EC">
              <w:rPr>
                <w:rFonts w:ascii="Book Antiqua" w:hAnsi="Book Antiqua"/>
                <w:sz w:val="24"/>
                <w:szCs w:val="24"/>
                <w:lang w:val="en-US"/>
              </w:rPr>
              <w:t>ividual risk-benefit estimation</w:t>
            </w:r>
          </w:p>
        </w:tc>
      </w:tr>
      <w:tr w:rsidR="0093109B" w:rsidRPr="00712539" w14:paraId="54926F96" w14:textId="77777777" w:rsidTr="006459AD">
        <w:tc>
          <w:tcPr>
            <w:tcW w:w="8646" w:type="dxa"/>
            <w:vAlign w:val="center"/>
          </w:tcPr>
          <w:p w14:paraId="79B5F55A" w14:textId="0C3168E3" w:rsidR="004F0B9C" w:rsidRPr="00712539" w:rsidRDefault="004F0B9C" w:rsidP="0093109B">
            <w:pPr>
              <w:spacing w:after="0" w:line="360" w:lineRule="auto"/>
              <w:jc w:val="both"/>
              <w:rPr>
                <w:rFonts w:ascii="Book Antiqua" w:hAnsi="Book Antiqua"/>
                <w:sz w:val="24"/>
                <w:szCs w:val="24"/>
                <w:lang w:val="en-US" w:eastAsia="zh-CN"/>
              </w:rPr>
            </w:pPr>
            <w:r w:rsidRPr="00712539">
              <w:rPr>
                <w:rFonts w:ascii="Book Antiqua" w:hAnsi="Book Antiqua"/>
                <w:sz w:val="24"/>
                <w:szCs w:val="24"/>
                <w:lang w:val="en-US"/>
              </w:rPr>
              <w:t>Scoring systems help to identify patients at high VTE risk. These patients may benefit fr</w:t>
            </w:r>
            <w:r w:rsidR="004010EC">
              <w:rPr>
                <w:rFonts w:ascii="Book Antiqua" w:hAnsi="Book Antiqua"/>
                <w:sz w:val="24"/>
                <w:szCs w:val="24"/>
                <w:lang w:val="en-US"/>
              </w:rPr>
              <w:t>om prophylactic anticoagulation</w:t>
            </w:r>
          </w:p>
        </w:tc>
      </w:tr>
      <w:tr w:rsidR="0093109B" w:rsidRPr="00712539" w14:paraId="09DD3359" w14:textId="77777777" w:rsidTr="006459AD">
        <w:tc>
          <w:tcPr>
            <w:tcW w:w="8646" w:type="dxa"/>
            <w:vAlign w:val="center"/>
          </w:tcPr>
          <w:p w14:paraId="10CFAAEE" w14:textId="5AED2157" w:rsidR="004F0B9C" w:rsidRPr="00712539" w:rsidRDefault="004F0B9C" w:rsidP="0093109B">
            <w:pPr>
              <w:spacing w:after="0" w:line="360" w:lineRule="auto"/>
              <w:jc w:val="both"/>
              <w:rPr>
                <w:rFonts w:ascii="Book Antiqua" w:hAnsi="Book Antiqua"/>
                <w:sz w:val="24"/>
                <w:szCs w:val="24"/>
                <w:lang w:val="en-US" w:eastAsia="zh-CN"/>
              </w:rPr>
            </w:pPr>
            <w:r w:rsidRPr="00712539">
              <w:rPr>
                <w:rFonts w:ascii="Book Antiqua" w:hAnsi="Book Antiqua"/>
                <w:sz w:val="24"/>
                <w:szCs w:val="24"/>
                <w:lang w:val="en-US"/>
              </w:rPr>
              <w:t>Usual prophylactic dosages of LMWH may not be effective enough in patients with the highes</w:t>
            </w:r>
            <w:r w:rsidR="004010EC">
              <w:rPr>
                <w:rFonts w:ascii="Book Antiqua" w:hAnsi="Book Antiqua"/>
                <w:sz w:val="24"/>
                <w:szCs w:val="24"/>
                <w:lang w:val="en-US"/>
              </w:rPr>
              <w:t>t risk (</w:t>
            </w:r>
            <w:r w:rsidR="004010EC" w:rsidRPr="004010EC">
              <w:rPr>
                <w:rFonts w:ascii="Book Antiqua" w:hAnsi="Book Antiqua"/>
                <w:i/>
                <w:sz w:val="24"/>
                <w:szCs w:val="24"/>
                <w:lang w:val="en-US"/>
              </w:rPr>
              <w:t>e.g</w:t>
            </w:r>
            <w:r w:rsidR="004010EC">
              <w:rPr>
                <w:rFonts w:ascii="Book Antiqua" w:hAnsi="Book Antiqua"/>
                <w:sz w:val="24"/>
                <w:szCs w:val="24"/>
                <w:lang w:val="en-US"/>
              </w:rPr>
              <w:t>.</w:t>
            </w:r>
            <w:r w:rsidR="004010EC">
              <w:rPr>
                <w:rFonts w:ascii="Book Antiqua" w:hAnsi="Book Antiqua" w:hint="eastAsia"/>
                <w:sz w:val="24"/>
                <w:szCs w:val="24"/>
                <w:lang w:val="en-US" w:eastAsia="zh-CN"/>
              </w:rPr>
              <w:t>,</w:t>
            </w:r>
            <w:r w:rsidR="004010EC">
              <w:rPr>
                <w:rFonts w:ascii="Book Antiqua" w:hAnsi="Book Antiqua"/>
                <w:sz w:val="24"/>
                <w:szCs w:val="24"/>
                <w:lang w:val="en-US"/>
              </w:rPr>
              <w:t xml:space="preserve"> pancreatic cancer)</w:t>
            </w:r>
          </w:p>
        </w:tc>
      </w:tr>
      <w:tr w:rsidR="0093109B" w:rsidRPr="00712539" w14:paraId="6A53F1FE" w14:textId="77777777" w:rsidTr="006459AD">
        <w:tc>
          <w:tcPr>
            <w:tcW w:w="8646" w:type="dxa"/>
            <w:vAlign w:val="center"/>
          </w:tcPr>
          <w:p w14:paraId="06078A5E" w14:textId="77777777" w:rsidR="004F0B9C" w:rsidRPr="00712539" w:rsidRDefault="004F0B9C" w:rsidP="0093109B">
            <w:pPr>
              <w:spacing w:after="0" w:line="360" w:lineRule="auto"/>
              <w:jc w:val="both"/>
              <w:rPr>
                <w:rFonts w:ascii="Book Antiqua" w:hAnsi="Book Antiqua"/>
                <w:sz w:val="24"/>
                <w:szCs w:val="24"/>
                <w:lang w:val="en-US"/>
              </w:rPr>
            </w:pPr>
            <w:r w:rsidRPr="00712539">
              <w:rPr>
                <w:rFonts w:ascii="Book Antiqua" w:hAnsi="Book Antiqua"/>
                <w:sz w:val="24"/>
                <w:szCs w:val="24"/>
                <w:lang w:val="en-GB"/>
              </w:rPr>
              <w:t>G</w:t>
            </w:r>
            <w:r w:rsidRPr="00712539">
              <w:rPr>
                <w:rFonts w:ascii="Book Antiqua" w:hAnsi="Book Antiqua"/>
                <w:sz w:val="24"/>
                <w:szCs w:val="24"/>
                <w:lang w:val="en-US"/>
              </w:rPr>
              <w:t xml:space="preserve">astrointestinal cancer patients with VTE should have medical anticoagulation therapy with LMWH for at least three to six months </w:t>
            </w:r>
          </w:p>
        </w:tc>
      </w:tr>
      <w:tr w:rsidR="0093109B" w:rsidRPr="00712539" w14:paraId="506ED634" w14:textId="77777777" w:rsidTr="006459AD">
        <w:tc>
          <w:tcPr>
            <w:tcW w:w="8646" w:type="dxa"/>
            <w:vAlign w:val="center"/>
          </w:tcPr>
          <w:p w14:paraId="31777FCE" w14:textId="791428B5" w:rsidR="004F0B9C" w:rsidRPr="00712539" w:rsidRDefault="004F0B9C" w:rsidP="0093109B">
            <w:pPr>
              <w:spacing w:after="0" w:line="360" w:lineRule="auto"/>
              <w:jc w:val="both"/>
              <w:rPr>
                <w:rFonts w:ascii="Book Antiqua" w:hAnsi="Book Antiqua"/>
                <w:sz w:val="24"/>
                <w:szCs w:val="24"/>
                <w:lang w:val="en-US" w:eastAsia="zh-CN"/>
              </w:rPr>
            </w:pPr>
            <w:r w:rsidRPr="00712539">
              <w:rPr>
                <w:rFonts w:ascii="Book Antiqua" w:hAnsi="Book Antiqua"/>
                <w:sz w:val="24"/>
                <w:szCs w:val="24"/>
                <w:lang w:val="en-US"/>
              </w:rPr>
              <w:t>In patients with gastrointestinal cancers splanchnic vein thrombosis, portal hypertension, hepatopathy-associated coagulation defects (</w:t>
            </w:r>
            <w:r w:rsidRPr="004010EC">
              <w:rPr>
                <w:rFonts w:ascii="Book Antiqua" w:hAnsi="Book Antiqua"/>
                <w:i/>
                <w:sz w:val="24"/>
                <w:szCs w:val="24"/>
                <w:lang w:val="en-US"/>
              </w:rPr>
              <w:t>e.g</w:t>
            </w:r>
            <w:r w:rsidRPr="00712539">
              <w:rPr>
                <w:rFonts w:ascii="Book Antiqua" w:hAnsi="Book Antiqua"/>
                <w:sz w:val="24"/>
                <w:szCs w:val="24"/>
                <w:lang w:val="en-US"/>
              </w:rPr>
              <w:t>.</w:t>
            </w:r>
            <w:r w:rsidR="004010EC">
              <w:rPr>
                <w:rFonts w:ascii="Book Antiqua" w:hAnsi="Book Antiqua" w:hint="eastAsia"/>
                <w:sz w:val="24"/>
                <w:szCs w:val="24"/>
                <w:lang w:val="en-US" w:eastAsia="zh-CN"/>
              </w:rPr>
              <w:t>,</w:t>
            </w:r>
            <w:r w:rsidRPr="00712539">
              <w:rPr>
                <w:rFonts w:ascii="Book Antiqua" w:hAnsi="Book Antiqua"/>
                <w:sz w:val="24"/>
                <w:szCs w:val="24"/>
                <w:lang w:val="en-US"/>
              </w:rPr>
              <w:t xml:space="preserve"> decreased prothrombin time) and thrombocytopenia may complic</w:t>
            </w:r>
            <w:r w:rsidR="004010EC">
              <w:rPr>
                <w:rFonts w:ascii="Book Antiqua" w:hAnsi="Book Antiqua"/>
                <w:sz w:val="24"/>
                <w:szCs w:val="24"/>
                <w:lang w:val="en-US"/>
              </w:rPr>
              <w:t>ate anticoagulation strategies</w:t>
            </w:r>
          </w:p>
        </w:tc>
      </w:tr>
    </w:tbl>
    <w:p w14:paraId="3ECACF2D" w14:textId="77777777" w:rsidR="004F0B9C" w:rsidRPr="00712539" w:rsidRDefault="004F0B9C" w:rsidP="0093109B">
      <w:pPr>
        <w:spacing w:after="0" w:line="360" w:lineRule="auto"/>
        <w:jc w:val="both"/>
        <w:rPr>
          <w:rFonts w:ascii="Book Antiqua" w:hAnsi="Book Antiqua"/>
          <w:sz w:val="24"/>
          <w:szCs w:val="24"/>
          <w:lang w:val="en-GB"/>
        </w:rPr>
      </w:pPr>
    </w:p>
    <w:p w14:paraId="7D1940DC" w14:textId="1F9CECF0" w:rsidR="008B2097" w:rsidRDefault="00011C3E" w:rsidP="0093109B">
      <w:pPr>
        <w:spacing w:after="0" w:line="360" w:lineRule="auto"/>
        <w:jc w:val="both"/>
        <w:rPr>
          <w:rFonts w:ascii="Book Antiqua" w:hAnsi="Book Antiqua" w:cs="Arial"/>
          <w:sz w:val="24"/>
          <w:szCs w:val="24"/>
          <w:lang w:val="en-GB" w:eastAsia="zh-CN"/>
        </w:rPr>
      </w:pPr>
      <w:r w:rsidRPr="008E19F2">
        <w:rPr>
          <w:rFonts w:ascii="Book Antiqua" w:hAnsi="Book Antiqua" w:hint="eastAsia"/>
          <w:sz w:val="24"/>
          <w:szCs w:val="24"/>
          <w:lang w:eastAsia="zh-CN"/>
        </w:rPr>
        <w:t xml:space="preserve">VTE: </w:t>
      </w:r>
      <w:r w:rsidRPr="008E19F2">
        <w:rPr>
          <w:rFonts w:ascii="Book Antiqua" w:hAnsi="Book Antiqua"/>
          <w:sz w:val="24"/>
          <w:szCs w:val="24"/>
          <w:lang w:val="en-US"/>
        </w:rPr>
        <w:t>Venous thromboembolic event</w:t>
      </w:r>
      <w:r>
        <w:rPr>
          <w:rFonts w:ascii="Book Antiqua" w:hAnsi="Book Antiqua" w:hint="eastAsia"/>
          <w:sz w:val="24"/>
          <w:szCs w:val="24"/>
          <w:lang w:val="en-US" w:eastAsia="zh-CN"/>
        </w:rPr>
        <w:t xml:space="preserve">; </w:t>
      </w:r>
      <w:r w:rsidRPr="006B4444">
        <w:rPr>
          <w:rFonts w:ascii="Book Antiqua" w:hAnsi="Book Antiqua" w:cs="Arial"/>
          <w:sz w:val="24"/>
          <w:szCs w:val="24"/>
          <w:lang w:val="en-GB"/>
        </w:rPr>
        <w:t>LMWH</w:t>
      </w:r>
      <w:r>
        <w:rPr>
          <w:rFonts w:ascii="Book Antiqua" w:hAnsi="Book Antiqua" w:cs="Arial" w:hint="eastAsia"/>
          <w:sz w:val="24"/>
          <w:szCs w:val="24"/>
          <w:lang w:val="en-GB" w:eastAsia="zh-CN"/>
        </w:rPr>
        <w:t>:</w:t>
      </w:r>
      <w:r w:rsidRPr="007536F7">
        <w:rPr>
          <w:rFonts w:ascii="Book Antiqua" w:hAnsi="Book Antiqua" w:cs="Arial"/>
          <w:sz w:val="24"/>
          <w:szCs w:val="24"/>
          <w:lang w:val="en-GB"/>
        </w:rPr>
        <w:t xml:space="preserve"> </w:t>
      </w:r>
      <w:r w:rsidRPr="006B4444">
        <w:rPr>
          <w:rFonts w:ascii="Book Antiqua" w:hAnsi="Book Antiqua" w:cs="Arial"/>
          <w:sz w:val="24"/>
          <w:szCs w:val="24"/>
          <w:lang w:val="en-GB"/>
        </w:rPr>
        <w:t>L</w:t>
      </w:r>
      <w:r>
        <w:rPr>
          <w:rFonts w:ascii="Book Antiqua" w:hAnsi="Book Antiqua" w:cs="Arial"/>
          <w:sz w:val="24"/>
          <w:szCs w:val="24"/>
          <w:lang w:val="en-GB"/>
        </w:rPr>
        <w:t>ow molecular weight heparins</w:t>
      </w:r>
      <w:r>
        <w:rPr>
          <w:rFonts w:ascii="Book Antiqua" w:hAnsi="Book Antiqua" w:cs="Arial" w:hint="eastAsia"/>
          <w:sz w:val="24"/>
          <w:szCs w:val="24"/>
          <w:lang w:val="en-GB" w:eastAsia="zh-CN"/>
        </w:rPr>
        <w:t>.</w:t>
      </w:r>
    </w:p>
    <w:p w14:paraId="623A732D" w14:textId="77777777" w:rsidR="008B2097" w:rsidRDefault="008B2097">
      <w:pPr>
        <w:spacing w:after="0" w:line="240" w:lineRule="auto"/>
        <w:rPr>
          <w:rFonts w:ascii="Book Antiqua" w:hAnsi="Book Antiqua" w:cs="Arial"/>
          <w:sz w:val="24"/>
          <w:szCs w:val="24"/>
          <w:lang w:val="en-GB" w:eastAsia="zh-CN"/>
        </w:rPr>
      </w:pPr>
      <w:r>
        <w:rPr>
          <w:rFonts w:ascii="Book Antiqua" w:hAnsi="Book Antiqua" w:cs="Arial"/>
          <w:sz w:val="24"/>
          <w:szCs w:val="24"/>
          <w:lang w:val="en-GB" w:eastAsia="zh-CN"/>
        </w:rPr>
        <w:br w:type="page"/>
      </w:r>
    </w:p>
    <w:p w14:paraId="37ADBF9E" w14:textId="77777777" w:rsidR="004F0B9C" w:rsidRPr="00011C3E" w:rsidRDefault="004F0B9C" w:rsidP="0093109B">
      <w:pPr>
        <w:spacing w:after="0" w:line="360" w:lineRule="auto"/>
        <w:jc w:val="both"/>
        <w:rPr>
          <w:rFonts w:ascii="Book Antiqua" w:hAnsi="Book Antiqua"/>
          <w:sz w:val="24"/>
          <w:szCs w:val="24"/>
          <w:lang w:val="en-GB" w:eastAsia="zh-CN"/>
        </w:rPr>
      </w:pPr>
    </w:p>
    <w:p w14:paraId="4432E150" w14:textId="43F1E3DC" w:rsidR="004F0B9C" w:rsidRPr="008B2097" w:rsidRDefault="009B4AD9" w:rsidP="0093109B">
      <w:pPr>
        <w:spacing w:after="0" w:line="360" w:lineRule="auto"/>
        <w:jc w:val="both"/>
        <w:rPr>
          <w:rFonts w:ascii="Book Antiqua" w:hAnsi="Book Antiqua"/>
          <w:sz w:val="24"/>
          <w:szCs w:val="24"/>
          <w:lang w:val="en-GB" w:eastAsia="zh-CN"/>
        </w:rPr>
      </w:pPr>
      <w:r w:rsidRPr="00712539">
        <w:rPr>
          <w:rFonts w:ascii="Book Antiqua" w:hAnsi="Book Antiqua"/>
          <w:noProof/>
          <w:sz w:val="24"/>
          <w:szCs w:val="24"/>
          <w:lang w:val="en-US" w:eastAsia="zh-CN"/>
        </w:rPr>
        <w:drawing>
          <wp:inline distT="0" distB="0" distL="0" distR="0" wp14:anchorId="18A03858" wp14:editId="0602AF06">
            <wp:extent cx="8065008" cy="3603625"/>
            <wp:effectExtent l="0" t="0" r="0" b="0"/>
            <wp:docPr id="1" name="Objekt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008B2097" w:rsidRPr="008B2097">
        <w:rPr>
          <w:rFonts w:ascii="Book Antiqua" w:hAnsi="Book Antiqua"/>
          <w:b/>
          <w:sz w:val="24"/>
          <w:szCs w:val="24"/>
          <w:lang w:val="en-GB"/>
        </w:rPr>
        <w:t xml:space="preserve"> Figure 1</w:t>
      </w:r>
      <w:r w:rsidR="008B2097" w:rsidRPr="008B2097">
        <w:rPr>
          <w:rFonts w:ascii="Book Antiqua" w:hAnsi="Book Antiqua" w:hint="eastAsia"/>
          <w:b/>
          <w:sz w:val="24"/>
          <w:szCs w:val="24"/>
          <w:lang w:val="en-GB" w:eastAsia="zh-CN"/>
        </w:rPr>
        <w:t xml:space="preserve"> </w:t>
      </w:r>
      <w:r w:rsidR="008B2097" w:rsidRPr="008B2097">
        <w:rPr>
          <w:rFonts w:ascii="Book Antiqua" w:hAnsi="Book Antiqua"/>
          <w:b/>
          <w:sz w:val="24"/>
          <w:szCs w:val="24"/>
          <w:lang w:val="en-US"/>
        </w:rPr>
        <w:t>Venous thromboembolic event</w:t>
      </w:r>
      <w:r w:rsidR="004F0B9C" w:rsidRPr="008B2097">
        <w:rPr>
          <w:rFonts w:ascii="Book Antiqua" w:hAnsi="Book Antiqua"/>
          <w:b/>
          <w:sz w:val="24"/>
          <w:szCs w:val="24"/>
          <w:lang w:val="en-GB"/>
        </w:rPr>
        <w:t>-risk according to different cancer entities (mod</w:t>
      </w:r>
      <w:r w:rsidR="008B2097" w:rsidRPr="008B2097">
        <w:rPr>
          <w:rFonts w:ascii="Book Antiqua" w:hAnsi="Book Antiqua"/>
          <w:b/>
          <w:sz w:val="24"/>
          <w:szCs w:val="24"/>
          <w:lang w:val="en-GB" w:eastAsia="zh-CN"/>
        </w:rPr>
        <w:t>ified</w:t>
      </w:r>
      <w:r w:rsidR="004F0B9C" w:rsidRPr="008B2097">
        <w:rPr>
          <w:rFonts w:ascii="Book Antiqua" w:hAnsi="Book Antiqua"/>
          <w:b/>
          <w:sz w:val="24"/>
          <w:szCs w:val="24"/>
          <w:lang w:val="en-GB"/>
        </w:rPr>
        <w:t xml:space="preserve"> from Wu</w:t>
      </w:r>
      <w:r w:rsidR="008B2097" w:rsidRPr="008B2097">
        <w:rPr>
          <w:rFonts w:ascii="Book Antiqua" w:hAnsi="Book Antiqua"/>
          <w:b/>
          <w:sz w:val="24"/>
          <w:szCs w:val="24"/>
          <w:lang w:val="en-GB" w:eastAsia="zh-CN"/>
        </w:rPr>
        <w:t>n</w:t>
      </w:r>
      <w:r w:rsidR="008B2097" w:rsidRPr="008B2097">
        <w:rPr>
          <w:rFonts w:ascii="Book Antiqua" w:hAnsi="Book Antiqua" w:hint="eastAsia"/>
          <w:b/>
          <w:sz w:val="24"/>
          <w:szCs w:val="24"/>
          <w:lang w:val="en-GB" w:eastAsia="zh-CN"/>
        </w:rPr>
        <w:t xml:space="preserve"> </w:t>
      </w:r>
      <w:r w:rsidR="008B2097" w:rsidRPr="008B2097">
        <w:rPr>
          <w:rFonts w:ascii="Book Antiqua" w:hAnsi="Book Antiqua" w:hint="eastAsia"/>
          <w:b/>
          <w:i/>
          <w:sz w:val="24"/>
          <w:szCs w:val="24"/>
          <w:lang w:val="en-GB" w:eastAsia="zh-CN"/>
        </w:rPr>
        <w:t xml:space="preserve">et </w:t>
      </w:r>
      <w:proofErr w:type="gramStart"/>
      <w:r w:rsidR="008B2097" w:rsidRPr="008B2097">
        <w:rPr>
          <w:rFonts w:ascii="Book Antiqua" w:hAnsi="Book Antiqua" w:hint="eastAsia"/>
          <w:b/>
          <w:i/>
          <w:sz w:val="24"/>
          <w:szCs w:val="24"/>
          <w:lang w:val="en-GB" w:eastAsia="zh-CN"/>
        </w:rPr>
        <w:t>al</w:t>
      </w:r>
      <w:r w:rsidR="008B2097" w:rsidRPr="008B2097">
        <w:rPr>
          <w:rFonts w:ascii="Book Antiqua" w:hAnsi="Book Antiqua"/>
          <w:b/>
          <w:sz w:val="24"/>
          <w:szCs w:val="24"/>
          <w:vertAlign w:val="superscript"/>
          <w:lang w:val="en-GB"/>
        </w:rPr>
        <w:t>[</w:t>
      </w:r>
      <w:proofErr w:type="gramEnd"/>
      <w:r w:rsidR="008B2097" w:rsidRPr="008B2097">
        <w:rPr>
          <w:rFonts w:ascii="Book Antiqua" w:hAnsi="Book Antiqua"/>
          <w:b/>
          <w:sz w:val="24"/>
          <w:szCs w:val="24"/>
          <w:vertAlign w:val="superscript"/>
          <w:lang w:val="en-GB"/>
        </w:rPr>
        <w:t>5]</w:t>
      </w:r>
      <w:r w:rsidR="004F0B9C" w:rsidRPr="008B2097">
        <w:rPr>
          <w:rFonts w:ascii="Book Antiqua" w:hAnsi="Book Antiqua"/>
          <w:b/>
          <w:sz w:val="24"/>
          <w:szCs w:val="24"/>
          <w:lang w:val="en-GB"/>
        </w:rPr>
        <w:t xml:space="preserve"> 2009)</w:t>
      </w:r>
      <w:r w:rsidR="008B2097" w:rsidRPr="008B2097">
        <w:rPr>
          <w:rFonts w:ascii="Book Antiqua" w:hAnsi="Book Antiqua" w:hint="eastAsia"/>
          <w:b/>
          <w:sz w:val="24"/>
          <w:szCs w:val="24"/>
          <w:lang w:val="en-GB" w:eastAsia="zh-CN"/>
        </w:rPr>
        <w:t xml:space="preserve">. </w:t>
      </w:r>
      <w:proofErr w:type="gramStart"/>
      <w:r w:rsidR="004F0B9C" w:rsidRPr="008B2097">
        <w:rPr>
          <w:rFonts w:ascii="Book Antiqua" w:hAnsi="Book Antiqua"/>
          <w:sz w:val="24"/>
          <w:szCs w:val="24"/>
          <w:lang w:val="en-GB"/>
        </w:rPr>
        <w:t>VTE-Incidence in the first year after cancer diagnosis (all stages) California Cancer Registry 1993-1999</w:t>
      </w:r>
      <w:r w:rsidR="00451163" w:rsidRPr="008B2097">
        <w:rPr>
          <w:rFonts w:ascii="Book Antiqua" w:hAnsi="Book Antiqua"/>
          <w:sz w:val="24"/>
          <w:szCs w:val="24"/>
          <w:lang w:val="en-GB"/>
        </w:rPr>
        <w:t xml:space="preserve"> </w:t>
      </w:r>
      <w:r w:rsidR="004F0B9C" w:rsidRPr="008B2097">
        <w:rPr>
          <w:rFonts w:ascii="Book Antiqua" w:hAnsi="Book Antiqua"/>
          <w:sz w:val="24"/>
          <w:szCs w:val="24"/>
          <w:lang w:val="en-GB"/>
        </w:rPr>
        <w:t>(Patient Hospital Discharge Dataset)</w:t>
      </w:r>
      <w:r w:rsidR="000A1A83">
        <w:rPr>
          <w:rFonts w:ascii="Book Antiqua" w:hAnsi="Book Antiqua" w:hint="eastAsia"/>
          <w:sz w:val="24"/>
          <w:szCs w:val="24"/>
          <w:lang w:val="en-GB" w:eastAsia="zh-CN"/>
        </w:rPr>
        <w:t>.</w:t>
      </w:r>
      <w:proofErr w:type="gramEnd"/>
    </w:p>
    <w:p w14:paraId="6EFAA462" w14:textId="77777777" w:rsidR="004F0B9C" w:rsidRPr="00712539" w:rsidRDefault="004F0B9C" w:rsidP="0093109B">
      <w:pPr>
        <w:spacing w:after="0" w:line="360" w:lineRule="auto"/>
        <w:jc w:val="both"/>
        <w:rPr>
          <w:rFonts w:ascii="Book Antiqua" w:hAnsi="Book Antiqua"/>
          <w:sz w:val="24"/>
          <w:szCs w:val="24"/>
          <w:lang w:val="en-GB"/>
        </w:rPr>
      </w:pPr>
    </w:p>
    <w:sectPr w:rsidR="004F0B9C" w:rsidRPr="00712539" w:rsidSect="007E0851">
      <w:pgSz w:w="11906" w:h="16838"/>
      <w:pgMar w:top="1418" w:right="1985"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BAF07B" w14:textId="77777777" w:rsidR="00BF1C7C" w:rsidRDefault="00BF1C7C" w:rsidP="00CC6BE3">
      <w:pPr>
        <w:spacing w:after="0" w:line="240" w:lineRule="auto"/>
      </w:pPr>
      <w:r>
        <w:separator/>
      </w:r>
    </w:p>
  </w:endnote>
  <w:endnote w:type="continuationSeparator" w:id="0">
    <w:p w14:paraId="23EF7C4B" w14:textId="77777777" w:rsidR="00BF1C7C" w:rsidRDefault="00BF1C7C" w:rsidP="00CC6B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DCD04B" w14:textId="77777777" w:rsidR="00BF1C7C" w:rsidRDefault="00BF1C7C" w:rsidP="00CC6BE3">
      <w:pPr>
        <w:spacing w:after="0" w:line="240" w:lineRule="auto"/>
      </w:pPr>
      <w:r>
        <w:separator/>
      </w:r>
    </w:p>
  </w:footnote>
  <w:footnote w:type="continuationSeparator" w:id="0">
    <w:p w14:paraId="013D654F" w14:textId="77777777" w:rsidR="00BF1C7C" w:rsidRDefault="00BF1C7C" w:rsidP="00CC6BE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E410C"/>
    <w:multiLevelType w:val="hybridMultilevel"/>
    <w:tmpl w:val="6C427E64"/>
    <w:lvl w:ilvl="0" w:tplc="0407000F">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
    <w:nsid w:val="1AFD1390"/>
    <w:multiLevelType w:val="hybridMultilevel"/>
    <w:tmpl w:val="41828ED0"/>
    <w:lvl w:ilvl="0" w:tplc="5462AC02">
      <w:start w:val="5"/>
      <w:numFmt w:val="bullet"/>
      <w:lvlText w:val=""/>
      <w:lvlJc w:val="left"/>
      <w:pPr>
        <w:ind w:left="1070" w:hanging="360"/>
      </w:pPr>
      <w:rPr>
        <w:rFonts w:ascii="Symbol" w:eastAsia="Times New Roman" w:hAnsi="Symbol" w:hint="default"/>
      </w:rPr>
    </w:lvl>
    <w:lvl w:ilvl="1" w:tplc="04070003" w:tentative="1">
      <w:start w:val="1"/>
      <w:numFmt w:val="bullet"/>
      <w:lvlText w:val="o"/>
      <w:lvlJc w:val="left"/>
      <w:pPr>
        <w:ind w:left="1790" w:hanging="360"/>
      </w:pPr>
      <w:rPr>
        <w:rFonts w:ascii="Courier New" w:hAnsi="Courier New" w:hint="default"/>
      </w:rPr>
    </w:lvl>
    <w:lvl w:ilvl="2" w:tplc="04070005" w:tentative="1">
      <w:start w:val="1"/>
      <w:numFmt w:val="bullet"/>
      <w:lvlText w:val=""/>
      <w:lvlJc w:val="left"/>
      <w:pPr>
        <w:ind w:left="2510" w:hanging="360"/>
      </w:pPr>
      <w:rPr>
        <w:rFonts w:ascii="Wingdings" w:hAnsi="Wingdings" w:hint="default"/>
      </w:rPr>
    </w:lvl>
    <w:lvl w:ilvl="3" w:tplc="04070001" w:tentative="1">
      <w:start w:val="1"/>
      <w:numFmt w:val="bullet"/>
      <w:lvlText w:val=""/>
      <w:lvlJc w:val="left"/>
      <w:pPr>
        <w:ind w:left="3230" w:hanging="360"/>
      </w:pPr>
      <w:rPr>
        <w:rFonts w:ascii="Symbol" w:hAnsi="Symbol" w:hint="default"/>
      </w:rPr>
    </w:lvl>
    <w:lvl w:ilvl="4" w:tplc="04070003" w:tentative="1">
      <w:start w:val="1"/>
      <w:numFmt w:val="bullet"/>
      <w:lvlText w:val="o"/>
      <w:lvlJc w:val="left"/>
      <w:pPr>
        <w:ind w:left="3950" w:hanging="360"/>
      </w:pPr>
      <w:rPr>
        <w:rFonts w:ascii="Courier New" w:hAnsi="Courier New" w:hint="default"/>
      </w:rPr>
    </w:lvl>
    <w:lvl w:ilvl="5" w:tplc="04070005" w:tentative="1">
      <w:start w:val="1"/>
      <w:numFmt w:val="bullet"/>
      <w:lvlText w:val=""/>
      <w:lvlJc w:val="left"/>
      <w:pPr>
        <w:ind w:left="4670" w:hanging="360"/>
      </w:pPr>
      <w:rPr>
        <w:rFonts w:ascii="Wingdings" w:hAnsi="Wingdings" w:hint="default"/>
      </w:rPr>
    </w:lvl>
    <w:lvl w:ilvl="6" w:tplc="04070001" w:tentative="1">
      <w:start w:val="1"/>
      <w:numFmt w:val="bullet"/>
      <w:lvlText w:val=""/>
      <w:lvlJc w:val="left"/>
      <w:pPr>
        <w:ind w:left="5390" w:hanging="360"/>
      </w:pPr>
      <w:rPr>
        <w:rFonts w:ascii="Symbol" w:hAnsi="Symbol" w:hint="default"/>
      </w:rPr>
    </w:lvl>
    <w:lvl w:ilvl="7" w:tplc="04070003" w:tentative="1">
      <w:start w:val="1"/>
      <w:numFmt w:val="bullet"/>
      <w:lvlText w:val="o"/>
      <w:lvlJc w:val="left"/>
      <w:pPr>
        <w:ind w:left="6110" w:hanging="360"/>
      </w:pPr>
      <w:rPr>
        <w:rFonts w:ascii="Courier New" w:hAnsi="Courier New" w:hint="default"/>
      </w:rPr>
    </w:lvl>
    <w:lvl w:ilvl="8" w:tplc="04070005" w:tentative="1">
      <w:start w:val="1"/>
      <w:numFmt w:val="bullet"/>
      <w:lvlText w:val=""/>
      <w:lvlJc w:val="left"/>
      <w:pPr>
        <w:ind w:left="683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oNotDisplayPageBoundaries/>
  <w:bordersDoNotSurroundHeader/>
  <w:bordersDoNotSurroundFooter/>
  <w:activeWritingStyle w:appName="MSWord" w:lang="it-IT" w:vendorID="64" w:dllVersion="131078" w:nlCheck="1" w:checkStyle="0"/>
  <w:activeWritingStyle w:appName="MSWord" w:lang="en-US" w:vendorID="64" w:dllVersion="131078" w:nlCheck="1" w:checkStyle="1"/>
  <w:activeWritingStyle w:appName="MSWord" w:lang="de-DE" w:vendorID="64" w:dllVersion="131078" w:nlCheck="1" w:checkStyle="1"/>
  <w:activeWritingStyle w:appName="MSWord" w:lang="fr-FR" w:vendorID="64" w:dllVersion="131078" w:nlCheck="1" w:checkStyle="1"/>
  <w:activeWritingStyle w:appName="MSWord" w:lang="en-GB" w:vendorID="64" w:dllVersion="131078" w:nlCheck="1" w:checkStyle="1"/>
  <w:proofState w:grammar="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1D4"/>
    <w:rsid w:val="00000A6B"/>
    <w:rsid w:val="00002404"/>
    <w:rsid w:val="00011C3E"/>
    <w:rsid w:val="0001337C"/>
    <w:rsid w:val="0004317D"/>
    <w:rsid w:val="00047BEE"/>
    <w:rsid w:val="0005506F"/>
    <w:rsid w:val="00056702"/>
    <w:rsid w:val="00061931"/>
    <w:rsid w:val="000659D7"/>
    <w:rsid w:val="00083D3F"/>
    <w:rsid w:val="00084D38"/>
    <w:rsid w:val="00087029"/>
    <w:rsid w:val="000914B9"/>
    <w:rsid w:val="000A1A83"/>
    <w:rsid w:val="000B30EC"/>
    <w:rsid w:val="000B56D5"/>
    <w:rsid w:val="000C2A5F"/>
    <w:rsid w:val="000C79B9"/>
    <w:rsid w:val="000D069A"/>
    <w:rsid w:val="000D341B"/>
    <w:rsid w:val="000D5452"/>
    <w:rsid w:val="000E0A67"/>
    <w:rsid w:val="000E34FD"/>
    <w:rsid w:val="000E4BBE"/>
    <w:rsid w:val="000F2D1D"/>
    <w:rsid w:val="000F3AD4"/>
    <w:rsid w:val="000F4755"/>
    <w:rsid w:val="0010261F"/>
    <w:rsid w:val="001041D6"/>
    <w:rsid w:val="00112C1D"/>
    <w:rsid w:val="00117840"/>
    <w:rsid w:val="00127C32"/>
    <w:rsid w:val="001354E0"/>
    <w:rsid w:val="00136799"/>
    <w:rsid w:val="00137E54"/>
    <w:rsid w:val="00147E20"/>
    <w:rsid w:val="0016355A"/>
    <w:rsid w:val="00181ADC"/>
    <w:rsid w:val="00182ACB"/>
    <w:rsid w:val="00185C6F"/>
    <w:rsid w:val="00185EB3"/>
    <w:rsid w:val="001B453F"/>
    <w:rsid w:val="001B52EB"/>
    <w:rsid w:val="001B6155"/>
    <w:rsid w:val="001C0CA0"/>
    <w:rsid w:val="001C2AD7"/>
    <w:rsid w:val="001E3A07"/>
    <w:rsid w:val="001E5CB9"/>
    <w:rsid w:val="001F0575"/>
    <w:rsid w:val="001F0C30"/>
    <w:rsid w:val="001F5EA0"/>
    <w:rsid w:val="001F60EF"/>
    <w:rsid w:val="00200705"/>
    <w:rsid w:val="00201199"/>
    <w:rsid w:val="00203745"/>
    <w:rsid w:val="00206D4C"/>
    <w:rsid w:val="002202C3"/>
    <w:rsid w:val="00220A0D"/>
    <w:rsid w:val="00223548"/>
    <w:rsid w:val="002239D1"/>
    <w:rsid w:val="00234686"/>
    <w:rsid w:val="0024088A"/>
    <w:rsid w:val="00242F92"/>
    <w:rsid w:val="00250680"/>
    <w:rsid w:val="002525DE"/>
    <w:rsid w:val="0025403D"/>
    <w:rsid w:val="00262C8F"/>
    <w:rsid w:val="00264574"/>
    <w:rsid w:val="00267111"/>
    <w:rsid w:val="0027530D"/>
    <w:rsid w:val="00281821"/>
    <w:rsid w:val="00285CE9"/>
    <w:rsid w:val="002921BF"/>
    <w:rsid w:val="002926C8"/>
    <w:rsid w:val="002A1760"/>
    <w:rsid w:val="002A3B6C"/>
    <w:rsid w:val="002A3D1B"/>
    <w:rsid w:val="002A70EF"/>
    <w:rsid w:val="002A7885"/>
    <w:rsid w:val="002B2805"/>
    <w:rsid w:val="002C1904"/>
    <w:rsid w:val="002C3F5D"/>
    <w:rsid w:val="002C4019"/>
    <w:rsid w:val="002D25D6"/>
    <w:rsid w:val="002D668F"/>
    <w:rsid w:val="002D6DFC"/>
    <w:rsid w:val="002E0561"/>
    <w:rsid w:val="002E69E1"/>
    <w:rsid w:val="00301CCF"/>
    <w:rsid w:val="00303E8A"/>
    <w:rsid w:val="0030451C"/>
    <w:rsid w:val="00306781"/>
    <w:rsid w:val="0030724A"/>
    <w:rsid w:val="00315046"/>
    <w:rsid w:val="00317EC1"/>
    <w:rsid w:val="00322F5E"/>
    <w:rsid w:val="00323C6C"/>
    <w:rsid w:val="00327F1B"/>
    <w:rsid w:val="00335A90"/>
    <w:rsid w:val="00354C3F"/>
    <w:rsid w:val="00361930"/>
    <w:rsid w:val="00362F88"/>
    <w:rsid w:val="0036447B"/>
    <w:rsid w:val="003716FE"/>
    <w:rsid w:val="0038317E"/>
    <w:rsid w:val="003864D0"/>
    <w:rsid w:val="00386997"/>
    <w:rsid w:val="00390906"/>
    <w:rsid w:val="00393B3B"/>
    <w:rsid w:val="00396267"/>
    <w:rsid w:val="00397448"/>
    <w:rsid w:val="003A0DA6"/>
    <w:rsid w:val="003A16AC"/>
    <w:rsid w:val="003B3329"/>
    <w:rsid w:val="003B462F"/>
    <w:rsid w:val="003C03FC"/>
    <w:rsid w:val="003C3FEF"/>
    <w:rsid w:val="003E3C73"/>
    <w:rsid w:val="003F20A3"/>
    <w:rsid w:val="003F2781"/>
    <w:rsid w:val="003F5B69"/>
    <w:rsid w:val="00400B99"/>
    <w:rsid w:val="004010EC"/>
    <w:rsid w:val="004140F7"/>
    <w:rsid w:val="004220FD"/>
    <w:rsid w:val="00441D14"/>
    <w:rsid w:val="00443764"/>
    <w:rsid w:val="00443A2F"/>
    <w:rsid w:val="004475DE"/>
    <w:rsid w:val="00451163"/>
    <w:rsid w:val="00454DB7"/>
    <w:rsid w:val="00456B0D"/>
    <w:rsid w:val="0045716A"/>
    <w:rsid w:val="0045750D"/>
    <w:rsid w:val="00463E04"/>
    <w:rsid w:val="004905E9"/>
    <w:rsid w:val="004964B8"/>
    <w:rsid w:val="004A387C"/>
    <w:rsid w:val="004A3D6D"/>
    <w:rsid w:val="004A6023"/>
    <w:rsid w:val="004A7AC3"/>
    <w:rsid w:val="004B0208"/>
    <w:rsid w:val="004B0554"/>
    <w:rsid w:val="004B2ADE"/>
    <w:rsid w:val="004B7DD0"/>
    <w:rsid w:val="004D05BF"/>
    <w:rsid w:val="004D32A9"/>
    <w:rsid w:val="004E1F0C"/>
    <w:rsid w:val="004E3918"/>
    <w:rsid w:val="004E47C0"/>
    <w:rsid w:val="004E5A8A"/>
    <w:rsid w:val="004E6114"/>
    <w:rsid w:val="004F07D0"/>
    <w:rsid w:val="004F0B9C"/>
    <w:rsid w:val="004F1F1A"/>
    <w:rsid w:val="004F3BF4"/>
    <w:rsid w:val="005012CC"/>
    <w:rsid w:val="0050249A"/>
    <w:rsid w:val="00503325"/>
    <w:rsid w:val="00514003"/>
    <w:rsid w:val="00520900"/>
    <w:rsid w:val="00520AF4"/>
    <w:rsid w:val="00532399"/>
    <w:rsid w:val="00541DC4"/>
    <w:rsid w:val="00542ADF"/>
    <w:rsid w:val="00545897"/>
    <w:rsid w:val="00564D7D"/>
    <w:rsid w:val="00571796"/>
    <w:rsid w:val="0057460F"/>
    <w:rsid w:val="00575DF8"/>
    <w:rsid w:val="00581BCD"/>
    <w:rsid w:val="00585C5A"/>
    <w:rsid w:val="00593E02"/>
    <w:rsid w:val="00594B4A"/>
    <w:rsid w:val="00596BB7"/>
    <w:rsid w:val="005B2B70"/>
    <w:rsid w:val="005C5647"/>
    <w:rsid w:val="005C73D0"/>
    <w:rsid w:val="005D5C96"/>
    <w:rsid w:val="005D6D71"/>
    <w:rsid w:val="005F4285"/>
    <w:rsid w:val="005F6AE1"/>
    <w:rsid w:val="00600835"/>
    <w:rsid w:val="00606825"/>
    <w:rsid w:val="00617A45"/>
    <w:rsid w:val="006264CF"/>
    <w:rsid w:val="00630D6E"/>
    <w:rsid w:val="0063297D"/>
    <w:rsid w:val="006459AD"/>
    <w:rsid w:val="00655FC2"/>
    <w:rsid w:val="0065731B"/>
    <w:rsid w:val="00663E26"/>
    <w:rsid w:val="006675F9"/>
    <w:rsid w:val="006732F5"/>
    <w:rsid w:val="0068154B"/>
    <w:rsid w:val="00681FC2"/>
    <w:rsid w:val="00685FA5"/>
    <w:rsid w:val="006916A4"/>
    <w:rsid w:val="00693E87"/>
    <w:rsid w:val="00694477"/>
    <w:rsid w:val="00697777"/>
    <w:rsid w:val="006B4444"/>
    <w:rsid w:val="006C674A"/>
    <w:rsid w:val="006D0D29"/>
    <w:rsid w:val="006D2A86"/>
    <w:rsid w:val="006D3061"/>
    <w:rsid w:val="006D51A5"/>
    <w:rsid w:val="006E0D67"/>
    <w:rsid w:val="006F3AF1"/>
    <w:rsid w:val="006F5D6B"/>
    <w:rsid w:val="006F6AC2"/>
    <w:rsid w:val="00703BB7"/>
    <w:rsid w:val="00710CD3"/>
    <w:rsid w:val="00710DAA"/>
    <w:rsid w:val="00712499"/>
    <w:rsid w:val="00712539"/>
    <w:rsid w:val="00713EE9"/>
    <w:rsid w:val="00715071"/>
    <w:rsid w:val="00715EEE"/>
    <w:rsid w:val="00716531"/>
    <w:rsid w:val="0072404B"/>
    <w:rsid w:val="00737C7D"/>
    <w:rsid w:val="007400D5"/>
    <w:rsid w:val="007413BF"/>
    <w:rsid w:val="0075134F"/>
    <w:rsid w:val="00781973"/>
    <w:rsid w:val="00786F3E"/>
    <w:rsid w:val="00787572"/>
    <w:rsid w:val="00796DB5"/>
    <w:rsid w:val="00797BA9"/>
    <w:rsid w:val="007B28E3"/>
    <w:rsid w:val="007B5364"/>
    <w:rsid w:val="007B659A"/>
    <w:rsid w:val="007C4E5C"/>
    <w:rsid w:val="007D3319"/>
    <w:rsid w:val="007E0851"/>
    <w:rsid w:val="007E542A"/>
    <w:rsid w:val="007E6A8E"/>
    <w:rsid w:val="00803AF9"/>
    <w:rsid w:val="00804400"/>
    <w:rsid w:val="00814DC3"/>
    <w:rsid w:val="00817344"/>
    <w:rsid w:val="008301A9"/>
    <w:rsid w:val="008446CF"/>
    <w:rsid w:val="00845A83"/>
    <w:rsid w:val="008503C7"/>
    <w:rsid w:val="00850634"/>
    <w:rsid w:val="00874F96"/>
    <w:rsid w:val="00887C9F"/>
    <w:rsid w:val="00897D89"/>
    <w:rsid w:val="008A28CB"/>
    <w:rsid w:val="008A5E53"/>
    <w:rsid w:val="008A65D3"/>
    <w:rsid w:val="008A7ACB"/>
    <w:rsid w:val="008B2097"/>
    <w:rsid w:val="008B4437"/>
    <w:rsid w:val="008B5951"/>
    <w:rsid w:val="008C0E2E"/>
    <w:rsid w:val="008D6220"/>
    <w:rsid w:val="008E0393"/>
    <w:rsid w:val="008E1523"/>
    <w:rsid w:val="008E19F2"/>
    <w:rsid w:val="008E5A8B"/>
    <w:rsid w:val="009012DD"/>
    <w:rsid w:val="00902316"/>
    <w:rsid w:val="0090671D"/>
    <w:rsid w:val="0092350E"/>
    <w:rsid w:val="0092790E"/>
    <w:rsid w:val="0093109B"/>
    <w:rsid w:val="00944434"/>
    <w:rsid w:val="00944DC5"/>
    <w:rsid w:val="009519EB"/>
    <w:rsid w:val="0096559E"/>
    <w:rsid w:val="00970DDB"/>
    <w:rsid w:val="0097625B"/>
    <w:rsid w:val="00982501"/>
    <w:rsid w:val="0099153A"/>
    <w:rsid w:val="0099399C"/>
    <w:rsid w:val="009957B0"/>
    <w:rsid w:val="009A06CD"/>
    <w:rsid w:val="009A5763"/>
    <w:rsid w:val="009B4AD9"/>
    <w:rsid w:val="009B7820"/>
    <w:rsid w:val="009C466C"/>
    <w:rsid w:val="009D534C"/>
    <w:rsid w:val="009D5766"/>
    <w:rsid w:val="009D7CE1"/>
    <w:rsid w:val="009F6463"/>
    <w:rsid w:val="00A023D0"/>
    <w:rsid w:val="00A03690"/>
    <w:rsid w:val="00A207B4"/>
    <w:rsid w:val="00A2275C"/>
    <w:rsid w:val="00A35561"/>
    <w:rsid w:val="00A369E6"/>
    <w:rsid w:val="00A36D89"/>
    <w:rsid w:val="00A40729"/>
    <w:rsid w:val="00A53EDD"/>
    <w:rsid w:val="00A65E93"/>
    <w:rsid w:val="00A7183F"/>
    <w:rsid w:val="00A7186C"/>
    <w:rsid w:val="00A72632"/>
    <w:rsid w:val="00A73E40"/>
    <w:rsid w:val="00A775DC"/>
    <w:rsid w:val="00AA066F"/>
    <w:rsid w:val="00AA0CF4"/>
    <w:rsid w:val="00AA3D0A"/>
    <w:rsid w:val="00AA4794"/>
    <w:rsid w:val="00AB7B48"/>
    <w:rsid w:val="00AC1E49"/>
    <w:rsid w:val="00AC266F"/>
    <w:rsid w:val="00AC285E"/>
    <w:rsid w:val="00AC2B28"/>
    <w:rsid w:val="00AD0B5E"/>
    <w:rsid w:val="00AE62C5"/>
    <w:rsid w:val="00AF03BF"/>
    <w:rsid w:val="00AF274D"/>
    <w:rsid w:val="00AF48F0"/>
    <w:rsid w:val="00AF7839"/>
    <w:rsid w:val="00B12D29"/>
    <w:rsid w:val="00B12F27"/>
    <w:rsid w:val="00B15790"/>
    <w:rsid w:val="00B166CD"/>
    <w:rsid w:val="00B23213"/>
    <w:rsid w:val="00B413CD"/>
    <w:rsid w:val="00B46DA8"/>
    <w:rsid w:val="00B51A03"/>
    <w:rsid w:val="00B51F32"/>
    <w:rsid w:val="00B52753"/>
    <w:rsid w:val="00B549DC"/>
    <w:rsid w:val="00B5577F"/>
    <w:rsid w:val="00B55E57"/>
    <w:rsid w:val="00B55ED5"/>
    <w:rsid w:val="00B643B9"/>
    <w:rsid w:val="00B66438"/>
    <w:rsid w:val="00B66672"/>
    <w:rsid w:val="00B7099F"/>
    <w:rsid w:val="00B72AAD"/>
    <w:rsid w:val="00B820AD"/>
    <w:rsid w:val="00B843E7"/>
    <w:rsid w:val="00B96E48"/>
    <w:rsid w:val="00BA1C92"/>
    <w:rsid w:val="00BA33C8"/>
    <w:rsid w:val="00BA7D18"/>
    <w:rsid w:val="00BB0999"/>
    <w:rsid w:val="00BB0CAC"/>
    <w:rsid w:val="00BC6678"/>
    <w:rsid w:val="00BD081E"/>
    <w:rsid w:val="00BD1EE6"/>
    <w:rsid w:val="00BD6578"/>
    <w:rsid w:val="00BE1E01"/>
    <w:rsid w:val="00BE393C"/>
    <w:rsid w:val="00BE3D28"/>
    <w:rsid w:val="00BE790C"/>
    <w:rsid w:val="00BE7D41"/>
    <w:rsid w:val="00BF1C7C"/>
    <w:rsid w:val="00BF51F1"/>
    <w:rsid w:val="00BF7A1C"/>
    <w:rsid w:val="00C002F6"/>
    <w:rsid w:val="00C0353B"/>
    <w:rsid w:val="00C0799F"/>
    <w:rsid w:val="00C220C8"/>
    <w:rsid w:val="00C24106"/>
    <w:rsid w:val="00C24523"/>
    <w:rsid w:val="00C24DCD"/>
    <w:rsid w:val="00C340FB"/>
    <w:rsid w:val="00C3690B"/>
    <w:rsid w:val="00C406CA"/>
    <w:rsid w:val="00C40C79"/>
    <w:rsid w:val="00C57928"/>
    <w:rsid w:val="00C70DE3"/>
    <w:rsid w:val="00C77B00"/>
    <w:rsid w:val="00C85C89"/>
    <w:rsid w:val="00C90F4C"/>
    <w:rsid w:val="00CA1BA2"/>
    <w:rsid w:val="00CC6BE3"/>
    <w:rsid w:val="00CE2B73"/>
    <w:rsid w:val="00CF5296"/>
    <w:rsid w:val="00D016BA"/>
    <w:rsid w:val="00D15D20"/>
    <w:rsid w:val="00D3312B"/>
    <w:rsid w:val="00D36884"/>
    <w:rsid w:val="00D41349"/>
    <w:rsid w:val="00D4320C"/>
    <w:rsid w:val="00D473F7"/>
    <w:rsid w:val="00D47B73"/>
    <w:rsid w:val="00D5108A"/>
    <w:rsid w:val="00D51683"/>
    <w:rsid w:val="00D5321E"/>
    <w:rsid w:val="00D533D1"/>
    <w:rsid w:val="00D5611E"/>
    <w:rsid w:val="00D637A7"/>
    <w:rsid w:val="00D6421F"/>
    <w:rsid w:val="00D763B8"/>
    <w:rsid w:val="00D811D4"/>
    <w:rsid w:val="00DA39C2"/>
    <w:rsid w:val="00DA3A0D"/>
    <w:rsid w:val="00DA5DAD"/>
    <w:rsid w:val="00DA68CA"/>
    <w:rsid w:val="00DA7E74"/>
    <w:rsid w:val="00DB01B7"/>
    <w:rsid w:val="00DB2FF9"/>
    <w:rsid w:val="00DB66FF"/>
    <w:rsid w:val="00DB7F4C"/>
    <w:rsid w:val="00DC5001"/>
    <w:rsid w:val="00DD0945"/>
    <w:rsid w:val="00DD488F"/>
    <w:rsid w:val="00DF227D"/>
    <w:rsid w:val="00DF69FF"/>
    <w:rsid w:val="00E02C60"/>
    <w:rsid w:val="00E156D3"/>
    <w:rsid w:val="00E210DB"/>
    <w:rsid w:val="00E360F9"/>
    <w:rsid w:val="00E41240"/>
    <w:rsid w:val="00E43029"/>
    <w:rsid w:val="00E43561"/>
    <w:rsid w:val="00E444FE"/>
    <w:rsid w:val="00E4515E"/>
    <w:rsid w:val="00E4750C"/>
    <w:rsid w:val="00E5481C"/>
    <w:rsid w:val="00E571D5"/>
    <w:rsid w:val="00E73507"/>
    <w:rsid w:val="00E82E4D"/>
    <w:rsid w:val="00E9400F"/>
    <w:rsid w:val="00E94021"/>
    <w:rsid w:val="00E96F88"/>
    <w:rsid w:val="00E97D8A"/>
    <w:rsid w:val="00EA08AD"/>
    <w:rsid w:val="00EA39CE"/>
    <w:rsid w:val="00EA4D6C"/>
    <w:rsid w:val="00EB5222"/>
    <w:rsid w:val="00EC1FA2"/>
    <w:rsid w:val="00EC42C7"/>
    <w:rsid w:val="00EC62C7"/>
    <w:rsid w:val="00ED2D7A"/>
    <w:rsid w:val="00ED5B14"/>
    <w:rsid w:val="00EE3326"/>
    <w:rsid w:val="00EE337E"/>
    <w:rsid w:val="00EE781F"/>
    <w:rsid w:val="00EF49DD"/>
    <w:rsid w:val="00F14E69"/>
    <w:rsid w:val="00F363EE"/>
    <w:rsid w:val="00F47445"/>
    <w:rsid w:val="00F61042"/>
    <w:rsid w:val="00F66D94"/>
    <w:rsid w:val="00F76186"/>
    <w:rsid w:val="00F80AEB"/>
    <w:rsid w:val="00F87168"/>
    <w:rsid w:val="00F96FE1"/>
    <w:rsid w:val="00FC0220"/>
    <w:rsid w:val="00FC5AC9"/>
    <w:rsid w:val="00FD38A6"/>
    <w:rsid w:val="00FF1200"/>
    <w:rsid w:val="00FF2867"/>
    <w:rsid w:val="00FF6466"/>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AFC9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0CD3"/>
    <w:pPr>
      <w:spacing w:after="160" w:line="259" w:lineRule="auto"/>
    </w:pPr>
    <w:rPr>
      <w:lang w:eastAsia="en-US"/>
    </w:rPr>
  </w:style>
  <w:style w:type="paragraph" w:styleId="1">
    <w:name w:val="heading 1"/>
    <w:basedOn w:val="a"/>
    <w:next w:val="a"/>
    <w:link w:val="1Char"/>
    <w:uiPriority w:val="99"/>
    <w:qFormat/>
    <w:locked/>
    <w:rsid w:val="0024088A"/>
    <w:pPr>
      <w:keepNext/>
      <w:keepLines/>
      <w:spacing w:before="240" w:after="0"/>
      <w:outlineLvl w:val="0"/>
    </w:pPr>
    <w:rPr>
      <w:rFonts w:ascii="Cambria" w:hAnsi="Cambria"/>
      <w:color w:val="365F91"/>
      <w:sz w:val="32"/>
      <w:szCs w:val="32"/>
    </w:rPr>
  </w:style>
  <w:style w:type="paragraph" w:styleId="2">
    <w:name w:val="heading 2"/>
    <w:basedOn w:val="a"/>
    <w:link w:val="2Char"/>
    <w:uiPriority w:val="99"/>
    <w:qFormat/>
    <w:rsid w:val="003B462F"/>
    <w:pPr>
      <w:spacing w:before="100" w:beforeAutospacing="1" w:after="100" w:afterAutospacing="1" w:line="240" w:lineRule="auto"/>
      <w:outlineLvl w:val="1"/>
    </w:pPr>
    <w:rPr>
      <w:rFonts w:ascii="Times New Roman" w:hAnsi="Times New Roman"/>
      <w:b/>
      <w:bCs/>
      <w:sz w:val="36"/>
      <w:szCs w:val="36"/>
      <w:lang w:eastAsia="de-D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24088A"/>
    <w:rPr>
      <w:rFonts w:ascii="Cambria" w:hAnsi="Cambria"/>
      <w:color w:val="365F91"/>
      <w:sz w:val="32"/>
      <w:lang w:eastAsia="en-US"/>
    </w:rPr>
  </w:style>
  <w:style w:type="character" w:customStyle="1" w:styleId="2Char">
    <w:name w:val="标题 2 Char"/>
    <w:basedOn w:val="a0"/>
    <w:link w:val="2"/>
    <w:uiPriority w:val="99"/>
    <w:locked/>
    <w:rsid w:val="003B462F"/>
    <w:rPr>
      <w:rFonts w:ascii="Times New Roman" w:hAnsi="Times New Roman"/>
      <w:b/>
      <w:sz w:val="36"/>
      <w:lang w:eastAsia="de-DE"/>
    </w:rPr>
  </w:style>
  <w:style w:type="paragraph" w:styleId="a3">
    <w:name w:val="header"/>
    <w:basedOn w:val="a"/>
    <w:link w:val="Char"/>
    <w:uiPriority w:val="99"/>
    <w:rsid w:val="00CC6BE3"/>
    <w:pPr>
      <w:tabs>
        <w:tab w:val="center" w:pos="4536"/>
        <w:tab w:val="right" w:pos="9072"/>
      </w:tabs>
      <w:spacing w:after="0" w:line="240" w:lineRule="auto"/>
    </w:pPr>
    <w:rPr>
      <w:sz w:val="20"/>
      <w:szCs w:val="20"/>
      <w:lang w:eastAsia="ja-JP"/>
    </w:rPr>
  </w:style>
  <w:style w:type="character" w:customStyle="1" w:styleId="Char">
    <w:name w:val="页眉 Char"/>
    <w:basedOn w:val="a0"/>
    <w:link w:val="a3"/>
    <w:uiPriority w:val="99"/>
    <w:locked/>
    <w:rsid w:val="00CC6BE3"/>
  </w:style>
  <w:style w:type="paragraph" w:styleId="a4">
    <w:name w:val="footer"/>
    <w:basedOn w:val="a"/>
    <w:link w:val="Char0"/>
    <w:uiPriority w:val="99"/>
    <w:rsid w:val="00CC6BE3"/>
    <w:pPr>
      <w:tabs>
        <w:tab w:val="center" w:pos="4536"/>
        <w:tab w:val="right" w:pos="9072"/>
      </w:tabs>
      <w:spacing w:after="0" w:line="240" w:lineRule="auto"/>
    </w:pPr>
    <w:rPr>
      <w:sz w:val="20"/>
      <w:szCs w:val="20"/>
      <w:lang w:eastAsia="ja-JP"/>
    </w:rPr>
  </w:style>
  <w:style w:type="character" w:customStyle="1" w:styleId="Char0">
    <w:name w:val="页脚 Char"/>
    <w:basedOn w:val="a0"/>
    <w:link w:val="a4"/>
    <w:uiPriority w:val="99"/>
    <w:locked/>
    <w:rsid w:val="00CC6BE3"/>
  </w:style>
  <w:style w:type="paragraph" w:styleId="a5">
    <w:name w:val="Normal (Web)"/>
    <w:basedOn w:val="a"/>
    <w:uiPriority w:val="99"/>
    <w:semiHidden/>
    <w:rsid w:val="008E1523"/>
    <w:pPr>
      <w:spacing w:before="100" w:beforeAutospacing="1" w:after="100" w:afterAutospacing="1" w:line="240" w:lineRule="auto"/>
    </w:pPr>
    <w:rPr>
      <w:rFonts w:ascii="Times New Roman" w:hAnsi="Times New Roman"/>
      <w:sz w:val="24"/>
      <w:szCs w:val="24"/>
      <w:lang w:eastAsia="de-DE"/>
    </w:rPr>
  </w:style>
  <w:style w:type="character" w:styleId="a6">
    <w:name w:val="Hyperlink"/>
    <w:basedOn w:val="a0"/>
    <w:uiPriority w:val="99"/>
    <w:rsid w:val="00AF274D"/>
    <w:rPr>
      <w:rFonts w:cs="Times New Roman"/>
      <w:color w:val="0563C1"/>
      <w:u w:val="single"/>
    </w:rPr>
  </w:style>
  <w:style w:type="table" w:styleId="a7">
    <w:name w:val="Table Grid"/>
    <w:basedOn w:val="a1"/>
    <w:uiPriority w:val="99"/>
    <w:rsid w:val="000F2D1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99"/>
    <w:qFormat/>
    <w:rsid w:val="000F2D1D"/>
    <w:pPr>
      <w:ind w:left="720"/>
      <w:contextualSpacing/>
    </w:pPr>
  </w:style>
  <w:style w:type="paragraph" w:styleId="a9">
    <w:name w:val="Body Text"/>
    <w:basedOn w:val="a"/>
    <w:link w:val="Char1"/>
    <w:uiPriority w:val="99"/>
    <w:rsid w:val="000F2D1D"/>
    <w:pPr>
      <w:widowControl w:val="0"/>
      <w:suppressAutoHyphens/>
      <w:spacing w:after="140" w:line="288" w:lineRule="auto"/>
    </w:pPr>
    <w:rPr>
      <w:rFonts w:ascii="Liberation Serif" w:hAnsi="Liberation Serif" w:cs="Mangal"/>
      <w:sz w:val="24"/>
      <w:szCs w:val="24"/>
      <w:lang w:eastAsia="zh-CN" w:bidi="hi-IN"/>
    </w:rPr>
  </w:style>
  <w:style w:type="character" w:customStyle="1" w:styleId="Char1">
    <w:name w:val="正文文本 Char"/>
    <w:basedOn w:val="a0"/>
    <w:link w:val="a9"/>
    <w:uiPriority w:val="99"/>
    <w:locked/>
    <w:rsid w:val="000F2D1D"/>
    <w:rPr>
      <w:rFonts w:ascii="Liberation Serif" w:eastAsia="宋体" w:hAnsi="Liberation Serif"/>
      <w:sz w:val="24"/>
      <w:lang w:eastAsia="zh-CN"/>
    </w:rPr>
  </w:style>
  <w:style w:type="paragraph" w:customStyle="1" w:styleId="TabellenInhalt">
    <w:name w:val="Tabellen Inhalt"/>
    <w:basedOn w:val="a"/>
    <w:uiPriority w:val="99"/>
    <w:rsid w:val="000F2D1D"/>
    <w:pPr>
      <w:widowControl w:val="0"/>
      <w:suppressLineNumbers/>
      <w:suppressAutoHyphens/>
      <w:spacing w:after="0" w:line="240" w:lineRule="auto"/>
    </w:pPr>
    <w:rPr>
      <w:rFonts w:ascii="Liberation Serif" w:hAnsi="Liberation Serif" w:cs="Mangal"/>
      <w:sz w:val="24"/>
      <w:szCs w:val="24"/>
      <w:lang w:eastAsia="zh-CN" w:bidi="hi-IN"/>
    </w:rPr>
  </w:style>
  <w:style w:type="paragraph" w:styleId="aa">
    <w:name w:val="Balloon Text"/>
    <w:basedOn w:val="a"/>
    <w:link w:val="Char2"/>
    <w:uiPriority w:val="99"/>
    <w:semiHidden/>
    <w:rsid w:val="00C24523"/>
    <w:pPr>
      <w:spacing w:after="0" w:line="240" w:lineRule="auto"/>
    </w:pPr>
    <w:rPr>
      <w:rFonts w:ascii="Tahoma" w:hAnsi="Tahoma"/>
      <w:sz w:val="16"/>
      <w:szCs w:val="16"/>
    </w:rPr>
  </w:style>
  <w:style w:type="character" w:customStyle="1" w:styleId="Char2">
    <w:name w:val="批注框文本 Char"/>
    <w:basedOn w:val="a0"/>
    <w:link w:val="aa"/>
    <w:uiPriority w:val="99"/>
    <w:semiHidden/>
    <w:locked/>
    <w:rsid w:val="00C24523"/>
    <w:rPr>
      <w:rFonts w:ascii="Tahoma" w:hAnsi="Tahoma"/>
      <w:sz w:val="16"/>
      <w:lang w:eastAsia="en-US"/>
    </w:rPr>
  </w:style>
  <w:style w:type="character" w:styleId="ab">
    <w:name w:val="annotation reference"/>
    <w:basedOn w:val="a0"/>
    <w:uiPriority w:val="99"/>
    <w:semiHidden/>
    <w:rsid w:val="00C24523"/>
    <w:rPr>
      <w:rFonts w:cs="Times New Roman"/>
      <w:sz w:val="16"/>
    </w:rPr>
  </w:style>
  <w:style w:type="paragraph" w:styleId="ac">
    <w:name w:val="annotation text"/>
    <w:basedOn w:val="a"/>
    <w:link w:val="Char3"/>
    <w:uiPriority w:val="99"/>
    <w:rsid w:val="00C24523"/>
    <w:pPr>
      <w:spacing w:line="240" w:lineRule="auto"/>
    </w:pPr>
    <w:rPr>
      <w:sz w:val="20"/>
      <w:szCs w:val="20"/>
    </w:rPr>
  </w:style>
  <w:style w:type="character" w:customStyle="1" w:styleId="Char3">
    <w:name w:val="批注文字 Char"/>
    <w:basedOn w:val="a0"/>
    <w:link w:val="ac"/>
    <w:uiPriority w:val="99"/>
    <w:locked/>
    <w:rsid w:val="00C24523"/>
    <w:rPr>
      <w:sz w:val="20"/>
      <w:lang w:eastAsia="en-US"/>
    </w:rPr>
  </w:style>
  <w:style w:type="paragraph" w:styleId="ad">
    <w:name w:val="annotation subject"/>
    <w:basedOn w:val="ac"/>
    <w:next w:val="ac"/>
    <w:link w:val="Char4"/>
    <w:uiPriority w:val="99"/>
    <w:semiHidden/>
    <w:rsid w:val="00C24523"/>
    <w:rPr>
      <w:b/>
      <w:bCs/>
    </w:rPr>
  </w:style>
  <w:style w:type="character" w:customStyle="1" w:styleId="Char4">
    <w:name w:val="批注主题 Char"/>
    <w:basedOn w:val="Char3"/>
    <w:link w:val="ad"/>
    <w:uiPriority w:val="99"/>
    <w:semiHidden/>
    <w:locked/>
    <w:rsid w:val="00C24523"/>
    <w:rPr>
      <w:b/>
      <w:sz w:val="20"/>
      <w:lang w:eastAsia="en-US"/>
    </w:rPr>
  </w:style>
  <w:style w:type="character" w:customStyle="1" w:styleId="nlmon-behalf-of">
    <w:name w:val="nlm_on-behalf-of"/>
    <w:uiPriority w:val="99"/>
    <w:rsid w:val="0024088A"/>
  </w:style>
  <w:style w:type="paragraph" w:customStyle="1" w:styleId="citationline">
    <w:name w:val="citationline"/>
    <w:basedOn w:val="a"/>
    <w:uiPriority w:val="99"/>
    <w:rsid w:val="0024088A"/>
    <w:pPr>
      <w:spacing w:before="100" w:beforeAutospacing="1" w:after="100" w:afterAutospacing="1" w:line="240" w:lineRule="auto"/>
    </w:pPr>
    <w:rPr>
      <w:rFonts w:ascii="Times New Roman" w:hAnsi="Times New Roman"/>
      <w:sz w:val="24"/>
      <w:szCs w:val="24"/>
      <w:lang w:eastAsia="de-DE"/>
    </w:rPr>
  </w:style>
  <w:style w:type="character" w:customStyle="1" w:styleId="citation">
    <w:name w:val="citation"/>
    <w:uiPriority w:val="99"/>
    <w:rsid w:val="0024088A"/>
  </w:style>
  <w:style w:type="character" w:customStyle="1" w:styleId="doi">
    <w:name w:val="doi"/>
    <w:uiPriority w:val="99"/>
    <w:rsid w:val="0024088A"/>
  </w:style>
  <w:style w:type="character" w:styleId="ae">
    <w:name w:val="FollowedHyperlink"/>
    <w:uiPriority w:val="99"/>
    <w:semiHidden/>
    <w:unhideWhenUsed/>
    <w:rsid w:val="009B4AD9"/>
    <w:rPr>
      <w:color w:val="800080"/>
      <w:u w:val="single"/>
    </w:rPr>
  </w:style>
  <w:style w:type="character" w:customStyle="1" w:styleId="highlight">
    <w:name w:val="highlight"/>
    <w:rsid w:val="009B4AD9"/>
  </w:style>
  <w:style w:type="character" w:customStyle="1" w:styleId="name">
    <w:name w:val="name"/>
    <w:rsid w:val="009B4AD9"/>
  </w:style>
  <w:style w:type="character" w:customStyle="1" w:styleId="contrib-degrees">
    <w:name w:val="contrib-degrees"/>
    <w:rsid w:val="009B4AD9"/>
  </w:style>
  <w:style w:type="character" w:customStyle="1" w:styleId="xref-sep">
    <w:name w:val="xref-sep"/>
    <w:rsid w:val="009B4AD9"/>
  </w:style>
  <w:style w:type="character" w:customStyle="1" w:styleId="apple-converted-space">
    <w:name w:val="apple-converted-space"/>
    <w:basedOn w:val="a0"/>
    <w:rsid w:val="00845A83"/>
  </w:style>
  <w:style w:type="character" w:customStyle="1" w:styleId="jrnl">
    <w:name w:val="jrnl"/>
    <w:basedOn w:val="a0"/>
    <w:rsid w:val="00845A83"/>
  </w:style>
  <w:style w:type="character" w:styleId="af">
    <w:name w:val="Emphasis"/>
    <w:qFormat/>
    <w:locked/>
    <w:rsid w:val="00F96FE1"/>
    <w:rPr>
      <w:rFonts w:ascii="Book Antiqua" w:hAnsi="Book Antiqua"/>
      <w:iC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0CD3"/>
    <w:pPr>
      <w:spacing w:after="160" w:line="259" w:lineRule="auto"/>
    </w:pPr>
    <w:rPr>
      <w:lang w:eastAsia="en-US"/>
    </w:rPr>
  </w:style>
  <w:style w:type="paragraph" w:styleId="1">
    <w:name w:val="heading 1"/>
    <w:basedOn w:val="a"/>
    <w:next w:val="a"/>
    <w:link w:val="1Char"/>
    <w:uiPriority w:val="99"/>
    <w:qFormat/>
    <w:locked/>
    <w:rsid w:val="0024088A"/>
    <w:pPr>
      <w:keepNext/>
      <w:keepLines/>
      <w:spacing w:before="240" w:after="0"/>
      <w:outlineLvl w:val="0"/>
    </w:pPr>
    <w:rPr>
      <w:rFonts w:ascii="Cambria" w:hAnsi="Cambria"/>
      <w:color w:val="365F91"/>
      <w:sz w:val="32"/>
      <w:szCs w:val="32"/>
    </w:rPr>
  </w:style>
  <w:style w:type="paragraph" w:styleId="2">
    <w:name w:val="heading 2"/>
    <w:basedOn w:val="a"/>
    <w:link w:val="2Char"/>
    <w:uiPriority w:val="99"/>
    <w:qFormat/>
    <w:rsid w:val="003B462F"/>
    <w:pPr>
      <w:spacing w:before="100" w:beforeAutospacing="1" w:after="100" w:afterAutospacing="1" w:line="240" w:lineRule="auto"/>
      <w:outlineLvl w:val="1"/>
    </w:pPr>
    <w:rPr>
      <w:rFonts w:ascii="Times New Roman" w:hAnsi="Times New Roman"/>
      <w:b/>
      <w:bCs/>
      <w:sz w:val="36"/>
      <w:szCs w:val="36"/>
      <w:lang w:eastAsia="de-D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24088A"/>
    <w:rPr>
      <w:rFonts w:ascii="Cambria" w:hAnsi="Cambria"/>
      <w:color w:val="365F91"/>
      <w:sz w:val="32"/>
      <w:lang w:eastAsia="en-US"/>
    </w:rPr>
  </w:style>
  <w:style w:type="character" w:customStyle="1" w:styleId="2Char">
    <w:name w:val="标题 2 Char"/>
    <w:basedOn w:val="a0"/>
    <w:link w:val="2"/>
    <w:uiPriority w:val="99"/>
    <w:locked/>
    <w:rsid w:val="003B462F"/>
    <w:rPr>
      <w:rFonts w:ascii="Times New Roman" w:hAnsi="Times New Roman"/>
      <w:b/>
      <w:sz w:val="36"/>
      <w:lang w:eastAsia="de-DE"/>
    </w:rPr>
  </w:style>
  <w:style w:type="paragraph" w:styleId="a3">
    <w:name w:val="header"/>
    <w:basedOn w:val="a"/>
    <w:link w:val="Char"/>
    <w:uiPriority w:val="99"/>
    <w:rsid w:val="00CC6BE3"/>
    <w:pPr>
      <w:tabs>
        <w:tab w:val="center" w:pos="4536"/>
        <w:tab w:val="right" w:pos="9072"/>
      </w:tabs>
      <w:spacing w:after="0" w:line="240" w:lineRule="auto"/>
    </w:pPr>
    <w:rPr>
      <w:sz w:val="20"/>
      <w:szCs w:val="20"/>
      <w:lang w:eastAsia="ja-JP"/>
    </w:rPr>
  </w:style>
  <w:style w:type="character" w:customStyle="1" w:styleId="Char">
    <w:name w:val="页眉 Char"/>
    <w:basedOn w:val="a0"/>
    <w:link w:val="a3"/>
    <w:uiPriority w:val="99"/>
    <w:locked/>
    <w:rsid w:val="00CC6BE3"/>
  </w:style>
  <w:style w:type="paragraph" w:styleId="a4">
    <w:name w:val="footer"/>
    <w:basedOn w:val="a"/>
    <w:link w:val="Char0"/>
    <w:uiPriority w:val="99"/>
    <w:rsid w:val="00CC6BE3"/>
    <w:pPr>
      <w:tabs>
        <w:tab w:val="center" w:pos="4536"/>
        <w:tab w:val="right" w:pos="9072"/>
      </w:tabs>
      <w:spacing w:after="0" w:line="240" w:lineRule="auto"/>
    </w:pPr>
    <w:rPr>
      <w:sz w:val="20"/>
      <w:szCs w:val="20"/>
      <w:lang w:eastAsia="ja-JP"/>
    </w:rPr>
  </w:style>
  <w:style w:type="character" w:customStyle="1" w:styleId="Char0">
    <w:name w:val="页脚 Char"/>
    <w:basedOn w:val="a0"/>
    <w:link w:val="a4"/>
    <w:uiPriority w:val="99"/>
    <w:locked/>
    <w:rsid w:val="00CC6BE3"/>
  </w:style>
  <w:style w:type="paragraph" w:styleId="a5">
    <w:name w:val="Normal (Web)"/>
    <w:basedOn w:val="a"/>
    <w:uiPriority w:val="99"/>
    <w:semiHidden/>
    <w:rsid w:val="008E1523"/>
    <w:pPr>
      <w:spacing w:before="100" w:beforeAutospacing="1" w:after="100" w:afterAutospacing="1" w:line="240" w:lineRule="auto"/>
    </w:pPr>
    <w:rPr>
      <w:rFonts w:ascii="Times New Roman" w:hAnsi="Times New Roman"/>
      <w:sz w:val="24"/>
      <w:szCs w:val="24"/>
      <w:lang w:eastAsia="de-DE"/>
    </w:rPr>
  </w:style>
  <w:style w:type="character" w:styleId="a6">
    <w:name w:val="Hyperlink"/>
    <w:basedOn w:val="a0"/>
    <w:uiPriority w:val="99"/>
    <w:rsid w:val="00AF274D"/>
    <w:rPr>
      <w:rFonts w:cs="Times New Roman"/>
      <w:color w:val="0563C1"/>
      <w:u w:val="single"/>
    </w:rPr>
  </w:style>
  <w:style w:type="table" w:styleId="a7">
    <w:name w:val="Table Grid"/>
    <w:basedOn w:val="a1"/>
    <w:uiPriority w:val="99"/>
    <w:rsid w:val="000F2D1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99"/>
    <w:qFormat/>
    <w:rsid w:val="000F2D1D"/>
    <w:pPr>
      <w:ind w:left="720"/>
      <w:contextualSpacing/>
    </w:pPr>
  </w:style>
  <w:style w:type="paragraph" w:styleId="a9">
    <w:name w:val="Body Text"/>
    <w:basedOn w:val="a"/>
    <w:link w:val="Char1"/>
    <w:uiPriority w:val="99"/>
    <w:rsid w:val="000F2D1D"/>
    <w:pPr>
      <w:widowControl w:val="0"/>
      <w:suppressAutoHyphens/>
      <w:spacing w:after="140" w:line="288" w:lineRule="auto"/>
    </w:pPr>
    <w:rPr>
      <w:rFonts w:ascii="Liberation Serif" w:hAnsi="Liberation Serif" w:cs="Mangal"/>
      <w:sz w:val="24"/>
      <w:szCs w:val="24"/>
      <w:lang w:eastAsia="zh-CN" w:bidi="hi-IN"/>
    </w:rPr>
  </w:style>
  <w:style w:type="character" w:customStyle="1" w:styleId="Char1">
    <w:name w:val="正文文本 Char"/>
    <w:basedOn w:val="a0"/>
    <w:link w:val="a9"/>
    <w:uiPriority w:val="99"/>
    <w:locked/>
    <w:rsid w:val="000F2D1D"/>
    <w:rPr>
      <w:rFonts w:ascii="Liberation Serif" w:eastAsia="宋体" w:hAnsi="Liberation Serif"/>
      <w:sz w:val="24"/>
      <w:lang w:eastAsia="zh-CN"/>
    </w:rPr>
  </w:style>
  <w:style w:type="paragraph" w:customStyle="1" w:styleId="TabellenInhalt">
    <w:name w:val="Tabellen Inhalt"/>
    <w:basedOn w:val="a"/>
    <w:uiPriority w:val="99"/>
    <w:rsid w:val="000F2D1D"/>
    <w:pPr>
      <w:widowControl w:val="0"/>
      <w:suppressLineNumbers/>
      <w:suppressAutoHyphens/>
      <w:spacing w:after="0" w:line="240" w:lineRule="auto"/>
    </w:pPr>
    <w:rPr>
      <w:rFonts w:ascii="Liberation Serif" w:hAnsi="Liberation Serif" w:cs="Mangal"/>
      <w:sz w:val="24"/>
      <w:szCs w:val="24"/>
      <w:lang w:eastAsia="zh-CN" w:bidi="hi-IN"/>
    </w:rPr>
  </w:style>
  <w:style w:type="paragraph" w:styleId="aa">
    <w:name w:val="Balloon Text"/>
    <w:basedOn w:val="a"/>
    <w:link w:val="Char2"/>
    <w:uiPriority w:val="99"/>
    <w:semiHidden/>
    <w:rsid w:val="00C24523"/>
    <w:pPr>
      <w:spacing w:after="0" w:line="240" w:lineRule="auto"/>
    </w:pPr>
    <w:rPr>
      <w:rFonts w:ascii="Tahoma" w:hAnsi="Tahoma"/>
      <w:sz w:val="16"/>
      <w:szCs w:val="16"/>
    </w:rPr>
  </w:style>
  <w:style w:type="character" w:customStyle="1" w:styleId="Char2">
    <w:name w:val="批注框文本 Char"/>
    <w:basedOn w:val="a0"/>
    <w:link w:val="aa"/>
    <w:uiPriority w:val="99"/>
    <w:semiHidden/>
    <w:locked/>
    <w:rsid w:val="00C24523"/>
    <w:rPr>
      <w:rFonts w:ascii="Tahoma" w:hAnsi="Tahoma"/>
      <w:sz w:val="16"/>
      <w:lang w:eastAsia="en-US"/>
    </w:rPr>
  </w:style>
  <w:style w:type="character" w:styleId="ab">
    <w:name w:val="annotation reference"/>
    <w:basedOn w:val="a0"/>
    <w:uiPriority w:val="99"/>
    <w:semiHidden/>
    <w:rsid w:val="00C24523"/>
    <w:rPr>
      <w:rFonts w:cs="Times New Roman"/>
      <w:sz w:val="16"/>
    </w:rPr>
  </w:style>
  <w:style w:type="paragraph" w:styleId="ac">
    <w:name w:val="annotation text"/>
    <w:basedOn w:val="a"/>
    <w:link w:val="Char3"/>
    <w:uiPriority w:val="99"/>
    <w:rsid w:val="00C24523"/>
    <w:pPr>
      <w:spacing w:line="240" w:lineRule="auto"/>
    </w:pPr>
    <w:rPr>
      <w:sz w:val="20"/>
      <w:szCs w:val="20"/>
    </w:rPr>
  </w:style>
  <w:style w:type="character" w:customStyle="1" w:styleId="Char3">
    <w:name w:val="批注文字 Char"/>
    <w:basedOn w:val="a0"/>
    <w:link w:val="ac"/>
    <w:uiPriority w:val="99"/>
    <w:locked/>
    <w:rsid w:val="00C24523"/>
    <w:rPr>
      <w:sz w:val="20"/>
      <w:lang w:eastAsia="en-US"/>
    </w:rPr>
  </w:style>
  <w:style w:type="paragraph" w:styleId="ad">
    <w:name w:val="annotation subject"/>
    <w:basedOn w:val="ac"/>
    <w:next w:val="ac"/>
    <w:link w:val="Char4"/>
    <w:uiPriority w:val="99"/>
    <w:semiHidden/>
    <w:rsid w:val="00C24523"/>
    <w:rPr>
      <w:b/>
      <w:bCs/>
    </w:rPr>
  </w:style>
  <w:style w:type="character" w:customStyle="1" w:styleId="Char4">
    <w:name w:val="批注主题 Char"/>
    <w:basedOn w:val="Char3"/>
    <w:link w:val="ad"/>
    <w:uiPriority w:val="99"/>
    <w:semiHidden/>
    <w:locked/>
    <w:rsid w:val="00C24523"/>
    <w:rPr>
      <w:b/>
      <w:sz w:val="20"/>
      <w:lang w:eastAsia="en-US"/>
    </w:rPr>
  </w:style>
  <w:style w:type="character" w:customStyle="1" w:styleId="nlmon-behalf-of">
    <w:name w:val="nlm_on-behalf-of"/>
    <w:uiPriority w:val="99"/>
    <w:rsid w:val="0024088A"/>
  </w:style>
  <w:style w:type="paragraph" w:customStyle="1" w:styleId="citationline">
    <w:name w:val="citationline"/>
    <w:basedOn w:val="a"/>
    <w:uiPriority w:val="99"/>
    <w:rsid w:val="0024088A"/>
    <w:pPr>
      <w:spacing w:before="100" w:beforeAutospacing="1" w:after="100" w:afterAutospacing="1" w:line="240" w:lineRule="auto"/>
    </w:pPr>
    <w:rPr>
      <w:rFonts w:ascii="Times New Roman" w:hAnsi="Times New Roman"/>
      <w:sz w:val="24"/>
      <w:szCs w:val="24"/>
      <w:lang w:eastAsia="de-DE"/>
    </w:rPr>
  </w:style>
  <w:style w:type="character" w:customStyle="1" w:styleId="citation">
    <w:name w:val="citation"/>
    <w:uiPriority w:val="99"/>
    <w:rsid w:val="0024088A"/>
  </w:style>
  <w:style w:type="character" w:customStyle="1" w:styleId="doi">
    <w:name w:val="doi"/>
    <w:uiPriority w:val="99"/>
    <w:rsid w:val="0024088A"/>
  </w:style>
  <w:style w:type="character" w:styleId="ae">
    <w:name w:val="FollowedHyperlink"/>
    <w:uiPriority w:val="99"/>
    <w:semiHidden/>
    <w:unhideWhenUsed/>
    <w:rsid w:val="009B4AD9"/>
    <w:rPr>
      <w:color w:val="800080"/>
      <w:u w:val="single"/>
    </w:rPr>
  </w:style>
  <w:style w:type="character" w:customStyle="1" w:styleId="highlight">
    <w:name w:val="highlight"/>
    <w:rsid w:val="009B4AD9"/>
  </w:style>
  <w:style w:type="character" w:customStyle="1" w:styleId="name">
    <w:name w:val="name"/>
    <w:rsid w:val="009B4AD9"/>
  </w:style>
  <w:style w:type="character" w:customStyle="1" w:styleId="contrib-degrees">
    <w:name w:val="contrib-degrees"/>
    <w:rsid w:val="009B4AD9"/>
  </w:style>
  <w:style w:type="character" w:customStyle="1" w:styleId="xref-sep">
    <w:name w:val="xref-sep"/>
    <w:rsid w:val="009B4AD9"/>
  </w:style>
  <w:style w:type="character" w:customStyle="1" w:styleId="apple-converted-space">
    <w:name w:val="apple-converted-space"/>
    <w:basedOn w:val="a0"/>
    <w:rsid w:val="00845A83"/>
  </w:style>
  <w:style w:type="character" w:customStyle="1" w:styleId="jrnl">
    <w:name w:val="jrnl"/>
    <w:basedOn w:val="a0"/>
    <w:rsid w:val="00845A83"/>
  </w:style>
  <w:style w:type="character" w:styleId="af">
    <w:name w:val="Emphasis"/>
    <w:qFormat/>
    <w:locked/>
    <w:rsid w:val="00F96FE1"/>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549774">
      <w:bodyDiv w:val="1"/>
      <w:marLeft w:val="0"/>
      <w:marRight w:val="0"/>
      <w:marTop w:val="0"/>
      <w:marBottom w:val="0"/>
      <w:divBdr>
        <w:top w:val="none" w:sz="0" w:space="0" w:color="auto"/>
        <w:left w:val="none" w:sz="0" w:space="0" w:color="auto"/>
        <w:bottom w:val="none" w:sz="0" w:space="0" w:color="auto"/>
        <w:right w:val="none" w:sz="0" w:space="0" w:color="auto"/>
      </w:divBdr>
    </w:div>
    <w:div w:id="751781350">
      <w:marLeft w:val="0"/>
      <w:marRight w:val="0"/>
      <w:marTop w:val="0"/>
      <w:marBottom w:val="0"/>
      <w:divBdr>
        <w:top w:val="none" w:sz="0" w:space="0" w:color="auto"/>
        <w:left w:val="none" w:sz="0" w:space="0" w:color="auto"/>
        <w:bottom w:val="none" w:sz="0" w:space="0" w:color="auto"/>
        <w:right w:val="none" w:sz="0" w:space="0" w:color="auto"/>
      </w:divBdr>
    </w:div>
    <w:div w:id="751781351">
      <w:marLeft w:val="0"/>
      <w:marRight w:val="0"/>
      <w:marTop w:val="0"/>
      <w:marBottom w:val="0"/>
      <w:divBdr>
        <w:top w:val="none" w:sz="0" w:space="0" w:color="auto"/>
        <w:left w:val="none" w:sz="0" w:space="0" w:color="auto"/>
        <w:bottom w:val="none" w:sz="0" w:space="0" w:color="auto"/>
        <w:right w:val="none" w:sz="0" w:space="0" w:color="auto"/>
      </w:divBdr>
    </w:div>
    <w:div w:id="751781352">
      <w:marLeft w:val="0"/>
      <w:marRight w:val="0"/>
      <w:marTop w:val="0"/>
      <w:marBottom w:val="0"/>
      <w:divBdr>
        <w:top w:val="none" w:sz="0" w:space="0" w:color="auto"/>
        <w:left w:val="none" w:sz="0" w:space="0" w:color="auto"/>
        <w:bottom w:val="none" w:sz="0" w:space="0" w:color="auto"/>
        <w:right w:val="none" w:sz="0" w:space="0" w:color="auto"/>
      </w:divBdr>
    </w:div>
    <w:div w:id="751781353">
      <w:marLeft w:val="0"/>
      <w:marRight w:val="0"/>
      <w:marTop w:val="0"/>
      <w:marBottom w:val="0"/>
      <w:divBdr>
        <w:top w:val="none" w:sz="0" w:space="0" w:color="auto"/>
        <w:left w:val="none" w:sz="0" w:space="0" w:color="auto"/>
        <w:bottom w:val="none" w:sz="0" w:space="0" w:color="auto"/>
        <w:right w:val="none" w:sz="0" w:space="0" w:color="auto"/>
      </w:divBdr>
    </w:div>
    <w:div w:id="751781354">
      <w:marLeft w:val="0"/>
      <w:marRight w:val="0"/>
      <w:marTop w:val="0"/>
      <w:marBottom w:val="0"/>
      <w:divBdr>
        <w:top w:val="none" w:sz="0" w:space="0" w:color="auto"/>
        <w:left w:val="none" w:sz="0" w:space="0" w:color="auto"/>
        <w:bottom w:val="none" w:sz="0" w:space="0" w:color="auto"/>
        <w:right w:val="none" w:sz="0" w:space="0" w:color="auto"/>
      </w:divBdr>
    </w:div>
    <w:div w:id="751781355">
      <w:marLeft w:val="0"/>
      <w:marRight w:val="0"/>
      <w:marTop w:val="0"/>
      <w:marBottom w:val="0"/>
      <w:divBdr>
        <w:top w:val="none" w:sz="0" w:space="0" w:color="auto"/>
        <w:left w:val="none" w:sz="0" w:space="0" w:color="auto"/>
        <w:bottom w:val="none" w:sz="0" w:space="0" w:color="auto"/>
        <w:right w:val="none" w:sz="0" w:space="0" w:color="auto"/>
      </w:divBdr>
    </w:div>
    <w:div w:id="751781356">
      <w:marLeft w:val="0"/>
      <w:marRight w:val="0"/>
      <w:marTop w:val="0"/>
      <w:marBottom w:val="0"/>
      <w:divBdr>
        <w:top w:val="none" w:sz="0" w:space="0" w:color="auto"/>
        <w:left w:val="none" w:sz="0" w:space="0" w:color="auto"/>
        <w:bottom w:val="none" w:sz="0" w:space="0" w:color="auto"/>
        <w:right w:val="none" w:sz="0" w:space="0" w:color="auto"/>
      </w:divBdr>
    </w:div>
    <w:div w:id="751781357">
      <w:marLeft w:val="0"/>
      <w:marRight w:val="0"/>
      <w:marTop w:val="0"/>
      <w:marBottom w:val="0"/>
      <w:divBdr>
        <w:top w:val="none" w:sz="0" w:space="0" w:color="auto"/>
        <w:left w:val="none" w:sz="0" w:space="0" w:color="auto"/>
        <w:bottom w:val="none" w:sz="0" w:space="0" w:color="auto"/>
        <w:right w:val="none" w:sz="0" w:space="0" w:color="auto"/>
      </w:divBdr>
    </w:div>
    <w:div w:id="751781358">
      <w:marLeft w:val="0"/>
      <w:marRight w:val="0"/>
      <w:marTop w:val="0"/>
      <w:marBottom w:val="0"/>
      <w:divBdr>
        <w:top w:val="none" w:sz="0" w:space="0" w:color="auto"/>
        <w:left w:val="none" w:sz="0" w:space="0" w:color="auto"/>
        <w:bottom w:val="none" w:sz="0" w:space="0" w:color="auto"/>
        <w:right w:val="none" w:sz="0" w:space="0" w:color="auto"/>
      </w:divBdr>
    </w:div>
    <w:div w:id="751781359">
      <w:marLeft w:val="0"/>
      <w:marRight w:val="0"/>
      <w:marTop w:val="0"/>
      <w:marBottom w:val="0"/>
      <w:divBdr>
        <w:top w:val="none" w:sz="0" w:space="0" w:color="auto"/>
        <w:left w:val="none" w:sz="0" w:space="0" w:color="auto"/>
        <w:bottom w:val="none" w:sz="0" w:space="0" w:color="auto"/>
        <w:right w:val="none" w:sz="0" w:space="0" w:color="auto"/>
      </w:divBdr>
    </w:div>
    <w:div w:id="751781360">
      <w:marLeft w:val="0"/>
      <w:marRight w:val="0"/>
      <w:marTop w:val="0"/>
      <w:marBottom w:val="0"/>
      <w:divBdr>
        <w:top w:val="none" w:sz="0" w:space="0" w:color="auto"/>
        <w:left w:val="none" w:sz="0" w:space="0" w:color="auto"/>
        <w:bottom w:val="none" w:sz="0" w:space="0" w:color="auto"/>
        <w:right w:val="none" w:sz="0" w:space="0" w:color="auto"/>
      </w:divBdr>
    </w:div>
    <w:div w:id="751781361">
      <w:marLeft w:val="0"/>
      <w:marRight w:val="0"/>
      <w:marTop w:val="0"/>
      <w:marBottom w:val="0"/>
      <w:divBdr>
        <w:top w:val="none" w:sz="0" w:space="0" w:color="auto"/>
        <w:left w:val="none" w:sz="0" w:space="0" w:color="auto"/>
        <w:bottom w:val="none" w:sz="0" w:space="0" w:color="auto"/>
        <w:right w:val="none" w:sz="0" w:space="0" w:color="auto"/>
      </w:divBdr>
    </w:div>
    <w:div w:id="751781362">
      <w:marLeft w:val="0"/>
      <w:marRight w:val="0"/>
      <w:marTop w:val="0"/>
      <w:marBottom w:val="0"/>
      <w:divBdr>
        <w:top w:val="none" w:sz="0" w:space="0" w:color="auto"/>
        <w:left w:val="none" w:sz="0" w:space="0" w:color="auto"/>
        <w:bottom w:val="none" w:sz="0" w:space="0" w:color="auto"/>
        <w:right w:val="none" w:sz="0" w:space="0" w:color="auto"/>
      </w:divBdr>
    </w:div>
    <w:div w:id="751781363">
      <w:marLeft w:val="0"/>
      <w:marRight w:val="0"/>
      <w:marTop w:val="0"/>
      <w:marBottom w:val="0"/>
      <w:divBdr>
        <w:top w:val="none" w:sz="0" w:space="0" w:color="auto"/>
        <w:left w:val="none" w:sz="0" w:space="0" w:color="auto"/>
        <w:bottom w:val="none" w:sz="0" w:space="0" w:color="auto"/>
        <w:right w:val="none" w:sz="0" w:space="0" w:color="auto"/>
      </w:divBdr>
    </w:div>
    <w:div w:id="751781364">
      <w:marLeft w:val="0"/>
      <w:marRight w:val="0"/>
      <w:marTop w:val="0"/>
      <w:marBottom w:val="0"/>
      <w:divBdr>
        <w:top w:val="none" w:sz="0" w:space="0" w:color="auto"/>
        <w:left w:val="none" w:sz="0" w:space="0" w:color="auto"/>
        <w:bottom w:val="none" w:sz="0" w:space="0" w:color="auto"/>
        <w:right w:val="none" w:sz="0" w:space="0" w:color="auto"/>
      </w:divBdr>
    </w:div>
    <w:div w:id="751781365">
      <w:marLeft w:val="0"/>
      <w:marRight w:val="0"/>
      <w:marTop w:val="0"/>
      <w:marBottom w:val="0"/>
      <w:divBdr>
        <w:top w:val="none" w:sz="0" w:space="0" w:color="auto"/>
        <w:left w:val="none" w:sz="0" w:space="0" w:color="auto"/>
        <w:bottom w:val="none" w:sz="0" w:space="0" w:color="auto"/>
        <w:right w:val="none" w:sz="0" w:space="0" w:color="auto"/>
      </w:divBdr>
    </w:div>
    <w:div w:id="751781366">
      <w:marLeft w:val="0"/>
      <w:marRight w:val="0"/>
      <w:marTop w:val="0"/>
      <w:marBottom w:val="0"/>
      <w:divBdr>
        <w:top w:val="none" w:sz="0" w:space="0" w:color="auto"/>
        <w:left w:val="none" w:sz="0" w:space="0" w:color="auto"/>
        <w:bottom w:val="none" w:sz="0" w:space="0" w:color="auto"/>
        <w:right w:val="none" w:sz="0" w:space="0" w:color="auto"/>
      </w:divBdr>
    </w:div>
    <w:div w:id="751781367">
      <w:marLeft w:val="0"/>
      <w:marRight w:val="0"/>
      <w:marTop w:val="0"/>
      <w:marBottom w:val="0"/>
      <w:divBdr>
        <w:top w:val="none" w:sz="0" w:space="0" w:color="auto"/>
        <w:left w:val="none" w:sz="0" w:space="0" w:color="auto"/>
        <w:bottom w:val="none" w:sz="0" w:space="0" w:color="auto"/>
        <w:right w:val="none" w:sz="0" w:space="0" w:color="auto"/>
      </w:divBdr>
    </w:div>
    <w:div w:id="751781368">
      <w:marLeft w:val="0"/>
      <w:marRight w:val="0"/>
      <w:marTop w:val="0"/>
      <w:marBottom w:val="0"/>
      <w:divBdr>
        <w:top w:val="none" w:sz="0" w:space="0" w:color="auto"/>
        <w:left w:val="none" w:sz="0" w:space="0" w:color="auto"/>
        <w:bottom w:val="none" w:sz="0" w:space="0" w:color="auto"/>
        <w:right w:val="none" w:sz="0" w:space="0" w:color="auto"/>
      </w:divBdr>
    </w:div>
    <w:div w:id="751781369">
      <w:marLeft w:val="0"/>
      <w:marRight w:val="0"/>
      <w:marTop w:val="0"/>
      <w:marBottom w:val="0"/>
      <w:divBdr>
        <w:top w:val="none" w:sz="0" w:space="0" w:color="auto"/>
        <w:left w:val="none" w:sz="0" w:space="0" w:color="auto"/>
        <w:bottom w:val="none" w:sz="0" w:space="0" w:color="auto"/>
        <w:right w:val="none" w:sz="0" w:space="0" w:color="auto"/>
      </w:divBdr>
    </w:div>
    <w:div w:id="751781370">
      <w:marLeft w:val="0"/>
      <w:marRight w:val="0"/>
      <w:marTop w:val="0"/>
      <w:marBottom w:val="0"/>
      <w:divBdr>
        <w:top w:val="none" w:sz="0" w:space="0" w:color="auto"/>
        <w:left w:val="none" w:sz="0" w:space="0" w:color="auto"/>
        <w:bottom w:val="none" w:sz="0" w:space="0" w:color="auto"/>
        <w:right w:val="none" w:sz="0" w:space="0" w:color="auto"/>
      </w:divBdr>
    </w:div>
    <w:div w:id="751781371">
      <w:marLeft w:val="0"/>
      <w:marRight w:val="0"/>
      <w:marTop w:val="0"/>
      <w:marBottom w:val="0"/>
      <w:divBdr>
        <w:top w:val="none" w:sz="0" w:space="0" w:color="auto"/>
        <w:left w:val="none" w:sz="0" w:space="0" w:color="auto"/>
        <w:bottom w:val="none" w:sz="0" w:space="0" w:color="auto"/>
        <w:right w:val="none" w:sz="0" w:space="0" w:color="auto"/>
      </w:divBdr>
    </w:div>
    <w:div w:id="751781372">
      <w:marLeft w:val="0"/>
      <w:marRight w:val="0"/>
      <w:marTop w:val="0"/>
      <w:marBottom w:val="0"/>
      <w:divBdr>
        <w:top w:val="none" w:sz="0" w:space="0" w:color="auto"/>
        <w:left w:val="none" w:sz="0" w:space="0" w:color="auto"/>
        <w:bottom w:val="none" w:sz="0" w:space="0" w:color="auto"/>
        <w:right w:val="none" w:sz="0" w:space="0" w:color="auto"/>
      </w:divBdr>
    </w:div>
    <w:div w:id="751781373">
      <w:marLeft w:val="0"/>
      <w:marRight w:val="0"/>
      <w:marTop w:val="0"/>
      <w:marBottom w:val="0"/>
      <w:divBdr>
        <w:top w:val="none" w:sz="0" w:space="0" w:color="auto"/>
        <w:left w:val="none" w:sz="0" w:space="0" w:color="auto"/>
        <w:bottom w:val="none" w:sz="0" w:space="0" w:color="auto"/>
        <w:right w:val="none" w:sz="0" w:space="0" w:color="auto"/>
      </w:divBdr>
    </w:div>
    <w:div w:id="837158453">
      <w:bodyDiv w:val="1"/>
      <w:marLeft w:val="0"/>
      <w:marRight w:val="0"/>
      <w:marTop w:val="0"/>
      <w:marBottom w:val="0"/>
      <w:divBdr>
        <w:top w:val="none" w:sz="0" w:space="0" w:color="auto"/>
        <w:left w:val="none" w:sz="0" w:space="0" w:color="auto"/>
        <w:bottom w:val="none" w:sz="0" w:space="0" w:color="auto"/>
        <w:right w:val="none" w:sz="0" w:space="0" w:color="auto"/>
      </w:divBdr>
      <w:divsChild>
        <w:div w:id="1977369620">
          <w:marLeft w:val="0"/>
          <w:marRight w:val="0"/>
          <w:marTop w:val="0"/>
          <w:marBottom w:val="0"/>
          <w:divBdr>
            <w:top w:val="none" w:sz="0" w:space="0" w:color="auto"/>
            <w:left w:val="none" w:sz="0" w:space="0" w:color="auto"/>
            <w:bottom w:val="none" w:sz="0" w:space="0" w:color="auto"/>
            <w:right w:val="none" w:sz="0" w:space="0" w:color="auto"/>
          </w:divBdr>
          <w:divsChild>
            <w:div w:id="84113180">
              <w:marLeft w:val="0"/>
              <w:marRight w:val="0"/>
              <w:marTop w:val="0"/>
              <w:marBottom w:val="0"/>
              <w:divBdr>
                <w:top w:val="none" w:sz="0" w:space="0" w:color="auto"/>
                <w:left w:val="none" w:sz="0" w:space="0" w:color="auto"/>
                <w:bottom w:val="none" w:sz="0" w:space="0" w:color="auto"/>
                <w:right w:val="none" w:sz="0" w:space="0" w:color="auto"/>
              </w:divBdr>
            </w:div>
            <w:div w:id="359471311">
              <w:marLeft w:val="0"/>
              <w:marRight w:val="0"/>
              <w:marTop w:val="0"/>
              <w:marBottom w:val="0"/>
              <w:divBdr>
                <w:top w:val="none" w:sz="0" w:space="0" w:color="auto"/>
                <w:left w:val="none" w:sz="0" w:space="0" w:color="auto"/>
                <w:bottom w:val="none" w:sz="0" w:space="0" w:color="auto"/>
                <w:right w:val="none" w:sz="0" w:space="0" w:color="auto"/>
              </w:divBdr>
            </w:div>
            <w:div w:id="1111708487">
              <w:marLeft w:val="0"/>
              <w:marRight w:val="0"/>
              <w:marTop w:val="0"/>
              <w:marBottom w:val="0"/>
              <w:divBdr>
                <w:top w:val="none" w:sz="0" w:space="0" w:color="auto"/>
                <w:left w:val="none" w:sz="0" w:space="0" w:color="auto"/>
                <w:bottom w:val="none" w:sz="0" w:space="0" w:color="auto"/>
                <w:right w:val="none" w:sz="0" w:space="0" w:color="auto"/>
              </w:divBdr>
            </w:div>
            <w:div w:id="1728605998">
              <w:marLeft w:val="0"/>
              <w:marRight w:val="0"/>
              <w:marTop w:val="0"/>
              <w:marBottom w:val="0"/>
              <w:divBdr>
                <w:top w:val="none" w:sz="0" w:space="0" w:color="auto"/>
                <w:left w:val="none" w:sz="0" w:space="0" w:color="auto"/>
                <w:bottom w:val="none" w:sz="0" w:space="0" w:color="auto"/>
                <w:right w:val="none" w:sz="0" w:space="0" w:color="auto"/>
              </w:divBdr>
            </w:div>
            <w:div w:id="1610969973">
              <w:marLeft w:val="0"/>
              <w:marRight w:val="0"/>
              <w:marTop w:val="0"/>
              <w:marBottom w:val="0"/>
              <w:divBdr>
                <w:top w:val="none" w:sz="0" w:space="0" w:color="auto"/>
                <w:left w:val="none" w:sz="0" w:space="0" w:color="auto"/>
                <w:bottom w:val="none" w:sz="0" w:space="0" w:color="auto"/>
                <w:right w:val="none" w:sz="0" w:space="0" w:color="auto"/>
              </w:divBdr>
            </w:div>
            <w:div w:id="67313124">
              <w:marLeft w:val="0"/>
              <w:marRight w:val="0"/>
              <w:marTop w:val="0"/>
              <w:marBottom w:val="0"/>
              <w:divBdr>
                <w:top w:val="none" w:sz="0" w:space="0" w:color="auto"/>
                <w:left w:val="none" w:sz="0" w:space="0" w:color="auto"/>
                <w:bottom w:val="none" w:sz="0" w:space="0" w:color="auto"/>
                <w:right w:val="none" w:sz="0" w:space="0" w:color="auto"/>
              </w:divBdr>
            </w:div>
            <w:div w:id="955210757">
              <w:marLeft w:val="0"/>
              <w:marRight w:val="0"/>
              <w:marTop w:val="0"/>
              <w:marBottom w:val="0"/>
              <w:divBdr>
                <w:top w:val="none" w:sz="0" w:space="0" w:color="auto"/>
                <w:left w:val="none" w:sz="0" w:space="0" w:color="auto"/>
                <w:bottom w:val="none" w:sz="0" w:space="0" w:color="auto"/>
                <w:right w:val="none" w:sz="0" w:space="0" w:color="auto"/>
              </w:divBdr>
            </w:div>
            <w:div w:id="1377657643">
              <w:marLeft w:val="0"/>
              <w:marRight w:val="0"/>
              <w:marTop w:val="0"/>
              <w:marBottom w:val="0"/>
              <w:divBdr>
                <w:top w:val="none" w:sz="0" w:space="0" w:color="auto"/>
                <w:left w:val="none" w:sz="0" w:space="0" w:color="auto"/>
                <w:bottom w:val="none" w:sz="0" w:space="0" w:color="auto"/>
                <w:right w:val="none" w:sz="0" w:space="0" w:color="auto"/>
              </w:divBdr>
            </w:div>
            <w:div w:id="484052044">
              <w:marLeft w:val="0"/>
              <w:marRight w:val="0"/>
              <w:marTop w:val="0"/>
              <w:marBottom w:val="0"/>
              <w:divBdr>
                <w:top w:val="none" w:sz="0" w:space="0" w:color="auto"/>
                <w:left w:val="none" w:sz="0" w:space="0" w:color="auto"/>
                <w:bottom w:val="none" w:sz="0" w:space="0" w:color="auto"/>
                <w:right w:val="none" w:sz="0" w:space="0" w:color="auto"/>
              </w:divBdr>
            </w:div>
            <w:div w:id="1070540310">
              <w:marLeft w:val="0"/>
              <w:marRight w:val="0"/>
              <w:marTop w:val="0"/>
              <w:marBottom w:val="0"/>
              <w:divBdr>
                <w:top w:val="none" w:sz="0" w:space="0" w:color="auto"/>
                <w:left w:val="none" w:sz="0" w:space="0" w:color="auto"/>
                <w:bottom w:val="none" w:sz="0" w:space="0" w:color="auto"/>
                <w:right w:val="none" w:sz="0" w:space="0" w:color="auto"/>
              </w:divBdr>
            </w:div>
            <w:div w:id="833493864">
              <w:marLeft w:val="0"/>
              <w:marRight w:val="0"/>
              <w:marTop w:val="0"/>
              <w:marBottom w:val="0"/>
              <w:divBdr>
                <w:top w:val="none" w:sz="0" w:space="0" w:color="auto"/>
                <w:left w:val="none" w:sz="0" w:space="0" w:color="auto"/>
                <w:bottom w:val="none" w:sz="0" w:space="0" w:color="auto"/>
                <w:right w:val="none" w:sz="0" w:space="0" w:color="auto"/>
              </w:divBdr>
            </w:div>
            <w:div w:id="1741488340">
              <w:marLeft w:val="0"/>
              <w:marRight w:val="0"/>
              <w:marTop w:val="0"/>
              <w:marBottom w:val="0"/>
              <w:divBdr>
                <w:top w:val="none" w:sz="0" w:space="0" w:color="auto"/>
                <w:left w:val="none" w:sz="0" w:space="0" w:color="auto"/>
                <w:bottom w:val="none" w:sz="0" w:space="0" w:color="auto"/>
                <w:right w:val="none" w:sz="0" w:space="0" w:color="auto"/>
              </w:divBdr>
            </w:div>
            <w:div w:id="1500997241">
              <w:marLeft w:val="0"/>
              <w:marRight w:val="0"/>
              <w:marTop w:val="0"/>
              <w:marBottom w:val="0"/>
              <w:divBdr>
                <w:top w:val="none" w:sz="0" w:space="0" w:color="auto"/>
                <w:left w:val="none" w:sz="0" w:space="0" w:color="auto"/>
                <w:bottom w:val="none" w:sz="0" w:space="0" w:color="auto"/>
                <w:right w:val="none" w:sz="0" w:space="0" w:color="auto"/>
              </w:divBdr>
            </w:div>
            <w:div w:id="1693801978">
              <w:marLeft w:val="0"/>
              <w:marRight w:val="0"/>
              <w:marTop w:val="0"/>
              <w:marBottom w:val="0"/>
              <w:divBdr>
                <w:top w:val="none" w:sz="0" w:space="0" w:color="auto"/>
                <w:left w:val="none" w:sz="0" w:space="0" w:color="auto"/>
                <w:bottom w:val="none" w:sz="0" w:space="0" w:color="auto"/>
                <w:right w:val="none" w:sz="0" w:space="0" w:color="auto"/>
              </w:divBdr>
            </w:div>
            <w:div w:id="1884900957">
              <w:marLeft w:val="0"/>
              <w:marRight w:val="0"/>
              <w:marTop w:val="0"/>
              <w:marBottom w:val="0"/>
              <w:divBdr>
                <w:top w:val="none" w:sz="0" w:space="0" w:color="auto"/>
                <w:left w:val="none" w:sz="0" w:space="0" w:color="auto"/>
                <w:bottom w:val="none" w:sz="0" w:space="0" w:color="auto"/>
                <w:right w:val="none" w:sz="0" w:space="0" w:color="auto"/>
              </w:divBdr>
            </w:div>
            <w:div w:id="1667632244">
              <w:marLeft w:val="0"/>
              <w:marRight w:val="0"/>
              <w:marTop w:val="0"/>
              <w:marBottom w:val="0"/>
              <w:divBdr>
                <w:top w:val="none" w:sz="0" w:space="0" w:color="auto"/>
                <w:left w:val="none" w:sz="0" w:space="0" w:color="auto"/>
                <w:bottom w:val="none" w:sz="0" w:space="0" w:color="auto"/>
                <w:right w:val="none" w:sz="0" w:space="0" w:color="auto"/>
              </w:divBdr>
            </w:div>
            <w:div w:id="1425413755">
              <w:marLeft w:val="0"/>
              <w:marRight w:val="0"/>
              <w:marTop w:val="0"/>
              <w:marBottom w:val="0"/>
              <w:divBdr>
                <w:top w:val="none" w:sz="0" w:space="0" w:color="auto"/>
                <w:left w:val="none" w:sz="0" w:space="0" w:color="auto"/>
                <w:bottom w:val="none" w:sz="0" w:space="0" w:color="auto"/>
                <w:right w:val="none" w:sz="0" w:space="0" w:color="auto"/>
              </w:divBdr>
            </w:div>
            <w:div w:id="1758016393">
              <w:marLeft w:val="0"/>
              <w:marRight w:val="0"/>
              <w:marTop w:val="0"/>
              <w:marBottom w:val="0"/>
              <w:divBdr>
                <w:top w:val="none" w:sz="0" w:space="0" w:color="auto"/>
                <w:left w:val="none" w:sz="0" w:space="0" w:color="auto"/>
                <w:bottom w:val="none" w:sz="0" w:space="0" w:color="auto"/>
                <w:right w:val="none" w:sz="0" w:space="0" w:color="auto"/>
              </w:divBdr>
            </w:div>
            <w:div w:id="507448816">
              <w:marLeft w:val="0"/>
              <w:marRight w:val="0"/>
              <w:marTop w:val="0"/>
              <w:marBottom w:val="0"/>
              <w:divBdr>
                <w:top w:val="none" w:sz="0" w:space="0" w:color="auto"/>
                <w:left w:val="none" w:sz="0" w:space="0" w:color="auto"/>
                <w:bottom w:val="none" w:sz="0" w:space="0" w:color="auto"/>
                <w:right w:val="none" w:sz="0" w:space="0" w:color="auto"/>
              </w:divBdr>
            </w:div>
            <w:div w:id="925847391">
              <w:marLeft w:val="0"/>
              <w:marRight w:val="0"/>
              <w:marTop w:val="0"/>
              <w:marBottom w:val="0"/>
              <w:divBdr>
                <w:top w:val="none" w:sz="0" w:space="0" w:color="auto"/>
                <w:left w:val="none" w:sz="0" w:space="0" w:color="auto"/>
                <w:bottom w:val="none" w:sz="0" w:space="0" w:color="auto"/>
                <w:right w:val="none" w:sz="0" w:space="0" w:color="auto"/>
              </w:divBdr>
            </w:div>
            <w:div w:id="526067515">
              <w:marLeft w:val="0"/>
              <w:marRight w:val="0"/>
              <w:marTop w:val="0"/>
              <w:marBottom w:val="0"/>
              <w:divBdr>
                <w:top w:val="none" w:sz="0" w:space="0" w:color="auto"/>
                <w:left w:val="none" w:sz="0" w:space="0" w:color="auto"/>
                <w:bottom w:val="none" w:sz="0" w:space="0" w:color="auto"/>
                <w:right w:val="none" w:sz="0" w:space="0" w:color="auto"/>
              </w:divBdr>
            </w:div>
            <w:div w:id="446199298">
              <w:marLeft w:val="0"/>
              <w:marRight w:val="0"/>
              <w:marTop w:val="0"/>
              <w:marBottom w:val="0"/>
              <w:divBdr>
                <w:top w:val="none" w:sz="0" w:space="0" w:color="auto"/>
                <w:left w:val="none" w:sz="0" w:space="0" w:color="auto"/>
                <w:bottom w:val="none" w:sz="0" w:space="0" w:color="auto"/>
                <w:right w:val="none" w:sz="0" w:space="0" w:color="auto"/>
              </w:divBdr>
            </w:div>
            <w:div w:id="1544826647">
              <w:marLeft w:val="0"/>
              <w:marRight w:val="0"/>
              <w:marTop w:val="0"/>
              <w:marBottom w:val="0"/>
              <w:divBdr>
                <w:top w:val="none" w:sz="0" w:space="0" w:color="auto"/>
                <w:left w:val="none" w:sz="0" w:space="0" w:color="auto"/>
                <w:bottom w:val="none" w:sz="0" w:space="0" w:color="auto"/>
                <w:right w:val="none" w:sz="0" w:space="0" w:color="auto"/>
              </w:divBdr>
            </w:div>
            <w:div w:id="589628874">
              <w:marLeft w:val="0"/>
              <w:marRight w:val="0"/>
              <w:marTop w:val="0"/>
              <w:marBottom w:val="0"/>
              <w:divBdr>
                <w:top w:val="none" w:sz="0" w:space="0" w:color="auto"/>
                <w:left w:val="none" w:sz="0" w:space="0" w:color="auto"/>
                <w:bottom w:val="none" w:sz="0" w:space="0" w:color="auto"/>
                <w:right w:val="none" w:sz="0" w:space="0" w:color="auto"/>
              </w:divBdr>
            </w:div>
            <w:div w:id="830751451">
              <w:marLeft w:val="0"/>
              <w:marRight w:val="0"/>
              <w:marTop w:val="0"/>
              <w:marBottom w:val="0"/>
              <w:divBdr>
                <w:top w:val="none" w:sz="0" w:space="0" w:color="auto"/>
                <w:left w:val="none" w:sz="0" w:space="0" w:color="auto"/>
                <w:bottom w:val="none" w:sz="0" w:space="0" w:color="auto"/>
                <w:right w:val="none" w:sz="0" w:space="0" w:color="auto"/>
              </w:divBdr>
            </w:div>
            <w:div w:id="1974866757">
              <w:marLeft w:val="0"/>
              <w:marRight w:val="0"/>
              <w:marTop w:val="0"/>
              <w:marBottom w:val="0"/>
              <w:divBdr>
                <w:top w:val="none" w:sz="0" w:space="0" w:color="auto"/>
                <w:left w:val="none" w:sz="0" w:space="0" w:color="auto"/>
                <w:bottom w:val="none" w:sz="0" w:space="0" w:color="auto"/>
                <w:right w:val="none" w:sz="0" w:space="0" w:color="auto"/>
              </w:divBdr>
            </w:div>
            <w:div w:id="1064523484">
              <w:marLeft w:val="0"/>
              <w:marRight w:val="0"/>
              <w:marTop w:val="0"/>
              <w:marBottom w:val="0"/>
              <w:divBdr>
                <w:top w:val="none" w:sz="0" w:space="0" w:color="auto"/>
                <w:left w:val="none" w:sz="0" w:space="0" w:color="auto"/>
                <w:bottom w:val="none" w:sz="0" w:space="0" w:color="auto"/>
                <w:right w:val="none" w:sz="0" w:space="0" w:color="auto"/>
              </w:divBdr>
            </w:div>
            <w:div w:id="1404790115">
              <w:marLeft w:val="0"/>
              <w:marRight w:val="0"/>
              <w:marTop w:val="0"/>
              <w:marBottom w:val="0"/>
              <w:divBdr>
                <w:top w:val="none" w:sz="0" w:space="0" w:color="auto"/>
                <w:left w:val="none" w:sz="0" w:space="0" w:color="auto"/>
                <w:bottom w:val="none" w:sz="0" w:space="0" w:color="auto"/>
                <w:right w:val="none" w:sz="0" w:space="0" w:color="auto"/>
              </w:divBdr>
            </w:div>
            <w:div w:id="1045107701">
              <w:marLeft w:val="0"/>
              <w:marRight w:val="0"/>
              <w:marTop w:val="0"/>
              <w:marBottom w:val="0"/>
              <w:divBdr>
                <w:top w:val="none" w:sz="0" w:space="0" w:color="auto"/>
                <w:left w:val="none" w:sz="0" w:space="0" w:color="auto"/>
                <w:bottom w:val="none" w:sz="0" w:space="0" w:color="auto"/>
                <w:right w:val="none" w:sz="0" w:space="0" w:color="auto"/>
              </w:divBdr>
            </w:div>
            <w:div w:id="615215610">
              <w:marLeft w:val="0"/>
              <w:marRight w:val="0"/>
              <w:marTop w:val="0"/>
              <w:marBottom w:val="0"/>
              <w:divBdr>
                <w:top w:val="none" w:sz="0" w:space="0" w:color="auto"/>
                <w:left w:val="none" w:sz="0" w:space="0" w:color="auto"/>
                <w:bottom w:val="none" w:sz="0" w:space="0" w:color="auto"/>
                <w:right w:val="none" w:sz="0" w:space="0" w:color="auto"/>
              </w:divBdr>
            </w:div>
            <w:div w:id="850265954">
              <w:marLeft w:val="0"/>
              <w:marRight w:val="0"/>
              <w:marTop w:val="0"/>
              <w:marBottom w:val="0"/>
              <w:divBdr>
                <w:top w:val="none" w:sz="0" w:space="0" w:color="auto"/>
                <w:left w:val="none" w:sz="0" w:space="0" w:color="auto"/>
                <w:bottom w:val="none" w:sz="0" w:space="0" w:color="auto"/>
                <w:right w:val="none" w:sz="0" w:space="0" w:color="auto"/>
              </w:divBdr>
            </w:div>
            <w:div w:id="935599260">
              <w:marLeft w:val="0"/>
              <w:marRight w:val="0"/>
              <w:marTop w:val="0"/>
              <w:marBottom w:val="0"/>
              <w:divBdr>
                <w:top w:val="none" w:sz="0" w:space="0" w:color="auto"/>
                <w:left w:val="none" w:sz="0" w:space="0" w:color="auto"/>
                <w:bottom w:val="none" w:sz="0" w:space="0" w:color="auto"/>
                <w:right w:val="none" w:sz="0" w:space="0" w:color="auto"/>
              </w:divBdr>
            </w:div>
            <w:div w:id="542449644">
              <w:marLeft w:val="0"/>
              <w:marRight w:val="0"/>
              <w:marTop w:val="0"/>
              <w:marBottom w:val="0"/>
              <w:divBdr>
                <w:top w:val="none" w:sz="0" w:space="0" w:color="auto"/>
                <w:left w:val="none" w:sz="0" w:space="0" w:color="auto"/>
                <w:bottom w:val="none" w:sz="0" w:space="0" w:color="auto"/>
                <w:right w:val="none" w:sz="0" w:space="0" w:color="auto"/>
              </w:divBdr>
            </w:div>
            <w:div w:id="695233820">
              <w:marLeft w:val="0"/>
              <w:marRight w:val="0"/>
              <w:marTop w:val="0"/>
              <w:marBottom w:val="0"/>
              <w:divBdr>
                <w:top w:val="none" w:sz="0" w:space="0" w:color="auto"/>
                <w:left w:val="none" w:sz="0" w:space="0" w:color="auto"/>
                <w:bottom w:val="none" w:sz="0" w:space="0" w:color="auto"/>
                <w:right w:val="none" w:sz="0" w:space="0" w:color="auto"/>
              </w:divBdr>
            </w:div>
            <w:div w:id="115488394">
              <w:marLeft w:val="0"/>
              <w:marRight w:val="0"/>
              <w:marTop w:val="0"/>
              <w:marBottom w:val="0"/>
              <w:divBdr>
                <w:top w:val="none" w:sz="0" w:space="0" w:color="auto"/>
                <w:left w:val="none" w:sz="0" w:space="0" w:color="auto"/>
                <w:bottom w:val="none" w:sz="0" w:space="0" w:color="auto"/>
                <w:right w:val="none" w:sz="0" w:space="0" w:color="auto"/>
              </w:divBdr>
            </w:div>
            <w:div w:id="1408503162">
              <w:marLeft w:val="0"/>
              <w:marRight w:val="0"/>
              <w:marTop w:val="0"/>
              <w:marBottom w:val="0"/>
              <w:divBdr>
                <w:top w:val="none" w:sz="0" w:space="0" w:color="auto"/>
                <w:left w:val="none" w:sz="0" w:space="0" w:color="auto"/>
                <w:bottom w:val="none" w:sz="0" w:space="0" w:color="auto"/>
                <w:right w:val="none" w:sz="0" w:space="0" w:color="auto"/>
              </w:divBdr>
            </w:div>
            <w:div w:id="101461236">
              <w:marLeft w:val="0"/>
              <w:marRight w:val="0"/>
              <w:marTop w:val="0"/>
              <w:marBottom w:val="0"/>
              <w:divBdr>
                <w:top w:val="none" w:sz="0" w:space="0" w:color="auto"/>
                <w:left w:val="none" w:sz="0" w:space="0" w:color="auto"/>
                <w:bottom w:val="none" w:sz="0" w:space="0" w:color="auto"/>
                <w:right w:val="none" w:sz="0" w:space="0" w:color="auto"/>
              </w:divBdr>
            </w:div>
            <w:div w:id="499778973">
              <w:marLeft w:val="0"/>
              <w:marRight w:val="0"/>
              <w:marTop w:val="0"/>
              <w:marBottom w:val="0"/>
              <w:divBdr>
                <w:top w:val="none" w:sz="0" w:space="0" w:color="auto"/>
                <w:left w:val="none" w:sz="0" w:space="0" w:color="auto"/>
                <w:bottom w:val="none" w:sz="0" w:space="0" w:color="auto"/>
                <w:right w:val="none" w:sz="0" w:space="0" w:color="auto"/>
              </w:divBdr>
            </w:div>
            <w:div w:id="1685085148">
              <w:marLeft w:val="0"/>
              <w:marRight w:val="0"/>
              <w:marTop w:val="0"/>
              <w:marBottom w:val="0"/>
              <w:divBdr>
                <w:top w:val="none" w:sz="0" w:space="0" w:color="auto"/>
                <w:left w:val="none" w:sz="0" w:space="0" w:color="auto"/>
                <w:bottom w:val="none" w:sz="0" w:space="0" w:color="auto"/>
                <w:right w:val="none" w:sz="0" w:space="0" w:color="auto"/>
              </w:divBdr>
            </w:div>
            <w:div w:id="631178011">
              <w:marLeft w:val="0"/>
              <w:marRight w:val="0"/>
              <w:marTop w:val="0"/>
              <w:marBottom w:val="0"/>
              <w:divBdr>
                <w:top w:val="none" w:sz="0" w:space="0" w:color="auto"/>
                <w:left w:val="none" w:sz="0" w:space="0" w:color="auto"/>
                <w:bottom w:val="none" w:sz="0" w:space="0" w:color="auto"/>
                <w:right w:val="none" w:sz="0" w:space="0" w:color="auto"/>
              </w:divBdr>
            </w:div>
            <w:div w:id="600455846">
              <w:marLeft w:val="0"/>
              <w:marRight w:val="0"/>
              <w:marTop w:val="0"/>
              <w:marBottom w:val="0"/>
              <w:divBdr>
                <w:top w:val="none" w:sz="0" w:space="0" w:color="auto"/>
                <w:left w:val="none" w:sz="0" w:space="0" w:color="auto"/>
                <w:bottom w:val="none" w:sz="0" w:space="0" w:color="auto"/>
                <w:right w:val="none" w:sz="0" w:space="0" w:color="auto"/>
              </w:divBdr>
            </w:div>
            <w:div w:id="511258586">
              <w:marLeft w:val="0"/>
              <w:marRight w:val="0"/>
              <w:marTop w:val="0"/>
              <w:marBottom w:val="0"/>
              <w:divBdr>
                <w:top w:val="none" w:sz="0" w:space="0" w:color="auto"/>
                <w:left w:val="none" w:sz="0" w:space="0" w:color="auto"/>
                <w:bottom w:val="none" w:sz="0" w:space="0" w:color="auto"/>
                <w:right w:val="none" w:sz="0" w:space="0" w:color="auto"/>
              </w:divBdr>
            </w:div>
            <w:div w:id="1641110288">
              <w:marLeft w:val="0"/>
              <w:marRight w:val="0"/>
              <w:marTop w:val="0"/>
              <w:marBottom w:val="0"/>
              <w:divBdr>
                <w:top w:val="none" w:sz="0" w:space="0" w:color="auto"/>
                <w:left w:val="none" w:sz="0" w:space="0" w:color="auto"/>
                <w:bottom w:val="none" w:sz="0" w:space="0" w:color="auto"/>
                <w:right w:val="none" w:sz="0" w:space="0" w:color="auto"/>
              </w:divBdr>
            </w:div>
            <w:div w:id="150760105">
              <w:marLeft w:val="0"/>
              <w:marRight w:val="0"/>
              <w:marTop w:val="0"/>
              <w:marBottom w:val="0"/>
              <w:divBdr>
                <w:top w:val="none" w:sz="0" w:space="0" w:color="auto"/>
                <w:left w:val="none" w:sz="0" w:space="0" w:color="auto"/>
                <w:bottom w:val="none" w:sz="0" w:space="0" w:color="auto"/>
                <w:right w:val="none" w:sz="0" w:space="0" w:color="auto"/>
              </w:divBdr>
            </w:div>
            <w:div w:id="40322573">
              <w:marLeft w:val="0"/>
              <w:marRight w:val="0"/>
              <w:marTop w:val="0"/>
              <w:marBottom w:val="0"/>
              <w:divBdr>
                <w:top w:val="none" w:sz="0" w:space="0" w:color="auto"/>
                <w:left w:val="none" w:sz="0" w:space="0" w:color="auto"/>
                <w:bottom w:val="none" w:sz="0" w:space="0" w:color="auto"/>
                <w:right w:val="none" w:sz="0" w:space="0" w:color="auto"/>
              </w:divBdr>
            </w:div>
            <w:div w:id="2006544295">
              <w:marLeft w:val="0"/>
              <w:marRight w:val="0"/>
              <w:marTop w:val="0"/>
              <w:marBottom w:val="0"/>
              <w:divBdr>
                <w:top w:val="none" w:sz="0" w:space="0" w:color="auto"/>
                <w:left w:val="none" w:sz="0" w:space="0" w:color="auto"/>
                <w:bottom w:val="none" w:sz="0" w:space="0" w:color="auto"/>
                <w:right w:val="none" w:sz="0" w:space="0" w:color="auto"/>
              </w:divBdr>
            </w:div>
            <w:div w:id="11034244">
              <w:marLeft w:val="0"/>
              <w:marRight w:val="0"/>
              <w:marTop w:val="0"/>
              <w:marBottom w:val="0"/>
              <w:divBdr>
                <w:top w:val="none" w:sz="0" w:space="0" w:color="auto"/>
                <w:left w:val="none" w:sz="0" w:space="0" w:color="auto"/>
                <w:bottom w:val="none" w:sz="0" w:space="0" w:color="auto"/>
                <w:right w:val="none" w:sz="0" w:space="0" w:color="auto"/>
              </w:divBdr>
            </w:div>
            <w:div w:id="287589469">
              <w:marLeft w:val="0"/>
              <w:marRight w:val="0"/>
              <w:marTop w:val="0"/>
              <w:marBottom w:val="0"/>
              <w:divBdr>
                <w:top w:val="none" w:sz="0" w:space="0" w:color="auto"/>
                <w:left w:val="none" w:sz="0" w:space="0" w:color="auto"/>
                <w:bottom w:val="none" w:sz="0" w:space="0" w:color="auto"/>
                <w:right w:val="none" w:sz="0" w:space="0" w:color="auto"/>
              </w:divBdr>
            </w:div>
            <w:div w:id="886262894">
              <w:marLeft w:val="0"/>
              <w:marRight w:val="0"/>
              <w:marTop w:val="0"/>
              <w:marBottom w:val="0"/>
              <w:divBdr>
                <w:top w:val="none" w:sz="0" w:space="0" w:color="auto"/>
                <w:left w:val="none" w:sz="0" w:space="0" w:color="auto"/>
                <w:bottom w:val="none" w:sz="0" w:space="0" w:color="auto"/>
                <w:right w:val="none" w:sz="0" w:space="0" w:color="auto"/>
              </w:divBdr>
            </w:div>
            <w:div w:id="686294892">
              <w:marLeft w:val="0"/>
              <w:marRight w:val="0"/>
              <w:marTop w:val="0"/>
              <w:marBottom w:val="0"/>
              <w:divBdr>
                <w:top w:val="none" w:sz="0" w:space="0" w:color="auto"/>
                <w:left w:val="none" w:sz="0" w:space="0" w:color="auto"/>
                <w:bottom w:val="none" w:sz="0" w:space="0" w:color="auto"/>
                <w:right w:val="none" w:sz="0" w:space="0" w:color="auto"/>
              </w:divBdr>
            </w:div>
            <w:div w:id="1153450515">
              <w:marLeft w:val="0"/>
              <w:marRight w:val="0"/>
              <w:marTop w:val="0"/>
              <w:marBottom w:val="0"/>
              <w:divBdr>
                <w:top w:val="none" w:sz="0" w:space="0" w:color="auto"/>
                <w:left w:val="none" w:sz="0" w:space="0" w:color="auto"/>
                <w:bottom w:val="none" w:sz="0" w:space="0" w:color="auto"/>
                <w:right w:val="none" w:sz="0" w:space="0" w:color="auto"/>
              </w:divBdr>
            </w:div>
            <w:div w:id="1660694541">
              <w:marLeft w:val="0"/>
              <w:marRight w:val="0"/>
              <w:marTop w:val="0"/>
              <w:marBottom w:val="0"/>
              <w:divBdr>
                <w:top w:val="none" w:sz="0" w:space="0" w:color="auto"/>
                <w:left w:val="none" w:sz="0" w:space="0" w:color="auto"/>
                <w:bottom w:val="none" w:sz="0" w:space="0" w:color="auto"/>
                <w:right w:val="none" w:sz="0" w:space="0" w:color="auto"/>
              </w:divBdr>
            </w:div>
            <w:div w:id="1764379638">
              <w:marLeft w:val="0"/>
              <w:marRight w:val="0"/>
              <w:marTop w:val="0"/>
              <w:marBottom w:val="0"/>
              <w:divBdr>
                <w:top w:val="none" w:sz="0" w:space="0" w:color="auto"/>
                <w:left w:val="none" w:sz="0" w:space="0" w:color="auto"/>
                <w:bottom w:val="none" w:sz="0" w:space="0" w:color="auto"/>
                <w:right w:val="none" w:sz="0" w:space="0" w:color="auto"/>
              </w:divBdr>
            </w:div>
            <w:div w:id="1287154117">
              <w:marLeft w:val="0"/>
              <w:marRight w:val="0"/>
              <w:marTop w:val="0"/>
              <w:marBottom w:val="0"/>
              <w:divBdr>
                <w:top w:val="none" w:sz="0" w:space="0" w:color="auto"/>
                <w:left w:val="none" w:sz="0" w:space="0" w:color="auto"/>
                <w:bottom w:val="none" w:sz="0" w:space="0" w:color="auto"/>
                <w:right w:val="none" w:sz="0" w:space="0" w:color="auto"/>
              </w:divBdr>
            </w:div>
            <w:div w:id="1538814338">
              <w:marLeft w:val="0"/>
              <w:marRight w:val="0"/>
              <w:marTop w:val="0"/>
              <w:marBottom w:val="0"/>
              <w:divBdr>
                <w:top w:val="none" w:sz="0" w:space="0" w:color="auto"/>
                <w:left w:val="none" w:sz="0" w:space="0" w:color="auto"/>
                <w:bottom w:val="none" w:sz="0" w:space="0" w:color="auto"/>
                <w:right w:val="none" w:sz="0" w:space="0" w:color="auto"/>
              </w:divBdr>
            </w:div>
            <w:div w:id="954944099">
              <w:marLeft w:val="0"/>
              <w:marRight w:val="0"/>
              <w:marTop w:val="0"/>
              <w:marBottom w:val="0"/>
              <w:divBdr>
                <w:top w:val="none" w:sz="0" w:space="0" w:color="auto"/>
                <w:left w:val="none" w:sz="0" w:space="0" w:color="auto"/>
                <w:bottom w:val="none" w:sz="0" w:space="0" w:color="auto"/>
                <w:right w:val="none" w:sz="0" w:space="0" w:color="auto"/>
              </w:divBdr>
            </w:div>
            <w:div w:id="1335454091">
              <w:marLeft w:val="0"/>
              <w:marRight w:val="0"/>
              <w:marTop w:val="0"/>
              <w:marBottom w:val="0"/>
              <w:divBdr>
                <w:top w:val="none" w:sz="0" w:space="0" w:color="auto"/>
                <w:left w:val="none" w:sz="0" w:space="0" w:color="auto"/>
                <w:bottom w:val="none" w:sz="0" w:space="0" w:color="auto"/>
                <w:right w:val="none" w:sz="0" w:space="0" w:color="auto"/>
              </w:divBdr>
            </w:div>
            <w:div w:id="774713216">
              <w:marLeft w:val="0"/>
              <w:marRight w:val="0"/>
              <w:marTop w:val="0"/>
              <w:marBottom w:val="0"/>
              <w:divBdr>
                <w:top w:val="none" w:sz="0" w:space="0" w:color="auto"/>
                <w:left w:val="none" w:sz="0" w:space="0" w:color="auto"/>
                <w:bottom w:val="none" w:sz="0" w:space="0" w:color="auto"/>
                <w:right w:val="none" w:sz="0" w:space="0" w:color="auto"/>
              </w:divBdr>
            </w:div>
            <w:div w:id="1255626966">
              <w:marLeft w:val="0"/>
              <w:marRight w:val="0"/>
              <w:marTop w:val="0"/>
              <w:marBottom w:val="0"/>
              <w:divBdr>
                <w:top w:val="none" w:sz="0" w:space="0" w:color="auto"/>
                <w:left w:val="none" w:sz="0" w:space="0" w:color="auto"/>
                <w:bottom w:val="none" w:sz="0" w:space="0" w:color="auto"/>
                <w:right w:val="none" w:sz="0" w:space="0" w:color="auto"/>
              </w:divBdr>
            </w:div>
            <w:div w:id="646473956">
              <w:marLeft w:val="0"/>
              <w:marRight w:val="0"/>
              <w:marTop w:val="0"/>
              <w:marBottom w:val="0"/>
              <w:divBdr>
                <w:top w:val="none" w:sz="0" w:space="0" w:color="auto"/>
                <w:left w:val="none" w:sz="0" w:space="0" w:color="auto"/>
                <w:bottom w:val="none" w:sz="0" w:space="0" w:color="auto"/>
                <w:right w:val="none" w:sz="0" w:space="0" w:color="auto"/>
              </w:divBdr>
            </w:div>
            <w:div w:id="426317555">
              <w:marLeft w:val="0"/>
              <w:marRight w:val="0"/>
              <w:marTop w:val="0"/>
              <w:marBottom w:val="0"/>
              <w:divBdr>
                <w:top w:val="none" w:sz="0" w:space="0" w:color="auto"/>
                <w:left w:val="none" w:sz="0" w:space="0" w:color="auto"/>
                <w:bottom w:val="none" w:sz="0" w:space="0" w:color="auto"/>
                <w:right w:val="none" w:sz="0" w:space="0" w:color="auto"/>
              </w:divBdr>
            </w:div>
            <w:div w:id="1833987557">
              <w:marLeft w:val="0"/>
              <w:marRight w:val="0"/>
              <w:marTop w:val="0"/>
              <w:marBottom w:val="0"/>
              <w:divBdr>
                <w:top w:val="none" w:sz="0" w:space="0" w:color="auto"/>
                <w:left w:val="none" w:sz="0" w:space="0" w:color="auto"/>
                <w:bottom w:val="none" w:sz="0" w:space="0" w:color="auto"/>
                <w:right w:val="none" w:sz="0" w:space="0" w:color="auto"/>
              </w:divBdr>
            </w:div>
            <w:div w:id="224951640">
              <w:marLeft w:val="0"/>
              <w:marRight w:val="0"/>
              <w:marTop w:val="0"/>
              <w:marBottom w:val="0"/>
              <w:divBdr>
                <w:top w:val="none" w:sz="0" w:space="0" w:color="auto"/>
                <w:left w:val="none" w:sz="0" w:space="0" w:color="auto"/>
                <w:bottom w:val="none" w:sz="0" w:space="0" w:color="auto"/>
                <w:right w:val="none" w:sz="0" w:space="0" w:color="auto"/>
              </w:divBdr>
            </w:div>
            <w:div w:id="1294287225">
              <w:marLeft w:val="0"/>
              <w:marRight w:val="0"/>
              <w:marTop w:val="0"/>
              <w:marBottom w:val="0"/>
              <w:divBdr>
                <w:top w:val="none" w:sz="0" w:space="0" w:color="auto"/>
                <w:left w:val="none" w:sz="0" w:space="0" w:color="auto"/>
                <w:bottom w:val="none" w:sz="0" w:space="0" w:color="auto"/>
                <w:right w:val="none" w:sz="0" w:space="0" w:color="auto"/>
              </w:divBdr>
            </w:div>
            <w:div w:id="1418165662">
              <w:marLeft w:val="0"/>
              <w:marRight w:val="0"/>
              <w:marTop w:val="0"/>
              <w:marBottom w:val="0"/>
              <w:divBdr>
                <w:top w:val="none" w:sz="0" w:space="0" w:color="auto"/>
                <w:left w:val="none" w:sz="0" w:space="0" w:color="auto"/>
                <w:bottom w:val="none" w:sz="0" w:space="0" w:color="auto"/>
                <w:right w:val="none" w:sz="0" w:space="0" w:color="auto"/>
              </w:divBdr>
            </w:div>
            <w:div w:id="1287127276">
              <w:marLeft w:val="0"/>
              <w:marRight w:val="0"/>
              <w:marTop w:val="0"/>
              <w:marBottom w:val="0"/>
              <w:divBdr>
                <w:top w:val="none" w:sz="0" w:space="0" w:color="auto"/>
                <w:left w:val="none" w:sz="0" w:space="0" w:color="auto"/>
                <w:bottom w:val="none" w:sz="0" w:space="0" w:color="auto"/>
                <w:right w:val="none" w:sz="0" w:space="0" w:color="auto"/>
              </w:divBdr>
            </w:div>
            <w:div w:id="1922643838">
              <w:marLeft w:val="0"/>
              <w:marRight w:val="0"/>
              <w:marTop w:val="0"/>
              <w:marBottom w:val="0"/>
              <w:divBdr>
                <w:top w:val="none" w:sz="0" w:space="0" w:color="auto"/>
                <w:left w:val="none" w:sz="0" w:space="0" w:color="auto"/>
                <w:bottom w:val="none" w:sz="0" w:space="0" w:color="auto"/>
                <w:right w:val="none" w:sz="0" w:space="0" w:color="auto"/>
              </w:divBdr>
            </w:div>
            <w:div w:id="2085178315">
              <w:marLeft w:val="0"/>
              <w:marRight w:val="0"/>
              <w:marTop w:val="0"/>
              <w:marBottom w:val="0"/>
              <w:divBdr>
                <w:top w:val="none" w:sz="0" w:space="0" w:color="auto"/>
                <w:left w:val="none" w:sz="0" w:space="0" w:color="auto"/>
                <w:bottom w:val="none" w:sz="0" w:space="0" w:color="auto"/>
                <w:right w:val="none" w:sz="0" w:space="0" w:color="auto"/>
              </w:divBdr>
            </w:div>
            <w:div w:id="1445536063">
              <w:marLeft w:val="0"/>
              <w:marRight w:val="0"/>
              <w:marTop w:val="0"/>
              <w:marBottom w:val="0"/>
              <w:divBdr>
                <w:top w:val="none" w:sz="0" w:space="0" w:color="auto"/>
                <w:left w:val="none" w:sz="0" w:space="0" w:color="auto"/>
                <w:bottom w:val="none" w:sz="0" w:space="0" w:color="auto"/>
                <w:right w:val="none" w:sz="0" w:space="0" w:color="auto"/>
              </w:divBdr>
            </w:div>
            <w:div w:id="40715757">
              <w:marLeft w:val="0"/>
              <w:marRight w:val="0"/>
              <w:marTop w:val="0"/>
              <w:marBottom w:val="0"/>
              <w:divBdr>
                <w:top w:val="none" w:sz="0" w:space="0" w:color="auto"/>
                <w:left w:val="none" w:sz="0" w:space="0" w:color="auto"/>
                <w:bottom w:val="none" w:sz="0" w:space="0" w:color="auto"/>
                <w:right w:val="none" w:sz="0" w:space="0" w:color="auto"/>
              </w:divBdr>
            </w:div>
            <w:div w:id="1045789111">
              <w:marLeft w:val="0"/>
              <w:marRight w:val="0"/>
              <w:marTop w:val="0"/>
              <w:marBottom w:val="0"/>
              <w:divBdr>
                <w:top w:val="none" w:sz="0" w:space="0" w:color="auto"/>
                <w:left w:val="none" w:sz="0" w:space="0" w:color="auto"/>
                <w:bottom w:val="none" w:sz="0" w:space="0" w:color="auto"/>
                <w:right w:val="none" w:sz="0" w:space="0" w:color="auto"/>
              </w:divBdr>
            </w:div>
            <w:div w:id="497578591">
              <w:marLeft w:val="0"/>
              <w:marRight w:val="0"/>
              <w:marTop w:val="0"/>
              <w:marBottom w:val="0"/>
              <w:divBdr>
                <w:top w:val="none" w:sz="0" w:space="0" w:color="auto"/>
                <w:left w:val="none" w:sz="0" w:space="0" w:color="auto"/>
                <w:bottom w:val="none" w:sz="0" w:space="0" w:color="auto"/>
                <w:right w:val="none" w:sz="0" w:space="0" w:color="auto"/>
              </w:divBdr>
            </w:div>
            <w:div w:id="1132019201">
              <w:marLeft w:val="0"/>
              <w:marRight w:val="0"/>
              <w:marTop w:val="0"/>
              <w:marBottom w:val="0"/>
              <w:divBdr>
                <w:top w:val="none" w:sz="0" w:space="0" w:color="auto"/>
                <w:left w:val="none" w:sz="0" w:space="0" w:color="auto"/>
                <w:bottom w:val="none" w:sz="0" w:space="0" w:color="auto"/>
                <w:right w:val="none" w:sz="0" w:space="0" w:color="auto"/>
              </w:divBdr>
            </w:div>
            <w:div w:id="1093013256">
              <w:marLeft w:val="0"/>
              <w:marRight w:val="0"/>
              <w:marTop w:val="0"/>
              <w:marBottom w:val="0"/>
              <w:divBdr>
                <w:top w:val="none" w:sz="0" w:space="0" w:color="auto"/>
                <w:left w:val="none" w:sz="0" w:space="0" w:color="auto"/>
                <w:bottom w:val="none" w:sz="0" w:space="0" w:color="auto"/>
                <w:right w:val="none" w:sz="0" w:space="0" w:color="auto"/>
              </w:divBdr>
            </w:div>
            <w:div w:id="646933068">
              <w:marLeft w:val="0"/>
              <w:marRight w:val="0"/>
              <w:marTop w:val="0"/>
              <w:marBottom w:val="0"/>
              <w:divBdr>
                <w:top w:val="none" w:sz="0" w:space="0" w:color="auto"/>
                <w:left w:val="none" w:sz="0" w:space="0" w:color="auto"/>
                <w:bottom w:val="none" w:sz="0" w:space="0" w:color="auto"/>
                <w:right w:val="none" w:sz="0" w:space="0" w:color="auto"/>
              </w:divBdr>
            </w:div>
            <w:div w:id="426776736">
              <w:marLeft w:val="0"/>
              <w:marRight w:val="0"/>
              <w:marTop w:val="0"/>
              <w:marBottom w:val="0"/>
              <w:divBdr>
                <w:top w:val="none" w:sz="0" w:space="0" w:color="auto"/>
                <w:left w:val="none" w:sz="0" w:space="0" w:color="auto"/>
                <w:bottom w:val="none" w:sz="0" w:space="0" w:color="auto"/>
                <w:right w:val="none" w:sz="0" w:space="0" w:color="auto"/>
              </w:divBdr>
            </w:div>
            <w:div w:id="1014839319">
              <w:marLeft w:val="0"/>
              <w:marRight w:val="0"/>
              <w:marTop w:val="0"/>
              <w:marBottom w:val="0"/>
              <w:divBdr>
                <w:top w:val="none" w:sz="0" w:space="0" w:color="auto"/>
                <w:left w:val="none" w:sz="0" w:space="0" w:color="auto"/>
                <w:bottom w:val="none" w:sz="0" w:space="0" w:color="auto"/>
                <w:right w:val="none" w:sz="0" w:space="0" w:color="auto"/>
              </w:divBdr>
            </w:div>
            <w:div w:id="1840734191">
              <w:marLeft w:val="0"/>
              <w:marRight w:val="0"/>
              <w:marTop w:val="0"/>
              <w:marBottom w:val="0"/>
              <w:divBdr>
                <w:top w:val="none" w:sz="0" w:space="0" w:color="auto"/>
                <w:left w:val="none" w:sz="0" w:space="0" w:color="auto"/>
                <w:bottom w:val="none" w:sz="0" w:space="0" w:color="auto"/>
                <w:right w:val="none" w:sz="0" w:space="0" w:color="auto"/>
              </w:divBdr>
            </w:div>
            <w:div w:id="2145418792">
              <w:marLeft w:val="0"/>
              <w:marRight w:val="0"/>
              <w:marTop w:val="0"/>
              <w:marBottom w:val="0"/>
              <w:divBdr>
                <w:top w:val="none" w:sz="0" w:space="0" w:color="auto"/>
                <w:left w:val="none" w:sz="0" w:space="0" w:color="auto"/>
                <w:bottom w:val="none" w:sz="0" w:space="0" w:color="auto"/>
                <w:right w:val="none" w:sz="0" w:space="0" w:color="auto"/>
              </w:divBdr>
            </w:div>
            <w:div w:id="1911622603">
              <w:marLeft w:val="0"/>
              <w:marRight w:val="0"/>
              <w:marTop w:val="0"/>
              <w:marBottom w:val="0"/>
              <w:divBdr>
                <w:top w:val="none" w:sz="0" w:space="0" w:color="auto"/>
                <w:left w:val="none" w:sz="0" w:space="0" w:color="auto"/>
                <w:bottom w:val="none" w:sz="0" w:space="0" w:color="auto"/>
                <w:right w:val="none" w:sz="0" w:space="0" w:color="auto"/>
              </w:divBdr>
            </w:div>
            <w:div w:id="1940411124">
              <w:marLeft w:val="0"/>
              <w:marRight w:val="0"/>
              <w:marTop w:val="0"/>
              <w:marBottom w:val="0"/>
              <w:divBdr>
                <w:top w:val="none" w:sz="0" w:space="0" w:color="auto"/>
                <w:left w:val="none" w:sz="0" w:space="0" w:color="auto"/>
                <w:bottom w:val="none" w:sz="0" w:space="0" w:color="auto"/>
                <w:right w:val="none" w:sz="0" w:space="0" w:color="auto"/>
              </w:divBdr>
            </w:div>
            <w:div w:id="40372095">
              <w:marLeft w:val="0"/>
              <w:marRight w:val="0"/>
              <w:marTop w:val="0"/>
              <w:marBottom w:val="0"/>
              <w:divBdr>
                <w:top w:val="none" w:sz="0" w:space="0" w:color="auto"/>
                <w:left w:val="none" w:sz="0" w:space="0" w:color="auto"/>
                <w:bottom w:val="none" w:sz="0" w:space="0" w:color="auto"/>
                <w:right w:val="none" w:sz="0" w:space="0" w:color="auto"/>
              </w:divBdr>
            </w:div>
            <w:div w:id="265575593">
              <w:marLeft w:val="0"/>
              <w:marRight w:val="0"/>
              <w:marTop w:val="0"/>
              <w:marBottom w:val="0"/>
              <w:divBdr>
                <w:top w:val="none" w:sz="0" w:space="0" w:color="auto"/>
                <w:left w:val="none" w:sz="0" w:space="0" w:color="auto"/>
                <w:bottom w:val="none" w:sz="0" w:space="0" w:color="auto"/>
                <w:right w:val="none" w:sz="0" w:space="0" w:color="auto"/>
              </w:divBdr>
            </w:div>
            <w:div w:id="1811244945">
              <w:marLeft w:val="0"/>
              <w:marRight w:val="0"/>
              <w:marTop w:val="0"/>
              <w:marBottom w:val="0"/>
              <w:divBdr>
                <w:top w:val="none" w:sz="0" w:space="0" w:color="auto"/>
                <w:left w:val="none" w:sz="0" w:space="0" w:color="auto"/>
                <w:bottom w:val="none" w:sz="0" w:space="0" w:color="auto"/>
                <w:right w:val="none" w:sz="0" w:space="0" w:color="auto"/>
              </w:divBdr>
            </w:div>
            <w:div w:id="1141263176">
              <w:marLeft w:val="0"/>
              <w:marRight w:val="0"/>
              <w:marTop w:val="0"/>
              <w:marBottom w:val="0"/>
              <w:divBdr>
                <w:top w:val="none" w:sz="0" w:space="0" w:color="auto"/>
                <w:left w:val="none" w:sz="0" w:space="0" w:color="auto"/>
                <w:bottom w:val="none" w:sz="0" w:space="0" w:color="auto"/>
                <w:right w:val="none" w:sz="0" w:space="0" w:color="auto"/>
              </w:divBdr>
            </w:div>
            <w:div w:id="852453982">
              <w:marLeft w:val="0"/>
              <w:marRight w:val="0"/>
              <w:marTop w:val="0"/>
              <w:marBottom w:val="0"/>
              <w:divBdr>
                <w:top w:val="none" w:sz="0" w:space="0" w:color="auto"/>
                <w:left w:val="none" w:sz="0" w:space="0" w:color="auto"/>
                <w:bottom w:val="none" w:sz="0" w:space="0" w:color="auto"/>
                <w:right w:val="none" w:sz="0" w:space="0" w:color="auto"/>
              </w:divBdr>
            </w:div>
            <w:div w:id="1275556622">
              <w:marLeft w:val="0"/>
              <w:marRight w:val="0"/>
              <w:marTop w:val="0"/>
              <w:marBottom w:val="0"/>
              <w:divBdr>
                <w:top w:val="none" w:sz="0" w:space="0" w:color="auto"/>
                <w:left w:val="none" w:sz="0" w:space="0" w:color="auto"/>
                <w:bottom w:val="none" w:sz="0" w:space="0" w:color="auto"/>
                <w:right w:val="none" w:sz="0" w:space="0" w:color="auto"/>
              </w:divBdr>
            </w:div>
            <w:div w:id="2098863003">
              <w:marLeft w:val="0"/>
              <w:marRight w:val="0"/>
              <w:marTop w:val="0"/>
              <w:marBottom w:val="0"/>
              <w:divBdr>
                <w:top w:val="none" w:sz="0" w:space="0" w:color="auto"/>
                <w:left w:val="none" w:sz="0" w:space="0" w:color="auto"/>
                <w:bottom w:val="none" w:sz="0" w:space="0" w:color="auto"/>
                <w:right w:val="none" w:sz="0" w:space="0" w:color="auto"/>
              </w:divBdr>
            </w:div>
            <w:div w:id="566886496">
              <w:marLeft w:val="0"/>
              <w:marRight w:val="0"/>
              <w:marTop w:val="0"/>
              <w:marBottom w:val="0"/>
              <w:divBdr>
                <w:top w:val="none" w:sz="0" w:space="0" w:color="auto"/>
                <w:left w:val="none" w:sz="0" w:space="0" w:color="auto"/>
                <w:bottom w:val="none" w:sz="0" w:space="0" w:color="auto"/>
                <w:right w:val="none" w:sz="0" w:space="0" w:color="auto"/>
              </w:divBdr>
            </w:div>
            <w:div w:id="1788088581">
              <w:marLeft w:val="0"/>
              <w:marRight w:val="0"/>
              <w:marTop w:val="0"/>
              <w:marBottom w:val="0"/>
              <w:divBdr>
                <w:top w:val="none" w:sz="0" w:space="0" w:color="auto"/>
                <w:left w:val="none" w:sz="0" w:space="0" w:color="auto"/>
                <w:bottom w:val="none" w:sz="0" w:space="0" w:color="auto"/>
                <w:right w:val="none" w:sz="0" w:space="0" w:color="auto"/>
              </w:divBdr>
            </w:div>
            <w:div w:id="9185909">
              <w:marLeft w:val="0"/>
              <w:marRight w:val="0"/>
              <w:marTop w:val="0"/>
              <w:marBottom w:val="0"/>
              <w:divBdr>
                <w:top w:val="none" w:sz="0" w:space="0" w:color="auto"/>
                <w:left w:val="none" w:sz="0" w:space="0" w:color="auto"/>
                <w:bottom w:val="none" w:sz="0" w:space="0" w:color="auto"/>
                <w:right w:val="none" w:sz="0" w:space="0" w:color="auto"/>
              </w:divBdr>
            </w:div>
            <w:div w:id="1352217423">
              <w:marLeft w:val="0"/>
              <w:marRight w:val="0"/>
              <w:marTop w:val="0"/>
              <w:marBottom w:val="0"/>
              <w:divBdr>
                <w:top w:val="none" w:sz="0" w:space="0" w:color="auto"/>
                <w:left w:val="none" w:sz="0" w:space="0" w:color="auto"/>
                <w:bottom w:val="none" w:sz="0" w:space="0" w:color="auto"/>
                <w:right w:val="none" w:sz="0" w:space="0" w:color="auto"/>
              </w:divBdr>
            </w:div>
            <w:div w:id="1654144627">
              <w:marLeft w:val="0"/>
              <w:marRight w:val="0"/>
              <w:marTop w:val="0"/>
              <w:marBottom w:val="0"/>
              <w:divBdr>
                <w:top w:val="none" w:sz="0" w:space="0" w:color="auto"/>
                <w:left w:val="none" w:sz="0" w:space="0" w:color="auto"/>
                <w:bottom w:val="none" w:sz="0" w:space="0" w:color="auto"/>
                <w:right w:val="none" w:sz="0" w:space="0" w:color="auto"/>
              </w:divBdr>
            </w:div>
            <w:div w:id="1384136518">
              <w:marLeft w:val="0"/>
              <w:marRight w:val="0"/>
              <w:marTop w:val="0"/>
              <w:marBottom w:val="0"/>
              <w:divBdr>
                <w:top w:val="none" w:sz="0" w:space="0" w:color="auto"/>
                <w:left w:val="none" w:sz="0" w:space="0" w:color="auto"/>
                <w:bottom w:val="none" w:sz="0" w:space="0" w:color="auto"/>
                <w:right w:val="none" w:sz="0" w:space="0" w:color="auto"/>
              </w:divBdr>
            </w:div>
            <w:div w:id="38289520">
              <w:marLeft w:val="0"/>
              <w:marRight w:val="0"/>
              <w:marTop w:val="0"/>
              <w:marBottom w:val="0"/>
              <w:divBdr>
                <w:top w:val="none" w:sz="0" w:space="0" w:color="auto"/>
                <w:left w:val="none" w:sz="0" w:space="0" w:color="auto"/>
                <w:bottom w:val="none" w:sz="0" w:space="0" w:color="auto"/>
                <w:right w:val="none" w:sz="0" w:space="0" w:color="auto"/>
              </w:divBdr>
            </w:div>
            <w:div w:id="541601651">
              <w:marLeft w:val="0"/>
              <w:marRight w:val="0"/>
              <w:marTop w:val="0"/>
              <w:marBottom w:val="0"/>
              <w:divBdr>
                <w:top w:val="none" w:sz="0" w:space="0" w:color="auto"/>
                <w:left w:val="none" w:sz="0" w:space="0" w:color="auto"/>
                <w:bottom w:val="none" w:sz="0" w:space="0" w:color="auto"/>
                <w:right w:val="none" w:sz="0" w:space="0" w:color="auto"/>
              </w:divBdr>
            </w:div>
            <w:div w:id="1651976251">
              <w:marLeft w:val="0"/>
              <w:marRight w:val="0"/>
              <w:marTop w:val="0"/>
              <w:marBottom w:val="0"/>
              <w:divBdr>
                <w:top w:val="none" w:sz="0" w:space="0" w:color="auto"/>
                <w:left w:val="none" w:sz="0" w:space="0" w:color="auto"/>
                <w:bottom w:val="none" w:sz="0" w:space="0" w:color="auto"/>
                <w:right w:val="none" w:sz="0" w:space="0" w:color="auto"/>
              </w:divBdr>
            </w:div>
            <w:div w:id="2146003064">
              <w:marLeft w:val="0"/>
              <w:marRight w:val="0"/>
              <w:marTop w:val="0"/>
              <w:marBottom w:val="0"/>
              <w:divBdr>
                <w:top w:val="none" w:sz="0" w:space="0" w:color="auto"/>
                <w:left w:val="none" w:sz="0" w:space="0" w:color="auto"/>
                <w:bottom w:val="none" w:sz="0" w:space="0" w:color="auto"/>
                <w:right w:val="none" w:sz="0" w:space="0" w:color="auto"/>
              </w:divBdr>
            </w:div>
            <w:div w:id="1884559841">
              <w:marLeft w:val="0"/>
              <w:marRight w:val="0"/>
              <w:marTop w:val="0"/>
              <w:marBottom w:val="0"/>
              <w:divBdr>
                <w:top w:val="none" w:sz="0" w:space="0" w:color="auto"/>
                <w:left w:val="none" w:sz="0" w:space="0" w:color="auto"/>
                <w:bottom w:val="none" w:sz="0" w:space="0" w:color="auto"/>
                <w:right w:val="none" w:sz="0" w:space="0" w:color="auto"/>
              </w:divBdr>
            </w:div>
            <w:div w:id="1257639342">
              <w:marLeft w:val="0"/>
              <w:marRight w:val="0"/>
              <w:marTop w:val="0"/>
              <w:marBottom w:val="0"/>
              <w:divBdr>
                <w:top w:val="none" w:sz="0" w:space="0" w:color="auto"/>
                <w:left w:val="none" w:sz="0" w:space="0" w:color="auto"/>
                <w:bottom w:val="none" w:sz="0" w:space="0" w:color="auto"/>
                <w:right w:val="none" w:sz="0" w:space="0" w:color="auto"/>
              </w:divBdr>
            </w:div>
            <w:div w:id="1508443384">
              <w:marLeft w:val="0"/>
              <w:marRight w:val="0"/>
              <w:marTop w:val="0"/>
              <w:marBottom w:val="0"/>
              <w:divBdr>
                <w:top w:val="none" w:sz="0" w:space="0" w:color="auto"/>
                <w:left w:val="none" w:sz="0" w:space="0" w:color="auto"/>
                <w:bottom w:val="none" w:sz="0" w:space="0" w:color="auto"/>
                <w:right w:val="none" w:sz="0" w:space="0" w:color="auto"/>
              </w:divBdr>
            </w:div>
            <w:div w:id="580914454">
              <w:marLeft w:val="0"/>
              <w:marRight w:val="0"/>
              <w:marTop w:val="0"/>
              <w:marBottom w:val="0"/>
              <w:divBdr>
                <w:top w:val="none" w:sz="0" w:space="0" w:color="auto"/>
                <w:left w:val="none" w:sz="0" w:space="0" w:color="auto"/>
                <w:bottom w:val="none" w:sz="0" w:space="0" w:color="auto"/>
                <w:right w:val="none" w:sz="0" w:space="0" w:color="auto"/>
              </w:divBdr>
            </w:div>
            <w:div w:id="299580745">
              <w:marLeft w:val="0"/>
              <w:marRight w:val="0"/>
              <w:marTop w:val="0"/>
              <w:marBottom w:val="0"/>
              <w:divBdr>
                <w:top w:val="none" w:sz="0" w:space="0" w:color="auto"/>
                <w:left w:val="none" w:sz="0" w:space="0" w:color="auto"/>
                <w:bottom w:val="none" w:sz="0" w:space="0" w:color="auto"/>
                <w:right w:val="none" w:sz="0" w:space="0" w:color="auto"/>
              </w:divBdr>
            </w:div>
            <w:div w:id="607011373">
              <w:marLeft w:val="0"/>
              <w:marRight w:val="0"/>
              <w:marTop w:val="0"/>
              <w:marBottom w:val="0"/>
              <w:divBdr>
                <w:top w:val="none" w:sz="0" w:space="0" w:color="auto"/>
                <w:left w:val="none" w:sz="0" w:space="0" w:color="auto"/>
                <w:bottom w:val="none" w:sz="0" w:space="0" w:color="auto"/>
                <w:right w:val="none" w:sz="0" w:space="0" w:color="auto"/>
              </w:divBdr>
            </w:div>
            <w:div w:id="1592853182">
              <w:marLeft w:val="0"/>
              <w:marRight w:val="0"/>
              <w:marTop w:val="0"/>
              <w:marBottom w:val="0"/>
              <w:divBdr>
                <w:top w:val="none" w:sz="0" w:space="0" w:color="auto"/>
                <w:left w:val="none" w:sz="0" w:space="0" w:color="auto"/>
                <w:bottom w:val="none" w:sz="0" w:space="0" w:color="auto"/>
                <w:right w:val="none" w:sz="0" w:space="0" w:color="auto"/>
              </w:divBdr>
            </w:div>
            <w:div w:id="125882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255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0" Type="http://schemas.openxmlformats.org/officeDocument/2006/relationships/hyperlink" Target="http://www.ncbi.nlm.nih.gov/pubmed/17319909" TargetMode="External"/><Relationship Id="rId4" Type="http://schemas.openxmlformats.org/officeDocument/2006/relationships/settings" Target="settings.xml"/><Relationship Id="rId9" Type="http://schemas.openxmlformats.org/officeDocument/2006/relationships/hyperlink" Target="mailto:hanno.riess@charite.de"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___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plotArea>
      <c:layout>
        <c:manualLayout>
          <c:layoutTarget val="inner"/>
          <c:xMode val="edge"/>
          <c:yMode val="edge"/>
          <c:x val="0.12923076923076901"/>
          <c:y val="9.6330275229357804E-2"/>
          <c:w val="0.81230769230769195"/>
          <c:h val="0.73165137614678899"/>
        </c:manualLayout>
      </c:layout>
      <c:barChart>
        <c:barDir val="col"/>
        <c:grouping val="clustered"/>
        <c:varyColors val="0"/>
        <c:ser>
          <c:idx val="0"/>
          <c:order val="0"/>
          <c:tx>
            <c:strRef>
              <c:f>Sheet1!$B$2</c:f>
              <c:strCache>
                <c:ptCount val="1"/>
                <c:pt idx="0">
                  <c:v>VTE-Inzidenzrate (pro 100 Patientenjahre; alle Tumorstadien)</c:v>
                </c:pt>
              </c:strCache>
            </c:strRef>
          </c:tx>
          <c:spPr>
            <a:solidFill>
              <a:schemeClr val="accent3"/>
            </a:solidFill>
            <a:ln>
              <a:noFill/>
            </a:ln>
            <a:effectLst/>
            <a:scene3d>
              <a:camera prst="orthographicFront"/>
              <a:lightRig rig="threePt" dir="t"/>
            </a:scene3d>
            <a:sp3d>
              <a:bevelT w="25400" h="25400"/>
            </a:sp3d>
          </c:spPr>
          <c:invertIfNegative val="0"/>
          <c:dPt>
            <c:idx val="0"/>
            <c:invertIfNegative val="0"/>
            <c:bubble3D val="0"/>
            <c:spPr>
              <a:solidFill>
                <a:schemeClr val="tx1"/>
              </a:solidFill>
              <a:ln>
                <a:noFill/>
              </a:ln>
              <a:effectLst/>
              <a:scene3d>
                <a:camera prst="orthographicFront"/>
                <a:lightRig rig="threePt" dir="t"/>
              </a:scene3d>
              <a:sp3d>
                <a:bevelT w="25400" h="25400"/>
              </a:sp3d>
            </c:spPr>
          </c:dPt>
          <c:dPt>
            <c:idx val="3"/>
            <c:invertIfNegative val="0"/>
            <c:bubble3D val="0"/>
            <c:spPr>
              <a:solidFill>
                <a:schemeClr val="tx1"/>
              </a:solidFill>
              <a:ln>
                <a:noFill/>
              </a:ln>
              <a:effectLst/>
              <a:scene3d>
                <a:camera prst="orthographicFront"/>
                <a:lightRig rig="threePt" dir="t"/>
              </a:scene3d>
              <a:sp3d>
                <a:bevelT w="25400" h="25400"/>
              </a:sp3d>
            </c:spPr>
          </c:dPt>
          <c:dPt>
            <c:idx val="4"/>
            <c:invertIfNegative val="0"/>
            <c:bubble3D val="0"/>
            <c:spPr>
              <a:solidFill>
                <a:schemeClr val="tx1"/>
              </a:solidFill>
              <a:ln>
                <a:noFill/>
              </a:ln>
              <a:effectLst/>
              <a:scene3d>
                <a:camera prst="orthographicFront"/>
                <a:lightRig rig="threePt" dir="t"/>
              </a:scene3d>
              <a:sp3d>
                <a:bevelT w="25400" h="25400"/>
              </a:sp3d>
            </c:spPr>
          </c:dPt>
          <c:dPt>
            <c:idx val="8"/>
            <c:invertIfNegative val="0"/>
            <c:bubble3D val="0"/>
            <c:spPr>
              <a:solidFill>
                <a:schemeClr val="tx1"/>
              </a:solidFill>
              <a:ln>
                <a:noFill/>
              </a:ln>
              <a:effectLst/>
              <a:scene3d>
                <a:camera prst="orthographicFront"/>
                <a:lightRig rig="threePt" dir="t"/>
              </a:scene3d>
              <a:sp3d>
                <a:bevelT w="25400" h="25400"/>
              </a:sp3d>
            </c:spPr>
          </c:dPt>
          <c:dPt>
            <c:idx val="12"/>
            <c:invertIfNegative val="0"/>
            <c:bubble3D val="0"/>
            <c:spPr>
              <a:solidFill>
                <a:schemeClr val="tx1"/>
              </a:solidFill>
              <a:ln>
                <a:noFill/>
              </a:ln>
              <a:effectLst/>
              <a:scene3d>
                <a:camera prst="orthographicFront"/>
                <a:lightRig rig="threePt" dir="t"/>
              </a:scene3d>
              <a:sp3d>
                <a:bevelT w="25400" h="25400"/>
              </a:sp3d>
            </c:spPr>
          </c:dPt>
          <c:cat>
            <c:strRef>
              <c:f>Sheet1!$A$3:$A$21</c:f>
              <c:strCache>
                <c:ptCount val="19"/>
                <c:pt idx="0">
                  <c:v>Pancreas</c:v>
                </c:pt>
                <c:pt idx="1">
                  <c:v>Brain</c:v>
                </c:pt>
                <c:pt idx="2">
                  <c:v>AML</c:v>
                </c:pt>
                <c:pt idx="3">
                  <c:v>Stomach</c:v>
                </c:pt>
                <c:pt idx="4">
                  <c:v>Esophagus</c:v>
                </c:pt>
                <c:pt idx="5">
                  <c:v>Kidney</c:v>
                </c:pt>
                <c:pt idx="6">
                  <c:v>Lung</c:v>
                </c:pt>
                <c:pt idx="7">
                  <c:v>Ovaries</c:v>
                </c:pt>
                <c:pt idx="8">
                  <c:v>Liver</c:v>
                </c:pt>
                <c:pt idx="9">
                  <c:v>Lymphoma</c:v>
                </c:pt>
                <c:pt idx="10">
                  <c:v>CLL</c:v>
                </c:pt>
                <c:pt idx="11">
                  <c:v>ALL</c:v>
                </c:pt>
                <c:pt idx="12">
                  <c:v>Colon</c:v>
                </c:pt>
                <c:pt idx="13">
                  <c:v>CML</c:v>
                </c:pt>
                <c:pt idx="14">
                  <c:v>Bladder</c:v>
                </c:pt>
                <c:pt idx="15">
                  <c:v>Uterus</c:v>
                </c:pt>
                <c:pt idx="16">
                  <c:v>Prostate</c:v>
                </c:pt>
                <c:pt idx="17">
                  <c:v>Breast</c:v>
                </c:pt>
                <c:pt idx="18">
                  <c:v>Melanoma</c:v>
                </c:pt>
              </c:strCache>
            </c:strRef>
          </c:cat>
          <c:val>
            <c:numRef>
              <c:f>Sheet1!$B$3:$B$21</c:f>
              <c:numCache>
                <c:formatCode>General</c:formatCode>
                <c:ptCount val="19"/>
                <c:pt idx="0">
                  <c:v>14</c:v>
                </c:pt>
                <c:pt idx="1">
                  <c:v>11.1</c:v>
                </c:pt>
                <c:pt idx="2">
                  <c:v>7.4</c:v>
                </c:pt>
                <c:pt idx="3">
                  <c:v>7.4</c:v>
                </c:pt>
                <c:pt idx="4">
                  <c:v>5.8</c:v>
                </c:pt>
                <c:pt idx="5">
                  <c:v>4.3</c:v>
                </c:pt>
                <c:pt idx="6">
                  <c:v>4.3</c:v>
                </c:pt>
                <c:pt idx="7">
                  <c:v>4.2</c:v>
                </c:pt>
                <c:pt idx="8">
                  <c:v>4.0999999999999996</c:v>
                </c:pt>
                <c:pt idx="9">
                  <c:v>3.7</c:v>
                </c:pt>
                <c:pt idx="10">
                  <c:v>3.1</c:v>
                </c:pt>
                <c:pt idx="11">
                  <c:v>3.1</c:v>
                </c:pt>
                <c:pt idx="12">
                  <c:v>2.7</c:v>
                </c:pt>
                <c:pt idx="13">
                  <c:v>1.8</c:v>
                </c:pt>
                <c:pt idx="14">
                  <c:v>1.7</c:v>
                </c:pt>
                <c:pt idx="15">
                  <c:v>1.7</c:v>
                </c:pt>
                <c:pt idx="16">
                  <c:v>1</c:v>
                </c:pt>
                <c:pt idx="17">
                  <c:v>0.9</c:v>
                </c:pt>
                <c:pt idx="18">
                  <c:v>0.5</c:v>
                </c:pt>
              </c:numCache>
            </c:numRef>
          </c:val>
        </c:ser>
        <c:dLbls>
          <c:showLegendKey val="0"/>
          <c:showVal val="0"/>
          <c:showCatName val="0"/>
          <c:showSerName val="0"/>
          <c:showPercent val="0"/>
          <c:showBubbleSize val="0"/>
        </c:dLbls>
        <c:gapWidth val="150"/>
        <c:axId val="380738176"/>
        <c:axId val="387010944"/>
      </c:barChart>
      <c:catAx>
        <c:axId val="380738176"/>
        <c:scaling>
          <c:orientation val="minMax"/>
        </c:scaling>
        <c:delete val="0"/>
        <c:axPos val="b"/>
        <c:numFmt formatCode="General" sourceLinked="0"/>
        <c:majorTickMark val="out"/>
        <c:minorTickMark val="none"/>
        <c:tickLblPos val="nextTo"/>
        <c:spPr>
          <a:noFill/>
          <a:ln w="7249" cap="flat" cmpd="sng" algn="ctr">
            <a:solidFill>
              <a:schemeClr val="tx1">
                <a:tint val="75000"/>
              </a:schemeClr>
            </a:solidFill>
            <a:prstDash val="solid"/>
            <a:round/>
          </a:ln>
          <a:effectLst/>
        </c:spPr>
        <c:txPr>
          <a:bodyPr rot="-60000000" spcFirstLastPara="1" vertOverflow="ellipsis" vert="horz" wrap="square" anchor="ctr" anchorCtr="1"/>
          <a:lstStyle/>
          <a:p>
            <a:pPr>
              <a:defRPr sz="1142" b="0" i="0" u="none" strike="noStrike" kern="1200" baseline="0">
                <a:solidFill>
                  <a:schemeClr val="tx1"/>
                </a:solidFill>
                <a:latin typeface="+mn-lt"/>
                <a:ea typeface="+mn-ea"/>
                <a:cs typeface="+mn-cs"/>
              </a:defRPr>
            </a:pPr>
            <a:endParaRPr lang="zh-CN"/>
          </a:p>
        </c:txPr>
        <c:crossAx val="387010944"/>
        <c:crosses val="autoZero"/>
        <c:auto val="1"/>
        <c:lblAlgn val="ctr"/>
        <c:lblOffset val="100"/>
        <c:noMultiLvlLbl val="0"/>
      </c:catAx>
      <c:valAx>
        <c:axId val="387010944"/>
        <c:scaling>
          <c:orientation val="minMax"/>
        </c:scaling>
        <c:delete val="0"/>
        <c:axPos val="l"/>
        <c:majorGridlines>
          <c:spPr>
            <a:ln w="7249" cap="flat" cmpd="sng" algn="ctr">
              <a:solidFill>
                <a:schemeClr val="tx1">
                  <a:tint val="75000"/>
                </a:schemeClr>
              </a:solidFill>
              <a:prstDash val="solid"/>
              <a:round/>
            </a:ln>
            <a:effectLst/>
          </c:spPr>
        </c:majorGridlines>
        <c:numFmt formatCode="General" sourceLinked="1"/>
        <c:majorTickMark val="out"/>
        <c:minorTickMark val="none"/>
        <c:tickLblPos val="nextTo"/>
        <c:spPr>
          <a:noFill/>
          <a:ln w="7249" cap="flat" cmpd="sng" algn="ctr">
            <a:solidFill>
              <a:schemeClr val="tx1">
                <a:tint val="75000"/>
              </a:schemeClr>
            </a:solidFill>
            <a:prstDash val="solid"/>
            <a:round/>
          </a:ln>
          <a:effectLst/>
        </c:spPr>
        <c:txPr>
          <a:bodyPr rot="-60000000" spcFirstLastPara="1" vertOverflow="ellipsis" vert="horz" wrap="square" anchor="ctr" anchorCtr="1"/>
          <a:lstStyle/>
          <a:p>
            <a:pPr>
              <a:defRPr sz="1142" b="0" i="0" u="none" strike="noStrike" kern="1200" baseline="0">
                <a:solidFill>
                  <a:schemeClr val="tx1"/>
                </a:solidFill>
                <a:latin typeface="+mn-lt"/>
                <a:ea typeface="+mn-ea"/>
                <a:cs typeface="+mn-cs"/>
              </a:defRPr>
            </a:pPr>
            <a:endParaRPr lang="zh-CN"/>
          </a:p>
        </c:txPr>
        <c:crossAx val="380738176"/>
        <c:crosses val="autoZero"/>
        <c:crossBetween val="between"/>
      </c:valAx>
      <c:spPr>
        <a:solidFill>
          <a:schemeClr val="bg1">
            <a:lumMod val="60000"/>
            <a:lumOff val="40000"/>
          </a:schemeClr>
        </a:solidFill>
        <a:ln>
          <a:noFill/>
        </a:ln>
        <a:effectLst/>
      </c:spPr>
    </c:plotArea>
    <c:plotVisOnly val="1"/>
    <c:dispBlanksAs val="gap"/>
    <c:showDLblsOverMax val="0"/>
  </c:chart>
  <c:spPr>
    <a:noFill/>
    <a:ln>
      <a:noFill/>
    </a:ln>
  </c:spPr>
  <c:txPr>
    <a:bodyPr/>
    <a:lstStyle/>
    <a:p>
      <a:pPr>
        <a:defRPr/>
      </a:pPr>
      <a:endParaRPr lang="zh-CN"/>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44</Pages>
  <Words>10541</Words>
  <Characters>60090</Characters>
  <Application>Microsoft Office Word</Application>
  <DocSecurity>0</DocSecurity>
  <Lines>500</Lines>
  <Paragraphs>140</Paragraphs>
  <ScaleCrop>false</ScaleCrop>
  <HeadingPairs>
    <vt:vector size="2" baseType="variant">
      <vt:variant>
        <vt:lpstr>Titel</vt:lpstr>
      </vt:variant>
      <vt:variant>
        <vt:i4>1</vt:i4>
      </vt:variant>
    </vt:vector>
  </HeadingPairs>
  <TitlesOfParts>
    <vt:vector size="1" baseType="lpstr">
      <vt:lpstr>Primary prevention and treatment of venous thromboembolic events in patients with gastrointestinal cancers – Review</vt:lpstr>
    </vt:vector>
  </TitlesOfParts>
  <Company>Charite Universitaetsmedizin Berlin</Company>
  <LinksUpToDate>false</LinksUpToDate>
  <CharactersWithSpaces>70491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Primary prevention and treatment of venous thromboembolic events in patients with gastrointestinal cancers – Review</dc:title>
  <dc:subject/>
  <dc:creator>Janssen, Anja</dc:creator>
  <cp:keywords/>
  <dc:description/>
  <cp:lastModifiedBy>Windows 用户</cp:lastModifiedBy>
  <cp:revision>3</cp:revision>
  <cp:lastPrinted>2015-11-30T15:16:00Z</cp:lastPrinted>
  <dcterms:created xsi:type="dcterms:W3CDTF">2015-12-30T00:29:00Z</dcterms:created>
  <dcterms:modified xsi:type="dcterms:W3CDTF">2016-01-04T06:31:00Z</dcterms:modified>
</cp:coreProperties>
</file>