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961" w:rsidRPr="008F0A77" w:rsidRDefault="00791961" w:rsidP="001F01CF">
      <w:pPr>
        <w:spacing w:after="0" w:line="360" w:lineRule="auto"/>
        <w:jc w:val="both"/>
        <w:rPr>
          <w:rFonts w:ascii="Book Antiqua" w:hAnsi="Book Antiqua" w:cs="Book Antiqua"/>
          <w:b/>
          <w:bCs/>
          <w:color w:val="000000"/>
          <w:sz w:val="24"/>
          <w:szCs w:val="24"/>
        </w:rPr>
      </w:pPr>
      <w:r w:rsidRPr="008F0A77">
        <w:rPr>
          <w:rFonts w:ascii="Book Antiqua" w:hAnsi="Book Antiqua" w:cs="Book Antiqua"/>
          <w:b/>
          <w:bCs/>
          <w:color w:val="000000"/>
          <w:sz w:val="24"/>
          <w:szCs w:val="24"/>
        </w:rPr>
        <w:t xml:space="preserve">Name of Journal: </w:t>
      </w:r>
      <w:r w:rsidRPr="008F0A77">
        <w:rPr>
          <w:rFonts w:ascii="Book Antiqua" w:hAnsi="Book Antiqua" w:cs="Book Antiqua"/>
          <w:b/>
          <w:bCs/>
          <w:i/>
          <w:color w:val="000000"/>
          <w:sz w:val="24"/>
          <w:szCs w:val="24"/>
        </w:rPr>
        <w:t>World Journal of Gastrointestinal Pathophysiology</w:t>
      </w:r>
    </w:p>
    <w:p w:rsidR="00791961" w:rsidRPr="008F0A77" w:rsidRDefault="00791961" w:rsidP="001F01CF">
      <w:pPr>
        <w:spacing w:after="0" w:line="360" w:lineRule="auto"/>
        <w:jc w:val="both"/>
        <w:rPr>
          <w:rFonts w:ascii="Book Antiqua" w:hAnsi="Book Antiqua" w:cs="Book Antiqua"/>
          <w:b/>
          <w:bCs/>
          <w:color w:val="000000"/>
          <w:sz w:val="24"/>
          <w:szCs w:val="24"/>
        </w:rPr>
      </w:pPr>
      <w:r w:rsidRPr="008F0A77">
        <w:rPr>
          <w:rFonts w:ascii="Book Antiqua" w:hAnsi="Book Antiqua" w:cs="Book Antiqua"/>
          <w:b/>
          <w:bCs/>
          <w:color w:val="000000"/>
          <w:sz w:val="24"/>
          <w:szCs w:val="24"/>
        </w:rPr>
        <w:t>ESPS Manuscript NO: 22072</w:t>
      </w:r>
    </w:p>
    <w:p w:rsidR="00791961" w:rsidRPr="008F0A77" w:rsidRDefault="00791961" w:rsidP="001F01CF">
      <w:pPr>
        <w:spacing w:after="0" w:line="360" w:lineRule="auto"/>
        <w:jc w:val="both"/>
        <w:rPr>
          <w:rFonts w:ascii="Book Antiqua" w:hAnsi="Book Antiqua" w:cs="Book Antiqua"/>
          <w:b/>
          <w:bCs/>
          <w:color w:val="000000"/>
          <w:sz w:val="24"/>
          <w:szCs w:val="24"/>
          <w:lang w:eastAsia="zh-CN"/>
        </w:rPr>
      </w:pPr>
      <w:r w:rsidRPr="008F0A77">
        <w:rPr>
          <w:rFonts w:ascii="Book Antiqua" w:hAnsi="Book Antiqua" w:cs="Book Antiqua"/>
          <w:b/>
          <w:bCs/>
          <w:color w:val="000000"/>
          <w:sz w:val="24"/>
          <w:szCs w:val="24"/>
        </w:rPr>
        <w:t xml:space="preserve">Manuscript Type: </w:t>
      </w:r>
      <w:r w:rsidRPr="008F0A77">
        <w:rPr>
          <w:rFonts w:ascii="Book Antiqua" w:hAnsi="Book Antiqua" w:cs="Book Antiqua"/>
          <w:b/>
          <w:bCs/>
          <w:color w:val="000000"/>
          <w:sz w:val="24"/>
          <w:szCs w:val="24"/>
          <w:lang w:eastAsia="zh-CN"/>
        </w:rPr>
        <w:t>Minir</w:t>
      </w:r>
      <w:r w:rsidRPr="008F0A77">
        <w:rPr>
          <w:rFonts w:ascii="Book Antiqua" w:hAnsi="Book Antiqua" w:cs="Book Antiqua"/>
          <w:b/>
          <w:bCs/>
          <w:color w:val="000000"/>
          <w:sz w:val="24"/>
          <w:szCs w:val="24"/>
        </w:rPr>
        <w:t>eview</w:t>
      </w:r>
      <w:r w:rsidRPr="008F0A77">
        <w:rPr>
          <w:rFonts w:ascii="Book Antiqua" w:hAnsi="Book Antiqua" w:cs="Book Antiqua"/>
          <w:b/>
          <w:bCs/>
          <w:color w:val="000000"/>
          <w:sz w:val="24"/>
          <w:szCs w:val="24"/>
          <w:lang w:eastAsia="zh-CN"/>
        </w:rPr>
        <w:t>s</w:t>
      </w:r>
    </w:p>
    <w:p w:rsidR="00791961" w:rsidRPr="008F0A77" w:rsidRDefault="00791961" w:rsidP="001F01CF">
      <w:pPr>
        <w:spacing w:after="0" w:line="360" w:lineRule="auto"/>
        <w:jc w:val="both"/>
        <w:rPr>
          <w:rFonts w:ascii="Book Antiqua" w:hAnsi="Book Antiqua" w:cs="Book Antiqua"/>
          <w:b/>
          <w:bCs/>
          <w:color w:val="000000"/>
          <w:sz w:val="24"/>
          <w:szCs w:val="24"/>
          <w:lang w:eastAsia="zh-CN"/>
        </w:rPr>
      </w:pPr>
    </w:p>
    <w:p w:rsidR="00791961" w:rsidRPr="008F0A77" w:rsidRDefault="00791961" w:rsidP="001F01CF">
      <w:pPr>
        <w:spacing w:after="0" w:line="360" w:lineRule="auto"/>
        <w:jc w:val="both"/>
        <w:rPr>
          <w:rFonts w:ascii="Book Antiqua" w:hAnsi="Book Antiqua" w:cs="Book Antiqua"/>
          <w:b/>
          <w:bCs/>
          <w:color w:val="000000"/>
          <w:sz w:val="24"/>
          <w:szCs w:val="24"/>
          <w:lang w:eastAsia="zh-CN"/>
        </w:rPr>
      </w:pPr>
      <w:r w:rsidRPr="008F0A77">
        <w:rPr>
          <w:rFonts w:ascii="Book Antiqua" w:hAnsi="Book Antiqua" w:cs="Book Antiqua"/>
          <w:b/>
          <w:bCs/>
          <w:color w:val="000000"/>
          <w:sz w:val="24"/>
          <w:szCs w:val="24"/>
        </w:rPr>
        <w:t>Mechanisms of interleukin-22</w:t>
      </w:r>
      <w:r w:rsidRPr="008F0A77">
        <w:rPr>
          <w:rFonts w:ascii="Book Antiqua" w:hAnsi="Book Antiqua" w:cs="Book Antiqua"/>
          <w:b/>
          <w:bCs/>
          <w:color w:val="000000"/>
          <w:sz w:val="24"/>
          <w:szCs w:val="24"/>
          <w:lang w:eastAsia="zh-CN"/>
        </w:rPr>
        <w:t>’</w:t>
      </w:r>
      <w:r w:rsidRPr="008F0A77">
        <w:rPr>
          <w:rFonts w:ascii="Book Antiqua" w:hAnsi="Book Antiqua" w:cs="Book Antiqua"/>
          <w:b/>
          <w:bCs/>
          <w:color w:val="000000"/>
          <w:sz w:val="24"/>
          <w:szCs w:val="24"/>
        </w:rPr>
        <w:t>s beneficial effects in acute pancreatitis</w:t>
      </w:r>
    </w:p>
    <w:p w:rsidR="00791961" w:rsidRPr="008F0A77" w:rsidRDefault="00791961" w:rsidP="001F01CF">
      <w:pPr>
        <w:spacing w:after="0" w:line="360" w:lineRule="auto"/>
        <w:jc w:val="both"/>
        <w:rPr>
          <w:rFonts w:ascii="Book Antiqua" w:hAnsi="Book Antiqua" w:cs="Book Antiqua"/>
          <w:color w:val="000000"/>
          <w:sz w:val="24"/>
          <w:szCs w:val="24"/>
          <w:lang w:eastAsia="zh-CN"/>
        </w:rPr>
      </w:pPr>
    </w:p>
    <w:p w:rsidR="00791961" w:rsidRPr="008F0A77" w:rsidRDefault="00791961" w:rsidP="001F01CF">
      <w:pPr>
        <w:spacing w:after="0" w:line="360" w:lineRule="auto"/>
        <w:jc w:val="both"/>
        <w:rPr>
          <w:rFonts w:ascii="Book Antiqua" w:hAnsi="Book Antiqua" w:cs="Book Antiqua"/>
          <w:color w:val="000000"/>
          <w:sz w:val="24"/>
          <w:szCs w:val="24"/>
          <w:lang w:eastAsia="zh-CN"/>
        </w:rPr>
      </w:pPr>
      <w:r w:rsidRPr="008F0A77">
        <w:rPr>
          <w:rFonts w:ascii="Book Antiqua" w:hAnsi="Book Antiqua" w:cs="Book Antiqua"/>
          <w:color w:val="000000"/>
          <w:sz w:val="24"/>
          <w:szCs w:val="24"/>
        </w:rPr>
        <w:t xml:space="preserve">Huan C </w:t>
      </w:r>
      <w:r w:rsidRPr="008F0A77">
        <w:rPr>
          <w:rFonts w:ascii="Book Antiqua" w:hAnsi="Book Antiqua" w:cs="Book Antiqua"/>
          <w:i/>
          <w:color w:val="000000"/>
          <w:sz w:val="24"/>
          <w:szCs w:val="24"/>
        </w:rPr>
        <w:t>et al</w:t>
      </w:r>
      <w:r w:rsidRPr="008F0A77">
        <w:rPr>
          <w:rFonts w:ascii="Book Antiqua" w:hAnsi="Book Antiqua" w:cs="Book Antiqua"/>
          <w:color w:val="000000"/>
          <w:sz w:val="24"/>
          <w:szCs w:val="24"/>
        </w:rPr>
        <w:t>. Mechanisms of IL-22 in acute pancreatitis</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lang w:eastAsia="zh-CN"/>
        </w:rPr>
      </w:pPr>
      <w:r w:rsidRPr="008F0A77">
        <w:rPr>
          <w:rFonts w:ascii="Book Antiqua" w:hAnsi="Book Antiqua" w:cs="Book Antiqua"/>
          <w:b/>
          <w:bCs/>
          <w:sz w:val="24"/>
          <w:szCs w:val="24"/>
        </w:rPr>
        <w:t>Chongmin Huan, Daniel Kim, Peiqi Ou, Antonio Alfonso, Albert Stanek</w:t>
      </w:r>
    </w:p>
    <w:p w:rsidR="00791961" w:rsidRPr="008F0A77" w:rsidRDefault="00791961" w:rsidP="001F01CF">
      <w:pPr>
        <w:spacing w:after="0" w:line="360" w:lineRule="auto"/>
        <w:jc w:val="both"/>
        <w:rPr>
          <w:rFonts w:ascii="Book Antiqua" w:hAnsi="Book Antiqua" w:cs="Book Antiqua"/>
          <w:b/>
          <w:bCs/>
          <w:sz w:val="24"/>
          <w:szCs w:val="24"/>
          <w:u w:val="single"/>
          <w:lang w:eastAsia="zh-CN"/>
        </w:rPr>
      </w:pP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b/>
          <w:bCs/>
          <w:sz w:val="24"/>
          <w:szCs w:val="24"/>
        </w:rPr>
        <w:t xml:space="preserve">Chongmin Huan, Daniel Kim, Antonio Alfonso, Albert Stanek, </w:t>
      </w:r>
      <w:r w:rsidRPr="008F0A77">
        <w:rPr>
          <w:rFonts w:ascii="Book Antiqua" w:hAnsi="Book Antiqua" w:cs="Book Antiqua"/>
          <w:sz w:val="24"/>
          <w:szCs w:val="24"/>
        </w:rPr>
        <w:t>Department of Surgery, Downstate Medical Center, State University of New York, Brooklyn, NY 11203, United States</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b/>
          <w:bCs/>
          <w:sz w:val="24"/>
          <w:szCs w:val="24"/>
        </w:rPr>
        <w:t>Peiqi Ou,</w:t>
      </w:r>
      <w:r w:rsidRPr="008F0A77">
        <w:rPr>
          <w:rFonts w:ascii="Book Antiqua" w:hAnsi="Book Antiqua" w:cs="Book Antiqua"/>
          <w:sz w:val="24"/>
          <w:szCs w:val="24"/>
        </w:rPr>
        <w:t xml:space="preserve"> Program of Molecular </w:t>
      </w:r>
      <w:r w:rsidRPr="008F0A77">
        <w:rPr>
          <w:rFonts w:ascii="Book Antiqua" w:hAnsi="Book Antiqua" w:cs="Book Antiqua"/>
          <w:sz w:val="24"/>
          <w:szCs w:val="24"/>
          <w:lang w:eastAsia="zh-CN"/>
        </w:rPr>
        <w:t>and</w:t>
      </w:r>
      <w:r w:rsidRPr="008F0A77">
        <w:rPr>
          <w:rFonts w:ascii="Book Antiqua" w:hAnsi="Book Antiqua" w:cs="Book Antiqua"/>
          <w:sz w:val="24"/>
          <w:szCs w:val="24"/>
        </w:rPr>
        <w:t xml:space="preserve"> Cellular Biology, School of Graduate Studies, Downstate Medical Center, State University of New York, Brooklyn, NY 11203, United States</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b/>
          <w:bCs/>
          <w:sz w:val="24"/>
          <w:szCs w:val="24"/>
        </w:rPr>
        <w:t>Albert Stanek</w:t>
      </w:r>
      <w:r w:rsidRPr="008F0A77">
        <w:rPr>
          <w:rFonts w:ascii="Book Antiqua" w:hAnsi="Book Antiqua" w:cs="Book Antiqua"/>
          <w:b/>
          <w:sz w:val="24"/>
          <w:szCs w:val="24"/>
        </w:rPr>
        <w:t>,</w:t>
      </w:r>
      <w:r w:rsidRPr="008F0A77">
        <w:rPr>
          <w:rFonts w:ascii="Book Antiqua" w:hAnsi="Book Antiqua" w:cs="Book Antiqua"/>
          <w:sz w:val="24"/>
          <w:szCs w:val="24"/>
        </w:rPr>
        <w:t xml:space="preserve"> Department of Pathology, Downstate Medical Center, State University of New York, Brooklyn, NY 11203, United States</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b/>
          <w:sz w:val="24"/>
          <w:szCs w:val="24"/>
        </w:rPr>
      </w:pPr>
      <w:r w:rsidRPr="008F0A77">
        <w:rPr>
          <w:rFonts w:ascii="Book Antiqua" w:hAnsi="Book Antiqua"/>
          <w:b/>
          <w:sz w:val="24"/>
          <w:szCs w:val="24"/>
        </w:rPr>
        <w:t>Author contributions:</w:t>
      </w:r>
      <w:r w:rsidRPr="008F0A77">
        <w:rPr>
          <w:rFonts w:ascii="Book Antiqua" w:hAnsi="Book Antiqua"/>
          <w:b/>
          <w:sz w:val="24"/>
          <w:szCs w:val="24"/>
          <w:lang w:eastAsia="zh-CN"/>
        </w:rPr>
        <w:t xml:space="preserve"> </w:t>
      </w:r>
      <w:r w:rsidRPr="008F0A77">
        <w:rPr>
          <w:rFonts w:ascii="Book Antiqua" w:hAnsi="Book Antiqua" w:cs="Book Antiqua"/>
          <w:sz w:val="24"/>
          <w:szCs w:val="24"/>
        </w:rPr>
        <w:t>Huan C and Kim D contributed equally to this work</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 Huan C wrote the manuscript and directed the acute pancreatitis study; Kim D generated and analyzed the major sources of data; Ou P measured IL-22 mRNA levels; Alfonso A contributed to the writing of the manuscript; Stanek A assisted the direction of the study, performed histology study, and made important revisions of the manuscript. </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sz w:val="24"/>
          <w:szCs w:val="24"/>
        </w:rPr>
      </w:pPr>
      <w:r w:rsidRPr="008F0A77">
        <w:rPr>
          <w:rFonts w:ascii="Book Antiqua" w:hAnsi="Book Antiqua"/>
          <w:b/>
          <w:sz w:val="24"/>
          <w:szCs w:val="24"/>
        </w:rPr>
        <w:t xml:space="preserve">Conflict-of-interest </w:t>
      </w:r>
      <w:bookmarkStart w:id="0" w:name="OLE_LINK24"/>
      <w:bookmarkStart w:id="1" w:name="OLE_LINK25"/>
      <w:r w:rsidRPr="008F0A77">
        <w:rPr>
          <w:rFonts w:ascii="Book Antiqua" w:hAnsi="Book Antiqua"/>
          <w:b/>
          <w:sz w:val="24"/>
          <w:szCs w:val="24"/>
        </w:rPr>
        <w:t>statement</w:t>
      </w:r>
      <w:bookmarkEnd w:id="0"/>
      <w:bookmarkEnd w:id="1"/>
      <w:r w:rsidRPr="008F0A77">
        <w:rPr>
          <w:rFonts w:ascii="Book Antiqua" w:hAnsi="Book Antiqua"/>
          <w:b/>
          <w:sz w:val="24"/>
          <w:szCs w:val="24"/>
        </w:rPr>
        <w:t>:</w:t>
      </w:r>
      <w:r w:rsidRPr="008F0A77">
        <w:rPr>
          <w:rFonts w:ascii="Book Antiqua" w:hAnsi="Book Antiqua"/>
          <w:b/>
          <w:sz w:val="24"/>
          <w:szCs w:val="24"/>
          <w:lang w:eastAsia="zh-CN"/>
        </w:rPr>
        <w:t xml:space="preserve"> </w:t>
      </w:r>
      <w:r w:rsidRPr="008F0A77">
        <w:rPr>
          <w:rStyle w:val="Emphasis"/>
          <w:rFonts w:ascii="Book Antiqua" w:hAnsi="Book Antiqua" w:cs="Book Antiqua"/>
          <w:i w:val="0"/>
          <w:iCs w:val="0"/>
          <w:sz w:val="24"/>
          <w:szCs w:val="24"/>
          <w:shd w:val="clear" w:color="auto" w:fill="FFFFFF"/>
        </w:rPr>
        <w:t>We declare no conflicts of interest.</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sz w:val="24"/>
          <w:szCs w:val="24"/>
        </w:rPr>
      </w:pPr>
      <w:bookmarkStart w:id="2" w:name="OLE_LINK507"/>
      <w:bookmarkStart w:id="3" w:name="OLE_LINK506"/>
      <w:bookmarkStart w:id="4" w:name="OLE_LINK496"/>
      <w:bookmarkStart w:id="5" w:name="OLE_LINK479"/>
      <w:r w:rsidRPr="008F0A77">
        <w:rPr>
          <w:rFonts w:ascii="Book Antiqua" w:hAnsi="Book Antiqua"/>
          <w:b/>
          <w:sz w:val="24"/>
          <w:szCs w:val="24"/>
        </w:rPr>
        <w:lastRenderedPageBreak/>
        <w:t xml:space="preserve">Open-Access: </w:t>
      </w:r>
      <w:r w:rsidRPr="008F0A77">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D4014D">
      <w:pPr>
        <w:spacing w:after="0" w:line="360" w:lineRule="auto"/>
        <w:ind w:rightChars="50" w:right="110"/>
        <w:jc w:val="both"/>
        <w:rPr>
          <w:rFonts w:ascii="Book Antiqua" w:hAnsi="Book Antiqua" w:cs="Arial"/>
          <w:b/>
          <w:bCs/>
          <w:sz w:val="24"/>
          <w:szCs w:val="24"/>
        </w:rPr>
      </w:pPr>
      <w:r w:rsidRPr="008F0A77">
        <w:rPr>
          <w:rFonts w:ascii="Book Antiqua" w:hAnsi="Book Antiqua"/>
          <w:b/>
          <w:sz w:val="24"/>
          <w:szCs w:val="24"/>
        </w:rPr>
        <w:t>Correspondence to:</w:t>
      </w:r>
      <w:r w:rsidRPr="008F0A77">
        <w:rPr>
          <w:rFonts w:ascii="Book Antiqua" w:hAnsi="Book Antiqua" w:cs="Arial"/>
          <w:b/>
          <w:bCs/>
          <w:sz w:val="24"/>
          <w:szCs w:val="24"/>
          <w:lang w:eastAsia="zh-CN"/>
        </w:rPr>
        <w:t xml:space="preserve"> </w:t>
      </w:r>
      <w:r w:rsidRPr="008F0A77">
        <w:rPr>
          <w:rFonts w:ascii="Book Antiqua" w:hAnsi="Book Antiqua" w:cs="Book Antiqua"/>
          <w:b/>
          <w:bCs/>
          <w:sz w:val="24"/>
          <w:szCs w:val="24"/>
        </w:rPr>
        <w:t>Chongmin Huan, MD, PhD,</w:t>
      </w:r>
      <w:r w:rsidRPr="008F0A77">
        <w:rPr>
          <w:rFonts w:ascii="Book Antiqua" w:hAnsi="Book Antiqua" w:cs="Book Antiqua"/>
          <w:sz w:val="24"/>
          <w:szCs w:val="24"/>
        </w:rPr>
        <w:t xml:space="preserve"> </w:t>
      </w:r>
      <w:r w:rsidRPr="008F0A77">
        <w:rPr>
          <w:rFonts w:ascii="Book Antiqua" w:hAnsi="Book Antiqua" w:cs="Book Antiqua"/>
          <w:b/>
          <w:sz w:val="24"/>
          <w:szCs w:val="24"/>
        </w:rPr>
        <w:t>Assistant Professor,</w:t>
      </w:r>
      <w:r w:rsidRPr="008F0A77">
        <w:rPr>
          <w:rFonts w:ascii="Book Antiqua" w:hAnsi="Book Antiqua" w:cs="Book Antiqua"/>
          <w:sz w:val="24"/>
          <w:szCs w:val="24"/>
        </w:rPr>
        <w:t xml:space="preserve"> Department of Surgery, Downstate Medical Center, State University of New York,</w:t>
      </w:r>
      <w:r w:rsidRPr="008F0A77">
        <w:rPr>
          <w:rFonts w:ascii="Book Antiqua" w:hAnsi="Book Antiqua" w:cs="Book Antiqua"/>
          <w:sz w:val="24"/>
          <w:szCs w:val="24"/>
          <w:lang w:eastAsia="zh-CN"/>
        </w:rPr>
        <w:t xml:space="preserve"> </w:t>
      </w:r>
      <w:r w:rsidRPr="008F0A77">
        <w:rPr>
          <w:rFonts w:ascii="Book Antiqua" w:hAnsi="Book Antiqua" w:cs="Book Antiqua"/>
          <w:sz w:val="24"/>
          <w:szCs w:val="24"/>
        </w:rPr>
        <w:t>450 Clarkson Avenue, Brooklyn</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 NY 11203, United States. chongmin.huan@downstate.edu </w:t>
      </w: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b/>
          <w:bCs/>
          <w:color w:val="000000"/>
          <w:sz w:val="24"/>
          <w:szCs w:val="24"/>
        </w:rPr>
        <w:t>Telephone:</w:t>
      </w:r>
      <w:r w:rsidRPr="008F0A77">
        <w:rPr>
          <w:rFonts w:ascii="Book Antiqua" w:hAnsi="Book Antiqua"/>
          <w:color w:val="000000"/>
          <w:sz w:val="24"/>
          <w:szCs w:val="24"/>
        </w:rPr>
        <w:t xml:space="preserve"> </w:t>
      </w:r>
      <w:r w:rsidRPr="008F0A77">
        <w:rPr>
          <w:rFonts w:ascii="Book Antiqua" w:hAnsi="Book Antiqua" w:cs="Book Antiqua"/>
          <w:sz w:val="24"/>
          <w:szCs w:val="24"/>
        </w:rPr>
        <w:t>+1-718-2706772</w:t>
      </w: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b/>
          <w:bCs/>
          <w:sz w:val="24"/>
          <w:szCs w:val="24"/>
        </w:rPr>
        <w:t>Fax</w:t>
      </w:r>
      <w:r w:rsidRPr="008F0A77">
        <w:rPr>
          <w:rFonts w:ascii="Book Antiqua" w:hAnsi="Book Antiqua" w:cs="Book Antiqua"/>
          <w:b/>
          <w:sz w:val="24"/>
          <w:szCs w:val="24"/>
        </w:rPr>
        <w:t xml:space="preserve">: </w:t>
      </w:r>
      <w:r w:rsidRPr="008F0A77">
        <w:rPr>
          <w:rFonts w:ascii="Book Antiqua" w:hAnsi="Book Antiqua" w:cs="Book Antiqua"/>
          <w:sz w:val="24"/>
          <w:szCs w:val="24"/>
        </w:rPr>
        <w:t>+1-718-2216132</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b/>
          <w:sz w:val="24"/>
          <w:szCs w:val="24"/>
          <w:lang w:eastAsia="zh-CN"/>
        </w:rPr>
      </w:pPr>
      <w:r w:rsidRPr="008F0A77">
        <w:rPr>
          <w:rFonts w:ascii="Book Antiqua" w:hAnsi="Book Antiqua"/>
          <w:b/>
          <w:sz w:val="24"/>
          <w:szCs w:val="24"/>
        </w:rPr>
        <w:t xml:space="preserve">Received: </w:t>
      </w:r>
      <w:r w:rsidRPr="008F0A77">
        <w:rPr>
          <w:rFonts w:ascii="Book Antiqua" w:hAnsi="Book Antiqua"/>
          <w:sz w:val="24"/>
        </w:rPr>
        <w:t>August</w:t>
      </w:r>
      <w:r w:rsidRPr="008F0A77">
        <w:rPr>
          <w:rFonts w:ascii="Book Antiqua" w:hAnsi="Book Antiqua"/>
          <w:sz w:val="24"/>
          <w:lang w:eastAsia="zh-CN"/>
        </w:rPr>
        <w:t xml:space="preserve"> 11, 2015</w:t>
      </w:r>
    </w:p>
    <w:p w:rsidR="00791961" w:rsidRPr="008F0A77" w:rsidRDefault="00791961" w:rsidP="001F01CF">
      <w:pPr>
        <w:spacing w:after="0" w:line="360" w:lineRule="auto"/>
        <w:jc w:val="both"/>
        <w:rPr>
          <w:rFonts w:ascii="Book Antiqua" w:hAnsi="Book Antiqua"/>
          <w:b/>
          <w:sz w:val="24"/>
          <w:szCs w:val="24"/>
          <w:lang w:eastAsia="zh-CN"/>
        </w:rPr>
      </w:pPr>
      <w:r w:rsidRPr="008F0A77">
        <w:rPr>
          <w:rFonts w:ascii="Book Antiqua" w:hAnsi="Book Antiqua"/>
          <w:b/>
          <w:sz w:val="24"/>
          <w:szCs w:val="24"/>
        </w:rPr>
        <w:t>Peer-review started:</w:t>
      </w:r>
      <w:r w:rsidRPr="008F0A77">
        <w:rPr>
          <w:rFonts w:ascii="Book Antiqua" w:hAnsi="Book Antiqua"/>
          <w:b/>
          <w:sz w:val="24"/>
          <w:szCs w:val="24"/>
          <w:lang w:eastAsia="zh-CN"/>
        </w:rPr>
        <w:t xml:space="preserve"> </w:t>
      </w:r>
      <w:r w:rsidRPr="008F0A77">
        <w:rPr>
          <w:rFonts w:ascii="Book Antiqua" w:hAnsi="Book Antiqua"/>
          <w:sz w:val="24"/>
        </w:rPr>
        <w:t>August</w:t>
      </w:r>
      <w:r w:rsidRPr="008F0A77">
        <w:rPr>
          <w:rFonts w:ascii="Book Antiqua" w:hAnsi="Book Antiqua"/>
          <w:sz w:val="24"/>
          <w:lang w:eastAsia="zh-CN"/>
        </w:rPr>
        <w:t xml:space="preserve"> 11, 2015</w:t>
      </w:r>
    </w:p>
    <w:p w:rsidR="00791961" w:rsidRPr="008F0A77" w:rsidRDefault="00791961" w:rsidP="001F01CF">
      <w:pPr>
        <w:spacing w:after="0" w:line="360" w:lineRule="auto"/>
        <w:rPr>
          <w:rFonts w:ascii="Book Antiqua" w:hAnsi="Book Antiqua"/>
          <w:sz w:val="24"/>
          <w:lang w:eastAsia="zh-CN"/>
        </w:rPr>
      </w:pPr>
      <w:r w:rsidRPr="008F0A77">
        <w:rPr>
          <w:rFonts w:ascii="Book Antiqua" w:hAnsi="Book Antiqua"/>
          <w:b/>
          <w:sz w:val="24"/>
          <w:szCs w:val="24"/>
        </w:rPr>
        <w:t>First decision:</w:t>
      </w:r>
      <w:r w:rsidRPr="008F0A77">
        <w:rPr>
          <w:rFonts w:ascii="Book Antiqua" w:hAnsi="Book Antiqua"/>
          <w:sz w:val="24"/>
          <w:szCs w:val="24"/>
        </w:rPr>
        <w:t xml:space="preserve"> </w:t>
      </w:r>
      <w:r w:rsidRPr="008F0A77">
        <w:rPr>
          <w:rFonts w:ascii="Book Antiqua" w:hAnsi="Book Antiqua"/>
          <w:sz w:val="24"/>
        </w:rPr>
        <w:t>September</w:t>
      </w:r>
      <w:r w:rsidRPr="008F0A77">
        <w:rPr>
          <w:rFonts w:ascii="Book Antiqua" w:hAnsi="Book Antiqua"/>
          <w:sz w:val="24"/>
          <w:lang w:eastAsia="zh-CN"/>
        </w:rPr>
        <w:t xml:space="preserve"> 28, 2015</w:t>
      </w:r>
    </w:p>
    <w:p w:rsidR="00791961" w:rsidRPr="008F0A77" w:rsidRDefault="00791961" w:rsidP="001F01CF">
      <w:pPr>
        <w:spacing w:after="0" w:line="360" w:lineRule="auto"/>
        <w:jc w:val="both"/>
        <w:rPr>
          <w:rFonts w:ascii="Book Antiqua" w:hAnsi="Book Antiqua"/>
          <w:b/>
          <w:sz w:val="24"/>
          <w:szCs w:val="24"/>
          <w:lang w:eastAsia="zh-CN"/>
        </w:rPr>
      </w:pPr>
      <w:r w:rsidRPr="008F0A77">
        <w:rPr>
          <w:rFonts w:ascii="Book Antiqua" w:hAnsi="Book Antiqua"/>
          <w:b/>
          <w:sz w:val="24"/>
          <w:szCs w:val="24"/>
        </w:rPr>
        <w:t xml:space="preserve">Revised: </w:t>
      </w:r>
      <w:r w:rsidRPr="008F0A77">
        <w:rPr>
          <w:rFonts w:ascii="Book Antiqua" w:hAnsi="Book Antiqua"/>
          <w:sz w:val="24"/>
        </w:rPr>
        <w:t>November</w:t>
      </w:r>
      <w:r w:rsidRPr="008F0A77">
        <w:rPr>
          <w:rFonts w:ascii="Book Antiqua" w:hAnsi="Book Antiqua"/>
          <w:sz w:val="24"/>
          <w:lang w:eastAsia="zh-CN"/>
        </w:rPr>
        <w:t xml:space="preserve"> 11, 2015</w:t>
      </w:r>
    </w:p>
    <w:p w:rsidR="00791961" w:rsidRPr="008F0A77" w:rsidRDefault="00791961" w:rsidP="001F01CF">
      <w:pPr>
        <w:spacing w:after="0" w:line="360" w:lineRule="auto"/>
        <w:jc w:val="both"/>
        <w:rPr>
          <w:rFonts w:ascii="Book Antiqua" w:hAnsi="Book Antiqua"/>
          <w:b/>
          <w:sz w:val="24"/>
          <w:szCs w:val="24"/>
        </w:rPr>
      </w:pPr>
      <w:r w:rsidRPr="008F0A77">
        <w:rPr>
          <w:rFonts w:ascii="Book Antiqua" w:hAnsi="Book Antiqua"/>
          <w:b/>
          <w:sz w:val="24"/>
          <w:szCs w:val="24"/>
        </w:rPr>
        <w:t xml:space="preserve">Accepted: </w:t>
      </w:r>
      <w:r w:rsidR="00D4014D" w:rsidRPr="00D4014D">
        <w:rPr>
          <w:rFonts w:ascii="Book Antiqua" w:hAnsi="Book Antiqua"/>
          <w:sz w:val="24"/>
          <w:szCs w:val="24"/>
        </w:rPr>
        <w:t>November 17, 2015</w:t>
      </w:r>
    </w:p>
    <w:p w:rsidR="00791961" w:rsidRPr="008F0A77" w:rsidRDefault="00791961" w:rsidP="001F01CF">
      <w:pPr>
        <w:spacing w:after="0" w:line="360" w:lineRule="auto"/>
        <w:jc w:val="both"/>
        <w:rPr>
          <w:rFonts w:ascii="Book Antiqua" w:hAnsi="Book Antiqua"/>
          <w:b/>
          <w:sz w:val="24"/>
          <w:szCs w:val="24"/>
        </w:rPr>
      </w:pPr>
      <w:r w:rsidRPr="008F0A77">
        <w:rPr>
          <w:rFonts w:ascii="Book Antiqua" w:hAnsi="Book Antiqua"/>
          <w:b/>
          <w:sz w:val="24"/>
          <w:szCs w:val="24"/>
        </w:rPr>
        <w:t>Article in press:</w:t>
      </w:r>
    </w:p>
    <w:p w:rsidR="00791961" w:rsidRPr="008F0A77" w:rsidRDefault="00791961" w:rsidP="001F01CF">
      <w:pPr>
        <w:spacing w:after="0" w:line="360" w:lineRule="auto"/>
        <w:jc w:val="both"/>
        <w:rPr>
          <w:rFonts w:ascii="Book Antiqua" w:hAnsi="Book Antiqua"/>
          <w:b/>
          <w:sz w:val="24"/>
          <w:szCs w:val="24"/>
        </w:rPr>
      </w:pPr>
      <w:r w:rsidRPr="008F0A77">
        <w:rPr>
          <w:rFonts w:ascii="Book Antiqua" w:hAnsi="Book Antiqua"/>
          <w:b/>
          <w:sz w:val="24"/>
          <w:szCs w:val="24"/>
        </w:rPr>
        <w:t xml:space="preserve">Published online: </w:t>
      </w: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sz w:val="24"/>
          <w:szCs w:val="24"/>
          <w:lang w:eastAsia="zh-CN"/>
        </w:rPr>
        <w:br w:type="page"/>
      </w:r>
      <w:r w:rsidRPr="008F0A77">
        <w:rPr>
          <w:rFonts w:ascii="Book Antiqua" w:hAnsi="Book Antiqua" w:cs="Book Antiqua"/>
          <w:b/>
          <w:bCs/>
          <w:sz w:val="24"/>
          <w:szCs w:val="24"/>
        </w:rPr>
        <w:lastRenderedPageBreak/>
        <w:t>Abstract</w:t>
      </w: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sz w:val="24"/>
          <w:szCs w:val="24"/>
        </w:rPr>
        <w:t xml:space="preserve">Acute pancreatitis (AP) is a disorder characterized by parenchymal injury of the pancreas controlled by immune cell-mediated inflammation. AP remains a significant challenge in the clinic due to a lack of specific and effective treatment. Knowledge of the </w:t>
      </w:r>
      <w:r w:rsidRPr="008F0A77">
        <w:rPr>
          <w:rFonts w:ascii="Book Antiqua" w:hAnsi="Book Antiqua" w:cs="Book Antiqua"/>
          <w:color w:val="000000"/>
          <w:sz w:val="24"/>
          <w:szCs w:val="24"/>
          <w:shd w:val="clear" w:color="auto" w:fill="FFFFFF"/>
        </w:rPr>
        <w:t>complex mechanisms that regulate the inflammatory response in AP is needed for the development of new approaches to treatment, since i</w:t>
      </w:r>
      <w:r w:rsidRPr="008F0A77">
        <w:rPr>
          <w:rFonts w:ascii="Book Antiqua" w:hAnsi="Book Antiqua" w:cs="Book Antiqua"/>
          <w:sz w:val="24"/>
          <w:szCs w:val="24"/>
        </w:rPr>
        <w:t>mmune</w:t>
      </w:r>
      <w:r w:rsidRPr="008F0A77">
        <w:rPr>
          <w:rFonts w:ascii="Book Antiqua" w:hAnsi="Book Antiqua" w:cs="Book Antiqua"/>
          <w:color w:val="000000"/>
          <w:sz w:val="24"/>
          <w:szCs w:val="24"/>
          <w:shd w:val="clear" w:color="auto" w:fill="FFFFFF"/>
        </w:rPr>
        <w:t xml:space="preserve"> cell-derived inflammatory cytokines have been recognized to play critical roles in the pathogenesis of the disease. </w:t>
      </w:r>
      <w:r w:rsidRPr="008F0A77">
        <w:rPr>
          <w:rFonts w:ascii="Book Antiqua" w:hAnsi="Book Antiqua" w:cs="Book Antiqua"/>
          <w:sz w:val="24"/>
          <w:szCs w:val="24"/>
        </w:rPr>
        <w:t xml:space="preserve">Recent studies have shown that interleukin </w:t>
      </w:r>
      <w:r w:rsidRPr="008F0A77">
        <w:rPr>
          <w:rFonts w:ascii="Book Antiqua" w:hAnsi="Book Antiqua" w:cs="Book Antiqua"/>
          <w:sz w:val="24"/>
          <w:szCs w:val="24"/>
          <w:lang w:eastAsia="zh-CN"/>
        </w:rPr>
        <w:t>(</w:t>
      </w:r>
      <w:r w:rsidRPr="008F0A77">
        <w:rPr>
          <w:rFonts w:ascii="Book Antiqua" w:hAnsi="Book Antiqua" w:cs="Book Antiqua"/>
          <w:sz w:val="24"/>
          <w:szCs w:val="24"/>
        </w:rPr>
        <w:t>IL</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-22, a cytokine secreted by leukocytes, when applied in the severe animal models of AP, protects against the inflammation-mediated acinar injury. In contrast, in a mild AP model, endogenous IL-22 has been found to be a predominantly anti-inflammatory mediator that inhibits inflammatory cell infiltration </w:t>
      </w:r>
      <w:r w:rsidRPr="008F0A77">
        <w:rPr>
          <w:rFonts w:ascii="Book Antiqua" w:hAnsi="Book Antiqua" w:cs="Book Antiqua"/>
          <w:i/>
          <w:sz w:val="24"/>
          <w:szCs w:val="24"/>
        </w:rPr>
        <w:t xml:space="preserve">via </w:t>
      </w:r>
      <w:r w:rsidRPr="008F0A77">
        <w:rPr>
          <w:rFonts w:ascii="Book Antiqua" w:hAnsi="Book Antiqua" w:cs="Book Antiqua"/>
          <w:sz w:val="24"/>
          <w:szCs w:val="24"/>
        </w:rPr>
        <w:t>the induction of Reg3 proteins in acinar cells, but does not protect against acinar injury in the early stage of AP. However, constitutively over-expressed IL-22 can prevent the initial acinar injury caused by excessive autophagy through the induction of the anti-autophagic proteins Bcl-2 and Bcl-X</w:t>
      </w:r>
      <w:r w:rsidRPr="008F0A77">
        <w:rPr>
          <w:rFonts w:ascii="Book Antiqua" w:hAnsi="Book Antiqua" w:cs="Book Antiqua"/>
          <w:sz w:val="24"/>
          <w:szCs w:val="24"/>
          <w:vertAlign w:val="subscript"/>
        </w:rPr>
        <w:t>L</w:t>
      </w:r>
      <w:r w:rsidRPr="008F0A77">
        <w:rPr>
          <w:rFonts w:ascii="Book Antiqua" w:hAnsi="Book Antiqua" w:cs="Book Antiqua"/>
          <w:sz w:val="24"/>
          <w:szCs w:val="24"/>
        </w:rPr>
        <w:t>. Thus IL-22 plays different roles in AP depending on the severity of the AP model. This review focuses on these recently reported findings for the purpose of better understanding IL-22</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s regulatory roles in AP which could help to develop a novel therapeutic strategy. </w:t>
      </w: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sz w:val="24"/>
          <w:szCs w:val="24"/>
          <w:lang w:eastAsia="zh-CN"/>
        </w:rPr>
        <w:t xml:space="preserve"> </w:t>
      </w: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b/>
          <w:bCs/>
          <w:sz w:val="24"/>
          <w:szCs w:val="24"/>
        </w:rPr>
        <w:t>Key</w:t>
      </w:r>
      <w:r w:rsidRPr="008F0A77">
        <w:rPr>
          <w:rFonts w:ascii="Book Antiqua" w:hAnsi="Book Antiqua" w:cs="Book Antiqua"/>
          <w:b/>
          <w:bCs/>
          <w:sz w:val="24"/>
          <w:szCs w:val="24"/>
          <w:lang w:eastAsia="zh-CN"/>
        </w:rPr>
        <w:t xml:space="preserve"> </w:t>
      </w:r>
      <w:r w:rsidRPr="008F0A77">
        <w:rPr>
          <w:rFonts w:ascii="Book Antiqua" w:hAnsi="Book Antiqua" w:cs="Book Antiqua"/>
          <w:b/>
          <w:bCs/>
          <w:sz w:val="24"/>
          <w:szCs w:val="24"/>
        </w:rPr>
        <w:t>words</w:t>
      </w:r>
      <w:r w:rsidRPr="008F0A77">
        <w:rPr>
          <w:rFonts w:ascii="Book Antiqua" w:hAnsi="Book Antiqua" w:cs="Book Antiqua"/>
          <w:b/>
          <w:sz w:val="24"/>
          <w:szCs w:val="24"/>
        </w:rPr>
        <w:t>:</w:t>
      </w:r>
      <w:r w:rsidRPr="008F0A77">
        <w:rPr>
          <w:rFonts w:ascii="Book Antiqua" w:hAnsi="Book Antiqua" w:cs="Book Antiqua"/>
          <w:sz w:val="24"/>
          <w:szCs w:val="24"/>
        </w:rPr>
        <w:t xml:space="preserve"> </w:t>
      </w:r>
      <w:r w:rsidRPr="008F0A77">
        <w:rPr>
          <w:rFonts w:ascii="Book Antiqua" w:hAnsi="Book Antiqua" w:cs="Book Antiqua"/>
          <w:bCs/>
          <w:color w:val="000000"/>
          <w:sz w:val="24"/>
          <w:szCs w:val="24"/>
        </w:rPr>
        <w:t>Interleukin</w:t>
      </w:r>
      <w:r w:rsidRPr="008F0A77">
        <w:rPr>
          <w:rFonts w:ascii="Book Antiqua" w:hAnsi="Book Antiqua" w:cs="Book Antiqua"/>
          <w:sz w:val="24"/>
          <w:szCs w:val="24"/>
        </w:rPr>
        <w:t>-22</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 Acute pancreatitis</w:t>
      </w:r>
      <w:r w:rsidRPr="008F0A77">
        <w:rPr>
          <w:rFonts w:ascii="Book Antiqua" w:hAnsi="Book Antiqua" w:cs="Book Antiqua"/>
          <w:sz w:val="24"/>
          <w:szCs w:val="24"/>
          <w:lang w:eastAsia="zh-CN"/>
        </w:rPr>
        <w:t xml:space="preserve">; </w:t>
      </w:r>
      <w:r w:rsidRPr="008F0A77">
        <w:rPr>
          <w:rFonts w:ascii="Book Antiqua" w:hAnsi="Book Antiqua" w:cs="Book Antiqua"/>
          <w:sz w:val="24"/>
          <w:szCs w:val="24"/>
        </w:rPr>
        <w:t>Cytokine</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 Inflammatory response</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 Acinar cell</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napToGrid w:val="0"/>
        <w:spacing w:after="0" w:line="360" w:lineRule="auto"/>
        <w:jc w:val="both"/>
        <w:rPr>
          <w:rFonts w:ascii="Book Antiqua" w:hAnsi="Book Antiqua"/>
          <w:sz w:val="24"/>
          <w:szCs w:val="24"/>
        </w:rPr>
      </w:pPr>
      <w:r w:rsidRPr="008F0A77">
        <w:rPr>
          <w:rFonts w:ascii="Book Antiqua" w:hAnsi="Book Antiqua"/>
          <w:sz w:val="24"/>
          <w:szCs w:val="24"/>
        </w:rPr>
        <w:t xml:space="preserve">© </w:t>
      </w:r>
      <w:r w:rsidRPr="008F0A77">
        <w:rPr>
          <w:rFonts w:ascii="Book Antiqua" w:hAnsi="Book Antiqua"/>
          <w:b/>
          <w:sz w:val="24"/>
          <w:szCs w:val="24"/>
        </w:rPr>
        <w:t>The Author(s) 2015</w:t>
      </w:r>
      <w:r w:rsidRPr="008F0A77">
        <w:rPr>
          <w:rFonts w:ascii="Book Antiqua" w:hAnsi="Book Antiqua"/>
          <w:sz w:val="24"/>
          <w:szCs w:val="24"/>
        </w:rPr>
        <w:t>. Published by Baishideng Publishing Group Inc. All rights reserved.</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b/>
          <w:bCs/>
          <w:sz w:val="24"/>
          <w:szCs w:val="24"/>
        </w:rPr>
        <w:t>Core tip</w:t>
      </w:r>
      <w:r w:rsidRPr="008F0A77">
        <w:rPr>
          <w:rFonts w:ascii="Book Antiqua" w:hAnsi="Book Antiqua" w:cs="Book Antiqua"/>
          <w:b/>
          <w:sz w:val="24"/>
          <w:szCs w:val="24"/>
        </w:rPr>
        <w:t>:</w:t>
      </w:r>
      <w:r w:rsidRPr="008F0A77">
        <w:rPr>
          <w:rFonts w:ascii="Book Antiqua" w:hAnsi="Book Antiqua" w:cs="Book Antiqua"/>
          <w:sz w:val="24"/>
          <w:szCs w:val="24"/>
        </w:rPr>
        <w:t xml:space="preserve"> Interleukin </w:t>
      </w:r>
      <w:r w:rsidRPr="008F0A77">
        <w:rPr>
          <w:rFonts w:ascii="Book Antiqua" w:hAnsi="Book Antiqua" w:cs="Book Antiqua"/>
          <w:sz w:val="24"/>
          <w:szCs w:val="24"/>
          <w:lang w:eastAsia="zh-CN"/>
        </w:rPr>
        <w:t>(</w:t>
      </w:r>
      <w:r w:rsidRPr="008F0A77">
        <w:rPr>
          <w:rFonts w:ascii="Book Antiqua" w:hAnsi="Book Antiqua" w:cs="Book Antiqua"/>
          <w:sz w:val="24"/>
          <w:szCs w:val="24"/>
        </w:rPr>
        <w:t>IL</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-22 has been recognized as a potential therapeutic agent for acute pancreatitis </w:t>
      </w:r>
      <w:r w:rsidRPr="008F0A77">
        <w:rPr>
          <w:rFonts w:ascii="Book Antiqua" w:hAnsi="Book Antiqua" w:cs="Book Antiqua"/>
          <w:sz w:val="24"/>
          <w:szCs w:val="24"/>
          <w:lang w:eastAsia="zh-CN"/>
        </w:rPr>
        <w:t>(</w:t>
      </w:r>
      <w:r w:rsidRPr="008F0A77">
        <w:rPr>
          <w:rFonts w:ascii="Book Antiqua" w:hAnsi="Book Antiqua" w:cs="Book Antiqua"/>
          <w:sz w:val="24"/>
          <w:szCs w:val="24"/>
        </w:rPr>
        <w:t>AP</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 treatment due to its discovered beneficial effects in inflammatory diseases. However, according to recent publications and our results, IL-22 appears to have differential effects in AP depending on the severity of the disorder. In this review we discuss the different regulatory mechanisms of IL-22 in mild and severe </w:t>
      </w:r>
      <w:r w:rsidRPr="008F0A77">
        <w:rPr>
          <w:rFonts w:ascii="Book Antiqua" w:hAnsi="Book Antiqua" w:cs="Book Antiqua"/>
          <w:sz w:val="24"/>
          <w:szCs w:val="24"/>
        </w:rPr>
        <w:lastRenderedPageBreak/>
        <w:t xml:space="preserve">AP models in order to promote development of an effective and efficient therapeutic approach. </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Cs/>
          <w:color w:val="000000"/>
          <w:sz w:val="24"/>
          <w:szCs w:val="24"/>
          <w:lang w:eastAsia="zh-CN"/>
        </w:rPr>
      </w:pPr>
      <w:r w:rsidRPr="008F0A77">
        <w:rPr>
          <w:rFonts w:ascii="Book Antiqua" w:hAnsi="Book Antiqua" w:cs="Book Antiqua"/>
          <w:bCs/>
          <w:sz w:val="24"/>
          <w:szCs w:val="24"/>
        </w:rPr>
        <w:t>Huan</w:t>
      </w:r>
      <w:r w:rsidRPr="008F0A77">
        <w:rPr>
          <w:rFonts w:ascii="Book Antiqua" w:hAnsi="Book Antiqua" w:cs="Book Antiqua"/>
          <w:bCs/>
          <w:sz w:val="24"/>
          <w:szCs w:val="24"/>
          <w:lang w:eastAsia="zh-CN"/>
        </w:rPr>
        <w:t xml:space="preserve"> C, </w:t>
      </w:r>
      <w:r w:rsidRPr="008F0A77">
        <w:rPr>
          <w:rFonts w:ascii="Book Antiqua" w:hAnsi="Book Antiqua" w:cs="Book Antiqua"/>
          <w:bCs/>
          <w:sz w:val="24"/>
          <w:szCs w:val="24"/>
        </w:rPr>
        <w:t>Kim</w:t>
      </w:r>
      <w:r w:rsidRPr="008F0A77">
        <w:rPr>
          <w:rFonts w:ascii="Book Antiqua" w:hAnsi="Book Antiqua" w:cs="Book Antiqua"/>
          <w:bCs/>
          <w:sz w:val="24"/>
          <w:szCs w:val="24"/>
          <w:lang w:eastAsia="zh-CN"/>
        </w:rPr>
        <w:t xml:space="preserve"> D, </w:t>
      </w:r>
      <w:r w:rsidRPr="008F0A77">
        <w:rPr>
          <w:rFonts w:ascii="Book Antiqua" w:hAnsi="Book Antiqua" w:cs="Book Antiqua"/>
          <w:bCs/>
          <w:sz w:val="24"/>
          <w:szCs w:val="24"/>
        </w:rPr>
        <w:t>Ou</w:t>
      </w:r>
      <w:r w:rsidRPr="008F0A77">
        <w:rPr>
          <w:rFonts w:ascii="Book Antiqua" w:hAnsi="Book Antiqua" w:cs="Book Antiqua"/>
          <w:bCs/>
          <w:sz w:val="24"/>
          <w:szCs w:val="24"/>
          <w:lang w:eastAsia="zh-CN"/>
        </w:rPr>
        <w:t xml:space="preserve"> P, </w:t>
      </w:r>
      <w:r w:rsidRPr="008F0A77">
        <w:rPr>
          <w:rFonts w:ascii="Book Antiqua" w:hAnsi="Book Antiqua" w:cs="Book Antiqua"/>
          <w:bCs/>
          <w:sz w:val="24"/>
          <w:szCs w:val="24"/>
        </w:rPr>
        <w:t>Alfonso</w:t>
      </w:r>
      <w:r w:rsidRPr="008F0A77">
        <w:rPr>
          <w:rFonts w:ascii="Book Antiqua" w:hAnsi="Book Antiqua" w:cs="Book Antiqua"/>
          <w:bCs/>
          <w:sz w:val="24"/>
          <w:szCs w:val="24"/>
          <w:lang w:eastAsia="zh-CN"/>
        </w:rPr>
        <w:t xml:space="preserve"> A, </w:t>
      </w:r>
      <w:r w:rsidRPr="008F0A77">
        <w:rPr>
          <w:rFonts w:ascii="Book Antiqua" w:hAnsi="Book Antiqua" w:cs="Book Antiqua"/>
          <w:bCs/>
          <w:sz w:val="24"/>
          <w:szCs w:val="24"/>
        </w:rPr>
        <w:t>Stanek</w:t>
      </w:r>
      <w:r w:rsidRPr="008F0A77">
        <w:rPr>
          <w:rFonts w:ascii="Book Antiqua" w:hAnsi="Book Antiqua" w:cs="Book Antiqua"/>
          <w:bCs/>
          <w:sz w:val="24"/>
          <w:szCs w:val="24"/>
          <w:lang w:eastAsia="zh-CN"/>
        </w:rPr>
        <w:t xml:space="preserve"> A. </w:t>
      </w:r>
      <w:r w:rsidRPr="008F0A77">
        <w:rPr>
          <w:rFonts w:ascii="Book Antiqua" w:hAnsi="Book Antiqua" w:cs="Book Antiqua"/>
          <w:bCs/>
          <w:color w:val="000000"/>
          <w:sz w:val="24"/>
          <w:szCs w:val="24"/>
        </w:rPr>
        <w:t>Mechanisms of interleukin-22</w:t>
      </w:r>
      <w:r w:rsidRPr="008F0A77">
        <w:rPr>
          <w:rFonts w:ascii="Book Antiqua" w:hAnsi="Book Antiqua" w:cs="Book Antiqua"/>
          <w:bCs/>
          <w:color w:val="000000"/>
          <w:sz w:val="24"/>
          <w:szCs w:val="24"/>
          <w:lang w:eastAsia="zh-CN"/>
        </w:rPr>
        <w:t>’</w:t>
      </w:r>
      <w:r w:rsidRPr="008F0A77">
        <w:rPr>
          <w:rFonts w:ascii="Book Antiqua" w:hAnsi="Book Antiqua" w:cs="Book Antiqua"/>
          <w:bCs/>
          <w:color w:val="000000"/>
          <w:sz w:val="24"/>
          <w:szCs w:val="24"/>
        </w:rPr>
        <w:t>s beneficial effects in acute pancreatitis</w:t>
      </w:r>
      <w:r w:rsidRPr="008F0A77">
        <w:rPr>
          <w:rFonts w:ascii="Book Antiqua" w:hAnsi="Book Antiqua" w:cs="Book Antiqua"/>
          <w:bCs/>
          <w:color w:val="000000"/>
          <w:sz w:val="24"/>
          <w:szCs w:val="24"/>
          <w:lang w:eastAsia="zh-CN"/>
        </w:rPr>
        <w:t xml:space="preserve">. </w:t>
      </w:r>
      <w:r w:rsidRPr="008F0A77">
        <w:rPr>
          <w:rFonts w:ascii="Book Antiqua" w:hAnsi="Book Antiqua"/>
          <w:i/>
          <w:iCs/>
          <w:sz w:val="24"/>
          <w:szCs w:val="24"/>
        </w:rPr>
        <w:t>World J Gastrointest Pathophysiol</w:t>
      </w:r>
      <w:r w:rsidRPr="008F0A77">
        <w:rPr>
          <w:rFonts w:ascii="Book Antiqua" w:hAnsi="Book Antiqua"/>
          <w:iCs/>
          <w:sz w:val="24"/>
          <w:szCs w:val="24"/>
          <w:lang w:eastAsia="zh-CN"/>
        </w:rPr>
        <w:t xml:space="preserve"> 2015; In press</w:t>
      </w:r>
    </w:p>
    <w:p w:rsidR="00791961" w:rsidRPr="008F0A77" w:rsidRDefault="00791961" w:rsidP="001F01CF">
      <w:pPr>
        <w:spacing w:after="0" w:line="360" w:lineRule="auto"/>
        <w:jc w:val="both"/>
        <w:rPr>
          <w:rFonts w:ascii="Book Antiqua" w:hAnsi="Book Antiqua" w:cs="Book Antiqua"/>
          <w:b/>
          <w:bCs/>
          <w:color w:val="000000"/>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sz w:val="24"/>
          <w:szCs w:val="24"/>
        </w:rPr>
        <w:br w:type="page"/>
      </w:r>
      <w:r w:rsidRPr="008F0A77">
        <w:rPr>
          <w:rFonts w:ascii="Book Antiqua" w:hAnsi="Book Antiqua" w:cs="Book Antiqua"/>
          <w:b/>
          <w:bCs/>
          <w:sz w:val="24"/>
          <w:szCs w:val="24"/>
        </w:rPr>
        <w:lastRenderedPageBreak/>
        <w:t>INTRODUCTION</w:t>
      </w:r>
    </w:p>
    <w:p w:rsidR="00791961" w:rsidRPr="008F0A77" w:rsidRDefault="00791961" w:rsidP="001F01CF">
      <w:pPr>
        <w:spacing w:after="0" w:line="360" w:lineRule="auto"/>
        <w:jc w:val="both"/>
        <w:rPr>
          <w:rFonts w:ascii="Book Antiqua" w:hAnsi="Book Antiqua" w:cs="Book Antiqua"/>
          <w:sz w:val="24"/>
          <w:szCs w:val="24"/>
        </w:rPr>
      </w:pPr>
      <w:r w:rsidRPr="008F0A77">
        <w:rPr>
          <w:rFonts w:ascii="Book Antiqua" w:hAnsi="Book Antiqua" w:cs="Book Antiqua"/>
          <w:sz w:val="24"/>
          <w:szCs w:val="24"/>
        </w:rPr>
        <w:t xml:space="preserve">Despite recent improvements in the management of acute pancreatitis </w:t>
      </w:r>
      <w:r w:rsidRPr="008F0A77">
        <w:rPr>
          <w:rFonts w:ascii="Book Antiqua" w:hAnsi="Book Antiqua" w:cs="Book Antiqua"/>
          <w:sz w:val="24"/>
          <w:szCs w:val="24"/>
          <w:lang w:eastAsia="zh-CN"/>
        </w:rPr>
        <w:t>(</w:t>
      </w:r>
      <w:r w:rsidRPr="008F0A77">
        <w:rPr>
          <w:rFonts w:ascii="Book Antiqua" w:hAnsi="Book Antiqua" w:cs="Book Antiqua"/>
          <w:sz w:val="24"/>
          <w:szCs w:val="24"/>
        </w:rPr>
        <w:t>AP</w:t>
      </w:r>
      <w:r w:rsidRPr="008F0A77">
        <w:rPr>
          <w:rFonts w:ascii="Book Antiqua" w:hAnsi="Book Antiqua" w:cs="Book Antiqua"/>
          <w:sz w:val="24"/>
          <w:szCs w:val="24"/>
          <w:lang w:eastAsia="zh-CN"/>
        </w:rPr>
        <w:t>)</w:t>
      </w:r>
      <w:r w:rsidRPr="008F0A77">
        <w:rPr>
          <w:rFonts w:ascii="Book Antiqua" w:hAnsi="Book Antiqua" w:cs="Book Antiqua"/>
          <w:sz w:val="24"/>
          <w:szCs w:val="24"/>
        </w:rPr>
        <w:t>, it remains a persistent challenge in clinical medicine</w:t>
      </w:r>
      <w:r w:rsidRPr="008F0A77">
        <w:rPr>
          <w:rFonts w:ascii="Book Antiqua" w:hAnsi="Book Antiqua" w:cs="Book Antiqua"/>
          <w:sz w:val="24"/>
          <w:szCs w:val="24"/>
          <w:vertAlign w:val="superscript"/>
        </w:rPr>
        <w:t>[1]</w:t>
      </w:r>
      <w:r w:rsidRPr="008F0A77">
        <w:rPr>
          <w:rFonts w:ascii="Book Antiqua" w:hAnsi="Book Antiqua" w:cs="Book Antiqua"/>
          <w:sz w:val="24"/>
          <w:szCs w:val="24"/>
        </w:rPr>
        <w:t>. In the United States, AP is the leading cause of hospitalizations among gastrointestinal diseases with a mortality rate which ranges from 3</w:t>
      </w:r>
      <w:r w:rsidRPr="008F0A77">
        <w:rPr>
          <w:rFonts w:ascii="Book Antiqua" w:hAnsi="Book Antiqua" w:cs="Book Antiqua"/>
          <w:sz w:val="24"/>
          <w:szCs w:val="24"/>
          <w:lang w:eastAsia="zh-CN"/>
        </w:rPr>
        <w:t>%</w:t>
      </w:r>
      <w:r w:rsidRPr="008F0A77">
        <w:rPr>
          <w:rFonts w:ascii="Book Antiqua" w:hAnsi="Book Antiqua" w:cs="Book Antiqua"/>
          <w:sz w:val="24"/>
          <w:szCs w:val="24"/>
        </w:rPr>
        <w:t xml:space="preserve"> to 17%. This is largely because of the unpredictable outcome early in AP, and the lack of a specific and effective treatment to block the inflammatory injury in AP</w:t>
      </w:r>
      <w:r w:rsidRPr="008F0A77">
        <w:rPr>
          <w:rFonts w:ascii="Book Antiqua" w:hAnsi="Book Antiqua" w:cs="Book Antiqua"/>
          <w:sz w:val="24"/>
          <w:szCs w:val="24"/>
          <w:vertAlign w:val="superscript"/>
        </w:rPr>
        <w:t>[2-4]</w:t>
      </w:r>
      <w:r w:rsidRPr="008F0A77">
        <w:rPr>
          <w:rFonts w:ascii="Book Antiqua" w:hAnsi="Book Antiqua" w:cs="Book Antiqua"/>
          <w:sz w:val="24"/>
          <w:szCs w:val="24"/>
        </w:rPr>
        <w:t xml:space="preserve">. Knowledge of the complex inflammatory regulation in AP is required to provide a basis for developing new strategies in the management of AP. </w:t>
      </w:r>
    </w:p>
    <w:p w:rsidR="00791961" w:rsidRPr="008F0A77" w:rsidRDefault="00791961" w:rsidP="00D4014D">
      <w:pPr>
        <w:spacing w:after="0" w:line="360" w:lineRule="auto"/>
        <w:ind w:firstLineChars="100" w:firstLine="240"/>
        <w:jc w:val="both"/>
        <w:rPr>
          <w:rFonts w:ascii="Book Antiqua" w:hAnsi="Book Antiqua" w:cs="Book Antiqua"/>
          <w:sz w:val="24"/>
          <w:szCs w:val="24"/>
        </w:rPr>
      </w:pPr>
      <w:r w:rsidRPr="008F0A77">
        <w:rPr>
          <w:rFonts w:ascii="Book Antiqua" w:hAnsi="Book Antiqua" w:cs="Book Antiqua"/>
          <w:sz w:val="24"/>
          <w:szCs w:val="24"/>
        </w:rPr>
        <w:t>The inflammation in AP is initiated by local acinar cell injury caused by ductal obstruction, bile salts, ethanol or hyperlipidemia. The injured acinar cells release inflammatory mediators which activate immune cells in the pancreas and induce inflammatory cell infiltration to promote the tissue repair</w:t>
      </w:r>
      <w:r w:rsidRPr="008F0A77">
        <w:rPr>
          <w:rFonts w:ascii="Book Antiqua" w:hAnsi="Book Antiqua" w:cs="Book Antiqua"/>
          <w:sz w:val="24"/>
          <w:szCs w:val="24"/>
          <w:vertAlign w:val="superscript"/>
        </w:rPr>
        <w:t>[5]</w:t>
      </w:r>
      <w:r w:rsidRPr="008F0A77">
        <w:rPr>
          <w:rFonts w:ascii="Book Antiqua" w:hAnsi="Book Antiqua" w:cs="Book Antiqua"/>
          <w:sz w:val="24"/>
          <w:szCs w:val="24"/>
        </w:rPr>
        <w:t>. However, if the local injury cannot be resolved, escalated cytokine production by activated immune cells may bring about more severe inflammatory damage in the pancreas</w:t>
      </w:r>
      <w:r w:rsidRPr="008F0A77">
        <w:rPr>
          <w:rFonts w:ascii="Book Antiqua" w:hAnsi="Book Antiqua" w:cs="Book Antiqua"/>
          <w:sz w:val="24"/>
          <w:szCs w:val="24"/>
          <w:vertAlign w:val="superscript"/>
        </w:rPr>
        <w:t>[6]</w:t>
      </w:r>
      <w:r w:rsidRPr="008F0A77">
        <w:rPr>
          <w:rFonts w:ascii="Book Antiqua" w:hAnsi="Book Antiqua" w:cs="Book Antiqua"/>
          <w:sz w:val="24"/>
          <w:szCs w:val="24"/>
        </w:rPr>
        <w:t>. When the pro-inflammatory response is not sufficiently countered by an anti-inflammatory mechanism, a cascade of inflammatory reactions can lead to a systemic response and result in multiple organ dysfunction syndrome (MODS)</w:t>
      </w:r>
      <w:r w:rsidRPr="008F0A77">
        <w:rPr>
          <w:rFonts w:ascii="Book Antiqua" w:hAnsi="Book Antiqua" w:cs="Book Antiqua"/>
          <w:sz w:val="24"/>
          <w:szCs w:val="24"/>
          <w:vertAlign w:val="superscript"/>
        </w:rPr>
        <w:t>[6,7]</w:t>
      </w:r>
      <w:r w:rsidRPr="008F0A77">
        <w:rPr>
          <w:rFonts w:ascii="Book Antiqua" w:hAnsi="Book Antiqua" w:cs="Book Antiqua"/>
          <w:sz w:val="24"/>
          <w:szCs w:val="24"/>
        </w:rPr>
        <w:t>. Thus cytokines control the evolution of AP by mediating the progression of the pathogenesis in AP. It is known that tumor necrosis factor</w:t>
      </w:r>
      <w:r w:rsidRPr="008F0A77">
        <w:rPr>
          <w:rFonts w:ascii="Book Antiqua" w:hAnsi="Book Antiqua" w:cs="Book Antiqua"/>
          <w:sz w:val="24"/>
          <w:szCs w:val="24"/>
          <w:lang w:eastAsia="zh-CN"/>
        </w:rPr>
        <w:t xml:space="preserve"> (</w:t>
      </w:r>
      <w:r w:rsidRPr="008F0A77">
        <w:rPr>
          <w:rFonts w:ascii="Book Antiqua" w:hAnsi="Book Antiqua" w:cs="Book Antiqua"/>
          <w:sz w:val="24"/>
          <w:szCs w:val="24"/>
        </w:rPr>
        <w:t>TNF</w:t>
      </w:r>
      <w:r w:rsidRPr="008F0A77">
        <w:rPr>
          <w:rFonts w:ascii="Book Antiqua" w:hAnsi="Book Antiqua" w:cs="Book Antiqua"/>
          <w:sz w:val="24"/>
          <w:szCs w:val="24"/>
          <w:lang w:eastAsia="zh-CN"/>
        </w:rPr>
        <w:t>)</w:t>
      </w:r>
      <w:r w:rsidRPr="008F0A77">
        <w:rPr>
          <w:rFonts w:ascii="Book Antiqua" w:hAnsi="Book Antiqua" w:cs="Book Antiqua"/>
          <w:sz w:val="24"/>
          <w:szCs w:val="24"/>
        </w:rPr>
        <w:t>, interleukin (IL)-1, IL-6, IL-8, platelet activating factor and chemokines are major pro-inflammatory cytokines in AP, whereas IL-10 is an anti-inflammatory mediator</w:t>
      </w:r>
      <w:r w:rsidRPr="008F0A77">
        <w:rPr>
          <w:rFonts w:ascii="Book Antiqua" w:hAnsi="Book Antiqua" w:cs="Book Antiqua"/>
          <w:sz w:val="24"/>
          <w:szCs w:val="24"/>
          <w:vertAlign w:val="superscript"/>
        </w:rPr>
        <w:t>[4,6]</w:t>
      </w:r>
      <w:r w:rsidRPr="008F0A77">
        <w:rPr>
          <w:rFonts w:ascii="Book Antiqua" w:hAnsi="Book Antiqua" w:cs="Book Antiqua"/>
          <w:sz w:val="24"/>
          <w:szCs w:val="24"/>
        </w:rPr>
        <w:t>. Recently, IL-22, a member of the IL-10 family, has been described as a key protector in rodent AP models, suggesting a potential therapeutic approach for AP patients by targeting IL-22</w:t>
      </w:r>
      <w:r w:rsidRPr="008F0A77">
        <w:rPr>
          <w:rFonts w:ascii="Book Antiqua" w:hAnsi="Book Antiqua" w:cs="Book Antiqua"/>
          <w:sz w:val="24"/>
          <w:szCs w:val="24"/>
          <w:vertAlign w:val="superscript"/>
        </w:rPr>
        <w:t>[8-11]</w:t>
      </w:r>
      <w:r w:rsidRPr="008F0A77">
        <w:rPr>
          <w:rFonts w:ascii="Book Antiqua" w:hAnsi="Book Antiqua" w:cs="Book Antiqua"/>
          <w:sz w:val="24"/>
          <w:szCs w:val="24"/>
        </w:rPr>
        <w:t xml:space="preserve">. </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r w:rsidRPr="008F0A77">
        <w:rPr>
          <w:rFonts w:ascii="Book Antiqua" w:hAnsi="Book Antiqua" w:cs="Book Antiqua"/>
          <w:sz w:val="24"/>
          <w:szCs w:val="24"/>
        </w:rPr>
        <w:t>IL-22 is produced by T helper 17 cells,</w:t>
      </w:r>
      <w:r w:rsidRPr="008F0A77">
        <w:rPr>
          <w:rFonts w:ascii="Symbol" w:hAnsi="Symbol" w:cs="Book Antiqua"/>
          <w:sz w:val="24"/>
          <w:szCs w:val="24"/>
          <w:lang w:eastAsia="zh-CN"/>
        </w:rPr>
        <w:t></w:t>
      </w:r>
      <w:r w:rsidRPr="008F0A77">
        <w:rPr>
          <w:rFonts w:ascii="Book Antiqua" w:hAnsi="Book Antiqua" w:cs="Book Antiqua"/>
          <w:sz w:val="24"/>
          <w:szCs w:val="24"/>
        </w:rPr>
        <w:t>γδ</w:t>
      </w:r>
      <w:r w:rsidRPr="008F0A77">
        <w:rPr>
          <w:rFonts w:ascii="Book Antiqua" w:hAnsi="Book Antiqua" w:cs="Book Antiqua"/>
          <w:sz w:val="24"/>
          <w:szCs w:val="24"/>
          <w:lang w:eastAsia="zh-CN"/>
        </w:rPr>
        <w:t xml:space="preserve"> </w:t>
      </w:r>
      <w:r w:rsidRPr="008F0A77">
        <w:rPr>
          <w:rFonts w:ascii="Book Antiqua" w:hAnsi="Book Antiqua" w:cs="Book Antiqua"/>
          <w:sz w:val="24"/>
          <w:szCs w:val="24"/>
        </w:rPr>
        <w:t>T cells, NKT cells and innate lymphoid cells (ILCs). Unlike other cytokines that act on both immune and non-immune cells, IL-22 has no effect on immune cells but primarily targets cells of epithelial origin due to the restrictive expression of its receptor</w:t>
      </w:r>
      <w:r w:rsidRPr="008F0A77">
        <w:rPr>
          <w:rFonts w:ascii="Book Antiqua" w:hAnsi="Book Antiqua" w:cs="Book Antiqua"/>
          <w:sz w:val="24"/>
          <w:szCs w:val="24"/>
          <w:vertAlign w:val="superscript"/>
        </w:rPr>
        <w:t>[12,13]</w:t>
      </w:r>
      <w:r w:rsidRPr="008F0A77">
        <w:rPr>
          <w:rFonts w:ascii="Book Antiqua" w:hAnsi="Book Antiqua" w:cs="Book Antiqua"/>
          <w:sz w:val="24"/>
          <w:szCs w:val="24"/>
        </w:rPr>
        <w:t xml:space="preserve">. The IL-22 receptor is a </w:t>
      </w:r>
      <w:r w:rsidRPr="008F0A77">
        <w:rPr>
          <w:rFonts w:ascii="Book Antiqua" w:hAnsi="Book Antiqua" w:cs="Book Antiqua"/>
          <w:sz w:val="24"/>
          <w:szCs w:val="24"/>
          <w:shd w:val="clear" w:color="auto" w:fill="FFFFFF"/>
        </w:rPr>
        <w:t>heterodimer</w:t>
      </w:r>
      <w:r w:rsidRPr="008F0A77">
        <w:rPr>
          <w:rFonts w:ascii="Book Antiqua" w:hAnsi="Book Antiqua" w:cs="Book Antiqua"/>
          <w:sz w:val="24"/>
          <w:szCs w:val="24"/>
        </w:rPr>
        <w:t xml:space="preserve"> composed of IL-22R1 and IL-10R2. While IL-10R2 is ubiquitously expressed, IL-22R1 is predominantly limited to epithelial cells, with its highest expression found in pancreatic acinar cells</w:t>
      </w:r>
      <w:r w:rsidRPr="008F0A77">
        <w:rPr>
          <w:rFonts w:ascii="Book Antiqua" w:hAnsi="Book Antiqua" w:cs="Book Antiqua"/>
          <w:sz w:val="24"/>
          <w:szCs w:val="24"/>
          <w:vertAlign w:val="superscript"/>
        </w:rPr>
        <w:t>[8,14</w:t>
      </w:r>
      <w:r w:rsidRPr="008F0A77">
        <w:rPr>
          <w:rFonts w:ascii="Book Antiqua" w:hAnsi="Book Antiqua" w:cs="Book Antiqua"/>
          <w:sz w:val="24"/>
          <w:szCs w:val="24"/>
          <w:vertAlign w:val="superscript"/>
          <w:lang w:eastAsia="zh-CN"/>
        </w:rPr>
        <w:t>,</w:t>
      </w:r>
      <w:r w:rsidRPr="008F0A77">
        <w:rPr>
          <w:rFonts w:ascii="Book Antiqua" w:hAnsi="Book Antiqua" w:cs="Book Antiqua"/>
          <w:sz w:val="24"/>
          <w:szCs w:val="24"/>
          <w:vertAlign w:val="superscript"/>
        </w:rPr>
        <w:t>15]</w:t>
      </w:r>
      <w:r w:rsidRPr="008F0A77">
        <w:rPr>
          <w:rFonts w:ascii="Book Antiqua" w:hAnsi="Book Antiqua" w:cs="Book Antiqua"/>
          <w:sz w:val="24"/>
          <w:szCs w:val="24"/>
        </w:rPr>
        <w:t xml:space="preserve">. The main function of IL-22 is to regulate the host defense at barrier </w:t>
      </w:r>
      <w:r w:rsidRPr="008F0A77">
        <w:rPr>
          <w:rFonts w:ascii="Book Antiqua" w:hAnsi="Book Antiqua" w:cs="Book Antiqua"/>
          <w:sz w:val="24"/>
          <w:szCs w:val="24"/>
        </w:rPr>
        <w:lastRenderedPageBreak/>
        <w:t>surfaces. However, in diseases of different organs and tissues, it can be either protective or pathogenic</w:t>
      </w:r>
      <w:r w:rsidRPr="008F0A77">
        <w:rPr>
          <w:rFonts w:ascii="Book Antiqua" w:hAnsi="Book Antiqua" w:cs="Book Antiqua"/>
          <w:sz w:val="24"/>
          <w:szCs w:val="24"/>
          <w:vertAlign w:val="superscript"/>
        </w:rPr>
        <w:t>[12,13,16</w:t>
      </w:r>
      <w:r w:rsidRPr="008F0A77">
        <w:rPr>
          <w:rFonts w:ascii="Book Antiqua" w:hAnsi="Book Antiqua" w:cs="Book Antiqua"/>
          <w:sz w:val="24"/>
          <w:szCs w:val="24"/>
          <w:vertAlign w:val="superscript"/>
          <w:lang w:eastAsia="zh-CN"/>
        </w:rPr>
        <w:t>,</w:t>
      </w:r>
      <w:r w:rsidRPr="008F0A77">
        <w:rPr>
          <w:rFonts w:ascii="Book Antiqua" w:hAnsi="Book Antiqua" w:cs="Book Antiqua"/>
          <w:sz w:val="24"/>
          <w:szCs w:val="24"/>
          <w:vertAlign w:val="superscript"/>
        </w:rPr>
        <w:t>17]</w:t>
      </w:r>
      <w:r w:rsidRPr="008F0A77">
        <w:rPr>
          <w:rFonts w:ascii="Book Antiqua" w:hAnsi="Book Antiqua" w:cs="Book Antiqua"/>
          <w:sz w:val="24"/>
          <w:szCs w:val="24"/>
        </w:rPr>
        <w:t>. IL-22 has been reported to be tissue protective in pancreas</w:t>
      </w:r>
      <w:r w:rsidRPr="008F0A77">
        <w:rPr>
          <w:rFonts w:ascii="Book Antiqua" w:hAnsi="Book Antiqua" w:cs="Book Antiqua"/>
          <w:sz w:val="24"/>
          <w:szCs w:val="24"/>
          <w:vertAlign w:val="superscript"/>
        </w:rPr>
        <w:t>[8-11]</w:t>
      </w:r>
      <w:r w:rsidRPr="008F0A77">
        <w:rPr>
          <w:rFonts w:ascii="Book Antiqua" w:hAnsi="Book Antiqua" w:cs="Book Antiqua"/>
          <w:sz w:val="24"/>
          <w:szCs w:val="24"/>
        </w:rPr>
        <w:t>, liver</w:t>
      </w:r>
      <w:r w:rsidRPr="008F0A77">
        <w:rPr>
          <w:rFonts w:ascii="Book Antiqua" w:hAnsi="Book Antiqua" w:cs="Book Antiqua"/>
          <w:sz w:val="24"/>
          <w:szCs w:val="24"/>
          <w:vertAlign w:val="superscript"/>
        </w:rPr>
        <w:t>[18-28]</w:t>
      </w:r>
      <w:r w:rsidRPr="008F0A77">
        <w:rPr>
          <w:rFonts w:ascii="Book Antiqua" w:hAnsi="Book Antiqua" w:cs="Book Antiqua"/>
          <w:sz w:val="24"/>
          <w:szCs w:val="24"/>
        </w:rPr>
        <w:t>, intestine</w:t>
      </w:r>
      <w:r w:rsidRPr="008F0A77">
        <w:rPr>
          <w:rFonts w:ascii="Book Antiqua" w:hAnsi="Book Antiqua" w:cs="Book Antiqua"/>
          <w:sz w:val="24"/>
          <w:szCs w:val="24"/>
          <w:vertAlign w:val="superscript"/>
        </w:rPr>
        <w:t>[29-36]</w:t>
      </w:r>
      <w:r w:rsidRPr="008F0A77">
        <w:rPr>
          <w:rFonts w:ascii="Book Antiqua" w:hAnsi="Book Antiqua" w:cs="Book Antiqua"/>
          <w:sz w:val="24"/>
          <w:szCs w:val="24"/>
        </w:rPr>
        <w:t xml:space="preserve"> and lung</w:t>
      </w:r>
      <w:r w:rsidRPr="008F0A77">
        <w:rPr>
          <w:rFonts w:ascii="Book Antiqua" w:hAnsi="Book Antiqua" w:cs="Book Antiqua"/>
          <w:sz w:val="24"/>
          <w:szCs w:val="24"/>
          <w:vertAlign w:val="superscript"/>
        </w:rPr>
        <w:t>[9,37-40]</w:t>
      </w:r>
      <w:r w:rsidRPr="008F0A77">
        <w:rPr>
          <w:rFonts w:ascii="Book Antiqua" w:hAnsi="Book Antiqua" w:cs="Book Antiqua"/>
          <w:sz w:val="24"/>
          <w:szCs w:val="24"/>
        </w:rPr>
        <w:t>. However, in psoriasis</w:t>
      </w:r>
      <w:r w:rsidRPr="008F0A77">
        <w:rPr>
          <w:rFonts w:ascii="Book Antiqua" w:hAnsi="Book Antiqua" w:cs="Book Antiqua"/>
          <w:sz w:val="24"/>
          <w:szCs w:val="24"/>
          <w:vertAlign w:val="superscript"/>
        </w:rPr>
        <w:t>[41-45]</w:t>
      </w:r>
      <w:r w:rsidRPr="008F0A77">
        <w:rPr>
          <w:rFonts w:ascii="Book Antiqua" w:hAnsi="Book Antiqua" w:cs="Book Antiqua"/>
          <w:sz w:val="24"/>
          <w:szCs w:val="24"/>
        </w:rPr>
        <w:t xml:space="preserve"> and arthritis</w:t>
      </w:r>
      <w:r w:rsidRPr="008F0A77">
        <w:rPr>
          <w:rFonts w:ascii="Book Antiqua" w:hAnsi="Book Antiqua" w:cs="Book Antiqua"/>
          <w:sz w:val="24"/>
          <w:szCs w:val="24"/>
          <w:vertAlign w:val="superscript"/>
        </w:rPr>
        <w:t>[46-49]</w:t>
      </w:r>
      <w:r w:rsidRPr="008F0A77">
        <w:rPr>
          <w:rFonts w:ascii="Book Antiqua" w:hAnsi="Book Antiqua" w:cs="Book Antiqua"/>
          <w:sz w:val="24"/>
          <w:szCs w:val="24"/>
        </w:rPr>
        <w:t xml:space="preserve">, dysregulated expression of IL-22 is pro-inflammatory and involved in the pathogenesis of the diseases. In addition, IL-22 has been found to have </w:t>
      </w:r>
      <w:r w:rsidRPr="008F0A77">
        <w:rPr>
          <w:rStyle w:val="Emphasis"/>
          <w:rFonts w:ascii="Book Antiqua" w:hAnsi="Book Antiqua" w:cs="Book Antiqua"/>
          <w:i w:val="0"/>
          <w:iCs w:val="0"/>
          <w:sz w:val="24"/>
          <w:szCs w:val="24"/>
          <w:shd w:val="clear" w:color="auto" w:fill="FFFFFF"/>
        </w:rPr>
        <w:t>tumorigenic potential</w:t>
      </w:r>
      <w:r w:rsidRPr="008F0A77">
        <w:rPr>
          <w:rFonts w:ascii="Book Antiqua" w:hAnsi="Book Antiqua" w:cs="Book Antiqua"/>
          <w:sz w:val="24"/>
          <w:szCs w:val="24"/>
        </w:rPr>
        <w:t xml:space="preserve"> due to its ability to activate STAT3 signaling</w:t>
      </w:r>
      <w:r w:rsidRPr="008F0A77">
        <w:rPr>
          <w:rFonts w:ascii="Book Antiqua" w:hAnsi="Book Antiqua" w:cs="Book Antiqua"/>
          <w:sz w:val="24"/>
          <w:szCs w:val="24"/>
          <w:vertAlign w:val="superscript"/>
        </w:rPr>
        <w:t>[23,27,35,42</w:t>
      </w:r>
      <w:r w:rsidRPr="008F0A77">
        <w:rPr>
          <w:rFonts w:ascii="Book Antiqua" w:hAnsi="Book Antiqua" w:cs="Book Antiqua"/>
          <w:sz w:val="24"/>
          <w:szCs w:val="24"/>
          <w:vertAlign w:val="superscript"/>
          <w:lang w:eastAsia="zh-CN"/>
        </w:rPr>
        <w:t>,</w:t>
      </w:r>
      <w:r w:rsidRPr="008F0A77">
        <w:rPr>
          <w:rFonts w:ascii="Book Antiqua" w:hAnsi="Book Antiqua" w:cs="Book Antiqua"/>
          <w:sz w:val="24"/>
          <w:szCs w:val="24"/>
          <w:vertAlign w:val="superscript"/>
        </w:rPr>
        <w:t>50]</w:t>
      </w:r>
      <w:r w:rsidRPr="008F0A77">
        <w:rPr>
          <w:rFonts w:ascii="Book Antiqua" w:hAnsi="Book Antiqua" w:cs="Book Antiqua"/>
          <w:sz w:val="24"/>
          <w:szCs w:val="24"/>
        </w:rPr>
        <w:t>. In AP, IL-22 appears to be involved in the pathogenesis in different animal models, but has disparate effects depending on the severity of the inflammation. As studies of the potential role of IL22 in AP prognosis are still currently lacking, in this review we focus on the different regulatory mechanisms of IL-22 in mild and severe AP models in order to help develop an effective and efficient therapeutic approach.</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t>EXPRESSION OF IL-22 AND THE IL-22 RECEPTOR IN AP</w:t>
      </w: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sz w:val="24"/>
          <w:szCs w:val="24"/>
        </w:rPr>
        <w:t>It has been shown that IL-22 is produced by the resident CD4</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T cells in normal pancreas. However, in the late stages of AP, the production of IL-22 was found to be reduced when the numbers of IL-22 producing CD4</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T cells were significantly decreased in the pancreas. On the contrary, ILCs, another type of IL-22 producing cell, were highly increased in inflamed pancreas and partially restored the IL-22 production</w:t>
      </w:r>
      <w:r w:rsidRPr="008F0A77">
        <w:rPr>
          <w:rFonts w:ascii="Book Antiqua" w:hAnsi="Book Antiqua" w:cs="Book Antiqua"/>
          <w:sz w:val="24"/>
          <w:szCs w:val="24"/>
          <w:vertAlign w:val="superscript"/>
        </w:rPr>
        <w:t>[8]</w:t>
      </w:r>
      <w:r w:rsidRPr="008F0A77">
        <w:rPr>
          <w:rFonts w:ascii="Book Antiqua" w:hAnsi="Book Antiqua" w:cs="Book Antiqua"/>
          <w:sz w:val="24"/>
          <w:szCs w:val="24"/>
        </w:rPr>
        <w:t>. ILCs normally reside in the gut-associated lymphoid tissue to mediate mucosal immunity in the intestine</w:t>
      </w:r>
      <w:r w:rsidRPr="008F0A77">
        <w:rPr>
          <w:rFonts w:ascii="Book Antiqua" w:hAnsi="Book Antiqua" w:cs="Book Antiqua"/>
          <w:sz w:val="24"/>
          <w:szCs w:val="24"/>
          <w:vertAlign w:val="superscript"/>
        </w:rPr>
        <w:t>[51,52]</w:t>
      </w:r>
      <w:r w:rsidRPr="008F0A77">
        <w:rPr>
          <w:rFonts w:ascii="Book Antiqua" w:hAnsi="Book Antiqua" w:cs="Book Antiqua"/>
          <w:sz w:val="24"/>
          <w:szCs w:val="24"/>
        </w:rPr>
        <w:t>. Increased numbers of ILCs in inflamed pancreas suggest a possible migration of ILCs from the intestine after the onset of AP</w:t>
      </w:r>
      <w:r w:rsidRPr="008F0A77">
        <w:rPr>
          <w:rFonts w:ascii="Book Antiqua" w:hAnsi="Book Antiqua" w:cs="Book Antiqua"/>
          <w:sz w:val="24"/>
          <w:szCs w:val="24"/>
          <w:vertAlign w:val="superscript"/>
        </w:rPr>
        <w:t>[8]</w:t>
      </w:r>
      <w:r w:rsidRPr="008F0A77">
        <w:rPr>
          <w:rFonts w:ascii="Book Antiqua" w:hAnsi="Book Antiqua" w:cs="Book Antiqua"/>
          <w:sz w:val="24"/>
          <w:szCs w:val="24"/>
        </w:rPr>
        <w:t>. In support of the activation of intestinal ILCs in AP, we found that shortly after the AP induction by cerulein overstimulation in the mouse, increased IL-22 transcription was detected in intestinal tissues but not in the pancreas or spleen (Figure 1). Cerulein-induced secreted bile in the intestine is likely associated with IL-22 expression in ILCs, as administration of biliverdin, a major pigment in bile in the intestine</w:t>
      </w:r>
      <w:r w:rsidRPr="008F0A77">
        <w:rPr>
          <w:rFonts w:ascii="Book Antiqua" w:hAnsi="Book Antiqua" w:cs="Book Antiqua"/>
          <w:sz w:val="24"/>
          <w:szCs w:val="24"/>
          <w:vertAlign w:val="superscript"/>
        </w:rPr>
        <w:t>[53]</w:t>
      </w:r>
      <w:r w:rsidRPr="008F0A77">
        <w:rPr>
          <w:rFonts w:ascii="Book Antiqua" w:hAnsi="Book Antiqua" w:cs="Book Antiqua"/>
          <w:sz w:val="24"/>
          <w:szCs w:val="24"/>
        </w:rPr>
        <w:t xml:space="preserve">, significantly increased pancreatic IL-22 levels and ILCs </w:t>
      </w:r>
      <w:r w:rsidRPr="008F0A77">
        <w:rPr>
          <w:rFonts w:ascii="Book Antiqua" w:hAnsi="Book Antiqua" w:cs="Book Antiqua"/>
          <w:i/>
          <w:sz w:val="24"/>
          <w:szCs w:val="24"/>
        </w:rPr>
        <w:t xml:space="preserve">via </w:t>
      </w:r>
      <w:r w:rsidRPr="008F0A77">
        <w:rPr>
          <w:rFonts w:ascii="Book Antiqua" w:hAnsi="Book Antiqua" w:cs="Book Antiqua"/>
          <w:sz w:val="24"/>
          <w:szCs w:val="24"/>
        </w:rPr>
        <w:t>activation of the aryl hydrocarbon receptor, a ligand-dependent transcription factor for IL-22 expression in leukocytes</w:t>
      </w:r>
      <w:r w:rsidRPr="008F0A77">
        <w:rPr>
          <w:rFonts w:ascii="Book Antiqua" w:hAnsi="Book Antiqua" w:cs="Book Antiqua"/>
          <w:sz w:val="24"/>
          <w:szCs w:val="24"/>
          <w:vertAlign w:val="superscript"/>
        </w:rPr>
        <w:t>[8,54]</w:t>
      </w:r>
      <w:r w:rsidRPr="008F0A77">
        <w:rPr>
          <w:rFonts w:ascii="Book Antiqua" w:hAnsi="Book Antiqua" w:cs="Book Antiqua"/>
          <w:sz w:val="24"/>
          <w:szCs w:val="24"/>
        </w:rPr>
        <w:t xml:space="preserve">. Thus intestinal ILCs could provide an important source of pancreatic IL-22 in AP. Interestingly, IL-22 produced by intestinal ILCs has also been found to </w:t>
      </w:r>
      <w:r w:rsidRPr="008F0A77">
        <w:rPr>
          <w:rFonts w:ascii="Book Antiqua" w:hAnsi="Book Antiqua" w:cs="Book Antiqua"/>
          <w:color w:val="000000"/>
          <w:sz w:val="24"/>
          <w:szCs w:val="24"/>
          <w:shd w:val="clear" w:color="auto" w:fill="FFFFFF"/>
        </w:rPr>
        <w:t xml:space="preserve">regulate the </w:t>
      </w:r>
      <w:r w:rsidRPr="008F0A77">
        <w:rPr>
          <w:rFonts w:ascii="Book Antiqua" w:hAnsi="Book Antiqua" w:cs="Book Antiqua"/>
          <w:color w:val="000000"/>
          <w:sz w:val="24"/>
          <w:szCs w:val="24"/>
          <w:shd w:val="clear" w:color="auto" w:fill="FFFFFF"/>
        </w:rPr>
        <w:lastRenderedPageBreak/>
        <w:t>selective containment of lymphoid-resident bacteria to prevent systemic inflammation</w:t>
      </w:r>
      <w:r w:rsidRPr="008F0A77">
        <w:rPr>
          <w:rFonts w:ascii="Book Antiqua" w:hAnsi="Book Antiqua" w:cs="Book Antiqua"/>
          <w:color w:val="000000"/>
          <w:sz w:val="24"/>
          <w:szCs w:val="24"/>
          <w:shd w:val="clear" w:color="auto" w:fill="FFFFFF"/>
          <w:vertAlign w:val="superscript"/>
        </w:rPr>
        <w:t>[55]</w:t>
      </w:r>
      <w:r w:rsidRPr="008F0A77">
        <w:rPr>
          <w:rFonts w:ascii="Book Antiqua" w:hAnsi="Book Antiqua" w:cs="Book Antiqua"/>
          <w:color w:val="000000"/>
          <w:sz w:val="24"/>
          <w:szCs w:val="24"/>
          <w:shd w:val="clear" w:color="auto" w:fill="FFFFFF"/>
        </w:rPr>
        <w:t xml:space="preserve">. However, it is unknown whether the failed containment of such lymphoid-resident bacteria is associated with the development of pancreatitis. </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r w:rsidRPr="008F0A77">
        <w:rPr>
          <w:rFonts w:ascii="Book Antiqua" w:hAnsi="Book Antiqua" w:cs="Book Antiqua"/>
          <w:sz w:val="24"/>
          <w:szCs w:val="24"/>
        </w:rPr>
        <w:t>In contrast to IL-22, the expression of IL-22R1 on acinar cells is significantly increased in the acute phase of AP</w:t>
      </w:r>
      <w:r w:rsidRPr="008F0A77">
        <w:rPr>
          <w:rFonts w:ascii="Book Antiqua" w:hAnsi="Book Antiqua" w:cs="Book Antiqua"/>
          <w:sz w:val="24"/>
          <w:szCs w:val="24"/>
          <w:vertAlign w:val="superscript"/>
        </w:rPr>
        <w:t>[8]</w:t>
      </w:r>
      <w:r w:rsidRPr="008F0A77">
        <w:rPr>
          <w:rFonts w:ascii="Book Antiqua" w:hAnsi="Book Antiqua" w:cs="Book Antiqua"/>
          <w:sz w:val="24"/>
          <w:szCs w:val="24"/>
        </w:rPr>
        <w:t>. While the mechanism that regulates IL-22R1 expression in acinar cells is unknown, it has been shown that intra-peritoneal administration of LPS in mice increased IL-22R1 mRNA levels in liver, kidney and lung</w:t>
      </w:r>
      <w:r w:rsidRPr="008F0A77">
        <w:rPr>
          <w:rFonts w:ascii="Book Antiqua" w:hAnsi="Book Antiqua" w:cs="Book Antiqua"/>
          <w:sz w:val="24"/>
          <w:szCs w:val="24"/>
          <w:vertAlign w:val="superscript"/>
        </w:rPr>
        <w:t>[56]</w:t>
      </w:r>
      <w:r w:rsidRPr="008F0A77">
        <w:rPr>
          <w:rFonts w:ascii="Book Antiqua" w:hAnsi="Book Antiqua" w:cs="Book Antiqua"/>
          <w:sz w:val="24"/>
          <w:szCs w:val="24"/>
        </w:rPr>
        <w:t>. Thus it is possible that IL-22R1 behaves like an acute-phase protein whose expression is induced in response to the stress or injury in acinar cells, and then decreased in the late stage of AP</w:t>
      </w:r>
      <w:r w:rsidRPr="008F0A77">
        <w:rPr>
          <w:rFonts w:ascii="Book Antiqua" w:hAnsi="Book Antiqua" w:cs="Book Antiqua"/>
          <w:sz w:val="24"/>
          <w:szCs w:val="24"/>
          <w:vertAlign w:val="superscript"/>
        </w:rPr>
        <w:t>[8]</w:t>
      </w:r>
      <w:r w:rsidRPr="008F0A77">
        <w:rPr>
          <w:rFonts w:ascii="Book Antiqua" w:hAnsi="Book Antiqua" w:cs="Book Antiqua"/>
          <w:sz w:val="24"/>
          <w:szCs w:val="24"/>
        </w:rPr>
        <w:t>. Another study, however, showed that the IL-22R1 level was down-regulated by IL-22 in keratinocytes. This was because miR-197, a transcriptional inhibitor of IL-22R1, is actually up-regulated by IL-22</w:t>
      </w:r>
      <w:r w:rsidRPr="008F0A77">
        <w:rPr>
          <w:rFonts w:ascii="Book Antiqua" w:hAnsi="Book Antiqua" w:cs="Book Antiqua"/>
          <w:sz w:val="24"/>
          <w:szCs w:val="24"/>
          <w:vertAlign w:val="superscript"/>
        </w:rPr>
        <w:t>[57]</w:t>
      </w:r>
      <w:r w:rsidRPr="008F0A77">
        <w:rPr>
          <w:rFonts w:ascii="Book Antiqua" w:hAnsi="Book Antiqua" w:cs="Book Antiqua"/>
          <w:sz w:val="24"/>
          <w:szCs w:val="24"/>
        </w:rPr>
        <w:t>. Given the opposite changes in expression of IL-22 and IL-22R1 in the inflamed pancreas</w:t>
      </w:r>
      <w:r w:rsidRPr="008F0A77">
        <w:rPr>
          <w:rFonts w:ascii="Book Antiqua" w:hAnsi="Book Antiqua" w:cs="Book Antiqua"/>
          <w:sz w:val="24"/>
          <w:szCs w:val="24"/>
          <w:vertAlign w:val="superscript"/>
        </w:rPr>
        <w:t>[8]</w:t>
      </w:r>
      <w:r w:rsidRPr="008F0A77">
        <w:rPr>
          <w:rFonts w:ascii="Book Antiqua" w:hAnsi="Book Antiqua" w:cs="Book Antiqua"/>
          <w:sz w:val="24"/>
          <w:szCs w:val="24"/>
        </w:rPr>
        <w:t xml:space="preserve">, the altered expression of IL-22R1 by IL-22 cannot be excluded. </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t>DIFFERENT BENEFICIAL ROLES OF IL-22 IN AP</w:t>
      </w: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sz w:val="24"/>
          <w:szCs w:val="24"/>
        </w:rPr>
        <w:t>The beneficial effects of IL-22 appear to be dependent on the severity of AP as well as on the timing of IL-22</w:t>
      </w:r>
      <w:r w:rsidRPr="008F0A77">
        <w:rPr>
          <w:rFonts w:ascii="Book Antiqua" w:hAnsi="Book Antiqua" w:cs="Book Antiqua"/>
          <w:sz w:val="24"/>
          <w:szCs w:val="24"/>
          <w:lang w:eastAsia="zh-CN"/>
        </w:rPr>
        <w:t>’</w:t>
      </w:r>
      <w:r w:rsidRPr="008F0A77">
        <w:rPr>
          <w:rFonts w:ascii="Book Antiqua" w:hAnsi="Book Antiqua" w:cs="Book Antiqua"/>
          <w:sz w:val="24"/>
          <w:szCs w:val="24"/>
        </w:rPr>
        <w:t>s activity in AP. In a model of mild AP induced by cerulein, administration of IL-22 or constitutively over-expressing IL-22 before AP onset prevented the AP induction. However, in the same study, IL-22 deficiency did not worsen the acinar damage</w:t>
      </w:r>
      <w:r w:rsidRPr="008F0A77">
        <w:rPr>
          <w:rFonts w:ascii="Book Antiqua" w:hAnsi="Book Antiqua" w:cs="Book Antiqua"/>
          <w:sz w:val="24"/>
          <w:szCs w:val="24"/>
          <w:vertAlign w:val="superscript"/>
        </w:rPr>
        <w:t>[11]</w:t>
      </w:r>
      <w:r w:rsidRPr="008F0A77">
        <w:rPr>
          <w:rFonts w:ascii="Book Antiqua" w:hAnsi="Book Antiqua" w:cs="Book Antiqua"/>
          <w:sz w:val="24"/>
          <w:szCs w:val="24"/>
        </w:rPr>
        <w:t>. Similarly, using the same AP model, we observed that IL-22 knockout mice had less acinar cell injury but significantly increased inflammatory cell infiltration in the pancreas compared to the control mice (Figure 2). In contrast to mild AP, in models of severe AP, IL-22 administration following AP onset significantly ameliorated the injury in the pancreas</w:t>
      </w:r>
      <w:r w:rsidRPr="008F0A77">
        <w:rPr>
          <w:rFonts w:ascii="Book Antiqua" w:hAnsi="Book Antiqua" w:cs="Book Antiqua"/>
          <w:sz w:val="24"/>
          <w:szCs w:val="24"/>
          <w:vertAlign w:val="superscript"/>
        </w:rPr>
        <w:t>[8,10]</w:t>
      </w:r>
      <w:r w:rsidRPr="008F0A77">
        <w:rPr>
          <w:rFonts w:ascii="Book Antiqua" w:hAnsi="Book Antiqua" w:cs="Book Antiqua"/>
          <w:sz w:val="24"/>
          <w:szCs w:val="24"/>
        </w:rPr>
        <w:t>. Consistently, blocking endogenous IL-22 with an anti-IL-22 antibody worsened pancreatic injury in the severe AP model</w:t>
      </w:r>
      <w:r w:rsidRPr="008F0A77">
        <w:rPr>
          <w:rFonts w:ascii="Book Antiqua" w:hAnsi="Book Antiqua" w:cs="Book Antiqua"/>
          <w:sz w:val="24"/>
          <w:szCs w:val="24"/>
          <w:vertAlign w:val="superscript"/>
        </w:rPr>
        <w:t>[8]</w:t>
      </w:r>
      <w:r w:rsidRPr="008F0A77">
        <w:rPr>
          <w:rFonts w:ascii="Book Antiqua" w:hAnsi="Book Antiqua" w:cs="Book Antiqua"/>
          <w:sz w:val="24"/>
          <w:szCs w:val="24"/>
        </w:rPr>
        <w:t xml:space="preserve">. These seemingly conflicting effects of IL-22 in mild and severe AP actually suggest the existence of different regulatory mechanisms by IL-22 in AP of different levels of severity. </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lastRenderedPageBreak/>
        <w:t>INCREASED IL-22 INHIBITS EXCESSIVE AUTOPHAGY IN ACINAR CELLS AND RESULTS IN RESISTANCE TO AP INDUCTION</w:t>
      </w: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sz w:val="24"/>
          <w:szCs w:val="24"/>
        </w:rPr>
        <w:t>Recent evidence has suggested that excessive autophagy leads to premature trypsinogen activation which initiates the acinar damage in AP</w:t>
      </w:r>
      <w:r w:rsidRPr="008F0A77">
        <w:rPr>
          <w:rFonts w:ascii="Book Antiqua" w:hAnsi="Book Antiqua" w:cs="Book Antiqua"/>
          <w:sz w:val="24"/>
          <w:szCs w:val="24"/>
          <w:vertAlign w:val="superscript"/>
        </w:rPr>
        <w:t>[58,59]</w:t>
      </w:r>
      <w:r w:rsidRPr="008F0A77">
        <w:rPr>
          <w:rFonts w:ascii="Book Antiqua" w:hAnsi="Book Antiqua" w:cs="Book Antiqua"/>
          <w:sz w:val="24"/>
          <w:szCs w:val="24"/>
        </w:rPr>
        <w:t>. Interestingly, it has been shown that genetically over-expressed IL-22 inhibited autophagosome formation in acinar cells and makes mice resistant to cerulein-induced AP</w:t>
      </w:r>
      <w:r w:rsidRPr="008F0A77">
        <w:rPr>
          <w:rFonts w:ascii="Book Antiqua" w:hAnsi="Book Antiqua" w:cs="Book Antiqua"/>
          <w:sz w:val="24"/>
          <w:szCs w:val="24"/>
          <w:vertAlign w:val="superscript"/>
        </w:rPr>
        <w:t>[11]</w:t>
      </w:r>
      <w:r w:rsidRPr="008F0A77">
        <w:rPr>
          <w:rFonts w:ascii="Book Antiqua" w:hAnsi="Book Antiqua" w:cs="Book Antiqua"/>
          <w:sz w:val="24"/>
          <w:szCs w:val="24"/>
        </w:rPr>
        <w:t>. This is associated with the increased levels of the anti-autophagic proteins Bcl-2 and Bcl-X</w:t>
      </w:r>
      <w:r w:rsidRPr="008F0A77">
        <w:rPr>
          <w:rFonts w:ascii="Book Antiqua" w:hAnsi="Book Antiqua" w:cs="Book Antiqua"/>
          <w:sz w:val="24"/>
          <w:szCs w:val="24"/>
          <w:vertAlign w:val="subscript"/>
        </w:rPr>
        <w:t>L</w:t>
      </w:r>
      <w:r w:rsidRPr="008F0A77">
        <w:rPr>
          <w:rFonts w:ascii="Book Antiqua" w:hAnsi="Book Antiqua" w:cs="Book Antiqua"/>
          <w:sz w:val="24"/>
          <w:szCs w:val="24"/>
        </w:rPr>
        <w:t xml:space="preserve"> detected in the pancreas of IL-22 transgenic mice</w:t>
      </w:r>
      <w:r w:rsidRPr="008F0A77">
        <w:rPr>
          <w:rFonts w:ascii="Book Antiqua" w:hAnsi="Book Antiqua" w:cs="Book Antiqua"/>
          <w:sz w:val="24"/>
          <w:szCs w:val="24"/>
          <w:vertAlign w:val="superscript"/>
        </w:rPr>
        <w:t>[11]</w:t>
      </w:r>
      <w:r w:rsidRPr="008F0A77">
        <w:rPr>
          <w:rFonts w:ascii="Book Antiqua" w:hAnsi="Book Antiqua" w:cs="Book Antiqua"/>
          <w:sz w:val="24"/>
          <w:szCs w:val="24"/>
        </w:rPr>
        <w:t>. Expressions of Bcl-2 and Bcl-X</w:t>
      </w:r>
      <w:r w:rsidRPr="008F0A77">
        <w:rPr>
          <w:rFonts w:ascii="Book Antiqua" w:hAnsi="Book Antiqua" w:cs="Book Antiqua"/>
          <w:sz w:val="24"/>
          <w:szCs w:val="24"/>
          <w:vertAlign w:val="subscript"/>
        </w:rPr>
        <w:t>L</w:t>
      </w:r>
      <w:r w:rsidRPr="008F0A77">
        <w:rPr>
          <w:rFonts w:ascii="Book Antiqua" w:hAnsi="Book Antiqua" w:cs="Book Antiqua"/>
          <w:sz w:val="24"/>
          <w:szCs w:val="24"/>
        </w:rPr>
        <w:t xml:space="preserve"> are likely regulated by IL-22 in these mice since the transcription of Bcl-2 and Bcl-X</w:t>
      </w:r>
      <w:r w:rsidRPr="008F0A77">
        <w:rPr>
          <w:rFonts w:ascii="Book Antiqua" w:hAnsi="Book Antiqua" w:cs="Book Antiqua"/>
          <w:sz w:val="24"/>
          <w:szCs w:val="24"/>
          <w:vertAlign w:val="subscript"/>
        </w:rPr>
        <w:t>L</w:t>
      </w:r>
      <w:r w:rsidRPr="008F0A77">
        <w:rPr>
          <w:rFonts w:ascii="Book Antiqua" w:hAnsi="Book Antiqua" w:cs="Book Antiqua"/>
          <w:sz w:val="24"/>
          <w:szCs w:val="24"/>
        </w:rPr>
        <w:t xml:space="preserve"> is regulated by STAT3</w:t>
      </w:r>
      <w:r w:rsidRPr="008F0A77">
        <w:rPr>
          <w:rFonts w:ascii="Book Antiqua" w:hAnsi="Book Antiqua" w:cs="Book Antiqua"/>
          <w:sz w:val="24"/>
          <w:szCs w:val="24"/>
          <w:vertAlign w:val="superscript"/>
        </w:rPr>
        <w:t>[60]</w:t>
      </w:r>
      <w:r w:rsidRPr="008F0A77">
        <w:rPr>
          <w:rFonts w:ascii="Book Antiqua" w:hAnsi="Book Antiqua" w:cs="Book Antiqua"/>
          <w:sz w:val="24"/>
          <w:szCs w:val="24"/>
        </w:rPr>
        <w:t>, a signaling molecule known to be activated by IL-22</w:t>
      </w:r>
      <w:r w:rsidRPr="008F0A77">
        <w:rPr>
          <w:rFonts w:ascii="Book Antiqua" w:hAnsi="Book Antiqua" w:cs="Book Antiqua"/>
          <w:sz w:val="24"/>
          <w:szCs w:val="24"/>
          <w:vertAlign w:val="superscript"/>
        </w:rPr>
        <w:t>[23,27,35,42</w:t>
      </w:r>
      <w:r w:rsidRPr="008F0A77">
        <w:rPr>
          <w:rFonts w:ascii="Book Antiqua" w:hAnsi="Book Antiqua" w:cs="Book Antiqua"/>
          <w:sz w:val="24"/>
          <w:szCs w:val="24"/>
          <w:vertAlign w:val="superscript"/>
          <w:lang w:eastAsia="zh-CN"/>
        </w:rPr>
        <w:t>,</w:t>
      </w:r>
      <w:r w:rsidRPr="008F0A77">
        <w:rPr>
          <w:rFonts w:ascii="Book Antiqua" w:hAnsi="Book Antiqua" w:cs="Book Antiqua"/>
          <w:sz w:val="24"/>
          <w:szCs w:val="24"/>
          <w:vertAlign w:val="superscript"/>
        </w:rPr>
        <w:t>50]</w:t>
      </w:r>
      <w:r w:rsidRPr="008F0A77">
        <w:rPr>
          <w:rFonts w:ascii="Book Antiqua" w:hAnsi="Book Antiqua" w:cs="Book Antiqua"/>
          <w:sz w:val="24"/>
          <w:szCs w:val="24"/>
        </w:rPr>
        <w:t>. Similar resistance to AP induction has also been observed in mice to which IL-22 was administrated before AP onset</w:t>
      </w:r>
      <w:r w:rsidRPr="008F0A77">
        <w:rPr>
          <w:rFonts w:ascii="Book Antiqua" w:hAnsi="Book Antiqua" w:cs="Book Antiqua"/>
          <w:sz w:val="24"/>
          <w:szCs w:val="24"/>
          <w:vertAlign w:val="superscript"/>
        </w:rPr>
        <w:t>[11]</w:t>
      </w:r>
      <w:r w:rsidRPr="008F0A77">
        <w:rPr>
          <w:rFonts w:ascii="Book Antiqua" w:hAnsi="Book Antiqua" w:cs="Book Antiqua"/>
          <w:sz w:val="24"/>
          <w:szCs w:val="24"/>
        </w:rPr>
        <w:t>. Thus it appears that when the level of IL-22 is higher than normal it blocks cerulein-induced excessive autophagy in acinar cells, and thereby prevents the initiation of acinar injury in AP. However, this protective mechanism of IL-22 may not affect acinar survival after the initial acute phase in severe AP, when the acinar injury is mainly associated with cytokine-mediated inflammation rather than excessive autophagy</w:t>
      </w:r>
      <w:r w:rsidRPr="008F0A77">
        <w:rPr>
          <w:rFonts w:ascii="Book Antiqua" w:hAnsi="Book Antiqua" w:cs="Book Antiqua"/>
          <w:sz w:val="24"/>
          <w:szCs w:val="24"/>
          <w:vertAlign w:val="superscript"/>
        </w:rPr>
        <w:t>[61]</w:t>
      </w:r>
      <w:r w:rsidRPr="008F0A77">
        <w:rPr>
          <w:rFonts w:ascii="Book Antiqua" w:hAnsi="Book Antiqua" w:cs="Book Antiqua"/>
          <w:sz w:val="24"/>
          <w:szCs w:val="24"/>
        </w:rPr>
        <w:t>.</w:t>
      </w:r>
    </w:p>
    <w:p w:rsidR="00791961" w:rsidRPr="008F0A77" w:rsidRDefault="00791961" w:rsidP="001F01CF">
      <w:pPr>
        <w:spacing w:after="0" w:line="360" w:lineRule="auto"/>
        <w:jc w:val="both"/>
        <w:rPr>
          <w:rFonts w:ascii="Book Antiqua" w:hAnsi="Book Antiqua" w:cs="Book Antiqua"/>
          <w:b/>
          <w:bCs/>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t xml:space="preserve">PHSYOLOGICAL IL-22 BLOCKS INFLAMMATORY INFILTRATION </w:t>
      </w:r>
      <w:r w:rsidRPr="008F0A77">
        <w:rPr>
          <w:rFonts w:ascii="Book Antiqua" w:hAnsi="Book Antiqua" w:cs="Book Antiqua"/>
          <w:b/>
          <w:bCs/>
          <w:i/>
          <w:sz w:val="24"/>
          <w:szCs w:val="24"/>
        </w:rPr>
        <w:t xml:space="preserve">VIA </w:t>
      </w:r>
      <w:r w:rsidRPr="008F0A77">
        <w:rPr>
          <w:rFonts w:ascii="Book Antiqua" w:hAnsi="Book Antiqua" w:cs="Book Antiqua"/>
          <w:b/>
          <w:bCs/>
          <w:sz w:val="24"/>
          <w:szCs w:val="24"/>
        </w:rPr>
        <w:t>THE INDUCTION OF REG3s IN AP</w:t>
      </w:r>
    </w:p>
    <w:p w:rsidR="00791961" w:rsidRPr="008F0A77" w:rsidRDefault="00791961" w:rsidP="001F01CF">
      <w:pPr>
        <w:spacing w:after="0" w:line="360" w:lineRule="auto"/>
        <w:jc w:val="both"/>
        <w:rPr>
          <w:rFonts w:ascii="Book Antiqua" w:hAnsi="Book Antiqua" w:cs="Book Antiqua"/>
          <w:color w:val="000000"/>
          <w:sz w:val="24"/>
          <w:szCs w:val="24"/>
          <w:shd w:val="clear" w:color="auto" w:fill="FFFFFF"/>
        </w:rPr>
      </w:pPr>
      <w:r w:rsidRPr="008F0A77">
        <w:rPr>
          <w:rFonts w:ascii="Book Antiqua" w:hAnsi="Book Antiqua" w:cs="Book Antiqua"/>
          <w:sz w:val="24"/>
          <w:szCs w:val="24"/>
        </w:rPr>
        <w:t>The Reg3 family includes Reg3</w:t>
      </w:r>
      <w:r w:rsidRPr="008F0A77">
        <w:rPr>
          <w:rFonts w:ascii="Book Antiqua" w:hAnsi="Book Antiqua"/>
          <w:bCs/>
          <w:kern w:val="24"/>
          <w:sz w:val="24"/>
          <w:szCs w:val="24"/>
        </w:rPr>
        <w:sym w:font="Symbol" w:char="F061"/>
      </w:r>
      <w:r w:rsidRPr="008F0A77">
        <w:rPr>
          <w:rFonts w:ascii="Book Antiqua" w:hAnsi="Book Antiqua" w:cs="Book Antiqua"/>
          <w:sz w:val="24"/>
          <w:szCs w:val="24"/>
        </w:rPr>
        <w:t>, Reg3</w:t>
      </w:r>
      <w:r w:rsidRPr="008F0A77">
        <w:rPr>
          <w:rFonts w:ascii="Book Antiqua" w:hAnsi="Book Antiqua"/>
          <w:sz w:val="24"/>
          <w:szCs w:val="24"/>
        </w:rPr>
        <w:sym w:font="Symbol" w:char="F062"/>
      </w:r>
      <w:r w:rsidRPr="008F0A77">
        <w:rPr>
          <w:rFonts w:ascii="Book Antiqua" w:hAnsi="Book Antiqua" w:cs="Book Antiqua"/>
          <w:sz w:val="24"/>
          <w:szCs w:val="24"/>
        </w:rPr>
        <w:t xml:space="preserve"> and Reg3γ. These are also known as pancreatitis associated proteins (PAP2, PAP1 and PAP3 respectively). Reg3s are evolutionarily conserved C-type lectin-like proteins that are most abundantly produced by pancreatic acinar cells in AP, but are almost undetectable in the normal pancreas</w:t>
      </w:r>
      <w:r w:rsidRPr="008F0A77">
        <w:rPr>
          <w:rFonts w:ascii="Book Antiqua" w:hAnsi="Book Antiqua" w:cs="Book Antiqua"/>
          <w:sz w:val="24"/>
          <w:szCs w:val="24"/>
          <w:vertAlign w:val="superscript"/>
        </w:rPr>
        <w:t>[62-65]</w:t>
      </w:r>
      <w:r w:rsidRPr="008F0A77">
        <w:rPr>
          <w:rFonts w:ascii="Book Antiqua" w:hAnsi="Book Antiqua" w:cs="Book Antiqua"/>
          <w:sz w:val="24"/>
          <w:szCs w:val="24"/>
        </w:rPr>
        <w:t xml:space="preserve">. In addition to pancreatic acinar cells, Reg3 proteins are also found in </w:t>
      </w:r>
      <w:r w:rsidRPr="008F0A77">
        <w:rPr>
          <w:rFonts w:ascii="Book Antiqua" w:hAnsi="Book Antiqua"/>
          <w:bCs/>
          <w:kern w:val="24"/>
          <w:sz w:val="24"/>
          <w:szCs w:val="24"/>
        </w:rPr>
        <w:sym w:font="Symbol" w:char="F061"/>
      </w:r>
      <w:r w:rsidRPr="008F0A77">
        <w:rPr>
          <w:rFonts w:ascii="Book Antiqua" w:hAnsi="Book Antiqua" w:cs="Book Antiqua"/>
          <w:color w:val="000000"/>
          <w:sz w:val="24"/>
          <w:szCs w:val="24"/>
          <w:shd w:val="clear" w:color="auto" w:fill="FFFFFF"/>
        </w:rPr>
        <w:t>-cells of Langerhans islets</w:t>
      </w:r>
      <w:r w:rsidRPr="008F0A77">
        <w:rPr>
          <w:rFonts w:ascii="Book Antiqua" w:hAnsi="Book Antiqua" w:cs="Book Antiqua"/>
          <w:color w:val="000000"/>
          <w:sz w:val="24"/>
          <w:szCs w:val="24"/>
          <w:shd w:val="clear" w:color="auto" w:fill="FFFFFF"/>
          <w:vertAlign w:val="superscript"/>
        </w:rPr>
        <w:t>[66]</w:t>
      </w:r>
      <w:r w:rsidRPr="008F0A77">
        <w:rPr>
          <w:rFonts w:ascii="Book Antiqua" w:hAnsi="Book Antiqua" w:cs="Book Antiqua"/>
          <w:color w:val="000000"/>
          <w:sz w:val="24"/>
          <w:szCs w:val="24"/>
          <w:shd w:val="clear" w:color="auto" w:fill="FFFFFF"/>
        </w:rPr>
        <w:t xml:space="preserve">, </w:t>
      </w:r>
      <w:r w:rsidRPr="008F0A77">
        <w:rPr>
          <w:rFonts w:ascii="Book Antiqua" w:hAnsi="Book Antiqua" w:cs="Book Antiqua"/>
          <w:sz w:val="24"/>
          <w:szCs w:val="24"/>
        </w:rPr>
        <w:t>intestine</w:t>
      </w:r>
      <w:r w:rsidRPr="008F0A77">
        <w:rPr>
          <w:rFonts w:ascii="Book Antiqua" w:hAnsi="Book Antiqua" w:cs="Book Antiqua"/>
          <w:sz w:val="24"/>
          <w:szCs w:val="24"/>
          <w:vertAlign w:val="superscript"/>
        </w:rPr>
        <w:t>[36,66-69]</w:t>
      </w:r>
      <w:r w:rsidRPr="008F0A77">
        <w:rPr>
          <w:rFonts w:ascii="Book Antiqua" w:hAnsi="Book Antiqua" w:cs="Book Antiqua"/>
          <w:sz w:val="24"/>
          <w:szCs w:val="24"/>
        </w:rPr>
        <w:t>, brain</w:t>
      </w:r>
      <w:r w:rsidRPr="008F0A77">
        <w:rPr>
          <w:rFonts w:ascii="Book Antiqua" w:hAnsi="Book Antiqua" w:cs="Book Antiqua"/>
          <w:sz w:val="24"/>
          <w:szCs w:val="24"/>
          <w:vertAlign w:val="superscript"/>
        </w:rPr>
        <w:t>[70,71]</w:t>
      </w:r>
      <w:r w:rsidRPr="008F0A77">
        <w:rPr>
          <w:rFonts w:ascii="Book Antiqua" w:hAnsi="Book Antiqua" w:cs="Book Antiqua"/>
          <w:sz w:val="24"/>
          <w:szCs w:val="24"/>
        </w:rPr>
        <w:t>, hepatocellular carcinomas</w:t>
      </w:r>
      <w:r w:rsidRPr="008F0A77">
        <w:rPr>
          <w:rFonts w:ascii="Book Antiqua" w:hAnsi="Book Antiqua" w:cs="Book Antiqua"/>
          <w:sz w:val="24"/>
          <w:szCs w:val="24"/>
          <w:vertAlign w:val="superscript"/>
        </w:rPr>
        <w:t>[66,72]</w:t>
      </w:r>
      <w:r w:rsidRPr="008F0A77">
        <w:rPr>
          <w:rFonts w:ascii="Book Antiqua" w:hAnsi="Book Antiqua" w:cs="Book Antiqua"/>
          <w:sz w:val="24"/>
          <w:szCs w:val="24"/>
        </w:rPr>
        <w:t xml:space="preserve"> and pancreatic cancers</w:t>
      </w:r>
      <w:r w:rsidRPr="008F0A77">
        <w:rPr>
          <w:rFonts w:ascii="Book Antiqua" w:hAnsi="Book Antiqua" w:cs="Book Antiqua"/>
          <w:sz w:val="24"/>
          <w:szCs w:val="24"/>
          <w:vertAlign w:val="superscript"/>
        </w:rPr>
        <w:t>[73,74]</w:t>
      </w:r>
      <w:r w:rsidRPr="008F0A77">
        <w:rPr>
          <w:rFonts w:ascii="Book Antiqua" w:hAnsi="Book Antiqua" w:cs="Book Antiqua"/>
          <w:sz w:val="24"/>
          <w:szCs w:val="24"/>
        </w:rPr>
        <w:t xml:space="preserve">. Our laboratory has reported that Reg3 proteins protect against pancreatic acinar cell injury, since inhibition of their expression by either antisense DNA oligos or RNAi exacerbated </w:t>
      </w:r>
      <w:r w:rsidRPr="008F0A77">
        <w:rPr>
          <w:rFonts w:ascii="Book Antiqua" w:hAnsi="Book Antiqua" w:cs="Book Antiqua"/>
          <w:color w:val="000000"/>
          <w:sz w:val="24"/>
          <w:szCs w:val="24"/>
          <w:shd w:val="clear" w:color="auto" w:fill="FFFFFF"/>
        </w:rPr>
        <w:t>experimental necrotizing AP induced by sodium taurocholate</w:t>
      </w:r>
      <w:r w:rsidRPr="008F0A77">
        <w:rPr>
          <w:rFonts w:ascii="Book Antiqua" w:hAnsi="Book Antiqua" w:cs="Book Antiqua"/>
          <w:color w:val="000000"/>
          <w:sz w:val="24"/>
          <w:szCs w:val="24"/>
          <w:shd w:val="clear" w:color="auto" w:fill="FFFFFF"/>
          <w:vertAlign w:val="superscript"/>
        </w:rPr>
        <w:t>[65,75]</w:t>
      </w:r>
      <w:r w:rsidRPr="008F0A77">
        <w:rPr>
          <w:rFonts w:ascii="Book Antiqua" w:hAnsi="Book Antiqua" w:cs="Book Antiqua"/>
          <w:color w:val="000000"/>
          <w:sz w:val="24"/>
          <w:szCs w:val="24"/>
          <w:shd w:val="clear" w:color="auto" w:fill="FFFFFF"/>
        </w:rPr>
        <w:t xml:space="preserve">. </w:t>
      </w:r>
    </w:p>
    <w:p w:rsidR="00791961" w:rsidRPr="008F0A77" w:rsidRDefault="00791961" w:rsidP="00D4014D">
      <w:pPr>
        <w:spacing w:after="0" w:line="360" w:lineRule="auto"/>
        <w:ind w:firstLineChars="100" w:firstLine="240"/>
        <w:jc w:val="both"/>
        <w:rPr>
          <w:rFonts w:ascii="Book Antiqua" w:hAnsi="Book Antiqua" w:cs="Book Antiqua"/>
          <w:sz w:val="24"/>
          <w:szCs w:val="24"/>
        </w:rPr>
      </w:pPr>
      <w:r w:rsidRPr="008F0A77">
        <w:rPr>
          <w:rFonts w:ascii="Book Antiqua" w:hAnsi="Book Antiqua" w:cs="Book Antiqua"/>
          <w:color w:val="000000"/>
          <w:sz w:val="24"/>
          <w:szCs w:val="24"/>
          <w:shd w:val="clear" w:color="auto" w:fill="FFFFFF"/>
        </w:rPr>
        <w:lastRenderedPageBreak/>
        <w:t>IL-22 signaling is required for up-regulating Reg3 expression in cerulein-induced AP as we have determined that pancreatic Reg3 levels were significantly reduced in IL-22 deficient mice (Figure 3). In line with this, according to our unpublished observation, the expressions of Reg3 proteins were induced coincidentally with the peak expression of IL-22R1 in cerulein AP</w:t>
      </w:r>
      <w:r w:rsidRPr="008F0A77">
        <w:rPr>
          <w:rFonts w:ascii="Book Antiqua" w:hAnsi="Book Antiqua" w:cs="Book Antiqua"/>
          <w:color w:val="000000"/>
          <w:sz w:val="24"/>
          <w:szCs w:val="24"/>
          <w:shd w:val="clear" w:color="auto" w:fill="FFFFFF"/>
          <w:vertAlign w:val="superscript"/>
        </w:rPr>
        <w:t>[8]</w:t>
      </w:r>
      <w:r w:rsidRPr="008F0A77">
        <w:rPr>
          <w:rFonts w:ascii="Book Antiqua" w:hAnsi="Book Antiqua" w:cs="Book Antiqua"/>
          <w:color w:val="000000"/>
          <w:sz w:val="24"/>
          <w:szCs w:val="24"/>
          <w:shd w:val="clear" w:color="auto" w:fill="FFFFFF"/>
        </w:rPr>
        <w:t xml:space="preserve">. IL-22 likely regulates Reg3 expression </w:t>
      </w:r>
      <w:r w:rsidRPr="008F0A77">
        <w:rPr>
          <w:rFonts w:ascii="Book Antiqua" w:hAnsi="Book Antiqua" w:cs="Book Antiqua"/>
          <w:i/>
          <w:color w:val="000000"/>
          <w:sz w:val="24"/>
          <w:szCs w:val="24"/>
          <w:shd w:val="clear" w:color="auto" w:fill="FFFFFF"/>
        </w:rPr>
        <w:t xml:space="preserve">via </w:t>
      </w:r>
      <w:r w:rsidRPr="008F0A77">
        <w:rPr>
          <w:rFonts w:ascii="Book Antiqua" w:hAnsi="Book Antiqua" w:cs="Book Antiqua"/>
          <w:color w:val="000000"/>
          <w:sz w:val="24"/>
          <w:szCs w:val="24"/>
          <w:shd w:val="clear" w:color="auto" w:fill="FFFFFF"/>
        </w:rPr>
        <w:t>STAT3 in acinar cells. This is because that STAT3 is known to be activated by IL-22 in acinar cells</w:t>
      </w:r>
      <w:r w:rsidRPr="008F0A77">
        <w:rPr>
          <w:rFonts w:ascii="Book Antiqua" w:hAnsi="Book Antiqua" w:cs="Book Antiqua"/>
          <w:color w:val="000000"/>
          <w:sz w:val="24"/>
          <w:szCs w:val="24"/>
          <w:shd w:val="clear" w:color="auto" w:fill="FFFFFF"/>
          <w:vertAlign w:val="superscript"/>
        </w:rPr>
        <w:t>[8,14</w:t>
      </w:r>
      <w:r w:rsidRPr="008F0A77">
        <w:rPr>
          <w:rFonts w:ascii="Book Antiqua" w:hAnsi="Book Antiqua" w:cs="Book Antiqua"/>
          <w:color w:val="000000"/>
          <w:sz w:val="24"/>
          <w:szCs w:val="24"/>
          <w:shd w:val="clear" w:color="auto" w:fill="FFFFFF"/>
          <w:vertAlign w:val="superscript"/>
          <w:lang w:eastAsia="zh-CN"/>
        </w:rPr>
        <w:t>,</w:t>
      </w:r>
      <w:r w:rsidRPr="008F0A77">
        <w:rPr>
          <w:rFonts w:ascii="Book Antiqua" w:hAnsi="Book Antiqua" w:cs="Book Antiqua"/>
          <w:color w:val="000000"/>
          <w:sz w:val="24"/>
          <w:szCs w:val="24"/>
          <w:shd w:val="clear" w:color="auto" w:fill="FFFFFF"/>
          <w:vertAlign w:val="superscript"/>
        </w:rPr>
        <w:t>15]</w:t>
      </w:r>
      <w:r w:rsidRPr="008F0A77">
        <w:rPr>
          <w:rFonts w:ascii="Book Antiqua" w:hAnsi="Book Antiqua" w:cs="Book Antiqua"/>
          <w:color w:val="000000"/>
          <w:sz w:val="24"/>
          <w:szCs w:val="24"/>
          <w:shd w:val="clear" w:color="auto" w:fill="FFFFFF"/>
        </w:rPr>
        <w:t>, and that STAT3 has been found to be required for the induction of Reg3s in AP</w:t>
      </w:r>
      <w:r w:rsidRPr="008F0A77">
        <w:rPr>
          <w:rFonts w:ascii="Book Antiqua" w:hAnsi="Book Antiqua" w:cs="Book Antiqua"/>
          <w:color w:val="000000"/>
          <w:sz w:val="24"/>
          <w:szCs w:val="24"/>
          <w:shd w:val="clear" w:color="auto" w:fill="FFFFFF"/>
          <w:vertAlign w:val="superscript"/>
        </w:rPr>
        <w:t>[76]</w:t>
      </w:r>
      <w:r w:rsidRPr="008F0A77">
        <w:rPr>
          <w:rFonts w:ascii="Book Antiqua" w:hAnsi="Book Antiqua" w:cs="Book Antiqua"/>
          <w:color w:val="000000"/>
          <w:sz w:val="24"/>
          <w:szCs w:val="24"/>
          <w:shd w:val="clear" w:color="auto" w:fill="FFFFFF"/>
        </w:rPr>
        <w:t>.</w:t>
      </w:r>
      <w:r w:rsidRPr="008F0A77">
        <w:rPr>
          <w:rFonts w:ascii="Book Antiqua" w:hAnsi="Book Antiqua" w:cs="Book Antiqua"/>
          <w:sz w:val="24"/>
          <w:szCs w:val="24"/>
        </w:rPr>
        <w:t xml:space="preserve"> Interestingly the study of Reg3</w:t>
      </w:r>
      <w:r w:rsidRPr="008F0A77">
        <w:rPr>
          <w:rFonts w:ascii="Book Antiqua" w:hAnsi="Book Antiqua"/>
          <w:sz w:val="24"/>
          <w:szCs w:val="24"/>
        </w:rPr>
        <w:sym w:font="Symbol" w:char="F062"/>
      </w:r>
      <w:r w:rsidRPr="008F0A77">
        <w:rPr>
          <w:rFonts w:ascii="Book Antiqua" w:hAnsi="Book Antiqua" w:cs="Book Antiqua"/>
          <w:sz w:val="24"/>
          <w:szCs w:val="24"/>
        </w:rPr>
        <w:t xml:space="preserve"> knockout mice showed reduced acinar injury but more severe inflammatory infiltration in cerulein-induced mild AP</w:t>
      </w:r>
      <w:r w:rsidRPr="008F0A77">
        <w:rPr>
          <w:rFonts w:ascii="Book Antiqua" w:hAnsi="Book Antiqua" w:cs="Book Antiqua"/>
          <w:sz w:val="24"/>
          <w:szCs w:val="24"/>
          <w:vertAlign w:val="superscript"/>
        </w:rPr>
        <w:t>[77]</w:t>
      </w:r>
      <w:r w:rsidRPr="008F0A77">
        <w:rPr>
          <w:rFonts w:ascii="Book Antiqua" w:hAnsi="Book Antiqua" w:cs="Book Antiqua"/>
          <w:sz w:val="24"/>
          <w:szCs w:val="24"/>
        </w:rPr>
        <w:t>. This phenotype is almost identical to that observed in IL-22 deficient mice. Importantly, we found that the reduced acinar injury in IL-22 knockout mice could be made worse by intravenous administration of recombinant Reg3</w:t>
      </w:r>
      <w:r w:rsidRPr="008F0A77">
        <w:rPr>
          <w:rFonts w:ascii="Book Antiqua" w:hAnsi="Book Antiqua"/>
          <w:bCs/>
          <w:kern w:val="24"/>
          <w:sz w:val="24"/>
          <w:szCs w:val="24"/>
        </w:rPr>
        <w:sym w:font="Symbol" w:char="F061"/>
      </w:r>
      <w:r w:rsidRPr="008F0A77">
        <w:rPr>
          <w:rFonts w:ascii="Book Antiqua" w:hAnsi="Book Antiqua" w:cs="Book Antiqua"/>
          <w:sz w:val="24"/>
          <w:szCs w:val="24"/>
        </w:rPr>
        <w:t xml:space="preserve"> and Reg3</w:t>
      </w:r>
      <w:r w:rsidRPr="008F0A77">
        <w:rPr>
          <w:rFonts w:ascii="Book Antiqua" w:hAnsi="Book Antiqua"/>
          <w:sz w:val="24"/>
          <w:szCs w:val="24"/>
        </w:rPr>
        <w:sym w:font="Symbol" w:char="F062"/>
      </w:r>
      <w:r w:rsidRPr="008F0A77">
        <w:rPr>
          <w:rFonts w:ascii="Book Antiqua" w:hAnsi="Book Antiqua" w:cs="Book Antiqua"/>
          <w:sz w:val="24"/>
          <w:szCs w:val="24"/>
        </w:rPr>
        <w:t xml:space="preserve"> (Figure 2). Additionally, similar to IL-22</w:t>
      </w:r>
      <w:r w:rsidRPr="008F0A77">
        <w:rPr>
          <w:rFonts w:ascii="Book Antiqua" w:hAnsi="Book Antiqua" w:cs="Book Antiqua"/>
          <w:sz w:val="24"/>
          <w:szCs w:val="24"/>
          <w:vertAlign w:val="superscript"/>
        </w:rPr>
        <w:t>[8]</w:t>
      </w:r>
      <w:r w:rsidRPr="008F0A77">
        <w:rPr>
          <w:rFonts w:ascii="Book Antiqua" w:hAnsi="Book Antiqua" w:cs="Book Antiqua"/>
          <w:sz w:val="24"/>
          <w:szCs w:val="24"/>
        </w:rPr>
        <w:t>, endogenous Reg3 proteins have been found to be required to inhibit inflammatory cell infiltration in severe AP as well</w:t>
      </w:r>
      <w:r w:rsidRPr="008F0A77">
        <w:rPr>
          <w:rFonts w:ascii="Book Antiqua" w:hAnsi="Book Antiqua" w:cs="Book Antiqua"/>
          <w:sz w:val="24"/>
          <w:szCs w:val="24"/>
          <w:vertAlign w:val="superscript"/>
        </w:rPr>
        <w:t>[65,75]</w:t>
      </w:r>
      <w:r w:rsidRPr="008F0A77">
        <w:rPr>
          <w:rFonts w:ascii="Book Antiqua" w:hAnsi="Book Antiqua" w:cs="Book Antiqua"/>
          <w:sz w:val="24"/>
          <w:szCs w:val="24"/>
        </w:rPr>
        <w:t xml:space="preserve">. Thus we conclude that IL-22 inhibits inflammation in AP </w:t>
      </w:r>
      <w:r w:rsidRPr="008F0A77">
        <w:rPr>
          <w:rFonts w:ascii="Book Antiqua" w:hAnsi="Book Antiqua" w:cs="Book Antiqua"/>
          <w:i/>
          <w:sz w:val="24"/>
          <w:szCs w:val="24"/>
        </w:rPr>
        <w:t xml:space="preserve">via </w:t>
      </w:r>
      <w:r w:rsidRPr="008F0A77">
        <w:rPr>
          <w:rFonts w:ascii="Book Antiqua" w:hAnsi="Book Antiqua" w:cs="Book Antiqua"/>
          <w:sz w:val="24"/>
          <w:szCs w:val="24"/>
        </w:rPr>
        <w:t>induction of Reg3 proteins. It is noteworthy that in addition to pancreatic acinar cells, Reg3s serve as downstream effectors of IL-22 in intestinal epithelial cells. It has been shown that in the intestine, IL-22-induced expression of Reg3</w:t>
      </w:r>
      <w:r w:rsidRPr="008F0A77">
        <w:rPr>
          <w:rFonts w:ascii="Book Antiqua" w:hAnsi="Book Antiqua"/>
          <w:sz w:val="24"/>
          <w:szCs w:val="24"/>
        </w:rPr>
        <w:sym w:font="Symbol" w:char="F062"/>
      </w:r>
      <w:r w:rsidRPr="008F0A77">
        <w:rPr>
          <w:rFonts w:ascii="Book Antiqua" w:hAnsi="Book Antiqua" w:cs="Book Antiqua"/>
          <w:sz w:val="24"/>
          <w:szCs w:val="24"/>
        </w:rPr>
        <w:t xml:space="preserve"> and Reg3γ contributes to IL-22</w:t>
      </w:r>
      <w:r w:rsidRPr="008F0A77">
        <w:rPr>
          <w:rFonts w:ascii="Book Antiqua" w:hAnsi="Book Antiqua" w:cs="Book Antiqua"/>
          <w:sz w:val="24"/>
          <w:szCs w:val="24"/>
          <w:lang w:eastAsia="zh-CN"/>
        </w:rPr>
        <w:t>’</w:t>
      </w:r>
      <w:r w:rsidRPr="008F0A77">
        <w:rPr>
          <w:rFonts w:ascii="Book Antiqua" w:hAnsi="Book Antiqua" w:cs="Book Antiqua"/>
          <w:sz w:val="24"/>
          <w:szCs w:val="24"/>
        </w:rPr>
        <w:t>s role in the innate immunity against C. rodentium</w:t>
      </w:r>
      <w:r w:rsidRPr="008F0A77">
        <w:rPr>
          <w:rFonts w:ascii="Book Antiqua" w:hAnsi="Book Antiqua" w:cs="Book Antiqua"/>
          <w:sz w:val="24"/>
          <w:szCs w:val="24"/>
          <w:vertAlign w:val="superscript"/>
        </w:rPr>
        <w:t>[36]</w:t>
      </w:r>
      <w:r w:rsidRPr="008F0A77">
        <w:rPr>
          <w:rFonts w:ascii="Book Antiqua" w:hAnsi="Book Antiqua" w:cs="Book Antiqua"/>
          <w:sz w:val="24"/>
          <w:szCs w:val="24"/>
        </w:rPr>
        <w:t>.</w:t>
      </w:r>
    </w:p>
    <w:p w:rsidR="00791961" w:rsidRPr="008F0A77" w:rsidRDefault="00791961" w:rsidP="00D4014D">
      <w:pPr>
        <w:spacing w:after="0" w:line="360" w:lineRule="auto"/>
        <w:ind w:firstLineChars="100" w:firstLine="240"/>
        <w:jc w:val="both"/>
        <w:rPr>
          <w:rFonts w:ascii="Book Antiqua" w:hAnsi="Book Antiqua" w:cs="Book Antiqua"/>
          <w:color w:val="000000"/>
          <w:sz w:val="24"/>
          <w:szCs w:val="24"/>
          <w:shd w:val="clear" w:color="auto" w:fill="FFFFFF"/>
          <w:lang w:eastAsia="zh-CN"/>
        </w:rPr>
      </w:pPr>
      <w:r w:rsidRPr="008F0A77">
        <w:rPr>
          <w:rFonts w:ascii="Book Antiqua" w:hAnsi="Book Antiqua" w:cs="Book Antiqua"/>
          <w:color w:val="000000"/>
          <w:sz w:val="24"/>
          <w:szCs w:val="24"/>
          <w:shd w:val="clear" w:color="auto" w:fill="FFFFFF"/>
        </w:rPr>
        <w:t>The anti-inflammatory activities of IL-22 and Reg3 in severe AP are consistent with their roles in tissue protection. On the other hand, despite their inhibition of inflammatory cell infiltration, IL-22 and Reg3 appear to make tissue injury worse in mild AP</w:t>
      </w:r>
      <w:r w:rsidRPr="008F0A77">
        <w:rPr>
          <w:rFonts w:ascii="Book Antiqua" w:hAnsi="Book Antiqua" w:cs="Book Antiqua"/>
          <w:color w:val="000000"/>
          <w:sz w:val="24"/>
          <w:szCs w:val="24"/>
          <w:shd w:val="clear" w:color="auto" w:fill="FFFFFF"/>
          <w:vertAlign w:val="superscript"/>
        </w:rPr>
        <w:t>[77]</w:t>
      </w:r>
      <w:r w:rsidRPr="008F0A77">
        <w:rPr>
          <w:rFonts w:ascii="Book Antiqua" w:hAnsi="Book Antiqua" w:cs="Book Antiqua"/>
          <w:color w:val="000000"/>
          <w:sz w:val="24"/>
          <w:szCs w:val="24"/>
          <w:shd w:val="clear" w:color="auto" w:fill="FFFFFF"/>
        </w:rPr>
        <w:t xml:space="preserve"> (Figure 2). One possible explanation of these adverse effects in mild AP could be that their restriction of inflammatory cell infiltration leads to a reduction in the number of protective inflammatory cells such as M2 and hemin-activated macrophages in the pancreas</w:t>
      </w:r>
      <w:r w:rsidRPr="008F0A77">
        <w:rPr>
          <w:rFonts w:ascii="Book Antiqua" w:hAnsi="Book Antiqua" w:cs="Book Antiqua"/>
          <w:color w:val="000000"/>
          <w:sz w:val="24"/>
          <w:szCs w:val="24"/>
          <w:shd w:val="clear" w:color="auto" w:fill="FFFFFF"/>
          <w:vertAlign w:val="superscript"/>
        </w:rPr>
        <w:t>[78,79]</w:t>
      </w:r>
      <w:r w:rsidRPr="008F0A77">
        <w:rPr>
          <w:rFonts w:ascii="Book Antiqua" w:hAnsi="Book Antiqua" w:cs="Book Antiqua"/>
          <w:color w:val="000000"/>
          <w:sz w:val="24"/>
          <w:szCs w:val="24"/>
          <w:shd w:val="clear" w:color="auto" w:fill="FFFFFF"/>
        </w:rPr>
        <w:t>. If this is so, it suggests that the inflammatory infiltrates in mild AP are composed of some cells with distinctly different functions than those in severe AP, in agreement with the finding of different types of peritoneal inflammatory cells in AP of different degrees of severity</w:t>
      </w:r>
      <w:r w:rsidRPr="008F0A77">
        <w:rPr>
          <w:rFonts w:ascii="Book Antiqua" w:hAnsi="Book Antiqua" w:cs="Book Antiqua"/>
          <w:color w:val="000000"/>
          <w:sz w:val="24"/>
          <w:szCs w:val="24"/>
          <w:shd w:val="clear" w:color="auto" w:fill="FFFFFF"/>
          <w:vertAlign w:val="superscript"/>
        </w:rPr>
        <w:t>[</w:t>
      </w:r>
      <w:r w:rsidRPr="008F0A77">
        <w:rPr>
          <w:rFonts w:ascii="Book Antiqua" w:hAnsi="Book Antiqua" w:cs="Book Antiqua"/>
          <w:sz w:val="24"/>
          <w:szCs w:val="24"/>
          <w:shd w:val="clear" w:color="auto" w:fill="FFFFFF"/>
          <w:vertAlign w:val="superscript"/>
        </w:rPr>
        <w:t>80</w:t>
      </w:r>
      <w:r w:rsidRPr="008F0A77">
        <w:rPr>
          <w:rFonts w:ascii="Book Antiqua" w:hAnsi="Book Antiqua" w:cs="Book Antiqua"/>
          <w:color w:val="000000"/>
          <w:sz w:val="24"/>
          <w:szCs w:val="24"/>
          <w:shd w:val="clear" w:color="auto" w:fill="FFFFFF"/>
          <w:vertAlign w:val="superscript"/>
        </w:rPr>
        <w:t>]</w:t>
      </w:r>
      <w:r w:rsidRPr="008F0A77">
        <w:rPr>
          <w:rFonts w:ascii="Book Antiqua" w:hAnsi="Book Antiqua" w:cs="Book Antiqua"/>
          <w:color w:val="000000"/>
          <w:sz w:val="24"/>
          <w:szCs w:val="24"/>
          <w:shd w:val="clear" w:color="auto" w:fill="FFFFFF"/>
        </w:rPr>
        <w:t xml:space="preserve">. An alternative explanation is that the detrimental effects of IL-22 and Reg3 in mild AP may be related to their anti-apoptotic activity </w:t>
      </w:r>
      <w:r w:rsidRPr="008F0A77">
        <w:rPr>
          <w:rFonts w:ascii="Book Antiqua" w:hAnsi="Book Antiqua" w:cs="Book Antiqua"/>
          <w:color w:val="000000"/>
          <w:sz w:val="24"/>
          <w:szCs w:val="24"/>
          <w:shd w:val="clear" w:color="auto" w:fill="FFFFFF"/>
        </w:rPr>
        <w:lastRenderedPageBreak/>
        <w:t xml:space="preserve">which leads to a </w:t>
      </w:r>
      <w:r w:rsidRPr="008F0A77">
        <w:rPr>
          <w:rFonts w:ascii="Book Antiqua" w:hAnsi="Book Antiqua" w:cs="Book Antiqua"/>
          <w:color w:val="000000"/>
          <w:sz w:val="24"/>
          <w:szCs w:val="24"/>
          <w:shd w:val="clear" w:color="auto" w:fill="FFFFFF"/>
          <w:lang w:eastAsia="zh-CN"/>
        </w:rPr>
        <w:t>“</w:t>
      </w:r>
      <w:r w:rsidRPr="008F0A77">
        <w:rPr>
          <w:rFonts w:ascii="Book Antiqua" w:hAnsi="Book Antiqua" w:cs="Book Antiqua"/>
          <w:color w:val="000000"/>
          <w:sz w:val="24"/>
          <w:szCs w:val="24"/>
          <w:shd w:val="clear" w:color="auto" w:fill="FFFFFF"/>
        </w:rPr>
        <w:t>destructive</w:t>
      </w:r>
      <w:r w:rsidRPr="008F0A77">
        <w:rPr>
          <w:rFonts w:ascii="Book Antiqua" w:hAnsi="Book Antiqua" w:cs="Book Antiqua"/>
          <w:color w:val="000000"/>
          <w:sz w:val="24"/>
          <w:szCs w:val="24"/>
          <w:shd w:val="clear" w:color="auto" w:fill="FFFFFF"/>
          <w:lang w:eastAsia="zh-CN"/>
        </w:rPr>
        <w:t>”</w:t>
      </w:r>
      <w:r w:rsidRPr="008F0A77">
        <w:rPr>
          <w:rFonts w:ascii="Book Antiqua" w:hAnsi="Book Antiqua" w:cs="Book Antiqua"/>
          <w:color w:val="000000"/>
          <w:sz w:val="24"/>
          <w:szCs w:val="24"/>
          <w:shd w:val="clear" w:color="auto" w:fill="FFFFFF"/>
        </w:rPr>
        <w:t xml:space="preserve"> necrosis rather than a </w:t>
      </w:r>
      <w:r w:rsidRPr="008F0A77">
        <w:rPr>
          <w:rFonts w:ascii="Book Antiqua" w:hAnsi="Book Antiqua" w:cs="Book Antiqua"/>
          <w:color w:val="000000"/>
          <w:sz w:val="24"/>
          <w:szCs w:val="24"/>
          <w:shd w:val="clear" w:color="auto" w:fill="FFFFFF"/>
          <w:lang w:eastAsia="zh-CN"/>
        </w:rPr>
        <w:t>“</w:t>
      </w:r>
      <w:r w:rsidRPr="008F0A77">
        <w:rPr>
          <w:rFonts w:ascii="Book Antiqua" w:hAnsi="Book Antiqua" w:cs="Book Antiqua"/>
          <w:color w:val="000000"/>
          <w:sz w:val="24"/>
          <w:szCs w:val="24"/>
          <w:shd w:val="clear" w:color="auto" w:fill="FFFFFF"/>
        </w:rPr>
        <w:t>clean</w:t>
      </w:r>
      <w:r w:rsidRPr="008F0A77">
        <w:rPr>
          <w:rFonts w:ascii="Book Antiqua" w:hAnsi="Book Antiqua" w:cs="Book Antiqua"/>
          <w:color w:val="000000"/>
          <w:sz w:val="24"/>
          <w:szCs w:val="24"/>
          <w:shd w:val="clear" w:color="auto" w:fill="FFFFFF"/>
          <w:lang w:eastAsia="zh-CN"/>
        </w:rPr>
        <w:t>”</w:t>
      </w:r>
      <w:r w:rsidRPr="008F0A77">
        <w:rPr>
          <w:rFonts w:ascii="Book Antiqua" w:hAnsi="Book Antiqua" w:cs="Book Antiqua"/>
          <w:color w:val="000000"/>
          <w:sz w:val="24"/>
          <w:szCs w:val="24"/>
          <w:shd w:val="clear" w:color="auto" w:fill="FFFFFF"/>
        </w:rPr>
        <w:t xml:space="preserve"> apoptosis of injured acinar cells in mild AP</w:t>
      </w:r>
      <w:r w:rsidRPr="008F0A77">
        <w:rPr>
          <w:rFonts w:ascii="Book Antiqua" w:hAnsi="Book Antiqua" w:cs="Book Antiqua"/>
          <w:color w:val="000000"/>
          <w:sz w:val="24"/>
          <w:szCs w:val="24"/>
          <w:shd w:val="clear" w:color="auto" w:fill="FFFFFF"/>
          <w:vertAlign w:val="superscript"/>
        </w:rPr>
        <w:t>[77]</w:t>
      </w:r>
      <w:r w:rsidRPr="008F0A77">
        <w:rPr>
          <w:rFonts w:ascii="Book Antiqua" w:hAnsi="Book Antiqua" w:cs="Book Antiqua"/>
          <w:color w:val="000000"/>
          <w:sz w:val="24"/>
          <w:szCs w:val="24"/>
          <w:shd w:val="clear" w:color="auto" w:fill="FFFFFF"/>
        </w:rPr>
        <w:t xml:space="preserve">. </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t>ADMINISTRATION OF IL-22 PROTECTS AGAINST INFLAMMATORY INJURY IN SEVERE AP</w:t>
      </w:r>
    </w:p>
    <w:p w:rsidR="00791961" w:rsidRPr="008F0A77" w:rsidRDefault="00791961" w:rsidP="001F01CF">
      <w:pPr>
        <w:spacing w:after="0" w:line="360" w:lineRule="auto"/>
        <w:jc w:val="both"/>
        <w:rPr>
          <w:rFonts w:ascii="Book Antiqua" w:hAnsi="Book Antiqua" w:cs="Book Antiqua"/>
          <w:sz w:val="24"/>
          <w:szCs w:val="24"/>
        </w:rPr>
      </w:pPr>
      <w:r w:rsidRPr="008F0A77">
        <w:rPr>
          <w:rFonts w:ascii="Book Antiqua" w:hAnsi="Book Antiqua" w:cs="Book Antiqua"/>
          <w:sz w:val="24"/>
          <w:szCs w:val="24"/>
        </w:rPr>
        <w:t>In models of severe AP, IL-22 administration has been found to be tissue protective</w:t>
      </w:r>
      <w:r w:rsidRPr="008F0A77">
        <w:rPr>
          <w:rFonts w:ascii="Book Antiqua" w:hAnsi="Book Antiqua" w:cs="Book Antiqua"/>
          <w:sz w:val="24"/>
          <w:szCs w:val="24"/>
          <w:vertAlign w:val="superscript"/>
        </w:rPr>
        <w:t>[8,10]</w:t>
      </w:r>
      <w:r w:rsidRPr="008F0A77">
        <w:rPr>
          <w:rFonts w:ascii="Book Antiqua" w:hAnsi="Book Antiqua" w:cs="Book Antiqua"/>
          <w:sz w:val="24"/>
          <w:szCs w:val="24"/>
        </w:rPr>
        <w:t>. This is at least partially contributed by its anti-inflammatory activity, since reduced IL-22 serum levels were found to be associated with lung injury in a necrotizing AP model induced by sodium taurocholate</w:t>
      </w:r>
      <w:r w:rsidRPr="008F0A77">
        <w:rPr>
          <w:rFonts w:ascii="Book Antiqua" w:hAnsi="Book Antiqua" w:cs="Book Antiqua"/>
          <w:sz w:val="24"/>
          <w:szCs w:val="24"/>
          <w:vertAlign w:val="superscript"/>
        </w:rPr>
        <w:t>[9]</w:t>
      </w:r>
      <w:r w:rsidRPr="008F0A77">
        <w:rPr>
          <w:rFonts w:ascii="Book Antiqua" w:hAnsi="Book Antiqua" w:cs="Book Antiqua"/>
          <w:sz w:val="24"/>
          <w:szCs w:val="24"/>
        </w:rPr>
        <w:t>. In addition, IL-22 administration not only alleviated the tissue damage in the pancreas but also rescued lung injury mediated by the systemic inflammatory response in the CDE (choline-deficient diet supplemented with DL-ethionine) AP model</w:t>
      </w:r>
      <w:r w:rsidRPr="008F0A77">
        <w:rPr>
          <w:rFonts w:ascii="Book Antiqua" w:hAnsi="Book Antiqua" w:cs="Book Antiqua"/>
          <w:sz w:val="24"/>
          <w:szCs w:val="24"/>
          <w:vertAlign w:val="superscript"/>
        </w:rPr>
        <w:t>[8]</w:t>
      </w:r>
      <w:r w:rsidRPr="008F0A77">
        <w:rPr>
          <w:rFonts w:ascii="Book Antiqua" w:hAnsi="Book Antiqua" w:cs="Book Antiqua"/>
          <w:sz w:val="24"/>
          <w:szCs w:val="24"/>
        </w:rPr>
        <w:t>. This is also in keeping with the lack of protection against acinar injury by endogenous IL-22 in mild AP where the acinar injury is largely the result of pathogenic factors other than inflammation</w:t>
      </w:r>
      <w:r w:rsidRPr="008F0A77">
        <w:rPr>
          <w:rFonts w:ascii="Book Antiqua" w:hAnsi="Book Antiqua" w:cs="Book Antiqua"/>
          <w:sz w:val="24"/>
          <w:szCs w:val="24"/>
          <w:vertAlign w:val="superscript"/>
        </w:rPr>
        <w:t>[58,59</w:t>
      </w:r>
      <w:r w:rsidRPr="008F0A77">
        <w:rPr>
          <w:rFonts w:ascii="Book Antiqua" w:hAnsi="Book Antiqua" w:cs="Book Antiqua"/>
          <w:sz w:val="24"/>
          <w:szCs w:val="24"/>
          <w:vertAlign w:val="superscript"/>
          <w:lang w:eastAsia="zh-CN"/>
        </w:rPr>
        <w:t>,</w:t>
      </w:r>
      <w:r w:rsidRPr="008F0A77">
        <w:rPr>
          <w:rFonts w:ascii="Book Antiqua" w:hAnsi="Book Antiqua" w:cs="Book Antiqua"/>
          <w:sz w:val="24"/>
          <w:szCs w:val="24"/>
          <w:vertAlign w:val="superscript"/>
        </w:rPr>
        <w:t>61]</w:t>
      </w:r>
      <w:r w:rsidRPr="008F0A77">
        <w:rPr>
          <w:rFonts w:ascii="Book Antiqua" w:hAnsi="Book Antiqua" w:cs="Book Antiqua"/>
          <w:sz w:val="24"/>
          <w:szCs w:val="24"/>
        </w:rPr>
        <w:t xml:space="preserve">. </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r w:rsidRPr="008F0A77">
        <w:rPr>
          <w:rFonts w:ascii="Book Antiqua" w:hAnsi="Book Antiqua" w:cs="Book Antiqua"/>
          <w:sz w:val="24"/>
          <w:szCs w:val="24"/>
        </w:rPr>
        <w:t>In addition to its anti-inflammatory activity, the potential protective role of the interplay of IL-22 with other cytokines that are highly induced in severe but not mild AP may also help to explain IL-22</w:t>
      </w:r>
      <w:r w:rsidRPr="008F0A77">
        <w:rPr>
          <w:rFonts w:ascii="Book Antiqua" w:hAnsi="Book Antiqua" w:cs="Book Antiqua"/>
          <w:sz w:val="24"/>
          <w:szCs w:val="24"/>
          <w:lang w:eastAsia="zh-CN"/>
        </w:rPr>
        <w:t>’</w:t>
      </w:r>
      <w:r w:rsidRPr="008F0A77">
        <w:rPr>
          <w:rFonts w:ascii="Book Antiqua" w:hAnsi="Book Antiqua" w:cs="Book Antiqua"/>
          <w:sz w:val="24"/>
          <w:szCs w:val="24"/>
        </w:rPr>
        <w:t>s beneficial effects in severe AP. TNF-</w:t>
      </w:r>
      <w:r w:rsidRPr="008F0A77">
        <w:rPr>
          <w:rFonts w:ascii="Book Antiqua" w:hAnsi="Book Antiqua"/>
          <w:bCs/>
          <w:kern w:val="24"/>
          <w:sz w:val="24"/>
          <w:szCs w:val="24"/>
        </w:rPr>
        <w:sym w:font="Symbol" w:char="F061"/>
      </w:r>
      <w:r w:rsidRPr="008F0A77">
        <w:rPr>
          <w:rFonts w:ascii="Book Antiqua" w:hAnsi="Book Antiqua" w:cs="Book Antiqua"/>
          <w:sz w:val="24"/>
          <w:szCs w:val="24"/>
        </w:rPr>
        <w:t xml:space="preserve"> is a pro-inflammatory cytokine that was found to be involved in AP pathogenesis and highly induced in severe AP patients</w:t>
      </w:r>
      <w:r w:rsidRPr="008F0A77">
        <w:rPr>
          <w:rFonts w:ascii="Book Antiqua" w:hAnsi="Book Antiqua" w:cs="Book Antiqua"/>
          <w:sz w:val="24"/>
          <w:szCs w:val="24"/>
          <w:vertAlign w:val="superscript"/>
        </w:rPr>
        <w:t>[81-83]</w:t>
      </w:r>
      <w:r w:rsidRPr="008F0A77">
        <w:rPr>
          <w:rFonts w:ascii="Book Antiqua" w:hAnsi="Book Antiqua" w:cs="Book Antiqua"/>
          <w:sz w:val="24"/>
          <w:szCs w:val="24"/>
        </w:rPr>
        <w:t>. Recent evidence, however, showed that the TNF-</w:t>
      </w:r>
      <w:r w:rsidRPr="008F0A77">
        <w:rPr>
          <w:rFonts w:ascii="Book Antiqua" w:hAnsi="Book Antiqua"/>
          <w:bCs/>
          <w:kern w:val="24"/>
          <w:sz w:val="24"/>
          <w:szCs w:val="24"/>
        </w:rPr>
        <w:sym w:font="Symbol" w:char="F061"/>
      </w:r>
      <w:r w:rsidRPr="008F0A77">
        <w:rPr>
          <w:rFonts w:ascii="Book Antiqua" w:hAnsi="Book Antiqua" w:cs="Book Antiqua"/>
          <w:sz w:val="24"/>
          <w:szCs w:val="24"/>
        </w:rPr>
        <w:t xml:space="preserve"> expression profiles between the severe AP patients with and without MODS are different</w:t>
      </w:r>
      <w:r w:rsidRPr="008F0A77">
        <w:rPr>
          <w:rFonts w:ascii="Book Antiqua" w:hAnsi="Book Antiqua" w:cs="Book Antiqua"/>
          <w:sz w:val="24"/>
          <w:szCs w:val="24"/>
          <w:vertAlign w:val="superscript"/>
        </w:rPr>
        <w:t>[84]</w:t>
      </w:r>
      <w:r w:rsidRPr="008F0A77">
        <w:rPr>
          <w:rFonts w:ascii="Book Antiqua" w:hAnsi="Book Antiqua" w:cs="Book Antiqua"/>
          <w:sz w:val="24"/>
          <w:szCs w:val="24"/>
        </w:rPr>
        <w:t>. Another study claims that less TNF-</w:t>
      </w:r>
      <w:r w:rsidRPr="008F0A77">
        <w:rPr>
          <w:rFonts w:ascii="Book Antiqua" w:hAnsi="Book Antiqua"/>
          <w:bCs/>
          <w:kern w:val="24"/>
          <w:sz w:val="24"/>
          <w:szCs w:val="24"/>
        </w:rPr>
        <w:sym w:font="Symbol" w:char="F061"/>
      </w:r>
      <w:r w:rsidRPr="008F0A77">
        <w:rPr>
          <w:rFonts w:ascii="Book Antiqua" w:hAnsi="Book Antiqua" w:cs="Book Antiqua"/>
          <w:sz w:val="24"/>
          <w:szCs w:val="24"/>
        </w:rPr>
        <w:t xml:space="preserve"> induction predicts the development of MODS and a fatal outcome in severe AP patients</w:t>
      </w:r>
      <w:r w:rsidRPr="008F0A77">
        <w:rPr>
          <w:rFonts w:ascii="Book Antiqua" w:hAnsi="Book Antiqua" w:cs="Book Antiqua"/>
          <w:sz w:val="24"/>
          <w:szCs w:val="24"/>
          <w:vertAlign w:val="superscript"/>
        </w:rPr>
        <w:t>[85]</w:t>
      </w:r>
      <w:r w:rsidRPr="008F0A77">
        <w:rPr>
          <w:rFonts w:ascii="Book Antiqua" w:hAnsi="Book Antiqua" w:cs="Book Antiqua"/>
          <w:sz w:val="24"/>
          <w:szCs w:val="24"/>
        </w:rPr>
        <w:t>, suggesting an essential protective role of TNF-</w:t>
      </w:r>
      <w:r w:rsidRPr="008F0A77">
        <w:rPr>
          <w:rFonts w:ascii="Book Antiqua" w:hAnsi="Book Antiqua"/>
          <w:bCs/>
          <w:kern w:val="24"/>
          <w:sz w:val="24"/>
          <w:szCs w:val="24"/>
        </w:rPr>
        <w:sym w:font="Symbol" w:char="F061"/>
      </w:r>
      <w:r w:rsidRPr="008F0A77">
        <w:rPr>
          <w:rFonts w:ascii="Book Antiqua" w:hAnsi="Book Antiqua" w:cs="Book Antiqua"/>
          <w:sz w:val="24"/>
          <w:szCs w:val="24"/>
        </w:rPr>
        <w:t xml:space="preserve"> in severe AP but with an undetermined mechanism. Interestingly, it has been shown that IL-22 and TNF-</w:t>
      </w:r>
      <w:r w:rsidRPr="008F0A77">
        <w:rPr>
          <w:rFonts w:ascii="Book Antiqua" w:hAnsi="Book Antiqua"/>
          <w:bCs/>
          <w:kern w:val="24"/>
          <w:sz w:val="24"/>
          <w:szCs w:val="24"/>
        </w:rPr>
        <w:sym w:font="Symbol" w:char="F061"/>
      </w:r>
      <w:r w:rsidRPr="008F0A77">
        <w:rPr>
          <w:rFonts w:ascii="Book Antiqua" w:hAnsi="Book Antiqua" w:cs="Book Antiqua"/>
          <w:sz w:val="24"/>
          <w:szCs w:val="24"/>
        </w:rPr>
        <w:t xml:space="preserve"> synergistically conserve the integrity of the epidermal barrier in a skin infection model</w:t>
      </w:r>
      <w:r w:rsidRPr="008F0A77">
        <w:rPr>
          <w:rFonts w:ascii="Book Antiqua" w:hAnsi="Book Antiqua" w:cs="Book Antiqua"/>
          <w:sz w:val="24"/>
          <w:szCs w:val="24"/>
          <w:vertAlign w:val="superscript"/>
        </w:rPr>
        <w:t>[86]</w:t>
      </w:r>
      <w:r w:rsidRPr="008F0A77">
        <w:rPr>
          <w:rFonts w:ascii="Book Antiqua" w:hAnsi="Book Antiqua" w:cs="Book Antiqua"/>
          <w:sz w:val="24"/>
          <w:szCs w:val="24"/>
        </w:rPr>
        <w:t>. It is thus possible that the interplay between IL-22 and TNF-</w:t>
      </w:r>
      <w:r w:rsidRPr="008F0A77">
        <w:rPr>
          <w:rFonts w:ascii="Book Antiqua" w:hAnsi="Book Antiqua"/>
          <w:bCs/>
          <w:kern w:val="24"/>
          <w:sz w:val="24"/>
          <w:szCs w:val="24"/>
        </w:rPr>
        <w:sym w:font="Symbol" w:char="F061"/>
      </w:r>
      <w:r w:rsidRPr="008F0A77">
        <w:rPr>
          <w:rFonts w:ascii="Book Antiqua" w:hAnsi="Book Antiqua" w:cs="Book Antiqua"/>
          <w:sz w:val="24"/>
          <w:szCs w:val="24"/>
        </w:rPr>
        <w:t xml:space="preserve"> could have a significant protective role in severe AP as well. In addition, IL-17, a pro-inflammatory cytokine involved in the development of necrotizing AP in rats as well as in severe AP in patients</w:t>
      </w:r>
      <w:r w:rsidRPr="008F0A77">
        <w:rPr>
          <w:rFonts w:ascii="Book Antiqua" w:hAnsi="Book Antiqua" w:cs="Book Antiqua"/>
          <w:sz w:val="24"/>
          <w:szCs w:val="24"/>
          <w:vertAlign w:val="superscript"/>
        </w:rPr>
        <w:t>[87,88]</w:t>
      </w:r>
      <w:r w:rsidRPr="008F0A77">
        <w:rPr>
          <w:rFonts w:ascii="Book Antiqua" w:hAnsi="Book Antiqua" w:cs="Book Antiqua"/>
          <w:sz w:val="24"/>
          <w:szCs w:val="24"/>
        </w:rPr>
        <w:t xml:space="preserve">, may also coordinate IL-22 function in AP, since it has been shown that the pathological </w:t>
      </w:r>
      <w:r w:rsidRPr="008F0A77">
        <w:rPr>
          <w:rFonts w:ascii="Book Antiqua" w:hAnsi="Book Antiqua" w:cs="Book Antiqua"/>
          <w:i/>
          <w:sz w:val="24"/>
          <w:szCs w:val="24"/>
        </w:rPr>
        <w:t>vs</w:t>
      </w:r>
      <w:r w:rsidRPr="008F0A77">
        <w:rPr>
          <w:rFonts w:ascii="Book Antiqua" w:hAnsi="Book Antiqua" w:cs="Book Antiqua"/>
          <w:sz w:val="24"/>
          <w:szCs w:val="24"/>
        </w:rPr>
        <w:t xml:space="preserve"> protective functions of </w:t>
      </w:r>
      <w:r w:rsidRPr="008F0A77">
        <w:rPr>
          <w:rFonts w:ascii="Book Antiqua" w:hAnsi="Book Antiqua" w:cs="Book Antiqua"/>
          <w:sz w:val="24"/>
          <w:szCs w:val="24"/>
        </w:rPr>
        <w:lastRenderedPageBreak/>
        <w:t>IL-22 in airway inflammation were regulated by IL-17A</w:t>
      </w:r>
      <w:r w:rsidRPr="008F0A77">
        <w:rPr>
          <w:rFonts w:ascii="Book Antiqua" w:hAnsi="Book Antiqua" w:cs="Book Antiqua"/>
          <w:sz w:val="24"/>
          <w:szCs w:val="24"/>
          <w:vertAlign w:val="superscript"/>
        </w:rPr>
        <w:t>[89]</w:t>
      </w:r>
      <w:r w:rsidRPr="008F0A77">
        <w:rPr>
          <w:rFonts w:ascii="Book Antiqua" w:hAnsi="Book Antiqua" w:cs="Book Antiqua"/>
          <w:sz w:val="24"/>
          <w:szCs w:val="24"/>
        </w:rPr>
        <w:t>. Furthermore, IL-22 and IL-17 cooperatively enhance antimicrobial activity in keratinocytes</w:t>
      </w:r>
      <w:r w:rsidRPr="008F0A77">
        <w:rPr>
          <w:rFonts w:ascii="Book Antiqua" w:hAnsi="Book Antiqua" w:cs="Book Antiqua"/>
          <w:sz w:val="24"/>
          <w:szCs w:val="24"/>
          <w:vertAlign w:val="superscript"/>
        </w:rPr>
        <w:t>[90]</w:t>
      </w:r>
      <w:r w:rsidRPr="008F0A77">
        <w:rPr>
          <w:rFonts w:ascii="Book Antiqua" w:hAnsi="Book Antiqua" w:cs="Book Antiqua"/>
          <w:sz w:val="24"/>
          <w:szCs w:val="24"/>
        </w:rPr>
        <w:t xml:space="preserve">. Thus the protective function of IL-22 could be linked to other cytokines which are highly expressed in severe AP. </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t>IL-22 IS A POTENTIAL THERAPEUTIC TARGET FOR AP TREATMENT</w:t>
      </w:r>
    </w:p>
    <w:p w:rsidR="00791961" w:rsidRPr="008F0A77" w:rsidRDefault="00791961" w:rsidP="001F01CF">
      <w:pPr>
        <w:spacing w:after="0" w:line="360" w:lineRule="auto"/>
        <w:jc w:val="both"/>
        <w:rPr>
          <w:rFonts w:ascii="Book Antiqua" w:hAnsi="Book Antiqua" w:cs="Book Antiqua"/>
          <w:sz w:val="24"/>
          <w:szCs w:val="24"/>
        </w:rPr>
      </w:pPr>
      <w:r w:rsidRPr="008F0A77">
        <w:rPr>
          <w:rFonts w:ascii="Book Antiqua" w:hAnsi="Book Antiqua" w:cs="Book Antiqua"/>
          <w:sz w:val="24"/>
          <w:szCs w:val="24"/>
        </w:rPr>
        <w:t>Immune modulation presents promising possibilities for AP treatment, since the balance between pro- and anti-inflammatory responses determines the progression and outcome of AP</w:t>
      </w:r>
      <w:r w:rsidRPr="008F0A77">
        <w:rPr>
          <w:rFonts w:ascii="Book Antiqua" w:hAnsi="Book Antiqua" w:cs="Book Antiqua"/>
          <w:sz w:val="24"/>
          <w:szCs w:val="24"/>
          <w:vertAlign w:val="superscript"/>
        </w:rPr>
        <w:t>[1-7]</w:t>
      </w:r>
      <w:r w:rsidRPr="008F0A77">
        <w:rPr>
          <w:rFonts w:ascii="Book Antiqua" w:hAnsi="Book Antiqua" w:cs="Book Antiqua"/>
          <w:sz w:val="24"/>
          <w:szCs w:val="24"/>
        </w:rPr>
        <w:t>. Many immune modulating strategies have been developed by either inhibiting pro-inflammatory cytokines or strengthening the effects of anti-inflammatory mediators. Although many of these strategies have been proven to be beneficial in AP animal models, their therapeutic effects in AP patients have been far from satisfactory. This could be due to the difficulties in clinical translation of animal experimental data, poor understanding of the regulation of inflammation, or the need for multimodal approaches</w:t>
      </w:r>
      <w:r w:rsidRPr="008F0A77">
        <w:rPr>
          <w:rFonts w:ascii="Book Antiqua" w:hAnsi="Book Antiqua" w:cs="Book Antiqua"/>
          <w:sz w:val="24"/>
          <w:szCs w:val="24"/>
          <w:vertAlign w:val="superscript"/>
        </w:rPr>
        <w:t>[4]</w:t>
      </w:r>
      <w:r w:rsidRPr="008F0A77">
        <w:rPr>
          <w:rFonts w:ascii="Book Antiqua" w:hAnsi="Book Antiqua" w:cs="Book Antiqua"/>
          <w:sz w:val="24"/>
          <w:szCs w:val="24"/>
        </w:rPr>
        <w:t xml:space="preserve">. Thus in order to achieve convincing therapeutic effects in patients, a more thorough and practical strategy that targets multiple inflammatory mediators is needed to be able to control the network of inflammation in AP.    </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r w:rsidRPr="008F0A77">
        <w:rPr>
          <w:rFonts w:ascii="Book Antiqua" w:hAnsi="Book Antiqua" w:cs="Book Antiqua"/>
          <w:sz w:val="24"/>
          <w:szCs w:val="24"/>
        </w:rPr>
        <w:t>The restrictive expression of IL-22R1 on cells of epithelial origin limits the effects of IL-22 in the body. This makes IL-22 an ideal target for drug development. Given that IL-22 has either pathogenic or beneficial effects depending on the inflammatory diseases, both anti-IL-22 antibody and recombinant IL-22 have been developed for inhibiting or strengthening IL-22 signaling respectively</w:t>
      </w:r>
      <w:r w:rsidRPr="008F0A77">
        <w:rPr>
          <w:rFonts w:ascii="Book Antiqua" w:hAnsi="Book Antiqua" w:cs="Book Antiqua"/>
          <w:sz w:val="24"/>
          <w:szCs w:val="24"/>
          <w:vertAlign w:val="superscript"/>
        </w:rPr>
        <w:t>[17,91</w:t>
      </w:r>
      <w:r w:rsidRPr="008F0A77">
        <w:rPr>
          <w:rFonts w:ascii="Book Antiqua" w:hAnsi="Book Antiqua" w:cs="Book Antiqua"/>
          <w:sz w:val="24"/>
          <w:szCs w:val="24"/>
          <w:vertAlign w:val="superscript"/>
          <w:lang w:eastAsia="zh-CN"/>
        </w:rPr>
        <w:t>,</w:t>
      </w:r>
      <w:r w:rsidRPr="008F0A77">
        <w:rPr>
          <w:rFonts w:ascii="Book Antiqua" w:hAnsi="Book Antiqua" w:cs="Book Antiqua"/>
          <w:sz w:val="24"/>
          <w:szCs w:val="24"/>
          <w:vertAlign w:val="superscript"/>
        </w:rPr>
        <w:t>92]</w:t>
      </w:r>
      <w:r w:rsidRPr="008F0A77">
        <w:rPr>
          <w:rFonts w:ascii="Book Antiqua" w:hAnsi="Book Antiqua" w:cs="Book Antiqua"/>
          <w:sz w:val="24"/>
          <w:szCs w:val="24"/>
        </w:rPr>
        <w:t xml:space="preserve">. For example, ILV-094, an anti-IL-22 antibody that blocks IL-22 activity, is being tested in a phase II clinical trial for the treatment of atopic dermatitis; while, IL-22 IgG2-Fc, a human recombinant IL-22 developed for </w:t>
      </w:r>
      <w:r w:rsidRPr="008F0A77">
        <w:rPr>
          <w:rFonts w:ascii="Book Antiqua" w:hAnsi="Book Antiqua" w:cs="Book Antiqua"/>
          <w:sz w:val="24"/>
          <w:szCs w:val="24"/>
          <w:shd w:val="clear" w:color="auto" w:fill="FFFFFF"/>
        </w:rPr>
        <w:t>grade II-IV lower GI acute graft-</w:t>
      </w:r>
      <w:r w:rsidRPr="008F0A77">
        <w:rPr>
          <w:rFonts w:ascii="Book Antiqua" w:hAnsi="Book Antiqua" w:cs="Book Antiqua"/>
          <w:i/>
          <w:sz w:val="24"/>
          <w:szCs w:val="24"/>
          <w:shd w:val="clear" w:color="auto" w:fill="FFFFFF"/>
        </w:rPr>
        <w:t>vs</w:t>
      </w:r>
      <w:r w:rsidRPr="008F0A77">
        <w:rPr>
          <w:rFonts w:ascii="Book Antiqua" w:hAnsi="Book Antiqua" w:cs="Book Antiqua"/>
          <w:sz w:val="24"/>
          <w:szCs w:val="24"/>
          <w:shd w:val="clear" w:color="auto" w:fill="FFFFFF"/>
        </w:rPr>
        <w:t>-host disease</w:t>
      </w:r>
      <w:r w:rsidRPr="008F0A77">
        <w:rPr>
          <w:rFonts w:ascii="Book Antiqua" w:hAnsi="Book Antiqua" w:cs="Book Antiqua"/>
          <w:sz w:val="24"/>
          <w:szCs w:val="24"/>
        </w:rPr>
        <w:t>, is also in a phase II clinical trial</w:t>
      </w:r>
      <w:r w:rsidRPr="008F0A77">
        <w:rPr>
          <w:rFonts w:ascii="Book Antiqua" w:hAnsi="Book Antiqua" w:cs="Book Antiqua"/>
          <w:sz w:val="24"/>
          <w:szCs w:val="24"/>
          <w:vertAlign w:val="superscript"/>
        </w:rPr>
        <w:t>[93]</w:t>
      </w:r>
      <w:r w:rsidRPr="008F0A77">
        <w:rPr>
          <w:rFonts w:ascii="Book Antiqua" w:hAnsi="Book Antiqua" w:cs="Book Antiqua"/>
          <w:sz w:val="24"/>
          <w:szCs w:val="24"/>
          <w:shd w:val="clear" w:color="auto" w:fill="FFFFFF"/>
        </w:rPr>
        <w:t xml:space="preserve">. </w:t>
      </w:r>
      <w:r w:rsidRPr="008F0A77">
        <w:rPr>
          <w:rFonts w:ascii="Book Antiqua" w:hAnsi="Book Antiqua" w:cs="Book Antiqua"/>
          <w:sz w:val="24"/>
          <w:szCs w:val="24"/>
        </w:rPr>
        <w:t xml:space="preserve">Recombinant IL-22 is a potential therapeutic agent for severe AP patients, since </w:t>
      </w:r>
      <w:r w:rsidRPr="008F0A77">
        <w:rPr>
          <w:rFonts w:ascii="Book Antiqua" w:hAnsi="Book Antiqua" w:cs="Book Antiqua"/>
          <w:sz w:val="24"/>
          <w:szCs w:val="24"/>
          <w:shd w:val="clear" w:color="auto" w:fill="FFFFFF"/>
        </w:rPr>
        <w:t>a</w:t>
      </w:r>
      <w:r w:rsidRPr="008F0A77">
        <w:rPr>
          <w:rFonts w:ascii="Book Antiqua" w:hAnsi="Book Antiqua" w:cs="Book Antiqua"/>
          <w:sz w:val="24"/>
          <w:szCs w:val="24"/>
        </w:rPr>
        <w:t>nimal studies have proven that IL-22 administration after the onset of AP protects against inflammatory injury in different severe AP models</w:t>
      </w:r>
      <w:r w:rsidRPr="008F0A77">
        <w:rPr>
          <w:rFonts w:ascii="Book Antiqua" w:hAnsi="Book Antiqua" w:cs="Book Antiqua"/>
          <w:sz w:val="24"/>
          <w:szCs w:val="24"/>
          <w:vertAlign w:val="superscript"/>
        </w:rPr>
        <w:t>[8,10]</w:t>
      </w:r>
      <w:r w:rsidRPr="008F0A77">
        <w:rPr>
          <w:rFonts w:ascii="Book Antiqua" w:hAnsi="Book Antiqua" w:cs="Book Antiqua"/>
          <w:sz w:val="24"/>
          <w:szCs w:val="24"/>
        </w:rPr>
        <w:t>. Interestingly, even in a mouse model of chronic pancreatitis, IL-22 derived from an adenovirus vector ameliorates the pancreatic tissue injury</w:t>
      </w:r>
      <w:r w:rsidRPr="008F0A77">
        <w:rPr>
          <w:rFonts w:ascii="Book Antiqua" w:hAnsi="Book Antiqua" w:cs="Book Antiqua"/>
          <w:sz w:val="24"/>
          <w:szCs w:val="24"/>
          <w:vertAlign w:val="superscript"/>
        </w:rPr>
        <w:t>[11]</w:t>
      </w:r>
      <w:r w:rsidRPr="008F0A77">
        <w:rPr>
          <w:rFonts w:ascii="Book Antiqua" w:hAnsi="Book Antiqua" w:cs="Book Antiqua"/>
          <w:sz w:val="24"/>
          <w:szCs w:val="24"/>
        </w:rPr>
        <w:t xml:space="preserve">. It is noteworthy, however, </w:t>
      </w:r>
      <w:r w:rsidRPr="008F0A77">
        <w:rPr>
          <w:rFonts w:ascii="Book Antiqua" w:hAnsi="Book Antiqua" w:cs="Book Antiqua"/>
          <w:sz w:val="24"/>
          <w:szCs w:val="24"/>
        </w:rPr>
        <w:lastRenderedPageBreak/>
        <w:t>that long-term application of IL-22 that maintains a higher than normal IL-22 level in the body is limited by its potential role in tumorigenesis</w:t>
      </w:r>
      <w:r w:rsidRPr="008F0A77">
        <w:rPr>
          <w:rFonts w:ascii="Book Antiqua" w:hAnsi="Book Antiqua" w:cs="Book Antiqua"/>
          <w:sz w:val="24"/>
          <w:szCs w:val="24"/>
          <w:vertAlign w:val="superscript"/>
        </w:rPr>
        <w:t>[23,27,35,42</w:t>
      </w:r>
      <w:r w:rsidRPr="008F0A77">
        <w:rPr>
          <w:rFonts w:ascii="Book Antiqua" w:hAnsi="Book Antiqua" w:cs="Book Antiqua"/>
          <w:sz w:val="24"/>
          <w:szCs w:val="24"/>
          <w:vertAlign w:val="superscript"/>
          <w:lang w:eastAsia="zh-CN"/>
        </w:rPr>
        <w:t>,</w:t>
      </w:r>
      <w:r w:rsidRPr="008F0A77">
        <w:rPr>
          <w:rFonts w:ascii="Book Antiqua" w:hAnsi="Book Antiqua" w:cs="Book Antiqua"/>
          <w:sz w:val="24"/>
          <w:szCs w:val="24"/>
          <w:vertAlign w:val="superscript"/>
        </w:rPr>
        <w:t>50]</w:t>
      </w:r>
      <w:r w:rsidRPr="008F0A77">
        <w:rPr>
          <w:rFonts w:ascii="Book Antiqua" w:hAnsi="Book Antiqua" w:cs="Book Antiqua"/>
          <w:sz w:val="24"/>
          <w:szCs w:val="24"/>
        </w:rPr>
        <w:t xml:space="preserve">. </w:t>
      </w:r>
    </w:p>
    <w:p w:rsidR="00791961" w:rsidRPr="008F0A77" w:rsidRDefault="00791961" w:rsidP="00D4014D">
      <w:pPr>
        <w:spacing w:after="0" w:line="360" w:lineRule="auto"/>
        <w:ind w:firstLineChars="100" w:firstLine="240"/>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t>CONCLUSION</w:t>
      </w: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sz w:val="24"/>
          <w:szCs w:val="24"/>
        </w:rPr>
        <w:t>Treatment of severe AP by temporally strengthening IL-22 signaling in acinar cells is an attractive concept supported by several independent studies of animal AP. The highest expression level of the IL-22 receptor on acinar cells strengthens IL-22 signaling in AP</w:t>
      </w:r>
      <w:r w:rsidRPr="008F0A77">
        <w:rPr>
          <w:rFonts w:ascii="Book Antiqua" w:hAnsi="Book Antiqua" w:cs="Book Antiqua"/>
          <w:bCs/>
          <w:sz w:val="24"/>
          <w:szCs w:val="24"/>
        </w:rPr>
        <w:t>.</w:t>
      </w:r>
      <w:r w:rsidRPr="008F0A77">
        <w:rPr>
          <w:rFonts w:ascii="Book Antiqua" w:hAnsi="Book Antiqua" w:cs="Book Antiqua"/>
          <w:sz w:val="24"/>
          <w:szCs w:val="24"/>
        </w:rPr>
        <w:t xml:space="preserve"> This enables the acinar cells to abundantly produce Reg3s to combat inflammatory cell infiltration, and other pro-survival mediators to protect against tissue injury. However, in order to prepare IL-22 as a therapeutic agent for AP treatment, more thorough research is needed to comprehend the detailed mechanisms of IL-22-mediated anti-inflammatory and tissue protective mechanisms in severe AP, particularly the interplay of IL-22 with other pro-inflammatory cytokines. This will enable the development of a complex immune-modulating strategy to effectively control the cytokine-orchestrated inflammation network in severe AP.  </w:t>
      </w:r>
    </w:p>
    <w:p w:rsidR="00791961" w:rsidRPr="008F0A77" w:rsidRDefault="00791961" w:rsidP="001F01CF">
      <w:pPr>
        <w:spacing w:after="0" w:line="360" w:lineRule="auto"/>
        <w:jc w:val="both"/>
        <w:rPr>
          <w:rFonts w:ascii="Book Antiqua" w:hAnsi="Book Antiqua" w:cs="Book Antiqua"/>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t>ACKNOWLEDGMENTS</w:t>
      </w:r>
    </w:p>
    <w:p w:rsidR="00791961" w:rsidRPr="008F0A77" w:rsidRDefault="00791961" w:rsidP="001F01CF">
      <w:pPr>
        <w:spacing w:after="0" w:line="360" w:lineRule="auto"/>
        <w:jc w:val="both"/>
        <w:rPr>
          <w:rFonts w:ascii="Book Antiqua" w:hAnsi="Book Antiqua" w:cs="Book Antiqua"/>
          <w:sz w:val="24"/>
          <w:szCs w:val="24"/>
        </w:rPr>
      </w:pPr>
      <w:r w:rsidRPr="008F0A77">
        <w:rPr>
          <w:rFonts w:ascii="Book Antiqua" w:hAnsi="Book Antiqua" w:cs="Book Antiqua"/>
          <w:sz w:val="24"/>
          <w:szCs w:val="24"/>
        </w:rPr>
        <w:t xml:space="preserve">We thank Dr. Wenjun Ouyang at Genentech for providing us with the IL-22 knockout mice and other experimental reagents. We appreciate his comments to our manuscript as well. We also thank Cathy Mueller at SUNY Downstate for the technical support. </w:t>
      </w: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br w:type="page"/>
      </w:r>
      <w:r w:rsidRPr="008F0A77">
        <w:rPr>
          <w:rFonts w:ascii="Book Antiqua" w:hAnsi="Book Antiqua" w:cs="Book Antiqua"/>
          <w:b/>
          <w:bCs/>
          <w:sz w:val="24"/>
          <w:szCs w:val="24"/>
        </w:rPr>
        <w:lastRenderedPageBreak/>
        <w:t>REFERENCES</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 xml:space="preserve">1 </w:t>
      </w:r>
      <w:hyperlink r:id="rId8" w:history="1">
        <w:r w:rsidRPr="008F0A77">
          <w:rPr>
            <w:rFonts w:ascii="Book Antiqua" w:hAnsi="Book Antiqua" w:cs="宋体"/>
            <w:b/>
            <w:bCs/>
            <w:sz w:val="24"/>
            <w:szCs w:val="24"/>
          </w:rPr>
          <w:t>Working Group IAP/APA Acute Pancreatitis Guidelines</w:t>
        </w:r>
      </w:hyperlink>
      <w:r w:rsidRPr="008F0A77">
        <w:rPr>
          <w:rFonts w:ascii="Book Antiqua" w:hAnsi="Book Antiqua" w:cs="宋体"/>
          <w:sz w:val="24"/>
          <w:szCs w:val="24"/>
        </w:rPr>
        <w:t>. IAP/APA evidence-based guidelines for the management of acute pancreatitis. </w:t>
      </w:r>
      <w:r w:rsidRPr="008F0A77">
        <w:rPr>
          <w:rFonts w:ascii="Book Antiqua" w:hAnsi="Book Antiqua" w:cs="宋体"/>
          <w:i/>
          <w:iCs/>
          <w:sz w:val="24"/>
          <w:szCs w:val="24"/>
        </w:rPr>
        <w:t>Pancreatology</w:t>
      </w:r>
      <w:r w:rsidRPr="008F0A77">
        <w:rPr>
          <w:rFonts w:ascii="Book Antiqua" w:hAnsi="Book Antiqua" w:cs="宋体"/>
          <w:sz w:val="24"/>
          <w:szCs w:val="24"/>
        </w:rPr>
        <w:t> 2013; </w:t>
      </w:r>
      <w:r w:rsidRPr="008F0A77">
        <w:rPr>
          <w:rFonts w:ascii="Book Antiqua" w:hAnsi="Book Antiqua" w:cs="宋体"/>
          <w:b/>
          <w:bCs/>
          <w:sz w:val="24"/>
          <w:szCs w:val="24"/>
        </w:rPr>
        <w:t>13</w:t>
      </w:r>
      <w:r w:rsidRPr="008F0A77">
        <w:rPr>
          <w:rFonts w:ascii="Book Antiqua" w:hAnsi="Book Antiqua" w:cs="宋体"/>
          <w:sz w:val="24"/>
          <w:szCs w:val="24"/>
        </w:rPr>
        <w:t>: e1-15 [PMID: 24054878 DOI: 10.1016/j.pan.2013.07.063]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2 </w:t>
      </w:r>
      <w:r w:rsidRPr="008F0A77">
        <w:rPr>
          <w:rFonts w:ascii="Book Antiqua" w:hAnsi="Book Antiqua" w:cs="宋体"/>
          <w:b/>
          <w:bCs/>
          <w:sz w:val="24"/>
          <w:szCs w:val="24"/>
        </w:rPr>
        <w:t>Singh VK</w:t>
      </w:r>
      <w:r w:rsidRPr="008F0A77">
        <w:rPr>
          <w:rFonts w:ascii="Book Antiqua" w:hAnsi="Book Antiqua" w:cs="宋体"/>
          <w:sz w:val="24"/>
          <w:szCs w:val="24"/>
        </w:rPr>
        <w:t>, Bollen TL, Wu BU, Repas K, Maurer R, Yu S, Mortele KJ, Conwell DL, Banks PA. An assessment of the severity of interstitial pancreatitis. </w:t>
      </w:r>
      <w:r w:rsidRPr="008F0A77">
        <w:rPr>
          <w:rFonts w:ascii="Book Antiqua" w:hAnsi="Book Antiqua" w:cs="宋体"/>
          <w:i/>
          <w:iCs/>
          <w:sz w:val="24"/>
          <w:szCs w:val="24"/>
        </w:rPr>
        <w:t>Clin Gastroenterol Hepatol</w:t>
      </w:r>
      <w:r w:rsidRPr="008F0A77">
        <w:rPr>
          <w:rFonts w:ascii="Book Antiqua" w:hAnsi="Book Antiqua" w:cs="宋体"/>
          <w:sz w:val="24"/>
          <w:szCs w:val="24"/>
        </w:rPr>
        <w:t> 2011; </w:t>
      </w:r>
      <w:r w:rsidRPr="008F0A77">
        <w:rPr>
          <w:rFonts w:ascii="Book Antiqua" w:hAnsi="Book Antiqua" w:cs="宋体"/>
          <w:b/>
          <w:bCs/>
          <w:sz w:val="24"/>
          <w:szCs w:val="24"/>
        </w:rPr>
        <w:t>9</w:t>
      </w:r>
      <w:r w:rsidRPr="008F0A77">
        <w:rPr>
          <w:rFonts w:ascii="Book Antiqua" w:hAnsi="Book Antiqua" w:cs="宋体"/>
          <w:sz w:val="24"/>
          <w:szCs w:val="24"/>
        </w:rPr>
        <w:t>: 1098-1103 [PMID: 21893128 DOI: 10.1016/j.cgh.2011.08.026]</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3 </w:t>
      </w:r>
      <w:r w:rsidRPr="008F0A77">
        <w:rPr>
          <w:rFonts w:ascii="Book Antiqua" w:hAnsi="Book Antiqua" w:cs="宋体"/>
          <w:b/>
          <w:bCs/>
          <w:sz w:val="24"/>
          <w:szCs w:val="24"/>
        </w:rPr>
        <w:t>Lankisch PG</w:t>
      </w:r>
      <w:r w:rsidRPr="008F0A77">
        <w:rPr>
          <w:rFonts w:ascii="Book Antiqua" w:hAnsi="Book Antiqua" w:cs="宋体"/>
          <w:sz w:val="24"/>
          <w:szCs w:val="24"/>
        </w:rPr>
        <w:t>, Apte M, Banks PA. Acute pancreatitis. </w:t>
      </w:r>
      <w:r w:rsidRPr="008F0A77">
        <w:rPr>
          <w:rFonts w:ascii="Book Antiqua" w:hAnsi="Book Antiqua" w:cs="宋体"/>
          <w:i/>
          <w:iCs/>
          <w:sz w:val="24"/>
          <w:szCs w:val="24"/>
        </w:rPr>
        <w:t>Lancet</w:t>
      </w:r>
      <w:r w:rsidRPr="008F0A77">
        <w:rPr>
          <w:rFonts w:ascii="Book Antiqua" w:hAnsi="Book Antiqua" w:cs="宋体"/>
          <w:sz w:val="24"/>
          <w:szCs w:val="24"/>
        </w:rPr>
        <w:t> 2015; </w:t>
      </w:r>
      <w:r w:rsidRPr="008F0A77">
        <w:rPr>
          <w:rFonts w:ascii="Book Antiqua" w:hAnsi="Book Antiqua" w:cs="宋体"/>
          <w:b/>
          <w:bCs/>
          <w:sz w:val="24"/>
          <w:szCs w:val="24"/>
        </w:rPr>
        <w:t>386</w:t>
      </w:r>
      <w:r w:rsidRPr="008F0A77">
        <w:rPr>
          <w:rFonts w:ascii="Book Antiqua" w:hAnsi="Book Antiqua" w:cs="宋体"/>
          <w:sz w:val="24"/>
          <w:szCs w:val="24"/>
        </w:rPr>
        <w:t>: 85-96 [PMID: 25616312 DOI: 10.1016/S0140-6736(14)60649-8]</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4 </w:t>
      </w:r>
      <w:r w:rsidRPr="008F0A77">
        <w:rPr>
          <w:rFonts w:ascii="Book Antiqua" w:hAnsi="Book Antiqua" w:cs="宋体"/>
          <w:b/>
          <w:bCs/>
          <w:sz w:val="24"/>
          <w:szCs w:val="24"/>
        </w:rPr>
        <w:t>Akinosoglou K</w:t>
      </w:r>
      <w:r w:rsidRPr="008F0A77">
        <w:rPr>
          <w:rFonts w:ascii="Book Antiqua" w:hAnsi="Book Antiqua" w:cs="宋体"/>
          <w:sz w:val="24"/>
          <w:szCs w:val="24"/>
        </w:rPr>
        <w:t>, Gogos C. Immune-modulating therapy in acute pancreatitis: fact or fiction. </w:t>
      </w:r>
      <w:r w:rsidRPr="008F0A77">
        <w:rPr>
          <w:rFonts w:ascii="Book Antiqua" w:hAnsi="Book Antiqua" w:cs="宋体"/>
          <w:i/>
          <w:iCs/>
          <w:sz w:val="24"/>
          <w:szCs w:val="24"/>
        </w:rPr>
        <w:t>World J Gastroenterol</w:t>
      </w:r>
      <w:r w:rsidRPr="008F0A77">
        <w:rPr>
          <w:rFonts w:ascii="Book Antiqua" w:hAnsi="Book Antiqua" w:cs="宋体"/>
          <w:sz w:val="24"/>
          <w:szCs w:val="24"/>
        </w:rPr>
        <w:t> 2014; </w:t>
      </w:r>
      <w:r w:rsidRPr="008F0A77">
        <w:rPr>
          <w:rFonts w:ascii="Book Antiqua" w:hAnsi="Book Antiqua" w:cs="宋体"/>
          <w:b/>
          <w:bCs/>
          <w:sz w:val="24"/>
          <w:szCs w:val="24"/>
        </w:rPr>
        <w:t>20</w:t>
      </w:r>
      <w:r w:rsidRPr="008F0A77">
        <w:rPr>
          <w:rFonts w:ascii="Book Antiqua" w:hAnsi="Book Antiqua" w:cs="宋体"/>
          <w:sz w:val="24"/>
          <w:szCs w:val="24"/>
        </w:rPr>
        <w:t>: 15200-15215 [PMID: 25386069 DOI: 10.3748/wjg.v20.i41.15200]</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5 </w:t>
      </w:r>
      <w:r w:rsidRPr="008F0A77">
        <w:rPr>
          <w:rFonts w:ascii="Book Antiqua" w:hAnsi="Book Antiqua" w:cs="宋体"/>
          <w:b/>
          <w:bCs/>
          <w:sz w:val="24"/>
          <w:szCs w:val="24"/>
        </w:rPr>
        <w:t>Raraty MG</w:t>
      </w:r>
      <w:r w:rsidRPr="008F0A77">
        <w:rPr>
          <w:rFonts w:ascii="Book Antiqua" w:hAnsi="Book Antiqua" w:cs="宋体"/>
          <w:sz w:val="24"/>
          <w:szCs w:val="24"/>
        </w:rPr>
        <w:t>, Murphy JA, Mcloughlin E, Smith D, Criddle D, Sutton R. Mechanisms of acinar cell injury in acute pancreatitis. </w:t>
      </w:r>
      <w:r w:rsidRPr="008F0A77">
        <w:rPr>
          <w:rFonts w:ascii="Book Antiqua" w:hAnsi="Book Antiqua" w:cs="宋体"/>
          <w:i/>
          <w:iCs/>
          <w:sz w:val="24"/>
          <w:szCs w:val="24"/>
        </w:rPr>
        <w:t>Scand J Surg</w:t>
      </w:r>
      <w:r w:rsidRPr="008F0A77">
        <w:rPr>
          <w:rFonts w:ascii="Book Antiqua" w:hAnsi="Book Antiqua" w:cs="宋体"/>
          <w:sz w:val="24"/>
          <w:szCs w:val="24"/>
        </w:rPr>
        <w:t> 2005; </w:t>
      </w:r>
      <w:r w:rsidRPr="008F0A77">
        <w:rPr>
          <w:rFonts w:ascii="Book Antiqua" w:hAnsi="Book Antiqua" w:cs="宋体"/>
          <w:b/>
          <w:bCs/>
          <w:sz w:val="24"/>
          <w:szCs w:val="24"/>
        </w:rPr>
        <w:t>94</w:t>
      </w:r>
      <w:r w:rsidRPr="008F0A77">
        <w:rPr>
          <w:rFonts w:ascii="Book Antiqua" w:hAnsi="Book Antiqua" w:cs="宋体"/>
          <w:sz w:val="24"/>
          <w:szCs w:val="24"/>
        </w:rPr>
        <w:t>: 89-96 [PMID: 16111088]</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6 </w:t>
      </w:r>
      <w:r w:rsidRPr="008F0A77">
        <w:rPr>
          <w:rFonts w:ascii="Book Antiqua" w:hAnsi="Book Antiqua" w:cs="宋体"/>
          <w:b/>
          <w:bCs/>
          <w:sz w:val="24"/>
          <w:szCs w:val="24"/>
        </w:rPr>
        <w:t>Makhija R</w:t>
      </w:r>
      <w:r w:rsidRPr="008F0A77">
        <w:rPr>
          <w:rFonts w:ascii="Book Antiqua" w:hAnsi="Book Antiqua" w:cs="宋体"/>
          <w:sz w:val="24"/>
          <w:szCs w:val="24"/>
        </w:rPr>
        <w:t>, Kingsnorth AN. Cytokine storm in acute pancreatitis. </w:t>
      </w:r>
      <w:r w:rsidRPr="008F0A77">
        <w:rPr>
          <w:rFonts w:ascii="Book Antiqua" w:hAnsi="Book Antiqua" w:cs="宋体"/>
          <w:i/>
          <w:iCs/>
          <w:sz w:val="24"/>
          <w:szCs w:val="24"/>
        </w:rPr>
        <w:t>J Hepatobiliary Pancreat Surg</w:t>
      </w:r>
      <w:r w:rsidRPr="008F0A77">
        <w:rPr>
          <w:rFonts w:ascii="Book Antiqua" w:hAnsi="Book Antiqua" w:cs="宋体"/>
          <w:sz w:val="24"/>
          <w:szCs w:val="24"/>
        </w:rPr>
        <w:t> 2002; </w:t>
      </w:r>
      <w:r w:rsidRPr="008F0A77">
        <w:rPr>
          <w:rFonts w:ascii="Book Antiqua" w:hAnsi="Book Antiqua" w:cs="宋体"/>
          <w:b/>
          <w:bCs/>
          <w:sz w:val="24"/>
          <w:szCs w:val="24"/>
        </w:rPr>
        <w:t>9</w:t>
      </w:r>
      <w:r w:rsidRPr="008F0A77">
        <w:rPr>
          <w:rFonts w:ascii="Book Antiqua" w:hAnsi="Book Antiqua" w:cs="宋体"/>
          <w:sz w:val="24"/>
          <w:szCs w:val="24"/>
        </w:rPr>
        <w:t xml:space="preserve">: 401-410 [PMID: 12483260 DOI: </w:t>
      </w:r>
      <w:r w:rsidR="00D4014D">
        <w:fldChar w:fldCharType="begin"/>
      </w:r>
      <w:r w:rsidR="00D4014D">
        <w:instrText xml:space="preserve"> HYPERLINK "http://dx.doi.org/10.1007/s005340200049" \t "_blank" </w:instrText>
      </w:r>
      <w:r w:rsidR="00D4014D">
        <w:fldChar w:fldCharType="separate"/>
      </w:r>
      <w:r w:rsidRPr="008F0A77">
        <w:rPr>
          <w:rStyle w:val="Hyperlink"/>
          <w:rFonts w:ascii="Book Antiqua" w:hAnsi="Book Antiqua"/>
          <w:color w:val="auto"/>
          <w:sz w:val="24"/>
          <w:szCs w:val="24"/>
          <w:u w:val="none"/>
          <w:shd w:val="clear" w:color="auto" w:fill="FFFFFF"/>
        </w:rPr>
        <w:t>10.1007/s005340200049</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7 </w:t>
      </w:r>
      <w:r w:rsidRPr="008F0A77">
        <w:rPr>
          <w:rFonts w:ascii="Book Antiqua" w:hAnsi="Book Antiqua" w:cs="宋体"/>
          <w:b/>
          <w:bCs/>
          <w:sz w:val="24"/>
          <w:szCs w:val="24"/>
        </w:rPr>
        <w:t>Bhatia M</w:t>
      </w:r>
      <w:r w:rsidRPr="008F0A77">
        <w:rPr>
          <w:rFonts w:ascii="Book Antiqua" w:hAnsi="Book Antiqua" w:cs="宋体"/>
          <w:sz w:val="24"/>
          <w:szCs w:val="24"/>
        </w:rPr>
        <w:t>. Inflammatory response on the pancreatic acinar cell injury. </w:t>
      </w:r>
      <w:r w:rsidRPr="008F0A77">
        <w:rPr>
          <w:rFonts w:ascii="Book Antiqua" w:hAnsi="Book Antiqua" w:cs="宋体"/>
          <w:i/>
          <w:iCs/>
          <w:sz w:val="24"/>
          <w:szCs w:val="24"/>
        </w:rPr>
        <w:t>Scand J Surg</w:t>
      </w:r>
      <w:r w:rsidRPr="008F0A77">
        <w:rPr>
          <w:rFonts w:ascii="Book Antiqua" w:hAnsi="Book Antiqua" w:cs="宋体"/>
          <w:sz w:val="24"/>
          <w:szCs w:val="24"/>
        </w:rPr>
        <w:t> 2005; </w:t>
      </w:r>
      <w:r w:rsidRPr="008F0A77">
        <w:rPr>
          <w:rFonts w:ascii="Book Antiqua" w:hAnsi="Book Antiqua" w:cs="宋体"/>
          <w:b/>
          <w:bCs/>
          <w:sz w:val="24"/>
          <w:szCs w:val="24"/>
        </w:rPr>
        <w:t>94</w:t>
      </w:r>
      <w:r w:rsidRPr="008F0A77">
        <w:rPr>
          <w:rFonts w:ascii="Book Antiqua" w:hAnsi="Book Antiqua" w:cs="宋体"/>
          <w:sz w:val="24"/>
          <w:szCs w:val="24"/>
        </w:rPr>
        <w:t>: 97-102 [PMID: 16111089]</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8 </w:t>
      </w:r>
      <w:r w:rsidRPr="008F0A77">
        <w:rPr>
          <w:rFonts w:ascii="Book Antiqua" w:hAnsi="Book Antiqua" w:cs="宋体"/>
          <w:b/>
          <w:bCs/>
          <w:sz w:val="24"/>
          <w:szCs w:val="24"/>
        </w:rPr>
        <w:t>Xue J</w:t>
      </w:r>
      <w:r w:rsidRPr="008F0A77">
        <w:rPr>
          <w:rFonts w:ascii="Book Antiqua" w:hAnsi="Book Antiqua" w:cs="宋体"/>
          <w:sz w:val="24"/>
          <w:szCs w:val="24"/>
        </w:rPr>
        <w:t>, Nguyen DT, Habtezion A. Aryl hydrocarbon receptor regulates pancreatic IL-22 production and protects mice from acute pancreatitis. </w:t>
      </w:r>
      <w:r w:rsidRPr="008F0A77">
        <w:rPr>
          <w:rFonts w:ascii="Book Antiqua" w:hAnsi="Book Antiqua" w:cs="宋体"/>
          <w:i/>
          <w:iCs/>
          <w:sz w:val="24"/>
          <w:szCs w:val="24"/>
        </w:rPr>
        <w:t>Gastroenterology</w:t>
      </w:r>
      <w:r w:rsidRPr="008F0A77">
        <w:rPr>
          <w:rFonts w:ascii="Book Antiqua" w:hAnsi="Book Antiqua" w:cs="宋体"/>
          <w:sz w:val="24"/>
          <w:szCs w:val="24"/>
        </w:rPr>
        <w:t> 2012; </w:t>
      </w:r>
      <w:r w:rsidRPr="008F0A77">
        <w:rPr>
          <w:rFonts w:ascii="Book Antiqua" w:hAnsi="Book Antiqua" w:cs="宋体"/>
          <w:b/>
          <w:bCs/>
          <w:sz w:val="24"/>
          <w:szCs w:val="24"/>
        </w:rPr>
        <w:t>143</w:t>
      </w:r>
      <w:r w:rsidRPr="008F0A77">
        <w:rPr>
          <w:rFonts w:ascii="Book Antiqua" w:hAnsi="Book Antiqua" w:cs="宋体"/>
          <w:sz w:val="24"/>
          <w:szCs w:val="24"/>
        </w:rPr>
        <w:t>: 1670-1680 [PMID: 23022954 DOI: 10.1053/j.gastro.2012.08.051]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9 </w:t>
      </w:r>
      <w:r w:rsidRPr="008F0A77">
        <w:rPr>
          <w:rFonts w:ascii="Book Antiqua" w:hAnsi="Book Antiqua" w:cs="宋体"/>
          <w:b/>
          <w:bCs/>
          <w:sz w:val="24"/>
          <w:szCs w:val="24"/>
        </w:rPr>
        <w:t>Huai JP</w:t>
      </w:r>
      <w:r w:rsidRPr="008F0A77">
        <w:rPr>
          <w:rFonts w:ascii="Book Antiqua" w:hAnsi="Book Antiqua" w:cs="宋体"/>
          <w:sz w:val="24"/>
          <w:szCs w:val="24"/>
        </w:rPr>
        <w:t>, Sun XC, Chen MJ, Jin Y, Ye XH, Wu JS, Huang ZM. Melatonin attenuates acute pancreatitis-associated lung injury in rats by modulating interleukin 22. </w:t>
      </w:r>
      <w:r w:rsidRPr="008F0A77">
        <w:rPr>
          <w:rFonts w:ascii="Book Antiqua" w:hAnsi="Book Antiqua" w:cs="宋体"/>
          <w:i/>
          <w:iCs/>
          <w:sz w:val="24"/>
          <w:szCs w:val="24"/>
        </w:rPr>
        <w:t>World J Gastroenterol</w:t>
      </w:r>
      <w:r w:rsidRPr="008F0A77">
        <w:rPr>
          <w:rFonts w:ascii="Book Antiqua" w:hAnsi="Book Antiqua" w:cs="宋体"/>
          <w:sz w:val="24"/>
          <w:szCs w:val="24"/>
        </w:rPr>
        <w:t> 2012; </w:t>
      </w:r>
      <w:r w:rsidRPr="008F0A77">
        <w:rPr>
          <w:rFonts w:ascii="Book Antiqua" w:hAnsi="Book Antiqua" w:cs="宋体"/>
          <w:b/>
          <w:bCs/>
          <w:sz w:val="24"/>
          <w:szCs w:val="24"/>
        </w:rPr>
        <w:t>18</w:t>
      </w:r>
      <w:r w:rsidRPr="008F0A77">
        <w:rPr>
          <w:rFonts w:ascii="Book Antiqua" w:hAnsi="Book Antiqua" w:cs="宋体"/>
          <w:sz w:val="24"/>
          <w:szCs w:val="24"/>
        </w:rPr>
        <w:t>: 5122-5128 [PMID: 23049224 DOI: 10.3748/wjg.v18.i36.5122]</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 xml:space="preserve">10 </w:t>
      </w:r>
      <w:r w:rsidRPr="008F0A77">
        <w:rPr>
          <w:rFonts w:ascii="Book Antiqua" w:hAnsi="Book Antiqua" w:cs="宋体"/>
          <w:b/>
          <w:sz w:val="24"/>
          <w:szCs w:val="24"/>
        </w:rPr>
        <w:t>El-Shemi AG</w:t>
      </w:r>
      <w:r w:rsidRPr="008F0A77">
        <w:rPr>
          <w:rFonts w:ascii="Book Antiqua" w:hAnsi="Book Antiqua" w:cs="宋体"/>
          <w:sz w:val="24"/>
          <w:szCs w:val="24"/>
        </w:rPr>
        <w:t xml:space="preserve">, Basalamah MA, Kensara OA, Ashshi AM. Interleukin-22 therapy attenuates the development of acute pancreatitis in rats. </w:t>
      </w:r>
      <w:r w:rsidRPr="008F0A77">
        <w:rPr>
          <w:rFonts w:ascii="Book Antiqua" w:hAnsi="Book Antiqua" w:cs="宋体"/>
          <w:i/>
          <w:iCs/>
          <w:sz w:val="24"/>
          <w:szCs w:val="24"/>
        </w:rPr>
        <w:t xml:space="preserve">J Clin Med Res </w:t>
      </w:r>
      <w:r w:rsidRPr="008F0A77">
        <w:rPr>
          <w:rFonts w:ascii="Book Antiqua" w:hAnsi="Book Antiqua" w:cs="宋体"/>
          <w:sz w:val="24"/>
          <w:szCs w:val="24"/>
        </w:rPr>
        <w:t xml:space="preserve">2011; </w:t>
      </w:r>
      <w:r w:rsidRPr="008F0A77">
        <w:rPr>
          <w:rFonts w:ascii="Book Antiqua" w:hAnsi="Book Antiqua" w:cs="宋体"/>
          <w:b/>
          <w:sz w:val="24"/>
          <w:szCs w:val="24"/>
        </w:rPr>
        <w:t>3</w:t>
      </w:r>
      <w:r w:rsidRPr="008F0A77">
        <w:rPr>
          <w:rFonts w:ascii="Book Antiqua" w:hAnsi="Book Antiqua" w:cs="宋体"/>
          <w:sz w:val="24"/>
          <w:szCs w:val="24"/>
        </w:rPr>
        <w:t xml:space="preserve">: 82-88 </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11 </w:t>
      </w:r>
      <w:r w:rsidRPr="008F0A77">
        <w:rPr>
          <w:rFonts w:ascii="Book Antiqua" w:hAnsi="Book Antiqua" w:cs="宋体"/>
          <w:b/>
          <w:bCs/>
          <w:sz w:val="24"/>
          <w:szCs w:val="24"/>
        </w:rPr>
        <w:t>Feng D</w:t>
      </w:r>
      <w:r w:rsidRPr="008F0A77">
        <w:rPr>
          <w:rFonts w:ascii="Book Antiqua" w:hAnsi="Book Antiqua" w:cs="宋体"/>
          <w:sz w:val="24"/>
          <w:szCs w:val="24"/>
        </w:rPr>
        <w:t>, Park O, Radaeva S, Wang H, Yin S, Kong X, Zheng M, Zakhari S, Kolls JK, Gao B. Interleukin-22 ameliorates cerulein-induced pancreatitis in mice by inhibiting the autophagic pathway. </w:t>
      </w:r>
      <w:r w:rsidRPr="008F0A77">
        <w:rPr>
          <w:rFonts w:ascii="Book Antiqua" w:hAnsi="Book Antiqua" w:cs="宋体"/>
          <w:i/>
          <w:iCs/>
          <w:sz w:val="24"/>
          <w:szCs w:val="24"/>
        </w:rPr>
        <w:t>Int J Biol Sci</w:t>
      </w:r>
      <w:r w:rsidRPr="008F0A77">
        <w:rPr>
          <w:rFonts w:ascii="Book Antiqua" w:hAnsi="Book Antiqua" w:cs="宋体"/>
          <w:sz w:val="24"/>
          <w:szCs w:val="24"/>
        </w:rPr>
        <w:t> 2012; </w:t>
      </w:r>
      <w:r w:rsidRPr="008F0A77">
        <w:rPr>
          <w:rFonts w:ascii="Book Antiqua" w:hAnsi="Book Antiqua" w:cs="宋体"/>
          <w:b/>
          <w:bCs/>
          <w:sz w:val="24"/>
          <w:szCs w:val="24"/>
        </w:rPr>
        <w:t>8</w:t>
      </w:r>
      <w:r w:rsidRPr="008F0A77">
        <w:rPr>
          <w:rFonts w:ascii="Book Antiqua" w:hAnsi="Book Antiqua" w:cs="宋体"/>
          <w:sz w:val="24"/>
          <w:szCs w:val="24"/>
        </w:rPr>
        <w:t>: 249-257 [PMID: 22253568 DOI: 10.7150/ijbs.3967]</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lastRenderedPageBreak/>
        <w:t>12 </w:t>
      </w:r>
      <w:r w:rsidRPr="008F0A77">
        <w:rPr>
          <w:rFonts w:ascii="Book Antiqua" w:hAnsi="Book Antiqua" w:cs="宋体"/>
          <w:b/>
          <w:bCs/>
          <w:sz w:val="24"/>
          <w:szCs w:val="24"/>
        </w:rPr>
        <w:t>Wolk K</w:t>
      </w:r>
      <w:r w:rsidRPr="008F0A77">
        <w:rPr>
          <w:rFonts w:ascii="Book Antiqua" w:hAnsi="Book Antiqua" w:cs="宋体"/>
          <w:sz w:val="24"/>
          <w:szCs w:val="24"/>
        </w:rPr>
        <w:t>, Witte E, Witte K, Warszawska K, Sabat R. Biology of interleukin-22. </w:t>
      </w:r>
      <w:r w:rsidRPr="008F0A77">
        <w:rPr>
          <w:rFonts w:ascii="Book Antiqua" w:hAnsi="Book Antiqua" w:cs="宋体"/>
          <w:i/>
          <w:iCs/>
          <w:sz w:val="24"/>
          <w:szCs w:val="24"/>
        </w:rPr>
        <w:t>Semin Immunopathol</w:t>
      </w:r>
      <w:r w:rsidRPr="008F0A77">
        <w:rPr>
          <w:rFonts w:ascii="Book Antiqua" w:hAnsi="Book Antiqua" w:cs="宋体"/>
          <w:sz w:val="24"/>
          <w:szCs w:val="24"/>
        </w:rPr>
        <w:t> 2010; </w:t>
      </w:r>
      <w:r w:rsidRPr="008F0A77">
        <w:rPr>
          <w:rFonts w:ascii="Book Antiqua" w:hAnsi="Book Antiqua" w:cs="宋体"/>
          <w:b/>
          <w:bCs/>
          <w:sz w:val="24"/>
          <w:szCs w:val="24"/>
        </w:rPr>
        <w:t>32</w:t>
      </w:r>
      <w:r w:rsidRPr="008F0A77">
        <w:rPr>
          <w:rFonts w:ascii="Book Antiqua" w:hAnsi="Book Antiqua" w:cs="宋体"/>
          <w:sz w:val="24"/>
          <w:szCs w:val="24"/>
        </w:rPr>
        <w:t>: 17-31 [PMID: 20127093 DOI: 10.1007/s00281-009-0188-x]</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13 </w:t>
      </w:r>
      <w:r w:rsidRPr="008F0A77">
        <w:rPr>
          <w:rFonts w:ascii="Book Antiqua" w:hAnsi="Book Antiqua" w:cs="宋体"/>
          <w:b/>
          <w:bCs/>
          <w:sz w:val="24"/>
          <w:szCs w:val="24"/>
        </w:rPr>
        <w:t>Dudakov JA</w:t>
      </w:r>
      <w:r w:rsidRPr="008F0A77">
        <w:rPr>
          <w:rFonts w:ascii="Book Antiqua" w:hAnsi="Book Antiqua" w:cs="宋体"/>
          <w:sz w:val="24"/>
          <w:szCs w:val="24"/>
        </w:rPr>
        <w:t>, Hanash AM, van den Brink MR. Interleukin-22: immunobiology and pathology. </w:t>
      </w:r>
      <w:r w:rsidRPr="008F0A77">
        <w:rPr>
          <w:rFonts w:ascii="Book Antiqua" w:hAnsi="Book Antiqua" w:cs="宋体"/>
          <w:i/>
          <w:iCs/>
          <w:sz w:val="24"/>
          <w:szCs w:val="24"/>
        </w:rPr>
        <w:t>Annu Rev Immunol</w:t>
      </w:r>
      <w:r w:rsidRPr="008F0A77">
        <w:rPr>
          <w:rFonts w:ascii="Book Antiqua" w:hAnsi="Book Antiqua" w:cs="宋体"/>
          <w:sz w:val="24"/>
          <w:szCs w:val="24"/>
        </w:rPr>
        <w:t> 2015; </w:t>
      </w:r>
      <w:r w:rsidRPr="008F0A77">
        <w:rPr>
          <w:rFonts w:ascii="Book Antiqua" w:hAnsi="Book Antiqua" w:cs="宋体"/>
          <w:b/>
          <w:bCs/>
          <w:sz w:val="24"/>
          <w:szCs w:val="24"/>
        </w:rPr>
        <w:t>33</w:t>
      </w:r>
      <w:r w:rsidRPr="008F0A77">
        <w:rPr>
          <w:rFonts w:ascii="Book Antiqua" w:hAnsi="Book Antiqua" w:cs="宋体"/>
          <w:sz w:val="24"/>
          <w:szCs w:val="24"/>
        </w:rPr>
        <w:t>: 747-785 [PMID: 25706098 DOI: 10.1146/annurev-immunol-032414-112123]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14 </w:t>
      </w:r>
      <w:r w:rsidRPr="008F0A77">
        <w:rPr>
          <w:rFonts w:ascii="Book Antiqua" w:hAnsi="Book Antiqua" w:cs="宋体"/>
          <w:b/>
          <w:bCs/>
          <w:sz w:val="24"/>
          <w:szCs w:val="24"/>
        </w:rPr>
        <w:t>Aggarwal S</w:t>
      </w:r>
      <w:r w:rsidRPr="008F0A77">
        <w:rPr>
          <w:rFonts w:ascii="Book Antiqua" w:hAnsi="Book Antiqua" w:cs="宋体"/>
          <w:sz w:val="24"/>
          <w:szCs w:val="24"/>
        </w:rPr>
        <w:t>, Xie MH, Maruoka M, Foster J, Gurney AL. Acinar cells of the pancreas are a target of interleukin-22. </w:t>
      </w:r>
      <w:r w:rsidRPr="008F0A77">
        <w:rPr>
          <w:rFonts w:ascii="Book Antiqua" w:hAnsi="Book Antiqua" w:cs="宋体"/>
          <w:i/>
          <w:iCs/>
          <w:sz w:val="24"/>
          <w:szCs w:val="24"/>
        </w:rPr>
        <w:t>J Interferon Cytokine Res</w:t>
      </w:r>
      <w:r w:rsidRPr="008F0A77">
        <w:rPr>
          <w:rFonts w:ascii="Book Antiqua" w:hAnsi="Book Antiqua" w:cs="宋体"/>
          <w:sz w:val="24"/>
          <w:szCs w:val="24"/>
        </w:rPr>
        <w:t> 2001; </w:t>
      </w:r>
      <w:r w:rsidRPr="008F0A77">
        <w:rPr>
          <w:rFonts w:ascii="Book Antiqua" w:hAnsi="Book Antiqua" w:cs="宋体"/>
          <w:b/>
          <w:bCs/>
          <w:sz w:val="24"/>
          <w:szCs w:val="24"/>
        </w:rPr>
        <w:t>21</w:t>
      </w:r>
      <w:r w:rsidRPr="008F0A77">
        <w:rPr>
          <w:rFonts w:ascii="Book Antiqua" w:hAnsi="Book Antiqua" w:cs="宋体"/>
          <w:sz w:val="24"/>
          <w:szCs w:val="24"/>
        </w:rPr>
        <w:t>: 1047-1053 [PMID: 11798462]</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15 </w:t>
      </w:r>
      <w:r w:rsidRPr="008F0A77">
        <w:rPr>
          <w:rFonts w:ascii="Book Antiqua" w:hAnsi="Book Antiqua" w:cs="宋体"/>
          <w:b/>
          <w:bCs/>
          <w:sz w:val="24"/>
          <w:szCs w:val="24"/>
        </w:rPr>
        <w:t>Gurney AL</w:t>
      </w:r>
      <w:r w:rsidRPr="008F0A77">
        <w:rPr>
          <w:rFonts w:ascii="Book Antiqua" w:hAnsi="Book Antiqua" w:cs="宋体"/>
          <w:sz w:val="24"/>
          <w:szCs w:val="24"/>
        </w:rPr>
        <w:t>. IL-22, a Th1 cytokine that targets the pancreas and select other peripheral tissues. </w:t>
      </w:r>
      <w:r w:rsidRPr="008F0A77">
        <w:rPr>
          <w:rFonts w:ascii="Book Antiqua" w:hAnsi="Book Antiqua" w:cs="宋体"/>
          <w:i/>
          <w:iCs/>
          <w:sz w:val="24"/>
          <w:szCs w:val="24"/>
        </w:rPr>
        <w:t>Int Immunopharmacol</w:t>
      </w:r>
      <w:r w:rsidRPr="008F0A77">
        <w:rPr>
          <w:rFonts w:ascii="Book Antiqua" w:hAnsi="Book Antiqua" w:cs="宋体"/>
          <w:sz w:val="24"/>
          <w:szCs w:val="24"/>
        </w:rPr>
        <w:t> 2004; </w:t>
      </w:r>
      <w:r w:rsidRPr="008F0A77">
        <w:rPr>
          <w:rFonts w:ascii="Book Antiqua" w:hAnsi="Book Antiqua" w:cs="宋体"/>
          <w:b/>
          <w:bCs/>
          <w:sz w:val="24"/>
          <w:szCs w:val="24"/>
        </w:rPr>
        <w:t>4</w:t>
      </w:r>
      <w:r w:rsidRPr="008F0A77">
        <w:rPr>
          <w:rFonts w:ascii="Book Antiqua" w:hAnsi="Book Antiqua" w:cs="宋体"/>
          <w:sz w:val="24"/>
          <w:szCs w:val="24"/>
        </w:rPr>
        <w:t>: 669-677 [PMID: 15120651]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16 </w:t>
      </w:r>
      <w:r w:rsidRPr="008F0A77">
        <w:rPr>
          <w:rFonts w:ascii="Book Antiqua" w:hAnsi="Book Antiqua" w:cs="宋体"/>
          <w:b/>
          <w:bCs/>
          <w:sz w:val="24"/>
          <w:szCs w:val="24"/>
        </w:rPr>
        <w:t>Mühl H</w:t>
      </w:r>
      <w:r w:rsidRPr="008F0A77">
        <w:rPr>
          <w:rFonts w:ascii="Book Antiqua" w:hAnsi="Book Antiqua" w:cs="宋体"/>
          <w:sz w:val="24"/>
          <w:szCs w:val="24"/>
        </w:rPr>
        <w:t>, Scheiermann P, Bachmann M, Härdle L, Heinrichs A, Pfeilschifter J. IL-22 in tissue-protective therapy. </w:t>
      </w:r>
      <w:r w:rsidRPr="008F0A77">
        <w:rPr>
          <w:rFonts w:ascii="Book Antiqua" w:hAnsi="Book Antiqua" w:cs="宋体"/>
          <w:i/>
          <w:iCs/>
          <w:sz w:val="24"/>
          <w:szCs w:val="24"/>
        </w:rPr>
        <w:t>Br J Pharmacol</w:t>
      </w:r>
      <w:r w:rsidRPr="008F0A77">
        <w:rPr>
          <w:rFonts w:ascii="Book Antiqua" w:hAnsi="Book Antiqua" w:cs="宋体"/>
          <w:sz w:val="24"/>
          <w:szCs w:val="24"/>
        </w:rPr>
        <w:t> 2013; </w:t>
      </w:r>
      <w:r w:rsidRPr="008F0A77">
        <w:rPr>
          <w:rFonts w:ascii="Book Antiqua" w:hAnsi="Book Antiqua" w:cs="宋体"/>
          <w:b/>
          <w:bCs/>
          <w:sz w:val="24"/>
          <w:szCs w:val="24"/>
        </w:rPr>
        <w:t>169</w:t>
      </w:r>
      <w:r w:rsidRPr="008F0A77">
        <w:rPr>
          <w:rFonts w:ascii="Book Antiqua" w:hAnsi="Book Antiqua" w:cs="宋体"/>
          <w:sz w:val="24"/>
          <w:szCs w:val="24"/>
        </w:rPr>
        <w:t>: 761-771 [PMID: 23530726 DOI: 10.1111/bph.12196]</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17 </w:t>
      </w:r>
      <w:r w:rsidRPr="008F0A77">
        <w:rPr>
          <w:rFonts w:ascii="Book Antiqua" w:hAnsi="Book Antiqua" w:cs="宋体"/>
          <w:b/>
          <w:bCs/>
          <w:sz w:val="24"/>
          <w:szCs w:val="24"/>
        </w:rPr>
        <w:t>Sabat R</w:t>
      </w:r>
      <w:r w:rsidRPr="008F0A77">
        <w:rPr>
          <w:rFonts w:ascii="Book Antiqua" w:hAnsi="Book Antiqua" w:cs="宋体"/>
          <w:sz w:val="24"/>
          <w:szCs w:val="24"/>
        </w:rPr>
        <w:t>, Ouyang W, Wolk K. Therapeutic opportunities of the IL-22-IL-22R1 system. </w:t>
      </w:r>
      <w:r w:rsidRPr="008F0A77">
        <w:rPr>
          <w:rFonts w:ascii="Book Antiqua" w:hAnsi="Book Antiqua" w:cs="宋体"/>
          <w:i/>
          <w:iCs/>
          <w:sz w:val="24"/>
          <w:szCs w:val="24"/>
        </w:rPr>
        <w:t>Nat Rev Drug Discov</w:t>
      </w:r>
      <w:r w:rsidRPr="008F0A77">
        <w:rPr>
          <w:rFonts w:ascii="Book Antiqua" w:hAnsi="Book Antiqua" w:cs="宋体"/>
          <w:sz w:val="24"/>
          <w:szCs w:val="24"/>
        </w:rPr>
        <w:t> 2014; </w:t>
      </w:r>
      <w:r w:rsidRPr="008F0A77">
        <w:rPr>
          <w:rFonts w:ascii="Book Antiqua" w:hAnsi="Book Antiqua" w:cs="宋体"/>
          <w:b/>
          <w:bCs/>
          <w:sz w:val="24"/>
          <w:szCs w:val="24"/>
        </w:rPr>
        <w:t>13</w:t>
      </w:r>
      <w:r w:rsidRPr="008F0A77">
        <w:rPr>
          <w:rFonts w:ascii="Book Antiqua" w:hAnsi="Book Antiqua" w:cs="宋体"/>
          <w:sz w:val="24"/>
          <w:szCs w:val="24"/>
        </w:rPr>
        <w:t>: 21-38 [PMID: 24378801 DOI: 10.1038/nrd4176]</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18 </w:t>
      </w:r>
      <w:r w:rsidRPr="008F0A77">
        <w:rPr>
          <w:rFonts w:ascii="Book Antiqua" w:hAnsi="Book Antiqua" w:cs="宋体"/>
          <w:b/>
          <w:bCs/>
          <w:sz w:val="24"/>
          <w:szCs w:val="24"/>
        </w:rPr>
        <w:t>Scheiermann P</w:t>
      </w:r>
      <w:r w:rsidRPr="008F0A77">
        <w:rPr>
          <w:rFonts w:ascii="Book Antiqua" w:hAnsi="Book Antiqua" w:cs="宋体"/>
          <w:sz w:val="24"/>
          <w:szCs w:val="24"/>
        </w:rPr>
        <w:t>, Bachmann M, Goren I, Zwissler B, Pfeilschifter J, Mühl H. Application of interleukin-22 mediates protection in experimental acetaminophen-induced acute liver injury. </w:t>
      </w:r>
      <w:r w:rsidRPr="008F0A77">
        <w:rPr>
          <w:rFonts w:ascii="Book Antiqua" w:hAnsi="Book Antiqua" w:cs="宋体"/>
          <w:i/>
          <w:iCs/>
          <w:sz w:val="24"/>
          <w:szCs w:val="24"/>
        </w:rPr>
        <w:t>Am J Pathol</w:t>
      </w:r>
      <w:r w:rsidRPr="008F0A77">
        <w:rPr>
          <w:rFonts w:ascii="Book Antiqua" w:hAnsi="Book Antiqua" w:cs="宋体"/>
          <w:sz w:val="24"/>
          <w:szCs w:val="24"/>
        </w:rPr>
        <w:t> 2013; </w:t>
      </w:r>
      <w:r w:rsidRPr="008F0A77">
        <w:rPr>
          <w:rFonts w:ascii="Book Antiqua" w:hAnsi="Book Antiqua" w:cs="宋体"/>
          <w:b/>
          <w:bCs/>
          <w:sz w:val="24"/>
          <w:szCs w:val="24"/>
        </w:rPr>
        <w:t>182</w:t>
      </w:r>
      <w:r w:rsidRPr="008F0A77">
        <w:rPr>
          <w:rFonts w:ascii="Book Antiqua" w:hAnsi="Book Antiqua" w:cs="宋体"/>
          <w:sz w:val="24"/>
          <w:szCs w:val="24"/>
        </w:rPr>
        <w:t>: 1107-1113 [PMID: 23375450 DOI: 10.1016/j.ajpath.2012.12.010]</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19 </w:t>
      </w:r>
      <w:r w:rsidRPr="008F0A77">
        <w:rPr>
          <w:rFonts w:ascii="Book Antiqua" w:hAnsi="Book Antiqua" w:cs="宋体"/>
          <w:b/>
          <w:bCs/>
          <w:sz w:val="24"/>
          <w:szCs w:val="24"/>
        </w:rPr>
        <w:t>Kong X</w:t>
      </w:r>
      <w:r w:rsidRPr="008F0A77">
        <w:rPr>
          <w:rFonts w:ascii="Book Antiqua" w:hAnsi="Book Antiqua" w:cs="宋体"/>
          <w:sz w:val="24"/>
          <w:szCs w:val="24"/>
        </w:rPr>
        <w:t>, Feng D, Wang H, Hong F, Bertola A, Wang FS, Gao B. Interleukin-22 induces hepatic stellate cell senescence and restricts liver fibrosis in mice. </w:t>
      </w:r>
      <w:r w:rsidRPr="008F0A77">
        <w:rPr>
          <w:rFonts w:ascii="Book Antiqua" w:hAnsi="Book Antiqua" w:cs="宋体"/>
          <w:i/>
          <w:iCs/>
          <w:sz w:val="24"/>
          <w:szCs w:val="24"/>
        </w:rPr>
        <w:t>Hepatology</w:t>
      </w:r>
      <w:r w:rsidRPr="008F0A77">
        <w:rPr>
          <w:rFonts w:ascii="Book Antiqua" w:hAnsi="Book Antiqua" w:cs="宋体"/>
          <w:sz w:val="24"/>
          <w:szCs w:val="24"/>
        </w:rPr>
        <w:t> 2012; </w:t>
      </w:r>
      <w:r w:rsidRPr="008F0A77">
        <w:rPr>
          <w:rFonts w:ascii="Book Antiqua" w:hAnsi="Book Antiqua" w:cs="宋体"/>
          <w:b/>
          <w:bCs/>
          <w:sz w:val="24"/>
          <w:szCs w:val="24"/>
        </w:rPr>
        <w:t>56</w:t>
      </w:r>
      <w:r w:rsidRPr="008F0A77">
        <w:rPr>
          <w:rFonts w:ascii="Book Antiqua" w:hAnsi="Book Antiqua" w:cs="宋体"/>
          <w:sz w:val="24"/>
          <w:szCs w:val="24"/>
        </w:rPr>
        <w:t>: 1150-1159 [PMID: 22473749 DOI: 10.1002/hep.25744]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20 </w:t>
      </w:r>
      <w:r w:rsidRPr="008F0A77">
        <w:rPr>
          <w:rFonts w:ascii="Book Antiqua" w:hAnsi="Book Antiqua" w:cs="宋体"/>
          <w:b/>
          <w:bCs/>
          <w:sz w:val="24"/>
          <w:szCs w:val="24"/>
        </w:rPr>
        <w:t>Chestovich PJ</w:t>
      </w:r>
      <w:r w:rsidRPr="008F0A77">
        <w:rPr>
          <w:rFonts w:ascii="Book Antiqua" w:hAnsi="Book Antiqua" w:cs="宋体"/>
          <w:sz w:val="24"/>
          <w:szCs w:val="24"/>
        </w:rPr>
        <w:t>, Uchida Y, Chang W, Ajalat M, Lassman C, Sabat R, Busuttil RW, Kupiec-Weglinski JW. Interleukin-22: implications for liver ischemia-reperfusion injury. </w:t>
      </w:r>
      <w:r w:rsidRPr="008F0A77">
        <w:rPr>
          <w:rFonts w:ascii="Book Antiqua" w:hAnsi="Book Antiqua" w:cs="宋体"/>
          <w:i/>
          <w:iCs/>
          <w:sz w:val="24"/>
          <w:szCs w:val="24"/>
        </w:rPr>
        <w:t>Transplantation</w:t>
      </w:r>
      <w:r w:rsidRPr="008F0A77">
        <w:rPr>
          <w:rFonts w:ascii="Book Antiqua" w:hAnsi="Book Antiqua" w:cs="宋体"/>
          <w:sz w:val="24"/>
          <w:szCs w:val="24"/>
        </w:rPr>
        <w:t> 2012; </w:t>
      </w:r>
      <w:r w:rsidRPr="008F0A77">
        <w:rPr>
          <w:rFonts w:ascii="Book Antiqua" w:hAnsi="Book Antiqua" w:cs="宋体"/>
          <w:b/>
          <w:bCs/>
          <w:sz w:val="24"/>
          <w:szCs w:val="24"/>
        </w:rPr>
        <w:t>93</w:t>
      </w:r>
      <w:r w:rsidRPr="008F0A77">
        <w:rPr>
          <w:rFonts w:ascii="Book Antiqua" w:hAnsi="Book Antiqua" w:cs="宋体"/>
          <w:sz w:val="24"/>
          <w:szCs w:val="24"/>
        </w:rPr>
        <w:t>: 485-492 [PMID: 22262131 DOI: 10.1097/TP.0b013e3182449136]</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21 </w:t>
      </w:r>
      <w:r w:rsidRPr="008F0A77">
        <w:rPr>
          <w:rFonts w:ascii="Book Antiqua" w:hAnsi="Book Antiqua" w:cs="宋体"/>
          <w:b/>
          <w:bCs/>
          <w:sz w:val="24"/>
          <w:szCs w:val="24"/>
        </w:rPr>
        <w:t>Meng F</w:t>
      </w:r>
      <w:r w:rsidRPr="008F0A77">
        <w:rPr>
          <w:rFonts w:ascii="Book Antiqua" w:hAnsi="Book Antiqua" w:cs="宋体"/>
          <w:sz w:val="24"/>
          <w:szCs w:val="24"/>
        </w:rPr>
        <w:t xml:space="preserve">, Wang K, Aoyama T, Grivennikov SI, Paik Y, Scholten D, Cong M, Iwaisako K, Liu X, Zhang M, Osterreicher CH, Stickel F, Ley K, Brenner DA, Kisseleva T. Interleukin-17 signaling in inflammatory, Kupffer cells, and hepatic stellate cells </w:t>
      </w:r>
      <w:r w:rsidRPr="008F0A77">
        <w:rPr>
          <w:rFonts w:ascii="Book Antiqua" w:hAnsi="Book Antiqua" w:cs="宋体"/>
          <w:sz w:val="24"/>
          <w:szCs w:val="24"/>
        </w:rPr>
        <w:lastRenderedPageBreak/>
        <w:t>exacerbates liver fibrosis in mice. </w:t>
      </w:r>
      <w:r w:rsidRPr="008F0A77">
        <w:rPr>
          <w:rFonts w:ascii="Book Antiqua" w:hAnsi="Book Antiqua" w:cs="宋体"/>
          <w:i/>
          <w:iCs/>
          <w:sz w:val="24"/>
          <w:szCs w:val="24"/>
        </w:rPr>
        <w:t>Gastroenterology</w:t>
      </w:r>
      <w:r w:rsidRPr="008F0A77">
        <w:rPr>
          <w:rFonts w:ascii="Book Antiqua" w:hAnsi="Book Antiqua" w:cs="宋体"/>
          <w:sz w:val="24"/>
          <w:szCs w:val="24"/>
        </w:rPr>
        <w:t> 2012; </w:t>
      </w:r>
      <w:r w:rsidRPr="008F0A77">
        <w:rPr>
          <w:rFonts w:ascii="Book Antiqua" w:hAnsi="Book Antiqua" w:cs="宋体"/>
          <w:b/>
          <w:bCs/>
          <w:sz w:val="24"/>
          <w:szCs w:val="24"/>
        </w:rPr>
        <w:t>143</w:t>
      </w:r>
      <w:r w:rsidRPr="008F0A77">
        <w:rPr>
          <w:rFonts w:ascii="Book Antiqua" w:hAnsi="Book Antiqua" w:cs="宋体"/>
          <w:sz w:val="24"/>
          <w:szCs w:val="24"/>
        </w:rPr>
        <w:t>: 765-76.e1-3 [PMID: 22687286 DOI: 10.1053/j.gastro.2012.05.049]</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22 </w:t>
      </w:r>
      <w:r w:rsidRPr="008F0A77">
        <w:rPr>
          <w:rFonts w:ascii="Book Antiqua" w:hAnsi="Book Antiqua" w:cs="宋体"/>
          <w:b/>
          <w:bCs/>
          <w:sz w:val="24"/>
          <w:szCs w:val="24"/>
        </w:rPr>
        <w:t>Xing WW</w:t>
      </w:r>
      <w:r w:rsidRPr="008F0A77">
        <w:rPr>
          <w:rFonts w:ascii="Book Antiqua" w:hAnsi="Book Antiqua" w:cs="宋体"/>
          <w:sz w:val="24"/>
          <w:szCs w:val="24"/>
        </w:rPr>
        <w:t>, Zou MJ, Liu S, Xu T, Gao J, Wang JX, Xu DG. Hepatoprotective effects of IL-22 on fulminant hepatic failure induced by d-galactosamine and lipopolysaccharide in mice. </w:t>
      </w:r>
      <w:r w:rsidRPr="008F0A77">
        <w:rPr>
          <w:rFonts w:ascii="Book Antiqua" w:hAnsi="Book Antiqua" w:cs="宋体"/>
          <w:i/>
          <w:iCs/>
          <w:sz w:val="24"/>
          <w:szCs w:val="24"/>
        </w:rPr>
        <w:t>Cytokine</w:t>
      </w:r>
      <w:r w:rsidRPr="008F0A77">
        <w:rPr>
          <w:rFonts w:ascii="Book Antiqua" w:hAnsi="Book Antiqua" w:cs="宋体"/>
          <w:sz w:val="24"/>
          <w:szCs w:val="24"/>
        </w:rPr>
        <w:t> 2011; </w:t>
      </w:r>
      <w:r w:rsidRPr="008F0A77">
        <w:rPr>
          <w:rFonts w:ascii="Book Antiqua" w:hAnsi="Book Antiqua" w:cs="宋体"/>
          <w:b/>
          <w:bCs/>
          <w:sz w:val="24"/>
          <w:szCs w:val="24"/>
        </w:rPr>
        <w:t>56</w:t>
      </w:r>
      <w:r w:rsidRPr="008F0A77">
        <w:rPr>
          <w:rFonts w:ascii="Book Antiqua" w:hAnsi="Book Antiqua" w:cs="宋体"/>
          <w:sz w:val="24"/>
          <w:szCs w:val="24"/>
        </w:rPr>
        <w:t>: 174-179 [PMID: 21843953 DOI: 10.1016/j.cyto.2011.07.022]</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23 </w:t>
      </w:r>
      <w:r w:rsidRPr="008F0A77">
        <w:rPr>
          <w:rFonts w:ascii="Book Antiqua" w:hAnsi="Book Antiqua" w:cs="宋体"/>
          <w:b/>
          <w:bCs/>
          <w:sz w:val="24"/>
          <w:szCs w:val="24"/>
        </w:rPr>
        <w:t>Xing WW</w:t>
      </w:r>
      <w:r w:rsidRPr="008F0A77">
        <w:rPr>
          <w:rFonts w:ascii="Book Antiqua" w:hAnsi="Book Antiqua" w:cs="宋体"/>
          <w:sz w:val="24"/>
          <w:szCs w:val="24"/>
        </w:rPr>
        <w:t>, Zou MJ, Liu S, Xu T, Wang JX, Xu DG. Interleukin-22 protects against acute alcohol-induced hepatotoxicity in mice. </w:t>
      </w:r>
      <w:r w:rsidRPr="008F0A77">
        <w:rPr>
          <w:rFonts w:ascii="Book Antiqua" w:hAnsi="Book Antiqua" w:cs="宋体"/>
          <w:i/>
          <w:iCs/>
          <w:sz w:val="24"/>
          <w:szCs w:val="24"/>
        </w:rPr>
        <w:t>Biosci Biotechnol Biochem</w:t>
      </w:r>
      <w:r w:rsidRPr="008F0A77">
        <w:rPr>
          <w:rFonts w:ascii="Book Antiqua" w:hAnsi="Book Antiqua" w:cs="宋体"/>
          <w:sz w:val="24"/>
          <w:szCs w:val="24"/>
        </w:rPr>
        <w:t> 2011; </w:t>
      </w:r>
      <w:r w:rsidRPr="008F0A77">
        <w:rPr>
          <w:rFonts w:ascii="Book Antiqua" w:hAnsi="Book Antiqua" w:cs="宋体"/>
          <w:b/>
          <w:bCs/>
          <w:sz w:val="24"/>
          <w:szCs w:val="24"/>
        </w:rPr>
        <w:t>75</w:t>
      </w:r>
      <w:r w:rsidRPr="008F0A77">
        <w:rPr>
          <w:rFonts w:ascii="Book Antiqua" w:hAnsi="Book Antiqua" w:cs="宋体"/>
          <w:sz w:val="24"/>
          <w:szCs w:val="24"/>
        </w:rPr>
        <w:t>: 1290-1294 [PMID: 21737938]</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24 </w:t>
      </w:r>
      <w:r w:rsidRPr="008F0A77">
        <w:rPr>
          <w:rFonts w:ascii="Book Antiqua" w:hAnsi="Book Antiqua" w:cs="宋体"/>
          <w:b/>
          <w:bCs/>
          <w:sz w:val="24"/>
          <w:szCs w:val="24"/>
        </w:rPr>
        <w:t>Park O</w:t>
      </w:r>
      <w:r w:rsidRPr="008F0A77">
        <w:rPr>
          <w:rFonts w:ascii="Book Antiqua" w:hAnsi="Book Antiqua" w:cs="宋体"/>
          <w:sz w:val="24"/>
          <w:szCs w:val="24"/>
        </w:rPr>
        <w:t>, Wang H, Weng H, Feigenbaum L, Li H, Yin S, Ki SH, Yoo SH, Dooley S, Wang FS, Young HA, Gao B. In vivo consequences of liver-specific interleukin-22 expression in mice: Implications for human liver disease progression. </w:t>
      </w:r>
      <w:r w:rsidRPr="008F0A77">
        <w:rPr>
          <w:rFonts w:ascii="Book Antiqua" w:hAnsi="Book Antiqua" w:cs="宋体"/>
          <w:i/>
          <w:iCs/>
          <w:sz w:val="24"/>
          <w:szCs w:val="24"/>
        </w:rPr>
        <w:t>Hepatology</w:t>
      </w:r>
      <w:r w:rsidRPr="008F0A77">
        <w:rPr>
          <w:rFonts w:ascii="Book Antiqua" w:hAnsi="Book Antiqua" w:cs="宋体"/>
          <w:sz w:val="24"/>
          <w:szCs w:val="24"/>
        </w:rPr>
        <w:t> 2011; </w:t>
      </w:r>
      <w:r w:rsidRPr="008F0A77">
        <w:rPr>
          <w:rFonts w:ascii="Book Antiqua" w:hAnsi="Book Antiqua" w:cs="宋体"/>
          <w:b/>
          <w:bCs/>
          <w:sz w:val="24"/>
          <w:szCs w:val="24"/>
        </w:rPr>
        <w:t>54</w:t>
      </w:r>
      <w:r w:rsidRPr="008F0A77">
        <w:rPr>
          <w:rFonts w:ascii="Book Antiqua" w:hAnsi="Book Antiqua" w:cs="宋体"/>
          <w:sz w:val="24"/>
          <w:szCs w:val="24"/>
        </w:rPr>
        <w:t>: 252-261 [PMID: 21465510 DOI: 10.1002/hep.24339]</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25 </w:t>
      </w:r>
      <w:r w:rsidRPr="008F0A77">
        <w:rPr>
          <w:rFonts w:ascii="Book Antiqua" w:hAnsi="Book Antiqua" w:cs="宋体"/>
          <w:b/>
          <w:bCs/>
          <w:sz w:val="24"/>
          <w:szCs w:val="24"/>
        </w:rPr>
        <w:t>Ki SH</w:t>
      </w:r>
      <w:r w:rsidRPr="008F0A77">
        <w:rPr>
          <w:rFonts w:ascii="Book Antiqua" w:hAnsi="Book Antiqua" w:cs="宋体"/>
          <w:sz w:val="24"/>
          <w:szCs w:val="24"/>
        </w:rPr>
        <w:t>, Park O, Zheng M, Morales-Ibanez O, Kolls JK, Bataller R, Gao B. Interleukin-22 treatment ameliorates alcoholic liver injury in a murine model of chronic-binge ethanol feeding: role of signal transducer and activator of transcription 3. </w:t>
      </w:r>
      <w:r w:rsidRPr="008F0A77">
        <w:rPr>
          <w:rFonts w:ascii="Book Antiqua" w:hAnsi="Book Antiqua" w:cs="宋体"/>
          <w:i/>
          <w:iCs/>
          <w:sz w:val="24"/>
          <w:szCs w:val="24"/>
        </w:rPr>
        <w:t>Hepatology</w:t>
      </w:r>
      <w:r w:rsidRPr="008F0A77">
        <w:rPr>
          <w:rFonts w:ascii="Book Antiqua" w:hAnsi="Book Antiqua" w:cs="宋体"/>
          <w:sz w:val="24"/>
          <w:szCs w:val="24"/>
        </w:rPr>
        <w:t> 2010; </w:t>
      </w:r>
      <w:r w:rsidRPr="008F0A77">
        <w:rPr>
          <w:rFonts w:ascii="Book Antiqua" w:hAnsi="Book Antiqua" w:cs="宋体"/>
          <w:b/>
          <w:bCs/>
          <w:sz w:val="24"/>
          <w:szCs w:val="24"/>
        </w:rPr>
        <w:t>52</w:t>
      </w:r>
      <w:r w:rsidRPr="008F0A77">
        <w:rPr>
          <w:rFonts w:ascii="Book Antiqua" w:hAnsi="Book Antiqua" w:cs="宋体"/>
          <w:sz w:val="24"/>
          <w:szCs w:val="24"/>
        </w:rPr>
        <w:t>: 1291-1300 [PMID: 20842630 DOI: 10.1002/hep.23837]</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26 </w:t>
      </w:r>
      <w:r w:rsidRPr="008F0A77">
        <w:rPr>
          <w:rFonts w:ascii="Book Antiqua" w:hAnsi="Book Antiqua" w:cs="宋体"/>
          <w:b/>
          <w:bCs/>
          <w:sz w:val="24"/>
          <w:szCs w:val="24"/>
        </w:rPr>
        <w:t>Yang L</w:t>
      </w:r>
      <w:r w:rsidRPr="008F0A77">
        <w:rPr>
          <w:rFonts w:ascii="Book Antiqua" w:hAnsi="Book Antiqua" w:cs="宋体"/>
          <w:sz w:val="24"/>
          <w:szCs w:val="24"/>
        </w:rPr>
        <w:t>, Zhang Y, Wang L, Fan F, Zhu L, Li Z, Ruan X, Huang H, Wang Z, Huang Z, Huang Y, Yan X, Chen Y. Amelioration of high fat diet induced liver lipogenesis and hepatic steatosis by interleukin-22. </w:t>
      </w:r>
      <w:r w:rsidRPr="008F0A77">
        <w:rPr>
          <w:rFonts w:ascii="Book Antiqua" w:hAnsi="Book Antiqua" w:cs="宋体"/>
          <w:i/>
          <w:iCs/>
          <w:sz w:val="24"/>
          <w:szCs w:val="24"/>
        </w:rPr>
        <w:t>J Hepatol</w:t>
      </w:r>
      <w:r w:rsidRPr="008F0A77">
        <w:rPr>
          <w:rFonts w:ascii="Book Antiqua" w:hAnsi="Book Antiqua" w:cs="宋体"/>
          <w:sz w:val="24"/>
          <w:szCs w:val="24"/>
        </w:rPr>
        <w:t> 2010; </w:t>
      </w:r>
      <w:r w:rsidRPr="008F0A77">
        <w:rPr>
          <w:rFonts w:ascii="Book Antiqua" w:hAnsi="Book Antiqua" w:cs="宋体"/>
          <w:b/>
          <w:bCs/>
          <w:sz w:val="24"/>
          <w:szCs w:val="24"/>
        </w:rPr>
        <w:t>53</w:t>
      </w:r>
      <w:r w:rsidRPr="008F0A77">
        <w:rPr>
          <w:rFonts w:ascii="Book Antiqua" w:hAnsi="Book Antiqua" w:cs="宋体"/>
          <w:sz w:val="24"/>
          <w:szCs w:val="24"/>
        </w:rPr>
        <w:t>: 339-347 [PMID: 20452699 DOI: 10.1016/j.jhep.2010.03.004]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27 </w:t>
      </w:r>
      <w:r w:rsidRPr="008F0A77">
        <w:rPr>
          <w:rFonts w:ascii="Book Antiqua" w:hAnsi="Book Antiqua" w:cs="宋体"/>
          <w:b/>
          <w:bCs/>
          <w:sz w:val="24"/>
          <w:szCs w:val="24"/>
        </w:rPr>
        <w:t>Pan H</w:t>
      </w:r>
      <w:r w:rsidRPr="008F0A77">
        <w:rPr>
          <w:rFonts w:ascii="Book Antiqua" w:hAnsi="Book Antiqua" w:cs="宋体"/>
          <w:sz w:val="24"/>
          <w:szCs w:val="24"/>
        </w:rPr>
        <w:t xml:space="preserve">, Hong F, Radaeva S, Gao B. Hydrodynamic gene delivery of interleukin-22 protects the mouse liver from concanavalin A-, carbon tetrachloride-, and Fas ligand-induced injury </w:t>
      </w:r>
      <w:r w:rsidRPr="008F0A77">
        <w:rPr>
          <w:rFonts w:ascii="Book Antiqua" w:hAnsi="Book Antiqua" w:cs="宋体"/>
          <w:i/>
          <w:sz w:val="24"/>
          <w:szCs w:val="24"/>
        </w:rPr>
        <w:t xml:space="preserve">via </w:t>
      </w:r>
      <w:r w:rsidRPr="008F0A77">
        <w:rPr>
          <w:rFonts w:ascii="Book Antiqua" w:hAnsi="Book Antiqua" w:cs="宋体"/>
          <w:sz w:val="24"/>
          <w:szCs w:val="24"/>
        </w:rPr>
        <w:t>activation of STAT3. </w:t>
      </w:r>
      <w:r w:rsidRPr="008F0A77">
        <w:rPr>
          <w:rFonts w:ascii="Book Antiqua" w:hAnsi="Book Antiqua" w:cs="宋体"/>
          <w:i/>
          <w:iCs/>
          <w:sz w:val="24"/>
          <w:szCs w:val="24"/>
        </w:rPr>
        <w:t>Cell Mol Immunol</w:t>
      </w:r>
      <w:r w:rsidRPr="008F0A77">
        <w:rPr>
          <w:rFonts w:ascii="Book Antiqua" w:hAnsi="Book Antiqua" w:cs="宋体"/>
          <w:sz w:val="24"/>
          <w:szCs w:val="24"/>
        </w:rPr>
        <w:t> 2004; </w:t>
      </w:r>
      <w:r w:rsidRPr="008F0A77">
        <w:rPr>
          <w:rFonts w:ascii="Book Antiqua" w:hAnsi="Book Antiqua" w:cs="宋体"/>
          <w:b/>
          <w:bCs/>
          <w:sz w:val="24"/>
          <w:szCs w:val="24"/>
        </w:rPr>
        <w:t>1</w:t>
      </w:r>
      <w:r w:rsidRPr="008F0A77">
        <w:rPr>
          <w:rFonts w:ascii="Book Antiqua" w:hAnsi="Book Antiqua" w:cs="宋体"/>
          <w:sz w:val="24"/>
          <w:szCs w:val="24"/>
        </w:rPr>
        <w:t>: 43-49 [PMID: 16212920]</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28 </w:t>
      </w:r>
      <w:r w:rsidRPr="008F0A77">
        <w:rPr>
          <w:rFonts w:ascii="Book Antiqua" w:hAnsi="Book Antiqua" w:cs="宋体"/>
          <w:b/>
          <w:bCs/>
          <w:sz w:val="24"/>
          <w:szCs w:val="24"/>
        </w:rPr>
        <w:t>Radaeva S</w:t>
      </w:r>
      <w:r w:rsidRPr="008F0A77">
        <w:rPr>
          <w:rFonts w:ascii="Book Antiqua" w:hAnsi="Book Antiqua" w:cs="宋体"/>
          <w:sz w:val="24"/>
          <w:szCs w:val="24"/>
        </w:rPr>
        <w:t xml:space="preserve">, Sun R, Pan HN, Hong F, Gao B. Interleukin 22 (IL-22) plays a protective role in T cell-mediated murine hepatitis: IL-22 is a survival factor for hepatocytes </w:t>
      </w:r>
      <w:r w:rsidRPr="008F0A77">
        <w:rPr>
          <w:rFonts w:ascii="Book Antiqua" w:hAnsi="Book Antiqua" w:cs="宋体"/>
          <w:i/>
          <w:sz w:val="24"/>
          <w:szCs w:val="24"/>
        </w:rPr>
        <w:t xml:space="preserve">via </w:t>
      </w:r>
      <w:r w:rsidRPr="008F0A77">
        <w:rPr>
          <w:rFonts w:ascii="Book Antiqua" w:hAnsi="Book Antiqua" w:cs="宋体"/>
          <w:sz w:val="24"/>
          <w:szCs w:val="24"/>
        </w:rPr>
        <w:t>STAT3 activation. </w:t>
      </w:r>
      <w:r w:rsidRPr="008F0A77">
        <w:rPr>
          <w:rFonts w:ascii="Book Antiqua" w:hAnsi="Book Antiqua" w:cs="宋体"/>
          <w:i/>
          <w:iCs/>
          <w:sz w:val="24"/>
          <w:szCs w:val="24"/>
        </w:rPr>
        <w:t>Hepatology</w:t>
      </w:r>
      <w:r w:rsidRPr="008F0A77">
        <w:rPr>
          <w:rFonts w:ascii="Book Antiqua" w:hAnsi="Book Antiqua" w:cs="宋体"/>
          <w:sz w:val="24"/>
          <w:szCs w:val="24"/>
        </w:rPr>
        <w:t> 2004; </w:t>
      </w:r>
      <w:r w:rsidRPr="008F0A77">
        <w:rPr>
          <w:rFonts w:ascii="Book Antiqua" w:hAnsi="Book Antiqua" w:cs="宋体"/>
          <w:b/>
          <w:bCs/>
          <w:sz w:val="24"/>
          <w:szCs w:val="24"/>
        </w:rPr>
        <w:t>39</w:t>
      </w:r>
      <w:r w:rsidRPr="008F0A77">
        <w:rPr>
          <w:rFonts w:ascii="Book Antiqua" w:hAnsi="Book Antiqua" w:cs="宋体"/>
          <w:sz w:val="24"/>
          <w:szCs w:val="24"/>
        </w:rPr>
        <w:t xml:space="preserve">: 1332-1342 [PMID: 15122762 DOI: </w:t>
      </w:r>
      <w:r w:rsidR="00D4014D">
        <w:fldChar w:fldCharType="begin"/>
      </w:r>
      <w:r w:rsidR="00D4014D">
        <w:instrText xml:space="preserve"> HYPERLIN</w:instrText>
      </w:r>
      <w:r w:rsidR="00D4014D">
        <w:instrText xml:space="preserve">K "http://dx.doi.org/10.1002/hep.20184" \t "_blank" </w:instrText>
      </w:r>
      <w:r w:rsidR="00D4014D">
        <w:fldChar w:fldCharType="separate"/>
      </w:r>
      <w:r w:rsidRPr="008F0A77">
        <w:rPr>
          <w:rStyle w:val="Hyperlink"/>
          <w:rFonts w:ascii="Book Antiqua" w:hAnsi="Book Antiqua"/>
          <w:color w:val="auto"/>
          <w:sz w:val="24"/>
          <w:szCs w:val="24"/>
          <w:u w:val="none"/>
          <w:shd w:val="clear" w:color="auto" w:fill="FFFFFF"/>
        </w:rPr>
        <w:t>10.1002/hep.20184</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29 </w:t>
      </w:r>
      <w:r w:rsidRPr="008F0A77">
        <w:rPr>
          <w:rFonts w:ascii="Book Antiqua" w:hAnsi="Book Antiqua" w:cs="宋体"/>
          <w:b/>
          <w:bCs/>
          <w:sz w:val="24"/>
          <w:szCs w:val="24"/>
        </w:rPr>
        <w:t>Sovran B</w:t>
      </w:r>
      <w:r w:rsidRPr="008F0A77">
        <w:rPr>
          <w:rFonts w:ascii="Book Antiqua" w:hAnsi="Book Antiqua" w:cs="宋体"/>
          <w:sz w:val="24"/>
          <w:szCs w:val="24"/>
        </w:rPr>
        <w:t xml:space="preserve">, Loonen LM, Lu P, Hugenholtz F, Belzer C, Stolte EH, Boekschoten MV, van Baarlen P, Kleerebezem M, de Vos P, Dekker J, Renes IB, Wells JM. IL-22-STAT3 </w:t>
      </w:r>
      <w:r w:rsidRPr="008F0A77">
        <w:rPr>
          <w:rFonts w:ascii="Book Antiqua" w:hAnsi="Book Antiqua" w:cs="宋体"/>
          <w:sz w:val="24"/>
          <w:szCs w:val="24"/>
        </w:rPr>
        <w:lastRenderedPageBreak/>
        <w:t>pathway plays a key role in the maintenance of ileal homeostasis in mice lacking secreted mucus barrier. </w:t>
      </w:r>
      <w:r w:rsidRPr="008F0A77">
        <w:rPr>
          <w:rFonts w:ascii="Book Antiqua" w:hAnsi="Book Antiqua" w:cs="宋体"/>
          <w:i/>
          <w:iCs/>
          <w:sz w:val="24"/>
          <w:szCs w:val="24"/>
        </w:rPr>
        <w:t>Inflamm Bowel Dis</w:t>
      </w:r>
      <w:r w:rsidRPr="008F0A77">
        <w:rPr>
          <w:rFonts w:ascii="Book Antiqua" w:hAnsi="Book Antiqua" w:cs="宋体"/>
          <w:sz w:val="24"/>
          <w:szCs w:val="24"/>
        </w:rPr>
        <w:t> 2015; </w:t>
      </w:r>
      <w:r w:rsidRPr="008F0A77">
        <w:rPr>
          <w:rFonts w:ascii="Book Antiqua" w:hAnsi="Book Antiqua" w:cs="宋体"/>
          <w:b/>
          <w:bCs/>
          <w:sz w:val="24"/>
          <w:szCs w:val="24"/>
        </w:rPr>
        <w:t>21</w:t>
      </w:r>
      <w:r w:rsidRPr="008F0A77">
        <w:rPr>
          <w:rFonts w:ascii="Book Antiqua" w:hAnsi="Book Antiqua" w:cs="宋体"/>
          <w:sz w:val="24"/>
          <w:szCs w:val="24"/>
        </w:rPr>
        <w:t>: 531-542 [PMID: 25636123 DOI: 10.1097/MIB.0000000000000319]</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30 </w:t>
      </w:r>
      <w:r w:rsidRPr="008F0A77">
        <w:rPr>
          <w:rFonts w:ascii="Book Antiqua" w:hAnsi="Book Antiqua" w:cs="宋体"/>
          <w:b/>
          <w:bCs/>
          <w:sz w:val="24"/>
          <w:szCs w:val="24"/>
        </w:rPr>
        <w:t>Qiu J</w:t>
      </w:r>
      <w:r w:rsidRPr="008F0A77">
        <w:rPr>
          <w:rFonts w:ascii="Book Antiqua" w:hAnsi="Book Antiqua" w:cs="宋体"/>
          <w:sz w:val="24"/>
          <w:szCs w:val="24"/>
        </w:rPr>
        <w:t>, Heller JJ, Guo X, Chen ZM, Fish K, Fu YX, Zhou L. The aryl hydrocarbon receptor regulates gut immunity through modulation of innate lymphoid cells. </w:t>
      </w:r>
      <w:r w:rsidRPr="008F0A77">
        <w:rPr>
          <w:rFonts w:ascii="Book Antiqua" w:hAnsi="Book Antiqua" w:cs="宋体"/>
          <w:i/>
          <w:iCs/>
          <w:sz w:val="24"/>
          <w:szCs w:val="24"/>
        </w:rPr>
        <w:t>Immunity</w:t>
      </w:r>
      <w:r w:rsidRPr="008F0A77">
        <w:rPr>
          <w:rFonts w:ascii="Book Antiqua" w:hAnsi="Book Antiqua" w:cs="宋体"/>
          <w:sz w:val="24"/>
          <w:szCs w:val="24"/>
        </w:rPr>
        <w:t> 2012; </w:t>
      </w:r>
      <w:r w:rsidRPr="008F0A77">
        <w:rPr>
          <w:rFonts w:ascii="Book Antiqua" w:hAnsi="Book Antiqua" w:cs="宋体"/>
          <w:b/>
          <w:bCs/>
          <w:sz w:val="24"/>
          <w:szCs w:val="24"/>
        </w:rPr>
        <w:t>36</w:t>
      </w:r>
      <w:r w:rsidRPr="008F0A77">
        <w:rPr>
          <w:rFonts w:ascii="Book Antiqua" w:hAnsi="Book Antiqua" w:cs="宋体"/>
          <w:sz w:val="24"/>
          <w:szCs w:val="24"/>
        </w:rPr>
        <w:t>: 92-104 [PMID: 22177117 DOI: 10.1016/j.immuni.2011.11.011]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31 </w:t>
      </w:r>
      <w:r w:rsidRPr="008F0A77">
        <w:rPr>
          <w:rFonts w:ascii="Book Antiqua" w:hAnsi="Book Antiqua" w:cs="宋体"/>
          <w:b/>
          <w:bCs/>
          <w:sz w:val="24"/>
          <w:szCs w:val="24"/>
        </w:rPr>
        <w:t>Tumanov AV</w:t>
      </w:r>
      <w:r w:rsidRPr="008F0A77">
        <w:rPr>
          <w:rFonts w:ascii="Book Antiqua" w:hAnsi="Book Antiqua" w:cs="宋体"/>
          <w:sz w:val="24"/>
          <w:szCs w:val="24"/>
        </w:rPr>
        <w:t>, Koroleva EP, Guo X, Wang Y, Kruglov A, Nedospasov S, Fu YX. Lymphotoxin controls the IL-22 protection pathway in gut innate lymphoid cells during mucosal pathogen challenge. </w:t>
      </w:r>
      <w:r w:rsidRPr="008F0A77">
        <w:rPr>
          <w:rFonts w:ascii="Book Antiqua" w:hAnsi="Book Antiqua" w:cs="宋体"/>
          <w:i/>
          <w:iCs/>
          <w:sz w:val="24"/>
          <w:szCs w:val="24"/>
        </w:rPr>
        <w:t>Cell Host Microbe</w:t>
      </w:r>
      <w:r w:rsidRPr="008F0A77">
        <w:rPr>
          <w:rFonts w:ascii="Book Antiqua" w:hAnsi="Book Antiqua" w:cs="宋体"/>
          <w:sz w:val="24"/>
          <w:szCs w:val="24"/>
        </w:rPr>
        <w:t> 2011; </w:t>
      </w:r>
      <w:r w:rsidRPr="008F0A77">
        <w:rPr>
          <w:rFonts w:ascii="Book Antiqua" w:hAnsi="Book Antiqua" w:cs="宋体"/>
          <w:b/>
          <w:bCs/>
          <w:sz w:val="24"/>
          <w:szCs w:val="24"/>
        </w:rPr>
        <w:t>10</w:t>
      </w:r>
      <w:r w:rsidRPr="008F0A77">
        <w:rPr>
          <w:rFonts w:ascii="Book Antiqua" w:hAnsi="Book Antiqua" w:cs="宋体"/>
          <w:sz w:val="24"/>
          <w:szCs w:val="24"/>
        </w:rPr>
        <w:t>: 44-53 [PMID: 21767811 DOI: 10.1016/j.chom.2011.06.002]</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32 </w:t>
      </w:r>
      <w:r w:rsidRPr="008F0A77">
        <w:rPr>
          <w:rFonts w:ascii="Book Antiqua" w:hAnsi="Book Antiqua" w:cs="宋体"/>
          <w:b/>
          <w:bCs/>
          <w:sz w:val="24"/>
          <w:szCs w:val="24"/>
        </w:rPr>
        <w:t>Sugimoto K</w:t>
      </w:r>
      <w:r w:rsidRPr="008F0A77">
        <w:rPr>
          <w:rFonts w:ascii="Book Antiqua" w:hAnsi="Book Antiqua" w:cs="宋体"/>
          <w:sz w:val="24"/>
          <w:szCs w:val="24"/>
        </w:rPr>
        <w:t>, Ogawa A, Mizoguchi E, Shimomura Y, Andoh A, Bhan AK, Blumberg RS, Xavier RJ, Mizoguchi A. IL-22 ameliorates intestinal inflammation in a mouse model of ulcerative colitis. </w:t>
      </w:r>
      <w:r w:rsidRPr="008F0A77">
        <w:rPr>
          <w:rFonts w:ascii="Book Antiqua" w:hAnsi="Book Antiqua" w:cs="宋体"/>
          <w:i/>
          <w:iCs/>
          <w:sz w:val="24"/>
          <w:szCs w:val="24"/>
        </w:rPr>
        <w:t>J Clin Invest</w:t>
      </w:r>
      <w:r w:rsidRPr="008F0A77">
        <w:rPr>
          <w:rFonts w:ascii="Book Antiqua" w:hAnsi="Book Antiqua" w:cs="宋体"/>
          <w:sz w:val="24"/>
          <w:szCs w:val="24"/>
        </w:rPr>
        <w:t> 2008; </w:t>
      </w:r>
      <w:r w:rsidRPr="008F0A77">
        <w:rPr>
          <w:rFonts w:ascii="Book Antiqua" w:hAnsi="Book Antiqua" w:cs="宋体"/>
          <w:b/>
          <w:bCs/>
          <w:sz w:val="24"/>
          <w:szCs w:val="24"/>
        </w:rPr>
        <w:t>118</w:t>
      </w:r>
      <w:r w:rsidRPr="008F0A77">
        <w:rPr>
          <w:rFonts w:ascii="Book Antiqua" w:hAnsi="Book Antiqua" w:cs="宋体"/>
          <w:sz w:val="24"/>
          <w:szCs w:val="24"/>
        </w:rPr>
        <w:t>: 534-544 [PMID: 18172556 DOI: 10.1172/JCI33194]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33 </w:t>
      </w:r>
      <w:r w:rsidRPr="008F0A77">
        <w:rPr>
          <w:rFonts w:ascii="Book Antiqua" w:hAnsi="Book Antiqua" w:cs="宋体"/>
          <w:b/>
          <w:bCs/>
          <w:sz w:val="24"/>
          <w:szCs w:val="24"/>
        </w:rPr>
        <w:t>Leung JM</w:t>
      </w:r>
      <w:r w:rsidRPr="008F0A77">
        <w:rPr>
          <w:rFonts w:ascii="Book Antiqua" w:hAnsi="Book Antiqua" w:cs="宋体"/>
          <w:sz w:val="24"/>
          <w:szCs w:val="24"/>
        </w:rPr>
        <w:t>, Davenport M, Wolff MJ, Wiens KE, Abidi WM, Poles MA, Cho I, Ullman T, Mayer L, Loke P. IL-22-producing CD4+ cells are depleted in actively inflamed colitis tissue. </w:t>
      </w:r>
      <w:r w:rsidRPr="008F0A77">
        <w:rPr>
          <w:rFonts w:ascii="Book Antiqua" w:hAnsi="Book Antiqua" w:cs="宋体"/>
          <w:i/>
          <w:iCs/>
          <w:sz w:val="24"/>
          <w:szCs w:val="24"/>
        </w:rPr>
        <w:t>Mucosal Immunol</w:t>
      </w:r>
      <w:r w:rsidRPr="008F0A77">
        <w:rPr>
          <w:rFonts w:ascii="Book Antiqua" w:hAnsi="Book Antiqua" w:cs="宋体"/>
          <w:sz w:val="24"/>
          <w:szCs w:val="24"/>
        </w:rPr>
        <w:t> 2014; </w:t>
      </w:r>
      <w:r w:rsidRPr="008F0A77">
        <w:rPr>
          <w:rFonts w:ascii="Book Antiqua" w:hAnsi="Book Antiqua" w:cs="宋体"/>
          <w:b/>
          <w:bCs/>
          <w:sz w:val="24"/>
          <w:szCs w:val="24"/>
        </w:rPr>
        <w:t>7</w:t>
      </w:r>
      <w:r w:rsidRPr="008F0A77">
        <w:rPr>
          <w:rFonts w:ascii="Book Antiqua" w:hAnsi="Book Antiqua" w:cs="宋体"/>
          <w:sz w:val="24"/>
          <w:szCs w:val="24"/>
        </w:rPr>
        <w:t>: 124-133 [PMID: 23695510 DOI: 10.1038/mi.2013.31]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34 </w:t>
      </w:r>
      <w:r w:rsidRPr="008F0A77">
        <w:rPr>
          <w:rFonts w:ascii="Book Antiqua" w:hAnsi="Book Antiqua" w:cs="宋体"/>
          <w:b/>
          <w:bCs/>
          <w:sz w:val="24"/>
          <w:szCs w:val="24"/>
        </w:rPr>
        <w:t>Rendon JL</w:t>
      </w:r>
      <w:r w:rsidRPr="008F0A77">
        <w:rPr>
          <w:rFonts w:ascii="Book Antiqua" w:hAnsi="Book Antiqua" w:cs="宋体"/>
          <w:sz w:val="24"/>
          <w:szCs w:val="24"/>
        </w:rPr>
        <w:t>, Li X, Akhtar S, Choudhry MA. Interleukin-22 modulates gut epithelial and immune barrier functions following acute alcohol exposure and burn injury. </w:t>
      </w:r>
      <w:r w:rsidRPr="008F0A77">
        <w:rPr>
          <w:rFonts w:ascii="Book Antiqua" w:hAnsi="Book Antiqua" w:cs="宋体"/>
          <w:i/>
          <w:iCs/>
          <w:sz w:val="24"/>
          <w:szCs w:val="24"/>
        </w:rPr>
        <w:t>Shock</w:t>
      </w:r>
      <w:r w:rsidRPr="008F0A77">
        <w:rPr>
          <w:rFonts w:ascii="Book Antiqua" w:hAnsi="Book Antiqua" w:cs="宋体"/>
          <w:sz w:val="24"/>
          <w:szCs w:val="24"/>
        </w:rPr>
        <w:t> 2013; </w:t>
      </w:r>
      <w:r w:rsidRPr="008F0A77">
        <w:rPr>
          <w:rFonts w:ascii="Book Antiqua" w:hAnsi="Book Antiqua" w:cs="宋体"/>
          <w:b/>
          <w:bCs/>
          <w:sz w:val="24"/>
          <w:szCs w:val="24"/>
        </w:rPr>
        <w:t>39</w:t>
      </w:r>
      <w:r w:rsidRPr="008F0A77">
        <w:rPr>
          <w:rFonts w:ascii="Book Antiqua" w:hAnsi="Book Antiqua" w:cs="宋体"/>
          <w:sz w:val="24"/>
          <w:szCs w:val="24"/>
        </w:rPr>
        <w:t>: 11-18 [PMID: 23143063 DOI: 10.1097/SHK.0b013e3182749f96]</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35 </w:t>
      </w:r>
      <w:r w:rsidRPr="008F0A77">
        <w:rPr>
          <w:rFonts w:ascii="Book Antiqua" w:hAnsi="Book Antiqua" w:cs="宋体"/>
          <w:b/>
          <w:bCs/>
          <w:sz w:val="24"/>
          <w:szCs w:val="24"/>
        </w:rPr>
        <w:t>Pickert G</w:t>
      </w:r>
      <w:r w:rsidRPr="008F0A77">
        <w:rPr>
          <w:rFonts w:ascii="Book Antiqua" w:hAnsi="Book Antiqua" w:cs="宋体"/>
          <w:sz w:val="24"/>
          <w:szCs w:val="24"/>
        </w:rPr>
        <w:t>, Neufert C, Leppkes M, Zheng Y, Wittkopf N, Warntjen M, Lehr HA, Hirth S, Weigmann B, Wirtz S, Ouyang W, Neurath MF, Becker C. STAT3 links IL-22 signaling in intestinal epithelial cells to mucosal wound healing. </w:t>
      </w:r>
      <w:r w:rsidRPr="008F0A77">
        <w:rPr>
          <w:rFonts w:ascii="Book Antiqua" w:hAnsi="Book Antiqua" w:cs="宋体"/>
          <w:i/>
          <w:iCs/>
          <w:sz w:val="24"/>
          <w:szCs w:val="24"/>
        </w:rPr>
        <w:t>J Exp Med</w:t>
      </w:r>
      <w:r w:rsidRPr="008F0A77">
        <w:rPr>
          <w:rFonts w:ascii="Book Antiqua" w:hAnsi="Book Antiqua" w:cs="宋体"/>
          <w:sz w:val="24"/>
          <w:szCs w:val="24"/>
        </w:rPr>
        <w:t> 2009; </w:t>
      </w:r>
      <w:r w:rsidRPr="008F0A77">
        <w:rPr>
          <w:rFonts w:ascii="Book Antiqua" w:hAnsi="Book Antiqua" w:cs="宋体"/>
          <w:b/>
          <w:bCs/>
          <w:sz w:val="24"/>
          <w:szCs w:val="24"/>
        </w:rPr>
        <w:t>206</w:t>
      </w:r>
      <w:r w:rsidRPr="008F0A77">
        <w:rPr>
          <w:rFonts w:ascii="Book Antiqua" w:hAnsi="Book Antiqua" w:cs="宋体"/>
          <w:sz w:val="24"/>
          <w:szCs w:val="24"/>
        </w:rPr>
        <w:t>: 1465-1472 [PMID: 19564350 DOI: 10.1084/jem.20082683]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36 </w:t>
      </w:r>
      <w:r w:rsidRPr="008F0A77">
        <w:rPr>
          <w:rFonts w:ascii="Book Antiqua" w:hAnsi="Book Antiqua" w:cs="宋体"/>
          <w:b/>
          <w:bCs/>
          <w:sz w:val="24"/>
          <w:szCs w:val="24"/>
        </w:rPr>
        <w:t>Zheng Y</w:t>
      </w:r>
      <w:r w:rsidRPr="008F0A77">
        <w:rPr>
          <w:rFonts w:ascii="Book Antiqua" w:hAnsi="Book Antiqua" w:cs="宋体"/>
          <w:sz w:val="24"/>
          <w:szCs w:val="24"/>
        </w:rPr>
        <w:t>, Valdez PA, Danilenko DM, Hu Y, Sa SM, Gong Q, Abbas AR, Modrusan Z, Ghilardi N, de Sauvage FJ, Ouyang W. Interleukin-22 mediates early host defense against attaching and effacing bacterial pathogens. </w:t>
      </w:r>
      <w:r w:rsidRPr="008F0A77">
        <w:rPr>
          <w:rFonts w:ascii="Book Antiqua" w:hAnsi="Book Antiqua" w:cs="宋体"/>
          <w:i/>
          <w:iCs/>
          <w:sz w:val="24"/>
          <w:szCs w:val="24"/>
        </w:rPr>
        <w:t>Nat Med</w:t>
      </w:r>
      <w:r w:rsidRPr="008F0A77">
        <w:rPr>
          <w:rFonts w:ascii="Book Antiqua" w:hAnsi="Book Antiqua" w:cs="宋体"/>
          <w:sz w:val="24"/>
          <w:szCs w:val="24"/>
        </w:rPr>
        <w:t> 2008; </w:t>
      </w:r>
      <w:r w:rsidRPr="008F0A77">
        <w:rPr>
          <w:rFonts w:ascii="Book Antiqua" w:hAnsi="Book Antiqua" w:cs="宋体"/>
          <w:b/>
          <w:bCs/>
          <w:sz w:val="24"/>
          <w:szCs w:val="24"/>
        </w:rPr>
        <w:t>14</w:t>
      </w:r>
      <w:r w:rsidRPr="008F0A77">
        <w:rPr>
          <w:rFonts w:ascii="Book Antiqua" w:hAnsi="Book Antiqua" w:cs="宋体"/>
          <w:sz w:val="24"/>
          <w:szCs w:val="24"/>
        </w:rPr>
        <w:t>: 282-289 [PMID: 18264109 DOI: 10.1038/nm1720]</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37 </w:t>
      </w:r>
      <w:r w:rsidRPr="008F0A77">
        <w:rPr>
          <w:rFonts w:ascii="Book Antiqua" w:hAnsi="Book Antiqua" w:cs="宋体"/>
          <w:b/>
          <w:bCs/>
          <w:sz w:val="24"/>
          <w:szCs w:val="24"/>
        </w:rPr>
        <w:t>Pociask DA</w:t>
      </w:r>
      <w:r w:rsidRPr="008F0A77">
        <w:rPr>
          <w:rFonts w:ascii="Book Antiqua" w:hAnsi="Book Antiqua" w:cs="宋体"/>
          <w:sz w:val="24"/>
          <w:szCs w:val="24"/>
        </w:rPr>
        <w:t xml:space="preserve">, Scheller EV, Mandalapu S, McHugh KJ, Enelow RI, Fattman CL, Kolls JK, Alcorn JF. IL-22 is essential for lung epithelial repair following influenza </w:t>
      </w:r>
      <w:r w:rsidRPr="008F0A77">
        <w:rPr>
          <w:rFonts w:ascii="Book Antiqua" w:hAnsi="Book Antiqua" w:cs="宋体"/>
          <w:sz w:val="24"/>
          <w:szCs w:val="24"/>
        </w:rPr>
        <w:lastRenderedPageBreak/>
        <w:t>infection. </w:t>
      </w:r>
      <w:r w:rsidRPr="008F0A77">
        <w:rPr>
          <w:rFonts w:ascii="Book Antiqua" w:hAnsi="Book Antiqua" w:cs="宋体"/>
          <w:i/>
          <w:iCs/>
          <w:sz w:val="24"/>
          <w:szCs w:val="24"/>
        </w:rPr>
        <w:t>Am J Pathol</w:t>
      </w:r>
      <w:r w:rsidRPr="008F0A77">
        <w:rPr>
          <w:rFonts w:ascii="Book Antiqua" w:hAnsi="Book Antiqua" w:cs="宋体"/>
          <w:sz w:val="24"/>
          <w:szCs w:val="24"/>
        </w:rPr>
        <w:t> 2013; </w:t>
      </w:r>
      <w:r w:rsidRPr="008F0A77">
        <w:rPr>
          <w:rFonts w:ascii="Book Antiqua" w:hAnsi="Book Antiqua" w:cs="宋体"/>
          <w:b/>
          <w:bCs/>
          <w:sz w:val="24"/>
          <w:szCs w:val="24"/>
        </w:rPr>
        <w:t>182</w:t>
      </w:r>
      <w:r w:rsidRPr="008F0A77">
        <w:rPr>
          <w:rFonts w:ascii="Book Antiqua" w:hAnsi="Book Antiqua" w:cs="宋体"/>
          <w:sz w:val="24"/>
          <w:szCs w:val="24"/>
        </w:rPr>
        <w:t>: 1286-1296 [PMID: 23490254 DOI: 10.1016/j.ajpath.2012.12.007]</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38 </w:t>
      </w:r>
      <w:r w:rsidRPr="008F0A77">
        <w:rPr>
          <w:rFonts w:ascii="Book Antiqua" w:hAnsi="Book Antiqua" w:cs="宋体"/>
          <w:b/>
          <w:bCs/>
          <w:sz w:val="24"/>
          <w:szCs w:val="24"/>
        </w:rPr>
        <w:t>Takahashi K</w:t>
      </w:r>
      <w:r w:rsidRPr="008F0A77">
        <w:rPr>
          <w:rFonts w:ascii="Book Antiqua" w:hAnsi="Book Antiqua" w:cs="宋体"/>
          <w:sz w:val="24"/>
          <w:szCs w:val="24"/>
        </w:rPr>
        <w:t>, Hirose K, Kawashima S, Niwa Y, Wakashin H, Iwata A, Tokoyoda K, Renauld JC, Iwamoto I, Nakayama T, Nakajima H. IL-22 attenuates IL-25 production by lung epithelial cells and inhibits antigen-induced eosinophilic airway inflammation. </w:t>
      </w:r>
      <w:r w:rsidRPr="008F0A77">
        <w:rPr>
          <w:rFonts w:ascii="Book Antiqua" w:hAnsi="Book Antiqua" w:cs="宋体"/>
          <w:i/>
          <w:iCs/>
          <w:sz w:val="24"/>
          <w:szCs w:val="24"/>
        </w:rPr>
        <w:t>J Allergy Clin Immunol</w:t>
      </w:r>
      <w:r w:rsidRPr="008F0A77">
        <w:rPr>
          <w:rFonts w:ascii="Book Antiqua" w:hAnsi="Book Antiqua" w:cs="宋体"/>
          <w:sz w:val="24"/>
          <w:szCs w:val="24"/>
        </w:rPr>
        <w:t> 2011; </w:t>
      </w:r>
      <w:r w:rsidRPr="008F0A77">
        <w:rPr>
          <w:rFonts w:ascii="Book Antiqua" w:hAnsi="Book Antiqua" w:cs="宋体"/>
          <w:b/>
          <w:bCs/>
          <w:sz w:val="24"/>
          <w:szCs w:val="24"/>
        </w:rPr>
        <w:t>128</w:t>
      </w:r>
      <w:r w:rsidRPr="008F0A77">
        <w:rPr>
          <w:rFonts w:ascii="Book Antiqua" w:hAnsi="Book Antiqua" w:cs="宋体"/>
          <w:sz w:val="24"/>
          <w:szCs w:val="24"/>
        </w:rPr>
        <w:t>: 1067-76.e1-6 [PMID: 21794904 DOI: 10.1016/j.jaci.2011.06.018]</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39 </w:t>
      </w:r>
      <w:r w:rsidRPr="008F0A77">
        <w:rPr>
          <w:rFonts w:ascii="Book Antiqua" w:hAnsi="Book Antiqua" w:cs="宋体"/>
          <w:b/>
          <w:bCs/>
          <w:sz w:val="24"/>
          <w:szCs w:val="24"/>
        </w:rPr>
        <w:t>Taube C</w:t>
      </w:r>
      <w:r w:rsidRPr="008F0A77">
        <w:rPr>
          <w:rFonts w:ascii="Book Antiqua" w:hAnsi="Book Antiqua" w:cs="宋体"/>
          <w:sz w:val="24"/>
          <w:szCs w:val="24"/>
        </w:rPr>
        <w:t>, Tertilt C, Gyülveszi G, Dehzad N, Kreymborg K, Schneeweiss K, Michel E, Reuter S, Renauld JC, Arnold-Schild D, Schild H, Buhl R, Becher B. IL-22 is produced by innate lymphoid cells and limits inflammation in allergic airway disease. </w:t>
      </w:r>
      <w:r w:rsidRPr="008F0A77">
        <w:rPr>
          <w:rFonts w:ascii="Book Antiqua" w:hAnsi="Book Antiqua" w:cs="宋体"/>
          <w:i/>
          <w:iCs/>
          <w:sz w:val="24"/>
          <w:szCs w:val="24"/>
        </w:rPr>
        <w:t>PLoS One</w:t>
      </w:r>
      <w:r w:rsidRPr="008F0A77">
        <w:rPr>
          <w:rFonts w:ascii="Book Antiqua" w:hAnsi="Book Antiqua" w:cs="宋体"/>
          <w:sz w:val="24"/>
          <w:szCs w:val="24"/>
        </w:rPr>
        <w:t> 2011; </w:t>
      </w:r>
      <w:r w:rsidRPr="008F0A77">
        <w:rPr>
          <w:rFonts w:ascii="Book Antiqua" w:hAnsi="Book Antiqua" w:cs="宋体"/>
          <w:b/>
          <w:bCs/>
          <w:sz w:val="24"/>
          <w:szCs w:val="24"/>
        </w:rPr>
        <w:t>6</w:t>
      </w:r>
      <w:r w:rsidRPr="008F0A77">
        <w:rPr>
          <w:rFonts w:ascii="Book Antiqua" w:hAnsi="Book Antiqua" w:cs="宋体"/>
          <w:sz w:val="24"/>
          <w:szCs w:val="24"/>
        </w:rPr>
        <w:t>: e21799 [PMID: 21789181 DOI: 10.1371/journal.pone.0021799]</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40 </w:t>
      </w:r>
      <w:r w:rsidRPr="008F0A77">
        <w:rPr>
          <w:rFonts w:ascii="Book Antiqua" w:hAnsi="Book Antiqua" w:cs="宋体"/>
          <w:b/>
          <w:bCs/>
          <w:sz w:val="24"/>
          <w:szCs w:val="24"/>
        </w:rPr>
        <w:t>Simonian PL</w:t>
      </w:r>
      <w:r w:rsidRPr="008F0A77">
        <w:rPr>
          <w:rFonts w:ascii="Book Antiqua" w:hAnsi="Book Antiqua" w:cs="宋体"/>
          <w:sz w:val="24"/>
          <w:szCs w:val="24"/>
        </w:rPr>
        <w:t xml:space="preserve">, Wehrmann F, Roark CL, Born WK, O'Brien RL, Fontenot AP. γδ T cells protect against lung fibrosis </w:t>
      </w:r>
      <w:r w:rsidRPr="008F0A77">
        <w:rPr>
          <w:rFonts w:ascii="Book Antiqua" w:hAnsi="Book Antiqua" w:cs="宋体"/>
          <w:i/>
          <w:sz w:val="24"/>
          <w:szCs w:val="24"/>
        </w:rPr>
        <w:t xml:space="preserve">via </w:t>
      </w:r>
      <w:r w:rsidRPr="008F0A77">
        <w:rPr>
          <w:rFonts w:ascii="Book Antiqua" w:hAnsi="Book Antiqua" w:cs="宋体"/>
          <w:sz w:val="24"/>
          <w:szCs w:val="24"/>
        </w:rPr>
        <w:t>IL-22. </w:t>
      </w:r>
      <w:r w:rsidRPr="008F0A77">
        <w:rPr>
          <w:rFonts w:ascii="Book Antiqua" w:hAnsi="Book Antiqua" w:cs="宋体"/>
          <w:i/>
          <w:iCs/>
          <w:sz w:val="24"/>
          <w:szCs w:val="24"/>
        </w:rPr>
        <w:t>J Exp Med</w:t>
      </w:r>
      <w:r w:rsidRPr="008F0A77">
        <w:rPr>
          <w:rFonts w:ascii="Book Antiqua" w:hAnsi="Book Antiqua" w:cs="宋体"/>
          <w:sz w:val="24"/>
          <w:szCs w:val="24"/>
        </w:rPr>
        <w:t> 2010; </w:t>
      </w:r>
      <w:r w:rsidRPr="008F0A77">
        <w:rPr>
          <w:rFonts w:ascii="Book Antiqua" w:hAnsi="Book Antiqua" w:cs="宋体"/>
          <w:b/>
          <w:bCs/>
          <w:sz w:val="24"/>
          <w:szCs w:val="24"/>
        </w:rPr>
        <w:t>207</w:t>
      </w:r>
      <w:r w:rsidRPr="008F0A77">
        <w:rPr>
          <w:rFonts w:ascii="Book Antiqua" w:hAnsi="Book Antiqua" w:cs="宋体"/>
          <w:sz w:val="24"/>
          <w:szCs w:val="24"/>
        </w:rPr>
        <w:t>: 2239-2253 [PMID: 20855496 DOI: 10.1084/jem.20100061]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41 </w:t>
      </w:r>
      <w:r w:rsidRPr="008F0A77">
        <w:rPr>
          <w:rFonts w:ascii="Book Antiqua" w:hAnsi="Book Antiqua" w:cs="宋体"/>
          <w:b/>
          <w:bCs/>
          <w:sz w:val="24"/>
          <w:szCs w:val="24"/>
        </w:rPr>
        <w:t>Ma HL</w:t>
      </w:r>
      <w:r w:rsidRPr="008F0A77">
        <w:rPr>
          <w:rFonts w:ascii="Book Antiqua" w:hAnsi="Book Antiqua" w:cs="宋体"/>
          <w:sz w:val="24"/>
          <w:szCs w:val="24"/>
        </w:rPr>
        <w:t>, Liang S, Li J, Napierata L, Brown T, Benoit S, Senices M, Gill D, Dunussi-Joannopoulos K, Collins M, Nickerson-Nutter C, Fouser LA, Young DA. IL-22 is required for Th17 cell-mediated pathology in a mouse model of psoriasis-like skin inflammation. </w:t>
      </w:r>
      <w:r w:rsidRPr="008F0A77">
        <w:rPr>
          <w:rFonts w:ascii="Book Antiqua" w:hAnsi="Book Antiqua" w:cs="宋体"/>
          <w:i/>
          <w:iCs/>
          <w:sz w:val="24"/>
          <w:szCs w:val="24"/>
        </w:rPr>
        <w:t>J Clin Invest</w:t>
      </w:r>
      <w:r w:rsidRPr="008F0A77">
        <w:rPr>
          <w:rFonts w:ascii="Book Antiqua" w:hAnsi="Book Antiqua" w:cs="宋体"/>
          <w:sz w:val="24"/>
          <w:szCs w:val="24"/>
        </w:rPr>
        <w:t> 2008; </w:t>
      </w:r>
      <w:r w:rsidRPr="008F0A77">
        <w:rPr>
          <w:rFonts w:ascii="Book Antiqua" w:hAnsi="Book Antiqua" w:cs="宋体"/>
          <w:b/>
          <w:bCs/>
          <w:sz w:val="24"/>
          <w:szCs w:val="24"/>
        </w:rPr>
        <w:t>118</w:t>
      </w:r>
      <w:r w:rsidRPr="008F0A77">
        <w:rPr>
          <w:rFonts w:ascii="Book Antiqua" w:hAnsi="Book Antiqua" w:cs="宋体"/>
          <w:sz w:val="24"/>
          <w:szCs w:val="24"/>
        </w:rPr>
        <w:t>: 597-607 [PMID: 18202747 DOI: 10.1172/JCI33263]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42 </w:t>
      </w:r>
      <w:r w:rsidRPr="008F0A77">
        <w:rPr>
          <w:rFonts w:ascii="Book Antiqua" w:hAnsi="Book Antiqua" w:cs="宋体"/>
          <w:b/>
          <w:bCs/>
          <w:sz w:val="24"/>
          <w:szCs w:val="24"/>
        </w:rPr>
        <w:t>Wolk K</w:t>
      </w:r>
      <w:r w:rsidRPr="008F0A77">
        <w:rPr>
          <w:rFonts w:ascii="Book Antiqua" w:hAnsi="Book Antiqua" w:cs="宋体"/>
          <w:sz w:val="24"/>
          <w:szCs w:val="24"/>
        </w:rPr>
        <w:t>, Witte E, Wallace E, Döcke WD, Kunz S, Asadullah K, Volk HD, Sterry W, Sabat R. IL-22 regulates the expression of genes responsible for antimicrobial defense, cellular differentiation, and mobility in keratinocytes: a potential role in psoriasis. </w:t>
      </w:r>
      <w:r w:rsidRPr="008F0A77">
        <w:rPr>
          <w:rFonts w:ascii="Book Antiqua" w:hAnsi="Book Antiqua" w:cs="宋体"/>
          <w:i/>
          <w:iCs/>
          <w:sz w:val="24"/>
          <w:szCs w:val="24"/>
        </w:rPr>
        <w:t>Eur J Immunol</w:t>
      </w:r>
      <w:r w:rsidRPr="008F0A77">
        <w:rPr>
          <w:rFonts w:ascii="Book Antiqua" w:hAnsi="Book Antiqua" w:cs="宋体"/>
          <w:sz w:val="24"/>
          <w:szCs w:val="24"/>
        </w:rPr>
        <w:t> 2006; </w:t>
      </w:r>
      <w:r w:rsidRPr="008F0A77">
        <w:rPr>
          <w:rFonts w:ascii="Book Antiqua" w:hAnsi="Book Antiqua" w:cs="宋体"/>
          <w:b/>
          <w:bCs/>
          <w:sz w:val="24"/>
          <w:szCs w:val="24"/>
        </w:rPr>
        <w:t>36</w:t>
      </w:r>
      <w:r w:rsidRPr="008F0A77">
        <w:rPr>
          <w:rFonts w:ascii="Book Antiqua" w:hAnsi="Book Antiqua" w:cs="宋体"/>
          <w:sz w:val="24"/>
          <w:szCs w:val="24"/>
        </w:rPr>
        <w:t>: 1309-1323 [PMID: 16619290]</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43 </w:t>
      </w:r>
      <w:r w:rsidRPr="008F0A77">
        <w:rPr>
          <w:rFonts w:ascii="Book Antiqua" w:hAnsi="Book Antiqua" w:cs="宋体"/>
          <w:b/>
          <w:bCs/>
          <w:sz w:val="24"/>
          <w:szCs w:val="24"/>
        </w:rPr>
        <w:t>Boniface K</w:t>
      </w:r>
      <w:r w:rsidRPr="008F0A77">
        <w:rPr>
          <w:rFonts w:ascii="Book Antiqua" w:hAnsi="Book Antiqua" w:cs="宋体"/>
          <w:sz w:val="24"/>
          <w:szCs w:val="24"/>
        </w:rPr>
        <w:t>, Guignouard E, Pedretti N, Garcia M, Delwail A, Bernard FX, Nau F, Guillet G, Dagregorio G, Yssel H, Lecron JC, Morel F. A role for T cell-derived interleukin 22 in psoriatic skin inflammation. </w:t>
      </w:r>
      <w:r w:rsidRPr="008F0A77">
        <w:rPr>
          <w:rFonts w:ascii="Book Antiqua" w:hAnsi="Book Antiqua" w:cs="宋体"/>
          <w:i/>
          <w:iCs/>
          <w:sz w:val="24"/>
          <w:szCs w:val="24"/>
        </w:rPr>
        <w:t>Clin Exp Immunol</w:t>
      </w:r>
      <w:r w:rsidRPr="008F0A77">
        <w:rPr>
          <w:rFonts w:ascii="Book Antiqua" w:hAnsi="Book Antiqua" w:cs="宋体"/>
          <w:sz w:val="24"/>
          <w:szCs w:val="24"/>
        </w:rPr>
        <w:t> 2007; </w:t>
      </w:r>
      <w:r w:rsidRPr="008F0A77">
        <w:rPr>
          <w:rFonts w:ascii="Book Antiqua" w:hAnsi="Book Antiqua" w:cs="宋体"/>
          <w:b/>
          <w:bCs/>
          <w:sz w:val="24"/>
          <w:szCs w:val="24"/>
        </w:rPr>
        <w:t>150</w:t>
      </w:r>
      <w:r w:rsidRPr="008F0A77">
        <w:rPr>
          <w:rFonts w:ascii="Book Antiqua" w:hAnsi="Book Antiqua" w:cs="宋体"/>
          <w:sz w:val="24"/>
          <w:szCs w:val="24"/>
        </w:rPr>
        <w:t>: 407-415 [PMID: 17900301]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44 </w:t>
      </w:r>
      <w:r w:rsidRPr="008F0A77">
        <w:rPr>
          <w:rFonts w:ascii="Book Antiqua" w:hAnsi="Book Antiqua" w:cs="宋体"/>
          <w:b/>
          <w:bCs/>
          <w:sz w:val="24"/>
          <w:szCs w:val="24"/>
        </w:rPr>
        <w:t>Nakajima H</w:t>
      </w:r>
      <w:r w:rsidRPr="008F0A77">
        <w:rPr>
          <w:rFonts w:ascii="Book Antiqua" w:hAnsi="Book Antiqua" w:cs="宋体"/>
          <w:sz w:val="24"/>
          <w:szCs w:val="24"/>
        </w:rPr>
        <w:t>, Nakajima K, Tarutani M, Morishige R, Sano S. Kinetics of circulating Th17 cytokines and adipokines in psoriasis patients. </w:t>
      </w:r>
      <w:r w:rsidRPr="008F0A77">
        <w:rPr>
          <w:rFonts w:ascii="Book Antiqua" w:hAnsi="Book Antiqua" w:cs="宋体"/>
          <w:i/>
          <w:iCs/>
          <w:sz w:val="24"/>
          <w:szCs w:val="24"/>
        </w:rPr>
        <w:t>Arch Dermatol Res</w:t>
      </w:r>
      <w:r w:rsidRPr="008F0A77">
        <w:rPr>
          <w:rFonts w:ascii="Book Antiqua" w:hAnsi="Book Antiqua" w:cs="宋体"/>
          <w:sz w:val="24"/>
          <w:szCs w:val="24"/>
        </w:rPr>
        <w:t> 2011; </w:t>
      </w:r>
      <w:r w:rsidRPr="008F0A77">
        <w:rPr>
          <w:rFonts w:ascii="Book Antiqua" w:hAnsi="Book Antiqua" w:cs="宋体"/>
          <w:b/>
          <w:bCs/>
          <w:sz w:val="24"/>
          <w:szCs w:val="24"/>
        </w:rPr>
        <w:t>303</w:t>
      </w:r>
      <w:r w:rsidRPr="008F0A77">
        <w:rPr>
          <w:rFonts w:ascii="Book Antiqua" w:hAnsi="Book Antiqua" w:cs="宋体"/>
          <w:sz w:val="24"/>
          <w:szCs w:val="24"/>
        </w:rPr>
        <w:t>: 451-455 [PMID: 21681565 DOI: 10.1007/s00403-011-1159-3]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lastRenderedPageBreak/>
        <w:t>45 </w:t>
      </w:r>
      <w:r w:rsidRPr="008F0A77">
        <w:rPr>
          <w:rFonts w:ascii="Book Antiqua" w:hAnsi="Book Antiqua" w:cs="宋体"/>
          <w:b/>
          <w:bCs/>
          <w:sz w:val="24"/>
          <w:szCs w:val="24"/>
        </w:rPr>
        <w:t>Cheuk S</w:t>
      </w:r>
      <w:r w:rsidRPr="008F0A77">
        <w:rPr>
          <w:rFonts w:ascii="Book Antiqua" w:hAnsi="Book Antiqua" w:cs="宋体"/>
          <w:sz w:val="24"/>
          <w:szCs w:val="24"/>
        </w:rPr>
        <w:t>, Wikén M, Blomqvist L, Nylén S, Talme T, Ståhle M, Eidsmo L. Epidermal Th22 and Tc17 cells form a localized disease memory in clinically healed psoriasis. </w:t>
      </w:r>
      <w:r w:rsidRPr="008F0A77">
        <w:rPr>
          <w:rFonts w:ascii="Book Antiqua" w:hAnsi="Book Antiqua" w:cs="宋体"/>
          <w:i/>
          <w:iCs/>
          <w:sz w:val="24"/>
          <w:szCs w:val="24"/>
        </w:rPr>
        <w:t>J Immunol</w:t>
      </w:r>
      <w:r w:rsidRPr="008F0A77">
        <w:rPr>
          <w:rFonts w:ascii="Book Antiqua" w:hAnsi="Book Antiqua" w:cs="宋体"/>
          <w:sz w:val="24"/>
          <w:szCs w:val="24"/>
        </w:rPr>
        <w:t> 2014; </w:t>
      </w:r>
      <w:r w:rsidRPr="008F0A77">
        <w:rPr>
          <w:rFonts w:ascii="Book Antiqua" w:hAnsi="Book Antiqua" w:cs="宋体"/>
          <w:b/>
          <w:bCs/>
          <w:sz w:val="24"/>
          <w:szCs w:val="24"/>
        </w:rPr>
        <w:t>192</w:t>
      </w:r>
      <w:r w:rsidRPr="008F0A77">
        <w:rPr>
          <w:rFonts w:ascii="Book Antiqua" w:hAnsi="Book Antiqua" w:cs="宋体"/>
          <w:sz w:val="24"/>
          <w:szCs w:val="24"/>
        </w:rPr>
        <w:t>: 3111-3120 [PMID: 24610014 DOI: 10.4049/jimmunol.1302313]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46 </w:t>
      </w:r>
      <w:r w:rsidRPr="008F0A77">
        <w:rPr>
          <w:rFonts w:ascii="Book Antiqua" w:hAnsi="Book Antiqua" w:cs="宋体"/>
          <w:b/>
          <w:bCs/>
          <w:sz w:val="24"/>
          <w:szCs w:val="24"/>
        </w:rPr>
        <w:t>Ikeuchi H</w:t>
      </w:r>
      <w:r w:rsidRPr="008F0A77">
        <w:rPr>
          <w:rFonts w:ascii="Book Antiqua" w:hAnsi="Book Antiqua" w:cs="宋体"/>
          <w:sz w:val="24"/>
          <w:szCs w:val="24"/>
        </w:rPr>
        <w:t>, Kuroiwa T, Hiramatsu N, Kaneko Y, Hiromura K, Ueki K, Nojima Y. Expression of interleukin-22 in rheumatoid arthritis: potential role as a proinflammatory cytokine. </w:t>
      </w:r>
      <w:r w:rsidRPr="008F0A77">
        <w:rPr>
          <w:rFonts w:ascii="Book Antiqua" w:hAnsi="Book Antiqua" w:cs="宋体"/>
          <w:i/>
          <w:iCs/>
          <w:sz w:val="24"/>
          <w:szCs w:val="24"/>
        </w:rPr>
        <w:t>Arthritis Rheum</w:t>
      </w:r>
      <w:r w:rsidRPr="008F0A77">
        <w:rPr>
          <w:rFonts w:ascii="Book Antiqua" w:hAnsi="Book Antiqua" w:cs="宋体"/>
          <w:sz w:val="24"/>
          <w:szCs w:val="24"/>
        </w:rPr>
        <w:t> 2005; </w:t>
      </w:r>
      <w:r w:rsidRPr="008F0A77">
        <w:rPr>
          <w:rFonts w:ascii="Book Antiqua" w:hAnsi="Book Antiqua" w:cs="宋体"/>
          <w:b/>
          <w:bCs/>
          <w:sz w:val="24"/>
          <w:szCs w:val="24"/>
        </w:rPr>
        <w:t>52</w:t>
      </w:r>
      <w:r w:rsidRPr="008F0A77">
        <w:rPr>
          <w:rFonts w:ascii="Book Antiqua" w:hAnsi="Book Antiqua" w:cs="宋体"/>
          <w:sz w:val="24"/>
          <w:szCs w:val="24"/>
        </w:rPr>
        <w:t>: 1037-1046 [PMID: 15818686]</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47 </w:t>
      </w:r>
      <w:r w:rsidRPr="008F0A77">
        <w:rPr>
          <w:rFonts w:ascii="Book Antiqua" w:hAnsi="Book Antiqua" w:cs="宋体"/>
          <w:b/>
          <w:bCs/>
          <w:sz w:val="24"/>
          <w:szCs w:val="24"/>
        </w:rPr>
        <w:t>Leipe J</w:t>
      </w:r>
      <w:r w:rsidRPr="008F0A77">
        <w:rPr>
          <w:rFonts w:ascii="Book Antiqua" w:hAnsi="Book Antiqua" w:cs="宋体"/>
          <w:sz w:val="24"/>
          <w:szCs w:val="24"/>
        </w:rPr>
        <w:t>, Schramm MA, Grunke M, Baeuerle M, Dechant C, Nigg AP, Witt MN, Vielhauer V, Reindl CS, Schulze-Koops H, Skapenko A. Interleukin 22 serum levels are associated with radiographic progression in rheumatoid arthritis. </w:t>
      </w:r>
      <w:r w:rsidRPr="008F0A77">
        <w:rPr>
          <w:rFonts w:ascii="Book Antiqua" w:hAnsi="Book Antiqua" w:cs="宋体"/>
          <w:i/>
          <w:iCs/>
          <w:sz w:val="24"/>
          <w:szCs w:val="24"/>
        </w:rPr>
        <w:t>Ann Rheum Dis</w:t>
      </w:r>
      <w:r w:rsidRPr="008F0A77">
        <w:rPr>
          <w:rFonts w:ascii="Book Antiqua" w:hAnsi="Book Antiqua" w:cs="宋体"/>
          <w:sz w:val="24"/>
          <w:szCs w:val="24"/>
        </w:rPr>
        <w:t> 2011; </w:t>
      </w:r>
      <w:r w:rsidRPr="008F0A77">
        <w:rPr>
          <w:rFonts w:ascii="Book Antiqua" w:hAnsi="Book Antiqua" w:cs="宋体"/>
          <w:b/>
          <w:bCs/>
          <w:sz w:val="24"/>
          <w:szCs w:val="24"/>
        </w:rPr>
        <w:t>70</w:t>
      </w:r>
      <w:r w:rsidRPr="008F0A77">
        <w:rPr>
          <w:rFonts w:ascii="Book Antiqua" w:hAnsi="Book Antiqua" w:cs="宋体"/>
          <w:sz w:val="24"/>
          <w:szCs w:val="24"/>
        </w:rPr>
        <w:t>: 1453-1457 [PMID: 21593004 DOI: 10.1136/ard.2011.152074]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48 </w:t>
      </w:r>
      <w:r w:rsidRPr="008F0A77">
        <w:rPr>
          <w:rFonts w:ascii="Book Antiqua" w:hAnsi="Book Antiqua" w:cs="宋体"/>
          <w:b/>
          <w:bCs/>
          <w:sz w:val="24"/>
          <w:szCs w:val="24"/>
        </w:rPr>
        <w:t>Carrión M</w:t>
      </w:r>
      <w:r w:rsidRPr="008F0A77">
        <w:rPr>
          <w:rFonts w:ascii="Book Antiqua" w:hAnsi="Book Antiqua" w:cs="宋体"/>
          <w:sz w:val="24"/>
          <w:szCs w:val="24"/>
        </w:rPr>
        <w:t>, Juarranz Y, Martínez C, González-Álvaro I, Pablos JL, Gutiérrez-Cañas I, Gomariz RP. IL-22/IL-22R1 axis and S100A8/A9 alarmins in human osteoarthritic and rheumatoid arthritis synovial fibroblasts. </w:t>
      </w:r>
      <w:r w:rsidRPr="008F0A77">
        <w:rPr>
          <w:rFonts w:ascii="Book Antiqua" w:hAnsi="Book Antiqua" w:cs="宋体"/>
          <w:i/>
          <w:iCs/>
          <w:sz w:val="24"/>
          <w:szCs w:val="24"/>
        </w:rPr>
        <w:t xml:space="preserve">Rheumatology </w:t>
      </w:r>
      <w:r w:rsidRPr="008F0A77">
        <w:rPr>
          <w:rFonts w:ascii="Book Antiqua" w:hAnsi="Book Antiqua" w:cs="宋体"/>
          <w:iCs/>
          <w:sz w:val="24"/>
          <w:szCs w:val="24"/>
        </w:rPr>
        <w:t>(Oxford)</w:t>
      </w:r>
      <w:r w:rsidRPr="008F0A77">
        <w:rPr>
          <w:rFonts w:ascii="Book Antiqua" w:hAnsi="Book Antiqua" w:cs="宋体"/>
          <w:sz w:val="24"/>
          <w:szCs w:val="24"/>
        </w:rPr>
        <w:t> 2013; </w:t>
      </w:r>
      <w:r w:rsidRPr="008F0A77">
        <w:rPr>
          <w:rFonts w:ascii="Book Antiqua" w:hAnsi="Book Antiqua" w:cs="宋体"/>
          <w:b/>
          <w:bCs/>
          <w:sz w:val="24"/>
          <w:szCs w:val="24"/>
        </w:rPr>
        <w:t>52</w:t>
      </w:r>
      <w:r w:rsidRPr="008F0A77">
        <w:rPr>
          <w:rFonts w:ascii="Book Antiqua" w:hAnsi="Book Antiqua" w:cs="宋体"/>
          <w:sz w:val="24"/>
          <w:szCs w:val="24"/>
        </w:rPr>
        <w:t>: 2177-2186 [PMID: 24056519 DOI: 10.1093/rheumatology/ket315]</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49 </w:t>
      </w:r>
      <w:r w:rsidRPr="008F0A77">
        <w:rPr>
          <w:rFonts w:ascii="Book Antiqua" w:hAnsi="Book Antiqua" w:cs="宋体"/>
          <w:b/>
          <w:bCs/>
          <w:sz w:val="24"/>
          <w:szCs w:val="24"/>
        </w:rPr>
        <w:t>Carrión M</w:t>
      </w:r>
      <w:r w:rsidRPr="008F0A77">
        <w:rPr>
          <w:rFonts w:ascii="Book Antiqua" w:hAnsi="Book Antiqua" w:cs="宋体"/>
          <w:sz w:val="24"/>
          <w:szCs w:val="24"/>
        </w:rPr>
        <w:t>, Juarranz Y, Seoane IV, Martínez C, González-Álvaro I, Pablos JL, Gutiérrez-Cañas I, Gomariz RP. VIP modulates IL-22R1 expression and prevents the contribution of rheumatoid synovial fibroblasts to IL-22-mediated joint destruction. </w:t>
      </w:r>
      <w:r w:rsidRPr="008F0A77">
        <w:rPr>
          <w:rFonts w:ascii="Book Antiqua" w:hAnsi="Book Antiqua" w:cs="宋体"/>
          <w:i/>
          <w:iCs/>
          <w:sz w:val="24"/>
          <w:szCs w:val="24"/>
        </w:rPr>
        <w:t>J Mol Neurosci</w:t>
      </w:r>
      <w:r w:rsidRPr="008F0A77">
        <w:rPr>
          <w:rFonts w:ascii="Book Antiqua" w:hAnsi="Book Antiqua" w:cs="宋体"/>
          <w:sz w:val="24"/>
          <w:szCs w:val="24"/>
        </w:rPr>
        <w:t> 2014; </w:t>
      </w:r>
      <w:r w:rsidRPr="008F0A77">
        <w:rPr>
          <w:rFonts w:ascii="Book Antiqua" w:hAnsi="Book Antiqua" w:cs="宋体"/>
          <w:b/>
          <w:bCs/>
          <w:sz w:val="24"/>
          <w:szCs w:val="24"/>
        </w:rPr>
        <w:t>52</w:t>
      </w:r>
      <w:r w:rsidRPr="008F0A77">
        <w:rPr>
          <w:rFonts w:ascii="Book Antiqua" w:hAnsi="Book Antiqua" w:cs="宋体"/>
          <w:sz w:val="24"/>
          <w:szCs w:val="24"/>
        </w:rPr>
        <w:t>: 10-17 [PMID: 24254222 DOI: 10.1007/s12031-013-0177-3]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50 </w:t>
      </w:r>
      <w:r w:rsidRPr="008F0A77">
        <w:rPr>
          <w:rFonts w:ascii="Book Antiqua" w:hAnsi="Book Antiqua" w:cs="宋体"/>
          <w:b/>
          <w:bCs/>
          <w:sz w:val="24"/>
          <w:szCs w:val="24"/>
        </w:rPr>
        <w:t>Lejeune D</w:t>
      </w:r>
      <w:r w:rsidRPr="008F0A77">
        <w:rPr>
          <w:rFonts w:ascii="Book Antiqua" w:hAnsi="Book Antiqua" w:cs="宋体"/>
          <w:sz w:val="24"/>
          <w:szCs w:val="24"/>
        </w:rPr>
        <w:t>, Dumoutier L, Constantinescu S, Kruijer W, Schuringa JJ, Renauld JC. Interleukin-22 (IL-22) activates the JAK/STAT, ERK, JNK, and p38 MAP kinase pathways in a rat hepatoma cell line. Pathways that are shared with and distinct from IL-10. </w:t>
      </w:r>
      <w:r w:rsidRPr="008F0A77">
        <w:rPr>
          <w:rFonts w:ascii="Book Antiqua" w:hAnsi="Book Antiqua" w:cs="宋体"/>
          <w:i/>
          <w:iCs/>
          <w:sz w:val="24"/>
          <w:szCs w:val="24"/>
        </w:rPr>
        <w:t>J Biol Chem</w:t>
      </w:r>
      <w:r w:rsidRPr="008F0A77">
        <w:rPr>
          <w:rFonts w:ascii="Book Antiqua" w:hAnsi="Book Antiqua" w:cs="宋体"/>
          <w:sz w:val="24"/>
          <w:szCs w:val="24"/>
        </w:rPr>
        <w:t> 2002; </w:t>
      </w:r>
      <w:r w:rsidRPr="008F0A77">
        <w:rPr>
          <w:rFonts w:ascii="Book Antiqua" w:hAnsi="Book Antiqua" w:cs="宋体"/>
          <w:b/>
          <w:bCs/>
          <w:sz w:val="24"/>
          <w:szCs w:val="24"/>
        </w:rPr>
        <w:t>277</w:t>
      </w:r>
      <w:r w:rsidRPr="008F0A77">
        <w:rPr>
          <w:rFonts w:ascii="Book Antiqua" w:hAnsi="Book Antiqua" w:cs="宋体"/>
          <w:sz w:val="24"/>
          <w:szCs w:val="24"/>
        </w:rPr>
        <w:t>: 33676-33682 [PMID: 12087100]</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51 </w:t>
      </w:r>
      <w:r w:rsidRPr="008F0A77">
        <w:rPr>
          <w:rFonts w:ascii="Book Antiqua" w:hAnsi="Book Antiqua" w:cs="宋体"/>
          <w:b/>
          <w:bCs/>
          <w:sz w:val="24"/>
          <w:szCs w:val="24"/>
        </w:rPr>
        <w:t>Xu H</w:t>
      </w:r>
      <w:r w:rsidRPr="008F0A77">
        <w:rPr>
          <w:rFonts w:ascii="Book Antiqua" w:hAnsi="Book Antiqua" w:cs="宋体"/>
          <w:sz w:val="24"/>
          <w:szCs w:val="24"/>
        </w:rPr>
        <w:t>, Wang X, Liu DX, Moroney-Rasmussen T, Lackner AA, Veazey RS. IL-17-producing innate lymphoid cells are restricted to mucosal tissues and are depleted in SIV-infected macaques. </w:t>
      </w:r>
      <w:r w:rsidRPr="008F0A77">
        <w:rPr>
          <w:rFonts w:ascii="Book Antiqua" w:hAnsi="Book Antiqua" w:cs="宋体"/>
          <w:i/>
          <w:iCs/>
          <w:sz w:val="24"/>
          <w:szCs w:val="24"/>
        </w:rPr>
        <w:t>Mucosal Immunol</w:t>
      </w:r>
      <w:r w:rsidRPr="008F0A77">
        <w:rPr>
          <w:rFonts w:ascii="Book Antiqua" w:hAnsi="Book Antiqua" w:cs="宋体"/>
          <w:sz w:val="24"/>
          <w:szCs w:val="24"/>
        </w:rPr>
        <w:t> 2012; </w:t>
      </w:r>
      <w:r w:rsidRPr="008F0A77">
        <w:rPr>
          <w:rFonts w:ascii="Book Antiqua" w:hAnsi="Book Antiqua" w:cs="宋体"/>
          <w:b/>
          <w:bCs/>
          <w:sz w:val="24"/>
          <w:szCs w:val="24"/>
        </w:rPr>
        <w:t>5</w:t>
      </w:r>
      <w:r w:rsidRPr="008F0A77">
        <w:rPr>
          <w:rFonts w:ascii="Book Antiqua" w:hAnsi="Book Antiqua" w:cs="宋体"/>
          <w:sz w:val="24"/>
          <w:szCs w:val="24"/>
        </w:rPr>
        <w:t>: 658-669 [PMID: 22669579 DOI: 10.1038/mi.2012.39]</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52 </w:t>
      </w:r>
      <w:r w:rsidRPr="008F0A77">
        <w:rPr>
          <w:rFonts w:ascii="Book Antiqua" w:hAnsi="Book Antiqua" w:cs="宋体"/>
          <w:b/>
          <w:bCs/>
          <w:sz w:val="24"/>
          <w:szCs w:val="24"/>
        </w:rPr>
        <w:t>Colonna M</w:t>
      </w:r>
      <w:r w:rsidRPr="008F0A77">
        <w:rPr>
          <w:rFonts w:ascii="Book Antiqua" w:hAnsi="Book Antiqua" w:cs="宋体"/>
          <w:sz w:val="24"/>
          <w:szCs w:val="24"/>
        </w:rPr>
        <w:t>. Interleukin-22-producing natural killer cells and lymphoid tissue inducer-like cells in mucosal immunity. </w:t>
      </w:r>
      <w:r w:rsidRPr="008F0A77">
        <w:rPr>
          <w:rFonts w:ascii="Book Antiqua" w:hAnsi="Book Antiqua" w:cs="宋体"/>
          <w:i/>
          <w:iCs/>
          <w:sz w:val="24"/>
          <w:szCs w:val="24"/>
        </w:rPr>
        <w:t>Immunity</w:t>
      </w:r>
      <w:r w:rsidRPr="008F0A77">
        <w:rPr>
          <w:rFonts w:ascii="Book Antiqua" w:hAnsi="Book Antiqua" w:cs="宋体"/>
          <w:sz w:val="24"/>
          <w:szCs w:val="24"/>
        </w:rPr>
        <w:t> 2009; </w:t>
      </w:r>
      <w:r w:rsidRPr="008F0A77">
        <w:rPr>
          <w:rFonts w:ascii="Book Antiqua" w:hAnsi="Book Antiqua" w:cs="宋体"/>
          <w:b/>
          <w:bCs/>
          <w:sz w:val="24"/>
          <w:szCs w:val="24"/>
        </w:rPr>
        <w:t>31</w:t>
      </w:r>
      <w:r w:rsidRPr="008F0A77">
        <w:rPr>
          <w:rFonts w:ascii="Book Antiqua" w:hAnsi="Book Antiqua" w:cs="宋体"/>
          <w:sz w:val="24"/>
          <w:szCs w:val="24"/>
        </w:rPr>
        <w:t>: 15-23 [PMID: 19604490 DOI: 10.1016/j.immuni.2009.06.008]</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lastRenderedPageBreak/>
        <w:t>53 </w:t>
      </w:r>
      <w:r w:rsidRPr="008F0A77">
        <w:rPr>
          <w:rFonts w:ascii="Book Antiqua" w:hAnsi="Book Antiqua" w:cs="宋体"/>
          <w:b/>
          <w:bCs/>
          <w:sz w:val="24"/>
          <w:szCs w:val="24"/>
        </w:rPr>
        <w:t>Bulmer AC</w:t>
      </w:r>
      <w:r w:rsidRPr="008F0A77">
        <w:rPr>
          <w:rFonts w:ascii="Book Antiqua" w:hAnsi="Book Antiqua" w:cs="宋体"/>
          <w:sz w:val="24"/>
          <w:szCs w:val="24"/>
        </w:rPr>
        <w:t>, Coombes JS, Blanchfield JT, Toth I, Fassett RG, Taylor SM. Bile pigment pharmacokinetics and absorption in the rat: therapeutic potential for enteral administration. </w:t>
      </w:r>
      <w:r w:rsidRPr="008F0A77">
        <w:rPr>
          <w:rFonts w:ascii="Book Antiqua" w:hAnsi="Book Antiqua" w:cs="宋体"/>
          <w:i/>
          <w:iCs/>
          <w:sz w:val="24"/>
          <w:szCs w:val="24"/>
        </w:rPr>
        <w:t>Br J Pharmacol</w:t>
      </w:r>
      <w:r w:rsidRPr="008F0A77">
        <w:rPr>
          <w:rFonts w:ascii="Book Antiqua" w:hAnsi="Book Antiqua" w:cs="宋体"/>
          <w:sz w:val="24"/>
          <w:szCs w:val="24"/>
        </w:rPr>
        <w:t> 2011; </w:t>
      </w:r>
      <w:r w:rsidRPr="008F0A77">
        <w:rPr>
          <w:rFonts w:ascii="Book Antiqua" w:hAnsi="Book Antiqua" w:cs="宋体"/>
          <w:b/>
          <w:bCs/>
          <w:sz w:val="24"/>
          <w:szCs w:val="24"/>
        </w:rPr>
        <w:t>164</w:t>
      </w:r>
      <w:r w:rsidRPr="008F0A77">
        <w:rPr>
          <w:rFonts w:ascii="Book Antiqua" w:hAnsi="Book Antiqua" w:cs="宋体"/>
          <w:sz w:val="24"/>
          <w:szCs w:val="24"/>
        </w:rPr>
        <w:t>: 1857-1870 [PMID: 21486273 DOI: 10.1111/j.1476-5381.2011.01413.x]</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54 </w:t>
      </w:r>
      <w:r w:rsidRPr="008F0A77">
        <w:rPr>
          <w:rFonts w:ascii="Book Antiqua" w:hAnsi="Book Antiqua" w:cs="宋体"/>
          <w:b/>
          <w:bCs/>
          <w:sz w:val="24"/>
          <w:szCs w:val="24"/>
        </w:rPr>
        <w:t>Lee JS</w:t>
      </w:r>
      <w:r w:rsidRPr="008F0A77">
        <w:rPr>
          <w:rFonts w:ascii="Book Antiqua" w:hAnsi="Book Antiqua" w:cs="宋体"/>
          <w:sz w:val="24"/>
          <w:szCs w:val="24"/>
        </w:rPr>
        <w:t xml:space="preserve">, Cella M, McDonald KG, Garlanda C, Kennedy GD, Nukaya M, Mantovani A, Kopan R, Bradfield CA, Newberry RD, Colonna M. AHR drives the development of gut ILC22 cells and postnatal lymphoid tissues </w:t>
      </w:r>
      <w:r w:rsidRPr="008F0A77">
        <w:rPr>
          <w:rFonts w:ascii="Book Antiqua" w:hAnsi="Book Antiqua" w:cs="宋体"/>
          <w:i/>
          <w:sz w:val="24"/>
          <w:szCs w:val="24"/>
        </w:rPr>
        <w:t xml:space="preserve">via </w:t>
      </w:r>
      <w:r w:rsidRPr="008F0A77">
        <w:rPr>
          <w:rFonts w:ascii="Book Antiqua" w:hAnsi="Book Antiqua" w:cs="宋体"/>
          <w:sz w:val="24"/>
          <w:szCs w:val="24"/>
        </w:rPr>
        <w:t>pathways dependent on and independent of Notch. </w:t>
      </w:r>
      <w:r w:rsidRPr="008F0A77">
        <w:rPr>
          <w:rFonts w:ascii="Book Antiqua" w:hAnsi="Book Antiqua" w:cs="宋体"/>
          <w:i/>
          <w:iCs/>
          <w:sz w:val="24"/>
          <w:szCs w:val="24"/>
        </w:rPr>
        <w:t>Nat Immunol</w:t>
      </w:r>
      <w:r w:rsidRPr="008F0A77">
        <w:rPr>
          <w:rFonts w:ascii="Book Antiqua" w:hAnsi="Book Antiqua" w:cs="宋体"/>
          <w:sz w:val="24"/>
          <w:szCs w:val="24"/>
        </w:rPr>
        <w:t> 2012; </w:t>
      </w:r>
      <w:r w:rsidRPr="008F0A77">
        <w:rPr>
          <w:rFonts w:ascii="Book Antiqua" w:hAnsi="Book Antiqua" w:cs="宋体"/>
          <w:b/>
          <w:bCs/>
          <w:sz w:val="24"/>
          <w:szCs w:val="24"/>
        </w:rPr>
        <w:t>13</w:t>
      </w:r>
      <w:r w:rsidRPr="008F0A77">
        <w:rPr>
          <w:rFonts w:ascii="Book Antiqua" w:hAnsi="Book Antiqua" w:cs="宋体"/>
          <w:sz w:val="24"/>
          <w:szCs w:val="24"/>
        </w:rPr>
        <w:t>: 144-151 [PMID: 22101730 DOI: 10.1038/ni.2187]</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55 </w:t>
      </w:r>
      <w:r w:rsidRPr="008F0A77">
        <w:rPr>
          <w:rFonts w:ascii="Book Antiqua" w:hAnsi="Book Antiqua" w:cs="宋体"/>
          <w:b/>
          <w:bCs/>
          <w:sz w:val="24"/>
          <w:szCs w:val="24"/>
        </w:rPr>
        <w:t>Sonnenberg GF</w:t>
      </w:r>
      <w:r w:rsidRPr="008F0A77">
        <w:rPr>
          <w:rFonts w:ascii="Book Antiqua" w:hAnsi="Book Antiqua" w:cs="宋体"/>
          <w:sz w:val="24"/>
          <w:szCs w:val="24"/>
        </w:rPr>
        <w:t>, Monticelli LA, Alenghat T, Fung TC, Hutnick NA, Kunisawa J, Shibata N, Grunberg S, Sinha R, Zahm AM, Tardif MR, Sathaliyawala T, Kubota M, Farber DL, Collman RG, Shaked A, Fouser LA, Weiner DB, Tessier PA, Friedman JR, Kiyono H, Bushman FD, Chang KM, Artis D. Innate lymphoid cells promote anatomical containment of lymphoid-resident commensal bacteria. </w:t>
      </w:r>
      <w:r w:rsidRPr="008F0A77">
        <w:rPr>
          <w:rFonts w:ascii="Book Antiqua" w:hAnsi="Book Antiqua" w:cs="宋体"/>
          <w:i/>
          <w:iCs/>
          <w:sz w:val="24"/>
          <w:szCs w:val="24"/>
        </w:rPr>
        <w:t>Science</w:t>
      </w:r>
      <w:r w:rsidRPr="008F0A77">
        <w:rPr>
          <w:rFonts w:ascii="Book Antiqua" w:hAnsi="Book Antiqua" w:cs="宋体"/>
          <w:sz w:val="24"/>
          <w:szCs w:val="24"/>
        </w:rPr>
        <w:t> 2012; </w:t>
      </w:r>
      <w:r w:rsidRPr="008F0A77">
        <w:rPr>
          <w:rFonts w:ascii="Book Antiqua" w:hAnsi="Book Antiqua" w:cs="宋体"/>
          <w:b/>
          <w:bCs/>
          <w:sz w:val="24"/>
          <w:szCs w:val="24"/>
        </w:rPr>
        <w:t>336</w:t>
      </w:r>
      <w:r w:rsidRPr="008F0A77">
        <w:rPr>
          <w:rFonts w:ascii="Book Antiqua" w:hAnsi="Book Antiqua" w:cs="宋体"/>
          <w:sz w:val="24"/>
          <w:szCs w:val="24"/>
        </w:rPr>
        <w:t>: 1321-1325 [PMID: 22674331 DOI: 10.1126/science.1222551]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56 </w:t>
      </w:r>
      <w:r w:rsidRPr="008F0A77">
        <w:rPr>
          <w:rFonts w:ascii="Book Antiqua" w:hAnsi="Book Antiqua" w:cs="宋体"/>
          <w:b/>
          <w:bCs/>
          <w:sz w:val="24"/>
          <w:szCs w:val="24"/>
        </w:rPr>
        <w:t>Tachiiri A</w:t>
      </w:r>
      <w:r w:rsidRPr="008F0A77">
        <w:rPr>
          <w:rFonts w:ascii="Book Antiqua" w:hAnsi="Book Antiqua" w:cs="宋体"/>
          <w:sz w:val="24"/>
          <w:szCs w:val="24"/>
        </w:rPr>
        <w:t>, Imamura R, Wang Y, Fukui M, Umemura M, Suda T. Genomic structure and inducible expression of the IL-22 receptor alpha chain in mice. </w:t>
      </w:r>
      <w:r w:rsidRPr="008F0A77">
        <w:rPr>
          <w:rFonts w:ascii="Book Antiqua" w:hAnsi="Book Antiqua" w:cs="宋体"/>
          <w:i/>
          <w:iCs/>
          <w:sz w:val="24"/>
          <w:szCs w:val="24"/>
        </w:rPr>
        <w:t>Genes Immun</w:t>
      </w:r>
      <w:r w:rsidRPr="008F0A77">
        <w:rPr>
          <w:rFonts w:ascii="Book Antiqua" w:hAnsi="Book Antiqua" w:cs="宋体"/>
          <w:sz w:val="24"/>
          <w:szCs w:val="24"/>
        </w:rPr>
        <w:t> 2003; </w:t>
      </w:r>
      <w:r w:rsidRPr="008F0A77">
        <w:rPr>
          <w:rFonts w:ascii="Book Antiqua" w:hAnsi="Book Antiqua" w:cs="宋体"/>
          <w:b/>
          <w:bCs/>
          <w:sz w:val="24"/>
          <w:szCs w:val="24"/>
        </w:rPr>
        <w:t>4</w:t>
      </w:r>
      <w:r w:rsidRPr="008F0A77">
        <w:rPr>
          <w:rFonts w:ascii="Book Antiqua" w:hAnsi="Book Antiqua" w:cs="宋体"/>
          <w:sz w:val="24"/>
          <w:szCs w:val="24"/>
        </w:rPr>
        <w:t>: 153-159 [PMID: 12618864]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57 </w:t>
      </w:r>
      <w:r w:rsidRPr="008F0A77">
        <w:rPr>
          <w:rFonts w:ascii="Book Antiqua" w:hAnsi="Book Antiqua" w:cs="宋体"/>
          <w:b/>
          <w:bCs/>
          <w:sz w:val="24"/>
          <w:szCs w:val="24"/>
        </w:rPr>
        <w:t>Lerman G</w:t>
      </w:r>
      <w:r w:rsidRPr="008F0A77">
        <w:rPr>
          <w:rFonts w:ascii="Book Antiqua" w:hAnsi="Book Antiqua" w:cs="宋体"/>
          <w:sz w:val="24"/>
          <w:szCs w:val="24"/>
        </w:rPr>
        <w:t>, Sharon M, Leibowitz-Amit R, Sidi Y, Avni D. The crosstalk between IL-22 signaling and miR-197 in human keratinocytes. </w:t>
      </w:r>
      <w:r w:rsidRPr="008F0A77">
        <w:rPr>
          <w:rFonts w:ascii="Book Antiqua" w:hAnsi="Book Antiqua" w:cs="宋体"/>
          <w:i/>
          <w:iCs/>
          <w:sz w:val="24"/>
          <w:szCs w:val="24"/>
        </w:rPr>
        <w:t>PLoS One</w:t>
      </w:r>
      <w:r w:rsidRPr="008F0A77">
        <w:rPr>
          <w:rFonts w:ascii="Book Antiqua" w:hAnsi="Book Antiqua" w:cs="宋体"/>
          <w:sz w:val="24"/>
          <w:szCs w:val="24"/>
        </w:rPr>
        <w:t> 2014; </w:t>
      </w:r>
      <w:r w:rsidRPr="008F0A77">
        <w:rPr>
          <w:rFonts w:ascii="Book Antiqua" w:hAnsi="Book Antiqua" w:cs="宋体"/>
          <w:b/>
          <w:bCs/>
          <w:sz w:val="24"/>
          <w:szCs w:val="24"/>
        </w:rPr>
        <w:t>9</w:t>
      </w:r>
      <w:r w:rsidRPr="008F0A77">
        <w:rPr>
          <w:rFonts w:ascii="Book Antiqua" w:hAnsi="Book Antiqua" w:cs="宋体"/>
          <w:sz w:val="24"/>
          <w:szCs w:val="24"/>
        </w:rPr>
        <w:t>: e107467 [PMID: 25208211 DOI: 10.1371/journal.pone.0107467]</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58 </w:t>
      </w:r>
      <w:r w:rsidRPr="008F0A77">
        <w:rPr>
          <w:rFonts w:ascii="Book Antiqua" w:hAnsi="Book Antiqua" w:cs="宋体"/>
          <w:b/>
          <w:bCs/>
          <w:sz w:val="24"/>
          <w:szCs w:val="24"/>
        </w:rPr>
        <w:t>Mareninova OA</w:t>
      </w:r>
      <w:r w:rsidRPr="008F0A77">
        <w:rPr>
          <w:rFonts w:ascii="Book Antiqua" w:hAnsi="Book Antiqua" w:cs="宋体"/>
          <w:sz w:val="24"/>
          <w:szCs w:val="24"/>
        </w:rPr>
        <w:t>, Hermann K, French SW, O'Konski MS, Pandol SJ, Webster P, Erickson AH, Katunuma N, Gorelick FS, Gukovsky I, Gukovskaya AS. Impaired autophagic flux mediates acinar cell vacuole formation and trypsinogen activation in rodent models of acute pancreatitis. </w:t>
      </w:r>
      <w:r w:rsidRPr="008F0A77">
        <w:rPr>
          <w:rFonts w:ascii="Book Antiqua" w:hAnsi="Book Antiqua" w:cs="宋体"/>
          <w:i/>
          <w:iCs/>
          <w:sz w:val="24"/>
          <w:szCs w:val="24"/>
        </w:rPr>
        <w:t>J Clin Invest</w:t>
      </w:r>
      <w:r w:rsidRPr="008F0A77">
        <w:rPr>
          <w:rFonts w:ascii="Book Antiqua" w:hAnsi="Book Antiqua" w:cs="宋体"/>
          <w:sz w:val="24"/>
          <w:szCs w:val="24"/>
        </w:rPr>
        <w:t> 2009; </w:t>
      </w:r>
      <w:r w:rsidRPr="008F0A77">
        <w:rPr>
          <w:rFonts w:ascii="Book Antiqua" w:hAnsi="Book Antiqua" w:cs="宋体"/>
          <w:b/>
          <w:bCs/>
          <w:sz w:val="24"/>
          <w:szCs w:val="24"/>
        </w:rPr>
        <w:t>119</w:t>
      </w:r>
      <w:r w:rsidRPr="008F0A77">
        <w:rPr>
          <w:rFonts w:ascii="Book Antiqua" w:hAnsi="Book Antiqua" w:cs="宋体"/>
          <w:sz w:val="24"/>
          <w:szCs w:val="24"/>
        </w:rPr>
        <w:t>: 3340-3355 [PMID: 19805911 DOI: 10.1172/JCI38674]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59 </w:t>
      </w:r>
      <w:r w:rsidRPr="008F0A77">
        <w:rPr>
          <w:rFonts w:ascii="Book Antiqua" w:hAnsi="Book Antiqua" w:cs="宋体"/>
          <w:b/>
          <w:bCs/>
          <w:sz w:val="24"/>
          <w:szCs w:val="24"/>
        </w:rPr>
        <w:t>Fortunato F</w:t>
      </w:r>
      <w:r w:rsidRPr="008F0A77">
        <w:rPr>
          <w:rFonts w:ascii="Book Antiqua" w:hAnsi="Book Antiqua" w:cs="宋体"/>
          <w:sz w:val="24"/>
          <w:szCs w:val="24"/>
        </w:rPr>
        <w:t>, Bürgers H, Bergmann F, Rieger P, Büchler MW, Kroemer G, Werner J. Impaired autolysosome formation correlates with Lamp-2 depletion: role of apoptosis, autophagy, and necrosis in pancreatitis. </w:t>
      </w:r>
      <w:r w:rsidRPr="008F0A77">
        <w:rPr>
          <w:rFonts w:ascii="Book Antiqua" w:hAnsi="Book Antiqua" w:cs="宋体"/>
          <w:i/>
          <w:iCs/>
          <w:sz w:val="24"/>
          <w:szCs w:val="24"/>
        </w:rPr>
        <w:t>Gastroenterology</w:t>
      </w:r>
      <w:r w:rsidRPr="008F0A77">
        <w:rPr>
          <w:rFonts w:ascii="Book Antiqua" w:hAnsi="Book Antiqua" w:cs="宋体"/>
          <w:sz w:val="24"/>
          <w:szCs w:val="24"/>
        </w:rPr>
        <w:t> 2009; </w:t>
      </w:r>
      <w:r w:rsidRPr="008F0A77">
        <w:rPr>
          <w:rFonts w:ascii="Book Antiqua" w:hAnsi="Book Antiqua" w:cs="宋体"/>
          <w:b/>
          <w:bCs/>
          <w:sz w:val="24"/>
          <w:szCs w:val="24"/>
        </w:rPr>
        <w:t>137</w:t>
      </w:r>
      <w:r w:rsidRPr="008F0A77">
        <w:rPr>
          <w:rFonts w:ascii="Book Antiqua" w:hAnsi="Book Antiqua" w:cs="宋体"/>
          <w:sz w:val="24"/>
          <w:szCs w:val="24"/>
        </w:rPr>
        <w:t>: 350-360, 360.e1-5 [PMID: 19362087 DOI: 10.1053/j.gastro.2009.04.003]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lastRenderedPageBreak/>
        <w:t>60 </w:t>
      </w:r>
      <w:r w:rsidRPr="008F0A77">
        <w:rPr>
          <w:rFonts w:ascii="Book Antiqua" w:hAnsi="Book Antiqua" w:cs="宋体"/>
          <w:b/>
          <w:bCs/>
          <w:sz w:val="24"/>
          <w:szCs w:val="24"/>
        </w:rPr>
        <w:t>Yu H</w:t>
      </w:r>
      <w:r w:rsidRPr="008F0A77">
        <w:rPr>
          <w:rFonts w:ascii="Book Antiqua" w:hAnsi="Book Antiqua" w:cs="宋体"/>
          <w:sz w:val="24"/>
          <w:szCs w:val="24"/>
        </w:rPr>
        <w:t>, Jove R. The STATs of cancer--new molecular targets come of age. </w:t>
      </w:r>
      <w:r w:rsidRPr="008F0A77">
        <w:rPr>
          <w:rFonts w:ascii="Book Antiqua" w:hAnsi="Book Antiqua" w:cs="宋体"/>
          <w:i/>
          <w:iCs/>
          <w:sz w:val="24"/>
          <w:szCs w:val="24"/>
        </w:rPr>
        <w:t>Nat Rev Cancer</w:t>
      </w:r>
      <w:r w:rsidRPr="008F0A77">
        <w:rPr>
          <w:rFonts w:ascii="Book Antiqua" w:hAnsi="Book Antiqua" w:cs="宋体"/>
          <w:sz w:val="24"/>
          <w:szCs w:val="24"/>
        </w:rPr>
        <w:t> 2004; </w:t>
      </w:r>
      <w:r w:rsidRPr="008F0A77">
        <w:rPr>
          <w:rFonts w:ascii="Book Antiqua" w:hAnsi="Book Antiqua" w:cs="宋体"/>
          <w:b/>
          <w:bCs/>
          <w:sz w:val="24"/>
          <w:szCs w:val="24"/>
        </w:rPr>
        <w:t>4</w:t>
      </w:r>
      <w:r w:rsidRPr="008F0A77">
        <w:rPr>
          <w:rFonts w:ascii="Book Antiqua" w:hAnsi="Book Antiqua" w:cs="宋体"/>
          <w:sz w:val="24"/>
          <w:szCs w:val="24"/>
        </w:rPr>
        <w:t xml:space="preserve">: 97-105 [PMID: 14964307 DOI: </w:t>
      </w:r>
      <w:r w:rsidR="00D4014D">
        <w:fldChar w:fldCharType="begin"/>
      </w:r>
      <w:r w:rsidR="00D4014D">
        <w:instrText xml:space="preserve"> HYPERLINK "http://dx.doi.org/10.1038/nrc1275" \t "_blank" </w:instrText>
      </w:r>
      <w:r w:rsidR="00D4014D">
        <w:fldChar w:fldCharType="separate"/>
      </w:r>
      <w:r w:rsidRPr="008F0A77">
        <w:rPr>
          <w:rStyle w:val="Hyperlink"/>
          <w:rFonts w:ascii="Book Antiqua" w:hAnsi="Book Antiqua"/>
          <w:color w:val="auto"/>
          <w:sz w:val="24"/>
          <w:szCs w:val="24"/>
          <w:u w:val="none"/>
          <w:shd w:val="clear" w:color="auto" w:fill="FFFFFF"/>
        </w:rPr>
        <w:t>10.1038/nrc1275</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61 </w:t>
      </w:r>
      <w:r w:rsidRPr="008F0A77">
        <w:rPr>
          <w:rFonts w:ascii="Book Antiqua" w:hAnsi="Book Antiqua" w:cs="宋体"/>
          <w:b/>
          <w:bCs/>
          <w:sz w:val="24"/>
          <w:szCs w:val="24"/>
        </w:rPr>
        <w:t>Abdulla A</w:t>
      </w:r>
      <w:r w:rsidRPr="008F0A77">
        <w:rPr>
          <w:rFonts w:ascii="Book Antiqua" w:hAnsi="Book Antiqua" w:cs="宋体"/>
          <w:sz w:val="24"/>
          <w:szCs w:val="24"/>
        </w:rPr>
        <w:t>, Awla D, Thorlacius H, Regnér S. Role of neutrophils in the activation of trypsinogen in severe acute pancreatitis. </w:t>
      </w:r>
      <w:r w:rsidRPr="008F0A77">
        <w:rPr>
          <w:rFonts w:ascii="Book Antiqua" w:hAnsi="Book Antiqua" w:cs="宋体"/>
          <w:i/>
          <w:iCs/>
          <w:sz w:val="24"/>
          <w:szCs w:val="24"/>
        </w:rPr>
        <w:t>J Leukoc Biol</w:t>
      </w:r>
      <w:r w:rsidRPr="008F0A77">
        <w:rPr>
          <w:rFonts w:ascii="Book Antiqua" w:hAnsi="Book Antiqua" w:cs="宋体"/>
          <w:sz w:val="24"/>
          <w:szCs w:val="24"/>
        </w:rPr>
        <w:t> 2011; </w:t>
      </w:r>
      <w:r w:rsidRPr="008F0A77">
        <w:rPr>
          <w:rFonts w:ascii="Book Antiqua" w:hAnsi="Book Antiqua" w:cs="宋体"/>
          <w:b/>
          <w:bCs/>
          <w:sz w:val="24"/>
          <w:szCs w:val="24"/>
        </w:rPr>
        <w:t>90</w:t>
      </w:r>
      <w:r w:rsidRPr="008F0A77">
        <w:rPr>
          <w:rFonts w:ascii="Book Antiqua" w:hAnsi="Book Antiqua" w:cs="宋体"/>
          <w:sz w:val="24"/>
          <w:szCs w:val="24"/>
        </w:rPr>
        <w:t>: 975-982 [PMID: 21810937 DOI: 10.1189/jlb.0411195]</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62 </w:t>
      </w:r>
      <w:r w:rsidRPr="008F0A77">
        <w:rPr>
          <w:rFonts w:ascii="Book Antiqua" w:hAnsi="Book Antiqua" w:cs="宋体"/>
          <w:b/>
          <w:bCs/>
          <w:sz w:val="24"/>
          <w:szCs w:val="24"/>
        </w:rPr>
        <w:t>Narushima Y</w:t>
      </w:r>
      <w:r w:rsidRPr="008F0A77">
        <w:rPr>
          <w:rFonts w:ascii="Book Antiqua" w:hAnsi="Book Antiqua" w:cs="宋体"/>
          <w:sz w:val="24"/>
          <w:szCs w:val="24"/>
        </w:rPr>
        <w:t>, Unno M, Nakagawara K, Mori M, Miyashita H, Suzuki Y, Noguchi N, Takasawa S, Kumagai T, Yonekura H, Okamoto H. Structure, chromosomal localization and expression of mouse genes encoding type III Reg, RegIII alpha, RegIII beta, RegIII gamma. </w:t>
      </w:r>
      <w:r w:rsidRPr="008F0A77">
        <w:rPr>
          <w:rFonts w:ascii="Book Antiqua" w:hAnsi="Book Antiqua" w:cs="宋体"/>
          <w:i/>
          <w:iCs/>
          <w:sz w:val="24"/>
          <w:szCs w:val="24"/>
        </w:rPr>
        <w:t>Gene</w:t>
      </w:r>
      <w:r w:rsidRPr="008F0A77">
        <w:rPr>
          <w:rFonts w:ascii="Book Antiqua" w:hAnsi="Book Antiqua" w:cs="宋体"/>
          <w:sz w:val="24"/>
          <w:szCs w:val="24"/>
        </w:rPr>
        <w:t> 1997; </w:t>
      </w:r>
      <w:r w:rsidRPr="008F0A77">
        <w:rPr>
          <w:rFonts w:ascii="Book Antiqua" w:hAnsi="Book Antiqua" w:cs="宋体"/>
          <w:b/>
          <w:bCs/>
          <w:sz w:val="24"/>
          <w:szCs w:val="24"/>
        </w:rPr>
        <w:t>185</w:t>
      </w:r>
      <w:r w:rsidRPr="008F0A77">
        <w:rPr>
          <w:rFonts w:ascii="Book Antiqua" w:hAnsi="Book Antiqua" w:cs="宋体"/>
          <w:sz w:val="24"/>
          <w:szCs w:val="24"/>
        </w:rPr>
        <w:t xml:space="preserve">: 159-168 [PMID: 9055810 DOI: </w:t>
      </w:r>
      <w:r w:rsidR="00D4014D">
        <w:fldChar w:fldCharType="begin"/>
      </w:r>
      <w:r w:rsidR="00D4014D">
        <w:instrText xml:space="preserve"> HYPER</w:instrText>
      </w:r>
      <w:r w:rsidR="00D4014D">
        <w:instrText xml:space="preserve">LINK "http://dx.doi.org/10.1016/S0378-1119(96)00589-6" \t "_blank" </w:instrText>
      </w:r>
      <w:r w:rsidR="00D4014D">
        <w:fldChar w:fldCharType="separate"/>
      </w:r>
      <w:r w:rsidRPr="008F0A77">
        <w:rPr>
          <w:rStyle w:val="Hyperlink"/>
          <w:rFonts w:ascii="Book Antiqua" w:hAnsi="Book Antiqua"/>
          <w:color w:val="auto"/>
          <w:sz w:val="24"/>
          <w:szCs w:val="24"/>
          <w:u w:val="none"/>
          <w:shd w:val="clear" w:color="auto" w:fill="FFFFFF"/>
        </w:rPr>
        <w:t>10.1016/S0378-1119(96)00589-6</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63 </w:t>
      </w:r>
      <w:r w:rsidRPr="008F0A77">
        <w:rPr>
          <w:rFonts w:ascii="Book Antiqua" w:hAnsi="Book Antiqua" w:cs="宋体"/>
          <w:b/>
          <w:bCs/>
          <w:sz w:val="24"/>
          <w:szCs w:val="24"/>
        </w:rPr>
        <w:t>Keim V</w:t>
      </w:r>
      <w:r w:rsidRPr="008F0A77">
        <w:rPr>
          <w:rFonts w:ascii="Book Antiqua" w:hAnsi="Book Antiqua" w:cs="宋体"/>
          <w:sz w:val="24"/>
          <w:szCs w:val="24"/>
        </w:rPr>
        <w:t>, Iovanna JL, Rohr G, Usadel KH, Dagorn JC. Characterization of a rat pancreatic secretory protein associated with pancreatitis. </w:t>
      </w:r>
      <w:r w:rsidRPr="008F0A77">
        <w:rPr>
          <w:rFonts w:ascii="Book Antiqua" w:hAnsi="Book Antiqua" w:cs="宋体"/>
          <w:i/>
          <w:iCs/>
          <w:sz w:val="24"/>
          <w:szCs w:val="24"/>
        </w:rPr>
        <w:t>Gastroenterology</w:t>
      </w:r>
      <w:r w:rsidRPr="008F0A77">
        <w:rPr>
          <w:rFonts w:ascii="Book Antiqua" w:hAnsi="Book Antiqua" w:cs="宋体"/>
          <w:sz w:val="24"/>
          <w:szCs w:val="24"/>
        </w:rPr>
        <w:t> 1991; </w:t>
      </w:r>
      <w:r w:rsidRPr="008F0A77">
        <w:rPr>
          <w:rFonts w:ascii="Book Antiqua" w:hAnsi="Book Antiqua" w:cs="宋体"/>
          <w:b/>
          <w:bCs/>
          <w:sz w:val="24"/>
          <w:szCs w:val="24"/>
        </w:rPr>
        <w:t>100</w:t>
      </w:r>
      <w:r w:rsidRPr="008F0A77">
        <w:rPr>
          <w:rFonts w:ascii="Book Antiqua" w:hAnsi="Book Antiqua" w:cs="宋体"/>
          <w:sz w:val="24"/>
          <w:szCs w:val="24"/>
        </w:rPr>
        <w:t>: 775-782 [PMID: 1704329]</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64 </w:t>
      </w:r>
      <w:r w:rsidRPr="008F0A77">
        <w:rPr>
          <w:rFonts w:ascii="Book Antiqua" w:hAnsi="Book Antiqua" w:cs="宋体"/>
          <w:b/>
          <w:bCs/>
          <w:sz w:val="24"/>
          <w:szCs w:val="24"/>
        </w:rPr>
        <w:t>Iovanna J</w:t>
      </w:r>
      <w:r w:rsidRPr="008F0A77">
        <w:rPr>
          <w:rFonts w:ascii="Book Antiqua" w:hAnsi="Book Antiqua" w:cs="宋体"/>
          <w:sz w:val="24"/>
          <w:szCs w:val="24"/>
        </w:rPr>
        <w:t>, Orelle B, Keim V, Dagorn JC. Messenger RNA sequence and expression of rat pancreatitis-associated protein, a lectin-related protein overexpressed during acute experimental pancreatitis. </w:t>
      </w:r>
      <w:r w:rsidRPr="008F0A77">
        <w:rPr>
          <w:rFonts w:ascii="Book Antiqua" w:hAnsi="Book Antiqua" w:cs="宋体"/>
          <w:i/>
          <w:iCs/>
          <w:sz w:val="24"/>
          <w:szCs w:val="24"/>
        </w:rPr>
        <w:t>J Biol Chem</w:t>
      </w:r>
      <w:r w:rsidRPr="008F0A77">
        <w:rPr>
          <w:rFonts w:ascii="Book Antiqua" w:hAnsi="Book Antiqua" w:cs="宋体"/>
          <w:sz w:val="24"/>
          <w:szCs w:val="24"/>
        </w:rPr>
        <w:t> 1991; </w:t>
      </w:r>
      <w:r w:rsidRPr="008F0A77">
        <w:rPr>
          <w:rFonts w:ascii="Book Antiqua" w:hAnsi="Book Antiqua" w:cs="宋体"/>
          <w:b/>
          <w:bCs/>
          <w:sz w:val="24"/>
          <w:szCs w:val="24"/>
        </w:rPr>
        <w:t>266</w:t>
      </w:r>
      <w:r w:rsidRPr="008F0A77">
        <w:rPr>
          <w:rFonts w:ascii="Book Antiqua" w:hAnsi="Book Antiqua" w:cs="宋体"/>
          <w:sz w:val="24"/>
          <w:szCs w:val="24"/>
        </w:rPr>
        <w:t>: 24664-24669 [PMID: 1722211]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65 </w:t>
      </w:r>
      <w:r w:rsidRPr="008F0A77">
        <w:rPr>
          <w:rFonts w:ascii="Book Antiqua" w:hAnsi="Book Antiqua" w:cs="宋体"/>
          <w:b/>
          <w:bCs/>
          <w:sz w:val="24"/>
          <w:szCs w:val="24"/>
        </w:rPr>
        <w:t>Zhang H</w:t>
      </w:r>
      <w:r w:rsidRPr="008F0A77">
        <w:rPr>
          <w:rFonts w:ascii="Book Antiqua" w:hAnsi="Book Antiqua" w:cs="宋体"/>
          <w:sz w:val="24"/>
          <w:szCs w:val="24"/>
        </w:rPr>
        <w:t>, Kandil E, Lin YY, Levi G, Zenilman ME. Targeted inhibition of gene expression of pancreatitis-associated proteins exacerbates the severity of acute pancreatitis in rats. </w:t>
      </w:r>
      <w:r w:rsidRPr="008F0A77">
        <w:rPr>
          <w:rFonts w:ascii="Book Antiqua" w:hAnsi="Book Antiqua" w:cs="宋体"/>
          <w:i/>
          <w:iCs/>
          <w:sz w:val="24"/>
          <w:szCs w:val="24"/>
        </w:rPr>
        <w:t>Scand J Gastroenterol</w:t>
      </w:r>
      <w:r w:rsidRPr="008F0A77">
        <w:rPr>
          <w:rFonts w:ascii="Book Antiqua" w:hAnsi="Book Antiqua" w:cs="宋体"/>
          <w:sz w:val="24"/>
          <w:szCs w:val="24"/>
        </w:rPr>
        <w:t> 2004; </w:t>
      </w:r>
      <w:r w:rsidRPr="008F0A77">
        <w:rPr>
          <w:rFonts w:ascii="Book Antiqua" w:hAnsi="Book Antiqua" w:cs="宋体"/>
          <w:b/>
          <w:bCs/>
          <w:sz w:val="24"/>
          <w:szCs w:val="24"/>
        </w:rPr>
        <w:t>39</w:t>
      </w:r>
      <w:r w:rsidRPr="008F0A77">
        <w:rPr>
          <w:rFonts w:ascii="Book Antiqua" w:hAnsi="Book Antiqua" w:cs="宋体"/>
          <w:sz w:val="24"/>
          <w:szCs w:val="24"/>
        </w:rPr>
        <w:t xml:space="preserve">: 870-881 [PMID: 15513386 DOI: </w:t>
      </w:r>
      <w:r w:rsidR="00D4014D">
        <w:fldChar w:fldCharType="begin"/>
      </w:r>
      <w:r w:rsidR="00D4014D">
        <w:instrText xml:space="preserve"> HYPERLINK "http://dx.doi.org/10.1080/00365520410006477" \t "_blank" </w:instrText>
      </w:r>
      <w:r w:rsidR="00D4014D">
        <w:fldChar w:fldCharType="separate"/>
      </w:r>
      <w:r w:rsidRPr="008F0A77">
        <w:rPr>
          <w:rStyle w:val="Hyperlink"/>
          <w:rFonts w:ascii="Book Antiqua" w:hAnsi="Book Antiqua"/>
          <w:color w:val="auto"/>
          <w:sz w:val="24"/>
          <w:szCs w:val="24"/>
          <w:u w:val="none"/>
          <w:shd w:val="clear" w:color="auto" w:fill="FFFFFF"/>
        </w:rPr>
        <w:t>10.1080/00365520410006477</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66 </w:t>
      </w:r>
      <w:r w:rsidRPr="008F0A77">
        <w:rPr>
          <w:rFonts w:ascii="Book Antiqua" w:hAnsi="Book Antiqua" w:cs="宋体"/>
          <w:b/>
          <w:bCs/>
          <w:sz w:val="24"/>
          <w:szCs w:val="24"/>
        </w:rPr>
        <w:t>Christa L</w:t>
      </w:r>
      <w:r w:rsidRPr="008F0A77">
        <w:rPr>
          <w:rFonts w:ascii="Book Antiqua" w:hAnsi="Book Antiqua" w:cs="宋体"/>
          <w:sz w:val="24"/>
          <w:szCs w:val="24"/>
        </w:rPr>
        <w:t>, Carnot F, Simon MT, Levavasseur F, Stinnakre MG, Lasserre C, Thepot D, Clement B, Devinoy E, Brechot C. HIP/PAP is an adhesive protein expressed in hepatocarcinoma, normal Paneth, and pancreatic cells. </w:t>
      </w:r>
      <w:r w:rsidRPr="008F0A77">
        <w:rPr>
          <w:rFonts w:ascii="Book Antiqua" w:hAnsi="Book Antiqua" w:cs="宋体"/>
          <w:i/>
          <w:iCs/>
          <w:sz w:val="24"/>
          <w:szCs w:val="24"/>
        </w:rPr>
        <w:t>Am J Physiol</w:t>
      </w:r>
      <w:r w:rsidRPr="008F0A77">
        <w:rPr>
          <w:rFonts w:ascii="Book Antiqua" w:hAnsi="Book Antiqua" w:cs="宋体"/>
          <w:sz w:val="24"/>
          <w:szCs w:val="24"/>
        </w:rPr>
        <w:t> 1996; </w:t>
      </w:r>
      <w:r w:rsidRPr="008F0A77">
        <w:rPr>
          <w:rFonts w:ascii="Book Antiqua" w:hAnsi="Book Antiqua" w:cs="宋体"/>
          <w:b/>
          <w:bCs/>
          <w:sz w:val="24"/>
          <w:szCs w:val="24"/>
        </w:rPr>
        <w:t>271</w:t>
      </w:r>
      <w:r w:rsidRPr="008F0A77">
        <w:rPr>
          <w:rFonts w:ascii="Book Antiqua" w:hAnsi="Book Antiqua" w:cs="宋体"/>
          <w:sz w:val="24"/>
          <w:szCs w:val="24"/>
        </w:rPr>
        <w:t>: G993-1002 [PMID: 8997243]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67 </w:t>
      </w:r>
      <w:r w:rsidRPr="008F0A77">
        <w:rPr>
          <w:rFonts w:ascii="Book Antiqua" w:hAnsi="Book Antiqua" w:cs="宋体"/>
          <w:b/>
          <w:bCs/>
          <w:sz w:val="24"/>
          <w:szCs w:val="24"/>
        </w:rPr>
        <w:t>McKie AT</w:t>
      </w:r>
      <w:r w:rsidRPr="008F0A77">
        <w:rPr>
          <w:rFonts w:ascii="Book Antiqua" w:hAnsi="Book Antiqua" w:cs="宋体"/>
          <w:sz w:val="24"/>
          <w:szCs w:val="24"/>
        </w:rPr>
        <w:t>, Simpson RJ, Ghosh S, Peters TJ, Farzaneh F. Regulation of pancreatitis-associated protein (HIP/PAP) mRNA levels in mouse pancreas and small intestine. </w:t>
      </w:r>
      <w:r w:rsidRPr="008F0A77">
        <w:rPr>
          <w:rFonts w:ascii="Book Antiqua" w:hAnsi="Book Antiqua" w:cs="宋体"/>
          <w:i/>
          <w:iCs/>
          <w:sz w:val="24"/>
          <w:szCs w:val="24"/>
        </w:rPr>
        <w:t xml:space="preserve">Clin Sci </w:t>
      </w:r>
      <w:r w:rsidRPr="008F0A77">
        <w:rPr>
          <w:rFonts w:ascii="Book Antiqua" w:hAnsi="Book Antiqua" w:cs="宋体"/>
          <w:iCs/>
          <w:sz w:val="24"/>
          <w:szCs w:val="24"/>
        </w:rPr>
        <w:t>(Lond)</w:t>
      </w:r>
      <w:r w:rsidRPr="008F0A77">
        <w:rPr>
          <w:rFonts w:ascii="Book Antiqua" w:hAnsi="Book Antiqua" w:cs="宋体"/>
          <w:sz w:val="24"/>
          <w:szCs w:val="24"/>
        </w:rPr>
        <w:t> 1996; </w:t>
      </w:r>
      <w:r w:rsidRPr="008F0A77">
        <w:rPr>
          <w:rFonts w:ascii="Book Antiqua" w:hAnsi="Book Antiqua" w:cs="宋体"/>
          <w:b/>
          <w:bCs/>
          <w:sz w:val="24"/>
          <w:szCs w:val="24"/>
        </w:rPr>
        <w:t>91</w:t>
      </w:r>
      <w:r w:rsidRPr="008F0A77">
        <w:rPr>
          <w:rFonts w:ascii="Book Antiqua" w:hAnsi="Book Antiqua" w:cs="宋体"/>
          <w:sz w:val="24"/>
          <w:szCs w:val="24"/>
        </w:rPr>
        <w:t xml:space="preserve">: 213-218 [PMID: 8795446 DOI: </w:t>
      </w:r>
      <w:r w:rsidR="00D4014D">
        <w:fldChar w:fldCharType="begin"/>
      </w:r>
      <w:r w:rsidR="00D4014D">
        <w:instrText xml:space="preserve"> HYPERLINK "http://dx.doi.org/10.1042/cs0910213" \t "_blank" </w:instrText>
      </w:r>
      <w:r w:rsidR="00D4014D">
        <w:fldChar w:fldCharType="separate"/>
      </w:r>
      <w:r w:rsidRPr="008F0A77">
        <w:rPr>
          <w:rStyle w:val="Hyperlink"/>
          <w:rFonts w:ascii="Book Antiqua" w:hAnsi="Book Antiqua"/>
          <w:color w:val="auto"/>
          <w:sz w:val="24"/>
          <w:szCs w:val="24"/>
          <w:u w:val="none"/>
          <w:shd w:val="clear" w:color="auto" w:fill="FFFFFF"/>
        </w:rPr>
        <w:t>10.1042/cs0910213</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68 </w:t>
      </w:r>
      <w:r w:rsidRPr="008F0A77">
        <w:rPr>
          <w:rFonts w:ascii="Book Antiqua" w:hAnsi="Book Antiqua" w:cs="宋体"/>
          <w:b/>
          <w:bCs/>
          <w:sz w:val="24"/>
          <w:szCs w:val="24"/>
        </w:rPr>
        <w:t>Masciotra L</w:t>
      </w:r>
      <w:r w:rsidRPr="008F0A77">
        <w:rPr>
          <w:rFonts w:ascii="Book Antiqua" w:hAnsi="Book Antiqua" w:cs="宋体"/>
          <w:sz w:val="24"/>
          <w:szCs w:val="24"/>
        </w:rPr>
        <w:t>, Lechêne de la Porte P, Frigerio JM, Dusetti NJ, Dagorn JC, Iovanna JL. Immunocytochemical localization of pancreatitis-associated protein in human small intestine. </w:t>
      </w:r>
      <w:r w:rsidRPr="008F0A77">
        <w:rPr>
          <w:rFonts w:ascii="Book Antiqua" w:hAnsi="Book Antiqua" w:cs="宋体"/>
          <w:i/>
          <w:iCs/>
          <w:sz w:val="24"/>
          <w:szCs w:val="24"/>
        </w:rPr>
        <w:t>Dig Dis Sci</w:t>
      </w:r>
      <w:r w:rsidRPr="008F0A77">
        <w:rPr>
          <w:rFonts w:ascii="Book Antiqua" w:hAnsi="Book Antiqua" w:cs="宋体"/>
          <w:sz w:val="24"/>
          <w:szCs w:val="24"/>
        </w:rPr>
        <w:t> 1995; </w:t>
      </w:r>
      <w:r w:rsidRPr="008F0A77">
        <w:rPr>
          <w:rFonts w:ascii="Book Antiqua" w:hAnsi="Book Antiqua" w:cs="宋体"/>
          <w:b/>
          <w:bCs/>
          <w:sz w:val="24"/>
          <w:szCs w:val="24"/>
        </w:rPr>
        <w:t>40</w:t>
      </w:r>
      <w:r w:rsidRPr="008F0A77">
        <w:rPr>
          <w:rFonts w:ascii="Book Antiqua" w:hAnsi="Book Antiqua" w:cs="宋体"/>
          <w:sz w:val="24"/>
          <w:szCs w:val="24"/>
        </w:rPr>
        <w:t xml:space="preserve">: 519-524 [PMID: 7895535 DOI: </w:t>
      </w:r>
      <w:r w:rsidR="00D4014D">
        <w:fldChar w:fldCharType="begin"/>
      </w:r>
      <w:r w:rsidR="00D4014D">
        <w:instrText xml:space="preserve"> HYPERLINK "http://dx.doi.org/10.1007/BF02064359" \t "_blank" </w:instrText>
      </w:r>
      <w:r w:rsidR="00D4014D">
        <w:fldChar w:fldCharType="separate"/>
      </w:r>
      <w:r w:rsidRPr="008F0A77">
        <w:rPr>
          <w:rStyle w:val="Hyperlink"/>
          <w:rFonts w:ascii="Book Antiqua" w:hAnsi="Book Antiqua"/>
          <w:color w:val="auto"/>
          <w:sz w:val="24"/>
          <w:szCs w:val="24"/>
          <w:u w:val="none"/>
          <w:shd w:val="clear" w:color="auto" w:fill="FFFFFF"/>
        </w:rPr>
        <w:t>10.1007/BF02064359</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lastRenderedPageBreak/>
        <w:t>69 </w:t>
      </w:r>
      <w:r w:rsidRPr="008F0A77">
        <w:rPr>
          <w:rFonts w:ascii="Book Antiqua" w:hAnsi="Book Antiqua" w:cs="宋体"/>
          <w:b/>
          <w:bCs/>
          <w:sz w:val="24"/>
          <w:szCs w:val="24"/>
        </w:rPr>
        <w:t>Dieckgraefe BK</w:t>
      </w:r>
      <w:r w:rsidRPr="008F0A77">
        <w:rPr>
          <w:rFonts w:ascii="Book Antiqua" w:hAnsi="Book Antiqua" w:cs="宋体"/>
          <w:sz w:val="24"/>
          <w:szCs w:val="24"/>
        </w:rPr>
        <w:t>, Stenson WF, Korzenik JR, Swanson PE, Harrington CA. Analysis of mucosal gene expression in inflammatory bowel disease by parallel oligonucleotide arrays. </w:t>
      </w:r>
      <w:r w:rsidRPr="008F0A77">
        <w:rPr>
          <w:rFonts w:ascii="Book Antiqua" w:hAnsi="Book Antiqua" w:cs="宋体"/>
          <w:i/>
          <w:iCs/>
          <w:sz w:val="24"/>
          <w:szCs w:val="24"/>
        </w:rPr>
        <w:t>Physiol Genomics</w:t>
      </w:r>
      <w:r w:rsidRPr="008F0A77">
        <w:rPr>
          <w:rFonts w:ascii="Book Antiqua" w:hAnsi="Book Antiqua" w:cs="宋体"/>
          <w:sz w:val="24"/>
          <w:szCs w:val="24"/>
        </w:rPr>
        <w:t> 2000; </w:t>
      </w:r>
      <w:r w:rsidRPr="008F0A77">
        <w:rPr>
          <w:rFonts w:ascii="Book Antiqua" w:hAnsi="Book Antiqua" w:cs="宋体"/>
          <w:b/>
          <w:bCs/>
          <w:sz w:val="24"/>
          <w:szCs w:val="24"/>
        </w:rPr>
        <w:t>4</w:t>
      </w:r>
      <w:r w:rsidRPr="008F0A77">
        <w:rPr>
          <w:rFonts w:ascii="Book Antiqua" w:hAnsi="Book Antiqua" w:cs="宋体"/>
          <w:sz w:val="24"/>
          <w:szCs w:val="24"/>
        </w:rPr>
        <w:t>: 1-11 [PMID: 11074008]</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70 </w:t>
      </w:r>
      <w:r w:rsidRPr="008F0A77">
        <w:rPr>
          <w:rFonts w:ascii="Book Antiqua" w:hAnsi="Book Antiqua" w:cs="宋体"/>
          <w:b/>
          <w:bCs/>
          <w:sz w:val="24"/>
          <w:szCs w:val="24"/>
        </w:rPr>
        <w:t>Ozturk M</w:t>
      </w:r>
      <w:r w:rsidRPr="008F0A77">
        <w:rPr>
          <w:rFonts w:ascii="Book Antiqua" w:hAnsi="Book Antiqua" w:cs="宋体"/>
          <w:sz w:val="24"/>
          <w:szCs w:val="24"/>
        </w:rPr>
        <w:t>, de la Monte SM, Gross J, Wands JR. Elevated levels of an exocrine pancreatic secretory protein in Alzheimer disease brain. </w:t>
      </w:r>
      <w:r w:rsidRPr="008F0A77">
        <w:rPr>
          <w:rFonts w:ascii="Book Antiqua" w:hAnsi="Book Antiqua" w:cs="宋体"/>
          <w:i/>
          <w:iCs/>
          <w:sz w:val="24"/>
          <w:szCs w:val="24"/>
        </w:rPr>
        <w:t>Proc Natl Acad Sci USA</w:t>
      </w:r>
      <w:r w:rsidRPr="008F0A77">
        <w:rPr>
          <w:rFonts w:ascii="Book Antiqua" w:hAnsi="Book Antiqua" w:cs="宋体"/>
          <w:sz w:val="24"/>
          <w:szCs w:val="24"/>
        </w:rPr>
        <w:t> 1989; </w:t>
      </w:r>
      <w:r w:rsidRPr="008F0A77">
        <w:rPr>
          <w:rFonts w:ascii="Book Antiqua" w:hAnsi="Book Antiqua" w:cs="宋体"/>
          <w:b/>
          <w:bCs/>
          <w:sz w:val="24"/>
          <w:szCs w:val="24"/>
        </w:rPr>
        <w:t>86</w:t>
      </w:r>
      <w:r w:rsidRPr="008F0A77">
        <w:rPr>
          <w:rFonts w:ascii="Book Antiqua" w:hAnsi="Book Antiqua" w:cs="宋体"/>
          <w:sz w:val="24"/>
          <w:szCs w:val="24"/>
        </w:rPr>
        <w:t xml:space="preserve">: 419-423 [PMID: 2463628 DOI: </w:t>
      </w:r>
      <w:r w:rsidR="00D4014D">
        <w:fldChar w:fldCharType="begin"/>
      </w:r>
      <w:r w:rsidR="00D4014D">
        <w:instrText xml:space="preserve"> HYPERLINK "http://dx.doi.org/10.1073/pnas.86.2.419" \t "_blank" </w:instrText>
      </w:r>
      <w:r w:rsidR="00D4014D">
        <w:fldChar w:fldCharType="separate"/>
      </w:r>
      <w:r w:rsidRPr="008F0A77">
        <w:rPr>
          <w:rStyle w:val="Hyperlink"/>
          <w:rFonts w:ascii="Book Antiqua" w:hAnsi="Book Antiqua"/>
          <w:color w:val="auto"/>
          <w:sz w:val="24"/>
          <w:szCs w:val="24"/>
          <w:u w:val="none"/>
          <w:shd w:val="clear" w:color="auto" w:fill="FFFFFF"/>
        </w:rPr>
        <w:t>10.1073/pnas.86.2.419</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71 </w:t>
      </w:r>
      <w:r w:rsidRPr="008F0A77">
        <w:rPr>
          <w:rFonts w:ascii="Book Antiqua" w:hAnsi="Book Antiqua" w:cs="宋体"/>
          <w:b/>
          <w:bCs/>
          <w:sz w:val="24"/>
          <w:szCs w:val="24"/>
        </w:rPr>
        <w:t>Duplan L</w:t>
      </w:r>
      <w:r w:rsidRPr="008F0A77">
        <w:rPr>
          <w:rFonts w:ascii="Book Antiqua" w:hAnsi="Book Antiqua" w:cs="宋体"/>
          <w:sz w:val="24"/>
          <w:szCs w:val="24"/>
        </w:rPr>
        <w:t>, Michel B, Boucraut J, Barthellémy S, Desplat-Jego S, Marin V, Gambarelli D, Bernard D, Berthézène P, Alescio-Lautier B, Verdier JM. Lithostathine and pancreatitis-associated protein are involved in the very early stages of Alzheimer's disease. </w:t>
      </w:r>
      <w:r w:rsidRPr="008F0A77">
        <w:rPr>
          <w:rFonts w:ascii="Book Antiqua" w:hAnsi="Book Antiqua" w:cs="宋体"/>
          <w:i/>
          <w:iCs/>
          <w:sz w:val="24"/>
          <w:szCs w:val="24"/>
        </w:rPr>
        <w:t>Neurobiol Aging</w:t>
      </w:r>
      <w:r w:rsidRPr="008F0A77">
        <w:rPr>
          <w:rFonts w:ascii="Book Antiqua" w:hAnsi="Book Antiqua" w:cs="宋体"/>
          <w:sz w:val="24"/>
          <w:szCs w:val="24"/>
        </w:rPr>
        <w:t> 2001; </w:t>
      </w:r>
      <w:r w:rsidRPr="008F0A77">
        <w:rPr>
          <w:rFonts w:ascii="Book Antiqua" w:hAnsi="Book Antiqua" w:cs="宋体"/>
          <w:b/>
          <w:bCs/>
          <w:sz w:val="24"/>
          <w:szCs w:val="24"/>
        </w:rPr>
        <w:t>22</w:t>
      </w:r>
      <w:r w:rsidRPr="008F0A77">
        <w:rPr>
          <w:rFonts w:ascii="Book Antiqua" w:hAnsi="Book Antiqua" w:cs="宋体"/>
          <w:sz w:val="24"/>
          <w:szCs w:val="24"/>
        </w:rPr>
        <w:t xml:space="preserve">: 79-88 [PMID: 11164279 DOI: </w:t>
      </w:r>
      <w:r w:rsidR="00D4014D">
        <w:fldChar w:fldCharType="begin"/>
      </w:r>
      <w:r w:rsidR="00D4014D">
        <w:instrText xml:space="preserve"> HYPERLINK "http://dx.doi.org/10.1016/S0197-4580(00)00182-2" \t "_blank" </w:instrText>
      </w:r>
      <w:r w:rsidR="00D4014D">
        <w:fldChar w:fldCharType="separate"/>
      </w:r>
      <w:r w:rsidRPr="008F0A77">
        <w:rPr>
          <w:rStyle w:val="Hyperlink"/>
          <w:rFonts w:ascii="Book Antiqua" w:hAnsi="Book Antiqua"/>
          <w:color w:val="auto"/>
          <w:sz w:val="24"/>
          <w:szCs w:val="24"/>
          <w:u w:val="none"/>
          <w:shd w:val="clear" w:color="auto" w:fill="FFFFFF"/>
        </w:rPr>
        <w:t>10.1016/S0197-4580(00)00182-2</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72 </w:t>
      </w:r>
      <w:r w:rsidRPr="008F0A77">
        <w:rPr>
          <w:rFonts w:ascii="Book Antiqua" w:hAnsi="Book Antiqua" w:cs="宋体"/>
          <w:b/>
          <w:bCs/>
          <w:sz w:val="24"/>
          <w:szCs w:val="24"/>
        </w:rPr>
        <w:t>Christa L</w:t>
      </w:r>
      <w:r w:rsidRPr="008F0A77">
        <w:rPr>
          <w:rFonts w:ascii="Book Antiqua" w:hAnsi="Book Antiqua" w:cs="宋体"/>
          <w:sz w:val="24"/>
          <w:szCs w:val="24"/>
        </w:rPr>
        <w:t>, Simon MT, Brezault-Bonnet C, Bonte E, Carnot F, Zylberberg H, Franco D, Capron F, Roskams T, Bréchot C. Hepatocarcinoma-intestine-pancreas/pancreatic associated protein (HIP/PAP) is expressed and secreted by proliferating ductules as well as by hepatocarcinoma and cholangiocarcinoma cells. </w:t>
      </w:r>
      <w:r w:rsidRPr="008F0A77">
        <w:rPr>
          <w:rFonts w:ascii="Book Antiqua" w:hAnsi="Book Antiqua" w:cs="宋体"/>
          <w:i/>
          <w:iCs/>
          <w:sz w:val="24"/>
          <w:szCs w:val="24"/>
        </w:rPr>
        <w:t>Am J Pathol</w:t>
      </w:r>
      <w:r w:rsidRPr="008F0A77">
        <w:rPr>
          <w:rFonts w:ascii="Book Antiqua" w:hAnsi="Book Antiqua" w:cs="宋体"/>
          <w:sz w:val="24"/>
          <w:szCs w:val="24"/>
        </w:rPr>
        <w:t> 1999; </w:t>
      </w:r>
      <w:r w:rsidRPr="008F0A77">
        <w:rPr>
          <w:rFonts w:ascii="Book Antiqua" w:hAnsi="Book Antiqua" w:cs="宋体"/>
          <w:b/>
          <w:bCs/>
          <w:sz w:val="24"/>
          <w:szCs w:val="24"/>
        </w:rPr>
        <w:t>155</w:t>
      </w:r>
      <w:r w:rsidRPr="008F0A77">
        <w:rPr>
          <w:rFonts w:ascii="Book Antiqua" w:hAnsi="Book Antiqua" w:cs="宋体"/>
          <w:sz w:val="24"/>
          <w:szCs w:val="24"/>
        </w:rPr>
        <w:t xml:space="preserve">: 1525-1533 [PMID: 10550309 DOI: </w:t>
      </w:r>
      <w:r w:rsidR="00D4014D">
        <w:fldChar w:fldCharType="begin"/>
      </w:r>
      <w:r w:rsidR="00D4014D">
        <w:instrText xml:space="preserve"> HYPERLINK "h</w:instrText>
      </w:r>
      <w:r w:rsidR="00D4014D">
        <w:instrText xml:space="preserve">ttp://dx.doi.org/10.1016/S0002-9440(10)65468-5" \t "_blank" </w:instrText>
      </w:r>
      <w:r w:rsidR="00D4014D">
        <w:fldChar w:fldCharType="separate"/>
      </w:r>
      <w:r w:rsidRPr="008F0A77">
        <w:rPr>
          <w:rStyle w:val="Hyperlink"/>
          <w:rFonts w:ascii="Book Antiqua" w:hAnsi="Book Antiqua"/>
          <w:color w:val="auto"/>
          <w:sz w:val="24"/>
          <w:szCs w:val="24"/>
          <w:u w:val="none"/>
          <w:shd w:val="clear" w:color="auto" w:fill="FFFFFF"/>
        </w:rPr>
        <w:t>10.1016/S0002-9440(10)65468-5</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73 </w:t>
      </w:r>
      <w:r w:rsidRPr="008F0A77">
        <w:rPr>
          <w:rFonts w:ascii="Book Antiqua" w:hAnsi="Book Antiqua" w:cs="宋体"/>
          <w:b/>
          <w:bCs/>
          <w:sz w:val="24"/>
          <w:szCs w:val="24"/>
        </w:rPr>
        <w:t>Xie MJ</w:t>
      </w:r>
      <w:r w:rsidRPr="008F0A77">
        <w:rPr>
          <w:rFonts w:ascii="Book Antiqua" w:hAnsi="Book Antiqua" w:cs="宋体"/>
          <w:sz w:val="24"/>
          <w:szCs w:val="24"/>
        </w:rPr>
        <w:t>, Motoo Y, Iovanna JL, Su SB, Ohtsubo K, Matsubara F, Sawabu N. Overexpression of pancreatitis-associated protein (PAP) in human pancreatic ductal adenocarcinoma. </w:t>
      </w:r>
      <w:r w:rsidRPr="008F0A77">
        <w:rPr>
          <w:rFonts w:ascii="Book Antiqua" w:hAnsi="Book Antiqua" w:cs="宋体"/>
          <w:i/>
          <w:iCs/>
          <w:sz w:val="24"/>
          <w:szCs w:val="24"/>
        </w:rPr>
        <w:t>Dig Dis Sci</w:t>
      </w:r>
      <w:r w:rsidRPr="008F0A77">
        <w:rPr>
          <w:rFonts w:ascii="Book Antiqua" w:hAnsi="Book Antiqua" w:cs="宋体"/>
          <w:sz w:val="24"/>
          <w:szCs w:val="24"/>
        </w:rPr>
        <w:t> 2003; </w:t>
      </w:r>
      <w:r w:rsidRPr="008F0A77">
        <w:rPr>
          <w:rFonts w:ascii="Book Antiqua" w:hAnsi="Book Antiqua" w:cs="宋体"/>
          <w:b/>
          <w:bCs/>
          <w:sz w:val="24"/>
          <w:szCs w:val="24"/>
        </w:rPr>
        <w:t>48</w:t>
      </w:r>
      <w:r w:rsidRPr="008F0A77">
        <w:rPr>
          <w:rFonts w:ascii="Book Antiqua" w:hAnsi="Book Antiqua" w:cs="宋体"/>
          <w:sz w:val="24"/>
          <w:szCs w:val="24"/>
        </w:rPr>
        <w:t xml:space="preserve">: 459-464 [PMID: 12757156 DOI: </w:t>
      </w:r>
      <w:r w:rsidR="00D4014D">
        <w:fldChar w:fldCharType="begin"/>
      </w:r>
      <w:r w:rsidR="00D4014D">
        <w:instrText xml:space="preserve"> HYPERLINK "http://dx.doi.org/10.1023/A:1022520212447" \t "_blank" </w:instrText>
      </w:r>
      <w:r w:rsidR="00D4014D">
        <w:fldChar w:fldCharType="separate"/>
      </w:r>
      <w:r w:rsidRPr="008F0A77">
        <w:rPr>
          <w:rStyle w:val="Hyperlink"/>
          <w:rFonts w:ascii="Book Antiqua" w:hAnsi="Book Antiqua"/>
          <w:color w:val="auto"/>
          <w:sz w:val="24"/>
          <w:szCs w:val="24"/>
          <w:u w:val="none"/>
          <w:shd w:val="clear" w:color="auto" w:fill="FFFFFF"/>
        </w:rPr>
        <w:t>10.1023/A:1022520212447</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74 </w:t>
      </w:r>
      <w:r w:rsidRPr="008F0A77">
        <w:rPr>
          <w:rFonts w:ascii="Book Antiqua" w:hAnsi="Book Antiqua" w:cs="宋体"/>
          <w:b/>
          <w:bCs/>
          <w:sz w:val="24"/>
          <w:szCs w:val="24"/>
        </w:rPr>
        <w:t>Rosty C</w:t>
      </w:r>
      <w:r w:rsidRPr="008F0A77">
        <w:rPr>
          <w:rFonts w:ascii="Book Antiqua" w:hAnsi="Book Antiqua" w:cs="宋体"/>
          <w:sz w:val="24"/>
          <w:szCs w:val="24"/>
        </w:rPr>
        <w:t>, Christa L, Kuzdzal S, Baldwin WM, Zahurak ML, Carnot F, Chan DW, Canto M, Lillemoe KD, Cameron JL, Yeo CJ, Hruban RH, Goggins M. Identification of hepatocarcinoma-intestine-pancreas/pancreatitis-associated protein I as a biomarker for pancreatic ductal adenocarcinoma by protein biochip technology. </w:t>
      </w:r>
      <w:r w:rsidRPr="008F0A77">
        <w:rPr>
          <w:rFonts w:ascii="Book Antiqua" w:hAnsi="Book Antiqua" w:cs="宋体"/>
          <w:i/>
          <w:iCs/>
          <w:sz w:val="24"/>
          <w:szCs w:val="24"/>
        </w:rPr>
        <w:t>Cancer Res</w:t>
      </w:r>
      <w:r w:rsidRPr="008F0A77">
        <w:rPr>
          <w:rFonts w:ascii="Book Antiqua" w:hAnsi="Book Antiqua" w:cs="宋体"/>
          <w:sz w:val="24"/>
          <w:szCs w:val="24"/>
        </w:rPr>
        <w:t> 2002; </w:t>
      </w:r>
      <w:r w:rsidRPr="008F0A77">
        <w:rPr>
          <w:rFonts w:ascii="Book Antiqua" w:hAnsi="Book Antiqua" w:cs="宋体"/>
          <w:b/>
          <w:bCs/>
          <w:sz w:val="24"/>
          <w:szCs w:val="24"/>
        </w:rPr>
        <w:t>62</w:t>
      </w:r>
      <w:r w:rsidRPr="008F0A77">
        <w:rPr>
          <w:rFonts w:ascii="Book Antiqua" w:hAnsi="Book Antiqua" w:cs="宋体"/>
          <w:sz w:val="24"/>
          <w:szCs w:val="24"/>
        </w:rPr>
        <w:t>: 1868-1875 [PMID: 11912167]</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75 </w:t>
      </w:r>
      <w:r w:rsidRPr="008F0A77">
        <w:rPr>
          <w:rFonts w:ascii="Book Antiqua" w:hAnsi="Book Antiqua" w:cs="宋体"/>
          <w:b/>
          <w:bCs/>
          <w:sz w:val="24"/>
          <w:szCs w:val="24"/>
        </w:rPr>
        <w:t>Lin YY</w:t>
      </w:r>
      <w:r w:rsidRPr="008F0A77">
        <w:rPr>
          <w:rFonts w:ascii="Book Antiqua" w:hAnsi="Book Antiqua" w:cs="宋体"/>
          <w:sz w:val="24"/>
          <w:szCs w:val="24"/>
        </w:rPr>
        <w:t>, Viterbo D, Mueller CM, Stanek AE, Smith-Norowitz T, Drew H, Wadgaonkar R, Zenilman ME, Bluth MH. Small-interference RNA gene knockdown of pancreatitis-associated proteins in rat acute pancreatitis. </w:t>
      </w:r>
      <w:r w:rsidRPr="008F0A77">
        <w:rPr>
          <w:rFonts w:ascii="Book Antiqua" w:hAnsi="Book Antiqua" w:cs="宋体"/>
          <w:i/>
          <w:iCs/>
          <w:sz w:val="24"/>
          <w:szCs w:val="24"/>
        </w:rPr>
        <w:t>Pancreas</w:t>
      </w:r>
      <w:r w:rsidRPr="008F0A77">
        <w:rPr>
          <w:rFonts w:ascii="Book Antiqua" w:hAnsi="Book Antiqua" w:cs="宋体"/>
          <w:sz w:val="24"/>
          <w:szCs w:val="24"/>
        </w:rPr>
        <w:t> 2008; </w:t>
      </w:r>
      <w:r w:rsidRPr="008F0A77">
        <w:rPr>
          <w:rFonts w:ascii="Book Antiqua" w:hAnsi="Book Antiqua" w:cs="宋体"/>
          <w:b/>
          <w:bCs/>
          <w:sz w:val="24"/>
          <w:szCs w:val="24"/>
        </w:rPr>
        <w:t>36</w:t>
      </w:r>
      <w:r w:rsidRPr="008F0A77">
        <w:rPr>
          <w:rFonts w:ascii="Book Antiqua" w:hAnsi="Book Antiqua" w:cs="宋体"/>
          <w:sz w:val="24"/>
          <w:szCs w:val="24"/>
        </w:rPr>
        <w:t>: 402-410 [PMID: 18437087 DOI: 10.1097/MPA.0b013e31815f3933]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lastRenderedPageBreak/>
        <w:t>76 </w:t>
      </w:r>
      <w:r w:rsidRPr="008F0A77">
        <w:rPr>
          <w:rFonts w:ascii="Book Antiqua" w:hAnsi="Book Antiqua" w:cs="宋体"/>
          <w:b/>
          <w:bCs/>
          <w:sz w:val="24"/>
          <w:szCs w:val="24"/>
        </w:rPr>
        <w:t>Shigekawa M</w:t>
      </w:r>
      <w:r w:rsidRPr="008F0A77">
        <w:rPr>
          <w:rFonts w:ascii="Book Antiqua" w:hAnsi="Book Antiqua" w:cs="宋体"/>
          <w:sz w:val="24"/>
          <w:szCs w:val="24"/>
        </w:rPr>
        <w:t xml:space="preserve">, Hikita H, Kodama T, Shimizu S, Li W, Uemura A, Miyagi T, Hosui A, Kanto T, Hiramatsu N, Tatsumi T, Takeda K, Akira S, Takehara T. Pancreatic STAT3 protects mice against caerulein-induced pancreatitis </w:t>
      </w:r>
      <w:r w:rsidRPr="008F0A77">
        <w:rPr>
          <w:rFonts w:ascii="Book Antiqua" w:hAnsi="Book Antiqua" w:cs="宋体"/>
          <w:i/>
          <w:sz w:val="24"/>
          <w:szCs w:val="24"/>
        </w:rPr>
        <w:t xml:space="preserve">via </w:t>
      </w:r>
      <w:r w:rsidRPr="008F0A77">
        <w:rPr>
          <w:rFonts w:ascii="Book Antiqua" w:hAnsi="Book Antiqua" w:cs="宋体"/>
          <w:sz w:val="24"/>
          <w:szCs w:val="24"/>
        </w:rPr>
        <w:t>PAP1 induction. </w:t>
      </w:r>
      <w:r w:rsidRPr="008F0A77">
        <w:rPr>
          <w:rFonts w:ascii="Book Antiqua" w:hAnsi="Book Antiqua" w:cs="宋体"/>
          <w:i/>
          <w:iCs/>
          <w:sz w:val="24"/>
          <w:szCs w:val="24"/>
        </w:rPr>
        <w:t>Am J Pathol</w:t>
      </w:r>
      <w:r w:rsidRPr="008F0A77">
        <w:rPr>
          <w:rFonts w:ascii="Book Antiqua" w:hAnsi="Book Antiqua" w:cs="宋体"/>
          <w:sz w:val="24"/>
          <w:szCs w:val="24"/>
        </w:rPr>
        <w:t> 2012; </w:t>
      </w:r>
      <w:r w:rsidRPr="008F0A77">
        <w:rPr>
          <w:rFonts w:ascii="Book Antiqua" w:hAnsi="Book Antiqua" w:cs="宋体"/>
          <w:b/>
          <w:bCs/>
          <w:sz w:val="24"/>
          <w:szCs w:val="24"/>
        </w:rPr>
        <w:t>181</w:t>
      </w:r>
      <w:r w:rsidRPr="008F0A77">
        <w:rPr>
          <w:rFonts w:ascii="Book Antiqua" w:hAnsi="Book Antiqua" w:cs="宋体"/>
          <w:sz w:val="24"/>
          <w:szCs w:val="24"/>
        </w:rPr>
        <w:t>: 2105-2113 [PMID: 23064197 DOI: 10.1016/j.ajpath.2012.08.038]</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77 </w:t>
      </w:r>
      <w:r w:rsidRPr="008F0A77">
        <w:rPr>
          <w:rFonts w:ascii="Book Antiqua" w:hAnsi="Book Antiqua" w:cs="宋体"/>
          <w:b/>
          <w:bCs/>
          <w:sz w:val="24"/>
          <w:szCs w:val="24"/>
        </w:rPr>
        <w:t>Gironella M</w:t>
      </w:r>
      <w:r w:rsidRPr="008F0A77">
        <w:rPr>
          <w:rFonts w:ascii="Book Antiqua" w:hAnsi="Book Antiqua" w:cs="宋体"/>
          <w:sz w:val="24"/>
          <w:szCs w:val="24"/>
        </w:rPr>
        <w:t>, Folch-Puy E, LeGoffic A, Garcia S, Christa L, Smith A, Tebar L, Hunt SP, Bayne R, Smith AJ, Dagorn JC, Closa D, Iovanna JL. Experimental acute pancreatitis in PAP/HIP knock-out mice. </w:t>
      </w:r>
      <w:r w:rsidRPr="008F0A77">
        <w:rPr>
          <w:rFonts w:ascii="Book Antiqua" w:hAnsi="Book Antiqua" w:cs="宋体"/>
          <w:i/>
          <w:iCs/>
          <w:sz w:val="24"/>
          <w:szCs w:val="24"/>
        </w:rPr>
        <w:t>Gut</w:t>
      </w:r>
      <w:r w:rsidRPr="008F0A77">
        <w:rPr>
          <w:rFonts w:ascii="Book Antiqua" w:hAnsi="Book Antiqua" w:cs="宋体"/>
          <w:sz w:val="24"/>
          <w:szCs w:val="24"/>
        </w:rPr>
        <w:t> 2007; </w:t>
      </w:r>
      <w:r w:rsidRPr="008F0A77">
        <w:rPr>
          <w:rFonts w:ascii="Book Antiqua" w:hAnsi="Book Antiqua" w:cs="宋体"/>
          <w:b/>
          <w:bCs/>
          <w:sz w:val="24"/>
          <w:szCs w:val="24"/>
        </w:rPr>
        <w:t>56</w:t>
      </w:r>
      <w:r w:rsidRPr="008F0A77">
        <w:rPr>
          <w:rFonts w:ascii="Book Antiqua" w:hAnsi="Book Antiqua" w:cs="宋体"/>
          <w:sz w:val="24"/>
          <w:szCs w:val="24"/>
        </w:rPr>
        <w:t>: 1091-1097 [PMID: 17409121]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78 </w:t>
      </w:r>
      <w:r w:rsidRPr="008F0A77">
        <w:rPr>
          <w:rFonts w:ascii="Book Antiqua" w:hAnsi="Book Antiqua" w:cs="宋体"/>
          <w:b/>
          <w:bCs/>
          <w:sz w:val="24"/>
          <w:szCs w:val="24"/>
        </w:rPr>
        <w:t>Murray PJ</w:t>
      </w:r>
      <w:r w:rsidRPr="008F0A77">
        <w:rPr>
          <w:rFonts w:ascii="Book Antiqua" w:hAnsi="Book Antiqua" w:cs="宋体"/>
          <w:sz w:val="24"/>
          <w:szCs w:val="24"/>
        </w:rPr>
        <w:t>, Wynn TA. Protective and pathogenic functions of macrophage subsets. </w:t>
      </w:r>
      <w:r w:rsidRPr="008F0A77">
        <w:rPr>
          <w:rFonts w:ascii="Book Antiqua" w:hAnsi="Book Antiqua" w:cs="宋体"/>
          <w:i/>
          <w:iCs/>
          <w:sz w:val="24"/>
          <w:szCs w:val="24"/>
        </w:rPr>
        <w:t>Nat Rev Immunol</w:t>
      </w:r>
      <w:r w:rsidRPr="008F0A77">
        <w:rPr>
          <w:rFonts w:ascii="Book Antiqua" w:hAnsi="Book Antiqua" w:cs="宋体"/>
          <w:sz w:val="24"/>
          <w:szCs w:val="24"/>
        </w:rPr>
        <w:t> 2011; </w:t>
      </w:r>
      <w:r w:rsidRPr="008F0A77">
        <w:rPr>
          <w:rFonts w:ascii="Book Antiqua" w:hAnsi="Book Antiqua" w:cs="宋体"/>
          <w:b/>
          <w:bCs/>
          <w:sz w:val="24"/>
          <w:szCs w:val="24"/>
        </w:rPr>
        <w:t>11</w:t>
      </w:r>
      <w:r w:rsidRPr="008F0A77">
        <w:rPr>
          <w:rFonts w:ascii="Book Antiqua" w:hAnsi="Book Antiqua" w:cs="宋体"/>
          <w:sz w:val="24"/>
          <w:szCs w:val="24"/>
        </w:rPr>
        <w:t>: 723-737 [PMID: 21997792 DOI: 10.1038/nri3073]</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79 </w:t>
      </w:r>
      <w:r w:rsidRPr="008F0A77">
        <w:rPr>
          <w:rFonts w:ascii="Book Antiqua" w:hAnsi="Book Antiqua" w:cs="宋体"/>
          <w:b/>
          <w:bCs/>
          <w:sz w:val="24"/>
          <w:szCs w:val="24"/>
        </w:rPr>
        <w:t>Nakamichi I</w:t>
      </w:r>
      <w:r w:rsidRPr="008F0A77">
        <w:rPr>
          <w:rFonts w:ascii="Book Antiqua" w:hAnsi="Book Antiqua" w:cs="宋体"/>
          <w:sz w:val="24"/>
          <w:szCs w:val="24"/>
        </w:rPr>
        <w:t xml:space="preserve">, Habtezion A, Zhong B, Contag CH, Butcher EC, Omary MB. Hemin-activated macrophages home to the pancreas and protect from acute pancreatitis </w:t>
      </w:r>
      <w:r w:rsidRPr="008F0A77">
        <w:rPr>
          <w:rFonts w:ascii="Book Antiqua" w:hAnsi="Book Antiqua" w:cs="宋体"/>
          <w:i/>
          <w:sz w:val="24"/>
          <w:szCs w:val="24"/>
        </w:rPr>
        <w:t xml:space="preserve">via </w:t>
      </w:r>
      <w:r w:rsidRPr="008F0A77">
        <w:rPr>
          <w:rFonts w:ascii="Book Antiqua" w:hAnsi="Book Antiqua" w:cs="宋体"/>
          <w:sz w:val="24"/>
          <w:szCs w:val="24"/>
        </w:rPr>
        <w:t>heme oxygenase-1 induction. </w:t>
      </w:r>
      <w:r w:rsidRPr="008F0A77">
        <w:rPr>
          <w:rFonts w:ascii="Book Antiqua" w:hAnsi="Book Antiqua" w:cs="宋体"/>
          <w:i/>
          <w:iCs/>
          <w:sz w:val="24"/>
          <w:szCs w:val="24"/>
        </w:rPr>
        <w:t>J Clin Invest</w:t>
      </w:r>
      <w:r w:rsidRPr="008F0A77">
        <w:rPr>
          <w:rFonts w:ascii="Book Antiqua" w:hAnsi="Book Antiqua" w:cs="宋体"/>
          <w:sz w:val="24"/>
          <w:szCs w:val="24"/>
        </w:rPr>
        <w:t> 2005; </w:t>
      </w:r>
      <w:r w:rsidRPr="008F0A77">
        <w:rPr>
          <w:rFonts w:ascii="Book Antiqua" w:hAnsi="Book Antiqua" w:cs="宋体"/>
          <w:b/>
          <w:bCs/>
          <w:sz w:val="24"/>
          <w:szCs w:val="24"/>
        </w:rPr>
        <w:t>115</w:t>
      </w:r>
      <w:r w:rsidRPr="008F0A77">
        <w:rPr>
          <w:rFonts w:ascii="Book Antiqua" w:hAnsi="Book Antiqua" w:cs="宋体"/>
          <w:sz w:val="24"/>
          <w:szCs w:val="24"/>
        </w:rPr>
        <w:t xml:space="preserve">: 3007-3014 [PMID: 16239966 DOI: </w:t>
      </w:r>
      <w:r w:rsidR="00D4014D">
        <w:fldChar w:fldCharType="begin"/>
      </w:r>
      <w:r w:rsidR="00D4014D">
        <w:instrText xml:space="preserve"> HYPERLINK "http://dx.do</w:instrText>
      </w:r>
      <w:r w:rsidR="00D4014D">
        <w:instrText xml:space="preserve">i.org/10.1172/JCI24912" \t "_blank" </w:instrText>
      </w:r>
      <w:r w:rsidR="00D4014D">
        <w:fldChar w:fldCharType="separate"/>
      </w:r>
      <w:r w:rsidRPr="008F0A77">
        <w:rPr>
          <w:rStyle w:val="Hyperlink"/>
          <w:rFonts w:ascii="Book Antiqua" w:hAnsi="Book Antiqua"/>
          <w:color w:val="auto"/>
          <w:sz w:val="24"/>
          <w:szCs w:val="24"/>
          <w:u w:val="none"/>
          <w:shd w:val="clear" w:color="auto" w:fill="FFFFFF"/>
        </w:rPr>
        <w:t>10.1172/JCI24912</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80 </w:t>
      </w:r>
      <w:r w:rsidRPr="008F0A77">
        <w:rPr>
          <w:rFonts w:ascii="Book Antiqua" w:hAnsi="Book Antiqua" w:cs="宋体"/>
          <w:b/>
          <w:bCs/>
          <w:sz w:val="24"/>
          <w:szCs w:val="24"/>
        </w:rPr>
        <w:t>Mikami Y</w:t>
      </w:r>
      <w:r w:rsidRPr="008F0A77">
        <w:rPr>
          <w:rFonts w:ascii="Book Antiqua" w:hAnsi="Book Antiqua" w:cs="宋体"/>
          <w:sz w:val="24"/>
          <w:szCs w:val="24"/>
        </w:rPr>
        <w:t>, Takeda K, Shibuya K, Qiu-Feng H, Egawa S, Sunamura M, Matsuno S. Peritoneal inflammatory cells in acute pancreatitis: Relationship of infiltration dynamics and cytokine production with severity of illness. </w:t>
      </w:r>
      <w:r w:rsidRPr="008F0A77">
        <w:rPr>
          <w:rFonts w:ascii="Book Antiqua" w:hAnsi="Book Antiqua" w:cs="宋体"/>
          <w:i/>
          <w:iCs/>
          <w:sz w:val="24"/>
          <w:szCs w:val="24"/>
        </w:rPr>
        <w:t>Surgery</w:t>
      </w:r>
      <w:r w:rsidRPr="008F0A77">
        <w:rPr>
          <w:rFonts w:ascii="Book Antiqua" w:hAnsi="Book Antiqua" w:cs="宋体"/>
          <w:sz w:val="24"/>
          <w:szCs w:val="24"/>
        </w:rPr>
        <w:t> 2002; </w:t>
      </w:r>
      <w:r w:rsidRPr="008F0A77">
        <w:rPr>
          <w:rFonts w:ascii="Book Antiqua" w:hAnsi="Book Antiqua" w:cs="宋体"/>
          <w:b/>
          <w:bCs/>
          <w:sz w:val="24"/>
          <w:szCs w:val="24"/>
        </w:rPr>
        <w:t>132</w:t>
      </w:r>
      <w:r w:rsidRPr="008F0A77">
        <w:rPr>
          <w:rFonts w:ascii="Book Antiqua" w:hAnsi="Book Antiqua" w:cs="宋体"/>
          <w:sz w:val="24"/>
          <w:szCs w:val="24"/>
        </w:rPr>
        <w:t xml:space="preserve">: 86-92 [PMID: 12110800 DOI: </w:t>
      </w:r>
      <w:r w:rsidR="00D4014D">
        <w:fldChar w:fldCharType="begin"/>
      </w:r>
      <w:r w:rsidR="00D4014D">
        <w:instrText xml:space="preserve"> HYPERLINK "http://dx.doi.org/10.1067/msy.2002.125171" \t "_blank" </w:instrText>
      </w:r>
      <w:r w:rsidR="00D4014D">
        <w:fldChar w:fldCharType="separate"/>
      </w:r>
      <w:r w:rsidRPr="008F0A77">
        <w:rPr>
          <w:rStyle w:val="Hyperlink"/>
          <w:rFonts w:ascii="Book Antiqua" w:hAnsi="Book Antiqua"/>
          <w:color w:val="auto"/>
          <w:sz w:val="24"/>
          <w:szCs w:val="24"/>
          <w:u w:val="none"/>
          <w:shd w:val="clear" w:color="auto" w:fill="FFFFFF"/>
        </w:rPr>
        <w:t>10.1067/msy.2002.125171</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81 </w:t>
      </w:r>
      <w:r w:rsidRPr="008F0A77">
        <w:rPr>
          <w:rFonts w:ascii="Book Antiqua" w:hAnsi="Book Antiqua" w:cs="宋体"/>
          <w:b/>
          <w:bCs/>
          <w:sz w:val="24"/>
          <w:szCs w:val="24"/>
        </w:rPr>
        <w:t>Malleo G</w:t>
      </w:r>
      <w:r w:rsidRPr="008F0A77">
        <w:rPr>
          <w:rFonts w:ascii="Book Antiqua" w:hAnsi="Book Antiqua" w:cs="宋体"/>
          <w:sz w:val="24"/>
          <w:szCs w:val="24"/>
        </w:rPr>
        <w:t>, Mazzon E, Siriwardena AK, Cuzzocrea S. Role of tumor necrosis factor-alpha in acute pancreatitis: from biological basis to clinical evidence. </w:t>
      </w:r>
      <w:r w:rsidRPr="008F0A77">
        <w:rPr>
          <w:rFonts w:ascii="Book Antiqua" w:hAnsi="Book Antiqua" w:cs="宋体"/>
          <w:i/>
          <w:iCs/>
          <w:sz w:val="24"/>
          <w:szCs w:val="24"/>
        </w:rPr>
        <w:t>Shock</w:t>
      </w:r>
      <w:r w:rsidRPr="008F0A77">
        <w:rPr>
          <w:rFonts w:ascii="Book Antiqua" w:hAnsi="Book Antiqua" w:cs="宋体"/>
          <w:sz w:val="24"/>
          <w:szCs w:val="24"/>
        </w:rPr>
        <w:t> 2007; </w:t>
      </w:r>
      <w:r w:rsidRPr="008F0A77">
        <w:rPr>
          <w:rFonts w:ascii="Book Antiqua" w:hAnsi="Book Antiqua" w:cs="宋体"/>
          <w:b/>
          <w:bCs/>
          <w:sz w:val="24"/>
          <w:szCs w:val="24"/>
        </w:rPr>
        <w:t>28</w:t>
      </w:r>
      <w:r w:rsidRPr="008F0A77">
        <w:rPr>
          <w:rFonts w:ascii="Book Antiqua" w:hAnsi="Book Antiqua" w:cs="宋体"/>
          <w:sz w:val="24"/>
          <w:szCs w:val="24"/>
        </w:rPr>
        <w:t xml:space="preserve">: 130-140 [PMID: 17529903 DOI: </w:t>
      </w:r>
      <w:r w:rsidR="00D4014D">
        <w:fldChar w:fldCharType="begin"/>
      </w:r>
      <w:r w:rsidR="00D4014D">
        <w:instrText xml:space="preserve"> HYPERLINK "http://dx.doi.org/10.1097/shk.0b013e3180487ba1" \t "_blank" </w:instrText>
      </w:r>
      <w:r w:rsidR="00D4014D">
        <w:fldChar w:fldCharType="separate"/>
      </w:r>
      <w:r w:rsidRPr="008F0A77">
        <w:rPr>
          <w:rStyle w:val="Hyperlink"/>
          <w:rFonts w:ascii="Book Antiqua" w:hAnsi="Book Antiqua"/>
          <w:color w:val="auto"/>
          <w:sz w:val="24"/>
          <w:szCs w:val="24"/>
          <w:u w:val="none"/>
          <w:shd w:val="clear" w:color="auto" w:fill="FFFFFF"/>
        </w:rPr>
        <w:t>10.1097/shk.0b013e3180487ba1</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82 </w:t>
      </w:r>
      <w:r w:rsidRPr="008F0A77">
        <w:rPr>
          <w:rFonts w:ascii="Book Antiqua" w:hAnsi="Book Antiqua" w:cs="宋体"/>
          <w:b/>
          <w:bCs/>
          <w:sz w:val="24"/>
          <w:szCs w:val="24"/>
        </w:rPr>
        <w:t>Kaufmann P</w:t>
      </w:r>
      <w:r w:rsidRPr="008F0A77">
        <w:rPr>
          <w:rFonts w:ascii="Book Antiqua" w:hAnsi="Book Antiqua" w:cs="宋体"/>
          <w:sz w:val="24"/>
          <w:szCs w:val="24"/>
        </w:rPr>
        <w:t>, Tilz GP, Lueger A, Demel U. Elevated plasma levels of soluble tumor necrosis factor receptor (sTNFRp60) reflect severity of acute pancreatitis. </w:t>
      </w:r>
      <w:r w:rsidRPr="008F0A77">
        <w:rPr>
          <w:rFonts w:ascii="Book Antiqua" w:hAnsi="Book Antiqua" w:cs="宋体"/>
          <w:i/>
          <w:iCs/>
          <w:sz w:val="24"/>
          <w:szCs w:val="24"/>
        </w:rPr>
        <w:t>Intensive Care Med</w:t>
      </w:r>
      <w:r w:rsidRPr="008F0A77">
        <w:rPr>
          <w:rFonts w:ascii="Book Antiqua" w:hAnsi="Book Antiqua" w:cs="宋体"/>
          <w:sz w:val="24"/>
          <w:szCs w:val="24"/>
        </w:rPr>
        <w:t> 1997; </w:t>
      </w:r>
      <w:r w:rsidRPr="008F0A77">
        <w:rPr>
          <w:rFonts w:ascii="Book Antiqua" w:hAnsi="Book Antiqua" w:cs="宋体"/>
          <w:b/>
          <w:bCs/>
          <w:sz w:val="24"/>
          <w:szCs w:val="24"/>
        </w:rPr>
        <w:t>23</w:t>
      </w:r>
      <w:r w:rsidRPr="008F0A77">
        <w:rPr>
          <w:rFonts w:ascii="Book Antiqua" w:hAnsi="Book Antiqua" w:cs="宋体"/>
          <w:sz w:val="24"/>
          <w:szCs w:val="24"/>
        </w:rPr>
        <w:t xml:space="preserve">: 841-848 [PMID: 9310801 DOI: </w:t>
      </w:r>
      <w:r w:rsidR="00D4014D">
        <w:fldChar w:fldCharType="begin"/>
      </w:r>
      <w:r w:rsidR="00D4014D">
        <w:instrText xml:space="preserve"> HYPERLINK "http://dx.doi.org/10.1007/s001340050420" \t "_blank" </w:instrText>
      </w:r>
      <w:r w:rsidR="00D4014D">
        <w:fldChar w:fldCharType="separate"/>
      </w:r>
      <w:r w:rsidRPr="008F0A77">
        <w:rPr>
          <w:rStyle w:val="Hyperlink"/>
          <w:rFonts w:ascii="Book Antiqua" w:hAnsi="Book Antiqua"/>
          <w:color w:val="auto"/>
          <w:sz w:val="24"/>
          <w:szCs w:val="24"/>
          <w:u w:val="none"/>
          <w:shd w:val="clear" w:color="auto" w:fill="FFFFFF"/>
        </w:rPr>
        <w:t>10.1007/s001340050420</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83 </w:t>
      </w:r>
      <w:r w:rsidRPr="008F0A77">
        <w:rPr>
          <w:rFonts w:ascii="Book Antiqua" w:hAnsi="Book Antiqua" w:cs="宋体"/>
          <w:b/>
          <w:bCs/>
          <w:sz w:val="24"/>
          <w:szCs w:val="24"/>
        </w:rPr>
        <w:t>Granell S</w:t>
      </w:r>
      <w:r w:rsidRPr="008F0A77">
        <w:rPr>
          <w:rFonts w:ascii="Book Antiqua" w:hAnsi="Book Antiqua" w:cs="宋体"/>
          <w:sz w:val="24"/>
          <w:szCs w:val="24"/>
        </w:rPr>
        <w:t>, Pereda J, Gómez-Cambronero L, Cassinello N, Sabater L, Closa D, Sastre J. Circulating TNF-alpha and its soluble receptors during experimental acute pancreatitis. </w:t>
      </w:r>
      <w:r w:rsidRPr="008F0A77">
        <w:rPr>
          <w:rFonts w:ascii="Book Antiqua" w:hAnsi="Book Antiqua" w:cs="宋体"/>
          <w:i/>
          <w:iCs/>
          <w:sz w:val="24"/>
          <w:szCs w:val="24"/>
        </w:rPr>
        <w:t>Cytokine</w:t>
      </w:r>
      <w:r w:rsidRPr="008F0A77">
        <w:rPr>
          <w:rFonts w:ascii="Book Antiqua" w:hAnsi="Book Antiqua" w:cs="宋体"/>
          <w:sz w:val="24"/>
          <w:szCs w:val="24"/>
        </w:rPr>
        <w:t> 2004; </w:t>
      </w:r>
      <w:r w:rsidRPr="008F0A77">
        <w:rPr>
          <w:rFonts w:ascii="Book Antiqua" w:hAnsi="Book Antiqua" w:cs="宋体"/>
          <w:b/>
          <w:bCs/>
          <w:sz w:val="24"/>
          <w:szCs w:val="24"/>
        </w:rPr>
        <w:t>25</w:t>
      </w:r>
      <w:r w:rsidRPr="008F0A77">
        <w:rPr>
          <w:rFonts w:ascii="Book Antiqua" w:hAnsi="Book Antiqua" w:cs="宋体"/>
          <w:sz w:val="24"/>
          <w:szCs w:val="24"/>
        </w:rPr>
        <w:t xml:space="preserve">: 187-191 [PMID: 15164724 DOI: </w:t>
      </w:r>
      <w:r w:rsidR="00D4014D">
        <w:fldChar w:fldCharType="begin"/>
      </w:r>
      <w:r w:rsidR="00D4014D">
        <w:instrText xml:space="preserve"> HYPERLINK "http://dx.</w:instrText>
      </w:r>
      <w:r w:rsidR="00D4014D">
        <w:instrText xml:space="preserve">doi.org/10.1016/j.cyto.2003.10.011" \t "_blank" </w:instrText>
      </w:r>
      <w:r w:rsidR="00D4014D">
        <w:fldChar w:fldCharType="separate"/>
      </w:r>
      <w:r w:rsidRPr="008F0A77">
        <w:rPr>
          <w:rStyle w:val="Hyperlink"/>
          <w:rFonts w:ascii="Book Antiqua" w:hAnsi="Book Antiqua"/>
          <w:color w:val="auto"/>
          <w:sz w:val="24"/>
          <w:szCs w:val="24"/>
          <w:u w:val="none"/>
          <w:shd w:val="clear" w:color="auto" w:fill="FFFFFF"/>
        </w:rPr>
        <w:t>10.1016/j.cyto.2003.10.011</w:t>
      </w:r>
      <w:r w:rsidR="00D4014D">
        <w:rPr>
          <w:rStyle w:val="Hyperlink"/>
          <w:rFonts w:ascii="Book Antiqua" w:hAnsi="Book Antiqua"/>
          <w:color w:val="auto"/>
          <w:sz w:val="24"/>
          <w:szCs w:val="24"/>
          <w:u w:val="none"/>
          <w:shd w:val="clear" w:color="auto" w:fill="FFFFFF"/>
        </w:rPr>
        <w:fldChar w:fldCharType="end"/>
      </w:r>
      <w:r w:rsidRPr="008F0A77">
        <w:rPr>
          <w:rFonts w:ascii="Book Antiqua" w:hAnsi="Book Antiqua" w:cs="宋体"/>
          <w:sz w:val="24"/>
          <w:szCs w:val="24"/>
        </w:rPr>
        <w:t>]</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84 </w:t>
      </w:r>
      <w:r w:rsidRPr="008F0A77">
        <w:rPr>
          <w:rFonts w:ascii="Book Antiqua" w:hAnsi="Book Antiqua" w:cs="宋体"/>
          <w:b/>
          <w:bCs/>
          <w:sz w:val="24"/>
          <w:szCs w:val="24"/>
        </w:rPr>
        <w:t>Shen Y</w:t>
      </w:r>
      <w:r w:rsidRPr="008F0A77">
        <w:rPr>
          <w:rFonts w:ascii="Book Antiqua" w:hAnsi="Book Antiqua" w:cs="宋体"/>
          <w:sz w:val="24"/>
          <w:szCs w:val="24"/>
        </w:rPr>
        <w:t>, Cui N, Miao B, Zhao E. Immune dysregulation in patients with severe acute pancreatitis. </w:t>
      </w:r>
      <w:r w:rsidRPr="008F0A77">
        <w:rPr>
          <w:rFonts w:ascii="Book Antiqua" w:hAnsi="Book Antiqua" w:cs="宋体"/>
          <w:i/>
          <w:iCs/>
          <w:sz w:val="24"/>
          <w:szCs w:val="24"/>
        </w:rPr>
        <w:t>Inflammation</w:t>
      </w:r>
      <w:r w:rsidRPr="008F0A77">
        <w:rPr>
          <w:rFonts w:ascii="Book Antiqua" w:hAnsi="Book Antiqua" w:cs="宋体"/>
          <w:sz w:val="24"/>
          <w:szCs w:val="24"/>
        </w:rPr>
        <w:t> 2011; </w:t>
      </w:r>
      <w:r w:rsidRPr="008F0A77">
        <w:rPr>
          <w:rFonts w:ascii="Book Antiqua" w:hAnsi="Book Antiqua" w:cs="宋体"/>
          <w:b/>
          <w:bCs/>
          <w:sz w:val="24"/>
          <w:szCs w:val="24"/>
        </w:rPr>
        <w:t>34</w:t>
      </w:r>
      <w:r w:rsidRPr="008F0A77">
        <w:rPr>
          <w:rFonts w:ascii="Book Antiqua" w:hAnsi="Book Antiqua" w:cs="宋体"/>
          <w:sz w:val="24"/>
          <w:szCs w:val="24"/>
        </w:rPr>
        <w:t>: 36-42 [PMID: 20405190 DOI: 10.1007/s10753-010-9205-4]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lastRenderedPageBreak/>
        <w:t>85 </w:t>
      </w:r>
      <w:r w:rsidRPr="008F0A77">
        <w:rPr>
          <w:rFonts w:ascii="Book Antiqua" w:hAnsi="Book Antiqua" w:cs="宋体"/>
          <w:b/>
          <w:bCs/>
          <w:sz w:val="24"/>
          <w:szCs w:val="24"/>
        </w:rPr>
        <w:t>Surbatovic M</w:t>
      </w:r>
      <w:r w:rsidRPr="008F0A77">
        <w:rPr>
          <w:rFonts w:ascii="Book Antiqua" w:hAnsi="Book Antiqua" w:cs="宋体"/>
          <w:sz w:val="24"/>
          <w:szCs w:val="24"/>
        </w:rPr>
        <w:t>, Radakovic S. Tumor necrosis factor-α levels early in severe acute pancreatitis: is there predictive value regarding severity and outcome? </w:t>
      </w:r>
      <w:r w:rsidRPr="008F0A77">
        <w:rPr>
          <w:rFonts w:ascii="Book Antiqua" w:hAnsi="Book Antiqua" w:cs="宋体"/>
          <w:i/>
          <w:iCs/>
          <w:sz w:val="24"/>
          <w:szCs w:val="24"/>
        </w:rPr>
        <w:t>J Clin Gastroenterol</w:t>
      </w:r>
      <w:r w:rsidRPr="008F0A77">
        <w:rPr>
          <w:rFonts w:ascii="Book Antiqua" w:hAnsi="Book Antiqua" w:cs="宋体"/>
          <w:sz w:val="24"/>
          <w:szCs w:val="24"/>
        </w:rPr>
        <w:t> 2013; </w:t>
      </w:r>
      <w:r w:rsidRPr="008F0A77">
        <w:rPr>
          <w:rFonts w:ascii="Book Antiqua" w:hAnsi="Book Antiqua" w:cs="宋体"/>
          <w:b/>
          <w:bCs/>
          <w:sz w:val="24"/>
          <w:szCs w:val="24"/>
        </w:rPr>
        <w:t>47</w:t>
      </w:r>
      <w:r w:rsidRPr="008F0A77">
        <w:rPr>
          <w:rFonts w:ascii="Book Antiqua" w:hAnsi="Book Antiqua" w:cs="宋体"/>
          <w:sz w:val="24"/>
          <w:szCs w:val="24"/>
        </w:rPr>
        <w:t>: 637-643 [PMID: 23470643 DOI: 10.1097/MCG.0b013e31828a6cfc]</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86 </w:t>
      </w:r>
      <w:r w:rsidRPr="008F0A77">
        <w:rPr>
          <w:rFonts w:ascii="Book Antiqua" w:hAnsi="Book Antiqua" w:cs="宋体"/>
          <w:b/>
          <w:bCs/>
          <w:sz w:val="24"/>
          <w:szCs w:val="24"/>
        </w:rPr>
        <w:t>Eyerich S</w:t>
      </w:r>
      <w:r w:rsidRPr="008F0A77">
        <w:rPr>
          <w:rFonts w:ascii="Book Antiqua" w:hAnsi="Book Antiqua" w:cs="宋体"/>
          <w:sz w:val="24"/>
          <w:szCs w:val="24"/>
        </w:rPr>
        <w:t>, Wagener J, Wenzel V, Scarponi C, Pennino D, Albanesi C, Schaller M, Behrendt H, Ring J, Schmidt-Weber CB, Cavani A, Mempel M, Traidl-Hoffmann C, Eyerich K. IL-22 and TNF-α represent a key cytokine combination for epidermal integrity during infection with Candida albicans. </w:t>
      </w:r>
      <w:r w:rsidRPr="008F0A77">
        <w:rPr>
          <w:rFonts w:ascii="Book Antiqua" w:hAnsi="Book Antiqua" w:cs="宋体"/>
          <w:i/>
          <w:iCs/>
          <w:sz w:val="24"/>
          <w:szCs w:val="24"/>
        </w:rPr>
        <w:t>Eur J Immunol</w:t>
      </w:r>
      <w:r w:rsidRPr="008F0A77">
        <w:rPr>
          <w:rFonts w:ascii="Book Antiqua" w:hAnsi="Book Antiqua" w:cs="宋体"/>
          <w:sz w:val="24"/>
          <w:szCs w:val="24"/>
        </w:rPr>
        <w:t> 2011; </w:t>
      </w:r>
      <w:r w:rsidRPr="008F0A77">
        <w:rPr>
          <w:rFonts w:ascii="Book Antiqua" w:hAnsi="Book Antiqua" w:cs="宋体"/>
          <w:b/>
          <w:bCs/>
          <w:sz w:val="24"/>
          <w:szCs w:val="24"/>
        </w:rPr>
        <w:t>41</w:t>
      </w:r>
      <w:r w:rsidRPr="008F0A77">
        <w:rPr>
          <w:rFonts w:ascii="Book Antiqua" w:hAnsi="Book Antiqua" w:cs="宋体"/>
          <w:sz w:val="24"/>
          <w:szCs w:val="24"/>
        </w:rPr>
        <w:t>: 1894-1901 [PMID: 21469124 DOI: 10.1002/eji.201041197]</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87 </w:t>
      </w:r>
      <w:r w:rsidRPr="008F0A77">
        <w:rPr>
          <w:rFonts w:ascii="Book Antiqua" w:hAnsi="Book Antiqua" w:cs="宋体"/>
          <w:b/>
          <w:bCs/>
          <w:sz w:val="24"/>
          <w:szCs w:val="24"/>
        </w:rPr>
        <w:t>Ni J</w:t>
      </w:r>
      <w:r w:rsidRPr="008F0A77">
        <w:rPr>
          <w:rFonts w:ascii="Book Antiqua" w:hAnsi="Book Antiqua" w:cs="宋体"/>
          <w:sz w:val="24"/>
          <w:szCs w:val="24"/>
        </w:rPr>
        <w:t>, Hu G, Xiong J, Shen J, Shen J, Yang L, Tang M, Zhao Y, Ying G, Yu G, Hu Y, Xing M, Wan R, Wang X. Involvement of interleukin-17A in pancreatic damage in rat experimental acute necrotizing pancreatitis. </w:t>
      </w:r>
      <w:r w:rsidRPr="008F0A77">
        <w:rPr>
          <w:rFonts w:ascii="Book Antiqua" w:hAnsi="Book Antiqua" w:cs="宋体"/>
          <w:i/>
          <w:iCs/>
          <w:sz w:val="24"/>
          <w:szCs w:val="24"/>
        </w:rPr>
        <w:t>Inflammation</w:t>
      </w:r>
      <w:r w:rsidRPr="008F0A77">
        <w:rPr>
          <w:rFonts w:ascii="Book Antiqua" w:hAnsi="Book Antiqua" w:cs="宋体"/>
          <w:sz w:val="24"/>
          <w:szCs w:val="24"/>
        </w:rPr>
        <w:t> 2013; </w:t>
      </w:r>
      <w:r w:rsidRPr="008F0A77">
        <w:rPr>
          <w:rFonts w:ascii="Book Antiqua" w:hAnsi="Book Antiqua" w:cs="宋体"/>
          <w:b/>
          <w:bCs/>
          <w:sz w:val="24"/>
          <w:szCs w:val="24"/>
        </w:rPr>
        <w:t>36</w:t>
      </w:r>
      <w:r w:rsidRPr="008F0A77">
        <w:rPr>
          <w:rFonts w:ascii="Book Antiqua" w:hAnsi="Book Antiqua" w:cs="宋体"/>
          <w:sz w:val="24"/>
          <w:szCs w:val="24"/>
        </w:rPr>
        <w:t>: 53-65 [PMID: 22990529 DOI: 10.1007/s10753-012-9519-5]</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88 </w:t>
      </w:r>
      <w:r w:rsidRPr="008F0A77">
        <w:rPr>
          <w:rFonts w:ascii="Book Antiqua" w:hAnsi="Book Antiqua" w:cs="宋体"/>
          <w:b/>
          <w:bCs/>
          <w:sz w:val="24"/>
          <w:szCs w:val="24"/>
        </w:rPr>
        <w:t>Dai SR</w:t>
      </w:r>
      <w:r w:rsidRPr="008F0A77">
        <w:rPr>
          <w:rFonts w:ascii="Book Antiqua" w:hAnsi="Book Antiqua" w:cs="宋体"/>
          <w:sz w:val="24"/>
          <w:szCs w:val="24"/>
        </w:rPr>
        <w:t>, Li Z, Zhang JB. Serum interleukin 17 as an early prognostic biomarker of severe acute pancreatitis receiving continuous blood purification. </w:t>
      </w:r>
      <w:r w:rsidRPr="008F0A77">
        <w:rPr>
          <w:rFonts w:ascii="Book Antiqua" w:hAnsi="Book Antiqua" w:cs="宋体"/>
          <w:i/>
          <w:iCs/>
          <w:sz w:val="24"/>
          <w:szCs w:val="24"/>
        </w:rPr>
        <w:t>Int J Artif Organs</w:t>
      </w:r>
      <w:r w:rsidRPr="008F0A77">
        <w:rPr>
          <w:rFonts w:ascii="Book Antiqua" w:hAnsi="Book Antiqua" w:cs="宋体"/>
          <w:sz w:val="24"/>
          <w:szCs w:val="24"/>
        </w:rPr>
        <w:t> 2015; </w:t>
      </w:r>
      <w:r w:rsidRPr="008F0A77">
        <w:rPr>
          <w:rFonts w:ascii="Book Antiqua" w:hAnsi="Book Antiqua" w:cs="宋体"/>
          <w:b/>
          <w:bCs/>
          <w:sz w:val="24"/>
          <w:szCs w:val="24"/>
        </w:rPr>
        <w:t>38</w:t>
      </w:r>
      <w:r w:rsidRPr="008F0A77">
        <w:rPr>
          <w:rFonts w:ascii="Book Antiqua" w:hAnsi="Book Antiqua" w:cs="宋体"/>
          <w:sz w:val="24"/>
          <w:szCs w:val="24"/>
        </w:rPr>
        <w:t>: 192-198 [PMID: 25907530 DOI: 10.5301/ijao.5000406]</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89 </w:t>
      </w:r>
      <w:r w:rsidRPr="008F0A77">
        <w:rPr>
          <w:rFonts w:ascii="Book Antiqua" w:hAnsi="Book Antiqua" w:cs="宋体"/>
          <w:b/>
          <w:bCs/>
          <w:sz w:val="24"/>
          <w:szCs w:val="24"/>
        </w:rPr>
        <w:t>Sonnenberg GF</w:t>
      </w:r>
      <w:r w:rsidRPr="008F0A77">
        <w:rPr>
          <w:rFonts w:ascii="Book Antiqua" w:hAnsi="Book Antiqua" w:cs="宋体"/>
          <w:sz w:val="24"/>
          <w:szCs w:val="24"/>
        </w:rPr>
        <w:t>, Nair MG, Kirn TJ, Zaph C, Fouser LA, Artis D. Pathological versus protective functions of IL-22 in airway inflammation are regulated by IL-17A. </w:t>
      </w:r>
      <w:r w:rsidRPr="008F0A77">
        <w:rPr>
          <w:rFonts w:ascii="Book Antiqua" w:hAnsi="Book Antiqua" w:cs="宋体"/>
          <w:i/>
          <w:iCs/>
          <w:sz w:val="24"/>
          <w:szCs w:val="24"/>
        </w:rPr>
        <w:t>J Exp Med</w:t>
      </w:r>
      <w:r w:rsidRPr="008F0A77">
        <w:rPr>
          <w:rFonts w:ascii="Book Antiqua" w:hAnsi="Book Antiqua" w:cs="宋体"/>
          <w:sz w:val="24"/>
          <w:szCs w:val="24"/>
        </w:rPr>
        <w:t> 2010; </w:t>
      </w:r>
      <w:r w:rsidRPr="008F0A77">
        <w:rPr>
          <w:rFonts w:ascii="Book Antiqua" w:hAnsi="Book Antiqua" w:cs="宋体"/>
          <w:b/>
          <w:bCs/>
          <w:sz w:val="24"/>
          <w:szCs w:val="24"/>
        </w:rPr>
        <w:t>207</w:t>
      </w:r>
      <w:r w:rsidRPr="008F0A77">
        <w:rPr>
          <w:rFonts w:ascii="Book Antiqua" w:hAnsi="Book Antiqua" w:cs="宋体"/>
          <w:sz w:val="24"/>
          <w:szCs w:val="24"/>
        </w:rPr>
        <w:t>: 1293-1305 [PMID: 20498020 DOI: 10.1084/jem.20092054]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90 </w:t>
      </w:r>
      <w:r w:rsidRPr="008F0A77">
        <w:rPr>
          <w:rFonts w:ascii="Book Antiqua" w:hAnsi="Book Antiqua" w:cs="宋体"/>
          <w:b/>
          <w:bCs/>
          <w:sz w:val="24"/>
          <w:szCs w:val="24"/>
        </w:rPr>
        <w:t>Liang SC</w:t>
      </w:r>
      <w:r w:rsidRPr="008F0A77">
        <w:rPr>
          <w:rFonts w:ascii="Book Antiqua" w:hAnsi="Book Antiqua" w:cs="宋体"/>
          <w:sz w:val="24"/>
          <w:szCs w:val="24"/>
        </w:rPr>
        <w:t>, Tan XY, Luxenberg DP, Karim R, Dunussi-Joannopoulos K, Collins M, Fouser LA. Interleukin (IL)-22 and IL-17 are coexpressed by Th17 cells and cooperatively enhance expression of antimicrobial peptides. </w:t>
      </w:r>
      <w:r w:rsidRPr="008F0A77">
        <w:rPr>
          <w:rFonts w:ascii="Book Antiqua" w:hAnsi="Book Antiqua" w:cs="宋体"/>
          <w:i/>
          <w:iCs/>
          <w:sz w:val="24"/>
          <w:szCs w:val="24"/>
        </w:rPr>
        <w:t>J Exp Med</w:t>
      </w:r>
      <w:r w:rsidRPr="008F0A77">
        <w:rPr>
          <w:rFonts w:ascii="Book Antiqua" w:hAnsi="Book Antiqua" w:cs="宋体"/>
          <w:sz w:val="24"/>
          <w:szCs w:val="24"/>
        </w:rPr>
        <w:t> 2006; </w:t>
      </w:r>
      <w:r w:rsidRPr="008F0A77">
        <w:rPr>
          <w:rFonts w:ascii="Book Antiqua" w:hAnsi="Book Antiqua" w:cs="宋体"/>
          <w:b/>
          <w:bCs/>
          <w:sz w:val="24"/>
          <w:szCs w:val="24"/>
        </w:rPr>
        <w:t>203</w:t>
      </w:r>
      <w:r w:rsidRPr="008F0A77">
        <w:rPr>
          <w:rFonts w:ascii="Book Antiqua" w:hAnsi="Book Antiqua" w:cs="宋体"/>
          <w:sz w:val="24"/>
          <w:szCs w:val="24"/>
        </w:rPr>
        <w:t>: 2271-2279 [PMID: 16982811]</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91 </w:t>
      </w:r>
      <w:r w:rsidRPr="008F0A77">
        <w:rPr>
          <w:rFonts w:ascii="Book Antiqua" w:hAnsi="Book Antiqua" w:cs="宋体"/>
          <w:b/>
          <w:bCs/>
          <w:sz w:val="24"/>
          <w:szCs w:val="24"/>
        </w:rPr>
        <w:t>Warren RB</w:t>
      </w:r>
      <w:r w:rsidRPr="008F0A77">
        <w:rPr>
          <w:rFonts w:ascii="Book Antiqua" w:hAnsi="Book Antiqua" w:cs="宋体"/>
          <w:sz w:val="24"/>
          <w:szCs w:val="24"/>
        </w:rPr>
        <w:t>, Griffiths CE. The future of biological therapies. </w:t>
      </w:r>
      <w:r w:rsidRPr="008F0A77">
        <w:rPr>
          <w:rFonts w:ascii="Book Antiqua" w:hAnsi="Book Antiqua" w:cs="宋体"/>
          <w:i/>
          <w:iCs/>
          <w:sz w:val="24"/>
          <w:szCs w:val="24"/>
        </w:rPr>
        <w:t>Semin Cutan Med Surg</w:t>
      </w:r>
      <w:r w:rsidRPr="008F0A77">
        <w:rPr>
          <w:rFonts w:ascii="Book Antiqua" w:hAnsi="Book Antiqua" w:cs="宋体"/>
          <w:sz w:val="24"/>
          <w:szCs w:val="24"/>
        </w:rPr>
        <w:t> 2010; </w:t>
      </w:r>
      <w:r w:rsidRPr="008F0A77">
        <w:rPr>
          <w:rFonts w:ascii="Book Antiqua" w:hAnsi="Book Antiqua" w:cs="宋体"/>
          <w:b/>
          <w:bCs/>
          <w:sz w:val="24"/>
          <w:szCs w:val="24"/>
        </w:rPr>
        <w:t>29</w:t>
      </w:r>
      <w:r w:rsidRPr="008F0A77">
        <w:rPr>
          <w:rFonts w:ascii="Book Antiqua" w:hAnsi="Book Antiqua" w:cs="宋体"/>
          <w:sz w:val="24"/>
          <w:szCs w:val="24"/>
        </w:rPr>
        <w:t>: 63-66 [PMID: 20430310 DOI: 10.1016/j.sder.2010.02.004]</w:t>
      </w:r>
    </w:p>
    <w:p w:rsidR="00791961" w:rsidRPr="008F0A77" w:rsidRDefault="00791961" w:rsidP="001F01CF">
      <w:pPr>
        <w:spacing w:after="0" w:line="360" w:lineRule="auto"/>
        <w:jc w:val="both"/>
        <w:rPr>
          <w:rFonts w:ascii="Book Antiqua" w:hAnsi="Book Antiqua" w:cs="宋体"/>
          <w:sz w:val="24"/>
          <w:szCs w:val="24"/>
        </w:rPr>
      </w:pPr>
      <w:r w:rsidRPr="008F0A77">
        <w:rPr>
          <w:rFonts w:ascii="Book Antiqua" w:hAnsi="Book Antiqua" w:cs="宋体"/>
          <w:sz w:val="24"/>
          <w:szCs w:val="24"/>
        </w:rPr>
        <w:t>92 </w:t>
      </w:r>
      <w:r w:rsidRPr="008F0A77">
        <w:rPr>
          <w:rFonts w:ascii="Book Antiqua" w:hAnsi="Book Antiqua" w:cs="宋体"/>
          <w:b/>
          <w:bCs/>
          <w:sz w:val="24"/>
          <w:szCs w:val="24"/>
        </w:rPr>
        <w:t>Wang X</w:t>
      </w:r>
      <w:r w:rsidRPr="008F0A77">
        <w:rPr>
          <w:rFonts w:ascii="Book Antiqua" w:hAnsi="Book Antiqua" w:cs="宋体"/>
          <w:sz w:val="24"/>
          <w:szCs w:val="24"/>
        </w:rPr>
        <w:t xml:space="preserve">, Ota N, Manzanillo P, Kates L, Zavala-Solorio J, Eidenschenk C, Zhang J, Lesch J, Lee WP, Ross J, Diehl L, van Bruggen N, Kolumam G, Ouyang W. Interleukin-22 </w:t>
      </w:r>
      <w:bookmarkStart w:id="6" w:name="_GoBack"/>
      <w:r w:rsidRPr="008F0A77">
        <w:rPr>
          <w:rFonts w:ascii="Book Antiqua" w:hAnsi="Book Antiqua" w:cs="宋体"/>
          <w:sz w:val="24"/>
          <w:szCs w:val="24"/>
        </w:rPr>
        <w:t>alleviates metabolic disorders and restores mucosal immunity in diabetes</w:t>
      </w:r>
      <w:bookmarkEnd w:id="6"/>
      <w:r w:rsidRPr="008F0A77">
        <w:rPr>
          <w:rFonts w:ascii="Book Antiqua" w:hAnsi="Book Antiqua" w:cs="宋体"/>
          <w:sz w:val="24"/>
          <w:szCs w:val="24"/>
        </w:rPr>
        <w:t>. </w:t>
      </w:r>
      <w:r w:rsidRPr="008F0A77">
        <w:rPr>
          <w:rFonts w:ascii="Book Antiqua" w:hAnsi="Book Antiqua" w:cs="宋体"/>
          <w:i/>
          <w:iCs/>
          <w:sz w:val="24"/>
          <w:szCs w:val="24"/>
        </w:rPr>
        <w:t>Nature</w:t>
      </w:r>
      <w:r w:rsidRPr="008F0A77">
        <w:rPr>
          <w:rFonts w:ascii="Book Antiqua" w:hAnsi="Book Antiqua" w:cs="宋体"/>
          <w:sz w:val="24"/>
          <w:szCs w:val="24"/>
        </w:rPr>
        <w:t> 2014; </w:t>
      </w:r>
      <w:r w:rsidRPr="008F0A77">
        <w:rPr>
          <w:rFonts w:ascii="Book Antiqua" w:hAnsi="Book Antiqua" w:cs="宋体"/>
          <w:b/>
          <w:bCs/>
          <w:sz w:val="24"/>
          <w:szCs w:val="24"/>
        </w:rPr>
        <w:t>514</w:t>
      </w:r>
      <w:r w:rsidRPr="008F0A77">
        <w:rPr>
          <w:rFonts w:ascii="Book Antiqua" w:hAnsi="Book Antiqua" w:cs="宋体"/>
          <w:sz w:val="24"/>
          <w:szCs w:val="24"/>
        </w:rPr>
        <w:t>: 237-241 [PMID: 25119041 DOI: 10.1038/nature13564]</w:t>
      </w:r>
    </w:p>
    <w:p w:rsidR="00791961" w:rsidRPr="008F0A77" w:rsidRDefault="00791961" w:rsidP="00D4014D">
      <w:pPr>
        <w:spacing w:after="0" w:line="360" w:lineRule="auto"/>
        <w:ind w:rightChars="50" w:right="110"/>
        <w:jc w:val="both"/>
        <w:rPr>
          <w:rFonts w:ascii="Book Antiqua" w:hAnsi="Book Antiqua" w:cs="宋体"/>
          <w:sz w:val="24"/>
          <w:szCs w:val="24"/>
        </w:rPr>
      </w:pPr>
      <w:r w:rsidRPr="008F0A77">
        <w:rPr>
          <w:rFonts w:ascii="Book Antiqua" w:hAnsi="Book Antiqua" w:cs="宋体"/>
          <w:sz w:val="24"/>
          <w:szCs w:val="24"/>
        </w:rPr>
        <w:t>93 ClinicalTrials.gov. A service of the U.S. National Institutes of Health. Available from: URL: https://clinicaltrials.gov</w:t>
      </w:r>
    </w:p>
    <w:p w:rsidR="00791961" w:rsidRPr="008F0A77" w:rsidRDefault="00791961" w:rsidP="001F01CF">
      <w:pPr>
        <w:spacing w:after="0" w:line="360" w:lineRule="auto"/>
        <w:jc w:val="both"/>
        <w:rPr>
          <w:rFonts w:ascii="Book Antiqua" w:hAnsi="Book Antiqua"/>
          <w:sz w:val="24"/>
          <w:szCs w:val="24"/>
        </w:rPr>
      </w:pPr>
    </w:p>
    <w:p w:rsidR="00791961" w:rsidRPr="008F0A77" w:rsidRDefault="00791961" w:rsidP="00D4014D">
      <w:pPr>
        <w:spacing w:after="0" w:line="360" w:lineRule="auto"/>
        <w:ind w:left="520" w:hangingChars="200" w:hanging="520"/>
        <w:jc w:val="right"/>
        <w:rPr>
          <w:rFonts w:ascii="Book Antiqua" w:hAnsi="Book Antiqua"/>
          <w:color w:val="000000"/>
          <w:sz w:val="24"/>
        </w:rPr>
      </w:pPr>
      <w:bookmarkStart w:id="7" w:name="OLE_LINK22"/>
      <w:bookmarkStart w:id="8" w:name="OLE_LINK23"/>
      <w:r w:rsidRPr="008F0A77">
        <w:rPr>
          <w:rFonts w:ascii="Book Antiqua" w:hAnsi="Book Antiqua"/>
          <w:b/>
          <w:sz w:val="24"/>
        </w:rPr>
        <w:t>P- Reviewer:</w:t>
      </w:r>
      <w:r w:rsidRPr="008F0A77">
        <w:rPr>
          <w:rFonts w:ascii="Book Antiqua" w:hAnsi="Book Antiqua"/>
          <w:color w:val="000000"/>
          <w:sz w:val="24"/>
        </w:rPr>
        <w:t xml:space="preserve"> </w:t>
      </w:r>
      <w:r w:rsidRPr="008F0A77">
        <w:rPr>
          <w:rFonts w:ascii="Book Antiqua" w:hAnsi="Book Antiqua" w:cs="宋体"/>
          <w:sz w:val="24"/>
          <w:szCs w:val="24"/>
        </w:rPr>
        <w:t xml:space="preserve">Carrasco C, Poma EM, Vujasinovic M </w:t>
      </w:r>
      <w:r w:rsidRPr="008F0A77">
        <w:rPr>
          <w:rFonts w:ascii="Book Antiqua" w:hAnsi="Book Antiqua"/>
          <w:color w:val="000000"/>
          <w:sz w:val="24"/>
        </w:rPr>
        <w:t xml:space="preserve">   </w:t>
      </w:r>
      <w:r w:rsidRPr="008F0A77">
        <w:rPr>
          <w:rFonts w:ascii="Book Antiqua" w:hAnsi="Book Antiqua"/>
          <w:b/>
          <w:sz w:val="24"/>
        </w:rPr>
        <w:t>S- Editor:</w:t>
      </w:r>
      <w:r w:rsidRPr="008F0A77">
        <w:rPr>
          <w:rFonts w:ascii="Book Antiqua" w:hAnsi="Book Antiqua"/>
          <w:sz w:val="24"/>
        </w:rPr>
        <w:t xml:space="preserve"> Gong XM</w:t>
      </w:r>
    </w:p>
    <w:p w:rsidR="00791961" w:rsidRPr="008F0A77" w:rsidRDefault="00791961" w:rsidP="00D4014D">
      <w:pPr>
        <w:spacing w:after="0" w:line="360" w:lineRule="auto"/>
        <w:ind w:left="520" w:hangingChars="200" w:hanging="520"/>
        <w:jc w:val="right"/>
        <w:rPr>
          <w:rFonts w:ascii="Book Antiqua" w:hAnsi="Book Antiqua"/>
          <w:b/>
          <w:sz w:val="24"/>
        </w:rPr>
      </w:pPr>
      <w:r w:rsidRPr="008F0A77">
        <w:rPr>
          <w:rFonts w:ascii="Book Antiqua" w:hAnsi="Book Antiqua"/>
          <w:b/>
          <w:sz w:val="24"/>
        </w:rPr>
        <w:t xml:space="preserve"> L- Editor:</w:t>
      </w:r>
      <w:r w:rsidRPr="008F0A77">
        <w:rPr>
          <w:rFonts w:ascii="Book Antiqua" w:hAnsi="Book Antiqua"/>
          <w:sz w:val="24"/>
        </w:rPr>
        <w:t xml:space="preserve"> </w:t>
      </w:r>
      <w:r w:rsidRPr="008F0A77">
        <w:rPr>
          <w:rFonts w:ascii="Book Antiqua" w:hAnsi="Book Antiqua"/>
          <w:b/>
          <w:sz w:val="24"/>
        </w:rPr>
        <w:t>E- Editor:</w:t>
      </w:r>
    </w:p>
    <w:bookmarkEnd w:id="7"/>
    <w:bookmarkEnd w:id="8"/>
    <w:p w:rsidR="00791961" w:rsidRPr="008F0A77" w:rsidRDefault="00791961" w:rsidP="001F01CF">
      <w:pPr>
        <w:spacing w:after="0" w:line="360" w:lineRule="auto"/>
        <w:jc w:val="both"/>
        <w:rPr>
          <w:rFonts w:ascii="Book Antiqua" w:hAnsi="Book Antiqua" w:cs="Book Antiqua"/>
          <w:b/>
          <w:bCs/>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lang w:eastAsia="zh-CN"/>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br w:type="page"/>
      </w:r>
    </w:p>
    <w:p w:rsidR="00791961" w:rsidRPr="008F0A77" w:rsidRDefault="00D4014D" w:rsidP="001F01CF">
      <w:pPr>
        <w:spacing w:after="0" w:line="360" w:lineRule="auto"/>
        <w:jc w:val="both"/>
        <w:rPr>
          <w:rFonts w:ascii="Book Antiqua" w:hAnsi="Book Antiqua" w:cs="Book Antiqua"/>
          <w:sz w:val="24"/>
          <w:szCs w:val="24"/>
        </w:rPr>
      </w:pPr>
      <w:r>
        <w:rPr>
          <w:rFonts w:ascii="Book Antiqua" w:hAnsi="Book Antiqua" w:cs="Book Antiqua"/>
          <w:noProof/>
          <w:sz w:val="24"/>
          <w:szCs w:val="24"/>
        </w:rPr>
        <w:drawing>
          <wp:inline distT="0" distB="0" distL="0" distR="0">
            <wp:extent cx="5943600" cy="18821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82140"/>
                    </a:xfrm>
                    <a:prstGeom prst="rect">
                      <a:avLst/>
                    </a:prstGeom>
                    <a:noFill/>
                    <a:ln>
                      <a:noFill/>
                    </a:ln>
                  </pic:spPr>
                </pic:pic>
              </a:graphicData>
            </a:graphic>
          </wp:inline>
        </w:drawing>
      </w:r>
    </w:p>
    <w:p w:rsidR="00791961" w:rsidRPr="008F0A77" w:rsidRDefault="00791961" w:rsidP="001F01CF">
      <w:pPr>
        <w:spacing w:after="0" w:line="360" w:lineRule="auto"/>
        <w:jc w:val="both"/>
        <w:rPr>
          <w:rFonts w:ascii="Book Antiqua" w:hAnsi="Book Antiqua" w:cs="Book Antiqua"/>
          <w:b/>
          <w:bCs/>
          <w:sz w:val="24"/>
          <w:szCs w:val="24"/>
        </w:rPr>
      </w:pPr>
    </w:p>
    <w:p w:rsidR="00791961" w:rsidRPr="008F0A7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b/>
          <w:bCs/>
          <w:sz w:val="24"/>
          <w:szCs w:val="24"/>
        </w:rPr>
        <w:t>Figure 1</w:t>
      </w:r>
      <w:r w:rsidRPr="008F0A77">
        <w:rPr>
          <w:rFonts w:ascii="Book Antiqua" w:hAnsi="Book Antiqua" w:cs="Book Antiqua"/>
          <w:sz w:val="24"/>
          <w:szCs w:val="24"/>
        </w:rPr>
        <w:t xml:space="preserve"> </w:t>
      </w:r>
      <w:r w:rsidRPr="008F0A77">
        <w:rPr>
          <w:rFonts w:ascii="Book Antiqua" w:hAnsi="Book Antiqua" w:cs="Book Antiqua"/>
          <w:b/>
          <w:bCs/>
          <w:sz w:val="24"/>
          <w:szCs w:val="24"/>
        </w:rPr>
        <w:t xml:space="preserve">Increased interleukin-22 mRNA expression in small intestine in the early stage of acute pancreatitis. </w:t>
      </w:r>
      <w:r w:rsidRPr="008F0A77">
        <w:rPr>
          <w:rFonts w:ascii="Book Antiqua" w:hAnsi="Book Antiqua" w:cs="Book Antiqua"/>
          <w:sz w:val="24"/>
          <w:szCs w:val="24"/>
        </w:rPr>
        <w:t xml:space="preserve">IL-22 mRNA levels in the tissues of pancreas, small intestine and spleen at 2 h after the induction of cerulein-AP were analyzed by real-time RT-PCR. In contrast to the pancreas and spleen, only the small intestine has increased IL-22 mRNA expression in the AP mice compared to the control mice. </w:t>
      </w:r>
      <w:r w:rsidRPr="008F0A77">
        <w:rPr>
          <w:rFonts w:ascii="Book Antiqua" w:hAnsi="Book Antiqua" w:cs="Book Antiqua"/>
          <w:sz w:val="24"/>
          <w:szCs w:val="24"/>
          <w:vertAlign w:val="superscript"/>
          <w:lang w:eastAsia="zh-CN"/>
        </w:rPr>
        <w:t>1</w:t>
      </w:r>
      <w:r w:rsidRPr="008F0A77">
        <w:rPr>
          <w:rFonts w:ascii="Book Antiqua" w:hAnsi="Book Antiqua" w:cs="Book Antiqua"/>
          <w:i/>
          <w:sz w:val="24"/>
          <w:szCs w:val="24"/>
        </w:rPr>
        <w:t>t</w:t>
      </w:r>
      <w:r w:rsidRPr="008F0A77">
        <w:rPr>
          <w:rFonts w:ascii="Book Antiqua" w:hAnsi="Book Antiqua" w:cs="Book Antiqua"/>
          <w:sz w:val="24"/>
          <w:szCs w:val="24"/>
        </w:rPr>
        <w:t xml:space="preserve">-test, </w:t>
      </w:r>
      <w:r w:rsidRPr="008F0A77">
        <w:rPr>
          <w:rFonts w:ascii="Book Antiqua" w:hAnsi="Book Antiqua" w:cs="Book Antiqua"/>
          <w:i/>
          <w:iCs/>
          <w:sz w:val="24"/>
          <w:szCs w:val="24"/>
        </w:rPr>
        <w:t>P</w:t>
      </w:r>
      <w:r w:rsidRPr="008F0A77">
        <w:rPr>
          <w:rFonts w:ascii="Book Antiqua" w:hAnsi="Book Antiqua" w:cs="Book Antiqua"/>
          <w:sz w:val="24"/>
          <w:szCs w:val="24"/>
        </w:rPr>
        <w:t xml:space="preserve"> &lt; 0.05. </w:t>
      </w:r>
      <w:r w:rsidRPr="008F0A77">
        <w:rPr>
          <w:rFonts w:ascii="Book Antiqua" w:hAnsi="Book Antiqua" w:cs="Book Antiqua"/>
          <w:sz w:val="24"/>
          <w:szCs w:val="24"/>
          <w:lang w:eastAsia="zh-CN"/>
        </w:rPr>
        <w:t xml:space="preserve">IL: </w:t>
      </w:r>
      <w:r w:rsidRPr="008F0A77">
        <w:rPr>
          <w:rFonts w:ascii="Book Antiqua" w:hAnsi="Book Antiqua" w:cs="Book Antiqua"/>
          <w:bCs/>
          <w:sz w:val="24"/>
          <w:szCs w:val="24"/>
        </w:rPr>
        <w:t>Interleukin</w:t>
      </w:r>
      <w:r w:rsidRPr="008F0A77">
        <w:rPr>
          <w:rFonts w:ascii="Book Antiqua" w:hAnsi="Book Antiqua" w:cs="Book Antiqua"/>
          <w:bCs/>
          <w:sz w:val="24"/>
          <w:szCs w:val="24"/>
          <w:lang w:eastAsia="zh-CN"/>
        </w:rPr>
        <w:t xml:space="preserve">; AP: </w:t>
      </w:r>
      <w:r w:rsidRPr="008F0A77">
        <w:rPr>
          <w:rFonts w:ascii="Book Antiqua" w:hAnsi="Book Antiqua" w:cs="Book Antiqua"/>
          <w:sz w:val="24"/>
          <w:szCs w:val="24"/>
        </w:rPr>
        <w:t>Acute pancreatitis</w:t>
      </w:r>
      <w:r>
        <w:rPr>
          <w:rFonts w:ascii="Book Antiqua" w:hAnsi="Book Antiqua" w:cs="Book Antiqua"/>
          <w:sz w:val="24"/>
          <w:szCs w:val="24"/>
          <w:lang w:eastAsia="zh-CN"/>
        </w:rPr>
        <w:t>;</w:t>
      </w:r>
      <w:r>
        <w:rPr>
          <w:rFonts w:ascii="Book Antiqua" w:hAnsi="Book Antiqua" w:cs="Book Antiqua"/>
          <w:sz w:val="24"/>
          <w:szCs w:val="24"/>
        </w:rPr>
        <w:t xml:space="preserve"> </w:t>
      </w:r>
      <w:r w:rsidRPr="008F0A77">
        <w:rPr>
          <w:rFonts w:ascii="Book Antiqua" w:hAnsi="Book Antiqua" w:cs="Book Antiqua"/>
          <w:sz w:val="24"/>
          <w:szCs w:val="24"/>
        </w:rPr>
        <w:t>RT-PCR</w:t>
      </w:r>
      <w:r>
        <w:rPr>
          <w:rFonts w:ascii="Book Antiqua" w:hAnsi="Book Antiqua" w:cs="Book Antiqua"/>
          <w:sz w:val="24"/>
          <w:szCs w:val="24"/>
        </w:rPr>
        <w:t>:</w:t>
      </w:r>
      <w:r w:rsidRPr="00973782">
        <w:rPr>
          <w:rFonts w:ascii="Book Antiqua" w:hAnsi="Book Antiqua" w:cs="Book Antiqua"/>
          <w:sz w:val="24"/>
          <w:szCs w:val="24"/>
        </w:rPr>
        <w:t xml:space="preserve"> Real-time polymerase chain reaction.</w:t>
      </w: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b/>
          <w:bCs/>
          <w:sz w:val="24"/>
          <w:szCs w:val="24"/>
        </w:rPr>
      </w:pPr>
    </w:p>
    <w:p w:rsidR="00791961" w:rsidRPr="008F0A77" w:rsidRDefault="00791961" w:rsidP="001F01CF">
      <w:pPr>
        <w:spacing w:after="0" w:line="360" w:lineRule="auto"/>
        <w:jc w:val="both"/>
        <w:rPr>
          <w:rFonts w:ascii="Book Antiqua" w:hAnsi="Book Antiqua" w:cs="Book Antiqua"/>
          <w:b/>
          <w:bCs/>
          <w:sz w:val="24"/>
          <w:szCs w:val="24"/>
        </w:rPr>
      </w:pPr>
    </w:p>
    <w:p w:rsidR="00791961" w:rsidRPr="008F0A77" w:rsidRDefault="00791961" w:rsidP="001F01CF">
      <w:pPr>
        <w:spacing w:after="0" w:line="360" w:lineRule="auto"/>
        <w:jc w:val="both"/>
        <w:rPr>
          <w:rFonts w:ascii="Book Antiqua" w:hAnsi="Book Antiqua" w:cs="Book Antiqua"/>
          <w:b/>
          <w:bCs/>
          <w:sz w:val="24"/>
          <w:szCs w:val="24"/>
        </w:rPr>
      </w:pPr>
    </w:p>
    <w:p w:rsidR="00791961" w:rsidRPr="008F0A77" w:rsidRDefault="00791961" w:rsidP="001F01CF">
      <w:pPr>
        <w:spacing w:after="0" w:line="360" w:lineRule="auto"/>
        <w:jc w:val="both"/>
        <w:rPr>
          <w:rFonts w:ascii="Book Antiqua" w:hAnsi="Book Antiqua" w:cs="Book Antiqua"/>
          <w:b/>
          <w:bCs/>
          <w:sz w:val="24"/>
          <w:szCs w:val="24"/>
        </w:rPr>
      </w:pPr>
    </w:p>
    <w:p w:rsidR="00791961" w:rsidRPr="008F0A77" w:rsidRDefault="00791961" w:rsidP="001F01CF">
      <w:pPr>
        <w:spacing w:after="0" w:line="360" w:lineRule="auto"/>
        <w:jc w:val="both"/>
        <w:rPr>
          <w:rFonts w:ascii="Book Antiqua" w:hAnsi="Book Antiqua" w:cs="Book Antiqua"/>
          <w:b/>
          <w:bCs/>
          <w:sz w:val="24"/>
          <w:szCs w:val="24"/>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b/>
          <w:bCs/>
          <w:sz w:val="24"/>
          <w:szCs w:val="24"/>
        </w:rPr>
        <w:t>A</w:t>
      </w:r>
    </w:p>
    <w:p w:rsidR="00791961" w:rsidRPr="008F0A77" w:rsidRDefault="00D4014D" w:rsidP="001F01CF">
      <w:pPr>
        <w:spacing w:after="0" w:line="360" w:lineRule="auto"/>
        <w:jc w:val="both"/>
        <w:rPr>
          <w:rFonts w:ascii="Book Antiqua" w:hAnsi="Book Antiqua" w:cs="Book Antiqua"/>
          <w:sz w:val="24"/>
          <w:szCs w:val="24"/>
        </w:rPr>
      </w:pPr>
      <w:r>
        <w:rPr>
          <w:rFonts w:ascii="Book Antiqua" w:hAnsi="Book Antiqua" w:cs="Book Antiqua"/>
          <w:noProof/>
          <w:sz w:val="24"/>
          <w:szCs w:val="24"/>
        </w:rPr>
        <w:lastRenderedPageBreak/>
        <w:drawing>
          <wp:inline distT="0" distB="0" distL="0" distR="0">
            <wp:extent cx="5847715" cy="3838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3838575"/>
                    </a:xfrm>
                    <a:prstGeom prst="rect">
                      <a:avLst/>
                    </a:prstGeom>
                    <a:noFill/>
                    <a:ln>
                      <a:noFill/>
                    </a:ln>
                  </pic:spPr>
                </pic:pic>
              </a:graphicData>
            </a:graphic>
          </wp:inline>
        </w:drawing>
      </w:r>
    </w:p>
    <w:p w:rsidR="00791961" w:rsidRPr="008F0A77" w:rsidRDefault="00791961" w:rsidP="001F01CF">
      <w:pPr>
        <w:spacing w:after="0" w:line="360" w:lineRule="auto"/>
        <w:jc w:val="both"/>
        <w:rPr>
          <w:rFonts w:ascii="Book Antiqua" w:hAnsi="Book Antiqua" w:cs="Book Antiqua"/>
          <w:sz w:val="24"/>
          <w:szCs w:val="24"/>
        </w:rPr>
      </w:pPr>
    </w:p>
    <w:p w:rsidR="00791961" w:rsidRPr="008F0A77" w:rsidRDefault="00791961" w:rsidP="001F01CF">
      <w:pPr>
        <w:spacing w:after="0" w:line="360" w:lineRule="auto"/>
        <w:jc w:val="both"/>
        <w:rPr>
          <w:rFonts w:ascii="Book Antiqua" w:hAnsi="Book Antiqua" w:cs="Book Antiqua"/>
          <w:b/>
          <w:bCs/>
          <w:sz w:val="24"/>
          <w:szCs w:val="24"/>
        </w:rPr>
      </w:pPr>
      <w:r w:rsidRPr="008F0A77">
        <w:rPr>
          <w:rFonts w:ascii="Book Antiqua" w:hAnsi="Book Antiqua" w:cs="Book Antiqua"/>
          <w:sz w:val="24"/>
          <w:szCs w:val="24"/>
        </w:rPr>
        <w:t xml:space="preserve"> </w:t>
      </w:r>
      <w:r w:rsidRPr="008F0A77">
        <w:rPr>
          <w:rFonts w:ascii="Book Antiqua" w:hAnsi="Book Antiqua" w:cs="Book Antiqua"/>
          <w:b/>
          <w:bCs/>
          <w:sz w:val="24"/>
          <w:szCs w:val="24"/>
        </w:rPr>
        <w:t xml:space="preserve">B    </w:t>
      </w:r>
    </w:p>
    <w:p w:rsidR="00791961" w:rsidRPr="008F0A77" w:rsidRDefault="00791961" w:rsidP="001F01CF">
      <w:pPr>
        <w:spacing w:after="0" w:line="360" w:lineRule="auto"/>
        <w:ind w:right="720"/>
        <w:jc w:val="both"/>
        <w:rPr>
          <w:rFonts w:ascii="Book Antiqua" w:hAnsi="Book Antiqua" w:cs="Book Antiqua"/>
          <w:noProof/>
          <w:sz w:val="24"/>
          <w:szCs w:val="24"/>
        </w:rPr>
      </w:pPr>
      <w:r w:rsidRPr="008F0A77">
        <w:rPr>
          <w:rFonts w:ascii="Book Antiqua" w:hAnsi="Book Antiqua" w:cs="Book Antiqua"/>
          <w:noProof/>
          <w:sz w:val="24"/>
          <w:szCs w:val="24"/>
        </w:rPr>
        <w:t xml:space="preserve">           </w:t>
      </w:r>
      <w:r w:rsidR="00D4014D">
        <w:rPr>
          <w:rFonts w:ascii="Book Antiqua" w:hAnsi="Book Antiqua" w:cs="Book Antiqua"/>
          <w:noProof/>
          <w:sz w:val="24"/>
          <w:szCs w:val="24"/>
        </w:rPr>
        <w:drawing>
          <wp:inline distT="0" distB="0" distL="0" distR="0">
            <wp:extent cx="516763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7630" cy="1786255"/>
                    </a:xfrm>
                    <a:prstGeom prst="rect">
                      <a:avLst/>
                    </a:prstGeom>
                    <a:noFill/>
                    <a:ln>
                      <a:noFill/>
                    </a:ln>
                  </pic:spPr>
                </pic:pic>
              </a:graphicData>
            </a:graphic>
          </wp:inline>
        </w:drawing>
      </w:r>
    </w:p>
    <w:p w:rsidR="00791961" w:rsidRPr="008F0A77" w:rsidRDefault="00791961" w:rsidP="001F01CF">
      <w:pPr>
        <w:spacing w:after="0" w:line="360" w:lineRule="auto"/>
        <w:ind w:right="720"/>
        <w:jc w:val="both"/>
        <w:rPr>
          <w:rFonts w:ascii="Book Antiqua" w:hAnsi="Book Antiqua" w:cs="Book Antiqua"/>
          <w:sz w:val="24"/>
          <w:szCs w:val="24"/>
          <w:lang w:eastAsia="zh-CN"/>
        </w:rPr>
      </w:pPr>
      <w:r w:rsidRPr="008F0A77">
        <w:rPr>
          <w:rFonts w:ascii="Book Antiqua" w:hAnsi="Book Antiqua" w:cs="Book Antiqua"/>
          <w:b/>
          <w:bCs/>
          <w:sz w:val="24"/>
          <w:szCs w:val="24"/>
        </w:rPr>
        <w:t>Figure 2</w:t>
      </w:r>
      <w:r w:rsidRPr="008F0A77">
        <w:rPr>
          <w:rFonts w:ascii="Book Antiqua" w:hAnsi="Book Antiqua" w:cs="Book Antiqua"/>
          <w:sz w:val="24"/>
          <w:szCs w:val="24"/>
        </w:rPr>
        <w:t xml:space="preserve"> </w:t>
      </w:r>
      <w:r w:rsidRPr="008F0A77">
        <w:rPr>
          <w:rFonts w:ascii="Book Antiqua" w:hAnsi="Book Antiqua" w:cs="Book Antiqua"/>
          <w:b/>
          <w:bCs/>
          <w:sz w:val="24"/>
          <w:szCs w:val="24"/>
        </w:rPr>
        <w:t>Interleukin-22 deficiency results in reduced acinar injury and increased inflammatory infiltration that are reversed by the administration of Reg3 proteins.</w:t>
      </w:r>
      <w:r w:rsidRPr="008F0A77">
        <w:rPr>
          <w:rFonts w:ascii="Book Antiqua" w:hAnsi="Book Antiqua" w:cs="Book Antiqua"/>
          <w:sz w:val="24"/>
          <w:szCs w:val="24"/>
        </w:rPr>
        <w:t xml:space="preserve"> In the upper panel of Figure 2A, H </w:t>
      </w:r>
      <w:r w:rsidRPr="008F0A77">
        <w:rPr>
          <w:rFonts w:ascii="Book Antiqua" w:hAnsi="Book Antiqua" w:cs="Book Antiqua"/>
          <w:sz w:val="24"/>
          <w:szCs w:val="24"/>
          <w:lang w:eastAsia="zh-CN"/>
        </w:rPr>
        <w:t>and</w:t>
      </w:r>
      <w:r w:rsidRPr="008F0A77">
        <w:rPr>
          <w:rFonts w:ascii="Book Antiqua" w:hAnsi="Book Antiqua" w:cs="Book Antiqua"/>
          <w:sz w:val="24"/>
          <w:szCs w:val="24"/>
        </w:rPr>
        <w:t xml:space="preserve"> E staining of pancreatic tissues shows that in mild AP,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mice have reduced tissue damage but increased inflammatory cell infiltration compared to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mice. These changes in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mice can be reversed by intravenous administration of Reg</w:t>
      </w:r>
      <w:r>
        <w:rPr>
          <w:rFonts w:ascii="Symbol" w:hAnsi="Symbol" w:cs="Book Antiqua"/>
          <w:sz w:val="24"/>
          <w:szCs w:val="24"/>
          <w:lang w:eastAsia="zh-CN"/>
        </w:rPr>
        <w:t></w:t>
      </w:r>
      <w:r w:rsidRPr="008F0A77">
        <w:rPr>
          <w:rFonts w:ascii="Book Antiqua" w:hAnsi="Book Antiqua"/>
          <w:bCs/>
          <w:kern w:val="24"/>
          <w:sz w:val="24"/>
          <w:szCs w:val="24"/>
        </w:rPr>
        <w:sym w:font="Symbol" w:char="F061"/>
      </w:r>
      <w:r w:rsidRPr="008F0A77">
        <w:rPr>
          <w:rFonts w:ascii="Book Antiqua" w:hAnsi="Book Antiqua" w:cs="Book Antiqua"/>
          <w:sz w:val="24"/>
          <w:szCs w:val="24"/>
        </w:rPr>
        <w:t xml:space="preserve"> and </w:t>
      </w:r>
      <w:r w:rsidRPr="008F0A77">
        <w:rPr>
          <w:rFonts w:ascii="Book Antiqua" w:hAnsi="Book Antiqua" w:cs="Book Antiqua"/>
          <w:sz w:val="24"/>
          <w:szCs w:val="24"/>
        </w:rPr>
        <w:lastRenderedPageBreak/>
        <w:t>Reg3</w:t>
      </w:r>
      <w:r w:rsidRPr="000049C1">
        <w:rPr>
          <w:rFonts w:ascii="Book Antiqua" w:hAnsi="Book Antiqua"/>
          <w:sz w:val="24"/>
          <w:szCs w:val="24"/>
        </w:rPr>
        <w:sym w:font="Symbol" w:char="F062"/>
      </w:r>
      <w:r w:rsidRPr="008F0A77">
        <w:rPr>
          <w:rFonts w:ascii="Book Antiqua" w:hAnsi="Book Antiqua" w:cs="Book Antiqua"/>
          <w:sz w:val="24"/>
          <w:szCs w:val="24"/>
        </w:rPr>
        <w:t>. The lower panel in Figure 2A represents comparative severity of edema, acinar injury and inflammatory cell infiltration among the pancreata in the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and Reg3s treated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mice. Consistent with the histology study, Figure 2B shows that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mice have reduced serum amylase and lipase levels in AP that could be restored by the administration of Reg3s. </w:t>
      </w:r>
      <w:r w:rsidRPr="008F0A77">
        <w:rPr>
          <w:rFonts w:ascii="Book Antiqua" w:hAnsi="Book Antiqua" w:cs="Book Antiqua"/>
          <w:sz w:val="24"/>
          <w:szCs w:val="24"/>
          <w:vertAlign w:val="superscript"/>
          <w:lang w:eastAsia="zh-CN"/>
        </w:rPr>
        <w:t>1</w:t>
      </w:r>
      <w:r w:rsidRPr="008F0A77">
        <w:rPr>
          <w:rFonts w:ascii="Book Antiqua" w:hAnsi="Book Antiqua" w:cs="Book Antiqua"/>
          <w:i/>
          <w:sz w:val="24"/>
          <w:szCs w:val="24"/>
        </w:rPr>
        <w:t>t</w:t>
      </w:r>
      <w:r w:rsidRPr="008F0A77">
        <w:rPr>
          <w:rFonts w:ascii="Book Antiqua" w:hAnsi="Book Antiqua" w:cs="Book Antiqua"/>
          <w:sz w:val="24"/>
          <w:szCs w:val="24"/>
        </w:rPr>
        <w:t xml:space="preserve">-test, </w:t>
      </w:r>
      <w:r w:rsidRPr="008F0A77">
        <w:rPr>
          <w:rFonts w:ascii="Book Antiqua" w:hAnsi="Book Antiqua" w:cs="Book Antiqua"/>
          <w:i/>
          <w:iCs/>
          <w:sz w:val="24"/>
          <w:szCs w:val="24"/>
        </w:rPr>
        <w:t>P</w:t>
      </w:r>
      <w:r w:rsidRPr="008F0A77">
        <w:rPr>
          <w:rFonts w:ascii="Book Antiqua" w:hAnsi="Book Antiqua" w:cs="Book Antiqua"/>
          <w:sz w:val="24"/>
          <w:szCs w:val="24"/>
        </w:rPr>
        <w:t xml:space="preserve"> &lt; 0.05.</w:t>
      </w:r>
      <w:r w:rsidRPr="008F0A77">
        <w:rPr>
          <w:rFonts w:ascii="Book Antiqua" w:hAnsi="Book Antiqua" w:cs="Book Antiqua"/>
          <w:sz w:val="24"/>
          <w:szCs w:val="24"/>
          <w:lang w:eastAsia="zh-CN"/>
        </w:rPr>
        <w:t xml:space="preserve"> IL: </w:t>
      </w:r>
      <w:r w:rsidRPr="008F0A77">
        <w:rPr>
          <w:rFonts w:ascii="Book Antiqua" w:hAnsi="Book Antiqua" w:cs="Book Antiqua"/>
          <w:bCs/>
          <w:sz w:val="24"/>
          <w:szCs w:val="24"/>
        </w:rPr>
        <w:t>Interleukin</w:t>
      </w:r>
      <w:r>
        <w:rPr>
          <w:rFonts w:ascii="Book Antiqua" w:hAnsi="Book Antiqua" w:cs="Book Antiqua"/>
          <w:bCs/>
          <w:sz w:val="24"/>
          <w:szCs w:val="24"/>
          <w:lang w:eastAsia="zh-CN"/>
        </w:rPr>
        <w:t xml:space="preserve">; AP: </w:t>
      </w:r>
      <w:r w:rsidRPr="008F0A77">
        <w:rPr>
          <w:rFonts w:ascii="Book Antiqua" w:hAnsi="Book Antiqua" w:cs="Book Antiqua"/>
          <w:sz w:val="24"/>
          <w:szCs w:val="24"/>
        </w:rPr>
        <w:t>Acute pancreatitis</w:t>
      </w:r>
      <w:r>
        <w:rPr>
          <w:rFonts w:ascii="Book Antiqua" w:hAnsi="Book Antiqua" w:cs="Book Antiqua"/>
          <w:sz w:val="24"/>
          <w:szCs w:val="24"/>
          <w:lang w:eastAsia="zh-CN"/>
        </w:rPr>
        <w:t>.</w:t>
      </w: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p>
    <w:p w:rsidR="00791961" w:rsidRPr="008F0A77" w:rsidRDefault="00791961" w:rsidP="001F01CF">
      <w:pPr>
        <w:spacing w:after="0" w:line="360" w:lineRule="auto"/>
        <w:ind w:right="720"/>
        <w:jc w:val="both"/>
        <w:rPr>
          <w:rFonts w:ascii="Book Antiqua" w:hAnsi="Book Antiqua" w:cs="Book Antiqua"/>
          <w:sz w:val="24"/>
          <w:szCs w:val="24"/>
        </w:rPr>
      </w:pPr>
      <w:r w:rsidRPr="008F0A77">
        <w:rPr>
          <w:rFonts w:ascii="Book Antiqua" w:hAnsi="Book Antiqua" w:cs="Book Antiqua"/>
          <w:sz w:val="24"/>
          <w:szCs w:val="24"/>
        </w:rPr>
        <w:br w:type="page"/>
      </w:r>
      <w:r w:rsidR="00D4014D">
        <w:rPr>
          <w:rFonts w:ascii="Book Antiqua" w:hAnsi="Book Antiqua" w:cs="Book Antiqua"/>
          <w:noProof/>
          <w:sz w:val="24"/>
          <w:szCs w:val="24"/>
        </w:rPr>
        <w:lastRenderedPageBreak/>
        <w:drawing>
          <wp:inline distT="0" distB="0" distL="0" distR="0">
            <wp:extent cx="1828800" cy="13925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92555"/>
                    </a:xfrm>
                    <a:prstGeom prst="rect">
                      <a:avLst/>
                    </a:prstGeom>
                    <a:noFill/>
                    <a:ln>
                      <a:noFill/>
                    </a:ln>
                  </pic:spPr>
                </pic:pic>
              </a:graphicData>
            </a:graphic>
          </wp:inline>
        </w:drawing>
      </w:r>
    </w:p>
    <w:p w:rsidR="00791961" w:rsidRPr="008F0A77" w:rsidRDefault="00791961" w:rsidP="001F01CF">
      <w:pPr>
        <w:spacing w:after="0" w:line="360" w:lineRule="auto"/>
        <w:jc w:val="both"/>
        <w:rPr>
          <w:rFonts w:ascii="Book Antiqua" w:hAnsi="Book Antiqua" w:cs="Book Antiqua"/>
          <w:sz w:val="24"/>
          <w:szCs w:val="24"/>
        </w:rPr>
      </w:pPr>
    </w:p>
    <w:p w:rsidR="00791961" w:rsidRPr="00FE1657" w:rsidRDefault="00791961" w:rsidP="001F01CF">
      <w:pPr>
        <w:spacing w:after="0" w:line="360" w:lineRule="auto"/>
        <w:jc w:val="both"/>
        <w:rPr>
          <w:rFonts w:ascii="Book Antiqua" w:hAnsi="Book Antiqua" w:cs="Book Antiqua"/>
          <w:sz w:val="24"/>
          <w:szCs w:val="24"/>
          <w:lang w:eastAsia="zh-CN"/>
        </w:rPr>
      </w:pPr>
      <w:r w:rsidRPr="008F0A77">
        <w:rPr>
          <w:rFonts w:ascii="Book Antiqua" w:hAnsi="Book Antiqua" w:cs="Book Antiqua"/>
          <w:b/>
          <w:bCs/>
          <w:sz w:val="24"/>
          <w:szCs w:val="24"/>
        </w:rPr>
        <w:t xml:space="preserve">Figure 3 Reduced levels of Reg3 proteins in the pancreas of interleukin-22 deficient mice in acute pancreatitis. </w:t>
      </w:r>
      <w:r w:rsidRPr="008F0A77">
        <w:rPr>
          <w:rFonts w:ascii="Book Antiqua" w:hAnsi="Book Antiqua" w:cs="Book Antiqua"/>
          <w:sz w:val="24"/>
          <w:szCs w:val="24"/>
        </w:rPr>
        <w:t>Western blot analysis of pancreatic tissues shows reduced levels of Reg3</w:t>
      </w:r>
      <w:r w:rsidRPr="008F0A77">
        <w:rPr>
          <w:rFonts w:ascii="Book Antiqua" w:hAnsi="Book Antiqua"/>
          <w:bCs/>
          <w:kern w:val="24"/>
          <w:sz w:val="24"/>
          <w:szCs w:val="24"/>
        </w:rPr>
        <w:sym w:font="Symbol" w:char="F061"/>
      </w:r>
      <w:r w:rsidRPr="008F0A77">
        <w:rPr>
          <w:rFonts w:ascii="Book Antiqua" w:hAnsi="Book Antiqua" w:cs="Book Antiqua"/>
          <w:sz w:val="24"/>
          <w:szCs w:val="24"/>
        </w:rPr>
        <w:t>, Reg3</w:t>
      </w:r>
      <w:r w:rsidRPr="008F0A77">
        <w:rPr>
          <w:rFonts w:ascii="Book Antiqua" w:hAnsi="Book Antiqua"/>
          <w:sz w:val="24"/>
          <w:szCs w:val="24"/>
        </w:rPr>
        <w:sym w:font="Symbol" w:char="F062"/>
      </w:r>
      <w:r w:rsidRPr="008F0A77">
        <w:rPr>
          <w:rFonts w:ascii="Book Antiqua" w:hAnsi="Book Antiqua" w:cs="Book Antiqua"/>
          <w:sz w:val="24"/>
          <w:szCs w:val="24"/>
        </w:rPr>
        <w:t xml:space="preserve"> and Reg3γ in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mice compared to IL-22</w:t>
      </w:r>
      <w:r w:rsidRPr="008F0A77">
        <w:rPr>
          <w:rFonts w:ascii="Book Antiqua" w:hAnsi="Book Antiqua" w:cs="Book Antiqua"/>
          <w:sz w:val="24"/>
          <w:szCs w:val="24"/>
          <w:vertAlign w:val="superscript"/>
        </w:rPr>
        <w:t>+/-</w:t>
      </w:r>
      <w:r w:rsidRPr="008F0A77">
        <w:rPr>
          <w:rFonts w:ascii="Book Antiqua" w:hAnsi="Book Antiqua" w:cs="Book Antiqua"/>
          <w:sz w:val="24"/>
          <w:szCs w:val="24"/>
        </w:rPr>
        <w:t xml:space="preserve"> mice in cerulein-induced acute pancreatitis. </w:t>
      </w:r>
      <w:r w:rsidRPr="008F0A77">
        <w:rPr>
          <w:rFonts w:ascii="Book Antiqua" w:hAnsi="Book Antiqua" w:cs="Book Antiqua"/>
          <w:sz w:val="24"/>
          <w:szCs w:val="24"/>
          <w:lang w:eastAsia="zh-CN"/>
        </w:rPr>
        <w:t xml:space="preserve">IL: </w:t>
      </w:r>
      <w:r w:rsidRPr="008F0A77">
        <w:rPr>
          <w:rFonts w:ascii="Book Antiqua" w:hAnsi="Book Antiqua" w:cs="Book Antiqua"/>
          <w:bCs/>
          <w:sz w:val="24"/>
          <w:szCs w:val="24"/>
        </w:rPr>
        <w:t>Interleukin</w:t>
      </w:r>
      <w:r w:rsidRPr="008F0A77">
        <w:rPr>
          <w:rFonts w:ascii="Book Antiqua" w:hAnsi="Book Antiqua" w:cs="Book Antiqua"/>
          <w:bCs/>
          <w:sz w:val="24"/>
          <w:szCs w:val="24"/>
          <w:lang w:eastAsia="zh-CN"/>
        </w:rPr>
        <w:t xml:space="preserve">; GAPDH: </w:t>
      </w:r>
      <w:r w:rsidRPr="008F0A77">
        <w:rPr>
          <w:rFonts w:ascii="Book Antiqua" w:hAnsi="Book Antiqua" w:cs="Book Antiqua"/>
          <w:sz w:val="24"/>
          <w:szCs w:val="24"/>
        </w:rPr>
        <w:t>Glyceraldehyde-3-phosphate dehydrogenase</w:t>
      </w:r>
      <w:r w:rsidRPr="008F0A77">
        <w:rPr>
          <w:rFonts w:ascii="Book Antiqua" w:hAnsi="Book Antiqua" w:cs="Book Antiqua"/>
          <w:sz w:val="24"/>
          <w:szCs w:val="24"/>
          <w:lang w:eastAsia="zh-CN"/>
        </w:rPr>
        <w:t>.</w:t>
      </w:r>
    </w:p>
    <w:p w:rsidR="00791961" w:rsidRPr="00FE1657" w:rsidRDefault="00791961" w:rsidP="001F01CF">
      <w:pPr>
        <w:spacing w:after="0" w:line="360" w:lineRule="auto"/>
        <w:jc w:val="both"/>
        <w:rPr>
          <w:rFonts w:ascii="Book Antiqua" w:hAnsi="Book Antiqua" w:cs="Book Antiqua"/>
          <w:sz w:val="24"/>
          <w:szCs w:val="24"/>
        </w:rPr>
      </w:pPr>
    </w:p>
    <w:p w:rsidR="00791961" w:rsidRPr="00FE1657" w:rsidRDefault="00791961" w:rsidP="001F01CF">
      <w:pPr>
        <w:spacing w:after="0" w:line="360" w:lineRule="auto"/>
        <w:jc w:val="both"/>
        <w:rPr>
          <w:rFonts w:ascii="Book Antiqua" w:hAnsi="Book Antiqua" w:cs="Book Antiqua"/>
          <w:sz w:val="24"/>
          <w:szCs w:val="24"/>
        </w:rPr>
      </w:pPr>
    </w:p>
    <w:sectPr w:rsidR="00791961" w:rsidRPr="00FE1657" w:rsidSect="002F24DD">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961" w:rsidRDefault="00791961" w:rsidP="00240B49">
      <w:pPr>
        <w:spacing w:after="0" w:line="240" w:lineRule="auto"/>
        <w:rPr>
          <w:rFonts w:cs="Times New Roman"/>
        </w:rPr>
      </w:pPr>
      <w:r>
        <w:rPr>
          <w:rFonts w:cs="Times New Roman"/>
        </w:rPr>
        <w:separator/>
      </w:r>
    </w:p>
  </w:endnote>
  <w:endnote w:type="continuationSeparator" w:id="0">
    <w:p w:rsidR="00791961" w:rsidRDefault="00791961" w:rsidP="00240B49">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61" w:rsidRDefault="00791961" w:rsidP="004764CE">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791961" w:rsidRDefault="0079196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61" w:rsidRDefault="00791961" w:rsidP="004764CE">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D4014D">
      <w:rPr>
        <w:rStyle w:val="PageNumber"/>
        <w:rFonts w:cs="Calibri"/>
        <w:noProof/>
      </w:rPr>
      <w:t>28</w:t>
    </w:r>
    <w:r>
      <w:rPr>
        <w:rStyle w:val="PageNumber"/>
        <w:rFonts w:cs="Calibri"/>
      </w:rPr>
      <w:fldChar w:fldCharType="end"/>
    </w:r>
  </w:p>
  <w:p w:rsidR="00791961" w:rsidRDefault="007919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961" w:rsidRDefault="00791961" w:rsidP="00240B49">
      <w:pPr>
        <w:spacing w:after="0" w:line="240" w:lineRule="auto"/>
        <w:rPr>
          <w:rFonts w:cs="Times New Roman"/>
        </w:rPr>
      </w:pPr>
      <w:r>
        <w:rPr>
          <w:rFonts w:cs="Times New Roman"/>
        </w:rPr>
        <w:separator/>
      </w:r>
    </w:p>
  </w:footnote>
  <w:footnote w:type="continuationSeparator" w:id="0">
    <w:p w:rsidR="00791961" w:rsidRDefault="00791961" w:rsidP="00240B49">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21881"/>
    <w:multiLevelType w:val="multilevel"/>
    <w:tmpl w:val="45343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EDE"/>
    <w:rsid w:val="000015EC"/>
    <w:rsid w:val="000029A5"/>
    <w:rsid w:val="000049C1"/>
    <w:rsid w:val="00004E51"/>
    <w:rsid w:val="000066C0"/>
    <w:rsid w:val="00010A25"/>
    <w:rsid w:val="0001118B"/>
    <w:rsid w:val="0001152B"/>
    <w:rsid w:val="00012926"/>
    <w:rsid w:val="00012EB7"/>
    <w:rsid w:val="00013A5C"/>
    <w:rsid w:val="00014217"/>
    <w:rsid w:val="00014672"/>
    <w:rsid w:val="0002074C"/>
    <w:rsid w:val="00021A2D"/>
    <w:rsid w:val="00021E56"/>
    <w:rsid w:val="000222F3"/>
    <w:rsid w:val="00026033"/>
    <w:rsid w:val="0002748B"/>
    <w:rsid w:val="00027F7C"/>
    <w:rsid w:val="00032A70"/>
    <w:rsid w:val="00033D7A"/>
    <w:rsid w:val="00034480"/>
    <w:rsid w:val="00035EF4"/>
    <w:rsid w:val="00043204"/>
    <w:rsid w:val="00044295"/>
    <w:rsid w:val="00044B3B"/>
    <w:rsid w:val="000456D9"/>
    <w:rsid w:val="00046F6C"/>
    <w:rsid w:val="00050966"/>
    <w:rsid w:val="00051A58"/>
    <w:rsid w:val="00057EFF"/>
    <w:rsid w:val="00057FB3"/>
    <w:rsid w:val="000613A0"/>
    <w:rsid w:val="00064BF7"/>
    <w:rsid w:val="00070A85"/>
    <w:rsid w:val="000714E1"/>
    <w:rsid w:val="0007173E"/>
    <w:rsid w:val="000724D4"/>
    <w:rsid w:val="00076642"/>
    <w:rsid w:val="00077E8F"/>
    <w:rsid w:val="0008226B"/>
    <w:rsid w:val="00083F79"/>
    <w:rsid w:val="00085CBF"/>
    <w:rsid w:val="00090E24"/>
    <w:rsid w:val="000914E2"/>
    <w:rsid w:val="000941AB"/>
    <w:rsid w:val="00095215"/>
    <w:rsid w:val="000956F5"/>
    <w:rsid w:val="00097C24"/>
    <w:rsid w:val="000A1E93"/>
    <w:rsid w:val="000A6F21"/>
    <w:rsid w:val="000A76FF"/>
    <w:rsid w:val="000B0608"/>
    <w:rsid w:val="000B154E"/>
    <w:rsid w:val="000B1BED"/>
    <w:rsid w:val="000B2429"/>
    <w:rsid w:val="000B2715"/>
    <w:rsid w:val="000B3093"/>
    <w:rsid w:val="000B365C"/>
    <w:rsid w:val="000B6DEF"/>
    <w:rsid w:val="000C06AA"/>
    <w:rsid w:val="000C1483"/>
    <w:rsid w:val="000C201B"/>
    <w:rsid w:val="000C27B8"/>
    <w:rsid w:val="000C3C17"/>
    <w:rsid w:val="000C4B2B"/>
    <w:rsid w:val="000C51AD"/>
    <w:rsid w:val="000C5F96"/>
    <w:rsid w:val="000D0EC8"/>
    <w:rsid w:val="000D77E4"/>
    <w:rsid w:val="000E278E"/>
    <w:rsid w:val="000E2A77"/>
    <w:rsid w:val="000E3DD2"/>
    <w:rsid w:val="000F23EC"/>
    <w:rsid w:val="000F3D64"/>
    <w:rsid w:val="000F5029"/>
    <w:rsid w:val="000F7387"/>
    <w:rsid w:val="00100076"/>
    <w:rsid w:val="0010178C"/>
    <w:rsid w:val="00103039"/>
    <w:rsid w:val="001031B6"/>
    <w:rsid w:val="00106F12"/>
    <w:rsid w:val="001075FD"/>
    <w:rsid w:val="00107FAE"/>
    <w:rsid w:val="0011072F"/>
    <w:rsid w:val="0011215D"/>
    <w:rsid w:val="00112BAE"/>
    <w:rsid w:val="00113602"/>
    <w:rsid w:val="00114E0C"/>
    <w:rsid w:val="00116E15"/>
    <w:rsid w:val="001175DF"/>
    <w:rsid w:val="00117DDB"/>
    <w:rsid w:val="00130F51"/>
    <w:rsid w:val="00131DBD"/>
    <w:rsid w:val="001322C1"/>
    <w:rsid w:val="0013379E"/>
    <w:rsid w:val="00135FA8"/>
    <w:rsid w:val="001362AD"/>
    <w:rsid w:val="00136423"/>
    <w:rsid w:val="00136E7B"/>
    <w:rsid w:val="00137620"/>
    <w:rsid w:val="0014103F"/>
    <w:rsid w:val="00143D64"/>
    <w:rsid w:val="00144130"/>
    <w:rsid w:val="0014474B"/>
    <w:rsid w:val="00144BA5"/>
    <w:rsid w:val="001536D8"/>
    <w:rsid w:val="00153E45"/>
    <w:rsid w:val="0015493E"/>
    <w:rsid w:val="00157460"/>
    <w:rsid w:val="00157BE5"/>
    <w:rsid w:val="00160B19"/>
    <w:rsid w:val="00163F8A"/>
    <w:rsid w:val="00165DA0"/>
    <w:rsid w:val="001664C5"/>
    <w:rsid w:val="00166912"/>
    <w:rsid w:val="00167FC5"/>
    <w:rsid w:val="00170DF8"/>
    <w:rsid w:val="0017188D"/>
    <w:rsid w:val="001721A0"/>
    <w:rsid w:val="00175616"/>
    <w:rsid w:val="00181A2F"/>
    <w:rsid w:val="00181B52"/>
    <w:rsid w:val="00186216"/>
    <w:rsid w:val="00192332"/>
    <w:rsid w:val="00193DD5"/>
    <w:rsid w:val="001947D4"/>
    <w:rsid w:val="001972DC"/>
    <w:rsid w:val="001A12D1"/>
    <w:rsid w:val="001A43AA"/>
    <w:rsid w:val="001A47A1"/>
    <w:rsid w:val="001A4AE8"/>
    <w:rsid w:val="001A5D68"/>
    <w:rsid w:val="001A66E9"/>
    <w:rsid w:val="001B1599"/>
    <w:rsid w:val="001B2F73"/>
    <w:rsid w:val="001B6D6C"/>
    <w:rsid w:val="001B791E"/>
    <w:rsid w:val="001D0216"/>
    <w:rsid w:val="001D10FA"/>
    <w:rsid w:val="001D118D"/>
    <w:rsid w:val="001D41F6"/>
    <w:rsid w:val="001D4548"/>
    <w:rsid w:val="001D548A"/>
    <w:rsid w:val="001D742C"/>
    <w:rsid w:val="001D78ED"/>
    <w:rsid w:val="001E1369"/>
    <w:rsid w:val="001E1914"/>
    <w:rsid w:val="001E26B7"/>
    <w:rsid w:val="001E2815"/>
    <w:rsid w:val="001E3233"/>
    <w:rsid w:val="001E3323"/>
    <w:rsid w:val="001E73FF"/>
    <w:rsid w:val="001F01CF"/>
    <w:rsid w:val="001F5619"/>
    <w:rsid w:val="001F5E17"/>
    <w:rsid w:val="0020497D"/>
    <w:rsid w:val="002060C8"/>
    <w:rsid w:val="00206476"/>
    <w:rsid w:val="0020754F"/>
    <w:rsid w:val="0020790C"/>
    <w:rsid w:val="00210BC4"/>
    <w:rsid w:val="00211798"/>
    <w:rsid w:val="002156ED"/>
    <w:rsid w:val="00224AA1"/>
    <w:rsid w:val="00224E3A"/>
    <w:rsid w:val="0022534C"/>
    <w:rsid w:val="00225B7E"/>
    <w:rsid w:val="00226795"/>
    <w:rsid w:val="00227677"/>
    <w:rsid w:val="00227741"/>
    <w:rsid w:val="0023068B"/>
    <w:rsid w:val="00230895"/>
    <w:rsid w:val="00231B6B"/>
    <w:rsid w:val="0023723F"/>
    <w:rsid w:val="00240B49"/>
    <w:rsid w:val="00243590"/>
    <w:rsid w:val="00244DC0"/>
    <w:rsid w:val="0024531D"/>
    <w:rsid w:val="00245987"/>
    <w:rsid w:val="00247874"/>
    <w:rsid w:val="00253B6B"/>
    <w:rsid w:val="00253DAE"/>
    <w:rsid w:val="00256018"/>
    <w:rsid w:val="00257EFC"/>
    <w:rsid w:val="002643C4"/>
    <w:rsid w:val="002643DF"/>
    <w:rsid w:val="002657CF"/>
    <w:rsid w:val="0026619B"/>
    <w:rsid w:val="002667E2"/>
    <w:rsid w:val="002670E2"/>
    <w:rsid w:val="002674D0"/>
    <w:rsid w:val="002675FD"/>
    <w:rsid w:val="00267CE9"/>
    <w:rsid w:val="002700B0"/>
    <w:rsid w:val="002706A6"/>
    <w:rsid w:val="00271AA6"/>
    <w:rsid w:val="00275D89"/>
    <w:rsid w:val="0027705B"/>
    <w:rsid w:val="00277AED"/>
    <w:rsid w:val="002804F2"/>
    <w:rsid w:val="00280558"/>
    <w:rsid w:val="00280611"/>
    <w:rsid w:val="002808D2"/>
    <w:rsid w:val="0028168E"/>
    <w:rsid w:val="00281877"/>
    <w:rsid w:val="0028387D"/>
    <w:rsid w:val="002848C9"/>
    <w:rsid w:val="00286DBB"/>
    <w:rsid w:val="002918BE"/>
    <w:rsid w:val="002923AE"/>
    <w:rsid w:val="00292EBE"/>
    <w:rsid w:val="00292FD4"/>
    <w:rsid w:val="00293CEB"/>
    <w:rsid w:val="0029460D"/>
    <w:rsid w:val="00295AA4"/>
    <w:rsid w:val="002A0BD3"/>
    <w:rsid w:val="002A1768"/>
    <w:rsid w:val="002A4A87"/>
    <w:rsid w:val="002A5019"/>
    <w:rsid w:val="002A7CD1"/>
    <w:rsid w:val="002B0322"/>
    <w:rsid w:val="002B050E"/>
    <w:rsid w:val="002B0C96"/>
    <w:rsid w:val="002B14D9"/>
    <w:rsid w:val="002B287C"/>
    <w:rsid w:val="002B2EC0"/>
    <w:rsid w:val="002B4BE4"/>
    <w:rsid w:val="002B50C2"/>
    <w:rsid w:val="002B51A0"/>
    <w:rsid w:val="002B5B3C"/>
    <w:rsid w:val="002C1CAB"/>
    <w:rsid w:val="002C415E"/>
    <w:rsid w:val="002C60D6"/>
    <w:rsid w:val="002C6422"/>
    <w:rsid w:val="002D0EF0"/>
    <w:rsid w:val="002D37EC"/>
    <w:rsid w:val="002D455C"/>
    <w:rsid w:val="002D5DCF"/>
    <w:rsid w:val="002D7297"/>
    <w:rsid w:val="002D7EB1"/>
    <w:rsid w:val="002E03F1"/>
    <w:rsid w:val="002E17FB"/>
    <w:rsid w:val="002E1E76"/>
    <w:rsid w:val="002E2112"/>
    <w:rsid w:val="002E260B"/>
    <w:rsid w:val="002E39E4"/>
    <w:rsid w:val="002E4C9B"/>
    <w:rsid w:val="002E6ED3"/>
    <w:rsid w:val="002E7FC0"/>
    <w:rsid w:val="002F034D"/>
    <w:rsid w:val="002F05CD"/>
    <w:rsid w:val="002F24DD"/>
    <w:rsid w:val="002F3743"/>
    <w:rsid w:val="002F4AD2"/>
    <w:rsid w:val="002F739A"/>
    <w:rsid w:val="0030255B"/>
    <w:rsid w:val="003105D2"/>
    <w:rsid w:val="003125E6"/>
    <w:rsid w:val="00314E0E"/>
    <w:rsid w:val="003218C2"/>
    <w:rsid w:val="00327720"/>
    <w:rsid w:val="00327BB3"/>
    <w:rsid w:val="00331B1C"/>
    <w:rsid w:val="00332133"/>
    <w:rsid w:val="00333F3D"/>
    <w:rsid w:val="00334E66"/>
    <w:rsid w:val="003351FF"/>
    <w:rsid w:val="00336214"/>
    <w:rsid w:val="003400AA"/>
    <w:rsid w:val="00342122"/>
    <w:rsid w:val="00343159"/>
    <w:rsid w:val="00343A7E"/>
    <w:rsid w:val="0035061D"/>
    <w:rsid w:val="00352C45"/>
    <w:rsid w:val="003536C0"/>
    <w:rsid w:val="003548E2"/>
    <w:rsid w:val="0035623B"/>
    <w:rsid w:val="003604A2"/>
    <w:rsid w:val="00361C56"/>
    <w:rsid w:val="00362161"/>
    <w:rsid w:val="00363842"/>
    <w:rsid w:val="00363DC8"/>
    <w:rsid w:val="003660AF"/>
    <w:rsid w:val="00367C8B"/>
    <w:rsid w:val="00372609"/>
    <w:rsid w:val="003755BA"/>
    <w:rsid w:val="00381EC2"/>
    <w:rsid w:val="00383562"/>
    <w:rsid w:val="0038415F"/>
    <w:rsid w:val="00385DDC"/>
    <w:rsid w:val="00386759"/>
    <w:rsid w:val="003876BB"/>
    <w:rsid w:val="0039130B"/>
    <w:rsid w:val="00391ADE"/>
    <w:rsid w:val="00394ECB"/>
    <w:rsid w:val="003963AE"/>
    <w:rsid w:val="00396ED9"/>
    <w:rsid w:val="003974F6"/>
    <w:rsid w:val="003A334A"/>
    <w:rsid w:val="003A646B"/>
    <w:rsid w:val="003B0FCA"/>
    <w:rsid w:val="003B159F"/>
    <w:rsid w:val="003B1B12"/>
    <w:rsid w:val="003B66AF"/>
    <w:rsid w:val="003C0828"/>
    <w:rsid w:val="003C1327"/>
    <w:rsid w:val="003C226D"/>
    <w:rsid w:val="003C24E7"/>
    <w:rsid w:val="003C3B18"/>
    <w:rsid w:val="003C3F43"/>
    <w:rsid w:val="003C47D3"/>
    <w:rsid w:val="003D0CD5"/>
    <w:rsid w:val="003D2397"/>
    <w:rsid w:val="003D5A40"/>
    <w:rsid w:val="003D6247"/>
    <w:rsid w:val="003D7AE9"/>
    <w:rsid w:val="003E04A1"/>
    <w:rsid w:val="003E2BB4"/>
    <w:rsid w:val="003E3C3F"/>
    <w:rsid w:val="003E472B"/>
    <w:rsid w:val="003E51CA"/>
    <w:rsid w:val="003E5791"/>
    <w:rsid w:val="003F0F5F"/>
    <w:rsid w:val="003F0FEE"/>
    <w:rsid w:val="003F3408"/>
    <w:rsid w:val="003F440C"/>
    <w:rsid w:val="003F53B4"/>
    <w:rsid w:val="003F5E0E"/>
    <w:rsid w:val="003F70A0"/>
    <w:rsid w:val="0040070E"/>
    <w:rsid w:val="00401745"/>
    <w:rsid w:val="004046F4"/>
    <w:rsid w:val="00404DC2"/>
    <w:rsid w:val="00406DB0"/>
    <w:rsid w:val="00407DF3"/>
    <w:rsid w:val="004159AB"/>
    <w:rsid w:val="00415D4D"/>
    <w:rsid w:val="004210F3"/>
    <w:rsid w:val="00421223"/>
    <w:rsid w:val="0042134C"/>
    <w:rsid w:val="004222B3"/>
    <w:rsid w:val="0042364F"/>
    <w:rsid w:val="004318F3"/>
    <w:rsid w:val="00432B65"/>
    <w:rsid w:val="00432D74"/>
    <w:rsid w:val="00432F69"/>
    <w:rsid w:val="00435BFE"/>
    <w:rsid w:val="00441C7F"/>
    <w:rsid w:val="00441D67"/>
    <w:rsid w:val="0044248D"/>
    <w:rsid w:val="00443CE3"/>
    <w:rsid w:val="004469A5"/>
    <w:rsid w:val="004528B6"/>
    <w:rsid w:val="00454030"/>
    <w:rsid w:val="0045430B"/>
    <w:rsid w:val="0045459C"/>
    <w:rsid w:val="00457B2C"/>
    <w:rsid w:val="00457B99"/>
    <w:rsid w:val="00460841"/>
    <w:rsid w:val="00464121"/>
    <w:rsid w:val="00466936"/>
    <w:rsid w:val="004701CC"/>
    <w:rsid w:val="004719DF"/>
    <w:rsid w:val="00473032"/>
    <w:rsid w:val="004764CE"/>
    <w:rsid w:val="00476E1A"/>
    <w:rsid w:val="00480DB2"/>
    <w:rsid w:val="004844FF"/>
    <w:rsid w:val="0049516A"/>
    <w:rsid w:val="00495591"/>
    <w:rsid w:val="00497423"/>
    <w:rsid w:val="004A1ABB"/>
    <w:rsid w:val="004A1D1E"/>
    <w:rsid w:val="004A1D24"/>
    <w:rsid w:val="004A290C"/>
    <w:rsid w:val="004A7ED4"/>
    <w:rsid w:val="004B039E"/>
    <w:rsid w:val="004B1EF5"/>
    <w:rsid w:val="004B304E"/>
    <w:rsid w:val="004B4E47"/>
    <w:rsid w:val="004C1FE5"/>
    <w:rsid w:val="004C2717"/>
    <w:rsid w:val="004C43F3"/>
    <w:rsid w:val="004D1DF7"/>
    <w:rsid w:val="004D2BF2"/>
    <w:rsid w:val="004D5C69"/>
    <w:rsid w:val="004D7B0C"/>
    <w:rsid w:val="004E15A8"/>
    <w:rsid w:val="004E1EAF"/>
    <w:rsid w:val="004E6E1E"/>
    <w:rsid w:val="004E76DC"/>
    <w:rsid w:val="004F5B1B"/>
    <w:rsid w:val="004F6ECE"/>
    <w:rsid w:val="004F754A"/>
    <w:rsid w:val="004F78EE"/>
    <w:rsid w:val="005001B4"/>
    <w:rsid w:val="00500C03"/>
    <w:rsid w:val="00501730"/>
    <w:rsid w:val="00503E11"/>
    <w:rsid w:val="00504D5B"/>
    <w:rsid w:val="00505C61"/>
    <w:rsid w:val="00505F54"/>
    <w:rsid w:val="005066A6"/>
    <w:rsid w:val="005066E2"/>
    <w:rsid w:val="0050713D"/>
    <w:rsid w:val="00510D87"/>
    <w:rsid w:val="00513BD8"/>
    <w:rsid w:val="0051419D"/>
    <w:rsid w:val="00516A7C"/>
    <w:rsid w:val="00521150"/>
    <w:rsid w:val="00523535"/>
    <w:rsid w:val="005315D6"/>
    <w:rsid w:val="00531B2A"/>
    <w:rsid w:val="0053324F"/>
    <w:rsid w:val="005341A6"/>
    <w:rsid w:val="0053554A"/>
    <w:rsid w:val="0053588C"/>
    <w:rsid w:val="0053606D"/>
    <w:rsid w:val="00540CD9"/>
    <w:rsid w:val="00543E37"/>
    <w:rsid w:val="00545214"/>
    <w:rsid w:val="00545727"/>
    <w:rsid w:val="00545E6F"/>
    <w:rsid w:val="005504E1"/>
    <w:rsid w:val="00553628"/>
    <w:rsid w:val="00555B26"/>
    <w:rsid w:val="005603ED"/>
    <w:rsid w:val="00566D31"/>
    <w:rsid w:val="005722D5"/>
    <w:rsid w:val="0057409A"/>
    <w:rsid w:val="00574BA2"/>
    <w:rsid w:val="00575120"/>
    <w:rsid w:val="005766FE"/>
    <w:rsid w:val="00576CF5"/>
    <w:rsid w:val="00577FAF"/>
    <w:rsid w:val="005831DA"/>
    <w:rsid w:val="005859AC"/>
    <w:rsid w:val="00585A57"/>
    <w:rsid w:val="005905F9"/>
    <w:rsid w:val="005948E5"/>
    <w:rsid w:val="00594BB8"/>
    <w:rsid w:val="00594DAA"/>
    <w:rsid w:val="00595FB3"/>
    <w:rsid w:val="005961F5"/>
    <w:rsid w:val="0059783B"/>
    <w:rsid w:val="00597E1F"/>
    <w:rsid w:val="005A0F27"/>
    <w:rsid w:val="005A1435"/>
    <w:rsid w:val="005A15E9"/>
    <w:rsid w:val="005A1C88"/>
    <w:rsid w:val="005A23E8"/>
    <w:rsid w:val="005A2B4C"/>
    <w:rsid w:val="005A2F60"/>
    <w:rsid w:val="005A403F"/>
    <w:rsid w:val="005A44E4"/>
    <w:rsid w:val="005A48DE"/>
    <w:rsid w:val="005A4DFD"/>
    <w:rsid w:val="005A5003"/>
    <w:rsid w:val="005A5575"/>
    <w:rsid w:val="005A5AC5"/>
    <w:rsid w:val="005B10AB"/>
    <w:rsid w:val="005B1254"/>
    <w:rsid w:val="005B65A2"/>
    <w:rsid w:val="005C21DF"/>
    <w:rsid w:val="005C385B"/>
    <w:rsid w:val="005C3965"/>
    <w:rsid w:val="005C48C0"/>
    <w:rsid w:val="005C5039"/>
    <w:rsid w:val="005C58D6"/>
    <w:rsid w:val="005C5E3A"/>
    <w:rsid w:val="005C67FF"/>
    <w:rsid w:val="005C6DA2"/>
    <w:rsid w:val="005D0C68"/>
    <w:rsid w:val="005D6EF6"/>
    <w:rsid w:val="005E071E"/>
    <w:rsid w:val="005E09F3"/>
    <w:rsid w:val="005E2CCC"/>
    <w:rsid w:val="005E47B3"/>
    <w:rsid w:val="005E4F48"/>
    <w:rsid w:val="005E54B0"/>
    <w:rsid w:val="005E671F"/>
    <w:rsid w:val="005E7700"/>
    <w:rsid w:val="005F0131"/>
    <w:rsid w:val="005F046D"/>
    <w:rsid w:val="005F0C0C"/>
    <w:rsid w:val="005F384D"/>
    <w:rsid w:val="005F6C3F"/>
    <w:rsid w:val="00601076"/>
    <w:rsid w:val="00601347"/>
    <w:rsid w:val="006033BF"/>
    <w:rsid w:val="00605D7D"/>
    <w:rsid w:val="006103F2"/>
    <w:rsid w:val="00611911"/>
    <w:rsid w:val="00612DB8"/>
    <w:rsid w:val="006144D2"/>
    <w:rsid w:val="0061481C"/>
    <w:rsid w:val="00615805"/>
    <w:rsid w:val="00617321"/>
    <w:rsid w:val="00617610"/>
    <w:rsid w:val="006203BA"/>
    <w:rsid w:val="00622520"/>
    <w:rsid w:val="00622AD0"/>
    <w:rsid w:val="0062368C"/>
    <w:rsid w:val="006249FA"/>
    <w:rsid w:val="00631DDD"/>
    <w:rsid w:val="00635EF2"/>
    <w:rsid w:val="00636075"/>
    <w:rsid w:val="006419EE"/>
    <w:rsid w:val="0064304B"/>
    <w:rsid w:val="00644526"/>
    <w:rsid w:val="0064731F"/>
    <w:rsid w:val="0065192F"/>
    <w:rsid w:val="0065706C"/>
    <w:rsid w:val="00660AC2"/>
    <w:rsid w:val="0066163E"/>
    <w:rsid w:val="00661D3F"/>
    <w:rsid w:val="00662137"/>
    <w:rsid w:val="00663FB9"/>
    <w:rsid w:val="0066464A"/>
    <w:rsid w:val="006649BB"/>
    <w:rsid w:val="00665D4E"/>
    <w:rsid w:val="0066694C"/>
    <w:rsid w:val="00667736"/>
    <w:rsid w:val="00671E10"/>
    <w:rsid w:val="00674C34"/>
    <w:rsid w:val="00675EEF"/>
    <w:rsid w:val="00682B57"/>
    <w:rsid w:val="00683062"/>
    <w:rsid w:val="00683167"/>
    <w:rsid w:val="00685040"/>
    <w:rsid w:val="006869D1"/>
    <w:rsid w:val="00687BA4"/>
    <w:rsid w:val="0069525F"/>
    <w:rsid w:val="00695FA5"/>
    <w:rsid w:val="006971EE"/>
    <w:rsid w:val="006A2393"/>
    <w:rsid w:val="006A442E"/>
    <w:rsid w:val="006A448A"/>
    <w:rsid w:val="006B46F1"/>
    <w:rsid w:val="006B5E88"/>
    <w:rsid w:val="006B6017"/>
    <w:rsid w:val="006B748C"/>
    <w:rsid w:val="006C1F07"/>
    <w:rsid w:val="006C46ED"/>
    <w:rsid w:val="006C48EF"/>
    <w:rsid w:val="006C4F62"/>
    <w:rsid w:val="006C565C"/>
    <w:rsid w:val="006C5CCD"/>
    <w:rsid w:val="006C67CB"/>
    <w:rsid w:val="006D1057"/>
    <w:rsid w:val="006D4DFF"/>
    <w:rsid w:val="006E047A"/>
    <w:rsid w:val="006E1EAC"/>
    <w:rsid w:val="006E2F58"/>
    <w:rsid w:val="006E32E4"/>
    <w:rsid w:val="006E39B8"/>
    <w:rsid w:val="006E3C58"/>
    <w:rsid w:val="006E4242"/>
    <w:rsid w:val="006E7523"/>
    <w:rsid w:val="006F1837"/>
    <w:rsid w:val="00700933"/>
    <w:rsid w:val="00702445"/>
    <w:rsid w:val="007027B3"/>
    <w:rsid w:val="007032E4"/>
    <w:rsid w:val="00703CCF"/>
    <w:rsid w:val="007047BF"/>
    <w:rsid w:val="00711D20"/>
    <w:rsid w:val="00712F2E"/>
    <w:rsid w:val="0071315F"/>
    <w:rsid w:val="0071433C"/>
    <w:rsid w:val="00715FAD"/>
    <w:rsid w:val="0072026D"/>
    <w:rsid w:val="00720E15"/>
    <w:rsid w:val="00722894"/>
    <w:rsid w:val="00725C41"/>
    <w:rsid w:val="0072600B"/>
    <w:rsid w:val="0072685B"/>
    <w:rsid w:val="0072797C"/>
    <w:rsid w:val="00732A86"/>
    <w:rsid w:val="007347EC"/>
    <w:rsid w:val="00734DAC"/>
    <w:rsid w:val="00735915"/>
    <w:rsid w:val="00736346"/>
    <w:rsid w:val="00741E38"/>
    <w:rsid w:val="00744505"/>
    <w:rsid w:val="007457C2"/>
    <w:rsid w:val="00745F30"/>
    <w:rsid w:val="00751C50"/>
    <w:rsid w:val="00753E55"/>
    <w:rsid w:val="007543A9"/>
    <w:rsid w:val="00754471"/>
    <w:rsid w:val="00754B4E"/>
    <w:rsid w:val="00756EF7"/>
    <w:rsid w:val="00757FCC"/>
    <w:rsid w:val="00761DF1"/>
    <w:rsid w:val="0076230E"/>
    <w:rsid w:val="0076407F"/>
    <w:rsid w:val="00765548"/>
    <w:rsid w:val="0076664D"/>
    <w:rsid w:val="0076723B"/>
    <w:rsid w:val="0076780A"/>
    <w:rsid w:val="0076787E"/>
    <w:rsid w:val="00775AA8"/>
    <w:rsid w:val="007833C0"/>
    <w:rsid w:val="007843E9"/>
    <w:rsid w:val="00784CEE"/>
    <w:rsid w:val="00786429"/>
    <w:rsid w:val="00791961"/>
    <w:rsid w:val="007924C3"/>
    <w:rsid w:val="00794598"/>
    <w:rsid w:val="00794A51"/>
    <w:rsid w:val="0079508E"/>
    <w:rsid w:val="00797A81"/>
    <w:rsid w:val="00797A99"/>
    <w:rsid w:val="007A00F7"/>
    <w:rsid w:val="007A163E"/>
    <w:rsid w:val="007A220A"/>
    <w:rsid w:val="007A4B9E"/>
    <w:rsid w:val="007A5088"/>
    <w:rsid w:val="007B0298"/>
    <w:rsid w:val="007B5A60"/>
    <w:rsid w:val="007C115B"/>
    <w:rsid w:val="007C18AD"/>
    <w:rsid w:val="007C457A"/>
    <w:rsid w:val="007C51F3"/>
    <w:rsid w:val="007C55D4"/>
    <w:rsid w:val="007C7EC4"/>
    <w:rsid w:val="007D04F9"/>
    <w:rsid w:val="007D14A1"/>
    <w:rsid w:val="007D2607"/>
    <w:rsid w:val="007D3309"/>
    <w:rsid w:val="007D7833"/>
    <w:rsid w:val="007E1B04"/>
    <w:rsid w:val="007E4293"/>
    <w:rsid w:val="007E44EE"/>
    <w:rsid w:val="007E74D7"/>
    <w:rsid w:val="007E7E4C"/>
    <w:rsid w:val="007F0436"/>
    <w:rsid w:val="007F06FA"/>
    <w:rsid w:val="007F233D"/>
    <w:rsid w:val="007F56F7"/>
    <w:rsid w:val="007F5C5F"/>
    <w:rsid w:val="007F701E"/>
    <w:rsid w:val="007F7447"/>
    <w:rsid w:val="00802470"/>
    <w:rsid w:val="008040AE"/>
    <w:rsid w:val="008074A3"/>
    <w:rsid w:val="008109CB"/>
    <w:rsid w:val="00810A50"/>
    <w:rsid w:val="00811537"/>
    <w:rsid w:val="00812F5A"/>
    <w:rsid w:val="008213F4"/>
    <w:rsid w:val="008215CA"/>
    <w:rsid w:val="0082238E"/>
    <w:rsid w:val="00822772"/>
    <w:rsid w:val="00822955"/>
    <w:rsid w:val="00825280"/>
    <w:rsid w:val="008252C7"/>
    <w:rsid w:val="0083031B"/>
    <w:rsid w:val="00831101"/>
    <w:rsid w:val="008327EF"/>
    <w:rsid w:val="008329BB"/>
    <w:rsid w:val="00832C35"/>
    <w:rsid w:val="008340BC"/>
    <w:rsid w:val="00835B1A"/>
    <w:rsid w:val="0084050A"/>
    <w:rsid w:val="00841733"/>
    <w:rsid w:val="00843524"/>
    <w:rsid w:val="00843C92"/>
    <w:rsid w:val="00844F2B"/>
    <w:rsid w:val="0084552C"/>
    <w:rsid w:val="0085096D"/>
    <w:rsid w:val="008518AD"/>
    <w:rsid w:val="008520FB"/>
    <w:rsid w:val="0085259D"/>
    <w:rsid w:val="00852CB5"/>
    <w:rsid w:val="00853BA9"/>
    <w:rsid w:val="00854B45"/>
    <w:rsid w:val="00855C4A"/>
    <w:rsid w:val="00856AFA"/>
    <w:rsid w:val="00860854"/>
    <w:rsid w:val="008634EE"/>
    <w:rsid w:val="008637F3"/>
    <w:rsid w:val="00863FD6"/>
    <w:rsid w:val="00867AFB"/>
    <w:rsid w:val="00870031"/>
    <w:rsid w:val="00871DCC"/>
    <w:rsid w:val="00872F28"/>
    <w:rsid w:val="008741CC"/>
    <w:rsid w:val="008743B9"/>
    <w:rsid w:val="008755B8"/>
    <w:rsid w:val="00880FB3"/>
    <w:rsid w:val="0088199F"/>
    <w:rsid w:val="00882876"/>
    <w:rsid w:val="00883380"/>
    <w:rsid w:val="00883B67"/>
    <w:rsid w:val="00884D31"/>
    <w:rsid w:val="008857CF"/>
    <w:rsid w:val="00887427"/>
    <w:rsid w:val="008911CF"/>
    <w:rsid w:val="00891A11"/>
    <w:rsid w:val="0089640D"/>
    <w:rsid w:val="00896770"/>
    <w:rsid w:val="008A3196"/>
    <w:rsid w:val="008A36E7"/>
    <w:rsid w:val="008A3C06"/>
    <w:rsid w:val="008A4AC0"/>
    <w:rsid w:val="008A5ED5"/>
    <w:rsid w:val="008B1233"/>
    <w:rsid w:val="008B1483"/>
    <w:rsid w:val="008B43B6"/>
    <w:rsid w:val="008B4B05"/>
    <w:rsid w:val="008B502B"/>
    <w:rsid w:val="008B7348"/>
    <w:rsid w:val="008B747B"/>
    <w:rsid w:val="008C45C6"/>
    <w:rsid w:val="008C46DC"/>
    <w:rsid w:val="008C55EA"/>
    <w:rsid w:val="008D10AF"/>
    <w:rsid w:val="008D2236"/>
    <w:rsid w:val="008D28CC"/>
    <w:rsid w:val="008D46CB"/>
    <w:rsid w:val="008D78CB"/>
    <w:rsid w:val="008E433D"/>
    <w:rsid w:val="008E637C"/>
    <w:rsid w:val="008E6EB1"/>
    <w:rsid w:val="008E7921"/>
    <w:rsid w:val="008E7CB0"/>
    <w:rsid w:val="008F0902"/>
    <w:rsid w:val="008F0A77"/>
    <w:rsid w:val="008F1392"/>
    <w:rsid w:val="008F22AC"/>
    <w:rsid w:val="008F2A30"/>
    <w:rsid w:val="008F5342"/>
    <w:rsid w:val="009070A6"/>
    <w:rsid w:val="0091506A"/>
    <w:rsid w:val="0091554F"/>
    <w:rsid w:val="009160AF"/>
    <w:rsid w:val="009164F5"/>
    <w:rsid w:val="00916D2E"/>
    <w:rsid w:val="0092184C"/>
    <w:rsid w:val="00921B2E"/>
    <w:rsid w:val="00921C73"/>
    <w:rsid w:val="0092202C"/>
    <w:rsid w:val="009220E0"/>
    <w:rsid w:val="0092244F"/>
    <w:rsid w:val="00922CF8"/>
    <w:rsid w:val="009259B6"/>
    <w:rsid w:val="00932D1C"/>
    <w:rsid w:val="009344A3"/>
    <w:rsid w:val="0093461D"/>
    <w:rsid w:val="00935FDF"/>
    <w:rsid w:val="009433A4"/>
    <w:rsid w:val="00943716"/>
    <w:rsid w:val="009445F5"/>
    <w:rsid w:val="00945176"/>
    <w:rsid w:val="00952484"/>
    <w:rsid w:val="00954798"/>
    <w:rsid w:val="00956D13"/>
    <w:rsid w:val="00961137"/>
    <w:rsid w:val="009617E6"/>
    <w:rsid w:val="00962938"/>
    <w:rsid w:val="009630CC"/>
    <w:rsid w:val="00963BF8"/>
    <w:rsid w:val="00963F8A"/>
    <w:rsid w:val="00967518"/>
    <w:rsid w:val="0097137F"/>
    <w:rsid w:val="0097195B"/>
    <w:rsid w:val="0097208E"/>
    <w:rsid w:val="00973782"/>
    <w:rsid w:val="00973856"/>
    <w:rsid w:val="009739B6"/>
    <w:rsid w:val="00973ED8"/>
    <w:rsid w:val="0097487B"/>
    <w:rsid w:val="009775EE"/>
    <w:rsid w:val="00977FF0"/>
    <w:rsid w:val="00981F32"/>
    <w:rsid w:val="0098264A"/>
    <w:rsid w:val="009827D6"/>
    <w:rsid w:val="00985CD4"/>
    <w:rsid w:val="00985F29"/>
    <w:rsid w:val="0098749C"/>
    <w:rsid w:val="009875E7"/>
    <w:rsid w:val="00991968"/>
    <w:rsid w:val="009928FF"/>
    <w:rsid w:val="00995219"/>
    <w:rsid w:val="009A0411"/>
    <w:rsid w:val="009A04B1"/>
    <w:rsid w:val="009A1556"/>
    <w:rsid w:val="009A3827"/>
    <w:rsid w:val="009A4CA6"/>
    <w:rsid w:val="009A5214"/>
    <w:rsid w:val="009A52FD"/>
    <w:rsid w:val="009A54DE"/>
    <w:rsid w:val="009A649B"/>
    <w:rsid w:val="009B1A63"/>
    <w:rsid w:val="009B38A1"/>
    <w:rsid w:val="009B5279"/>
    <w:rsid w:val="009B5B48"/>
    <w:rsid w:val="009B6C61"/>
    <w:rsid w:val="009C0D0C"/>
    <w:rsid w:val="009C3051"/>
    <w:rsid w:val="009C5BA5"/>
    <w:rsid w:val="009C65D8"/>
    <w:rsid w:val="009C65F9"/>
    <w:rsid w:val="009D0C38"/>
    <w:rsid w:val="009D3976"/>
    <w:rsid w:val="009D49C0"/>
    <w:rsid w:val="009D6969"/>
    <w:rsid w:val="009E0194"/>
    <w:rsid w:val="009E175E"/>
    <w:rsid w:val="009E39A5"/>
    <w:rsid w:val="009E4CDD"/>
    <w:rsid w:val="009F19EF"/>
    <w:rsid w:val="009F37D7"/>
    <w:rsid w:val="009F3D55"/>
    <w:rsid w:val="009F5296"/>
    <w:rsid w:val="009F55C9"/>
    <w:rsid w:val="009F6BBB"/>
    <w:rsid w:val="009F7C4B"/>
    <w:rsid w:val="00A011E7"/>
    <w:rsid w:val="00A01505"/>
    <w:rsid w:val="00A0307B"/>
    <w:rsid w:val="00A10D0E"/>
    <w:rsid w:val="00A12598"/>
    <w:rsid w:val="00A1355F"/>
    <w:rsid w:val="00A16124"/>
    <w:rsid w:val="00A21A52"/>
    <w:rsid w:val="00A21D49"/>
    <w:rsid w:val="00A21FA3"/>
    <w:rsid w:val="00A2296D"/>
    <w:rsid w:val="00A23EDE"/>
    <w:rsid w:val="00A30569"/>
    <w:rsid w:val="00A309C4"/>
    <w:rsid w:val="00A31881"/>
    <w:rsid w:val="00A33036"/>
    <w:rsid w:val="00A33E0E"/>
    <w:rsid w:val="00A34350"/>
    <w:rsid w:val="00A34FD9"/>
    <w:rsid w:val="00A40B90"/>
    <w:rsid w:val="00A419DF"/>
    <w:rsid w:val="00A448F3"/>
    <w:rsid w:val="00A4491A"/>
    <w:rsid w:val="00A456F9"/>
    <w:rsid w:val="00A4661F"/>
    <w:rsid w:val="00A51383"/>
    <w:rsid w:val="00A537F5"/>
    <w:rsid w:val="00A549E4"/>
    <w:rsid w:val="00A54FA6"/>
    <w:rsid w:val="00A5664D"/>
    <w:rsid w:val="00A57337"/>
    <w:rsid w:val="00A57D14"/>
    <w:rsid w:val="00A57DB6"/>
    <w:rsid w:val="00A610EE"/>
    <w:rsid w:val="00A619B4"/>
    <w:rsid w:val="00A61D0E"/>
    <w:rsid w:val="00A62B61"/>
    <w:rsid w:val="00A63443"/>
    <w:rsid w:val="00A64E5C"/>
    <w:rsid w:val="00A707B0"/>
    <w:rsid w:val="00A74789"/>
    <w:rsid w:val="00A76A83"/>
    <w:rsid w:val="00A77C92"/>
    <w:rsid w:val="00A81E2E"/>
    <w:rsid w:val="00A834E2"/>
    <w:rsid w:val="00A83EC9"/>
    <w:rsid w:val="00A90424"/>
    <w:rsid w:val="00A95F1E"/>
    <w:rsid w:val="00AA2791"/>
    <w:rsid w:val="00AA7B1D"/>
    <w:rsid w:val="00AB015C"/>
    <w:rsid w:val="00AB1E8F"/>
    <w:rsid w:val="00AB340B"/>
    <w:rsid w:val="00AB3570"/>
    <w:rsid w:val="00AB3C30"/>
    <w:rsid w:val="00AB456A"/>
    <w:rsid w:val="00AB4C49"/>
    <w:rsid w:val="00AB566A"/>
    <w:rsid w:val="00AB57B5"/>
    <w:rsid w:val="00AB7378"/>
    <w:rsid w:val="00AC0077"/>
    <w:rsid w:val="00AC0D9A"/>
    <w:rsid w:val="00AC2105"/>
    <w:rsid w:val="00AC489B"/>
    <w:rsid w:val="00AC536D"/>
    <w:rsid w:val="00AC6359"/>
    <w:rsid w:val="00AC6A61"/>
    <w:rsid w:val="00AC7B73"/>
    <w:rsid w:val="00AD05B4"/>
    <w:rsid w:val="00AD172C"/>
    <w:rsid w:val="00AD385C"/>
    <w:rsid w:val="00AD4351"/>
    <w:rsid w:val="00AD48FF"/>
    <w:rsid w:val="00AD5C78"/>
    <w:rsid w:val="00AD6427"/>
    <w:rsid w:val="00AD77C2"/>
    <w:rsid w:val="00AE180E"/>
    <w:rsid w:val="00AE3933"/>
    <w:rsid w:val="00AE609C"/>
    <w:rsid w:val="00AE6987"/>
    <w:rsid w:val="00AE7D30"/>
    <w:rsid w:val="00AF0740"/>
    <w:rsid w:val="00AF0B4B"/>
    <w:rsid w:val="00AF2A58"/>
    <w:rsid w:val="00AF3821"/>
    <w:rsid w:val="00B01D5C"/>
    <w:rsid w:val="00B0438A"/>
    <w:rsid w:val="00B07FF4"/>
    <w:rsid w:val="00B15F0F"/>
    <w:rsid w:val="00B16E6D"/>
    <w:rsid w:val="00B17ADC"/>
    <w:rsid w:val="00B20DFF"/>
    <w:rsid w:val="00B223B2"/>
    <w:rsid w:val="00B22874"/>
    <w:rsid w:val="00B23E0F"/>
    <w:rsid w:val="00B243DA"/>
    <w:rsid w:val="00B25708"/>
    <w:rsid w:val="00B27D2D"/>
    <w:rsid w:val="00B34E3F"/>
    <w:rsid w:val="00B416A8"/>
    <w:rsid w:val="00B43B20"/>
    <w:rsid w:val="00B4403C"/>
    <w:rsid w:val="00B45874"/>
    <w:rsid w:val="00B45AEA"/>
    <w:rsid w:val="00B46261"/>
    <w:rsid w:val="00B4681A"/>
    <w:rsid w:val="00B476EE"/>
    <w:rsid w:val="00B5174F"/>
    <w:rsid w:val="00B51F31"/>
    <w:rsid w:val="00B527D5"/>
    <w:rsid w:val="00B542A8"/>
    <w:rsid w:val="00B54C8C"/>
    <w:rsid w:val="00B563DC"/>
    <w:rsid w:val="00B5758D"/>
    <w:rsid w:val="00B60525"/>
    <w:rsid w:val="00B6073D"/>
    <w:rsid w:val="00B61755"/>
    <w:rsid w:val="00B629D0"/>
    <w:rsid w:val="00B63DAA"/>
    <w:rsid w:val="00B63DD1"/>
    <w:rsid w:val="00B647B5"/>
    <w:rsid w:val="00B678B2"/>
    <w:rsid w:val="00B70356"/>
    <w:rsid w:val="00B707DB"/>
    <w:rsid w:val="00B718E7"/>
    <w:rsid w:val="00B776A8"/>
    <w:rsid w:val="00B80130"/>
    <w:rsid w:val="00B835B7"/>
    <w:rsid w:val="00B85092"/>
    <w:rsid w:val="00B874E6"/>
    <w:rsid w:val="00B87914"/>
    <w:rsid w:val="00B94F13"/>
    <w:rsid w:val="00B95146"/>
    <w:rsid w:val="00B953C8"/>
    <w:rsid w:val="00B95F8A"/>
    <w:rsid w:val="00BA2316"/>
    <w:rsid w:val="00BA34E9"/>
    <w:rsid w:val="00BA3C3E"/>
    <w:rsid w:val="00BA4608"/>
    <w:rsid w:val="00BA6096"/>
    <w:rsid w:val="00BB0DCC"/>
    <w:rsid w:val="00BB7778"/>
    <w:rsid w:val="00BC10B3"/>
    <w:rsid w:val="00BC14BF"/>
    <w:rsid w:val="00BC1A67"/>
    <w:rsid w:val="00BC3A30"/>
    <w:rsid w:val="00BC4489"/>
    <w:rsid w:val="00BC5FAB"/>
    <w:rsid w:val="00BD3553"/>
    <w:rsid w:val="00BD7726"/>
    <w:rsid w:val="00BE12C2"/>
    <w:rsid w:val="00BE217A"/>
    <w:rsid w:val="00BE66A5"/>
    <w:rsid w:val="00BE7076"/>
    <w:rsid w:val="00BE78B6"/>
    <w:rsid w:val="00BE7B64"/>
    <w:rsid w:val="00BF1F4E"/>
    <w:rsid w:val="00BF41F4"/>
    <w:rsid w:val="00BF4AA2"/>
    <w:rsid w:val="00BF4EF9"/>
    <w:rsid w:val="00C01950"/>
    <w:rsid w:val="00C02F55"/>
    <w:rsid w:val="00C034C3"/>
    <w:rsid w:val="00C05C64"/>
    <w:rsid w:val="00C07F66"/>
    <w:rsid w:val="00C11B5B"/>
    <w:rsid w:val="00C122C6"/>
    <w:rsid w:val="00C1321B"/>
    <w:rsid w:val="00C13447"/>
    <w:rsid w:val="00C166CA"/>
    <w:rsid w:val="00C1707F"/>
    <w:rsid w:val="00C17F08"/>
    <w:rsid w:val="00C20423"/>
    <w:rsid w:val="00C20A74"/>
    <w:rsid w:val="00C219B6"/>
    <w:rsid w:val="00C24122"/>
    <w:rsid w:val="00C25679"/>
    <w:rsid w:val="00C26BC5"/>
    <w:rsid w:val="00C30CBF"/>
    <w:rsid w:val="00C33F63"/>
    <w:rsid w:val="00C35911"/>
    <w:rsid w:val="00C35CC0"/>
    <w:rsid w:val="00C373A5"/>
    <w:rsid w:val="00C431FF"/>
    <w:rsid w:val="00C46FDF"/>
    <w:rsid w:val="00C47519"/>
    <w:rsid w:val="00C50587"/>
    <w:rsid w:val="00C505D6"/>
    <w:rsid w:val="00C51109"/>
    <w:rsid w:val="00C658DA"/>
    <w:rsid w:val="00C66265"/>
    <w:rsid w:val="00C66FC7"/>
    <w:rsid w:val="00C67879"/>
    <w:rsid w:val="00C724AA"/>
    <w:rsid w:val="00C725A7"/>
    <w:rsid w:val="00C74738"/>
    <w:rsid w:val="00C75597"/>
    <w:rsid w:val="00C7722F"/>
    <w:rsid w:val="00C775EC"/>
    <w:rsid w:val="00C805D2"/>
    <w:rsid w:val="00C80DB6"/>
    <w:rsid w:val="00C8268C"/>
    <w:rsid w:val="00C9139B"/>
    <w:rsid w:val="00C9276E"/>
    <w:rsid w:val="00C94F72"/>
    <w:rsid w:val="00C95925"/>
    <w:rsid w:val="00C97D3F"/>
    <w:rsid w:val="00CA634B"/>
    <w:rsid w:val="00CA7772"/>
    <w:rsid w:val="00CB3F55"/>
    <w:rsid w:val="00CB6335"/>
    <w:rsid w:val="00CC13EA"/>
    <w:rsid w:val="00CC1949"/>
    <w:rsid w:val="00CC1AB6"/>
    <w:rsid w:val="00CC3C62"/>
    <w:rsid w:val="00CC3EFD"/>
    <w:rsid w:val="00CC5B4C"/>
    <w:rsid w:val="00CC5BF7"/>
    <w:rsid w:val="00CC6FE5"/>
    <w:rsid w:val="00CD06ED"/>
    <w:rsid w:val="00CD0C48"/>
    <w:rsid w:val="00CD2182"/>
    <w:rsid w:val="00CD5B5B"/>
    <w:rsid w:val="00CD78F5"/>
    <w:rsid w:val="00CD7D38"/>
    <w:rsid w:val="00CE0EEA"/>
    <w:rsid w:val="00CE2A62"/>
    <w:rsid w:val="00CE4A9C"/>
    <w:rsid w:val="00CE5EC0"/>
    <w:rsid w:val="00CE655F"/>
    <w:rsid w:val="00CE77D0"/>
    <w:rsid w:val="00CF00C4"/>
    <w:rsid w:val="00CF1EC5"/>
    <w:rsid w:val="00CF3A13"/>
    <w:rsid w:val="00CF4612"/>
    <w:rsid w:val="00CF60D9"/>
    <w:rsid w:val="00CF7C4F"/>
    <w:rsid w:val="00D00AC3"/>
    <w:rsid w:val="00D04D49"/>
    <w:rsid w:val="00D051CB"/>
    <w:rsid w:val="00D06785"/>
    <w:rsid w:val="00D06BA3"/>
    <w:rsid w:val="00D07356"/>
    <w:rsid w:val="00D10566"/>
    <w:rsid w:val="00D1234A"/>
    <w:rsid w:val="00D13DA7"/>
    <w:rsid w:val="00D15B3F"/>
    <w:rsid w:val="00D22099"/>
    <w:rsid w:val="00D23CD6"/>
    <w:rsid w:val="00D25C74"/>
    <w:rsid w:val="00D26A26"/>
    <w:rsid w:val="00D304C4"/>
    <w:rsid w:val="00D30A45"/>
    <w:rsid w:val="00D31AC5"/>
    <w:rsid w:val="00D31BEE"/>
    <w:rsid w:val="00D3212C"/>
    <w:rsid w:val="00D32ABE"/>
    <w:rsid w:val="00D34987"/>
    <w:rsid w:val="00D3508D"/>
    <w:rsid w:val="00D37CB0"/>
    <w:rsid w:val="00D4014D"/>
    <w:rsid w:val="00D405F1"/>
    <w:rsid w:val="00D42510"/>
    <w:rsid w:val="00D45A1A"/>
    <w:rsid w:val="00D47804"/>
    <w:rsid w:val="00D50419"/>
    <w:rsid w:val="00D51685"/>
    <w:rsid w:val="00D516E9"/>
    <w:rsid w:val="00D5483E"/>
    <w:rsid w:val="00D55B0E"/>
    <w:rsid w:val="00D565F3"/>
    <w:rsid w:val="00D62FFF"/>
    <w:rsid w:val="00D66D6D"/>
    <w:rsid w:val="00D702BA"/>
    <w:rsid w:val="00D70B39"/>
    <w:rsid w:val="00D71729"/>
    <w:rsid w:val="00D72925"/>
    <w:rsid w:val="00D74AD1"/>
    <w:rsid w:val="00D74B5B"/>
    <w:rsid w:val="00D74B84"/>
    <w:rsid w:val="00D76CC8"/>
    <w:rsid w:val="00D83D40"/>
    <w:rsid w:val="00D8535B"/>
    <w:rsid w:val="00D85716"/>
    <w:rsid w:val="00D87144"/>
    <w:rsid w:val="00D8759C"/>
    <w:rsid w:val="00D876D2"/>
    <w:rsid w:val="00D878C5"/>
    <w:rsid w:val="00D90E4D"/>
    <w:rsid w:val="00D91DDC"/>
    <w:rsid w:val="00D92633"/>
    <w:rsid w:val="00D9374E"/>
    <w:rsid w:val="00DA0A6D"/>
    <w:rsid w:val="00DA1477"/>
    <w:rsid w:val="00DA1FCB"/>
    <w:rsid w:val="00DA2A96"/>
    <w:rsid w:val="00DA5D41"/>
    <w:rsid w:val="00DA5D92"/>
    <w:rsid w:val="00DA619F"/>
    <w:rsid w:val="00DA75EC"/>
    <w:rsid w:val="00DB0F1F"/>
    <w:rsid w:val="00DB49D9"/>
    <w:rsid w:val="00DB59AF"/>
    <w:rsid w:val="00DB7007"/>
    <w:rsid w:val="00DC11A7"/>
    <w:rsid w:val="00DC2C71"/>
    <w:rsid w:val="00DC7DC1"/>
    <w:rsid w:val="00DD2B5A"/>
    <w:rsid w:val="00DD6F8C"/>
    <w:rsid w:val="00DD7186"/>
    <w:rsid w:val="00DE0BA0"/>
    <w:rsid w:val="00DE0C5A"/>
    <w:rsid w:val="00DE4C90"/>
    <w:rsid w:val="00DE5A7F"/>
    <w:rsid w:val="00DE6501"/>
    <w:rsid w:val="00DE6B5C"/>
    <w:rsid w:val="00DF0EFC"/>
    <w:rsid w:val="00DF1223"/>
    <w:rsid w:val="00DF16C1"/>
    <w:rsid w:val="00DF273E"/>
    <w:rsid w:val="00DF37CF"/>
    <w:rsid w:val="00DF4C3D"/>
    <w:rsid w:val="00DF76A8"/>
    <w:rsid w:val="00E00F82"/>
    <w:rsid w:val="00E01051"/>
    <w:rsid w:val="00E04246"/>
    <w:rsid w:val="00E04E89"/>
    <w:rsid w:val="00E05ED5"/>
    <w:rsid w:val="00E11875"/>
    <w:rsid w:val="00E153A5"/>
    <w:rsid w:val="00E16507"/>
    <w:rsid w:val="00E16B56"/>
    <w:rsid w:val="00E173B6"/>
    <w:rsid w:val="00E2058B"/>
    <w:rsid w:val="00E206CA"/>
    <w:rsid w:val="00E21D30"/>
    <w:rsid w:val="00E22089"/>
    <w:rsid w:val="00E2345E"/>
    <w:rsid w:val="00E31043"/>
    <w:rsid w:val="00E33161"/>
    <w:rsid w:val="00E34843"/>
    <w:rsid w:val="00E34977"/>
    <w:rsid w:val="00E42204"/>
    <w:rsid w:val="00E435DB"/>
    <w:rsid w:val="00E4385D"/>
    <w:rsid w:val="00E43F11"/>
    <w:rsid w:val="00E444F3"/>
    <w:rsid w:val="00E50842"/>
    <w:rsid w:val="00E50B48"/>
    <w:rsid w:val="00E51AF1"/>
    <w:rsid w:val="00E5221B"/>
    <w:rsid w:val="00E52BB7"/>
    <w:rsid w:val="00E55361"/>
    <w:rsid w:val="00E55A56"/>
    <w:rsid w:val="00E56D50"/>
    <w:rsid w:val="00E575C7"/>
    <w:rsid w:val="00E60219"/>
    <w:rsid w:val="00E612EB"/>
    <w:rsid w:val="00E61AD1"/>
    <w:rsid w:val="00E61B17"/>
    <w:rsid w:val="00E628EA"/>
    <w:rsid w:val="00E63C63"/>
    <w:rsid w:val="00E6447D"/>
    <w:rsid w:val="00E65A72"/>
    <w:rsid w:val="00E66D43"/>
    <w:rsid w:val="00E66FAB"/>
    <w:rsid w:val="00E7325B"/>
    <w:rsid w:val="00E80978"/>
    <w:rsid w:val="00E81BA5"/>
    <w:rsid w:val="00E84875"/>
    <w:rsid w:val="00E87164"/>
    <w:rsid w:val="00E8746E"/>
    <w:rsid w:val="00E90B49"/>
    <w:rsid w:val="00E9386A"/>
    <w:rsid w:val="00E939FD"/>
    <w:rsid w:val="00E96B96"/>
    <w:rsid w:val="00E978A9"/>
    <w:rsid w:val="00EA03AB"/>
    <w:rsid w:val="00EA05DC"/>
    <w:rsid w:val="00EA218B"/>
    <w:rsid w:val="00EA3513"/>
    <w:rsid w:val="00EA452A"/>
    <w:rsid w:val="00EA45B0"/>
    <w:rsid w:val="00EA6DCD"/>
    <w:rsid w:val="00EA7AB9"/>
    <w:rsid w:val="00EB2C1E"/>
    <w:rsid w:val="00EB3DE9"/>
    <w:rsid w:val="00EB5AF2"/>
    <w:rsid w:val="00EB5D04"/>
    <w:rsid w:val="00EB62BB"/>
    <w:rsid w:val="00EC0EE0"/>
    <w:rsid w:val="00EC7243"/>
    <w:rsid w:val="00ED105E"/>
    <w:rsid w:val="00ED1D4B"/>
    <w:rsid w:val="00ED374B"/>
    <w:rsid w:val="00ED7FA9"/>
    <w:rsid w:val="00EE0293"/>
    <w:rsid w:val="00EE2605"/>
    <w:rsid w:val="00EE26E2"/>
    <w:rsid w:val="00EE3CD7"/>
    <w:rsid w:val="00EE3E79"/>
    <w:rsid w:val="00EE73E6"/>
    <w:rsid w:val="00EF02F9"/>
    <w:rsid w:val="00EF061A"/>
    <w:rsid w:val="00EF4DD4"/>
    <w:rsid w:val="00EF6739"/>
    <w:rsid w:val="00F00C21"/>
    <w:rsid w:val="00F01DAE"/>
    <w:rsid w:val="00F01FE9"/>
    <w:rsid w:val="00F02C8F"/>
    <w:rsid w:val="00F03310"/>
    <w:rsid w:val="00F03471"/>
    <w:rsid w:val="00F04C5D"/>
    <w:rsid w:val="00F077A9"/>
    <w:rsid w:val="00F11342"/>
    <w:rsid w:val="00F13252"/>
    <w:rsid w:val="00F14C45"/>
    <w:rsid w:val="00F15948"/>
    <w:rsid w:val="00F17A9C"/>
    <w:rsid w:val="00F212E6"/>
    <w:rsid w:val="00F21DDE"/>
    <w:rsid w:val="00F22F02"/>
    <w:rsid w:val="00F2399C"/>
    <w:rsid w:val="00F23E8D"/>
    <w:rsid w:val="00F25B46"/>
    <w:rsid w:val="00F26961"/>
    <w:rsid w:val="00F2733E"/>
    <w:rsid w:val="00F30284"/>
    <w:rsid w:val="00F3219F"/>
    <w:rsid w:val="00F34BAD"/>
    <w:rsid w:val="00F366F3"/>
    <w:rsid w:val="00F4024E"/>
    <w:rsid w:val="00F42794"/>
    <w:rsid w:val="00F42AF5"/>
    <w:rsid w:val="00F44E41"/>
    <w:rsid w:val="00F45027"/>
    <w:rsid w:val="00F4514D"/>
    <w:rsid w:val="00F50C13"/>
    <w:rsid w:val="00F52FCB"/>
    <w:rsid w:val="00F5411D"/>
    <w:rsid w:val="00F541B5"/>
    <w:rsid w:val="00F5477E"/>
    <w:rsid w:val="00F54E41"/>
    <w:rsid w:val="00F56F9A"/>
    <w:rsid w:val="00F60A85"/>
    <w:rsid w:val="00F60F96"/>
    <w:rsid w:val="00F64071"/>
    <w:rsid w:val="00F65187"/>
    <w:rsid w:val="00F67135"/>
    <w:rsid w:val="00F7056A"/>
    <w:rsid w:val="00F707C6"/>
    <w:rsid w:val="00F73CB5"/>
    <w:rsid w:val="00F76D43"/>
    <w:rsid w:val="00F80A01"/>
    <w:rsid w:val="00F834F8"/>
    <w:rsid w:val="00F84F02"/>
    <w:rsid w:val="00F868AD"/>
    <w:rsid w:val="00F93D78"/>
    <w:rsid w:val="00F94130"/>
    <w:rsid w:val="00F95A44"/>
    <w:rsid w:val="00FA1771"/>
    <w:rsid w:val="00FA25F5"/>
    <w:rsid w:val="00FA2DE8"/>
    <w:rsid w:val="00FA3F7E"/>
    <w:rsid w:val="00FB0E73"/>
    <w:rsid w:val="00FB172E"/>
    <w:rsid w:val="00FB49B9"/>
    <w:rsid w:val="00FB571E"/>
    <w:rsid w:val="00FC51FE"/>
    <w:rsid w:val="00FC5A47"/>
    <w:rsid w:val="00FD152F"/>
    <w:rsid w:val="00FD1C41"/>
    <w:rsid w:val="00FD30FF"/>
    <w:rsid w:val="00FD3AE4"/>
    <w:rsid w:val="00FD4DE7"/>
    <w:rsid w:val="00FD6946"/>
    <w:rsid w:val="00FD6D72"/>
    <w:rsid w:val="00FD74DB"/>
    <w:rsid w:val="00FE0B66"/>
    <w:rsid w:val="00FE1657"/>
    <w:rsid w:val="00FE27E5"/>
    <w:rsid w:val="00FE32F9"/>
    <w:rsid w:val="00FE3D0B"/>
    <w:rsid w:val="00FE4172"/>
    <w:rsid w:val="00FE5DC4"/>
    <w:rsid w:val="00FF1609"/>
    <w:rsid w:val="00FF29BD"/>
    <w:rsid w:val="00FF55A2"/>
    <w:rsid w:val="00FF6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4DD"/>
    <w:pPr>
      <w:spacing w:after="200" w:line="276" w:lineRule="auto"/>
    </w:pPr>
    <w:rPr>
      <w:rFonts w:cs="Calibri"/>
      <w:kern w:val="0"/>
      <w:sz w:val="22"/>
      <w:lang w:eastAsia="en-US"/>
    </w:rPr>
  </w:style>
  <w:style w:type="paragraph" w:styleId="Heading1">
    <w:name w:val="heading 1"/>
    <w:basedOn w:val="Normal"/>
    <w:link w:val="Heading1Char"/>
    <w:uiPriority w:val="99"/>
    <w:qFormat/>
    <w:locked/>
    <w:rsid w:val="00B95146"/>
    <w:pPr>
      <w:spacing w:before="100" w:beforeAutospacing="1" w:after="100" w:afterAutospacing="1" w:line="240" w:lineRule="auto"/>
      <w:outlineLvl w:val="0"/>
    </w:pPr>
    <w:rPr>
      <w:b/>
      <w:bCs/>
      <w:kern w:val="36"/>
      <w:sz w:val="48"/>
      <w:szCs w:val="48"/>
    </w:rPr>
  </w:style>
  <w:style w:type="paragraph" w:styleId="Heading3">
    <w:name w:val="heading 3"/>
    <w:basedOn w:val="Normal"/>
    <w:next w:val="Normal"/>
    <w:link w:val="Heading3Char"/>
    <w:uiPriority w:val="99"/>
    <w:qFormat/>
    <w:locked/>
    <w:rsid w:val="00B9514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8329BB"/>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76DC"/>
    <w:rPr>
      <w:rFonts w:ascii="Cambria" w:hAnsi="Cambria" w:cs="Cambria"/>
      <w:b/>
      <w:bCs/>
      <w:kern w:val="32"/>
      <w:sz w:val="32"/>
      <w:szCs w:val="32"/>
    </w:rPr>
  </w:style>
  <w:style w:type="character" w:customStyle="1" w:styleId="Heading3Char">
    <w:name w:val="Heading 3 Char"/>
    <w:basedOn w:val="DefaultParagraphFont"/>
    <w:link w:val="Heading3"/>
    <w:uiPriority w:val="99"/>
    <w:locked/>
    <w:rsid w:val="004E76D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8329BB"/>
    <w:rPr>
      <w:rFonts w:ascii="Cambria" w:hAnsi="Cambria" w:cs="Cambria"/>
      <w:b/>
      <w:bCs/>
      <w:i/>
      <w:iCs/>
      <w:color w:val="4F81BD"/>
      <w:sz w:val="22"/>
      <w:szCs w:val="22"/>
    </w:rPr>
  </w:style>
  <w:style w:type="character" w:customStyle="1" w:styleId="a-size-large">
    <w:name w:val="a-size-large"/>
    <w:basedOn w:val="DefaultParagraphFont"/>
    <w:uiPriority w:val="99"/>
    <w:rsid w:val="00B95146"/>
    <w:rPr>
      <w:rFonts w:cs="Times New Roman"/>
    </w:rPr>
  </w:style>
  <w:style w:type="character" w:styleId="Hyperlink">
    <w:name w:val="Hyperlink"/>
    <w:basedOn w:val="DefaultParagraphFont"/>
    <w:uiPriority w:val="99"/>
    <w:rsid w:val="00B95146"/>
    <w:rPr>
      <w:rFonts w:cs="Times New Roman"/>
      <w:color w:val="0000FF"/>
      <w:u w:val="single"/>
    </w:rPr>
  </w:style>
  <w:style w:type="character" w:customStyle="1" w:styleId="apple-converted-space">
    <w:name w:val="apple-converted-space"/>
    <w:basedOn w:val="DefaultParagraphFont"/>
    <w:uiPriority w:val="99"/>
    <w:rsid w:val="00B95146"/>
    <w:rPr>
      <w:rFonts w:cs="Times New Roman"/>
    </w:rPr>
  </w:style>
  <w:style w:type="paragraph" w:styleId="NormalWeb">
    <w:name w:val="Normal (Web)"/>
    <w:basedOn w:val="Normal"/>
    <w:uiPriority w:val="99"/>
    <w:rsid w:val="00B95146"/>
    <w:pPr>
      <w:spacing w:before="100" w:beforeAutospacing="1" w:after="100" w:afterAutospacing="1" w:line="240" w:lineRule="auto"/>
    </w:pPr>
    <w:rPr>
      <w:sz w:val="24"/>
      <w:szCs w:val="24"/>
    </w:rPr>
  </w:style>
  <w:style w:type="character" w:styleId="Emphasis">
    <w:name w:val="Emphasis"/>
    <w:basedOn w:val="DefaultParagraphFont"/>
    <w:uiPriority w:val="99"/>
    <w:qFormat/>
    <w:locked/>
    <w:rsid w:val="00F45027"/>
    <w:rPr>
      <w:rFonts w:cs="Times New Roman"/>
      <w:i/>
      <w:iCs/>
    </w:rPr>
  </w:style>
  <w:style w:type="character" w:customStyle="1" w:styleId="cit">
    <w:name w:val="cit"/>
    <w:basedOn w:val="DefaultParagraphFont"/>
    <w:uiPriority w:val="99"/>
    <w:rsid w:val="00B07FF4"/>
    <w:rPr>
      <w:rFonts w:cs="Times New Roman"/>
    </w:rPr>
  </w:style>
  <w:style w:type="character" w:customStyle="1" w:styleId="doi">
    <w:name w:val="doi"/>
    <w:basedOn w:val="DefaultParagraphFont"/>
    <w:uiPriority w:val="99"/>
    <w:rsid w:val="00B07FF4"/>
    <w:rPr>
      <w:rFonts w:cs="Times New Roman"/>
    </w:rPr>
  </w:style>
  <w:style w:type="character" w:customStyle="1" w:styleId="fm-citation-ids-label">
    <w:name w:val="fm-citation-ids-label"/>
    <w:basedOn w:val="DefaultParagraphFont"/>
    <w:uiPriority w:val="99"/>
    <w:rsid w:val="00B07FF4"/>
    <w:rPr>
      <w:rFonts w:cs="Times New Roman"/>
    </w:rPr>
  </w:style>
  <w:style w:type="character" w:customStyle="1" w:styleId="fm-vol-iss-date">
    <w:name w:val="fm-vol-iss-date"/>
    <w:basedOn w:val="DefaultParagraphFont"/>
    <w:uiPriority w:val="99"/>
    <w:rsid w:val="00E8746E"/>
    <w:rPr>
      <w:rFonts w:cs="Times New Roman"/>
    </w:rPr>
  </w:style>
  <w:style w:type="character" w:customStyle="1" w:styleId="ui-ncbitoggler-master-text">
    <w:name w:val="ui-ncbitoggler-master-text"/>
    <w:basedOn w:val="DefaultParagraphFont"/>
    <w:uiPriority w:val="99"/>
    <w:rsid w:val="00286DBB"/>
    <w:rPr>
      <w:rFonts w:cs="Times New Roman"/>
    </w:rPr>
  </w:style>
  <w:style w:type="paragraph" w:customStyle="1" w:styleId="ui-ncbi-toggler-slave">
    <w:name w:val="ui-ncbi-toggler-slave"/>
    <w:basedOn w:val="Normal"/>
    <w:uiPriority w:val="99"/>
    <w:rsid w:val="00286DBB"/>
    <w:pPr>
      <w:spacing w:before="100" w:beforeAutospacing="1" w:after="100" w:afterAutospacing="1" w:line="240" w:lineRule="auto"/>
    </w:pPr>
    <w:rPr>
      <w:rFonts w:ascii="Times New Roman" w:hAnsi="Times New Roman" w:cs="Times New Roman"/>
      <w:sz w:val="24"/>
      <w:szCs w:val="24"/>
    </w:rPr>
  </w:style>
  <w:style w:type="character" w:customStyle="1" w:styleId="highlight">
    <w:name w:val="highlight"/>
    <w:basedOn w:val="DefaultParagraphFont"/>
    <w:uiPriority w:val="99"/>
    <w:rsid w:val="002E1E76"/>
    <w:rPr>
      <w:rFonts w:cs="Times New Roman"/>
    </w:rPr>
  </w:style>
  <w:style w:type="character" w:customStyle="1" w:styleId="ref-journal">
    <w:name w:val="ref-journal"/>
    <w:basedOn w:val="DefaultParagraphFont"/>
    <w:uiPriority w:val="99"/>
    <w:rsid w:val="00314E0E"/>
    <w:rPr>
      <w:rFonts w:cs="Times New Roman"/>
    </w:rPr>
  </w:style>
  <w:style w:type="character" w:customStyle="1" w:styleId="ref-vol">
    <w:name w:val="ref-vol"/>
    <w:basedOn w:val="DefaultParagraphFont"/>
    <w:uiPriority w:val="99"/>
    <w:rsid w:val="00314E0E"/>
    <w:rPr>
      <w:rFonts w:cs="Times New Roman"/>
    </w:rPr>
  </w:style>
  <w:style w:type="character" w:customStyle="1" w:styleId="element-citation">
    <w:name w:val="element-citation"/>
    <w:basedOn w:val="DefaultParagraphFont"/>
    <w:uiPriority w:val="99"/>
    <w:rsid w:val="009F3D55"/>
    <w:rPr>
      <w:rFonts w:cs="Times New Roman"/>
    </w:rPr>
  </w:style>
  <w:style w:type="paragraph" w:styleId="BalloonText">
    <w:name w:val="Balloon Text"/>
    <w:basedOn w:val="Normal"/>
    <w:link w:val="BalloonTextChar"/>
    <w:uiPriority w:val="99"/>
    <w:semiHidden/>
    <w:rsid w:val="00E3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1043"/>
    <w:rPr>
      <w:rFonts w:ascii="Tahoma" w:hAnsi="Tahoma" w:cs="Tahoma"/>
      <w:sz w:val="16"/>
      <w:szCs w:val="16"/>
    </w:rPr>
  </w:style>
  <w:style w:type="paragraph" w:styleId="ListParagraph">
    <w:name w:val="List Paragraph"/>
    <w:basedOn w:val="Normal"/>
    <w:uiPriority w:val="99"/>
    <w:qFormat/>
    <w:rsid w:val="000C3C17"/>
    <w:pPr>
      <w:ind w:left="720"/>
    </w:pPr>
  </w:style>
  <w:style w:type="paragraph" w:customStyle="1" w:styleId="affiliations">
    <w:name w:val="affiliations"/>
    <w:basedOn w:val="Normal"/>
    <w:uiPriority w:val="99"/>
    <w:rsid w:val="008329BB"/>
    <w:pPr>
      <w:spacing w:before="100" w:beforeAutospacing="1" w:after="100" w:afterAutospacing="1" w:line="240" w:lineRule="auto"/>
    </w:pPr>
    <w:rPr>
      <w:rFonts w:ascii="Times New Roman" w:hAnsi="Times New Roman" w:cs="Times New Roman"/>
      <w:sz w:val="24"/>
      <w:szCs w:val="24"/>
    </w:rPr>
  </w:style>
  <w:style w:type="paragraph" w:customStyle="1" w:styleId="publicationdate">
    <w:name w:val="publication_date"/>
    <w:basedOn w:val="Normal"/>
    <w:uiPriority w:val="99"/>
    <w:rsid w:val="008329BB"/>
    <w:pPr>
      <w:spacing w:before="100" w:beforeAutospacing="1" w:after="100" w:afterAutospacing="1" w:line="240" w:lineRule="auto"/>
    </w:pPr>
    <w:rPr>
      <w:rFonts w:ascii="Times New Roman" w:hAnsi="Times New Roman" w:cs="Times New Roman"/>
      <w:sz w:val="24"/>
      <w:szCs w:val="24"/>
    </w:rPr>
  </w:style>
  <w:style w:type="character" w:customStyle="1" w:styleId="label-article-type">
    <w:name w:val="label-article-type"/>
    <w:basedOn w:val="DefaultParagraphFont"/>
    <w:uiPriority w:val="99"/>
    <w:rsid w:val="008329BB"/>
    <w:rPr>
      <w:rFonts w:cs="Times New Roman"/>
    </w:rPr>
  </w:style>
  <w:style w:type="character" w:customStyle="1" w:styleId="section-title">
    <w:name w:val="section-title"/>
    <w:basedOn w:val="DefaultParagraphFont"/>
    <w:uiPriority w:val="99"/>
    <w:rsid w:val="008329BB"/>
    <w:rPr>
      <w:rFonts w:cs="Times New Roman"/>
    </w:rPr>
  </w:style>
  <w:style w:type="paragraph" w:styleId="Header">
    <w:name w:val="header"/>
    <w:basedOn w:val="Normal"/>
    <w:link w:val="HeaderChar"/>
    <w:uiPriority w:val="99"/>
    <w:semiHidden/>
    <w:rsid w:val="00240B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40B49"/>
    <w:rPr>
      <w:rFonts w:cs="Times New Roman"/>
      <w:sz w:val="22"/>
      <w:szCs w:val="22"/>
    </w:rPr>
  </w:style>
  <w:style w:type="paragraph" w:styleId="Footer">
    <w:name w:val="footer"/>
    <w:basedOn w:val="Normal"/>
    <w:link w:val="FooterChar"/>
    <w:uiPriority w:val="99"/>
    <w:semiHidden/>
    <w:rsid w:val="00240B4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240B49"/>
    <w:rPr>
      <w:rFonts w:cs="Times New Roman"/>
      <w:sz w:val="22"/>
      <w:szCs w:val="22"/>
    </w:rPr>
  </w:style>
  <w:style w:type="paragraph" w:customStyle="1" w:styleId="CharChar2">
    <w:name w:val="Char Char2"/>
    <w:basedOn w:val="Normal"/>
    <w:autoRedefine/>
    <w:uiPriority w:val="99"/>
    <w:rsid w:val="00AD05B4"/>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paragraph" w:styleId="CommentText">
    <w:name w:val="annotation text"/>
    <w:basedOn w:val="Normal"/>
    <w:link w:val="CommentTextChar1"/>
    <w:uiPriority w:val="99"/>
    <w:semiHidden/>
    <w:rsid w:val="00AD05B4"/>
    <w:pPr>
      <w:suppressAutoHyphens/>
      <w:spacing w:before="120" w:after="120" w:line="240" w:lineRule="auto"/>
    </w:pPr>
    <w:rPr>
      <w:rFonts w:cs="Times New Roman"/>
      <w:szCs w:val="20"/>
      <w:lang w:eastAsia="ar-SA"/>
    </w:rPr>
  </w:style>
  <w:style w:type="character" w:customStyle="1" w:styleId="CommentTextChar">
    <w:name w:val="Comment Text Char"/>
    <w:basedOn w:val="DefaultParagraphFont"/>
    <w:uiPriority w:val="99"/>
    <w:semiHidden/>
    <w:locked/>
    <w:rsid w:val="00292EBE"/>
    <w:rPr>
      <w:rFonts w:cs="Times New Roman"/>
      <w:kern w:val="0"/>
      <w:sz w:val="22"/>
      <w:szCs w:val="22"/>
      <w:lang w:eastAsia="en-US"/>
    </w:rPr>
  </w:style>
  <w:style w:type="character" w:customStyle="1" w:styleId="CommentTextChar1">
    <w:name w:val="Comment Text Char1"/>
    <w:link w:val="CommentText"/>
    <w:uiPriority w:val="99"/>
    <w:semiHidden/>
    <w:locked/>
    <w:rsid w:val="00AD05B4"/>
    <w:rPr>
      <w:rFonts w:ascii="Calibri" w:hAnsi="Calibri"/>
      <w:sz w:val="22"/>
      <w:lang w:val="en-US" w:eastAsia="ar-SA" w:bidi="ar-SA"/>
    </w:rPr>
  </w:style>
  <w:style w:type="character" w:styleId="CommentReference">
    <w:name w:val="annotation reference"/>
    <w:basedOn w:val="DefaultParagraphFont"/>
    <w:uiPriority w:val="99"/>
    <w:semiHidden/>
    <w:rsid w:val="00AD05B4"/>
    <w:rPr>
      <w:rFonts w:cs="Times New Roman"/>
      <w:sz w:val="21"/>
      <w:szCs w:val="21"/>
    </w:rPr>
  </w:style>
  <w:style w:type="paragraph" w:styleId="CommentSubject">
    <w:name w:val="annotation subject"/>
    <w:basedOn w:val="CommentText"/>
    <w:next w:val="CommentText"/>
    <w:link w:val="CommentSubjectChar"/>
    <w:uiPriority w:val="99"/>
    <w:semiHidden/>
    <w:rsid w:val="00AD05B4"/>
    <w:pPr>
      <w:suppressAutoHyphens w:val="0"/>
      <w:spacing w:before="0" w:after="200" w:line="276" w:lineRule="auto"/>
    </w:pPr>
    <w:rPr>
      <w:b/>
      <w:bCs/>
      <w:lang w:eastAsia="en-US"/>
    </w:rPr>
  </w:style>
  <w:style w:type="character" w:customStyle="1" w:styleId="CommentSubjectChar">
    <w:name w:val="Comment Subject Char"/>
    <w:basedOn w:val="CommentTextChar1"/>
    <w:link w:val="CommentSubject"/>
    <w:uiPriority w:val="99"/>
    <w:semiHidden/>
    <w:locked/>
    <w:rsid w:val="00292EBE"/>
    <w:rPr>
      <w:rFonts w:ascii="Calibri" w:hAnsi="Calibri" w:cs="Calibri"/>
      <w:b/>
      <w:bCs/>
      <w:kern w:val="0"/>
      <w:sz w:val="22"/>
      <w:szCs w:val="22"/>
      <w:lang w:val="en-US" w:eastAsia="en-US" w:bidi="ar-SA"/>
    </w:rPr>
  </w:style>
  <w:style w:type="character" w:styleId="PageNumber">
    <w:name w:val="page number"/>
    <w:basedOn w:val="DefaultParagraphFont"/>
    <w:uiPriority w:val="99"/>
    <w:rsid w:val="004E6E1E"/>
    <w:rPr>
      <w:rFonts w:cs="Times New Roman"/>
    </w:rPr>
  </w:style>
  <w:style w:type="character" w:customStyle="1" w:styleId="labellist">
    <w:name w:val="label_list"/>
    <w:basedOn w:val="DefaultParagraphFont"/>
    <w:uiPriority w:val="99"/>
    <w:rsid w:val="00A34FD9"/>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4DD"/>
    <w:pPr>
      <w:spacing w:after="200" w:line="276" w:lineRule="auto"/>
    </w:pPr>
    <w:rPr>
      <w:rFonts w:cs="Calibri"/>
      <w:kern w:val="0"/>
      <w:sz w:val="22"/>
      <w:lang w:eastAsia="en-US"/>
    </w:rPr>
  </w:style>
  <w:style w:type="paragraph" w:styleId="Heading1">
    <w:name w:val="heading 1"/>
    <w:basedOn w:val="Normal"/>
    <w:link w:val="Heading1Char"/>
    <w:uiPriority w:val="99"/>
    <w:qFormat/>
    <w:locked/>
    <w:rsid w:val="00B95146"/>
    <w:pPr>
      <w:spacing w:before="100" w:beforeAutospacing="1" w:after="100" w:afterAutospacing="1" w:line="240" w:lineRule="auto"/>
      <w:outlineLvl w:val="0"/>
    </w:pPr>
    <w:rPr>
      <w:b/>
      <w:bCs/>
      <w:kern w:val="36"/>
      <w:sz w:val="48"/>
      <w:szCs w:val="48"/>
    </w:rPr>
  </w:style>
  <w:style w:type="paragraph" w:styleId="Heading3">
    <w:name w:val="heading 3"/>
    <w:basedOn w:val="Normal"/>
    <w:next w:val="Normal"/>
    <w:link w:val="Heading3Char"/>
    <w:uiPriority w:val="99"/>
    <w:qFormat/>
    <w:locked/>
    <w:rsid w:val="00B9514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8329BB"/>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76DC"/>
    <w:rPr>
      <w:rFonts w:ascii="Cambria" w:hAnsi="Cambria" w:cs="Cambria"/>
      <w:b/>
      <w:bCs/>
      <w:kern w:val="32"/>
      <w:sz w:val="32"/>
      <w:szCs w:val="32"/>
    </w:rPr>
  </w:style>
  <w:style w:type="character" w:customStyle="1" w:styleId="Heading3Char">
    <w:name w:val="Heading 3 Char"/>
    <w:basedOn w:val="DefaultParagraphFont"/>
    <w:link w:val="Heading3"/>
    <w:uiPriority w:val="99"/>
    <w:locked/>
    <w:rsid w:val="004E76D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8329BB"/>
    <w:rPr>
      <w:rFonts w:ascii="Cambria" w:hAnsi="Cambria" w:cs="Cambria"/>
      <w:b/>
      <w:bCs/>
      <w:i/>
      <w:iCs/>
      <w:color w:val="4F81BD"/>
      <w:sz w:val="22"/>
      <w:szCs w:val="22"/>
    </w:rPr>
  </w:style>
  <w:style w:type="character" w:customStyle="1" w:styleId="a-size-large">
    <w:name w:val="a-size-large"/>
    <w:basedOn w:val="DefaultParagraphFont"/>
    <w:uiPriority w:val="99"/>
    <w:rsid w:val="00B95146"/>
    <w:rPr>
      <w:rFonts w:cs="Times New Roman"/>
    </w:rPr>
  </w:style>
  <w:style w:type="character" w:styleId="Hyperlink">
    <w:name w:val="Hyperlink"/>
    <w:basedOn w:val="DefaultParagraphFont"/>
    <w:uiPriority w:val="99"/>
    <w:rsid w:val="00B95146"/>
    <w:rPr>
      <w:rFonts w:cs="Times New Roman"/>
      <w:color w:val="0000FF"/>
      <w:u w:val="single"/>
    </w:rPr>
  </w:style>
  <w:style w:type="character" w:customStyle="1" w:styleId="apple-converted-space">
    <w:name w:val="apple-converted-space"/>
    <w:basedOn w:val="DefaultParagraphFont"/>
    <w:uiPriority w:val="99"/>
    <w:rsid w:val="00B95146"/>
    <w:rPr>
      <w:rFonts w:cs="Times New Roman"/>
    </w:rPr>
  </w:style>
  <w:style w:type="paragraph" w:styleId="NormalWeb">
    <w:name w:val="Normal (Web)"/>
    <w:basedOn w:val="Normal"/>
    <w:uiPriority w:val="99"/>
    <w:rsid w:val="00B95146"/>
    <w:pPr>
      <w:spacing w:before="100" w:beforeAutospacing="1" w:after="100" w:afterAutospacing="1" w:line="240" w:lineRule="auto"/>
    </w:pPr>
    <w:rPr>
      <w:sz w:val="24"/>
      <w:szCs w:val="24"/>
    </w:rPr>
  </w:style>
  <w:style w:type="character" w:styleId="Emphasis">
    <w:name w:val="Emphasis"/>
    <w:basedOn w:val="DefaultParagraphFont"/>
    <w:uiPriority w:val="99"/>
    <w:qFormat/>
    <w:locked/>
    <w:rsid w:val="00F45027"/>
    <w:rPr>
      <w:rFonts w:cs="Times New Roman"/>
      <w:i/>
      <w:iCs/>
    </w:rPr>
  </w:style>
  <w:style w:type="character" w:customStyle="1" w:styleId="cit">
    <w:name w:val="cit"/>
    <w:basedOn w:val="DefaultParagraphFont"/>
    <w:uiPriority w:val="99"/>
    <w:rsid w:val="00B07FF4"/>
    <w:rPr>
      <w:rFonts w:cs="Times New Roman"/>
    </w:rPr>
  </w:style>
  <w:style w:type="character" w:customStyle="1" w:styleId="doi">
    <w:name w:val="doi"/>
    <w:basedOn w:val="DefaultParagraphFont"/>
    <w:uiPriority w:val="99"/>
    <w:rsid w:val="00B07FF4"/>
    <w:rPr>
      <w:rFonts w:cs="Times New Roman"/>
    </w:rPr>
  </w:style>
  <w:style w:type="character" w:customStyle="1" w:styleId="fm-citation-ids-label">
    <w:name w:val="fm-citation-ids-label"/>
    <w:basedOn w:val="DefaultParagraphFont"/>
    <w:uiPriority w:val="99"/>
    <w:rsid w:val="00B07FF4"/>
    <w:rPr>
      <w:rFonts w:cs="Times New Roman"/>
    </w:rPr>
  </w:style>
  <w:style w:type="character" w:customStyle="1" w:styleId="fm-vol-iss-date">
    <w:name w:val="fm-vol-iss-date"/>
    <w:basedOn w:val="DefaultParagraphFont"/>
    <w:uiPriority w:val="99"/>
    <w:rsid w:val="00E8746E"/>
    <w:rPr>
      <w:rFonts w:cs="Times New Roman"/>
    </w:rPr>
  </w:style>
  <w:style w:type="character" w:customStyle="1" w:styleId="ui-ncbitoggler-master-text">
    <w:name w:val="ui-ncbitoggler-master-text"/>
    <w:basedOn w:val="DefaultParagraphFont"/>
    <w:uiPriority w:val="99"/>
    <w:rsid w:val="00286DBB"/>
    <w:rPr>
      <w:rFonts w:cs="Times New Roman"/>
    </w:rPr>
  </w:style>
  <w:style w:type="paragraph" w:customStyle="1" w:styleId="ui-ncbi-toggler-slave">
    <w:name w:val="ui-ncbi-toggler-slave"/>
    <w:basedOn w:val="Normal"/>
    <w:uiPriority w:val="99"/>
    <w:rsid w:val="00286DBB"/>
    <w:pPr>
      <w:spacing w:before="100" w:beforeAutospacing="1" w:after="100" w:afterAutospacing="1" w:line="240" w:lineRule="auto"/>
    </w:pPr>
    <w:rPr>
      <w:rFonts w:ascii="Times New Roman" w:hAnsi="Times New Roman" w:cs="Times New Roman"/>
      <w:sz w:val="24"/>
      <w:szCs w:val="24"/>
    </w:rPr>
  </w:style>
  <w:style w:type="character" w:customStyle="1" w:styleId="highlight">
    <w:name w:val="highlight"/>
    <w:basedOn w:val="DefaultParagraphFont"/>
    <w:uiPriority w:val="99"/>
    <w:rsid w:val="002E1E76"/>
    <w:rPr>
      <w:rFonts w:cs="Times New Roman"/>
    </w:rPr>
  </w:style>
  <w:style w:type="character" w:customStyle="1" w:styleId="ref-journal">
    <w:name w:val="ref-journal"/>
    <w:basedOn w:val="DefaultParagraphFont"/>
    <w:uiPriority w:val="99"/>
    <w:rsid w:val="00314E0E"/>
    <w:rPr>
      <w:rFonts w:cs="Times New Roman"/>
    </w:rPr>
  </w:style>
  <w:style w:type="character" w:customStyle="1" w:styleId="ref-vol">
    <w:name w:val="ref-vol"/>
    <w:basedOn w:val="DefaultParagraphFont"/>
    <w:uiPriority w:val="99"/>
    <w:rsid w:val="00314E0E"/>
    <w:rPr>
      <w:rFonts w:cs="Times New Roman"/>
    </w:rPr>
  </w:style>
  <w:style w:type="character" w:customStyle="1" w:styleId="element-citation">
    <w:name w:val="element-citation"/>
    <w:basedOn w:val="DefaultParagraphFont"/>
    <w:uiPriority w:val="99"/>
    <w:rsid w:val="009F3D55"/>
    <w:rPr>
      <w:rFonts w:cs="Times New Roman"/>
    </w:rPr>
  </w:style>
  <w:style w:type="paragraph" w:styleId="BalloonText">
    <w:name w:val="Balloon Text"/>
    <w:basedOn w:val="Normal"/>
    <w:link w:val="BalloonTextChar"/>
    <w:uiPriority w:val="99"/>
    <w:semiHidden/>
    <w:rsid w:val="00E3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1043"/>
    <w:rPr>
      <w:rFonts w:ascii="Tahoma" w:hAnsi="Tahoma" w:cs="Tahoma"/>
      <w:sz w:val="16"/>
      <w:szCs w:val="16"/>
    </w:rPr>
  </w:style>
  <w:style w:type="paragraph" w:styleId="ListParagraph">
    <w:name w:val="List Paragraph"/>
    <w:basedOn w:val="Normal"/>
    <w:uiPriority w:val="99"/>
    <w:qFormat/>
    <w:rsid w:val="000C3C17"/>
    <w:pPr>
      <w:ind w:left="720"/>
    </w:pPr>
  </w:style>
  <w:style w:type="paragraph" w:customStyle="1" w:styleId="affiliations">
    <w:name w:val="affiliations"/>
    <w:basedOn w:val="Normal"/>
    <w:uiPriority w:val="99"/>
    <w:rsid w:val="008329BB"/>
    <w:pPr>
      <w:spacing w:before="100" w:beforeAutospacing="1" w:after="100" w:afterAutospacing="1" w:line="240" w:lineRule="auto"/>
    </w:pPr>
    <w:rPr>
      <w:rFonts w:ascii="Times New Roman" w:hAnsi="Times New Roman" w:cs="Times New Roman"/>
      <w:sz w:val="24"/>
      <w:szCs w:val="24"/>
    </w:rPr>
  </w:style>
  <w:style w:type="paragraph" w:customStyle="1" w:styleId="publicationdate">
    <w:name w:val="publication_date"/>
    <w:basedOn w:val="Normal"/>
    <w:uiPriority w:val="99"/>
    <w:rsid w:val="008329BB"/>
    <w:pPr>
      <w:spacing w:before="100" w:beforeAutospacing="1" w:after="100" w:afterAutospacing="1" w:line="240" w:lineRule="auto"/>
    </w:pPr>
    <w:rPr>
      <w:rFonts w:ascii="Times New Roman" w:hAnsi="Times New Roman" w:cs="Times New Roman"/>
      <w:sz w:val="24"/>
      <w:szCs w:val="24"/>
    </w:rPr>
  </w:style>
  <w:style w:type="character" w:customStyle="1" w:styleId="label-article-type">
    <w:name w:val="label-article-type"/>
    <w:basedOn w:val="DefaultParagraphFont"/>
    <w:uiPriority w:val="99"/>
    <w:rsid w:val="008329BB"/>
    <w:rPr>
      <w:rFonts w:cs="Times New Roman"/>
    </w:rPr>
  </w:style>
  <w:style w:type="character" w:customStyle="1" w:styleId="section-title">
    <w:name w:val="section-title"/>
    <w:basedOn w:val="DefaultParagraphFont"/>
    <w:uiPriority w:val="99"/>
    <w:rsid w:val="008329BB"/>
    <w:rPr>
      <w:rFonts w:cs="Times New Roman"/>
    </w:rPr>
  </w:style>
  <w:style w:type="paragraph" w:styleId="Header">
    <w:name w:val="header"/>
    <w:basedOn w:val="Normal"/>
    <w:link w:val="HeaderChar"/>
    <w:uiPriority w:val="99"/>
    <w:semiHidden/>
    <w:rsid w:val="00240B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40B49"/>
    <w:rPr>
      <w:rFonts w:cs="Times New Roman"/>
      <w:sz w:val="22"/>
      <w:szCs w:val="22"/>
    </w:rPr>
  </w:style>
  <w:style w:type="paragraph" w:styleId="Footer">
    <w:name w:val="footer"/>
    <w:basedOn w:val="Normal"/>
    <w:link w:val="FooterChar"/>
    <w:uiPriority w:val="99"/>
    <w:semiHidden/>
    <w:rsid w:val="00240B4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240B49"/>
    <w:rPr>
      <w:rFonts w:cs="Times New Roman"/>
      <w:sz w:val="22"/>
      <w:szCs w:val="22"/>
    </w:rPr>
  </w:style>
  <w:style w:type="paragraph" w:customStyle="1" w:styleId="CharChar2">
    <w:name w:val="Char Char2"/>
    <w:basedOn w:val="Normal"/>
    <w:autoRedefine/>
    <w:uiPriority w:val="99"/>
    <w:rsid w:val="00AD05B4"/>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paragraph" w:styleId="CommentText">
    <w:name w:val="annotation text"/>
    <w:basedOn w:val="Normal"/>
    <w:link w:val="CommentTextChar1"/>
    <w:uiPriority w:val="99"/>
    <w:semiHidden/>
    <w:rsid w:val="00AD05B4"/>
    <w:pPr>
      <w:suppressAutoHyphens/>
      <w:spacing w:before="120" w:after="120" w:line="240" w:lineRule="auto"/>
    </w:pPr>
    <w:rPr>
      <w:rFonts w:cs="Times New Roman"/>
      <w:szCs w:val="20"/>
      <w:lang w:eastAsia="ar-SA"/>
    </w:rPr>
  </w:style>
  <w:style w:type="character" w:customStyle="1" w:styleId="CommentTextChar">
    <w:name w:val="Comment Text Char"/>
    <w:basedOn w:val="DefaultParagraphFont"/>
    <w:uiPriority w:val="99"/>
    <w:semiHidden/>
    <w:locked/>
    <w:rsid w:val="00292EBE"/>
    <w:rPr>
      <w:rFonts w:cs="Times New Roman"/>
      <w:kern w:val="0"/>
      <w:sz w:val="22"/>
      <w:szCs w:val="22"/>
      <w:lang w:eastAsia="en-US"/>
    </w:rPr>
  </w:style>
  <w:style w:type="character" w:customStyle="1" w:styleId="CommentTextChar1">
    <w:name w:val="Comment Text Char1"/>
    <w:link w:val="CommentText"/>
    <w:uiPriority w:val="99"/>
    <w:semiHidden/>
    <w:locked/>
    <w:rsid w:val="00AD05B4"/>
    <w:rPr>
      <w:rFonts w:ascii="Calibri" w:hAnsi="Calibri"/>
      <w:sz w:val="22"/>
      <w:lang w:val="en-US" w:eastAsia="ar-SA" w:bidi="ar-SA"/>
    </w:rPr>
  </w:style>
  <w:style w:type="character" w:styleId="CommentReference">
    <w:name w:val="annotation reference"/>
    <w:basedOn w:val="DefaultParagraphFont"/>
    <w:uiPriority w:val="99"/>
    <w:semiHidden/>
    <w:rsid w:val="00AD05B4"/>
    <w:rPr>
      <w:rFonts w:cs="Times New Roman"/>
      <w:sz w:val="21"/>
      <w:szCs w:val="21"/>
    </w:rPr>
  </w:style>
  <w:style w:type="paragraph" w:styleId="CommentSubject">
    <w:name w:val="annotation subject"/>
    <w:basedOn w:val="CommentText"/>
    <w:next w:val="CommentText"/>
    <w:link w:val="CommentSubjectChar"/>
    <w:uiPriority w:val="99"/>
    <w:semiHidden/>
    <w:rsid w:val="00AD05B4"/>
    <w:pPr>
      <w:suppressAutoHyphens w:val="0"/>
      <w:spacing w:before="0" w:after="200" w:line="276" w:lineRule="auto"/>
    </w:pPr>
    <w:rPr>
      <w:b/>
      <w:bCs/>
      <w:lang w:eastAsia="en-US"/>
    </w:rPr>
  </w:style>
  <w:style w:type="character" w:customStyle="1" w:styleId="CommentSubjectChar">
    <w:name w:val="Comment Subject Char"/>
    <w:basedOn w:val="CommentTextChar1"/>
    <w:link w:val="CommentSubject"/>
    <w:uiPriority w:val="99"/>
    <w:semiHidden/>
    <w:locked/>
    <w:rsid w:val="00292EBE"/>
    <w:rPr>
      <w:rFonts w:ascii="Calibri" w:hAnsi="Calibri" w:cs="Calibri"/>
      <w:b/>
      <w:bCs/>
      <w:kern w:val="0"/>
      <w:sz w:val="22"/>
      <w:szCs w:val="22"/>
      <w:lang w:val="en-US" w:eastAsia="en-US" w:bidi="ar-SA"/>
    </w:rPr>
  </w:style>
  <w:style w:type="character" w:styleId="PageNumber">
    <w:name w:val="page number"/>
    <w:basedOn w:val="DefaultParagraphFont"/>
    <w:uiPriority w:val="99"/>
    <w:rsid w:val="004E6E1E"/>
    <w:rPr>
      <w:rFonts w:cs="Times New Roman"/>
    </w:rPr>
  </w:style>
  <w:style w:type="character" w:customStyle="1" w:styleId="labellist">
    <w:name w:val="label_list"/>
    <w:basedOn w:val="DefaultParagraphFont"/>
    <w:uiPriority w:val="99"/>
    <w:rsid w:val="00A34FD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31421">
      <w:marLeft w:val="0"/>
      <w:marRight w:val="0"/>
      <w:marTop w:val="0"/>
      <w:marBottom w:val="0"/>
      <w:divBdr>
        <w:top w:val="none" w:sz="0" w:space="0" w:color="auto"/>
        <w:left w:val="none" w:sz="0" w:space="0" w:color="auto"/>
        <w:bottom w:val="none" w:sz="0" w:space="0" w:color="auto"/>
        <w:right w:val="none" w:sz="0" w:space="0" w:color="auto"/>
      </w:divBdr>
    </w:div>
    <w:div w:id="83231422">
      <w:marLeft w:val="0"/>
      <w:marRight w:val="0"/>
      <w:marTop w:val="0"/>
      <w:marBottom w:val="0"/>
      <w:divBdr>
        <w:top w:val="none" w:sz="0" w:space="0" w:color="auto"/>
        <w:left w:val="none" w:sz="0" w:space="0" w:color="auto"/>
        <w:bottom w:val="none" w:sz="0" w:space="0" w:color="auto"/>
        <w:right w:val="none" w:sz="0" w:space="0" w:color="auto"/>
      </w:divBdr>
    </w:div>
    <w:div w:id="83231423">
      <w:marLeft w:val="0"/>
      <w:marRight w:val="0"/>
      <w:marTop w:val="0"/>
      <w:marBottom w:val="0"/>
      <w:divBdr>
        <w:top w:val="none" w:sz="0" w:space="0" w:color="auto"/>
        <w:left w:val="none" w:sz="0" w:space="0" w:color="auto"/>
        <w:bottom w:val="none" w:sz="0" w:space="0" w:color="auto"/>
        <w:right w:val="none" w:sz="0" w:space="0" w:color="auto"/>
      </w:divBdr>
    </w:div>
    <w:div w:id="83231425">
      <w:marLeft w:val="0"/>
      <w:marRight w:val="0"/>
      <w:marTop w:val="0"/>
      <w:marBottom w:val="0"/>
      <w:divBdr>
        <w:top w:val="none" w:sz="0" w:space="0" w:color="auto"/>
        <w:left w:val="none" w:sz="0" w:space="0" w:color="auto"/>
        <w:bottom w:val="none" w:sz="0" w:space="0" w:color="auto"/>
        <w:right w:val="none" w:sz="0" w:space="0" w:color="auto"/>
      </w:divBdr>
    </w:div>
    <w:div w:id="83231426">
      <w:marLeft w:val="0"/>
      <w:marRight w:val="0"/>
      <w:marTop w:val="0"/>
      <w:marBottom w:val="0"/>
      <w:divBdr>
        <w:top w:val="none" w:sz="0" w:space="0" w:color="auto"/>
        <w:left w:val="none" w:sz="0" w:space="0" w:color="auto"/>
        <w:bottom w:val="none" w:sz="0" w:space="0" w:color="auto"/>
        <w:right w:val="none" w:sz="0" w:space="0" w:color="auto"/>
      </w:divBdr>
    </w:div>
    <w:div w:id="83231427">
      <w:marLeft w:val="0"/>
      <w:marRight w:val="0"/>
      <w:marTop w:val="0"/>
      <w:marBottom w:val="0"/>
      <w:divBdr>
        <w:top w:val="none" w:sz="0" w:space="0" w:color="auto"/>
        <w:left w:val="none" w:sz="0" w:space="0" w:color="auto"/>
        <w:bottom w:val="none" w:sz="0" w:space="0" w:color="auto"/>
        <w:right w:val="none" w:sz="0" w:space="0" w:color="auto"/>
      </w:divBdr>
    </w:div>
    <w:div w:id="83231428">
      <w:marLeft w:val="0"/>
      <w:marRight w:val="0"/>
      <w:marTop w:val="0"/>
      <w:marBottom w:val="0"/>
      <w:divBdr>
        <w:top w:val="none" w:sz="0" w:space="0" w:color="auto"/>
        <w:left w:val="none" w:sz="0" w:space="0" w:color="auto"/>
        <w:bottom w:val="none" w:sz="0" w:space="0" w:color="auto"/>
        <w:right w:val="none" w:sz="0" w:space="0" w:color="auto"/>
      </w:divBdr>
    </w:div>
    <w:div w:id="83231429">
      <w:marLeft w:val="0"/>
      <w:marRight w:val="0"/>
      <w:marTop w:val="0"/>
      <w:marBottom w:val="0"/>
      <w:divBdr>
        <w:top w:val="none" w:sz="0" w:space="0" w:color="auto"/>
        <w:left w:val="none" w:sz="0" w:space="0" w:color="auto"/>
        <w:bottom w:val="none" w:sz="0" w:space="0" w:color="auto"/>
        <w:right w:val="none" w:sz="0" w:space="0" w:color="auto"/>
      </w:divBdr>
    </w:div>
    <w:div w:id="83231430">
      <w:marLeft w:val="0"/>
      <w:marRight w:val="0"/>
      <w:marTop w:val="0"/>
      <w:marBottom w:val="0"/>
      <w:divBdr>
        <w:top w:val="none" w:sz="0" w:space="0" w:color="auto"/>
        <w:left w:val="none" w:sz="0" w:space="0" w:color="auto"/>
        <w:bottom w:val="none" w:sz="0" w:space="0" w:color="auto"/>
        <w:right w:val="none" w:sz="0" w:space="0" w:color="auto"/>
      </w:divBdr>
    </w:div>
    <w:div w:id="83231431">
      <w:marLeft w:val="0"/>
      <w:marRight w:val="0"/>
      <w:marTop w:val="0"/>
      <w:marBottom w:val="0"/>
      <w:divBdr>
        <w:top w:val="none" w:sz="0" w:space="0" w:color="auto"/>
        <w:left w:val="none" w:sz="0" w:space="0" w:color="auto"/>
        <w:bottom w:val="none" w:sz="0" w:space="0" w:color="auto"/>
        <w:right w:val="none" w:sz="0" w:space="0" w:color="auto"/>
      </w:divBdr>
    </w:div>
    <w:div w:id="83231432">
      <w:marLeft w:val="0"/>
      <w:marRight w:val="0"/>
      <w:marTop w:val="0"/>
      <w:marBottom w:val="0"/>
      <w:divBdr>
        <w:top w:val="none" w:sz="0" w:space="0" w:color="auto"/>
        <w:left w:val="none" w:sz="0" w:space="0" w:color="auto"/>
        <w:bottom w:val="none" w:sz="0" w:space="0" w:color="auto"/>
        <w:right w:val="none" w:sz="0" w:space="0" w:color="auto"/>
      </w:divBdr>
    </w:div>
    <w:div w:id="83231433">
      <w:marLeft w:val="0"/>
      <w:marRight w:val="0"/>
      <w:marTop w:val="0"/>
      <w:marBottom w:val="0"/>
      <w:divBdr>
        <w:top w:val="none" w:sz="0" w:space="0" w:color="auto"/>
        <w:left w:val="none" w:sz="0" w:space="0" w:color="auto"/>
        <w:bottom w:val="none" w:sz="0" w:space="0" w:color="auto"/>
        <w:right w:val="none" w:sz="0" w:space="0" w:color="auto"/>
      </w:divBdr>
    </w:div>
    <w:div w:id="83231434">
      <w:marLeft w:val="0"/>
      <w:marRight w:val="0"/>
      <w:marTop w:val="0"/>
      <w:marBottom w:val="0"/>
      <w:divBdr>
        <w:top w:val="none" w:sz="0" w:space="0" w:color="auto"/>
        <w:left w:val="none" w:sz="0" w:space="0" w:color="auto"/>
        <w:bottom w:val="none" w:sz="0" w:space="0" w:color="auto"/>
        <w:right w:val="none" w:sz="0" w:space="0" w:color="auto"/>
      </w:divBdr>
    </w:div>
    <w:div w:id="83231435">
      <w:marLeft w:val="0"/>
      <w:marRight w:val="0"/>
      <w:marTop w:val="0"/>
      <w:marBottom w:val="0"/>
      <w:divBdr>
        <w:top w:val="none" w:sz="0" w:space="0" w:color="auto"/>
        <w:left w:val="none" w:sz="0" w:space="0" w:color="auto"/>
        <w:bottom w:val="none" w:sz="0" w:space="0" w:color="auto"/>
        <w:right w:val="none" w:sz="0" w:space="0" w:color="auto"/>
      </w:divBdr>
    </w:div>
    <w:div w:id="83231436">
      <w:marLeft w:val="0"/>
      <w:marRight w:val="0"/>
      <w:marTop w:val="0"/>
      <w:marBottom w:val="0"/>
      <w:divBdr>
        <w:top w:val="none" w:sz="0" w:space="0" w:color="auto"/>
        <w:left w:val="none" w:sz="0" w:space="0" w:color="auto"/>
        <w:bottom w:val="none" w:sz="0" w:space="0" w:color="auto"/>
        <w:right w:val="none" w:sz="0" w:space="0" w:color="auto"/>
      </w:divBdr>
    </w:div>
    <w:div w:id="83231437">
      <w:marLeft w:val="0"/>
      <w:marRight w:val="0"/>
      <w:marTop w:val="0"/>
      <w:marBottom w:val="0"/>
      <w:divBdr>
        <w:top w:val="none" w:sz="0" w:space="0" w:color="auto"/>
        <w:left w:val="none" w:sz="0" w:space="0" w:color="auto"/>
        <w:bottom w:val="none" w:sz="0" w:space="0" w:color="auto"/>
        <w:right w:val="none" w:sz="0" w:space="0" w:color="auto"/>
      </w:divBdr>
    </w:div>
    <w:div w:id="83231438">
      <w:marLeft w:val="0"/>
      <w:marRight w:val="0"/>
      <w:marTop w:val="0"/>
      <w:marBottom w:val="0"/>
      <w:divBdr>
        <w:top w:val="none" w:sz="0" w:space="0" w:color="auto"/>
        <w:left w:val="none" w:sz="0" w:space="0" w:color="auto"/>
        <w:bottom w:val="none" w:sz="0" w:space="0" w:color="auto"/>
        <w:right w:val="none" w:sz="0" w:space="0" w:color="auto"/>
      </w:divBdr>
    </w:div>
    <w:div w:id="83231440">
      <w:marLeft w:val="0"/>
      <w:marRight w:val="0"/>
      <w:marTop w:val="0"/>
      <w:marBottom w:val="0"/>
      <w:divBdr>
        <w:top w:val="none" w:sz="0" w:space="0" w:color="auto"/>
        <w:left w:val="none" w:sz="0" w:space="0" w:color="auto"/>
        <w:bottom w:val="none" w:sz="0" w:space="0" w:color="auto"/>
        <w:right w:val="none" w:sz="0" w:space="0" w:color="auto"/>
      </w:divBdr>
    </w:div>
    <w:div w:id="83231441">
      <w:marLeft w:val="0"/>
      <w:marRight w:val="0"/>
      <w:marTop w:val="0"/>
      <w:marBottom w:val="0"/>
      <w:divBdr>
        <w:top w:val="none" w:sz="0" w:space="0" w:color="auto"/>
        <w:left w:val="none" w:sz="0" w:space="0" w:color="auto"/>
        <w:bottom w:val="none" w:sz="0" w:space="0" w:color="auto"/>
        <w:right w:val="none" w:sz="0" w:space="0" w:color="auto"/>
      </w:divBdr>
    </w:div>
    <w:div w:id="83231442">
      <w:marLeft w:val="0"/>
      <w:marRight w:val="0"/>
      <w:marTop w:val="0"/>
      <w:marBottom w:val="0"/>
      <w:divBdr>
        <w:top w:val="none" w:sz="0" w:space="0" w:color="auto"/>
        <w:left w:val="none" w:sz="0" w:space="0" w:color="auto"/>
        <w:bottom w:val="none" w:sz="0" w:space="0" w:color="auto"/>
        <w:right w:val="none" w:sz="0" w:space="0" w:color="auto"/>
      </w:divBdr>
    </w:div>
    <w:div w:id="83231443">
      <w:marLeft w:val="0"/>
      <w:marRight w:val="0"/>
      <w:marTop w:val="0"/>
      <w:marBottom w:val="0"/>
      <w:divBdr>
        <w:top w:val="none" w:sz="0" w:space="0" w:color="auto"/>
        <w:left w:val="none" w:sz="0" w:space="0" w:color="auto"/>
        <w:bottom w:val="none" w:sz="0" w:space="0" w:color="auto"/>
        <w:right w:val="none" w:sz="0" w:space="0" w:color="auto"/>
      </w:divBdr>
    </w:div>
    <w:div w:id="83231444">
      <w:marLeft w:val="0"/>
      <w:marRight w:val="0"/>
      <w:marTop w:val="0"/>
      <w:marBottom w:val="0"/>
      <w:divBdr>
        <w:top w:val="none" w:sz="0" w:space="0" w:color="auto"/>
        <w:left w:val="none" w:sz="0" w:space="0" w:color="auto"/>
        <w:bottom w:val="none" w:sz="0" w:space="0" w:color="auto"/>
        <w:right w:val="none" w:sz="0" w:space="0" w:color="auto"/>
      </w:divBdr>
    </w:div>
    <w:div w:id="83231445">
      <w:marLeft w:val="0"/>
      <w:marRight w:val="0"/>
      <w:marTop w:val="0"/>
      <w:marBottom w:val="0"/>
      <w:divBdr>
        <w:top w:val="none" w:sz="0" w:space="0" w:color="auto"/>
        <w:left w:val="none" w:sz="0" w:space="0" w:color="auto"/>
        <w:bottom w:val="none" w:sz="0" w:space="0" w:color="auto"/>
        <w:right w:val="none" w:sz="0" w:space="0" w:color="auto"/>
      </w:divBdr>
    </w:div>
    <w:div w:id="83231446">
      <w:marLeft w:val="0"/>
      <w:marRight w:val="0"/>
      <w:marTop w:val="0"/>
      <w:marBottom w:val="0"/>
      <w:divBdr>
        <w:top w:val="none" w:sz="0" w:space="0" w:color="auto"/>
        <w:left w:val="none" w:sz="0" w:space="0" w:color="auto"/>
        <w:bottom w:val="none" w:sz="0" w:space="0" w:color="auto"/>
        <w:right w:val="none" w:sz="0" w:space="0" w:color="auto"/>
      </w:divBdr>
    </w:div>
    <w:div w:id="83231447">
      <w:marLeft w:val="0"/>
      <w:marRight w:val="0"/>
      <w:marTop w:val="0"/>
      <w:marBottom w:val="0"/>
      <w:divBdr>
        <w:top w:val="none" w:sz="0" w:space="0" w:color="auto"/>
        <w:left w:val="none" w:sz="0" w:space="0" w:color="auto"/>
        <w:bottom w:val="none" w:sz="0" w:space="0" w:color="auto"/>
        <w:right w:val="none" w:sz="0" w:space="0" w:color="auto"/>
      </w:divBdr>
    </w:div>
    <w:div w:id="83231448">
      <w:marLeft w:val="0"/>
      <w:marRight w:val="0"/>
      <w:marTop w:val="0"/>
      <w:marBottom w:val="0"/>
      <w:divBdr>
        <w:top w:val="none" w:sz="0" w:space="0" w:color="auto"/>
        <w:left w:val="none" w:sz="0" w:space="0" w:color="auto"/>
        <w:bottom w:val="none" w:sz="0" w:space="0" w:color="auto"/>
        <w:right w:val="none" w:sz="0" w:space="0" w:color="auto"/>
      </w:divBdr>
    </w:div>
    <w:div w:id="83231449">
      <w:marLeft w:val="0"/>
      <w:marRight w:val="0"/>
      <w:marTop w:val="0"/>
      <w:marBottom w:val="0"/>
      <w:divBdr>
        <w:top w:val="none" w:sz="0" w:space="0" w:color="auto"/>
        <w:left w:val="none" w:sz="0" w:space="0" w:color="auto"/>
        <w:bottom w:val="none" w:sz="0" w:space="0" w:color="auto"/>
        <w:right w:val="none" w:sz="0" w:space="0" w:color="auto"/>
      </w:divBdr>
    </w:div>
    <w:div w:id="83231450">
      <w:marLeft w:val="0"/>
      <w:marRight w:val="0"/>
      <w:marTop w:val="0"/>
      <w:marBottom w:val="0"/>
      <w:divBdr>
        <w:top w:val="none" w:sz="0" w:space="0" w:color="auto"/>
        <w:left w:val="none" w:sz="0" w:space="0" w:color="auto"/>
        <w:bottom w:val="none" w:sz="0" w:space="0" w:color="auto"/>
        <w:right w:val="none" w:sz="0" w:space="0" w:color="auto"/>
      </w:divBdr>
    </w:div>
    <w:div w:id="83231451">
      <w:marLeft w:val="0"/>
      <w:marRight w:val="0"/>
      <w:marTop w:val="0"/>
      <w:marBottom w:val="0"/>
      <w:divBdr>
        <w:top w:val="none" w:sz="0" w:space="0" w:color="auto"/>
        <w:left w:val="none" w:sz="0" w:space="0" w:color="auto"/>
        <w:bottom w:val="none" w:sz="0" w:space="0" w:color="auto"/>
        <w:right w:val="none" w:sz="0" w:space="0" w:color="auto"/>
      </w:divBdr>
    </w:div>
    <w:div w:id="83231452">
      <w:marLeft w:val="0"/>
      <w:marRight w:val="0"/>
      <w:marTop w:val="0"/>
      <w:marBottom w:val="0"/>
      <w:divBdr>
        <w:top w:val="none" w:sz="0" w:space="0" w:color="auto"/>
        <w:left w:val="none" w:sz="0" w:space="0" w:color="auto"/>
        <w:bottom w:val="none" w:sz="0" w:space="0" w:color="auto"/>
        <w:right w:val="none" w:sz="0" w:space="0" w:color="auto"/>
      </w:divBdr>
    </w:div>
    <w:div w:id="83231453">
      <w:marLeft w:val="0"/>
      <w:marRight w:val="0"/>
      <w:marTop w:val="0"/>
      <w:marBottom w:val="0"/>
      <w:divBdr>
        <w:top w:val="none" w:sz="0" w:space="0" w:color="auto"/>
        <w:left w:val="none" w:sz="0" w:space="0" w:color="auto"/>
        <w:bottom w:val="none" w:sz="0" w:space="0" w:color="auto"/>
        <w:right w:val="none" w:sz="0" w:space="0" w:color="auto"/>
      </w:divBdr>
    </w:div>
    <w:div w:id="83231454">
      <w:marLeft w:val="0"/>
      <w:marRight w:val="0"/>
      <w:marTop w:val="0"/>
      <w:marBottom w:val="0"/>
      <w:divBdr>
        <w:top w:val="none" w:sz="0" w:space="0" w:color="auto"/>
        <w:left w:val="none" w:sz="0" w:space="0" w:color="auto"/>
        <w:bottom w:val="none" w:sz="0" w:space="0" w:color="auto"/>
        <w:right w:val="none" w:sz="0" w:space="0" w:color="auto"/>
      </w:divBdr>
    </w:div>
    <w:div w:id="83231455">
      <w:marLeft w:val="0"/>
      <w:marRight w:val="0"/>
      <w:marTop w:val="0"/>
      <w:marBottom w:val="0"/>
      <w:divBdr>
        <w:top w:val="none" w:sz="0" w:space="0" w:color="auto"/>
        <w:left w:val="none" w:sz="0" w:space="0" w:color="auto"/>
        <w:bottom w:val="none" w:sz="0" w:space="0" w:color="auto"/>
        <w:right w:val="none" w:sz="0" w:space="0" w:color="auto"/>
      </w:divBdr>
    </w:div>
    <w:div w:id="83231456">
      <w:marLeft w:val="0"/>
      <w:marRight w:val="0"/>
      <w:marTop w:val="0"/>
      <w:marBottom w:val="0"/>
      <w:divBdr>
        <w:top w:val="none" w:sz="0" w:space="0" w:color="auto"/>
        <w:left w:val="none" w:sz="0" w:space="0" w:color="auto"/>
        <w:bottom w:val="none" w:sz="0" w:space="0" w:color="auto"/>
        <w:right w:val="none" w:sz="0" w:space="0" w:color="auto"/>
      </w:divBdr>
    </w:div>
    <w:div w:id="83231457">
      <w:marLeft w:val="0"/>
      <w:marRight w:val="0"/>
      <w:marTop w:val="0"/>
      <w:marBottom w:val="0"/>
      <w:divBdr>
        <w:top w:val="none" w:sz="0" w:space="0" w:color="auto"/>
        <w:left w:val="none" w:sz="0" w:space="0" w:color="auto"/>
        <w:bottom w:val="none" w:sz="0" w:space="0" w:color="auto"/>
        <w:right w:val="none" w:sz="0" w:space="0" w:color="auto"/>
      </w:divBdr>
    </w:div>
    <w:div w:id="83231458">
      <w:marLeft w:val="0"/>
      <w:marRight w:val="0"/>
      <w:marTop w:val="0"/>
      <w:marBottom w:val="0"/>
      <w:divBdr>
        <w:top w:val="none" w:sz="0" w:space="0" w:color="auto"/>
        <w:left w:val="none" w:sz="0" w:space="0" w:color="auto"/>
        <w:bottom w:val="none" w:sz="0" w:space="0" w:color="auto"/>
        <w:right w:val="none" w:sz="0" w:space="0" w:color="auto"/>
      </w:divBdr>
    </w:div>
    <w:div w:id="83231459">
      <w:marLeft w:val="0"/>
      <w:marRight w:val="0"/>
      <w:marTop w:val="0"/>
      <w:marBottom w:val="0"/>
      <w:divBdr>
        <w:top w:val="none" w:sz="0" w:space="0" w:color="auto"/>
        <w:left w:val="none" w:sz="0" w:space="0" w:color="auto"/>
        <w:bottom w:val="none" w:sz="0" w:space="0" w:color="auto"/>
        <w:right w:val="none" w:sz="0" w:space="0" w:color="auto"/>
      </w:divBdr>
    </w:div>
    <w:div w:id="83231460">
      <w:marLeft w:val="0"/>
      <w:marRight w:val="0"/>
      <w:marTop w:val="0"/>
      <w:marBottom w:val="0"/>
      <w:divBdr>
        <w:top w:val="none" w:sz="0" w:space="0" w:color="auto"/>
        <w:left w:val="none" w:sz="0" w:space="0" w:color="auto"/>
        <w:bottom w:val="none" w:sz="0" w:space="0" w:color="auto"/>
        <w:right w:val="none" w:sz="0" w:space="0" w:color="auto"/>
      </w:divBdr>
    </w:div>
    <w:div w:id="83231461">
      <w:marLeft w:val="0"/>
      <w:marRight w:val="0"/>
      <w:marTop w:val="0"/>
      <w:marBottom w:val="0"/>
      <w:divBdr>
        <w:top w:val="none" w:sz="0" w:space="0" w:color="auto"/>
        <w:left w:val="none" w:sz="0" w:space="0" w:color="auto"/>
        <w:bottom w:val="none" w:sz="0" w:space="0" w:color="auto"/>
        <w:right w:val="none" w:sz="0" w:space="0" w:color="auto"/>
      </w:divBdr>
    </w:div>
    <w:div w:id="83231462">
      <w:marLeft w:val="0"/>
      <w:marRight w:val="0"/>
      <w:marTop w:val="0"/>
      <w:marBottom w:val="0"/>
      <w:divBdr>
        <w:top w:val="none" w:sz="0" w:space="0" w:color="auto"/>
        <w:left w:val="none" w:sz="0" w:space="0" w:color="auto"/>
        <w:bottom w:val="none" w:sz="0" w:space="0" w:color="auto"/>
        <w:right w:val="none" w:sz="0" w:space="0" w:color="auto"/>
      </w:divBdr>
    </w:div>
    <w:div w:id="83231463">
      <w:marLeft w:val="0"/>
      <w:marRight w:val="0"/>
      <w:marTop w:val="0"/>
      <w:marBottom w:val="0"/>
      <w:divBdr>
        <w:top w:val="none" w:sz="0" w:space="0" w:color="auto"/>
        <w:left w:val="none" w:sz="0" w:space="0" w:color="auto"/>
        <w:bottom w:val="none" w:sz="0" w:space="0" w:color="auto"/>
        <w:right w:val="none" w:sz="0" w:space="0" w:color="auto"/>
      </w:divBdr>
    </w:div>
    <w:div w:id="83231464">
      <w:marLeft w:val="0"/>
      <w:marRight w:val="0"/>
      <w:marTop w:val="0"/>
      <w:marBottom w:val="0"/>
      <w:divBdr>
        <w:top w:val="none" w:sz="0" w:space="0" w:color="auto"/>
        <w:left w:val="none" w:sz="0" w:space="0" w:color="auto"/>
        <w:bottom w:val="none" w:sz="0" w:space="0" w:color="auto"/>
        <w:right w:val="none" w:sz="0" w:space="0" w:color="auto"/>
      </w:divBdr>
    </w:div>
    <w:div w:id="83231465">
      <w:marLeft w:val="0"/>
      <w:marRight w:val="0"/>
      <w:marTop w:val="0"/>
      <w:marBottom w:val="0"/>
      <w:divBdr>
        <w:top w:val="none" w:sz="0" w:space="0" w:color="auto"/>
        <w:left w:val="none" w:sz="0" w:space="0" w:color="auto"/>
        <w:bottom w:val="none" w:sz="0" w:space="0" w:color="auto"/>
        <w:right w:val="none" w:sz="0" w:space="0" w:color="auto"/>
      </w:divBdr>
    </w:div>
    <w:div w:id="83231467">
      <w:marLeft w:val="0"/>
      <w:marRight w:val="0"/>
      <w:marTop w:val="0"/>
      <w:marBottom w:val="0"/>
      <w:divBdr>
        <w:top w:val="none" w:sz="0" w:space="0" w:color="auto"/>
        <w:left w:val="none" w:sz="0" w:space="0" w:color="auto"/>
        <w:bottom w:val="none" w:sz="0" w:space="0" w:color="auto"/>
        <w:right w:val="none" w:sz="0" w:space="0" w:color="auto"/>
      </w:divBdr>
      <w:divsChild>
        <w:div w:id="83231511">
          <w:marLeft w:val="0"/>
          <w:marRight w:val="0"/>
          <w:marTop w:val="240"/>
          <w:marBottom w:val="100"/>
          <w:divBdr>
            <w:top w:val="none" w:sz="0" w:space="0" w:color="auto"/>
            <w:left w:val="none" w:sz="0" w:space="0" w:color="auto"/>
            <w:bottom w:val="none" w:sz="0" w:space="0" w:color="auto"/>
            <w:right w:val="none" w:sz="0" w:space="0" w:color="auto"/>
          </w:divBdr>
          <w:divsChild>
            <w:div w:id="832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468">
      <w:marLeft w:val="0"/>
      <w:marRight w:val="0"/>
      <w:marTop w:val="0"/>
      <w:marBottom w:val="0"/>
      <w:divBdr>
        <w:top w:val="none" w:sz="0" w:space="0" w:color="auto"/>
        <w:left w:val="none" w:sz="0" w:space="0" w:color="auto"/>
        <w:bottom w:val="none" w:sz="0" w:space="0" w:color="auto"/>
        <w:right w:val="none" w:sz="0" w:space="0" w:color="auto"/>
      </w:divBdr>
    </w:div>
    <w:div w:id="83231469">
      <w:marLeft w:val="0"/>
      <w:marRight w:val="0"/>
      <w:marTop w:val="0"/>
      <w:marBottom w:val="0"/>
      <w:divBdr>
        <w:top w:val="none" w:sz="0" w:space="0" w:color="auto"/>
        <w:left w:val="none" w:sz="0" w:space="0" w:color="auto"/>
        <w:bottom w:val="none" w:sz="0" w:space="0" w:color="auto"/>
        <w:right w:val="none" w:sz="0" w:space="0" w:color="auto"/>
      </w:divBdr>
    </w:div>
    <w:div w:id="83231470">
      <w:marLeft w:val="0"/>
      <w:marRight w:val="0"/>
      <w:marTop w:val="0"/>
      <w:marBottom w:val="0"/>
      <w:divBdr>
        <w:top w:val="none" w:sz="0" w:space="0" w:color="auto"/>
        <w:left w:val="none" w:sz="0" w:space="0" w:color="auto"/>
        <w:bottom w:val="none" w:sz="0" w:space="0" w:color="auto"/>
        <w:right w:val="none" w:sz="0" w:space="0" w:color="auto"/>
      </w:divBdr>
    </w:div>
    <w:div w:id="83231471">
      <w:marLeft w:val="0"/>
      <w:marRight w:val="0"/>
      <w:marTop w:val="0"/>
      <w:marBottom w:val="0"/>
      <w:divBdr>
        <w:top w:val="none" w:sz="0" w:space="0" w:color="auto"/>
        <w:left w:val="none" w:sz="0" w:space="0" w:color="auto"/>
        <w:bottom w:val="none" w:sz="0" w:space="0" w:color="auto"/>
        <w:right w:val="none" w:sz="0" w:space="0" w:color="auto"/>
      </w:divBdr>
      <w:divsChild>
        <w:div w:id="83231485">
          <w:marLeft w:val="0"/>
          <w:marRight w:val="0"/>
          <w:marTop w:val="15"/>
          <w:marBottom w:val="0"/>
          <w:divBdr>
            <w:top w:val="single" w:sz="2" w:space="0" w:color="CCCCCC"/>
            <w:left w:val="single" w:sz="2" w:space="0" w:color="CCCCCC"/>
            <w:bottom w:val="single" w:sz="2" w:space="0" w:color="CCCCCC"/>
            <w:right w:val="single" w:sz="2" w:space="0" w:color="CCCCCC"/>
          </w:divBdr>
        </w:div>
        <w:div w:id="83231506">
          <w:marLeft w:val="0"/>
          <w:marRight w:val="0"/>
          <w:marTop w:val="15"/>
          <w:marBottom w:val="0"/>
          <w:divBdr>
            <w:top w:val="single" w:sz="2" w:space="0" w:color="CCCCCC"/>
            <w:left w:val="single" w:sz="2" w:space="0" w:color="CCCCCC"/>
            <w:bottom w:val="single" w:sz="2" w:space="0" w:color="CCCCCC"/>
            <w:right w:val="single" w:sz="2" w:space="0" w:color="CCCCCC"/>
          </w:divBdr>
        </w:div>
        <w:div w:id="83231521">
          <w:marLeft w:val="0"/>
          <w:marRight w:val="0"/>
          <w:marTop w:val="15"/>
          <w:marBottom w:val="0"/>
          <w:divBdr>
            <w:top w:val="single" w:sz="2" w:space="0" w:color="CCCCCC"/>
            <w:left w:val="single" w:sz="2" w:space="0" w:color="CCCCCC"/>
            <w:bottom w:val="single" w:sz="2" w:space="0" w:color="CCCCCC"/>
            <w:right w:val="single" w:sz="2" w:space="0" w:color="CCCCCC"/>
          </w:divBdr>
        </w:div>
        <w:div w:id="83231529">
          <w:marLeft w:val="0"/>
          <w:marRight w:val="0"/>
          <w:marTop w:val="0"/>
          <w:marBottom w:val="0"/>
          <w:divBdr>
            <w:top w:val="none" w:sz="0" w:space="0" w:color="auto"/>
            <w:left w:val="none" w:sz="0" w:space="0" w:color="auto"/>
            <w:bottom w:val="none" w:sz="0" w:space="0" w:color="auto"/>
            <w:right w:val="none" w:sz="0" w:space="0" w:color="auto"/>
          </w:divBdr>
          <w:divsChild>
            <w:div w:id="83231563">
              <w:marLeft w:val="0"/>
              <w:marRight w:val="0"/>
              <w:marTop w:val="0"/>
              <w:marBottom w:val="0"/>
              <w:divBdr>
                <w:top w:val="none" w:sz="0" w:space="0" w:color="auto"/>
                <w:left w:val="none" w:sz="0" w:space="0" w:color="auto"/>
                <w:bottom w:val="none" w:sz="0" w:space="0" w:color="auto"/>
                <w:right w:val="none" w:sz="0" w:space="0" w:color="auto"/>
              </w:divBdr>
            </w:div>
          </w:divsChild>
        </w:div>
        <w:div w:id="83231531">
          <w:marLeft w:val="0"/>
          <w:marRight w:val="0"/>
          <w:marTop w:val="15"/>
          <w:marBottom w:val="0"/>
          <w:divBdr>
            <w:top w:val="single" w:sz="2" w:space="0" w:color="CCCCCC"/>
            <w:left w:val="single" w:sz="2" w:space="0" w:color="CCCCCC"/>
            <w:bottom w:val="single" w:sz="2" w:space="0" w:color="CCCCCC"/>
            <w:right w:val="single" w:sz="2" w:space="0" w:color="CCCCCC"/>
          </w:divBdr>
        </w:div>
        <w:div w:id="83231540">
          <w:marLeft w:val="0"/>
          <w:marRight w:val="0"/>
          <w:marTop w:val="15"/>
          <w:marBottom w:val="0"/>
          <w:divBdr>
            <w:top w:val="single" w:sz="2" w:space="0" w:color="CCCCCC"/>
            <w:left w:val="single" w:sz="2" w:space="0" w:color="CCCCCC"/>
            <w:bottom w:val="single" w:sz="2" w:space="0" w:color="CCCCCC"/>
            <w:right w:val="single" w:sz="2" w:space="0" w:color="CCCCCC"/>
          </w:divBdr>
        </w:div>
        <w:div w:id="83231567">
          <w:marLeft w:val="0"/>
          <w:marRight w:val="0"/>
          <w:marTop w:val="15"/>
          <w:marBottom w:val="0"/>
          <w:divBdr>
            <w:top w:val="single" w:sz="2" w:space="0" w:color="CCCCCC"/>
            <w:left w:val="single" w:sz="2" w:space="0" w:color="CCCCCC"/>
            <w:bottom w:val="single" w:sz="2" w:space="0" w:color="CCCCCC"/>
            <w:right w:val="single" w:sz="2" w:space="0" w:color="CCCCCC"/>
          </w:divBdr>
          <w:divsChild>
            <w:div w:id="83231508">
              <w:marLeft w:val="0"/>
              <w:marRight w:val="0"/>
              <w:marTop w:val="0"/>
              <w:marBottom w:val="0"/>
              <w:divBdr>
                <w:top w:val="none" w:sz="0" w:space="0" w:color="auto"/>
                <w:left w:val="none" w:sz="0" w:space="0" w:color="auto"/>
                <w:bottom w:val="none" w:sz="0" w:space="0" w:color="auto"/>
                <w:right w:val="none" w:sz="0" w:space="0" w:color="auto"/>
              </w:divBdr>
            </w:div>
            <w:div w:id="83231579">
              <w:marLeft w:val="0"/>
              <w:marRight w:val="0"/>
              <w:marTop w:val="0"/>
              <w:marBottom w:val="113"/>
              <w:divBdr>
                <w:top w:val="none" w:sz="0" w:space="0" w:color="auto"/>
                <w:left w:val="none" w:sz="0" w:space="0" w:color="auto"/>
                <w:bottom w:val="single" w:sz="2" w:space="4" w:color="CCCCCC"/>
                <w:right w:val="none" w:sz="0" w:space="0" w:color="auto"/>
              </w:divBdr>
            </w:div>
          </w:divsChild>
        </w:div>
        <w:div w:id="83231586">
          <w:marLeft w:val="0"/>
          <w:marRight w:val="0"/>
          <w:marTop w:val="15"/>
          <w:marBottom w:val="0"/>
          <w:divBdr>
            <w:top w:val="single" w:sz="2" w:space="0" w:color="CCCCCC"/>
            <w:left w:val="single" w:sz="2" w:space="0" w:color="CCCCCC"/>
            <w:bottom w:val="single" w:sz="2" w:space="0" w:color="CCCCCC"/>
            <w:right w:val="single" w:sz="2" w:space="0" w:color="CCCCCC"/>
          </w:divBdr>
        </w:div>
        <w:div w:id="83231590">
          <w:marLeft w:val="0"/>
          <w:marRight w:val="0"/>
          <w:marTop w:val="15"/>
          <w:marBottom w:val="0"/>
          <w:divBdr>
            <w:top w:val="single" w:sz="2" w:space="0" w:color="CCCCCC"/>
            <w:left w:val="single" w:sz="2" w:space="0" w:color="CCCCCC"/>
            <w:bottom w:val="single" w:sz="2" w:space="0" w:color="CCCCCC"/>
            <w:right w:val="single" w:sz="2" w:space="0" w:color="CCCCCC"/>
          </w:divBdr>
        </w:div>
      </w:divsChild>
    </w:div>
    <w:div w:id="83231472">
      <w:marLeft w:val="0"/>
      <w:marRight w:val="0"/>
      <w:marTop w:val="0"/>
      <w:marBottom w:val="0"/>
      <w:divBdr>
        <w:top w:val="none" w:sz="0" w:space="0" w:color="auto"/>
        <w:left w:val="none" w:sz="0" w:space="0" w:color="auto"/>
        <w:bottom w:val="none" w:sz="0" w:space="0" w:color="auto"/>
        <w:right w:val="none" w:sz="0" w:space="0" w:color="auto"/>
      </w:divBdr>
    </w:div>
    <w:div w:id="83231474">
      <w:marLeft w:val="0"/>
      <w:marRight w:val="0"/>
      <w:marTop w:val="0"/>
      <w:marBottom w:val="0"/>
      <w:divBdr>
        <w:top w:val="none" w:sz="0" w:space="0" w:color="auto"/>
        <w:left w:val="none" w:sz="0" w:space="0" w:color="auto"/>
        <w:bottom w:val="none" w:sz="0" w:space="0" w:color="auto"/>
        <w:right w:val="none" w:sz="0" w:space="0" w:color="auto"/>
      </w:divBdr>
    </w:div>
    <w:div w:id="83231478">
      <w:marLeft w:val="0"/>
      <w:marRight w:val="0"/>
      <w:marTop w:val="0"/>
      <w:marBottom w:val="0"/>
      <w:divBdr>
        <w:top w:val="none" w:sz="0" w:space="0" w:color="auto"/>
        <w:left w:val="none" w:sz="0" w:space="0" w:color="auto"/>
        <w:bottom w:val="none" w:sz="0" w:space="0" w:color="auto"/>
        <w:right w:val="none" w:sz="0" w:space="0" w:color="auto"/>
      </w:divBdr>
    </w:div>
    <w:div w:id="83231480">
      <w:marLeft w:val="0"/>
      <w:marRight w:val="0"/>
      <w:marTop w:val="0"/>
      <w:marBottom w:val="0"/>
      <w:divBdr>
        <w:top w:val="none" w:sz="0" w:space="0" w:color="auto"/>
        <w:left w:val="none" w:sz="0" w:space="0" w:color="auto"/>
        <w:bottom w:val="none" w:sz="0" w:space="0" w:color="auto"/>
        <w:right w:val="none" w:sz="0" w:space="0" w:color="auto"/>
      </w:divBdr>
    </w:div>
    <w:div w:id="83231483">
      <w:marLeft w:val="0"/>
      <w:marRight w:val="0"/>
      <w:marTop w:val="0"/>
      <w:marBottom w:val="0"/>
      <w:divBdr>
        <w:top w:val="none" w:sz="0" w:space="0" w:color="auto"/>
        <w:left w:val="none" w:sz="0" w:space="0" w:color="auto"/>
        <w:bottom w:val="none" w:sz="0" w:space="0" w:color="auto"/>
        <w:right w:val="none" w:sz="0" w:space="0" w:color="auto"/>
      </w:divBdr>
    </w:div>
    <w:div w:id="83231487">
      <w:marLeft w:val="0"/>
      <w:marRight w:val="0"/>
      <w:marTop w:val="0"/>
      <w:marBottom w:val="0"/>
      <w:divBdr>
        <w:top w:val="none" w:sz="0" w:space="0" w:color="auto"/>
        <w:left w:val="none" w:sz="0" w:space="0" w:color="auto"/>
        <w:bottom w:val="none" w:sz="0" w:space="0" w:color="auto"/>
        <w:right w:val="none" w:sz="0" w:space="0" w:color="auto"/>
      </w:divBdr>
    </w:div>
    <w:div w:id="83231489">
      <w:marLeft w:val="0"/>
      <w:marRight w:val="0"/>
      <w:marTop w:val="0"/>
      <w:marBottom w:val="0"/>
      <w:divBdr>
        <w:top w:val="none" w:sz="0" w:space="0" w:color="auto"/>
        <w:left w:val="none" w:sz="0" w:space="0" w:color="auto"/>
        <w:bottom w:val="none" w:sz="0" w:space="0" w:color="auto"/>
        <w:right w:val="none" w:sz="0" w:space="0" w:color="auto"/>
      </w:divBdr>
    </w:div>
    <w:div w:id="83231490">
      <w:marLeft w:val="0"/>
      <w:marRight w:val="0"/>
      <w:marTop w:val="0"/>
      <w:marBottom w:val="0"/>
      <w:divBdr>
        <w:top w:val="none" w:sz="0" w:space="0" w:color="auto"/>
        <w:left w:val="none" w:sz="0" w:space="0" w:color="auto"/>
        <w:bottom w:val="none" w:sz="0" w:space="0" w:color="auto"/>
        <w:right w:val="none" w:sz="0" w:space="0" w:color="auto"/>
      </w:divBdr>
      <w:divsChild>
        <w:div w:id="83231555">
          <w:marLeft w:val="0"/>
          <w:marRight w:val="0"/>
          <w:marTop w:val="0"/>
          <w:marBottom w:val="166"/>
          <w:divBdr>
            <w:top w:val="none" w:sz="0" w:space="0" w:color="auto"/>
            <w:left w:val="none" w:sz="0" w:space="0" w:color="auto"/>
            <w:bottom w:val="none" w:sz="0" w:space="0" w:color="auto"/>
            <w:right w:val="none" w:sz="0" w:space="0" w:color="auto"/>
          </w:divBdr>
          <w:divsChild>
            <w:div w:id="83231535">
              <w:marLeft w:val="0"/>
              <w:marRight w:val="0"/>
              <w:marTop w:val="0"/>
              <w:marBottom w:val="0"/>
              <w:divBdr>
                <w:top w:val="none" w:sz="0" w:space="0" w:color="auto"/>
                <w:left w:val="none" w:sz="0" w:space="0" w:color="auto"/>
                <w:bottom w:val="none" w:sz="0" w:space="0" w:color="auto"/>
                <w:right w:val="none" w:sz="0" w:space="0" w:color="auto"/>
              </w:divBdr>
              <w:divsChild>
                <w:div w:id="83231537">
                  <w:marLeft w:val="0"/>
                  <w:marRight w:val="0"/>
                  <w:marTop w:val="0"/>
                  <w:marBottom w:val="0"/>
                  <w:divBdr>
                    <w:top w:val="none" w:sz="0" w:space="0" w:color="auto"/>
                    <w:left w:val="none" w:sz="0" w:space="0" w:color="auto"/>
                    <w:bottom w:val="none" w:sz="0" w:space="0" w:color="auto"/>
                    <w:right w:val="none" w:sz="0" w:space="0" w:color="auto"/>
                  </w:divBdr>
                  <w:divsChild>
                    <w:div w:id="83231580">
                      <w:marLeft w:val="240"/>
                      <w:marRight w:val="0"/>
                      <w:marTop w:val="0"/>
                      <w:marBottom w:val="0"/>
                      <w:divBdr>
                        <w:top w:val="none" w:sz="0" w:space="0" w:color="auto"/>
                        <w:left w:val="none" w:sz="0" w:space="0" w:color="auto"/>
                        <w:bottom w:val="none" w:sz="0" w:space="0" w:color="auto"/>
                        <w:right w:val="none" w:sz="0" w:space="0" w:color="auto"/>
                      </w:divBdr>
                      <w:divsChild>
                        <w:div w:id="832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596">
                  <w:marLeft w:val="0"/>
                  <w:marRight w:val="0"/>
                  <w:marTop w:val="0"/>
                  <w:marBottom w:val="0"/>
                  <w:divBdr>
                    <w:top w:val="none" w:sz="0" w:space="0" w:color="auto"/>
                    <w:left w:val="none" w:sz="0" w:space="0" w:color="auto"/>
                    <w:bottom w:val="none" w:sz="0" w:space="0" w:color="auto"/>
                    <w:right w:val="none" w:sz="0" w:space="0" w:color="auto"/>
                  </w:divBdr>
                  <w:divsChild>
                    <w:div w:id="83231473">
                      <w:marLeft w:val="0"/>
                      <w:marRight w:val="0"/>
                      <w:marTop w:val="0"/>
                      <w:marBottom w:val="0"/>
                      <w:divBdr>
                        <w:top w:val="none" w:sz="0" w:space="0" w:color="auto"/>
                        <w:left w:val="none" w:sz="0" w:space="0" w:color="auto"/>
                        <w:bottom w:val="none" w:sz="0" w:space="0" w:color="auto"/>
                        <w:right w:val="none" w:sz="0" w:space="0" w:color="auto"/>
                      </w:divBdr>
                    </w:div>
                    <w:div w:id="832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1559">
          <w:marLeft w:val="0"/>
          <w:marRight w:val="0"/>
          <w:marTop w:val="166"/>
          <w:marBottom w:val="166"/>
          <w:divBdr>
            <w:top w:val="none" w:sz="0" w:space="0" w:color="auto"/>
            <w:left w:val="none" w:sz="0" w:space="0" w:color="auto"/>
            <w:bottom w:val="none" w:sz="0" w:space="0" w:color="auto"/>
            <w:right w:val="none" w:sz="0" w:space="0" w:color="auto"/>
          </w:divBdr>
          <w:divsChild>
            <w:div w:id="832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493">
      <w:marLeft w:val="0"/>
      <w:marRight w:val="0"/>
      <w:marTop w:val="0"/>
      <w:marBottom w:val="0"/>
      <w:divBdr>
        <w:top w:val="none" w:sz="0" w:space="0" w:color="auto"/>
        <w:left w:val="none" w:sz="0" w:space="0" w:color="auto"/>
        <w:bottom w:val="none" w:sz="0" w:space="0" w:color="auto"/>
        <w:right w:val="none" w:sz="0" w:space="0" w:color="auto"/>
      </w:divBdr>
    </w:div>
    <w:div w:id="83231498">
      <w:marLeft w:val="0"/>
      <w:marRight w:val="0"/>
      <w:marTop w:val="0"/>
      <w:marBottom w:val="0"/>
      <w:divBdr>
        <w:top w:val="none" w:sz="0" w:space="0" w:color="auto"/>
        <w:left w:val="none" w:sz="0" w:space="0" w:color="auto"/>
        <w:bottom w:val="none" w:sz="0" w:space="0" w:color="auto"/>
        <w:right w:val="none" w:sz="0" w:space="0" w:color="auto"/>
      </w:divBdr>
    </w:div>
    <w:div w:id="83231500">
      <w:marLeft w:val="0"/>
      <w:marRight w:val="0"/>
      <w:marTop w:val="0"/>
      <w:marBottom w:val="0"/>
      <w:divBdr>
        <w:top w:val="none" w:sz="0" w:space="0" w:color="auto"/>
        <w:left w:val="none" w:sz="0" w:space="0" w:color="auto"/>
        <w:bottom w:val="none" w:sz="0" w:space="0" w:color="auto"/>
        <w:right w:val="none" w:sz="0" w:space="0" w:color="auto"/>
      </w:divBdr>
    </w:div>
    <w:div w:id="83231501">
      <w:marLeft w:val="0"/>
      <w:marRight w:val="0"/>
      <w:marTop w:val="0"/>
      <w:marBottom w:val="0"/>
      <w:divBdr>
        <w:top w:val="none" w:sz="0" w:space="0" w:color="auto"/>
        <w:left w:val="none" w:sz="0" w:space="0" w:color="auto"/>
        <w:bottom w:val="none" w:sz="0" w:space="0" w:color="auto"/>
        <w:right w:val="none" w:sz="0" w:space="0" w:color="auto"/>
      </w:divBdr>
    </w:div>
    <w:div w:id="83231504">
      <w:marLeft w:val="0"/>
      <w:marRight w:val="0"/>
      <w:marTop w:val="0"/>
      <w:marBottom w:val="0"/>
      <w:divBdr>
        <w:top w:val="none" w:sz="0" w:space="0" w:color="auto"/>
        <w:left w:val="none" w:sz="0" w:space="0" w:color="auto"/>
        <w:bottom w:val="none" w:sz="0" w:space="0" w:color="auto"/>
        <w:right w:val="none" w:sz="0" w:space="0" w:color="auto"/>
      </w:divBdr>
    </w:div>
    <w:div w:id="83231505">
      <w:marLeft w:val="0"/>
      <w:marRight w:val="0"/>
      <w:marTop w:val="0"/>
      <w:marBottom w:val="0"/>
      <w:divBdr>
        <w:top w:val="none" w:sz="0" w:space="0" w:color="auto"/>
        <w:left w:val="none" w:sz="0" w:space="0" w:color="auto"/>
        <w:bottom w:val="none" w:sz="0" w:space="0" w:color="auto"/>
        <w:right w:val="none" w:sz="0" w:space="0" w:color="auto"/>
      </w:divBdr>
    </w:div>
    <w:div w:id="83231507">
      <w:marLeft w:val="0"/>
      <w:marRight w:val="0"/>
      <w:marTop w:val="0"/>
      <w:marBottom w:val="0"/>
      <w:divBdr>
        <w:top w:val="none" w:sz="0" w:space="0" w:color="auto"/>
        <w:left w:val="none" w:sz="0" w:space="0" w:color="auto"/>
        <w:bottom w:val="none" w:sz="0" w:space="0" w:color="auto"/>
        <w:right w:val="none" w:sz="0" w:space="0" w:color="auto"/>
      </w:divBdr>
    </w:div>
    <w:div w:id="83231510">
      <w:marLeft w:val="0"/>
      <w:marRight w:val="0"/>
      <w:marTop w:val="0"/>
      <w:marBottom w:val="0"/>
      <w:divBdr>
        <w:top w:val="none" w:sz="0" w:space="0" w:color="auto"/>
        <w:left w:val="none" w:sz="0" w:space="0" w:color="auto"/>
        <w:bottom w:val="none" w:sz="0" w:space="0" w:color="auto"/>
        <w:right w:val="none" w:sz="0" w:space="0" w:color="auto"/>
      </w:divBdr>
    </w:div>
    <w:div w:id="83231512">
      <w:marLeft w:val="0"/>
      <w:marRight w:val="0"/>
      <w:marTop w:val="0"/>
      <w:marBottom w:val="0"/>
      <w:divBdr>
        <w:top w:val="none" w:sz="0" w:space="0" w:color="auto"/>
        <w:left w:val="none" w:sz="0" w:space="0" w:color="auto"/>
        <w:bottom w:val="none" w:sz="0" w:space="0" w:color="auto"/>
        <w:right w:val="none" w:sz="0" w:space="0" w:color="auto"/>
      </w:divBdr>
    </w:div>
    <w:div w:id="83231513">
      <w:marLeft w:val="0"/>
      <w:marRight w:val="0"/>
      <w:marTop w:val="0"/>
      <w:marBottom w:val="0"/>
      <w:divBdr>
        <w:top w:val="none" w:sz="0" w:space="0" w:color="auto"/>
        <w:left w:val="none" w:sz="0" w:space="0" w:color="auto"/>
        <w:bottom w:val="none" w:sz="0" w:space="0" w:color="auto"/>
        <w:right w:val="none" w:sz="0" w:space="0" w:color="auto"/>
      </w:divBdr>
    </w:div>
    <w:div w:id="83231514">
      <w:marLeft w:val="0"/>
      <w:marRight w:val="0"/>
      <w:marTop w:val="0"/>
      <w:marBottom w:val="0"/>
      <w:divBdr>
        <w:top w:val="none" w:sz="0" w:space="0" w:color="auto"/>
        <w:left w:val="none" w:sz="0" w:space="0" w:color="auto"/>
        <w:bottom w:val="none" w:sz="0" w:space="0" w:color="auto"/>
        <w:right w:val="none" w:sz="0" w:space="0" w:color="auto"/>
      </w:divBdr>
    </w:div>
    <w:div w:id="83231516">
      <w:marLeft w:val="0"/>
      <w:marRight w:val="0"/>
      <w:marTop w:val="0"/>
      <w:marBottom w:val="0"/>
      <w:divBdr>
        <w:top w:val="none" w:sz="0" w:space="0" w:color="auto"/>
        <w:left w:val="none" w:sz="0" w:space="0" w:color="auto"/>
        <w:bottom w:val="none" w:sz="0" w:space="0" w:color="auto"/>
        <w:right w:val="none" w:sz="0" w:space="0" w:color="auto"/>
      </w:divBdr>
    </w:div>
    <w:div w:id="83231519">
      <w:marLeft w:val="0"/>
      <w:marRight w:val="0"/>
      <w:marTop w:val="0"/>
      <w:marBottom w:val="0"/>
      <w:divBdr>
        <w:top w:val="none" w:sz="0" w:space="0" w:color="auto"/>
        <w:left w:val="none" w:sz="0" w:space="0" w:color="auto"/>
        <w:bottom w:val="none" w:sz="0" w:space="0" w:color="auto"/>
        <w:right w:val="none" w:sz="0" w:space="0" w:color="auto"/>
      </w:divBdr>
    </w:div>
    <w:div w:id="83231522">
      <w:marLeft w:val="0"/>
      <w:marRight w:val="0"/>
      <w:marTop w:val="0"/>
      <w:marBottom w:val="0"/>
      <w:divBdr>
        <w:top w:val="none" w:sz="0" w:space="0" w:color="auto"/>
        <w:left w:val="none" w:sz="0" w:space="0" w:color="auto"/>
        <w:bottom w:val="none" w:sz="0" w:space="0" w:color="auto"/>
        <w:right w:val="none" w:sz="0" w:space="0" w:color="auto"/>
      </w:divBdr>
      <w:divsChild>
        <w:div w:id="83231497">
          <w:marLeft w:val="0"/>
          <w:marRight w:val="0"/>
          <w:marTop w:val="240"/>
          <w:marBottom w:val="100"/>
          <w:divBdr>
            <w:top w:val="none" w:sz="0" w:space="0" w:color="auto"/>
            <w:left w:val="none" w:sz="0" w:space="0" w:color="auto"/>
            <w:bottom w:val="none" w:sz="0" w:space="0" w:color="auto"/>
            <w:right w:val="none" w:sz="0" w:space="0" w:color="auto"/>
          </w:divBdr>
          <w:divsChild>
            <w:div w:id="832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523">
      <w:marLeft w:val="0"/>
      <w:marRight w:val="0"/>
      <w:marTop w:val="0"/>
      <w:marBottom w:val="0"/>
      <w:divBdr>
        <w:top w:val="none" w:sz="0" w:space="0" w:color="auto"/>
        <w:left w:val="none" w:sz="0" w:space="0" w:color="auto"/>
        <w:bottom w:val="none" w:sz="0" w:space="0" w:color="auto"/>
        <w:right w:val="none" w:sz="0" w:space="0" w:color="auto"/>
      </w:divBdr>
    </w:div>
    <w:div w:id="83231526">
      <w:marLeft w:val="0"/>
      <w:marRight w:val="0"/>
      <w:marTop w:val="0"/>
      <w:marBottom w:val="0"/>
      <w:divBdr>
        <w:top w:val="none" w:sz="0" w:space="0" w:color="auto"/>
        <w:left w:val="none" w:sz="0" w:space="0" w:color="auto"/>
        <w:bottom w:val="none" w:sz="0" w:space="0" w:color="auto"/>
        <w:right w:val="none" w:sz="0" w:space="0" w:color="auto"/>
      </w:divBdr>
    </w:div>
    <w:div w:id="83231527">
      <w:marLeft w:val="0"/>
      <w:marRight w:val="0"/>
      <w:marTop w:val="0"/>
      <w:marBottom w:val="0"/>
      <w:divBdr>
        <w:top w:val="none" w:sz="0" w:space="0" w:color="auto"/>
        <w:left w:val="none" w:sz="0" w:space="0" w:color="auto"/>
        <w:bottom w:val="none" w:sz="0" w:space="0" w:color="auto"/>
        <w:right w:val="none" w:sz="0" w:space="0" w:color="auto"/>
      </w:divBdr>
      <w:divsChild>
        <w:div w:id="83231542">
          <w:marLeft w:val="0"/>
          <w:marRight w:val="0"/>
          <w:marTop w:val="240"/>
          <w:marBottom w:val="100"/>
          <w:divBdr>
            <w:top w:val="none" w:sz="0" w:space="0" w:color="auto"/>
            <w:left w:val="none" w:sz="0" w:space="0" w:color="auto"/>
            <w:bottom w:val="none" w:sz="0" w:space="0" w:color="auto"/>
            <w:right w:val="none" w:sz="0" w:space="0" w:color="auto"/>
          </w:divBdr>
          <w:divsChild>
            <w:div w:id="832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528">
      <w:marLeft w:val="0"/>
      <w:marRight w:val="0"/>
      <w:marTop w:val="0"/>
      <w:marBottom w:val="0"/>
      <w:divBdr>
        <w:top w:val="none" w:sz="0" w:space="0" w:color="auto"/>
        <w:left w:val="none" w:sz="0" w:space="0" w:color="auto"/>
        <w:bottom w:val="none" w:sz="0" w:space="0" w:color="auto"/>
        <w:right w:val="none" w:sz="0" w:space="0" w:color="auto"/>
      </w:divBdr>
    </w:div>
    <w:div w:id="83231530">
      <w:marLeft w:val="0"/>
      <w:marRight w:val="0"/>
      <w:marTop w:val="0"/>
      <w:marBottom w:val="0"/>
      <w:divBdr>
        <w:top w:val="none" w:sz="0" w:space="0" w:color="auto"/>
        <w:left w:val="none" w:sz="0" w:space="0" w:color="auto"/>
        <w:bottom w:val="none" w:sz="0" w:space="0" w:color="auto"/>
        <w:right w:val="none" w:sz="0" w:space="0" w:color="auto"/>
      </w:divBdr>
    </w:div>
    <w:div w:id="83231532">
      <w:marLeft w:val="0"/>
      <w:marRight w:val="0"/>
      <w:marTop w:val="0"/>
      <w:marBottom w:val="0"/>
      <w:divBdr>
        <w:top w:val="none" w:sz="0" w:space="0" w:color="auto"/>
        <w:left w:val="none" w:sz="0" w:space="0" w:color="auto"/>
        <w:bottom w:val="none" w:sz="0" w:space="0" w:color="auto"/>
        <w:right w:val="none" w:sz="0" w:space="0" w:color="auto"/>
      </w:divBdr>
      <w:divsChild>
        <w:div w:id="83231466">
          <w:marLeft w:val="0"/>
          <w:marRight w:val="0"/>
          <w:marTop w:val="0"/>
          <w:marBottom w:val="0"/>
          <w:divBdr>
            <w:top w:val="none" w:sz="0" w:space="0" w:color="auto"/>
            <w:left w:val="none" w:sz="0" w:space="0" w:color="auto"/>
            <w:bottom w:val="none" w:sz="0" w:space="0" w:color="auto"/>
            <w:right w:val="none" w:sz="0" w:space="0" w:color="auto"/>
          </w:divBdr>
        </w:div>
        <w:div w:id="83231475">
          <w:marLeft w:val="0"/>
          <w:marRight w:val="0"/>
          <w:marTop w:val="0"/>
          <w:marBottom w:val="0"/>
          <w:divBdr>
            <w:top w:val="none" w:sz="0" w:space="0" w:color="auto"/>
            <w:left w:val="none" w:sz="0" w:space="0" w:color="auto"/>
            <w:bottom w:val="none" w:sz="0" w:space="0" w:color="auto"/>
            <w:right w:val="none" w:sz="0" w:space="0" w:color="auto"/>
          </w:divBdr>
        </w:div>
        <w:div w:id="83231477">
          <w:marLeft w:val="0"/>
          <w:marRight w:val="0"/>
          <w:marTop w:val="0"/>
          <w:marBottom w:val="0"/>
          <w:divBdr>
            <w:top w:val="none" w:sz="0" w:space="0" w:color="auto"/>
            <w:left w:val="none" w:sz="0" w:space="0" w:color="auto"/>
            <w:bottom w:val="none" w:sz="0" w:space="0" w:color="auto"/>
            <w:right w:val="none" w:sz="0" w:space="0" w:color="auto"/>
          </w:divBdr>
        </w:div>
        <w:div w:id="83231479">
          <w:marLeft w:val="0"/>
          <w:marRight w:val="0"/>
          <w:marTop w:val="0"/>
          <w:marBottom w:val="0"/>
          <w:divBdr>
            <w:top w:val="none" w:sz="0" w:space="0" w:color="auto"/>
            <w:left w:val="none" w:sz="0" w:space="0" w:color="auto"/>
            <w:bottom w:val="none" w:sz="0" w:space="0" w:color="auto"/>
            <w:right w:val="none" w:sz="0" w:space="0" w:color="auto"/>
          </w:divBdr>
        </w:div>
        <w:div w:id="83231488">
          <w:marLeft w:val="0"/>
          <w:marRight w:val="0"/>
          <w:marTop w:val="0"/>
          <w:marBottom w:val="0"/>
          <w:divBdr>
            <w:top w:val="none" w:sz="0" w:space="0" w:color="auto"/>
            <w:left w:val="none" w:sz="0" w:space="0" w:color="auto"/>
            <w:bottom w:val="none" w:sz="0" w:space="0" w:color="auto"/>
            <w:right w:val="none" w:sz="0" w:space="0" w:color="auto"/>
          </w:divBdr>
        </w:div>
        <w:div w:id="83231492">
          <w:marLeft w:val="0"/>
          <w:marRight w:val="0"/>
          <w:marTop w:val="0"/>
          <w:marBottom w:val="0"/>
          <w:divBdr>
            <w:top w:val="none" w:sz="0" w:space="0" w:color="auto"/>
            <w:left w:val="none" w:sz="0" w:space="0" w:color="auto"/>
            <w:bottom w:val="none" w:sz="0" w:space="0" w:color="auto"/>
            <w:right w:val="none" w:sz="0" w:space="0" w:color="auto"/>
          </w:divBdr>
        </w:div>
        <w:div w:id="83231494">
          <w:marLeft w:val="0"/>
          <w:marRight w:val="0"/>
          <w:marTop w:val="0"/>
          <w:marBottom w:val="0"/>
          <w:divBdr>
            <w:top w:val="none" w:sz="0" w:space="0" w:color="auto"/>
            <w:left w:val="none" w:sz="0" w:space="0" w:color="auto"/>
            <w:bottom w:val="none" w:sz="0" w:space="0" w:color="auto"/>
            <w:right w:val="none" w:sz="0" w:space="0" w:color="auto"/>
          </w:divBdr>
        </w:div>
        <w:div w:id="83231495">
          <w:marLeft w:val="0"/>
          <w:marRight w:val="0"/>
          <w:marTop w:val="0"/>
          <w:marBottom w:val="0"/>
          <w:divBdr>
            <w:top w:val="none" w:sz="0" w:space="0" w:color="auto"/>
            <w:left w:val="none" w:sz="0" w:space="0" w:color="auto"/>
            <w:bottom w:val="none" w:sz="0" w:space="0" w:color="auto"/>
            <w:right w:val="none" w:sz="0" w:space="0" w:color="auto"/>
          </w:divBdr>
        </w:div>
        <w:div w:id="83231502">
          <w:marLeft w:val="0"/>
          <w:marRight w:val="0"/>
          <w:marTop w:val="0"/>
          <w:marBottom w:val="0"/>
          <w:divBdr>
            <w:top w:val="none" w:sz="0" w:space="0" w:color="auto"/>
            <w:left w:val="none" w:sz="0" w:space="0" w:color="auto"/>
            <w:bottom w:val="none" w:sz="0" w:space="0" w:color="auto"/>
            <w:right w:val="none" w:sz="0" w:space="0" w:color="auto"/>
          </w:divBdr>
        </w:div>
        <w:div w:id="83231503">
          <w:marLeft w:val="0"/>
          <w:marRight w:val="0"/>
          <w:marTop w:val="0"/>
          <w:marBottom w:val="0"/>
          <w:divBdr>
            <w:top w:val="none" w:sz="0" w:space="0" w:color="auto"/>
            <w:left w:val="none" w:sz="0" w:space="0" w:color="auto"/>
            <w:bottom w:val="none" w:sz="0" w:space="0" w:color="auto"/>
            <w:right w:val="none" w:sz="0" w:space="0" w:color="auto"/>
          </w:divBdr>
        </w:div>
        <w:div w:id="83231517">
          <w:marLeft w:val="0"/>
          <w:marRight w:val="0"/>
          <w:marTop w:val="0"/>
          <w:marBottom w:val="0"/>
          <w:divBdr>
            <w:top w:val="none" w:sz="0" w:space="0" w:color="auto"/>
            <w:left w:val="none" w:sz="0" w:space="0" w:color="auto"/>
            <w:bottom w:val="none" w:sz="0" w:space="0" w:color="auto"/>
            <w:right w:val="none" w:sz="0" w:space="0" w:color="auto"/>
          </w:divBdr>
        </w:div>
        <w:div w:id="83231520">
          <w:marLeft w:val="0"/>
          <w:marRight w:val="0"/>
          <w:marTop w:val="0"/>
          <w:marBottom w:val="0"/>
          <w:divBdr>
            <w:top w:val="none" w:sz="0" w:space="0" w:color="auto"/>
            <w:left w:val="none" w:sz="0" w:space="0" w:color="auto"/>
            <w:bottom w:val="none" w:sz="0" w:space="0" w:color="auto"/>
            <w:right w:val="none" w:sz="0" w:space="0" w:color="auto"/>
          </w:divBdr>
        </w:div>
        <w:div w:id="83231524">
          <w:marLeft w:val="0"/>
          <w:marRight w:val="0"/>
          <w:marTop w:val="0"/>
          <w:marBottom w:val="0"/>
          <w:divBdr>
            <w:top w:val="none" w:sz="0" w:space="0" w:color="auto"/>
            <w:left w:val="none" w:sz="0" w:space="0" w:color="auto"/>
            <w:bottom w:val="none" w:sz="0" w:space="0" w:color="auto"/>
            <w:right w:val="none" w:sz="0" w:space="0" w:color="auto"/>
          </w:divBdr>
        </w:div>
        <w:div w:id="83231536">
          <w:marLeft w:val="0"/>
          <w:marRight w:val="0"/>
          <w:marTop w:val="0"/>
          <w:marBottom w:val="0"/>
          <w:divBdr>
            <w:top w:val="none" w:sz="0" w:space="0" w:color="auto"/>
            <w:left w:val="none" w:sz="0" w:space="0" w:color="auto"/>
            <w:bottom w:val="none" w:sz="0" w:space="0" w:color="auto"/>
            <w:right w:val="none" w:sz="0" w:space="0" w:color="auto"/>
          </w:divBdr>
        </w:div>
        <w:div w:id="83231544">
          <w:marLeft w:val="0"/>
          <w:marRight w:val="0"/>
          <w:marTop w:val="0"/>
          <w:marBottom w:val="0"/>
          <w:divBdr>
            <w:top w:val="none" w:sz="0" w:space="0" w:color="auto"/>
            <w:left w:val="none" w:sz="0" w:space="0" w:color="auto"/>
            <w:bottom w:val="none" w:sz="0" w:space="0" w:color="auto"/>
            <w:right w:val="none" w:sz="0" w:space="0" w:color="auto"/>
          </w:divBdr>
        </w:div>
        <w:div w:id="83231556">
          <w:marLeft w:val="0"/>
          <w:marRight w:val="0"/>
          <w:marTop w:val="0"/>
          <w:marBottom w:val="0"/>
          <w:divBdr>
            <w:top w:val="none" w:sz="0" w:space="0" w:color="auto"/>
            <w:left w:val="none" w:sz="0" w:space="0" w:color="auto"/>
            <w:bottom w:val="none" w:sz="0" w:space="0" w:color="auto"/>
            <w:right w:val="none" w:sz="0" w:space="0" w:color="auto"/>
          </w:divBdr>
        </w:div>
        <w:div w:id="83231562">
          <w:marLeft w:val="0"/>
          <w:marRight w:val="0"/>
          <w:marTop w:val="0"/>
          <w:marBottom w:val="0"/>
          <w:divBdr>
            <w:top w:val="none" w:sz="0" w:space="0" w:color="auto"/>
            <w:left w:val="none" w:sz="0" w:space="0" w:color="auto"/>
            <w:bottom w:val="none" w:sz="0" w:space="0" w:color="auto"/>
            <w:right w:val="none" w:sz="0" w:space="0" w:color="auto"/>
          </w:divBdr>
        </w:div>
        <w:div w:id="83231566">
          <w:marLeft w:val="0"/>
          <w:marRight w:val="0"/>
          <w:marTop w:val="0"/>
          <w:marBottom w:val="0"/>
          <w:divBdr>
            <w:top w:val="none" w:sz="0" w:space="0" w:color="auto"/>
            <w:left w:val="none" w:sz="0" w:space="0" w:color="auto"/>
            <w:bottom w:val="none" w:sz="0" w:space="0" w:color="auto"/>
            <w:right w:val="none" w:sz="0" w:space="0" w:color="auto"/>
          </w:divBdr>
        </w:div>
        <w:div w:id="83231568">
          <w:marLeft w:val="0"/>
          <w:marRight w:val="0"/>
          <w:marTop w:val="0"/>
          <w:marBottom w:val="0"/>
          <w:divBdr>
            <w:top w:val="none" w:sz="0" w:space="0" w:color="auto"/>
            <w:left w:val="none" w:sz="0" w:space="0" w:color="auto"/>
            <w:bottom w:val="none" w:sz="0" w:space="0" w:color="auto"/>
            <w:right w:val="none" w:sz="0" w:space="0" w:color="auto"/>
          </w:divBdr>
        </w:div>
        <w:div w:id="83231577">
          <w:marLeft w:val="0"/>
          <w:marRight w:val="0"/>
          <w:marTop w:val="0"/>
          <w:marBottom w:val="0"/>
          <w:divBdr>
            <w:top w:val="none" w:sz="0" w:space="0" w:color="auto"/>
            <w:left w:val="none" w:sz="0" w:space="0" w:color="auto"/>
            <w:bottom w:val="none" w:sz="0" w:space="0" w:color="auto"/>
            <w:right w:val="none" w:sz="0" w:space="0" w:color="auto"/>
          </w:divBdr>
        </w:div>
        <w:div w:id="83231578">
          <w:marLeft w:val="0"/>
          <w:marRight w:val="0"/>
          <w:marTop w:val="0"/>
          <w:marBottom w:val="0"/>
          <w:divBdr>
            <w:top w:val="none" w:sz="0" w:space="0" w:color="auto"/>
            <w:left w:val="none" w:sz="0" w:space="0" w:color="auto"/>
            <w:bottom w:val="none" w:sz="0" w:space="0" w:color="auto"/>
            <w:right w:val="none" w:sz="0" w:space="0" w:color="auto"/>
          </w:divBdr>
        </w:div>
        <w:div w:id="83231582">
          <w:marLeft w:val="0"/>
          <w:marRight w:val="0"/>
          <w:marTop w:val="0"/>
          <w:marBottom w:val="0"/>
          <w:divBdr>
            <w:top w:val="none" w:sz="0" w:space="0" w:color="auto"/>
            <w:left w:val="none" w:sz="0" w:space="0" w:color="auto"/>
            <w:bottom w:val="none" w:sz="0" w:space="0" w:color="auto"/>
            <w:right w:val="none" w:sz="0" w:space="0" w:color="auto"/>
          </w:divBdr>
        </w:div>
        <w:div w:id="83231583">
          <w:marLeft w:val="0"/>
          <w:marRight w:val="0"/>
          <w:marTop w:val="0"/>
          <w:marBottom w:val="0"/>
          <w:divBdr>
            <w:top w:val="none" w:sz="0" w:space="0" w:color="auto"/>
            <w:left w:val="none" w:sz="0" w:space="0" w:color="auto"/>
            <w:bottom w:val="none" w:sz="0" w:space="0" w:color="auto"/>
            <w:right w:val="none" w:sz="0" w:space="0" w:color="auto"/>
          </w:divBdr>
        </w:div>
        <w:div w:id="83231585">
          <w:marLeft w:val="0"/>
          <w:marRight w:val="0"/>
          <w:marTop w:val="0"/>
          <w:marBottom w:val="0"/>
          <w:divBdr>
            <w:top w:val="none" w:sz="0" w:space="0" w:color="auto"/>
            <w:left w:val="none" w:sz="0" w:space="0" w:color="auto"/>
            <w:bottom w:val="none" w:sz="0" w:space="0" w:color="auto"/>
            <w:right w:val="none" w:sz="0" w:space="0" w:color="auto"/>
          </w:divBdr>
        </w:div>
        <w:div w:id="83231588">
          <w:marLeft w:val="0"/>
          <w:marRight w:val="0"/>
          <w:marTop w:val="0"/>
          <w:marBottom w:val="0"/>
          <w:divBdr>
            <w:top w:val="none" w:sz="0" w:space="0" w:color="auto"/>
            <w:left w:val="none" w:sz="0" w:space="0" w:color="auto"/>
            <w:bottom w:val="none" w:sz="0" w:space="0" w:color="auto"/>
            <w:right w:val="none" w:sz="0" w:space="0" w:color="auto"/>
          </w:divBdr>
        </w:div>
        <w:div w:id="83231591">
          <w:marLeft w:val="0"/>
          <w:marRight w:val="0"/>
          <w:marTop w:val="0"/>
          <w:marBottom w:val="0"/>
          <w:divBdr>
            <w:top w:val="none" w:sz="0" w:space="0" w:color="auto"/>
            <w:left w:val="none" w:sz="0" w:space="0" w:color="auto"/>
            <w:bottom w:val="none" w:sz="0" w:space="0" w:color="auto"/>
            <w:right w:val="none" w:sz="0" w:space="0" w:color="auto"/>
          </w:divBdr>
        </w:div>
        <w:div w:id="83231595">
          <w:marLeft w:val="0"/>
          <w:marRight w:val="0"/>
          <w:marTop w:val="0"/>
          <w:marBottom w:val="0"/>
          <w:divBdr>
            <w:top w:val="none" w:sz="0" w:space="0" w:color="auto"/>
            <w:left w:val="none" w:sz="0" w:space="0" w:color="auto"/>
            <w:bottom w:val="none" w:sz="0" w:space="0" w:color="auto"/>
            <w:right w:val="none" w:sz="0" w:space="0" w:color="auto"/>
          </w:divBdr>
        </w:div>
        <w:div w:id="83231598">
          <w:marLeft w:val="0"/>
          <w:marRight w:val="0"/>
          <w:marTop w:val="0"/>
          <w:marBottom w:val="0"/>
          <w:divBdr>
            <w:top w:val="none" w:sz="0" w:space="0" w:color="auto"/>
            <w:left w:val="none" w:sz="0" w:space="0" w:color="auto"/>
            <w:bottom w:val="none" w:sz="0" w:space="0" w:color="auto"/>
            <w:right w:val="none" w:sz="0" w:space="0" w:color="auto"/>
          </w:divBdr>
        </w:div>
        <w:div w:id="83231604">
          <w:marLeft w:val="0"/>
          <w:marRight w:val="0"/>
          <w:marTop w:val="0"/>
          <w:marBottom w:val="0"/>
          <w:divBdr>
            <w:top w:val="none" w:sz="0" w:space="0" w:color="auto"/>
            <w:left w:val="none" w:sz="0" w:space="0" w:color="auto"/>
            <w:bottom w:val="none" w:sz="0" w:space="0" w:color="auto"/>
            <w:right w:val="none" w:sz="0" w:space="0" w:color="auto"/>
          </w:divBdr>
        </w:div>
        <w:div w:id="83231607">
          <w:marLeft w:val="0"/>
          <w:marRight w:val="0"/>
          <w:marTop w:val="0"/>
          <w:marBottom w:val="0"/>
          <w:divBdr>
            <w:top w:val="none" w:sz="0" w:space="0" w:color="auto"/>
            <w:left w:val="none" w:sz="0" w:space="0" w:color="auto"/>
            <w:bottom w:val="none" w:sz="0" w:space="0" w:color="auto"/>
            <w:right w:val="none" w:sz="0" w:space="0" w:color="auto"/>
          </w:divBdr>
        </w:div>
      </w:divsChild>
    </w:div>
    <w:div w:id="83231533">
      <w:marLeft w:val="0"/>
      <w:marRight w:val="0"/>
      <w:marTop w:val="0"/>
      <w:marBottom w:val="0"/>
      <w:divBdr>
        <w:top w:val="none" w:sz="0" w:space="0" w:color="auto"/>
        <w:left w:val="none" w:sz="0" w:space="0" w:color="auto"/>
        <w:bottom w:val="none" w:sz="0" w:space="0" w:color="auto"/>
        <w:right w:val="none" w:sz="0" w:space="0" w:color="auto"/>
      </w:divBdr>
    </w:div>
    <w:div w:id="83231534">
      <w:marLeft w:val="0"/>
      <w:marRight w:val="0"/>
      <w:marTop w:val="0"/>
      <w:marBottom w:val="0"/>
      <w:divBdr>
        <w:top w:val="none" w:sz="0" w:space="0" w:color="auto"/>
        <w:left w:val="none" w:sz="0" w:space="0" w:color="auto"/>
        <w:bottom w:val="none" w:sz="0" w:space="0" w:color="auto"/>
        <w:right w:val="none" w:sz="0" w:space="0" w:color="auto"/>
      </w:divBdr>
    </w:div>
    <w:div w:id="83231538">
      <w:marLeft w:val="0"/>
      <w:marRight w:val="0"/>
      <w:marTop w:val="0"/>
      <w:marBottom w:val="0"/>
      <w:divBdr>
        <w:top w:val="none" w:sz="0" w:space="0" w:color="auto"/>
        <w:left w:val="none" w:sz="0" w:space="0" w:color="auto"/>
        <w:bottom w:val="none" w:sz="0" w:space="0" w:color="auto"/>
        <w:right w:val="none" w:sz="0" w:space="0" w:color="auto"/>
      </w:divBdr>
    </w:div>
    <w:div w:id="83231539">
      <w:marLeft w:val="0"/>
      <w:marRight w:val="0"/>
      <w:marTop w:val="0"/>
      <w:marBottom w:val="0"/>
      <w:divBdr>
        <w:top w:val="none" w:sz="0" w:space="0" w:color="auto"/>
        <w:left w:val="none" w:sz="0" w:space="0" w:color="auto"/>
        <w:bottom w:val="none" w:sz="0" w:space="0" w:color="auto"/>
        <w:right w:val="none" w:sz="0" w:space="0" w:color="auto"/>
      </w:divBdr>
    </w:div>
    <w:div w:id="83231541">
      <w:marLeft w:val="0"/>
      <w:marRight w:val="0"/>
      <w:marTop w:val="0"/>
      <w:marBottom w:val="0"/>
      <w:divBdr>
        <w:top w:val="none" w:sz="0" w:space="0" w:color="auto"/>
        <w:left w:val="none" w:sz="0" w:space="0" w:color="auto"/>
        <w:bottom w:val="none" w:sz="0" w:space="0" w:color="auto"/>
        <w:right w:val="none" w:sz="0" w:space="0" w:color="auto"/>
      </w:divBdr>
    </w:div>
    <w:div w:id="83231543">
      <w:marLeft w:val="0"/>
      <w:marRight w:val="0"/>
      <w:marTop w:val="0"/>
      <w:marBottom w:val="0"/>
      <w:divBdr>
        <w:top w:val="none" w:sz="0" w:space="0" w:color="auto"/>
        <w:left w:val="none" w:sz="0" w:space="0" w:color="auto"/>
        <w:bottom w:val="none" w:sz="0" w:space="0" w:color="auto"/>
        <w:right w:val="none" w:sz="0" w:space="0" w:color="auto"/>
      </w:divBdr>
    </w:div>
    <w:div w:id="83231547">
      <w:marLeft w:val="0"/>
      <w:marRight w:val="0"/>
      <w:marTop w:val="0"/>
      <w:marBottom w:val="0"/>
      <w:divBdr>
        <w:top w:val="none" w:sz="0" w:space="0" w:color="auto"/>
        <w:left w:val="none" w:sz="0" w:space="0" w:color="auto"/>
        <w:bottom w:val="none" w:sz="0" w:space="0" w:color="auto"/>
        <w:right w:val="none" w:sz="0" w:space="0" w:color="auto"/>
      </w:divBdr>
    </w:div>
    <w:div w:id="83231548">
      <w:marLeft w:val="0"/>
      <w:marRight w:val="0"/>
      <w:marTop w:val="0"/>
      <w:marBottom w:val="0"/>
      <w:divBdr>
        <w:top w:val="none" w:sz="0" w:space="0" w:color="auto"/>
        <w:left w:val="none" w:sz="0" w:space="0" w:color="auto"/>
        <w:bottom w:val="none" w:sz="0" w:space="0" w:color="auto"/>
        <w:right w:val="none" w:sz="0" w:space="0" w:color="auto"/>
      </w:divBdr>
    </w:div>
    <w:div w:id="83231549">
      <w:marLeft w:val="0"/>
      <w:marRight w:val="0"/>
      <w:marTop w:val="0"/>
      <w:marBottom w:val="0"/>
      <w:divBdr>
        <w:top w:val="none" w:sz="0" w:space="0" w:color="auto"/>
        <w:left w:val="none" w:sz="0" w:space="0" w:color="auto"/>
        <w:bottom w:val="none" w:sz="0" w:space="0" w:color="auto"/>
        <w:right w:val="none" w:sz="0" w:space="0" w:color="auto"/>
      </w:divBdr>
    </w:div>
    <w:div w:id="83231550">
      <w:marLeft w:val="0"/>
      <w:marRight w:val="0"/>
      <w:marTop w:val="0"/>
      <w:marBottom w:val="0"/>
      <w:divBdr>
        <w:top w:val="none" w:sz="0" w:space="0" w:color="auto"/>
        <w:left w:val="none" w:sz="0" w:space="0" w:color="auto"/>
        <w:bottom w:val="none" w:sz="0" w:space="0" w:color="auto"/>
        <w:right w:val="none" w:sz="0" w:space="0" w:color="auto"/>
      </w:divBdr>
      <w:divsChild>
        <w:div w:id="83231551">
          <w:marLeft w:val="0"/>
          <w:marRight w:val="0"/>
          <w:marTop w:val="240"/>
          <w:marBottom w:val="100"/>
          <w:divBdr>
            <w:top w:val="none" w:sz="0" w:space="0" w:color="auto"/>
            <w:left w:val="none" w:sz="0" w:space="0" w:color="auto"/>
            <w:bottom w:val="none" w:sz="0" w:space="0" w:color="auto"/>
            <w:right w:val="none" w:sz="0" w:space="0" w:color="auto"/>
          </w:divBdr>
          <w:divsChild>
            <w:div w:id="832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552">
      <w:marLeft w:val="0"/>
      <w:marRight w:val="0"/>
      <w:marTop w:val="0"/>
      <w:marBottom w:val="0"/>
      <w:divBdr>
        <w:top w:val="none" w:sz="0" w:space="0" w:color="auto"/>
        <w:left w:val="none" w:sz="0" w:space="0" w:color="auto"/>
        <w:bottom w:val="none" w:sz="0" w:space="0" w:color="auto"/>
        <w:right w:val="none" w:sz="0" w:space="0" w:color="auto"/>
      </w:divBdr>
    </w:div>
    <w:div w:id="83231553">
      <w:marLeft w:val="0"/>
      <w:marRight w:val="0"/>
      <w:marTop w:val="0"/>
      <w:marBottom w:val="0"/>
      <w:divBdr>
        <w:top w:val="none" w:sz="0" w:space="0" w:color="auto"/>
        <w:left w:val="none" w:sz="0" w:space="0" w:color="auto"/>
        <w:bottom w:val="none" w:sz="0" w:space="0" w:color="auto"/>
        <w:right w:val="none" w:sz="0" w:space="0" w:color="auto"/>
      </w:divBdr>
    </w:div>
    <w:div w:id="83231554">
      <w:marLeft w:val="0"/>
      <w:marRight w:val="0"/>
      <w:marTop w:val="0"/>
      <w:marBottom w:val="0"/>
      <w:divBdr>
        <w:top w:val="none" w:sz="0" w:space="0" w:color="auto"/>
        <w:left w:val="none" w:sz="0" w:space="0" w:color="auto"/>
        <w:bottom w:val="none" w:sz="0" w:space="0" w:color="auto"/>
        <w:right w:val="none" w:sz="0" w:space="0" w:color="auto"/>
      </w:divBdr>
      <w:divsChild>
        <w:div w:id="83231476">
          <w:marLeft w:val="0"/>
          <w:marRight w:val="0"/>
          <w:marTop w:val="0"/>
          <w:marBottom w:val="0"/>
          <w:divBdr>
            <w:top w:val="none" w:sz="0" w:space="0" w:color="auto"/>
            <w:left w:val="none" w:sz="0" w:space="0" w:color="auto"/>
            <w:bottom w:val="none" w:sz="0" w:space="0" w:color="auto"/>
            <w:right w:val="none" w:sz="0" w:space="0" w:color="auto"/>
          </w:divBdr>
        </w:div>
        <w:div w:id="83231518">
          <w:marLeft w:val="0"/>
          <w:marRight w:val="0"/>
          <w:marTop w:val="0"/>
          <w:marBottom w:val="0"/>
          <w:divBdr>
            <w:top w:val="none" w:sz="0" w:space="0" w:color="auto"/>
            <w:left w:val="none" w:sz="0" w:space="0" w:color="auto"/>
            <w:bottom w:val="none" w:sz="0" w:space="0" w:color="auto"/>
            <w:right w:val="none" w:sz="0" w:space="0" w:color="auto"/>
          </w:divBdr>
        </w:div>
        <w:div w:id="83231560">
          <w:marLeft w:val="0"/>
          <w:marRight w:val="0"/>
          <w:marTop w:val="0"/>
          <w:marBottom w:val="0"/>
          <w:divBdr>
            <w:top w:val="none" w:sz="0" w:space="0" w:color="auto"/>
            <w:left w:val="none" w:sz="0" w:space="0" w:color="auto"/>
            <w:bottom w:val="none" w:sz="0" w:space="0" w:color="auto"/>
            <w:right w:val="none" w:sz="0" w:space="0" w:color="auto"/>
          </w:divBdr>
        </w:div>
        <w:div w:id="83231605">
          <w:marLeft w:val="0"/>
          <w:marRight w:val="0"/>
          <w:marTop w:val="0"/>
          <w:marBottom w:val="0"/>
          <w:divBdr>
            <w:top w:val="none" w:sz="0" w:space="0" w:color="auto"/>
            <w:left w:val="none" w:sz="0" w:space="0" w:color="auto"/>
            <w:bottom w:val="none" w:sz="0" w:space="0" w:color="auto"/>
            <w:right w:val="none" w:sz="0" w:space="0" w:color="auto"/>
          </w:divBdr>
        </w:div>
      </w:divsChild>
    </w:div>
    <w:div w:id="83231557">
      <w:marLeft w:val="0"/>
      <w:marRight w:val="0"/>
      <w:marTop w:val="0"/>
      <w:marBottom w:val="0"/>
      <w:divBdr>
        <w:top w:val="none" w:sz="0" w:space="0" w:color="auto"/>
        <w:left w:val="none" w:sz="0" w:space="0" w:color="auto"/>
        <w:bottom w:val="none" w:sz="0" w:space="0" w:color="auto"/>
        <w:right w:val="none" w:sz="0" w:space="0" w:color="auto"/>
      </w:divBdr>
      <w:divsChild>
        <w:div w:id="83231558">
          <w:marLeft w:val="0"/>
          <w:marRight w:val="0"/>
          <w:marTop w:val="0"/>
          <w:marBottom w:val="0"/>
          <w:divBdr>
            <w:top w:val="none" w:sz="0" w:space="0" w:color="auto"/>
            <w:left w:val="none" w:sz="0" w:space="0" w:color="auto"/>
            <w:bottom w:val="none" w:sz="0" w:space="0" w:color="auto"/>
            <w:right w:val="none" w:sz="0" w:space="0" w:color="auto"/>
          </w:divBdr>
        </w:div>
      </w:divsChild>
    </w:div>
    <w:div w:id="83231561">
      <w:marLeft w:val="0"/>
      <w:marRight w:val="0"/>
      <w:marTop w:val="0"/>
      <w:marBottom w:val="0"/>
      <w:divBdr>
        <w:top w:val="none" w:sz="0" w:space="0" w:color="auto"/>
        <w:left w:val="none" w:sz="0" w:space="0" w:color="auto"/>
        <w:bottom w:val="none" w:sz="0" w:space="0" w:color="auto"/>
        <w:right w:val="none" w:sz="0" w:space="0" w:color="auto"/>
      </w:divBdr>
    </w:div>
    <w:div w:id="83231564">
      <w:marLeft w:val="0"/>
      <w:marRight w:val="0"/>
      <w:marTop w:val="0"/>
      <w:marBottom w:val="0"/>
      <w:divBdr>
        <w:top w:val="none" w:sz="0" w:space="0" w:color="auto"/>
        <w:left w:val="none" w:sz="0" w:space="0" w:color="auto"/>
        <w:bottom w:val="none" w:sz="0" w:space="0" w:color="auto"/>
        <w:right w:val="none" w:sz="0" w:space="0" w:color="auto"/>
      </w:divBdr>
    </w:div>
    <w:div w:id="83231565">
      <w:marLeft w:val="0"/>
      <w:marRight w:val="0"/>
      <w:marTop w:val="0"/>
      <w:marBottom w:val="0"/>
      <w:divBdr>
        <w:top w:val="none" w:sz="0" w:space="0" w:color="auto"/>
        <w:left w:val="none" w:sz="0" w:space="0" w:color="auto"/>
        <w:bottom w:val="none" w:sz="0" w:space="0" w:color="auto"/>
        <w:right w:val="none" w:sz="0" w:space="0" w:color="auto"/>
      </w:divBdr>
    </w:div>
    <w:div w:id="83231569">
      <w:marLeft w:val="0"/>
      <w:marRight w:val="0"/>
      <w:marTop w:val="0"/>
      <w:marBottom w:val="0"/>
      <w:divBdr>
        <w:top w:val="none" w:sz="0" w:space="0" w:color="auto"/>
        <w:left w:val="none" w:sz="0" w:space="0" w:color="auto"/>
        <w:bottom w:val="none" w:sz="0" w:space="0" w:color="auto"/>
        <w:right w:val="none" w:sz="0" w:space="0" w:color="auto"/>
      </w:divBdr>
    </w:div>
    <w:div w:id="83231570">
      <w:marLeft w:val="0"/>
      <w:marRight w:val="0"/>
      <w:marTop w:val="0"/>
      <w:marBottom w:val="0"/>
      <w:divBdr>
        <w:top w:val="none" w:sz="0" w:space="0" w:color="auto"/>
        <w:left w:val="none" w:sz="0" w:space="0" w:color="auto"/>
        <w:bottom w:val="none" w:sz="0" w:space="0" w:color="auto"/>
        <w:right w:val="none" w:sz="0" w:space="0" w:color="auto"/>
      </w:divBdr>
    </w:div>
    <w:div w:id="83231571">
      <w:marLeft w:val="0"/>
      <w:marRight w:val="0"/>
      <w:marTop w:val="0"/>
      <w:marBottom w:val="0"/>
      <w:divBdr>
        <w:top w:val="none" w:sz="0" w:space="0" w:color="auto"/>
        <w:left w:val="none" w:sz="0" w:space="0" w:color="auto"/>
        <w:bottom w:val="none" w:sz="0" w:space="0" w:color="auto"/>
        <w:right w:val="none" w:sz="0" w:space="0" w:color="auto"/>
      </w:divBdr>
    </w:div>
    <w:div w:id="83231573">
      <w:marLeft w:val="0"/>
      <w:marRight w:val="0"/>
      <w:marTop w:val="0"/>
      <w:marBottom w:val="0"/>
      <w:divBdr>
        <w:top w:val="none" w:sz="0" w:space="0" w:color="auto"/>
        <w:left w:val="none" w:sz="0" w:space="0" w:color="auto"/>
        <w:bottom w:val="none" w:sz="0" w:space="0" w:color="auto"/>
        <w:right w:val="none" w:sz="0" w:space="0" w:color="auto"/>
      </w:divBdr>
    </w:div>
    <w:div w:id="83231581">
      <w:marLeft w:val="0"/>
      <w:marRight w:val="0"/>
      <w:marTop w:val="0"/>
      <w:marBottom w:val="0"/>
      <w:divBdr>
        <w:top w:val="none" w:sz="0" w:space="0" w:color="auto"/>
        <w:left w:val="none" w:sz="0" w:space="0" w:color="auto"/>
        <w:bottom w:val="none" w:sz="0" w:space="0" w:color="auto"/>
        <w:right w:val="none" w:sz="0" w:space="0" w:color="auto"/>
      </w:divBdr>
    </w:div>
    <w:div w:id="83231584">
      <w:marLeft w:val="0"/>
      <w:marRight w:val="0"/>
      <w:marTop w:val="0"/>
      <w:marBottom w:val="0"/>
      <w:divBdr>
        <w:top w:val="none" w:sz="0" w:space="0" w:color="auto"/>
        <w:left w:val="none" w:sz="0" w:space="0" w:color="auto"/>
        <w:bottom w:val="none" w:sz="0" w:space="0" w:color="auto"/>
        <w:right w:val="none" w:sz="0" w:space="0" w:color="auto"/>
      </w:divBdr>
    </w:div>
    <w:div w:id="83231589">
      <w:marLeft w:val="0"/>
      <w:marRight w:val="0"/>
      <w:marTop w:val="0"/>
      <w:marBottom w:val="0"/>
      <w:divBdr>
        <w:top w:val="none" w:sz="0" w:space="0" w:color="auto"/>
        <w:left w:val="none" w:sz="0" w:space="0" w:color="auto"/>
        <w:bottom w:val="none" w:sz="0" w:space="0" w:color="auto"/>
        <w:right w:val="none" w:sz="0" w:space="0" w:color="auto"/>
      </w:divBdr>
    </w:div>
    <w:div w:id="83231594">
      <w:marLeft w:val="0"/>
      <w:marRight w:val="0"/>
      <w:marTop w:val="0"/>
      <w:marBottom w:val="0"/>
      <w:divBdr>
        <w:top w:val="none" w:sz="0" w:space="0" w:color="auto"/>
        <w:left w:val="none" w:sz="0" w:space="0" w:color="auto"/>
        <w:bottom w:val="none" w:sz="0" w:space="0" w:color="auto"/>
        <w:right w:val="none" w:sz="0" w:space="0" w:color="auto"/>
      </w:divBdr>
    </w:div>
    <w:div w:id="83231597">
      <w:marLeft w:val="0"/>
      <w:marRight w:val="0"/>
      <w:marTop w:val="0"/>
      <w:marBottom w:val="0"/>
      <w:divBdr>
        <w:top w:val="none" w:sz="0" w:space="0" w:color="auto"/>
        <w:left w:val="none" w:sz="0" w:space="0" w:color="auto"/>
        <w:bottom w:val="none" w:sz="0" w:space="0" w:color="auto"/>
        <w:right w:val="none" w:sz="0" w:space="0" w:color="auto"/>
      </w:divBdr>
    </w:div>
    <w:div w:id="83231599">
      <w:marLeft w:val="0"/>
      <w:marRight w:val="0"/>
      <w:marTop w:val="0"/>
      <w:marBottom w:val="0"/>
      <w:divBdr>
        <w:top w:val="none" w:sz="0" w:space="0" w:color="auto"/>
        <w:left w:val="none" w:sz="0" w:space="0" w:color="auto"/>
        <w:bottom w:val="none" w:sz="0" w:space="0" w:color="auto"/>
        <w:right w:val="none" w:sz="0" w:space="0" w:color="auto"/>
      </w:divBdr>
    </w:div>
    <w:div w:id="83231600">
      <w:marLeft w:val="0"/>
      <w:marRight w:val="0"/>
      <w:marTop w:val="0"/>
      <w:marBottom w:val="0"/>
      <w:divBdr>
        <w:top w:val="none" w:sz="0" w:space="0" w:color="auto"/>
        <w:left w:val="none" w:sz="0" w:space="0" w:color="auto"/>
        <w:bottom w:val="none" w:sz="0" w:space="0" w:color="auto"/>
        <w:right w:val="none" w:sz="0" w:space="0" w:color="auto"/>
      </w:divBdr>
    </w:div>
    <w:div w:id="83231601">
      <w:marLeft w:val="0"/>
      <w:marRight w:val="0"/>
      <w:marTop w:val="0"/>
      <w:marBottom w:val="0"/>
      <w:divBdr>
        <w:top w:val="none" w:sz="0" w:space="0" w:color="auto"/>
        <w:left w:val="none" w:sz="0" w:space="0" w:color="auto"/>
        <w:bottom w:val="none" w:sz="0" w:space="0" w:color="auto"/>
        <w:right w:val="none" w:sz="0" w:space="0" w:color="auto"/>
      </w:divBdr>
      <w:divsChild>
        <w:div w:id="83231484">
          <w:marLeft w:val="0"/>
          <w:marRight w:val="0"/>
          <w:marTop w:val="166"/>
          <w:marBottom w:val="166"/>
          <w:divBdr>
            <w:top w:val="none" w:sz="0" w:space="0" w:color="auto"/>
            <w:left w:val="none" w:sz="0" w:space="0" w:color="auto"/>
            <w:bottom w:val="none" w:sz="0" w:space="0" w:color="auto"/>
            <w:right w:val="none" w:sz="0" w:space="0" w:color="auto"/>
          </w:divBdr>
          <w:divsChild>
            <w:div w:id="83231592">
              <w:marLeft w:val="0"/>
              <w:marRight w:val="0"/>
              <w:marTop w:val="0"/>
              <w:marBottom w:val="0"/>
              <w:divBdr>
                <w:top w:val="none" w:sz="0" w:space="0" w:color="auto"/>
                <w:left w:val="none" w:sz="0" w:space="0" w:color="auto"/>
                <w:bottom w:val="none" w:sz="0" w:space="0" w:color="auto"/>
                <w:right w:val="none" w:sz="0" w:space="0" w:color="auto"/>
              </w:divBdr>
            </w:div>
          </w:divsChild>
        </w:div>
        <w:div w:id="83231525">
          <w:marLeft w:val="0"/>
          <w:marRight w:val="0"/>
          <w:marTop w:val="0"/>
          <w:marBottom w:val="166"/>
          <w:divBdr>
            <w:top w:val="none" w:sz="0" w:space="0" w:color="auto"/>
            <w:left w:val="none" w:sz="0" w:space="0" w:color="auto"/>
            <w:bottom w:val="none" w:sz="0" w:space="0" w:color="auto"/>
            <w:right w:val="none" w:sz="0" w:space="0" w:color="auto"/>
          </w:divBdr>
          <w:divsChild>
            <w:div w:id="83231576">
              <w:marLeft w:val="0"/>
              <w:marRight w:val="0"/>
              <w:marTop w:val="0"/>
              <w:marBottom w:val="0"/>
              <w:divBdr>
                <w:top w:val="none" w:sz="0" w:space="0" w:color="auto"/>
                <w:left w:val="none" w:sz="0" w:space="0" w:color="auto"/>
                <w:bottom w:val="none" w:sz="0" w:space="0" w:color="auto"/>
                <w:right w:val="none" w:sz="0" w:space="0" w:color="auto"/>
              </w:divBdr>
              <w:divsChild>
                <w:div w:id="83231481">
                  <w:marLeft w:val="0"/>
                  <w:marRight w:val="0"/>
                  <w:marTop w:val="0"/>
                  <w:marBottom w:val="0"/>
                  <w:divBdr>
                    <w:top w:val="none" w:sz="0" w:space="0" w:color="auto"/>
                    <w:left w:val="none" w:sz="0" w:space="0" w:color="auto"/>
                    <w:bottom w:val="none" w:sz="0" w:space="0" w:color="auto"/>
                    <w:right w:val="none" w:sz="0" w:space="0" w:color="auto"/>
                  </w:divBdr>
                  <w:divsChild>
                    <w:div w:id="83231496">
                      <w:marLeft w:val="0"/>
                      <w:marRight w:val="0"/>
                      <w:marTop w:val="0"/>
                      <w:marBottom w:val="0"/>
                      <w:divBdr>
                        <w:top w:val="none" w:sz="0" w:space="0" w:color="auto"/>
                        <w:left w:val="none" w:sz="0" w:space="0" w:color="auto"/>
                        <w:bottom w:val="none" w:sz="0" w:space="0" w:color="auto"/>
                        <w:right w:val="none" w:sz="0" w:space="0" w:color="auto"/>
                      </w:divBdr>
                      <w:divsChild>
                        <w:div w:id="83231499">
                          <w:marLeft w:val="0"/>
                          <w:marRight w:val="0"/>
                          <w:marTop w:val="0"/>
                          <w:marBottom w:val="0"/>
                          <w:divBdr>
                            <w:top w:val="none" w:sz="0" w:space="0" w:color="auto"/>
                            <w:left w:val="none" w:sz="0" w:space="0" w:color="auto"/>
                            <w:bottom w:val="none" w:sz="0" w:space="0" w:color="auto"/>
                            <w:right w:val="none" w:sz="0" w:space="0" w:color="auto"/>
                          </w:divBdr>
                        </w:div>
                        <w:div w:id="832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574">
                  <w:marLeft w:val="0"/>
                  <w:marRight w:val="0"/>
                  <w:marTop w:val="0"/>
                  <w:marBottom w:val="0"/>
                  <w:divBdr>
                    <w:top w:val="none" w:sz="0" w:space="0" w:color="auto"/>
                    <w:left w:val="none" w:sz="0" w:space="0" w:color="auto"/>
                    <w:bottom w:val="none" w:sz="0" w:space="0" w:color="auto"/>
                    <w:right w:val="none" w:sz="0" w:space="0" w:color="auto"/>
                  </w:divBdr>
                  <w:divsChild>
                    <w:div w:id="832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1602">
      <w:marLeft w:val="0"/>
      <w:marRight w:val="0"/>
      <w:marTop w:val="0"/>
      <w:marBottom w:val="0"/>
      <w:divBdr>
        <w:top w:val="none" w:sz="0" w:space="0" w:color="auto"/>
        <w:left w:val="none" w:sz="0" w:space="0" w:color="auto"/>
        <w:bottom w:val="none" w:sz="0" w:space="0" w:color="auto"/>
        <w:right w:val="none" w:sz="0" w:space="0" w:color="auto"/>
      </w:divBdr>
    </w:div>
    <w:div w:id="83231603">
      <w:marLeft w:val="0"/>
      <w:marRight w:val="0"/>
      <w:marTop w:val="0"/>
      <w:marBottom w:val="0"/>
      <w:divBdr>
        <w:top w:val="none" w:sz="0" w:space="0" w:color="auto"/>
        <w:left w:val="none" w:sz="0" w:space="0" w:color="auto"/>
        <w:bottom w:val="none" w:sz="0" w:space="0" w:color="auto"/>
        <w:right w:val="none" w:sz="0" w:space="0" w:color="auto"/>
      </w:divBdr>
    </w:div>
    <w:div w:id="83231606">
      <w:marLeft w:val="0"/>
      <w:marRight w:val="0"/>
      <w:marTop w:val="0"/>
      <w:marBottom w:val="0"/>
      <w:divBdr>
        <w:top w:val="none" w:sz="0" w:space="0" w:color="auto"/>
        <w:left w:val="none" w:sz="0" w:space="0" w:color="auto"/>
        <w:bottom w:val="none" w:sz="0" w:space="0" w:color="auto"/>
        <w:right w:val="none" w:sz="0" w:space="0" w:color="auto"/>
      </w:divBdr>
      <w:divsChild>
        <w:div w:id="83231509">
          <w:marLeft w:val="0"/>
          <w:marRight w:val="0"/>
          <w:marTop w:val="240"/>
          <w:marBottom w:val="100"/>
          <w:divBdr>
            <w:top w:val="none" w:sz="0" w:space="0" w:color="auto"/>
            <w:left w:val="none" w:sz="0" w:space="0" w:color="auto"/>
            <w:bottom w:val="none" w:sz="0" w:space="0" w:color="auto"/>
            <w:right w:val="none" w:sz="0" w:space="0" w:color="auto"/>
          </w:divBdr>
          <w:divsChild>
            <w:div w:id="832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1608">
      <w:marLeft w:val="0"/>
      <w:marRight w:val="0"/>
      <w:marTop w:val="0"/>
      <w:marBottom w:val="0"/>
      <w:divBdr>
        <w:top w:val="none" w:sz="0" w:space="0" w:color="auto"/>
        <w:left w:val="none" w:sz="0" w:space="0" w:color="auto"/>
        <w:bottom w:val="none" w:sz="0" w:space="0" w:color="auto"/>
        <w:right w:val="none" w:sz="0" w:space="0" w:color="auto"/>
      </w:divBdr>
    </w:div>
    <w:div w:id="83231609">
      <w:marLeft w:val="0"/>
      <w:marRight w:val="0"/>
      <w:marTop w:val="0"/>
      <w:marBottom w:val="0"/>
      <w:divBdr>
        <w:top w:val="none" w:sz="0" w:space="0" w:color="auto"/>
        <w:left w:val="none" w:sz="0" w:space="0" w:color="auto"/>
        <w:bottom w:val="none" w:sz="0" w:space="0" w:color="auto"/>
        <w:right w:val="none" w:sz="0" w:space="0" w:color="auto"/>
      </w:divBdr>
    </w:div>
    <w:div w:id="83231610">
      <w:marLeft w:val="0"/>
      <w:marRight w:val="0"/>
      <w:marTop w:val="0"/>
      <w:marBottom w:val="0"/>
      <w:divBdr>
        <w:top w:val="none" w:sz="0" w:space="0" w:color="auto"/>
        <w:left w:val="none" w:sz="0" w:space="0" w:color="auto"/>
        <w:bottom w:val="none" w:sz="0" w:space="0" w:color="auto"/>
        <w:right w:val="none" w:sz="0" w:space="0" w:color="auto"/>
      </w:divBdr>
    </w:div>
    <w:div w:id="83231611">
      <w:marLeft w:val="0"/>
      <w:marRight w:val="0"/>
      <w:marTop w:val="0"/>
      <w:marBottom w:val="0"/>
      <w:divBdr>
        <w:top w:val="none" w:sz="0" w:space="0" w:color="auto"/>
        <w:left w:val="none" w:sz="0" w:space="0" w:color="auto"/>
        <w:bottom w:val="none" w:sz="0" w:space="0" w:color="auto"/>
        <w:right w:val="none" w:sz="0" w:space="0" w:color="auto"/>
      </w:divBdr>
    </w:div>
    <w:div w:id="83231612">
      <w:marLeft w:val="0"/>
      <w:marRight w:val="0"/>
      <w:marTop w:val="0"/>
      <w:marBottom w:val="0"/>
      <w:divBdr>
        <w:top w:val="none" w:sz="0" w:space="0" w:color="auto"/>
        <w:left w:val="none" w:sz="0" w:space="0" w:color="auto"/>
        <w:bottom w:val="none" w:sz="0" w:space="0" w:color="auto"/>
        <w:right w:val="none" w:sz="0" w:space="0" w:color="auto"/>
      </w:divBdr>
    </w:div>
    <w:div w:id="83231613">
      <w:marLeft w:val="0"/>
      <w:marRight w:val="0"/>
      <w:marTop w:val="0"/>
      <w:marBottom w:val="0"/>
      <w:divBdr>
        <w:top w:val="none" w:sz="0" w:space="0" w:color="auto"/>
        <w:left w:val="none" w:sz="0" w:space="0" w:color="auto"/>
        <w:bottom w:val="none" w:sz="0" w:space="0" w:color="auto"/>
        <w:right w:val="none" w:sz="0" w:space="0" w:color="auto"/>
      </w:divBdr>
    </w:div>
    <w:div w:id="83231614">
      <w:marLeft w:val="0"/>
      <w:marRight w:val="0"/>
      <w:marTop w:val="0"/>
      <w:marBottom w:val="0"/>
      <w:divBdr>
        <w:top w:val="none" w:sz="0" w:space="0" w:color="auto"/>
        <w:left w:val="none" w:sz="0" w:space="0" w:color="auto"/>
        <w:bottom w:val="none" w:sz="0" w:space="0" w:color="auto"/>
        <w:right w:val="none" w:sz="0" w:space="0" w:color="auto"/>
      </w:divBdr>
    </w:div>
    <w:div w:id="83231615">
      <w:marLeft w:val="0"/>
      <w:marRight w:val="0"/>
      <w:marTop w:val="0"/>
      <w:marBottom w:val="0"/>
      <w:divBdr>
        <w:top w:val="none" w:sz="0" w:space="0" w:color="auto"/>
        <w:left w:val="none" w:sz="0" w:space="0" w:color="auto"/>
        <w:bottom w:val="none" w:sz="0" w:space="0" w:color="auto"/>
        <w:right w:val="none" w:sz="0" w:space="0" w:color="auto"/>
      </w:divBdr>
    </w:div>
    <w:div w:id="83231616">
      <w:marLeft w:val="0"/>
      <w:marRight w:val="0"/>
      <w:marTop w:val="0"/>
      <w:marBottom w:val="0"/>
      <w:divBdr>
        <w:top w:val="none" w:sz="0" w:space="0" w:color="auto"/>
        <w:left w:val="none" w:sz="0" w:space="0" w:color="auto"/>
        <w:bottom w:val="none" w:sz="0" w:space="0" w:color="auto"/>
        <w:right w:val="none" w:sz="0" w:space="0" w:color="auto"/>
      </w:divBdr>
    </w:div>
    <w:div w:id="83231617">
      <w:marLeft w:val="0"/>
      <w:marRight w:val="0"/>
      <w:marTop w:val="0"/>
      <w:marBottom w:val="0"/>
      <w:divBdr>
        <w:top w:val="none" w:sz="0" w:space="0" w:color="auto"/>
        <w:left w:val="none" w:sz="0" w:space="0" w:color="auto"/>
        <w:bottom w:val="none" w:sz="0" w:space="0" w:color="auto"/>
        <w:right w:val="none" w:sz="0" w:space="0" w:color="auto"/>
      </w:divBdr>
    </w:div>
    <w:div w:id="83231618">
      <w:marLeft w:val="0"/>
      <w:marRight w:val="0"/>
      <w:marTop w:val="0"/>
      <w:marBottom w:val="0"/>
      <w:divBdr>
        <w:top w:val="none" w:sz="0" w:space="0" w:color="auto"/>
        <w:left w:val="none" w:sz="0" w:space="0" w:color="auto"/>
        <w:bottom w:val="none" w:sz="0" w:space="0" w:color="auto"/>
        <w:right w:val="none" w:sz="0" w:space="0" w:color="auto"/>
      </w:divBdr>
    </w:div>
    <w:div w:id="83231619">
      <w:marLeft w:val="0"/>
      <w:marRight w:val="0"/>
      <w:marTop w:val="0"/>
      <w:marBottom w:val="0"/>
      <w:divBdr>
        <w:top w:val="none" w:sz="0" w:space="0" w:color="auto"/>
        <w:left w:val="none" w:sz="0" w:space="0" w:color="auto"/>
        <w:bottom w:val="none" w:sz="0" w:space="0" w:color="auto"/>
        <w:right w:val="none" w:sz="0" w:space="0" w:color="auto"/>
      </w:divBdr>
    </w:div>
    <w:div w:id="83231620">
      <w:marLeft w:val="0"/>
      <w:marRight w:val="0"/>
      <w:marTop w:val="0"/>
      <w:marBottom w:val="0"/>
      <w:divBdr>
        <w:top w:val="none" w:sz="0" w:space="0" w:color="auto"/>
        <w:left w:val="none" w:sz="0" w:space="0" w:color="auto"/>
        <w:bottom w:val="none" w:sz="0" w:space="0" w:color="auto"/>
        <w:right w:val="none" w:sz="0" w:space="0" w:color="auto"/>
      </w:divBdr>
    </w:div>
    <w:div w:id="83231621">
      <w:marLeft w:val="0"/>
      <w:marRight w:val="0"/>
      <w:marTop w:val="0"/>
      <w:marBottom w:val="0"/>
      <w:divBdr>
        <w:top w:val="none" w:sz="0" w:space="0" w:color="auto"/>
        <w:left w:val="none" w:sz="0" w:space="0" w:color="auto"/>
        <w:bottom w:val="none" w:sz="0" w:space="0" w:color="auto"/>
        <w:right w:val="none" w:sz="0" w:space="0" w:color="auto"/>
      </w:divBdr>
    </w:div>
    <w:div w:id="83231622">
      <w:marLeft w:val="0"/>
      <w:marRight w:val="0"/>
      <w:marTop w:val="0"/>
      <w:marBottom w:val="0"/>
      <w:divBdr>
        <w:top w:val="none" w:sz="0" w:space="0" w:color="auto"/>
        <w:left w:val="none" w:sz="0" w:space="0" w:color="auto"/>
        <w:bottom w:val="none" w:sz="0" w:space="0" w:color="auto"/>
        <w:right w:val="none" w:sz="0" w:space="0" w:color="auto"/>
      </w:divBdr>
    </w:div>
    <w:div w:id="83231623">
      <w:marLeft w:val="0"/>
      <w:marRight w:val="0"/>
      <w:marTop w:val="0"/>
      <w:marBottom w:val="0"/>
      <w:divBdr>
        <w:top w:val="none" w:sz="0" w:space="0" w:color="auto"/>
        <w:left w:val="none" w:sz="0" w:space="0" w:color="auto"/>
        <w:bottom w:val="none" w:sz="0" w:space="0" w:color="auto"/>
        <w:right w:val="none" w:sz="0" w:space="0" w:color="auto"/>
      </w:divBdr>
    </w:div>
    <w:div w:id="83231624">
      <w:marLeft w:val="0"/>
      <w:marRight w:val="0"/>
      <w:marTop w:val="0"/>
      <w:marBottom w:val="0"/>
      <w:divBdr>
        <w:top w:val="none" w:sz="0" w:space="0" w:color="auto"/>
        <w:left w:val="none" w:sz="0" w:space="0" w:color="auto"/>
        <w:bottom w:val="none" w:sz="0" w:space="0" w:color="auto"/>
        <w:right w:val="none" w:sz="0" w:space="0" w:color="auto"/>
      </w:divBdr>
    </w:div>
    <w:div w:id="83231625">
      <w:marLeft w:val="0"/>
      <w:marRight w:val="0"/>
      <w:marTop w:val="0"/>
      <w:marBottom w:val="0"/>
      <w:divBdr>
        <w:top w:val="none" w:sz="0" w:space="0" w:color="auto"/>
        <w:left w:val="none" w:sz="0" w:space="0" w:color="auto"/>
        <w:bottom w:val="none" w:sz="0" w:space="0" w:color="auto"/>
        <w:right w:val="none" w:sz="0" w:space="0" w:color="auto"/>
      </w:divBdr>
    </w:div>
    <w:div w:id="83231626">
      <w:marLeft w:val="0"/>
      <w:marRight w:val="0"/>
      <w:marTop w:val="0"/>
      <w:marBottom w:val="0"/>
      <w:divBdr>
        <w:top w:val="none" w:sz="0" w:space="0" w:color="auto"/>
        <w:left w:val="none" w:sz="0" w:space="0" w:color="auto"/>
        <w:bottom w:val="none" w:sz="0" w:space="0" w:color="auto"/>
        <w:right w:val="none" w:sz="0" w:space="0" w:color="auto"/>
      </w:divBdr>
    </w:div>
    <w:div w:id="83231627">
      <w:marLeft w:val="0"/>
      <w:marRight w:val="0"/>
      <w:marTop w:val="0"/>
      <w:marBottom w:val="0"/>
      <w:divBdr>
        <w:top w:val="none" w:sz="0" w:space="0" w:color="auto"/>
        <w:left w:val="none" w:sz="0" w:space="0" w:color="auto"/>
        <w:bottom w:val="none" w:sz="0" w:space="0" w:color="auto"/>
        <w:right w:val="none" w:sz="0" w:space="0" w:color="auto"/>
      </w:divBdr>
    </w:div>
    <w:div w:id="83231629">
      <w:marLeft w:val="0"/>
      <w:marRight w:val="0"/>
      <w:marTop w:val="0"/>
      <w:marBottom w:val="0"/>
      <w:divBdr>
        <w:top w:val="none" w:sz="0" w:space="0" w:color="auto"/>
        <w:left w:val="none" w:sz="0" w:space="0" w:color="auto"/>
        <w:bottom w:val="none" w:sz="0" w:space="0" w:color="auto"/>
        <w:right w:val="none" w:sz="0" w:space="0" w:color="auto"/>
      </w:divBdr>
    </w:div>
    <w:div w:id="83231630">
      <w:marLeft w:val="0"/>
      <w:marRight w:val="0"/>
      <w:marTop w:val="0"/>
      <w:marBottom w:val="0"/>
      <w:divBdr>
        <w:top w:val="none" w:sz="0" w:space="0" w:color="auto"/>
        <w:left w:val="none" w:sz="0" w:space="0" w:color="auto"/>
        <w:bottom w:val="none" w:sz="0" w:space="0" w:color="auto"/>
        <w:right w:val="none" w:sz="0" w:space="0" w:color="auto"/>
      </w:divBdr>
    </w:div>
    <w:div w:id="83231631">
      <w:marLeft w:val="0"/>
      <w:marRight w:val="0"/>
      <w:marTop w:val="0"/>
      <w:marBottom w:val="0"/>
      <w:divBdr>
        <w:top w:val="none" w:sz="0" w:space="0" w:color="auto"/>
        <w:left w:val="none" w:sz="0" w:space="0" w:color="auto"/>
        <w:bottom w:val="none" w:sz="0" w:space="0" w:color="auto"/>
        <w:right w:val="none" w:sz="0" w:space="0" w:color="auto"/>
      </w:divBdr>
    </w:div>
    <w:div w:id="83231632">
      <w:marLeft w:val="0"/>
      <w:marRight w:val="0"/>
      <w:marTop w:val="0"/>
      <w:marBottom w:val="0"/>
      <w:divBdr>
        <w:top w:val="none" w:sz="0" w:space="0" w:color="auto"/>
        <w:left w:val="none" w:sz="0" w:space="0" w:color="auto"/>
        <w:bottom w:val="none" w:sz="0" w:space="0" w:color="auto"/>
        <w:right w:val="none" w:sz="0" w:space="0" w:color="auto"/>
      </w:divBdr>
      <w:divsChild>
        <w:div w:id="83231424">
          <w:marLeft w:val="0"/>
          <w:marRight w:val="0"/>
          <w:marTop w:val="0"/>
          <w:marBottom w:val="0"/>
          <w:divBdr>
            <w:top w:val="none" w:sz="0" w:space="0" w:color="auto"/>
            <w:left w:val="none" w:sz="0" w:space="0" w:color="auto"/>
            <w:bottom w:val="none" w:sz="0" w:space="0" w:color="auto"/>
            <w:right w:val="none" w:sz="0" w:space="0" w:color="auto"/>
          </w:divBdr>
        </w:div>
        <w:div w:id="83231439">
          <w:marLeft w:val="0"/>
          <w:marRight w:val="0"/>
          <w:marTop w:val="0"/>
          <w:marBottom w:val="0"/>
          <w:divBdr>
            <w:top w:val="none" w:sz="0" w:space="0" w:color="auto"/>
            <w:left w:val="none" w:sz="0" w:space="0" w:color="auto"/>
            <w:bottom w:val="none" w:sz="0" w:space="0" w:color="auto"/>
            <w:right w:val="none" w:sz="0" w:space="0" w:color="auto"/>
          </w:divBdr>
        </w:div>
        <w:div w:id="83231628">
          <w:marLeft w:val="0"/>
          <w:marRight w:val="0"/>
          <w:marTop w:val="0"/>
          <w:marBottom w:val="0"/>
          <w:divBdr>
            <w:top w:val="none" w:sz="0" w:space="0" w:color="auto"/>
            <w:left w:val="none" w:sz="0" w:space="0" w:color="auto"/>
            <w:bottom w:val="none" w:sz="0" w:space="0" w:color="auto"/>
            <w:right w:val="none" w:sz="0" w:space="0" w:color="auto"/>
          </w:divBdr>
        </w:div>
      </w:divsChild>
    </w:div>
    <w:div w:id="83231633">
      <w:marLeft w:val="0"/>
      <w:marRight w:val="0"/>
      <w:marTop w:val="0"/>
      <w:marBottom w:val="0"/>
      <w:divBdr>
        <w:top w:val="none" w:sz="0" w:space="0" w:color="auto"/>
        <w:left w:val="none" w:sz="0" w:space="0" w:color="auto"/>
        <w:bottom w:val="none" w:sz="0" w:space="0" w:color="auto"/>
        <w:right w:val="none" w:sz="0" w:space="0" w:color="auto"/>
      </w:divBdr>
    </w:div>
    <w:div w:id="83231634">
      <w:marLeft w:val="0"/>
      <w:marRight w:val="0"/>
      <w:marTop w:val="0"/>
      <w:marBottom w:val="0"/>
      <w:divBdr>
        <w:top w:val="none" w:sz="0" w:space="0" w:color="auto"/>
        <w:left w:val="none" w:sz="0" w:space="0" w:color="auto"/>
        <w:bottom w:val="none" w:sz="0" w:space="0" w:color="auto"/>
        <w:right w:val="none" w:sz="0" w:space="0" w:color="auto"/>
      </w:divBdr>
    </w:div>
    <w:div w:id="83231635">
      <w:marLeft w:val="0"/>
      <w:marRight w:val="0"/>
      <w:marTop w:val="0"/>
      <w:marBottom w:val="0"/>
      <w:divBdr>
        <w:top w:val="none" w:sz="0" w:space="0" w:color="auto"/>
        <w:left w:val="none" w:sz="0" w:space="0" w:color="auto"/>
        <w:bottom w:val="none" w:sz="0" w:space="0" w:color="auto"/>
        <w:right w:val="none" w:sz="0" w:space="0" w:color="auto"/>
      </w:divBdr>
    </w:div>
    <w:div w:id="83231636">
      <w:marLeft w:val="0"/>
      <w:marRight w:val="0"/>
      <w:marTop w:val="0"/>
      <w:marBottom w:val="0"/>
      <w:divBdr>
        <w:top w:val="none" w:sz="0" w:space="0" w:color="auto"/>
        <w:left w:val="none" w:sz="0" w:space="0" w:color="auto"/>
        <w:bottom w:val="none" w:sz="0" w:space="0" w:color="auto"/>
        <w:right w:val="none" w:sz="0" w:space="0" w:color="auto"/>
      </w:divBdr>
    </w:div>
    <w:div w:id="83231637">
      <w:marLeft w:val="0"/>
      <w:marRight w:val="0"/>
      <w:marTop w:val="0"/>
      <w:marBottom w:val="0"/>
      <w:divBdr>
        <w:top w:val="none" w:sz="0" w:space="0" w:color="auto"/>
        <w:left w:val="none" w:sz="0" w:space="0" w:color="auto"/>
        <w:bottom w:val="none" w:sz="0" w:space="0" w:color="auto"/>
        <w:right w:val="none" w:sz="0" w:space="0" w:color="auto"/>
      </w:divBdr>
    </w:div>
    <w:div w:id="83231638">
      <w:marLeft w:val="0"/>
      <w:marRight w:val="0"/>
      <w:marTop w:val="0"/>
      <w:marBottom w:val="0"/>
      <w:divBdr>
        <w:top w:val="none" w:sz="0" w:space="0" w:color="auto"/>
        <w:left w:val="none" w:sz="0" w:space="0" w:color="auto"/>
        <w:bottom w:val="none" w:sz="0" w:space="0" w:color="auto"/>
        <w:right w:val="none" w:sz="0" w:space="0" w:color="auto"/>
      </w:divBdr>
    </w:div>
    <w:div w:id="83231639">
      <w:marLeft w:val="0"/>
      <w:marRight w:val="0"/>
      <w:marTop w:val="0"/>
      <w:marBottom w:val="0"/>
      <w:divBdr>
        <w:top w:val="none" w:sz="0" w:space="0" w:color="auto"/>
        <w:left w:val="none" w:sz="0" w:space="0" w:color="auto"/>
        <w:bottom w:val="none" w:sz="0" w:space="0" w:color="auto"/>
        <w:right w:val="none" w:sz="0" w:space="0" w:color="auto"/>
      </w:divBdr>
    </w:div>
    <w:div w:id="83231640">
      <w:marLeft w:val="0"/>
      <w:marRight w:val="0"/>
      <w:marTop w:val="0"/>
      <w:marBottom w:val="0"/>
      <w:divBdr>
        <w:top w:val="none" w:sz="0" w:space="0" w:color="auto"/>
        <w:left w:val="none" w:sz="0" w:space="0" w:color="auto"/>
        <w:bottom w:val="none" w:sz="0" w:space="0" w:color="auto"/>
        <w:right w:val="none" w:sz="0" w:space="0" w:color="auto"/>
      </w:divBdr>
    </w:div>
    <w:div w:id="83231641">
      <w:marLeft w:val="0"/>
      <w:marRight w:val="0"/>
      <w:marTop w:val="0"/>
      <w:marBottom w:val="0"/>
      <w:divBdr>
        <w:top w:val="none" w:sz="0" w:space="0" w:color="auto"/>
        <w:left w:val="none" w:sz="0" w:space="0" w:color="auto"/>
        <w:bottom w:val="none" w:sz="0" w:space="0" w:color="auto"/>
        <w:right w:val="none" w:sz="0" w:space="0" w:color="auto"/>
      </w:divBdr>
    </w:div>
    <w:div w:id="83231642">
      <w:marLeft w:val="0"/>
      <w:marRight w:val="0"/>
      <w:marTop w:val="0"/>
      <w:marBottom w:val="0"/>
      <w:divBdr>
        <w:top w:val="none" w:sz="0" w:space="0" w:color="auto"/>
        <w:left w:val="none" w:sz="0" w:space="0" w:color="auto"/>
        <w:bottom w:val="none" w:sz="0" w:space="0" w:color="auto"/>
        <w:right w:val="none" w:sz="0" w:space="0" w:color="auto"/>
      </w:divBdr>
    </w:div>
    <w:div w:id="83231643">
      <w:marLeft w:val="0"/>
      <w:marRight w:val="0"/>
      <w:marTop w:val="0"/>
      <w:marBottom w:val="0"/>
      <w:divBdr>
        <w:top w:val="none" w:sz="0" w:space="0" w:color="auto"/>
        <w:left w:val="none" w:sz="0" w:space="0" w:color="auto"/>
        <w:bottom w:val="none" w:sz="0" w:space="0" w:color="auto"/>
        <w:right w:val="none" w:sz="0" w:space="0" w:color="auto"/>
      </w:divBdr>
    </w:div>
    <w:div w:id="83231644">
      <w:marLeft w:val="0"/>
      <w:marRight w:val="0"/>
      <w:marTop w:val="0"/>
      <w:marBottom w:val="0"/>
      <w:divBdr>
        <w:top w:val="none" w:sz="0" w:space="0" w:color="auto"/>
        <w:left w:val="none" w:sz="0" w:space="0" w:color="auto"/>
        <w:bottom w:val="none" w:sz="0" w:space="0" w:color="auto"/>
        <w:right w:val="none" w:sz="0" w:space="0" w:color="auto"/>
      </w:divBdr>
    </w:div>
    <w:div w:id="83231645">
      <w:marLeft w:val="0"/>
      <w:marRight w:val="0"/>
      <w:marTop w:val="0"/>
      <w:marBottom w:val="0"/>
      <w:divBdr>
        <w:top w:val="none" w:sz="0" w:space="0" w:color="auto"/>
        <w:left w:val="none" w:sz="0" w:space="0" w:color="auto"/>
        <w:bottom w:val="none" w:sz="0" w:space="0" w:color="auto"/>
        <w:right w:val="none" w:sz="0" w:space="0" w:color="auto"/>
      </w:divBdr>
    </w:div>
    <w:div w:id="83231646">
      <w:marLeft w:val="0"/>
      <w:marRight w:val="0"/>
      <w:marTop w:val="0"/>
      <w:marBottom w:val="0"/>
      <w:divBdr>
        <w:top w:val="none" w:sz="0" w:space="0" w:color="auto"/>
        <w:left w:val="none" w:sz="0" w:space="0" w:color="auto"/>
        <w:bottom w:val="none" w:sz="0" w:space="0" w:color="auto"/>
        <w:right w:val="none" w:sz="0" w:space="0" w:color="auto"/>
      </w:divBdr>
    </w:div>
    <w:div w:id="83231647">
      <w:marLeft w:val="0"/>
      <w:marRight w:val="0"/>
      <w:marTop w:val="0"/>
      <w:marBottom w:val="0"/>
      <w:divBdr>
        <w:top w:val="none" w:sz="0" w:space="0" w:color="auto"/>
        <w:left w:val="none" w:sz="0" w:space="0" w:color="auto"/>
        <w:bottom w:val="none" w:sz="0" w:space="0" w:color="auto"/>
        <w:right w:val="none" w:sz="0" w:space="0" w:color="auto"/>
      </w:divBdr>
    </w:div>
    <w:div w:id="83231648">
      <w:marLeft w:val="0"/>
      <w:marRight w:val="0"/>
      <w:marTop w:val="0"/>
      <w:marBottom w:val="0"/>
      <w:divBdr>
        <w:top w:val="none" w:sz="0" w:space="0" w:color="auto"/>
        <w:left w:val="none" w:sz="0" w:space="0" w:color="auto"/>
        <w:bottom w:val="none" w:sz="0" w:space="0" w:color="auto"/>
        <w:right w:val="none" w:sz="0" w:space="0" w:color="auto"/>
      </w:divBdr>
    </w:div>
    <w:div w:id="83231649">
      <w:marLeft w:val="0"/>
      <w:marRight w:val="0"/>
      <w:marTop w:val="0"/>
      <w:marBottom w:val="0"/>
      <w:divBdr>
        <w:top w:val="none" w:sz="0" w:space="0" w:color="auto"/>
        <w:left w:val="none" w:sz="0" w:space="0" w:color="auto"/>
        <w:bottom w:val="none" w:sz="0" w:space="0" w:color="auto"/>
        <w:right w:val="none" w:sz="0" w:space="0" w:color="auto"/>
      </w:divBdr>
    </w:div>
    <w:div w:id="83231650">
      <w:marLeft w:val="0"/>
      <w:marRight w:val="0"/>
      <w:marTop w:val="0"/>
      <w:marBottom w:val="0"/>
      <w:divBdr>
        <w:top w:val="none" w:sz="0" w:space="0" w:color="auto"/>
        <w:left w:val="none" w:sz="0" w:space="0" w:color="auto"/>
        <w:bottom w:val="none" w:sz="0" w:space="0" w:color="auto"/>
        <w:right w:val="none" w:sz="0" w:space="0" w:color="auto"/>
      </w:divBdr>
    </w:div>
    <w:div w:id="83231651">
      <w:marLeft w:val="0"/>
      <w:marRight w:val="0"/>
      <w:marTop w:val="0"/>
      <w:marBottom w:val="0"/>
      <w:divBdr>
        <w:top w:val="none" w:sz="0" w:space="0" w:color="auto"/>
        <w:left w:val="none" w:sz="0" w:space="0" w:color="auto"/>
        <w:bottom w:val="none" w:sz="0" w:space="0" w:color="auto"/>
        <w:right w:val="none" w:sz="0" w:space="0" w:color="auto"/>
      </w:divBdr>
    </w:div>
    <w:div w:id="83231652">
      <w:marLeft w:val="0"/>
      <w:marRight w:val="0"/>
      <w:marTop w:val="0"/>
      <w:marBottom w:val="0"/>
      <w:divBdr>
        <w:top w:val="none" w:sz="0" w:space="0" w:color="auto"/>
        <w:left w:val="none" w:sz="0" w:space="0" w:color="auto"/>
        <w:bottom w:val="none" w:sz="0" w:space="0" w:color="auto"/>
        <w:right w:val="none" w:sz="0" w:space="0" w:color="auto"/>
      </w:divBdr>
    </w:div>
    <w:div w:id="83231653">
      <w:marLeft w:val="0"/>
      <w:marRight w:val="0"/>
      <w:marTop w:val="0"/>
      <w:marBottom w:val="0"/>
      <w:divBdr>
        <w:top w:val="none" w:sz="0" w:space="0" w:color="auto"/>
        <w:left w:val="none" w:sz="0" w:space="0" w:color="auto"/>
        <w:bottom w:val="none" w:sz="0" w:space="0" w:color="auto"/>
        <w:right w:val="none" w:sz="0" w:space="0" w:color="auto"/>
      </w:divBdr>
    </w:div>
    <w:div w:id="83231654">
      <w:marLeft w:val="0"/>
      <w:marRight w:val="0"/>
      <w:marTop w:val="0"/>
      <w:marBottom w:val="0"/>
      <w:divBdr>
        <w:top w:val="none" w:sz="0" w:space="0" w:color="auto"/>
        <w:left w:val="none" w:sz="0" w:space="0" w:color="auto"/>
        <w:bottom w:val="none" w:sz="0" w:space="0" w:color="auto"/>
        <w:right w:val="none" w:sz="0" w:space="0" w:color="auto"/>
      </w:divBdr>
    </w:div>
    <w:div w:id="83231655">
      <w:marLeft w:val="0"/>
      <w:marRight w:val="0"/>
      <w:marTop w:val="0"/>
      <w:marBottom w:val="0"/>
      <w:divBdr>
        <w:top w:val="none" w:sz="0" w:space="0" w:color="auto"/>
        <w:left w:val="none" w:sz="0" w:space="0" w:color="auto"/>
        <w:bottom w:val="none" w:sz="0" w:space="0" w:color="auto"/>
        <w:right w:val="none" w:sz="0" w:space="0" w:color="auto"/>
      </w:divBdr>
    </w:div>
    <w:div w:id="83231656">
      <w:marLeft w:val="0"/>
      <w:marRight w:val="0"/>
      <w:marTop w:val="0"/>
      <w:marBottom w:val="0"/>
      <w:divBdr>
        <w:top w:val="none" w:sz="0" w:space="0" w:color="auto"/>
        <w:left w:val="none" w:sz="0" w:space="0" w:color="auto"/>
        <w:bottom w:val="none" w:sz="0" w:space="0" w:color="auto"/>
        <w:right w:val="none" w:sz="0" w:space="0" w:color="auto"/>
      </w:divBdr>
    </w:div>
    <w:div w:id="83231657">
      <w:marLeft w:val="0"/>
      <w:marRight w:val="0"/>
      <w:marTop w:val="0"/>
      <w:marBottom w:val="0"/>
      <w:divBdr>
        <w:top w:val="none" w:sz="0" w:space="0" w:color="auto"/>
        <w:left w:val="none" w:sz="0" w:space="0" w:color="auto"/>
        <w:bottom w:val="none" w:sz="0" w:space="0" w:color="auto"/>
        <w:right w:val="none" w:sz="0" w:space="0" w:color="auto"/>
      </w:divBdr>
    </w:div>
    <w:div w:id="83231658">
      <w:marLeft w:val="0"/>
      <w:marRight w:val="0"/>
      <w:marTop w:val="0"/>
      <w:marBottom w:val="0"/>
      <w:divBdr>
        <w:top w:val="none" w:sz="0" w:space="0" w:color="auto"/>
        <w:left w:val="none" w:sz="0" w:space="0" w:color="auto"/>
        <w:bottom w:val="none" w:sz="0" w:space="0" w:color="auto"/>
        <w:right w:val="none" w:sz="0" w:space="0" w:color="auto"/>
      </w:divBdr>
    </w:div>
    <w:div w:id="8323165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term=Working%20Group%20IAP%2FAPA%20Acute%20Pancreatitis%20Guidelines%5BCorporate%20Author%5D"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7297</Words>
  <Characters>41595</Characters>
  <Application>Microsoft Macintosh Word</Application>
  <DocSecurity>0</DocSecurity>
  <Lines>346</Lines>
  <Paragraphs>97</Paragraphs>
  <ScaleCrop>false</ScaleCrop>
  <Company>Microsoft</Company>
  <LinksUpToDate>false</LinksUpToDate>
  <CharactersWithSpaces>48795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chuan</dc:creator>
  <cp:keywords/>
  <dc:description/>
  <cp:lastModifiedBy>Na Ma</cp:lastModifiedBy>
  <cp:revision>2</cp:revision>
  <cp:lastPrinted>2015-11-10T14:41:00Z</cp:lastPrinted>
  <dcterms:created xsi:type="dcterms:W3CDTF">2015-11-19T02:43:00Z</dcterms:created>
  <dcterms:modified xsi:type="dcterms:W3CDTF">2015-11-19T02:43:00Z</dcterms:modified>
</cp:coreProperties>
</file>