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A1EA3" w14:textId="3F080BA9" w:rsidR="00A84078" w:rsidRPr="0035292D" w:rsidRDefault="00A84078" w:rsidP="00A84078">
      <w:pPr>
        <w:adjustRightInd w:val="0"/>
        <w:snapToGrid w:val="0"/>
        <w:spacing w:line="360" w:lineRule="auto"/>
        <w:rPr>
          <w:rFonts w:ascii="Book Antiqua" w:eastAsia="Times New Roman" w:hAnsi="Book Antiqua" w:cs="宋体"/>
          <w:b/>
          <w:color w:val="000000"/>
          <w:sz w:val="24"/>
        </w:rPr>
      </w:pPr>
      <w:bookmarkStart w:id="0" w:name="OLE_LINK545"/>
      <w:bookmarkStart w:id="1" w:name="OLE_LINK546"/>
      <w:bookmarkStart w:id="2" w:name="OLE_LINK561"/>
      <w:r w:rsidRPr="009F19CA">
        <w:rPr>
          <w:rFonts w:ascii="Book Antiqua" w:eastAsia="Times New Roman" w:hAnsi="Book Antiqua" w:cs="宋体"/>
          <w:b/>
          <w:color w:val="000000"/>
          <w:sz w:val="24"/>
        </w:rPr>
        <w:t xml:space="preserve">Name of </w:t>
      </w:r>
      <w:r w:rsidR="001058DF">
        <w:rPr>
          <w:rFonts w:ascii="Book Antiqua" w:eastAsia="宋体" w:hAnsi="Book Antiqua" w:cs="宋体" w:hint="eastAsia"/>
          <w:b/>
          <w:color w:val="000000"/>
          <w:sz w:val="24"/>
          <w:lang w:eastAsia="zh-CN"/>
        </w:rPr>
        <w:t>J</w:t>
      </w:r>
      <w:r w:rsidRPr="009F19CA">
        <w:rPr>
          <w:rFonts w:ascii="Book Antiqua" w:eastAsia="Times New Roman" w:hAnsi="Book Antiqua" w:cs="宋体"/>
          <w:b/>
          <w:color w:val="000000"/>
          <w:sz w:val="24"/>
        </w:rPr>
        <w:t xml:space="preserve">ournal: </w:t>
      </w:r>
      <w:r w:rsidRPr="001058DF">
        <w:rPr>
          <w:rFonts w:ascii="Book Antiqua" w:eastAsia="Times New Roman" w:hAnsi="Book Antiqua" w:cs="宋体"/>
          <w:b/>
          <w:i/>
          <w:color w:val="000000"/>
          <w:sz w:val="24"/>
        </w:rPr>
        <w:t>World Journal of Hepatology</w:t>
      </w:r>
    </w:p>
    <w:p w14:paraId="40860172" w14:textId="32D6E7AE" w:rsidR="00A84078" w:rsidRPr="00A84078" w:rsidRDefault="00A84078" w:rsidP="00A84078">
      <w:pPr>
        <w:adjustRightInd w:val="0"/>
        <w:snapToGrid w:val="0"/>
        <w:spacing w:line="360" w:lineRule="auto"/>
        <w:rPr>
          <w:rFonts w:ascii="Book Antiqua" w:eastAsia="宋体" w:hAnsi="Book Antiqua" w:cs="Arial"/>
          <w:color w:val="000000"/>
          <w:sz w:val="24"/>
          <w:lang w:val="en" w:eastAsia="zh-CN"/>
        </w:rPr>
      </w:pPr>
      <w:r w:rsidRPr="009F19CA">
        <w:rPr>
          <w:rFonts w:ascii="Book Antiqua" w:hAnsi="Book Antiqua" w:cs="Arial"/>
          <w:b/>
          <w:color w:val="000000"/>
          <w:sz w:val="24"/>
          <w:lang w:val="en"/>
        </w:rPr>
        <w:t xml:space="preserve">ESPS Manuscript NO: </w:t>
      </w:r>
      <w:r>
        <w:rPr>
          <w:rFonts w:ascii="Book Antiqua" w:eastAsia="宋体" w:hAnsi="Book Antiqua" w:cs="Arial" w:hint="eastAsia"/>
          <w:b/>
          <w:color w:val="000000"/>
          <w:sz w:val="24"/>
          <w:lang w:val="en" w:eastAsia="zh-CN"/>
        </w:rPr>
        <w:t>22159</w:t>
      </w:r>
    </w:p>
    <w:p w14:paraId="6FF24F06" w14:textId="77777777" w:rsidR="00A84078" w:rsidRDefault="00A84078" w:rsidP="00A84078">
      <w:pPr>
        <w:spacing w:line="360" w:lineRule="auto"/>
        <w:rPr>
          <w:rFonts w:ascii="Book Antiqua" w:eastAsia="宋体" w:hAnsi="Book Antiqua"/>
          <w:b/>
          <w:sz w:val="24"/>
          <w:lang w:eastAsia="zh-CN"/>
        </w:rPr>
      </w:pPr>
      <w:r w:rsidRPr="00753939">
        <w:rPr>
          <w:rFonts w:ascii="Book Antiqua" w:hAnsi="Book Antiqua"/>
          <w:b/>
          <w:sz w:val="24"/>
        </w:rPr>
        <w:t>Manuscript Type</w:t>
      </w:r>
      <w:r w:rsidRPr="00753939">
        <w:rPr>
          <w:rFonts w:ascii="Book Antiqua" w:hAnsi="Book Antiqua" w:hint="eastAsia"/>
          <w:b/>
          <w:sz w:val="24"/>
        </w:rPr>
        <w:t xml:space="preserve">: </w:t>
      </w:r>
      <w:r>
        <w:rPr>
          <w:rFonts w:ascii="Book Antiqua" w:hAnsi="Book Antiqua"/>
          <w:b/>
          <w:sz w:val="24"/>
        </w:rPr>
        <w:t>ORIGINAL ARTICLE</w:t>
      </w:r>
    </w:p>
    <w:p w14:paraId="76DEF9E5" w14:textId="77777777" w:rsidR="00A84078" w:rsidRPr="00A84078" w:rsidRDefault="00A84078" w:rsidP="00A84078">
      <w:pPr>
        <w:spacing w:line="360" w:lineRule="auto"/>
        <w:rPr>
          <w:rFonts w:ascii="Book Antiqua" w:eastAsia="宋体" w:hAnsi="Book Antiqua"/>
          <w:b/>
          <w:sz w:val="24"/>
          <w:lang w:eastAsia="zh-CN"/>
        </w:rPr>
      </w:pPr>
    </w:p>
    <w:p w14:paraId="7982BECC" w14:textId="01500BBD" w:rsidR="00A84078" w:rsidRPr="001058DF" w:rsidRDefault="00A84078" w:rsidP="00A84078">
      <w:pPr>
        <w:spacing w:line="360" w:lineRule="auto"/>
        <w:rPr>
          <w:rFonts w:ascii="Book Antiqua" w:eastAsia="宋体" w:hAnsi="Book Antiqua"/>
          <w:b/>
          <w:sz w:val="24"/>
          <w:lang w:eastAsia="zh-CN"/>
        </w:rPr>
      </w:pPr>
      <w:r w:rsidRPr="001058DF">
        <w:rPr>
          <w:rFonts w:ascii="Book Antiqua" w:eastAsia="宋体" w:hAnsi="Book Antiqua"/>
          <w:b/>
          <w:sz w:val="24"/>
          <w:lang w:eastAsia="zh-CN"/>
        </w:rPr>
        <w:t>Retrospective Cohort Study</w:t>
      </w:r>
    </w:p>
    <w:bookmarkEnd w:id="0"/>
    <w:bookmarkEnd w:id="1"/>
    <w:bookmarkEnd w:id="2"/>
    <w:p w14:paraId="61C5628A" w14:textId="02FD9720" w:rsidR="0093704D" w:rsidRPr="00042FE3" w:rsidRDefault="0093704D" w:rsidP="00172BC8">
      <w:pPr>
        <w:pStyle w:val="1"/>
        <w:spacing w:line="360" w:lineRule="auto"/>
        <w:jc w:val="left"/>
        <w:rPr>
          <w:rFonts w:ascii="Book Antiqua" w:eastAsia="Times New Roman" w:hAnsi="Book Antiqua" w:cs="Times New Roman"/>
          <w:b/>
          <w:bCs/>
          <w:color w:val="000000" w:themeColor="text1"/>
          <w:sz w:val="24"/>
          <w:szCs w:val="24"/>
        </w:rPr>
      </w:pPr>
      <w:r w:rsidRPr="00042FE3">
        <w:rPr>
          <w:rFonts w:ascii="Book Antiqua" w:hAnsi="Book Antiqua" w:cs="Times New Roman"/>
          <w:b/>
          <w:bCs/>
          <w:color w:val="000000" w:themeColor="text1"/>
          <w:sz w:val="24"/>
          <w:szCs w:val="24"/>
        </w:rPr>
        <w:t>Comparison of peg-interferon</w:t>
      </w:r>
      <w:r w:rsidR="007D20E7" w:rsidRPr="00042FE3">
        <w:rPr>
          <w:rFonts w:ascii="Book Antiqua" w:hAnsi="Book Antiqua" w:cs="Times New Roman"/>
          <w:b/>
          <w:bCs/>
          <w:color w:val="000000" w:themeColor="text1"/>
          <w:sz w:val="24"/>
          <w:szCs w:val="24"/>
        </w:rPr>
        <w:t>,</w:t>
      </w:r>
      <w:r w:rsidRPr="00042FE3">
        <w:rPr>
          <w:rFonts w:ascii="Book Antiqua" w:hAnsi="Book Antiqua" w:cs="Times New Roman"/>
          <w:b/>
          <w:bCs/>
          <w:color w:val="000000" w:themeColor="text1"/>
          <w:sz w:val="24"/>
          <w:szCs w:val="24"/>
        </w:rPr>
        <w:t xml:space="preserve"> ribavirin plus </w:t>
      </w:r>
      <w:proofErr w:type="spellStart"/>
      <w:r w:rsidRPr="00042FE3">
        <w:rPr>
          <w:rFonts w:ascii="Book Antiqua" w:hAnsi="Book Antiqua" w:cs="Times New Roman"/>
          <w:b/>
          <w:bCs/>
          <w:color w:val="000000" w:themeColor="text1"/>
          <w:sz w:val="24"/>
          <w:szCs w:val="24"/>
        </w:rPr>
        <w:t>telaprevir</w:t>
      </w:r>
      <w:proofErr w:type="spellEnd"/>
      <w:r w:rsidRPr="00042FE3">
        <w:rPr>
          <w:rFonts w:ascii="Book Antiqua" w:hAnsi="Book Antiqua" w:cs="Times New Roman"/>
          <w:b/>
          <w:bCs/>
          <w:color w:val="000000" w:themeColor="text1"/>
          <w:sz w:val="24"/>
          <w:szCs w:val="24"/>
        </w:rPr>
        <w:t xml:space="preserve"> </w:t>
      </w:r>
      <w:r w:rsidRPr="00120D6E">
        <w:rPr>
          <w:rFonts w:ascii="Book Antiqua" w:hAnsi="Book Antiqua" w:cs="Times New Roman"/>
          <w:b/>
          <w:bCs/>
          <w:i/>
          <w:color w:val="000000" w:themeColor="text1"/>
          <w:sz w:val="24"/>
          <w:szCs w:val="24"/>
        </w:rPr>
        <w:t>vs</w:t>
      </w:r>
      <w:r w:rsidRPr="00042FE3">
        <w:rPr>
          <w:rFonts w:ascii="Book Antiqua" w:hAnsi="Book Antiqua" w:cs="Times New Roman"/>
          <w:b/>
          <w:bCs/>
          <w:color w:val="000000" w:themeColor="text1"/>
          <w:sz w:val="24"/>
          <w:szCs w:val="24"/>
        </w:rPr>
        <w:t xml:space="preserve"> </w:t>
      </w:r>
      <w:proofErr w:type="spellStart"/>
      <w:r w:rsidRPr="00042FE3">
        <w:rPr>
          <w:rFonts w:ascii="Book Antiqua" w:hAnsi="Book Antiqua" w:cs="Times New Roman"/>
          <w:b/>
          <w:bCs/>
          <w:color w:val="000000" w:themeColor="text1"/>
          <w:sz w:val="24"/>
          <w:szCs w:val="24"/>
        </w:rPr>
        <w:t>simeprevir</w:t>
      </w:r>
      <w:proofErr w:type="spellEnd"/>
      <w:r w:rsidRPr="00042FE3">
        <w:rPr>
          <w:rFonts w:ascii="Book Antiqua" w:hAnsi="Book Antiqua" w:cs="Times New Roman"/>
          <w:b/>
          <w:bCs/>
          <w:color w:val="000000" w:themeColor="text1"/>
          <w:sz w:val="24"/>
          <w:szCs w:val="24"/>
        </w:rPr>
        <w:t xml:space="preserve"> by propensity score matching</w:t>
      </w:r>
    </w:p>
    <w:p w14:paraId="3E68F736" w14:textId="77777777" w:rsidR="00DC5734" w:rsidRPr="00042FE3" w:rsidRDefault="00DC5734" w:rsidP="00172BC8">
      <w:pPr>
        <w:spacing w:line="360" w:lineRule="auto"/>
        <w:jc w:val="left"/>
        <w:rPr>
          <w:rFonts w:ascii="Book Antiqua" w:hAnsi="Book Antiqua" w:cs="Times New Roman"/>
          <w:color w:val="000000" w:themeColor="text1"/>
          <w:sz w:val="24"/>
          <w:szCs w:val="24"/>
        </w:rPr>
      </w:pPr>
    </w:p>
    <w:p w14:paraId="6C623A3F" w14:textId="7558C7D8" w:rsidR="00A14B3C" w:rsidRPr="00627B4F" w:rsidRDefault="00BC68A1" w:rsidP="004449A0">
      <w:pPr>
        <w:spacing w:line="360" w:lineRule="auto"/>
        <w:rPr>
          <w:rFonts w:ascii="Book Antiqua" w:hAnsi="Book Antiqua" w:cs="Times New Roman"/>
          <w:sz w:val="24"/>
          <w:szCs w:val="24"/>
          <w:highlight w:val="magenta"/>
        </w:rPr>
      </w:pPr>
      <w:proofErr w:type="spellStart"/>
      <w:r w:rsidRPr="00BC68A1">
        <w:rPr>
          <w:rFonts w:ascii="Book Antiqua" w:hAnsi="Book Antiqua" w:cs="Times New Roman"/>
          <w:kern w:val="0"/>
          <w:sz w:val="24"/>
          <w:szCs w:val="24"/>
        </w:rPr>
        <w:t>Fujii</w:t>
      </w:r>
      <w:proofErr w:type="spellEnd"/>
      <w:r w:rsidRPr="00042FE3">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 xml:space="preserve">H </w:t>
      </w:r>
      <w:r w:rsidRPr="00BC68A1">
        <w:rPr>
          <w:rFonts w:ascii="Book Antiqua" w:eastAsia="宋体" w:hAnsi="Book Antiqua" w:cs="Times New Roman" w:hint="eastAsia"/>
          <w:i/>
          <w:sz w:val="24"/>
          <w:szCs w:val="24"/>
          <w:lang w:eastAsia="zh-CN"/>
        </w:rPr>
        <w:t xml:space="preserve">et al. </w:t>
      </w:r>
      <w:r w:rsidR="0093704D" w:rsidRPr="00042FE3">
        <w:rPr>
          <w:rFonts w:ascii="Book Antiqua" w:hAnsi="Book Antiqua" w:cs="Times New Roman"/>
          <w:sz w:val="24"/>
          <w:szCs w:val="24"/>
        </w:rPr>
        <w:t xml:space="preserve">TVR </w:t>
      </w:r>
      <w:r w:rsidR="0093704D" w:rsidRPr="00BC68A1">
        <w:rPr>
          <w:rFonts w:ascii="Book Antiqua" w:hAnsi="Book Antiqua" w:cs="Times New Roman"/>
          <w:i/>
          <w:sz w:val="24"/>
          <w:szCs w:val="24"/>
        </w:rPr>
        <w:t>vs</w:t>
      </w:r>
      <w:r>
        <w:rPr>
          <w:rFonts w:ascii="Book Antiqua" w:hAnsi="Book Antiqua" w:cs="Times New Roman"/>
          <w:sz w:val="24"/>
          <w:szCs w:val="24"/>
        </w:rPr>
        <w:t xml:space="preserve"> SMV</w:t>
      </w:r>
      <w:r w:rsidR="00152C5C">
        <w:rPr>
          <w:rFonts w:ascii="Book Antiqua" w:hAnsi="Book Antiqua" w:cs="Times New Roman"/>
          <w:sz w:val="24"/>
          <w:szCs w:val="24"/>
        </w:rPr>
        <w:t>:</w:t>
      </w:r>
      <w:r w:rsidR="0093704D" w:rsidRPr="00042FE3">
        <w:rPr>
          <w:rFonts w:ascii="Book Antiqua" w:hAnsi="Book Antiqua" w:cs="Times New Roman"/>
          <w:sz w:val="24"/>
          <w:szCs w:val="24"/>
        </w:rPr>
        <w:t xml:space="preserve"> propensity score matching</w:t>
      </w:r>
    </w:p>
    <w:p w14:paraId="5CEA41FF" w14:textId="77777777" w:rsidR="00DC5734" w:rsidRPr="00042FE3" w:rsidRDefault="00DC5734" w:rsidP="004449A0">
      <w:pPr>
        <w:spacing w:line="360" w:lineRule="auto"/>
        <w:rPr>
          <w:rFonts w:ascii="Book Antiqua" w:hAnsi="Book Antiqua" w:cs="Times New Roman"/>
          <w:kern w:val="0"/>
          <w:sz w:val="24"/>
          <w:szCs w:val="24"/>
        </w:rPr>
      </w:pPr>
    </w:p>
    <w:p w14:paraId="0F61753B" w14:textId="6325B4C9" w:rsidR="0093704D" w:rsidRPr="001058DF" w:rsidRDefault="0093704D" w:rsidP="004449A0">
      <w:pPr>
        <w:spacing w:line="360" w:lineRule="auto"/>
        <w:rPr>
          <w:rFonts w:ascii="Book Antiqua" w:hAnsi="Book Antiqua" w:cs="Times New Roman"/>
          <w:b/>
          <w:kern w:val="0"/>
          <w:sz w:val="24"/>
          <w:szCs w:val="24"/>
        </w:rPr>
      </w:pPr>
      <w:r w:rsidRPr="001058DF">
        <w:rPr>
          <w:rFonts w:ascii="Book Antiqua" w:hAnsi="Book Antiqua" w:cs="Times New Roman"/>
          <w:b/>
          <w:kern w:val="0"/>
          <w:sz w:val="24"/>
          <w:szCs w:val="24"/>
        </w:rPr>
        <w:t xml:space="preserve">Hideki </w:t>
      </w:r>
      <w:proofErr w:type="spellStart"/>
      <w:r w:rsidRPr="001058DF">
        <w:rPr>
          <w:rFonts w:ascii="Book Antiqua" w:hAnsi="Book Antiqua" w:cs="Times New Roman"/>
          <w:b/>
          <w:kern w:val="0"/>
          <w:sz w:val="24"/>
          <w:szCs w:val="24"/>
        </w:rPr>
        <w:t>Fujii</w:t>
      </w:r>
      <w:proofErr w:type="spellEnd"/>
      <w:r w:rsidRPr="001058DF">
        <w:rPr>
          <w:rFonts w:ascii="Book Antiqua" w:hAnsi="Book Antiqua" w:cs="Times New Roman"/>
          <w:b/>
          <w:kern w:val="0"/>
          <w:sz w:val="24"/>
          <w:szCs w:val="24"/>
        </w:rPr>
        <w:t xml:space="preserve">, Takeshi Nishimura, Atsushi </w:t>
      </w:r>
      <w:proofErr w:type="spellStart"/>
      <w:r w:rsidRPr="001058DF">
        <w:rPr>
          <w:rFonts w:ascii="Book Antiqua" w:hAnsi="Book Antiqua" w:cs="Times New Roman"/>
          <w:b/>
          <w:kern w:val="0"/>
          <w:sz w:val="24"/>
          <w:szCs w:val="24"/>
        </w:rPr>
        <w:t>Umemura</w:t>
      </w:r>
      <w:proofErr w:type="spellEnd"/>
      <w:r w:rsidRPr="001058DF">
        <w:rPr>
          <w:rFonts w:ascii="Book Antiqua" w:hAnsi="Book Antiqua" w:cs="Times New Roman"/>
          <w:b/>
          <w:kern w:val="0"/>
          <w:sz w:val="24"/>
          <w:szCs w:val="24"/>
        </w:rPr>
        <w:t xml:space="preserve">, </w:t>
      </w:r>
      <w:proofErr w:type="spellStart"/>
      <w:r w:rsidRPr="001058DF">
        <w:rPr>
          <w:rFonts w:ascii="Book Antiqua" w:hAnsi="Book Antiqua" w:cs="Times New Roman"/>
          <w:b/>
          <w:kern w:val="0"/>
          <w:sz w:val="24"/>
          <w:szCs w:val="24"/>
        </w:rPr>
        <w:t>Taichiro</w:t>
      </w:r>
      <w:proofErr w:type="spellEnd"/>
      <w:r w:rsidRPr="001058DF">
        <w:rPr>
          <w:rFonts w:ascii="Book Antiqua" w:hAnsi="Book Antiqua" w:cs="Times New Roman"/>
          <w:b/>
          <w:kern w:val="0"/>
          <w:sz w:val="24"/>
          <w:szCs w:val="24"/>
        </w:rPr>
        <w:t xml:space="preserve"> Nishikawa, Kanji Yamaguchi, </w:t>
      </w:r>
      <w:proofErr w:type="spellStart"/>
      <w:r w:rsidRPr="001058DF">
        <w:rPr>
          <w:rFonts w:ascii="Book Antiqua" w:hAnsi="Book Antiqua" w:cs="Times New Roman"/>
          <w:b/>
          <w:kern w:val="0"/>
          <w:sz w:val="24"/>
          <w:szCs w:val="24"/>
        </w:rPr>
        <w:t>Michihisa</w:t>
      </w:r>
      <w:proofErr w:type="spellEnd"/>
      <w:r w:rsidRPr="001058DF">
        <w:rPr>
          <w:rFonts w:ascii="Book Antiqua" w:hAnsi="Book Antiqua" w:cs="Times New Roman"/>
          <w:b/>
          <w:kern w:val="0"/>
          <w:sz w:val="24"/>
          <w:szCs w:val="24"/>
        </w:rPr>
        <w:t xml:space="preserve"> </w:t>
      </w:r>
      <w:proofErr w:type="spellStart"/>
      <w:r w:rsidRPr="001058DF">
        <w:rPr>
          <w:rFonts w:ascii="Book Antiqua" w:hAnsi="Book Antiqua" w:cs="Times New Roman"/>
          <w:b/>
          <w:kern w:val="0"/>
          <w:sz w:val="24"/>
          <w:szCs w:val="24"/>
        </w:rPr>
        <w:t>Moriguchi</w:t>
      </w:r>
      <w:proofErr w:type="spellEnd"/>
      <w:r w:rsidRPr="001058DF">
        <w:rPr>
          <w:rFonts w:ascii="Book Antiqua" w:hAnsi="Book Antiqua" w:cs="Times New Roman"/>
          <w:b/>
          <w:kern w:val="0"/>
          <w:sz w:val="24"/>
          <w:szCs w:val="24"/>
        </w:rPr>
        <w:t xml:space="preserve">, Yoshio Sumida, Hironori </w:t>
      </w:r>
      <w:proofErr w:type="spellStart"/>
      <w:r w:rsidRPr="001058DF">
        <w:rPr>
          <w:rFonts w:ascii="Book Antiqua" w:hAnsi="Book Antiqua" w:cs="Times New Roman"/>
          <w:b/>
          <w:kern w:val="0"/>
          <w:sz w:val="24"/>
          <w:szCs w:val="24"/>
        </w:rPr>
        <w:t>Mitsuyoshi</w:t>
      </w:r>
      <w:proofErr w:type="spellEnd"/>
      <w:r w:rsidRPr="001058DF">
        <w:rPr>
          <w:rFonts w:ascii="Book Antiqua" w:hAnsi="Book Antiqua" w:cs="Times New Roman"/>
          <w:b/>
          <w:kern w:val="0"/>
          <w:sz w:val="24"/>
          <w:szCs w:val="24"/>
        </w:rPr>
        <w:t xml:space="preserve">, </w:t>
      </w:r>
      <w:proofErr w:type="spellStart"/>
      <w:r w:rsidRPr="001058DF">
        <w:rPr>
          <w:rFonts w:ascii="Book Antiqua" w:hAnsi="Book Antiqua" w:cs="Times New Roman"/>
          <w:b/>
          <w:kern w:val="0"/>
          <w:sz w:val="24"/>
          <w:szCs w:val="24"/>
        </w:rPr>
        <w:t>Chihiro</w:t>
      </w:r>
      <w:proofErr w:type="spellEnd"/>
      <w:r w:rsidRPr="001058DF">
        <w:rPr>
          <w:rFonts w:ascii="Book Antiqua" w:hAnsi="Book Antiqua" w:cs="Times New Roman"/>
          <w:b/>
          <w:kern w:val="0"/>
          <w:sz w:val="24"/>
          <w:szCs w:val="24"/>
        </w:rPr>
        <w:t xml:space="preserve"> </w:t>
      </w:r>
      <w:proofErr w:type="spellStart"/>
      <w:r w:rsidRPr="001058DF">
        <w:rPr>
          <w:rFonts w:ascii="Book Antiqua" w:hAnsi="Book Antiqua" w:cs="Times New Roman"/>
          <w:b/>
          <w:kern w:val="0"/>
          <w:sz w:val="24"/>
          <w:szCs w:val="24"/>
        </w:rPr>
        <w:t>Yokomizo</w:t>
      </w:r>
      <w:proofErr w:type="spellEnd"/>
      <w:r w:rsidRPr="001058DF">
        <w:rPr>
          <w:rFonts w:ascii="Book Antiqua" w:hAnsi="Book Antiqua" w:cs="Times New Roman"/>
          <w:b/>
          <w:kern w:val="0"/>
          <w:sz w:val="24"/>
          <w:szCs w:val="24"/>
        </w:rPr>
        <w:t xml:space="preserve">, </w:t>
      </w:r>
      <w:proofErr w:type="spellStart"/>
      <w:r w:rsidRPr="001058DF">
        <w:rPr>
          <w:rFonts w:ascii="Book Antiqua" w:hAnsi="Book Antiqua" w:cs="Times New Roman"/>
          <w:b/>
          <w:kern w:val="0"/>
          <w:sz w:val="24"/>
          <w:szCs w:val="24"/>
        </w:rPr>
        <w:t>Saiyu</w:t>
      </w:r>
      <w:proofErr w:type="spellEnd"/>
      <w:r w:rsidRPr="001058DF">
        <w:rPr>
          <w:rFonts w:ascii="Book Antiqua" w:hAnsi="Book Antiqua" w:cs="Times New Roman"/>
          <w:b/>
          <w:kern w:val="0"/>
          <w:sz w:val="24"/>
          <w:szCs w:val="24"/>
        </w:rPr>
        <w:t xml:space="preserve"> Tanaka, Hiroki Ishikawa, </w:t>
      </w:r>
      <w:r w:rsidRPr="001058DF">
        <w:rPr>
          <w:rFonts w:ascii="Book Antiqua" w:hAnsi="Book Antiqua" w:cs="Times New Roman"/>
          <w:b/>
          <w:color w:val="000000" w:themeColor="text1"/>
          <w:kern w:val="0"/>
          <w:sz w:val="24"/>
          <w:szCs w:val="24"/>
        </w:rPr>
        <w:t xml:space="preserve">Kenichi </w:t>
      </w:r>
      <w:proofErr w:type="spellStart"/>
      <w:r w:rsidRPr="001058DF">
        <w:rPr>
          <w:rFonts w:ascii="Book Antiqua" w:hAnsi="Book Antiqua" w:cs="Times New Roman"/>
          <w:b/>
          <w:color w:val="000000" w:themeColor="text1"/>
          <w:kern w:val="0"/>
          <w:sz w:val="24"/>
          <w:szCs w:val="24"/>
        </w:rPr>
        <w:t>Nishioji</w:t>
      </w:r>
      <w:proofErr w:type="spellEnd"/>
      <w:r w:rsidRPr="001058DF">
        <w:rPr>
          <w:rFonts w:ascii="Book Antiqua" w:hAnsi="Book Antiqua" w:cs="Times New Roman"/>
          <w:b/>
          <w:color w:val="000000" w:themeColor="text1"/>
          <w:kern w:val="0"/>
          <w:sz w:val="24"/>
          <w:szCs w:val="24"/>
        </w:rPr>
        <w:t xml:space="preserve">, Hiroyuki Kimura, </w:t>
      </w:r>
      <w:proofErr w:type="spellStart"/>
      <w:r w:rsidRPr="001058DF">
        <w:rPr>
          <w:rFonts w:ascii="Book Antiqua" w:hAnsi="Book Antiqua" w:cs="Times New Roman"/>
          <w:b/>
          <w:color w:val="000000" w:themeColor="text1"/>
          <w:kern w:val="0"/>
          <w:sz w:val="24"/>
          <w:szCs w:val="24"/>
        </w:rPr>
        <w:t>Shiro</w:t>
      </w:r>
      <w:proofErr w:type="spellEnd"/>
      <w:r w:rsidRPr="001058DF">
        <w:rPr>
          <w:rFonts w:ascii="Book Antiqua" w:hAnsi="Book Antiqua" w:cs="Times New Roman"/>
          <w:b/>
          <w:color w:val="000000" w:themeColor="text1"/>
          <w:kern w:val="0"/>
          <w:sz w:val="24"/>
          <w:szCs w:val="24"/>
        </w:rPr>
        <w:t xml:space="preserve"> </w:t>
      </w:r>
      <w:proofErr w:type="spellStart"/>
      <w:r w:rsidRPr="001058DF">
        <w:rPr>
          <w:rFonts w:ascii="Book Antiqua" w:hAnsi="Book Antiqua" w:cs="Times New Roman"/>
          <w:b/>
          <w:color w:val="000000" w:themeColor="text1"/>
          <w:kern w:val="0"/>
          <w:sz w:val="24"/>
          <w:szCs w:val="24"/>
        </w:rPr>
        <w:t>Takami</w:t>
      </w:r>
      <w:proofErr w:type="spellEnd"/>
      <w:r w:rsidRPr="001058DF">
        <w:rPr>
          <w:rFonts w:ascii="Book Antiqua" w:hAnsi="Book Antiqua" w:cs="Times New Roman"/>
          <w:b/>
          <w:color w:val="000000" w:themeColor="text1"/>
          <w:kern w:val="0"/>
          <w:sz w:val="24"/>
          <w:szCs w:val="24"/>
        </w:rPr>
        <w:t xml:space="preserve">, </w:t>
      </w:r>
      <w:proofErr w:type="spellStart"/>
      <w:r w:rsidRPr="001058DF">
        <w:rPr>
          <w:rFonts w:ascii="Book Antiqua" w:hAnsi="Book Antiqua" w:cs="Times New Roman"/>
          <w:b/>
          <w:color w:val="000000" w:themeColor="text1"/>
          <w:kern w:val="0"/>
          <w:sz w:val="24"/>
          <w:szCs w:val="24"/>
        </w:rPr>
        <w:t>Yasuyuki</w:t>
      </w:r>
      <w:proofErr w:type="spellEnd"/>
      <w:r w:rsidRPr="001058DF">
        <w:rPr>
          <w:rFonts w:ascii="Book Antiqua" w:hAnsi="Book Antiqua" w:cs="Times New Roman"/>
          <w:b/>
          <w:color w:val="000000" w:themeColor="text1"/>
          <w:kern w:val="0"/>
          <w:sz w:val="24"/>
          <w:szCs w:val="24"/>
        </w:rPr>
        <w:t xml:space="preserve"> Nagao, Takayu</w:t>
      </w:r>
      <w:r w:rsidRPr="001058DF">
        <w:rPr>
          <w:rFonts w:ascii="Book Antiqua" w:hAnsi="Book Antiqua" w:cs="Times New Roman"/>
          <w:b/>
          <w:kern w:val="0"/>
          <w:sz w:val="24"/>
          <w:szCs w:val="24"/>
        </w:rPr>
        <w:t xml:space="preserve">ki Takeuchi, </w:t>
      </w:r>
      <w:proofErr w:type="spellStart"/>
      <w:r w:rsidRPr="001058DF">
        <w:rPr>
          <w:rFonts w:ascii="Book Antiqua" w:hAnsi="Book Antiqua" w:cs="Times New Roman"/>
          <w:b/>
          <w:kern w:val="0"/>
          <w:sz w:val="24"/>
          <w:szCs w:val="24"/>
        </w:rPr>
        <w:t>Toshihide</w:t>
      </w:r>
      <w:proofErr w:type="spellEnd"/>
      <w:r w:rsidRPr="001058DF">
        <w:rPr>
          <w:rFonts w:ascii="Book Antiqua" w:hAnsi="Book Antiqua" w:cs="Times New Roman"/>
          <w:b/>
          <w:kern w:val="0"/>
          <w:sz w:val="24"/>
          <w:szCs w:val="24"/>
        </w:rPr>
        <w:t xml:space="preserve"> </w:t>
      </w:r>
      <w:proofErr w:type="spellStart"/>
      <w:r w:rsidRPr="001058DF">
        <w:rPr>
          <w:rFonts w:ascii="Book Antiqua" w:hAnsi="Book Antiqua" w:cs="Times New Roman"/>
          <w:b/>
          <w:kern w:val="0"/>
          <w:sz w:val="24"/>
          <w:szCs w:val="24"/>
        </w:rPr>
        <w:t>Shima</w:t>
      </w:r>
      <w:proofErr w:type="spellEnd"/>
      <w:r w:rsidRPr="001058DF">
        <w:rPr>
          <w:rFonts w:ascii="Book Antiqua" w:hAnsi="Book Antiqua" w:cs="Times New Roman"/>
          <w:b/>
          <w:kern w:val="0"/>
          <w:sz w:val="24"/>
          <w:szCs w:val="24"/>
        </w:rPr>
        <w:t xml:space="preserve">, </w:t>
      </w:r>
      <w:r w:rsidR="007D20E7" w:rsidRPr="001058DF">
        <w:rPr>
          <w:rFonts w:ascii="Book Antiqua" w:hAnsi="Book Antiqua" w:cs="Times New Roman"/>
          <w:b/>
          <w:kern w:val="0"/>
          <w:sz w:val="24"/>
          <w:szCs w:val="24"/>
        </w:rPr>
        <w:t xml:space="preserve">Yoshihiko </w:t>
      </w:r>
      <w:proofErr w:type="spellStart"/>
      <w:r w:rsidR="007D20E7" w:rsidRPr="001058DF">
        <w:rPr>
          <w:rFonts w:ascii="Book Antiqua" w:hAnsi="Book Antiqua" w:cs="Times New Roman"/>
          <w:b/>
          <w:kern w:val="0"/>
          <w:sz w:val="24"/>
          <w:szCs w:val="24"/>
        </w:rPr>
        <w:t>Sawa</w:t>
      </w:r>
      <w:proofErr w:type="spellEnd"/>
      <w:r w:rsidR="007D20E7" w:rsidRPr="001058DF">
        <w:rPr>
          <w:rFonts w:ascii="Book Antiqua" w:hAnsi="Book Antiqua" w:cs="Times New Roman"/>
          <w:b/>
          <w:kern w:val="0"/>
          <w:sz w:val="24"/>
          <w:szCs w:val="24"/>
        </w:rPr>
        <w:t xml:space="preserve">, </w:t>
      </w:r>
      <w:r w:rsidRPr="001058DF">
        <w:rPr>
          <w:rFonts w:ascii="Book Antiqua" w:hAnsi="Book Antiqua" w:cs="Times New Roman"/>
          <w:b/>
          <w:kern w:val="0"/>
          <w:sz w:val="24"/>
          <w:szCs w:val="24"/>
        </w:rPr>
        <w:t xml:space="preserve">Masahito Minami, </w:t>
      </w:r>
      <w:proofErr w:type="spellStart"/>
      <w:r w:rsidRPr="001058DF">
        <w:rPr>
          <w:rFonts w:ascii="Book Antiqua" w:hAnsi="Book Antiqua" w:cs="Times New Roman"/>
          <w:b/>
          <w:kern w:val="0"/>
          <w:sz w:val="24"/>
          <w:szCs w:val="24"/>
        </w:rPr>
        <w:t>Kohichiroh</w:t>
      </w:r>
      <w:proofErr w:type="spellEnd"/>
      <w:r w:rsidRPr="001058DF">
        <w:rPr>
          <w:rFonts w:ascii="Book Antiqua" w:hAnsi="Book Antiqua" w:cs="Times New Roman"/>
          <w:b/>
          <w:kern w:val="0"/>
          <w:sz w:val="24"/>
          <w:szCs w:val="24"/>
        </w:rPr>
        <w:t xml:space="preserve"> </w:t>
      </w:r>
      <w:proofErr w:type="spellStart"/>
      <w:r w:rsidRPr="001058DF">
        <w:rPr>
          <w:rFonts w:ascii="Book Antiqua" w:hAnsi="Book Antiqua" w:cs="Times New Roman"/>
          <w:b/>
          <w:kern w:val="0"/>
          <w:sz w:val="24"/>
          <w:szCs w:val="24"/>
        </w:rPr>
        <w:t>Yasui</w:t>
      </w:r>
      <w:proofErr w:type="spellEnd"/>
      <w:r w:rsidRPr="001058DF">
        <w:rPr>
          <w:rFonts w:ascii="Book Antiqua" w:hAnsi="Book Antiqua" w:cs="Times New Roman"/>
          <w:b/>
          <w:kern w:val="0"/>
          <w:sz w:val="24"/>
          <w:szCs w:val="24"/>
        </w:rPr>
        <w:t xml:space="preserve">, </w:t>
      </w:r>
      <w:proofErr w:type="spellStart"/>
      <w:r w:rsidRPr="001058DF">
        <w:rPr>
          <w:rFonts w:ascii="Book Antiqua" w:hAnsi="Book Antiqua" w:cs="Times New Roman"/>
          <w:b/>
          <w:kern w:val="0"/>
          <w:sz w:val="24"/>
          <w:szCs w:val="24"/>
        </w:rPr>
        <w:t>Yoshito</w:t>
      </w:r>
      <w:proofErr w:type="spellEnd"/>
      <w:r w:rsidRPr="001058DF">
        <w:rPr>
          <w:rFonts w:ascii="Book Antiqua" w:hAnsi="Book Antiqua" w:cs="Times New Roman"/>
          <w:b/>
          <w:kern w:val="0"/>
          <w:sz w:val="24"/>
          <w:szCs w:val="24"/>
        </w:rPr>
        <w:t xml:space="preserve"> Itoh</w:t>
      </w:r>
    </w:p>
    <w:p w14:paraId="28DB131B" w14:textId="77777777" w:rsidR="0093704D" w:rsidRPr="00042FE3" w:rsidRDefault="0093704D" w:rsidP="004449A0">
      <w:pPr>
        <w:spacing w:line="360" w:lineRule="auto"/>
        <w:rPr>
          <w:rFonts w:ascii="Book Antiqua" w:hAnsi="Book Antiqua" w:cs="Times New Roman"/>
          <w:kern w:val="0"/>
          <w:sz w:val="24"/>
          <w:szCs w:val="24"/>
        </w:rPr>
      </w:pPr>
    </w:p>
    <w:p w14:paraId="6BDAA151" w14:textId="212B3931" w:rsidR="0093704D" w:rsidRPr="00042FE3" w:rsidRDefault="00145FED" w:rsidP="004449A0">
      <w:pPr>
        <w:spacing w:line="360" w:lineRule="auto"/>
        <w:rPr>
          <w:rFonts w:ascii="Book Antiqua" w:hAnsi="Book Antiqua" w:cs="Times New Roman"/>
          <w:kern w:val="0"/>
          <w:sz w:val="24"/>
          <w:szCs w:val="24"/>
        </w:rPr>
      </w:pPr>
      <w:r w:rsidRPr="00042FE3">
        <w:rPr>
          <w:rFonts w:ascii="Book Antiqua" w:hAnsi="Book Antiqua" w:cs="Times New Roman"/>
          <w:b/>
          <w:kern w:val="0"/>
          <w:sz w:val="24"/>
          <w:szCs w:val="24"/>
        </w:rPr>
        <w:t xml:space="preserve">Hideki </w:t>
      </w:r>
      <w:proofErr w:type="spellStart"/>
      <w:r w:rsidRPr="00042FE3">
        <w:rPr>
          <w:rFonts w:ascii="Book Antiqua" w:hAnsi="Book Antiqua" w:cs="Times New Roman"/>
          <w:b/>
          <w:kern w:val="0"/>
          <w:sz w:val="24"/>
          <w:szCs w:val="24"/>
        </w:rPr>
        <w:t>Fujii</w:t>
      </w:r>
      <w:proofErr w:type="spellEnd"/>
      <w:r w:rsidRPr="00042FE3">
        <w:rPr>
          <w:rFonts w:ascii="Book Antiqua" w:hAnsi="Book Antiqua" w:cs="Times New Roman"/>
          <w:b/>
          <w:kern w:val="0"/>
          <w:sz w:val="24"/>
          <w:szCs w:val="24"/>
        </w:rPr>
        <w:t xml:space="preserve">, Takeshi Nishimura, Atsushi </w:t>
      </w:r>
      <w:proofErr w:type="spellStart"/>
      <w:r w:rsidRPr="00042FE3">
        <w:rPr>
          <w:rFonts w:ascii="Book Antiqua" w:hAnsi="Book Antiqua" w:cs="Times New Roman"/>
          <w:b/>
          <w:kern w:val="0"/>
          <w:sz w:val="24"/>
          <w:szCs w:val="24"/>
        </w:rPr>
        <w:t>Umemura</w:t>
      </w:r>
      <w:proofErr w:type="spellEnd"/>
      <w:r w:rsidRPr="00042FE3">
        <w:rPr>
          <w:rFonts w:ascii="Book Antiqua" w:hAnsi="Book Antiqua" w:cs="Times New Roman"/>
          <w:b/>
          <w:kern w:val="0"/>
          <w:sz w:val="24"/>
          <w:szCs w:val="24"/>
        </w:rPr>
        <w:t xml:space="preserve">, </w:t>
      </w:r>
      <w:proofErr w:type="spellStart"/>
      <w:r w:rsidRPr="00042FE3">
        <w:rPr>
          <w:rFonts w:ascii="Book Antiqua" w:hAnsi="Book Antiqua" w:cs="Times New Roman"/>
          <w:b/>
          <w:kern w:val="0"/>
          <w:sz w:val="24"/>
          <w:szCs w:val="24"/>
        </w:rPr>
        <w:t>Taichiro</w:t>
      </w:r>
      <w:proofErr w:type="spellEnd"/>
      <w:r w:rsidRPr="00042FE3">
        <w:rPr>
          <w:rFonts w:ascii="Book Antiqua" w:hAnsi="Book Antiqua" w:cs="Times New Roman"/>
          <w:b/>
          <w:kern w:val="0"/>
          <w:sz w:val="24"/>
          <w:szCs w:val="24"/>
        </w:rPr>
        <w:t xml:space="preserve"> Nishikawa, Kanji Yamaguchi, </w:t>
      </w:r>
      <w:proofErr w:type="spellStart"/>
      <w:r w:rsidRPr="00042FE3">
        <w:rPr>
          <w:rFonts w:ascii="Book Antiqua" w:hAnsi="Book Antiqua" w:cs="Times New Roman"/>
          <w:b/>
          <w:kern w:val="0"/>
          <w:sz w:val="24"/>
          <w:szCs w:val="24"/>
        </w:rPr>
        <w:t>Michihisa</w:t>
      </w:r>
      <w:proofErr w:type="spellEnd"/>
      <w:r w:rsidRPr="00042FE3">
        <w:rPr>
          <w:rFonts w:ascii="Book Antiqua" w:hAnsi="Book Antiqua" w:cs="Times New Roman"/>
          <w:b/>
          <w:kern w:val="0"/>
          <w:sz w:val="24"/>
          <w:szCs w:val="24"/>
        </w:rPr>
        <w:t xml:space="preserve"> </w:t>
      </w:r>
      <w:proofErr w:type="spellStart"/>
      <w:r w:rsidRPr="00042FE3">
        <w:rPr>
          <w:rFonts w:ascii="Book Antiqua" w:hAnsi="Book Antiqua" w:cs="Times New Roman"/>
          <w:b/>
          <w:kern w:val="0"/>
          <w:sz w:val="24"/>
          <w:szCs w:val="24"/>
        </w:rPr>
        <w:t>Moriguchi</w:t>
      </w:r>
      <w:proofErr w:type="spellEnd"/>
      <w:r w:rsidRPr="00042FE3">
        <w:rPr>
          <w:rFonts w:ascii="Book Antiqua" w:hAnsi="Book Antiqua" w:cs="Times New Roman"/>
          <w:b/>
          <w:kern w:val="0"/>
          <w:sz w:val="24"/>
          <w:szCs w:val="24"/>
        </w:rPr>
        <w:t xml:space="preserve">, Yoshio Sumida, Hironori </w:t>
      </w:r>
      <w:proofErr w:type="spellStart"/>
      <w:r w:rsidRPr="00042FE3">
        <w:rPr>
          <w:rFonts w:ascii="Book Antiqua" w:hAnsi="Book Antiqua" w:cs="Times New Roman"/>
          <w:b/>
          <w:kern w:val="0"/>
          <w:sz w:val="24"/>
          <w:szCs w:val="24"/>
        </w:rPr>
        <w:t>Mitsuyoshi</w:t>
      </w:r>
      <w:proofErr w:type="spellEnd"/>
      <w:r w:rsidRPr="00042FE3">
        <w:rPr>
          <w:rFonts w:ascii="Book Antiqua" w:hAnsi="Book Antiqua" w:cs="Times New Roman"/>
          <w:b/>
          <w:kern w:val="0"/>
          <w:sz w:val="24"/>
          <w:szCs w:val="24"/>
        </w:rPr>
        <w:t xml:space="preserve">, Masahito Minami, </w:t>
      </w:r>
      <w:proofErr w:type="spellStart"/>
      <w:r w:rsidRPr="00042FE3">
        <w:rPr>
          <w:rFonts w:ascii="Book Antiqua" w:hAnsi="Book Antiqua" w:cs="Times New Roman"/>
          <w:b/>
          <w:kern w:val="0"/>
          <w:sz w:val="24"/>
          <w:szCs w:val="24"/>
        </w:rPr>
        <w:t>Kohichiroh</w:t>
      </w:r>
      <w:proofErr w:type="spellEnd"/>
      <w:r w:rsidRPr="00042FE3">
        <w:rPr>
          <w:rFonts w:ascii="Book Antiqua" w:hAnsi="Book Antiqua" w:cs="Times New Roman"/>
          <w:b/>
          <w:kern w:val="0"/>
          <w:sz w:val="24"/>
          <w:szCs w:val="24"/>
        </w:rPr>
        <w:t xml:space="preserve"> </w:t>
      </w:r>
      <w:proofErr w:type="spellStart"/>
      <w:r w:rsidRPr="00042FE3">
        <w:rPr>
          <w:rFonts w:ascii="Book Antiqua" w:hAnsi="Book Antiqua" w:cs="Times New Roman"/>
          <w:b/>
          <w:kern w:val="0"/>
          <w:sz w:val="24"/>
          <w:szCs w:val="24"/>
        </w:rPr>
        <w:t>Yasui</w:t>
      </w:r>
      <w:proofErr w:type="spellEnd"/>
      <w:r w:rsidRPr="00042FE3">
        <w:rPr>
          <w:rFonts w:ascii="Book Antiqua" w:hAnsi="Book Antiqua" w:cs="Times New Roman"/>
          <w:b/>
          <w:kern w:val="0"/>
          <w:sz w:val="24"/>
          <w:szCs w:val="24"/>
        </w:rPr>
        <w:t xml:space="preserve">, </w:t>
      </w:r>
      <w:proofErr w:type="spellStart"/>
      <w:r w:rsidRPr="00042FE3">
        <w:rPr>
          <w:rFonts w:ascii="Book Antiqua" w:hAnsi="Book Antiqua" w:cs="Times New Roman"/>
          <w:b/>
          <w:kern w:val="0"/>
          <w:sz w:val="24"/>
          <w:szCs w:val="24"/>
        </w:rPr>
        <w:t>Yoshito</w:t>
      </w:r>
      <w:proofErr w:type="spellEnd"/>
      <w:r w:rsidRPr="00042FE3">
        <w:rPr>
          <w:rFonts w:ascii="Book Antiqua" w:hAnsi="Book Antiqua" w:cs="Times New Roman"/>
          <w:b/>
          <w:kern w:val="0"/>
          <w:sz w:val="24"/>
          <w:szCs w:val="24"/>
        </w:rPr>
        <w:t xml:space="preserve"> Itoh</w:t>
      </w:r>
      <w:r w:rsidRPr="00042FE3">
        <w:rPr>
          <w:rFonts w:ascii="Book Antiqua" w:hAnsi="Book Antiqua" w:cs="Times New Roman"/>
          <w:kern w:val="0"/>
          <w:sz w:val="24"/>
          <w:szCs w:val="24"/>
        </w:rPr>
        <w:t>, Department of Molecular Gastroenterology and Hepatology, Kyoto Prefectural University of Medicine, Kyoto 6028566, Japan</w:t>
      </w:r>
    </w:p>
    <w:p w14:paraId="123DD902" w14:textId="77777777" w:rsidR="00145FED" w:rsidRPr="00042FE3" w:rsidRDefault="00145FED" w:rsidP="004449A0">
      <w:pPr>
        <w:spacing w:line="360" w:lineRule="auto"/>
        <w:rPr>
          <w:rFonts w:ascii="Book Antiqua" w:hAnsi="Book Antiqua" w:cs="Times New Roman"/>
          <w:kern w:val="0"/>
          <w:sz w:val="24"/>
          <w:szCs w:val="24"/>
        </w:rPr>
      </w:pPr>
    </w:p>
    <w:p w14:paraId="1A522EBF" w14:textId="2690D18A" w:rsidR="00145FED" w:rsidRPr="00042FE3" w:rsidRDefault="00145FED" w:rsidP="004449A0">
      <w:pPr>
        <w:spacing w:line="360" w:lineRule="auto"/>
        <w:rPr>
          <w:rFonts w:ascii="Book Antiqua" w:hAnsi="Book Antiqua" w:cs="Times New Roman"/>
          <w:kern w:val="0"/>
          <w:sz w:val="24"/>
          <w:szCs w:val="24"/>
        </w:rPr>
      </w:pPr>
      <w:r w:rsidRPr="00042FE3">
        <w:rPr>
          <w:rFonts w:ascii="Book Antiqua" w:hAnsi="Book Antiqua" w:cs="Times New Roman"/>
          <w:b/>
          <w:kern w:val="0"/>
          <w:sz w:val="24"/>
          <w:szCs w:val="24"/>
        </w:rPr>
        <w:t xml:space="preserve">Hideki </w:t>
      </w:r>
      <w:proofErr w:type="spellStart"/>
      <w:r w:rsidRPr="00042FE3">
        <w:rPr>
          <w:rFonts w:ascii="Book Antiqua" w:hAnsi="Book Antiqua" w:cs="Times New Roman"/>
          <w:b/>
          <w:kern w:val="0"/>
          <w:sz w:val="24"/>
          <w:szCs w:val="24"/>
        </w:rPr>
        <w:t>Fujii</w:t>
      </w:r>
      <w:proofErr w:type="spellEnd"/>
      <w:r w:rsidRPr="00042FE3">
        <w:rPr>
          <w:rFonts w:ascii="Book Antiqua" w:hAnsi="Book Antiqua" w:cs="Times New Roman"/>
          <w:b/>
          <w:kern w:val="0"/>
          <w:sz w:val="24"/>
          <w:szCs w:val="24"/>
        </w:rPr>
        <w:t>, Hiroyuki Kimura</w:t>
      </w:r>
      <w:r w:rsidRPr="00042FE3">
        <w:rPr>
          <w:rFonts w:ascii="Book Antiqua" w:hAnsi="Book Antiqua" w:cs="Times New Roman"/>
          <w:kern w:val="0"/>
          <w:sz w:val="24"/>
          <w:szCs w:val="24"/>
        </w:rPr>
        <w:t xml:space="preserve">, Department of Gastroenterology, Japanese </w:t>
      </w:r>
      <w:r w:rsidRPr="00042FE3">
        <w:rPr>
          <w:rFonts w:ascii="Book Antiqua" w:hAnsi="Book Antiqua" w:cs="Times New Roman"/>
          <w:kern w:val="0"/>
          <w:sz w:val="24"/>
          <w:szCs w:val="24"/>
        </w:rPr>
        <w:lastRenderedPageBreak/>
        <w:t>Red Cross Kyoto Daiichi Hospital, Kyoto 6050981, Japan</w:t>
      </w:r>
    </w:p>
    <w:p w14:paraId="1CC35C9F" w14:textId="77777777" w:rsidR="00145FED" w:rsidRPr="00042FE3" w:rsidRDefault="00145FED" w:rsidP="004449A0">
      <w:pPr>
        <w:spacing w:line="360" w:lineRule="auto"/>
        <w:rPr>
          <w:rFonts w:ascii="Book Antiqua" w:hAnsi="Book Antiqua" w:cs="Times New Roman"/>
          <w:kern w:val="0"/>
          <w:sz w:val="24"/>
          <w:szCs w:val="24"/>
        </w:rPr>
      </w:pPr>
    </w:p>
    <w:p w14:paraId="0DC5102A" w14:textId="04C3A140" w:rsidR="00145FED" w:rsidRPr="00042FE3" w:rsidRDefault="00145FED" w:rsidP="004449A0">
      <w:pPr>
        <w:spacing w:line="360" w:lineRule="auto"/>
        <w:rPr>
          <w:rFonts w:ascii="Book Antiqua" w:hAnsi="Book Antiqua" w:cs="Times New Roman"/>
          <w:kern w:val="0"/>
          <w:sz w:val="24"/>
          <w:szCs w:val="24"/>
        </w:rPr>
      </w:pPr>
      <w:r w:rsidRPr="00042FE3">
        <w:rPr>
          <w:rFonts w:ascii="Book Antiqua" w:hAnsi="Book Antiqua" w:cs="Times New Roman"/>
          <w:b/>
          <w:kern w:val="0"/>
          <w:sz w:val="24"/>
          <w:szCs w:val="24"/>
        </w:rPr>
        <w:t>Takeshi Nishimura</w:t>
      </w:r>
      <w:r w:rsidRPr="00042FE3">
        <w:rPr>
          <w:rFonts w:ascii="Book Antiqua" w:hAnsi="Book Antiqua" w:cs="Times New Roman"/>
          <w:kern w:val="0"/>
          <w:sz w:val="24"/>
          <w:szCs w:val="24"/>
        </w:rPr>
        <w:t>, Department of Gastroenterology and Hepatology, North Medical Center, Kyoto Prefectural University of Medicine, Kyoto 6292261, Japan</w:t>
      </w:r>
    </w:p>
    <w:p w14:paraId="1BAE68C7" w14:textId="77777777" w:rsidR="00145FED" w:rsidRPr="00042FE3" w:rsidRDefault="00145FED" w:rsidP="004449A0">
      <w:pPr>
        <w:spacing w:line="360" w:lineRule="auto"/>
        <w:rPr>
          <w:rFonts w:ascii="Book Antiqua" w:hAnsi="Book Antiqua" w:cs="Times New Roman"/>
          <w:sz w:val="24"/>
          <w:szCs w:val="24"/>
        </w:rPr>
      </w:pPr>
    </w:p>
    <w:p w14:paraId="76BC9EFF" w14:textId="08CB7DBE" w:rsidR="00145FED" w:rsidRPr="00042FE3" w:rsidRDefault="00145FED" w:rsidP="004449A0">
      <w:pPr>
        <w:spacing w:line="360" w:lineRule="auto"/>
        <w:rPr>
          <w:rFonts w:ascii="Book Antiqua" w:hAnsi="Book Antiqua" w:cs="Times New Roman"/>
          <w:sz w:val="24"/>
          <w:szCs w:val="24"/>
        </w:rPr>
      </w:pPr>
      <w:proofErr w:type="spellStart"/>
      <w:r w:rsidRPr="00042FE3">
        <w:rPr>
          <w:rFonts w:ascii="Book Antiqua" w:hAnsi="Book Antiqua" w:cs="Times New Roman"/>
          <w:b/>
          <w:sz w:val="24"/>
          <w:szCs w:val="24"/>
        </w:rPr>
        <w:t>Chihiro</w:t>
      </w:r>
      <w:proofErr w:type="spellEnd"/>
      <w:r w:rsidRPr="00042FE3">
        <w:rPr>
          <w:rFonts w:ascii="Book Antiqua" w:hAnsi="Book Antiqua" w:cs="Times New Roman"/>
          <w:b/>
          <w:sz w:val="24"/>
          <w:szCs w:val="24"/>
        </w:rPr>
        <w:t xml:space="preserve"> </w:t>
      </w:r>
      <w:proofErr w:type="spellStart"/>
      <w:r w:rsidRPr="00042FE3">
        <w:rPr>
          <w:rFonts w:ascii="Book Antiqua" w:hAnsi="Book Antiqua" w:cs="Times New Roman"/>
          <w:b/>
          <w:sz w:val="24"/>
          <w:szCs w:val="24"/>
        </w:rPr>
        <w:t>Yokomizo</w:t>
      </w:r>
      <w:proofErr w:type="spellEnd"/>
      <w:r w:rsidRPr="00042FE3">
        <w:rPr>
          <w:rFonts w:ascii="Book Antiqua" w:hAnsi="Book Antiqua" w:cs="Times New Roman"/>
          <w:sz w:val="24"/>
          <w:szCs w:val="24"/>
        </w:rPr>
        <w:t>, Department of Gastroenterology, Osaka General Hospital of West Japan Railway Company, Osaka 5450053, Japan</w:t>
      </w:r>
    </w:p>
    <w:p w14:paraId="3A2D7F4C" w14:textId="77777777" w:rsidR="00954985" w:rsidRDefault="00954985" w:rsidP="004449A0">
      <w:pPr>
        <w:spacing w:line="360" w:lineRule="auto"/>
        <w:rPr>
          <w:rFonts w:ascii="Book Antiqua" w:hAnsi="Book Antiqua" w:cs="Times New Roman"/>
          <w:sz w:val="24"/>
          <w:szCs w:val="24"/>
        </w:rPr>
      </w:pPr>
    </w:p>
    <w:p w14:paraId="1D3C4914" w14:textId="047C5CFD" w:rsidR="0075609C" w:rsidRPr="00042FE3" w:rsidRDefault="0075609C" w:rsidP="004449A0">
      <w:pPr>
        <w:spacing w:line="360" w:lineRule="auto"/>
        <w:rPr>
          <w:rFonts w:ascii="Book Antiqua" w:hAnsi="Book Antiqua" w:cs="Times New Roman"/>
          <w:sz w:val="24"/>
          <w:szCs w:val="24"/>
        </w:rPr>
      </w:pPr>
      <w:proofErr w:type="spellStart"/>
      <w:r w:rsidRPr="00954985">
        <w:rPr>
          <w:rFonts w:ascii="Book Antiqua" w:hAnsi="Book Antiqua" w:cs="Times New Roman"/>
          <w:b/>
          <w:sz w:val="24"/>
          <w:szCs w:val="24"/>
        </w:rPr>
        <w:t>Saiyu</w:t>
      </w:r>
      <w:proofErr w:type="spellEnd"/>
      <w:r w:rsidRPr="00954985">
        <w:rPr>
          <w:rFonts w:ascii="Book Antiqua" w:hAnsi="Book Antiqua" w:cs="Times New Roman"/>
          <w:b/>
          <w:sz w:val="24"/>
          <w:szCs w:val="24"/>
        </w:rPr>
        <w:t xml:space="preserve"> Tanaka</w:t>
      </w:r>
      <w:r w:rsidRPr="00042FE3">
        <w:rPr>
          <w:rFonts w:ascii="Book Antiqua" w:hAnsi="Book Antiqua" w:cs="Times New Roman"/>
          <w:sz w:val="24"/>
          <w:szCs w:val="24"/>
        </w:rPr>
        <w:t xml:space="preserve">, </w:t>
      </w:r>
      <w:r w:rsidR="009111A0" w:rsidRPr="00042FE3">
        <w:rPr>
          <w:rFonts w:ascii="Book Antiqua" w:hAnsi="Book Antiqua" w:cs="Times New Roman"/>
          <w:sz w:val="24"/>
          <w:szCs w:val="24"/>
        </w:rPr>
        <w:t>Center for Digestive and Liver Diseases, Nara City Hospital, Nara 6308305, Japan</w:t>
      </w:r>
    </w:p>
    <w:p w14:paraId="34F2DE1F" w14:textId="77777777" w:rsidR="0075609C" w:rsidRPr="00042FE3" w:rsidRDefault="0075609C" w:rsidP="004449A0">
      <w:pPr>
        <w:spacing w:line="360" w:lineRule="auto"/>
        <w:rPr>
          <w:rFonts w:ascii="Book Antiqua" w:hAnsi="Book Antiqua" w:cs="Times New Roman"/>
          <w:sz w:val="24"/>
          <w:szCs w:val="24"/>
        </w:rPr>
      </w:pPr>
    </w:p>
    <w:p w14:paraId="3207FDD9" w14:textId="371497DF" w:rsidR="009111A0" w:rsidRPr="00042FE3" w:rsidRDefault="0075609C" w:rsidP="004449A0">
      <w:pPr>
        <w:spacing w:line="360" w:lineRule="auto"/>
        <w:rPr>
          <w:rFonts w:ascii="Book Antiqua" w:hAnsi="Book Antiqua" w:cs="Times New Roman"/>
          <w:sz w:val="24"/>
          <w:szCs w:val="24"/>
        </w:rPr>
      </w:pPr>
      <w:r w:rsidRPr="00042FE3">
        <w:rPr>
          <w:rFonts w:ascii="Book Antiqua" w:hAnsi="Book Antiqua" w:cs="Times New Roman"/>
          <w:b/>
          <w:sz w:val="24"/>
          <w:szCs w:val="24"/>
        </w:rPr>
        <w:t>Hiroki Ishikawa</w:t>
      </w:r>
      <w:r w:rsidRPr="00042FE3">
        <w:rPr>
          <w:rFonts w:ascii="Book Antiqua" w:hAnsi="Book Antiqua" w:cs="Times New Roman"/>
          <w:sz w:val="24"/>
          <w:szCs w:val="24"/>
        </w:rPr>
        <w:t xml:space="preserve">, </w:t>
      </w:r>
      <w:r w:rsidR="009111A0" w:rsidRPr="00042FE3">
        <w:rPr>
          <w:rFonts w:ascii="Book Antiqua" w:hAnsi="Book Antiqua" w:cs="Times New Roman"/>
          <w:sz w:val="24"/>
          <w:szCs w:val="24"/>
        </w:rPr>
        <w:t xml:space="preserve">Department of Gastroenterology and Hepatology, </w:t>
      </w:r>
      <w:proofErr w:type="spellStart"/>
      <w:r w:rsidR="009111A0" w:rsidRPr="00042FE3">
        <w:rPr>
          <w:rFonts w:ascii="Book Antiqua" w:hAnsi="Book Antiqua" w:cs="Times New Roman"/>
          <w:sz w:val="24"/>
          <w:szCs w:val="24"/>
        </w:rPr>
        <w:t>Omihachiman</w:t>
      </w:r>
      <w:proofErr w:type="spellEnd"/>
      <w:r w:rsidR="009111A0" w:rsidRPr="00042FE3">
        <w:rPr>
          <w:rFonts w:ascii="Book Antiqua" w:hAnsi="Book Antiqua" w:cs="Times New Roman"/>
          <w:sz w:val="24"/>
          <w:szCs w:val="24"/>
        </w:rPr>
        <w:t xml:space="preserve"> Community Medical Center, Shiga 5230082, Japan</w:t>
      </w:r>
    </w:p>
    <w:p w14:paraId="26934F72" w14:textId="77777777" w:rsidR="009111A0" w:rsidRPr="00042FE3" w:rsidRDefault="009111A0" w:rsidP="004449A0">
      <w:pPr>
        <w:spacing w:line="360" w:lineRule="auto"/>
        <w:rPr>
          <w:rFonts w:ascii="Book Antiqua" w:hAnsi="Book Antiqua" w:cs="Times New Roman"/>
          <w:sz w:val="24"/>
          <w:szCs w:val="24"/>
        </w:rPr>
      </w:pPr>
    </w:p>
    <w:p w14:paraId="2C131DD4" w14:textId="0BD1E301" w:rsidR="009111A0" w:rsidRPr="00042FE3" w:rsidRDefault="0075609C" w:rsidP="004449A0">
      <w:pPr>
        <w:spacing w:line="360" w:lineRule="auto"/>
        <w:rPr>
          <w:rFonts w:ascii="Book Antiqua" w:hAnsi="Book Antiqua" w:cs="Times New Roman"/>
          <w:sz w:val="24"/>
          <w:szCs w:val="24"/>
        </w:rPr>
      </w:pPr>
      <w:r w:rsidRPr="00042FE3">
        <w:rPr>
          <w:rFonts w:ascii="Book Antiqua" w:hAnsi="Book Antiqua" w:cs="Times New Roman"/>
          <w:b/>
          <w:sz w:val="24"/>
          <w:szCs w:val="24"/>
        </w:rPr>
        <w:t xml:space="preserve">Kenichi </w:t>
      </w:r>
      <w:proofErr w:type="spellStart"/>
      <w:r w:rsidRPr="00042FE3">
        <w:rPr>
          <w:rFonts w:ascii="Book Antiqua" w:hAnsi="Book Antiqua" w:cs="Times New Roman"/>
          <w:b/>
          <w:sz w:val="24"/>
          <w:szCs w:val="24"/>
        </w:rPr>
        <w:t>Nishioji</w:t>
      </w:r>
      <w:proofErr w:type="spellEnd"/>
      <w:r w:rsidRPr="00042FE3">
        <w:rPr>
          <w:rFonts w:ascii="Book Antiqua" w:hAnsi="Book Antiqua" w:cs="Times New Roman"/>
          <w:sz w:val="24"/>
          <w:szCs w:val="24"/>
        </w:rPr>
        <w:t xml:space="preserve">, </w:t>
      </w:r>
      <w:r w:rsidR="009111A0" w:rsidRPr="00042FE3">
        <w:rPr>
          <w:rFonts w:ascii="Book Antiqua" w:hAnsi="Book Antiqua" w:cs="Times New Roman"/>
          <w:kern w:val="0"/>
          <w:sz w:val="24"/>
          <w:szCs w:val="24"/>
        </w:rPr>
        <w:t>Health Care Division, Kyoto Second Red Cross Hospital, Kyoto 6028026, Japan</w:t>
      </w:r>
    </w:p>
    <w:p w14:paraId="739555FD" w14:textId="77777777" w:rsidR="009111A0" w:rsidRPr="00042FE3" w:rsidRDefault="009111A0" w:rsidP="004449A0">
      <w:pPr>
        <w:spacing w:line="360" w:lineRule="auto"/>
        <w:rPr>
          <w:rFonts w:ascii="Book Antiqua" w:hAnsi="Book Antiqua" w:cs="Times New Roman"/>
          <w:sz w:val="24"/>
          <w:szCs w:val="24"/>
        </w:rPr>
      </w:pPr>
    </w:p>
    <w:p w14:paraId="151B4CE6" w14:textId="32832CBB" w:rsidR="009111A0" w:rsidRPr="00042FE3" w:rsidRDefault="0075609C" w:rsidP="004449A0">
      <w:pPr>
        <w:spacing w:line="360" w:lineRule="auto"/>
        <w:rPr>
          <w:rFonts w:ascii="Book Antiqua" w:hAnsi="Book Antiqua" w:cs="Times New Roman"/>
          <w:sz w:val="24"/>
          <w:szCs w:val="24"/>
        </w:rPr>
      </w:pPr>
      <w:proofErr w:type="spellStart"/>
      <w:r w:rsidRPr="00042FE3">
        <w:rPr>
          <w:rFonts w:ascii="Book Antiqua" w:hAnsi="Book Antiqua" w:cs="Times New Roman"/>
          <w:b/>
          <w:sz w:val="24"/>
          <w:szCs w:val="24"/>
        </w:rPr>
        <w:t>Shiro</w:t>
      </w:r>
      <w:proofErr w:type="spellEnd"/>
      <w:r w:rsidRPr="00042FE3">
        <w:rPr>
          <w:rFonts w:ascii="Book Antiqua" w:hAnsi="Book Antiqua" w:cs="Times New Roman"/>
          <w:b/>
          <w:sz w:val="24"/>
          <w:szCs w:val="24"/>
        </w:rPr>
        <w:t xml:space="preserve"> </w:t>
      </w:r>
      <w:proofErr w:type="spellStart"/>
      <w:r w:rsidRPr="00042FE3">
        <w:rPr>
          <w:rFonts w:ascii="Book Antiqua" w:hAnsi="Book Antiqua" w:cs="Times New Roman"/>
          <w:b/>
          <w:sz w:val="24"/>
          <w:szCs w:val="24"/>
        </w:rPr>
        <w:t>Takami</w:t>
      </w:r>
      <w:proofErr w:type="spellEnd"/>
      <w:r w:rsidRPr="00042FE3">
        <w:rPr>
          <w:rFonts w:ascii="Book Antiqua" w:hAnsi="Book Antiqua" w:cs="Times New Roman"/>
          <w:sz w:val="24"/>
          <w:szCs w:val="24"/>
        </w:rPr>
        <w:t xml:space="preserve">, </w:t>
      </w:r>
      <w:r w:rsidR="009111A0" w:rsidRPr="00042FE3">
        <w:rPr>
          <w:rFonts w:ascii="Book Antiqua" w:hAnsi="Book Antiqua" w:cs="Times New Roman"/>
          <w:sz w:val="24"/>
          <w:szCs w:val="24"/>
        </w:rPr>
        <w:t>Department of Gastroenterology, Otsu Municipal Hospital, Otsu 5200804, Japan</w:t>
      </w:r>
    </w:p>
    <w:p w14:paraId="68DB328D" w14:textId="77777777" w:rsidR="009111A0" w:rsidRPr="00042FE3" w:rsidRDefault="009111A0" w:rsidP="004449A0">
      <w:pPr>
        <w:spacing w:line="360" w:lineRule="auto"/>
        <w:rPr>
          <w:rFonts w:ascii="Book Antiqua" w:hAnsi="Book Antiqua" w:cs="Times New Roman"/>
          <w:sz w:val="24"/>
          <w:szCs w:val="24"/>
        </w:rPr>
      </w:pPr>
    </w:p>
    <w:p w14:paraId="6D57DCE5" w14:textId="3239FD5E" w:rsidR="009111A0" w:rsidRPr="00042FE3" w:rsidRDefault="0075609C" w:rsidP="004449A0">
      <w:pPr>
        <w:spacing w:line="360" w:lineRule="auto"/>
        <w:rPr>
          <w:rFonts w:ascii="Book Antiqua" w:hAnsi="Book Antiqua" w:cs="Times New Roman"/>
          <w:sz w:val="24"/>
          <w:szCs w:val="24"/>
        </w:rPr>
      </w:pPr>
      <w:proofErr w:type="spellStart"/>
      <w:r w:rsidRPr="00042FE3">
        <w:rPr>
          <w:rFonts w:ascii="Book Antiqua" w:hAnsi="Book Antiqua" w:cs="Times New Roman"/>
          <w:b/>
          <w:sz w:val="24"/>
          <w:szCs w:val="24"/>
        </w:rPr>
        <w:t>Yasuyuki</w:t>
      </w:r>
      <w:proofErr w:type="spellEnd"/>
      <w:r w:rsidRPr="00042FE3">
        <w:rPr>
          <w:rFonts w:ascii="Book Antiqua" w:hAnsi="Book Antiqua" w:cs="Times New Roman"/>
          <w:b/>
          <w:sz w:val="24"/>
          <w:szCs w:val="24"/>
        </w:rPr>
        <w:t xml:space="preserve"> Nagao</w:t>
      </w:r>
      <w:r w:rsidRPr="00042FE3">
        <w:rPr>
          <w:rFonts w:ascii="Book Antiqua" w:hAnsi="Book Antiqua" w:cs="Times New Roman"/>
          <w:sz w:val="24"/>
          <w:szCs w:val="24"/>
        </w:rPr>
        <w:t xml:space="preserve">, </w:t>
      </w:r>
      <w:r w:rsidR="009111A0" w:rsidRPr="00042FE3">
        <w:rPr>
          <w:rFonts w:ascii="Book Antiqua" w:hAnsi="Book Antiqua" w:cs="Times New Roman"/>
          <w:sz w:val="24"/>
          <w:szCs w:val="24"/>
        </w:rPr>
        <w:t xml:space="preserve">Department of Gastroenterology, Matsushita Memorial Hospital, </w:t>
      </w:r>
      <w:proofErr w:type="spellStart"/>
      <w:r w:rsidR="009111A0" w:rsidRPr="00042FE3">
        <w:rPr>
          <w:rFonts w:ascii="Book Antiqua" w:hAnsi="Book Antiqua" w:cs="Times New Roman"/>
          <w:sz w:val="24"/>
          <w:szCs w:val="24"/>
        </w:rPr>
        <w:t>Moriguchi</w:t>
      </w:r>
      <w:proofErr w:type="spellEnd"/>
      <w:r w:rsidR="009111A0" w:rsidRPr="00042FE3">
        <w:rPr>
          <w:rFonts w:ascii="Book Antiqua" w:hAnsi="Book Antiqua" w:cs="Times New Roman"/>
          <w:sz w:val="24"/>
          <w:szCs w:val="24"/>
        </w:rPr>
        <w:t xml:space="preserve"> 5708540, Japan</w:t>
      </w:r>
    </w:p>
    <w:p w14:paraId="59EB7DC5" w14:textId="77777777" w:rsidR="009111A0" w:rsidRPr="00042FE3" w:rsidRDefault="009111A0" w:rsidP="004449A0">
      <w:pPr>
        <w:spacing w:line="360" w:lineRule="auto"/>
        <w:rPr>
          <w:rFonts w:ascii="Book Antiqua" w:hAnsi="Book Antiqua" w:cs="Times New Roman"/>
          <w:sz w:val="24"/>
          <w:szCs w:val="24"/>
        </w:rPr>
      </w:pPr>
    </w:p>
    <w:p w14:paraId="75B9C20E" w14:textId="080E01B9" w:rsidR="009111A0" w:rsidRPr="00042FE3" w:rsidRDefault="0075609C" w:rsidP="004449A0">
      <w:pPr>
        <w:spacing w:line="360" w:lineRule="auto"/>
        <w:rPr>
          <w:rFonts w:ascii="Book Antiqua" w:hAnsi="Book Antiqua" w:cs="Times New Roman"/>
          <w:sz w:val="24"/>
          <w:szCs w:val="24"/>
        </w:rPr>
      </w:pPr>
      <w:r w:rsidRPr="00042FE3">
        <w:rPr>
          <w:rFonts w:ascii="Book Antiqua" w:hAnsi="Book Antiqua" w:cs="Times New Roman"/>
          <w:b/>
          <w:sz w:val="24"/>
          <w:szCs w:val="24"/>
        </w:rPr>
        <w:lastRenderedPageBreak/>
        <w:t>Takayuki Takeuchi</w:t>
      </w:r>
      <w:r w:rsidRPr="00042FE3">
        <w:rPr>
          <w:rFonts w:ascii="Book Antiqua" w:hAnsi="Book Antiqua" w:cs="Times New Roman"/>
          <w:sz w:val="24"/>
          <w:szCs w:val="24"/>
        </w:rPr>
        <w:t xml:space="preserve">, </w:t>
      </w:r>
      <w:proofErr w:type="spellStart"/>
      <w:r w:rsidR="009111A0" w:rsidRPr="00042FE3">
        <w:rPr>
          <w:rFonts w:ascii="Book Antiqua" w:hAnsi="Book Antiqua" w:cs="Times New Roman"/>
          <w:sz w:val="24"/>
          <w:szCs w:val="24"/>
        </w:rPr>
        <w:t>Higashiomicity</w:t>
      </w:r>
      <w:proofErr w:type="spellEnd"/>
      <w:r w:rsidR="009111A0" w:rsidRPr="00042FE3">
        <w:rPr>
          <w:rFonts w:ascii="Book Antiqua" w:hAnsi="Book Antiqua" w:cs="Times New Roman"/>
          <w:sz w:val="24"/>
          <w:szCs w:val="24"/>
        </w:rPr>
        <w:t xml:space="preserve"> </w:t>
      </w:r>
      <w:proofErr w:type="spellStart"/>
      <w:r w:rsidR="009111A0" w:rsidRPr="00042FE3">
        <w:rPr>
          <w:rFonts w:ascii="Book Antiqua" w:hAnsi="Book Antiqua" w:cs="Times New Roman"/>
          <w:sz w:val="24"/>
          <w:szCs w:val="24"/>
        </w:rPr>
        <w:t>Notogawa</w:t>
      </w:r>
      <w:proofErr w:type="spellEnd"/>
      <w:r w:rsidR="009111A0" w:rsidRPr="00042FE3">
        <w:rPr>
          <w:rFonts w:ascii="Book Antiqua" w:hAnsi="Book Antiqua" w:cs="Times New Roman"/>
          <w:sz w:val="24"/>
          <w:szCs w:val="24"/>
        </w:rPr>
        <w:t xml:space="preserve"> Hospital, </w:t>
      </w:r>
      <w:proofErr w:type="spellStart"/>
      <w:r w:rsidR="009111A0" w:rsidRPr="00042FE3">
        <w:rPr>
          <w:rFonts w:ascii="Book Antiqua" w:hAnsi="Book Antiqua" w:cs="Times New Roman"/>
          <w:sz w:val="24"/>
          <w:szCs w:val="24"/>
        </w:rPr>
        <w:t>Higashiomi</w:t>
      </w:r>
      <w:proofErr w:type="spellEnd"/>
      <w:r w:rsidR="009111A0" w:rsidRPr="00042FE3">
        <w:rPr>
          <w:rFonts w:ascii="Book Antiqua" w:hAnsi="Book Antiqua" w:cs="Times New Roman"/>
          <w:sz w:val="24"/>
          <w:szCs w:val="24"/>
        </w:rPr>
        <w:t xml:space="preserve"> 5211223, Japan</w:t>
      </w:r>
    </w:p>
    <w:p w14:paraId="7F8B21F9" w14:textId="6C57A2DA" w:rsidR="009111A0" w:rsidRPr="00042FE3" w:rsidRDefault="009111A0" w:rsidP="004449A0">
      <w:pPr>
        <w:spacing w:line="360" w:lineRule="auto"/>
        <w:rPr>
          <w:rFonts w:ascii="Book Antiqua" w:hAnsi="Book Antiqua" w:cs="Times New Roman"/>
          <w:sz w:val="24"/>
          <w:szCs w:val="24"/>
        </w:rPr>
      </w:pPr>
    </w:p>
    <w:p w14:paraId="790F804D" w14:textId="3587854C" w:rsidR="009111A0" w:rsidRPr="00042FE3" w:rsidRDefault="0075609C" w:rsidP="004449A0">
      <w:pPr>
        <w:spacing w:line="360" w:lineRule="auto"/>
        <w:rPr>
          <w:rFonts w:ascii="Book Antiqua" w:hAnsi="Book Antiqua" w:cs="Times New Roman"/>
          <w:sz w:val="24"/>
          <w:szCs w:val="24"/>
        </w:rPr>
      </w:pPr>
      <w:proofErr w:type="spellStart"/>
      <w:r w:rsidRPr="00042FE3">
        <w:rPr>
          <w:rFonts w:ascii="Book Antiqua" w:hAnsi="Book Antiqua" w:cs="Times New Roman"/>
          <w:b/>
          <w:sz w:val="24"/>
          <w:szCs w:val="24"/>
        </w:rPr>
        <w:t>Toshihide</w:t>
      </w:r>
      <w:proofErr w:type="spellEnd"/>
      <w:r w:rsidRPr="00042FE3">
        <w:rPr>
          <w:rFonts w:ascii="Book Antiqua" w:hAnsi="Book Antiqua" w:cs="Times New Roman"/>
          <w:b/>
          <w:sz w:val="24"/>
          <w:szCs w:val="24"/>
        </w:rPr>
        <w:t xml:space="preserve"> </w:t>
      </w:r>
      <w:proofErr w:type="spellStart"/>
      <w:r w:rsidRPr="00042FE3">
        <w:rPr>
          <w:rFonts w:ascii="Book Antiqua" w:hAnsi="Book Antiqua" w:cs="Times New Roman"/>
          <w:b/>
          <w:sz w:val="24"/>
          <w:szCs w:val="24"/>
        </w:rPr>
        <w:t>Shima</w:t>
      </w:r>
      <w:proofErr w:type="spellEnd"/>
      <w:r w:rsidRPr="00042FE3">
        <w:rPr>
          <w:rFonts w:ascii="Book Antiqua" w:hAnsi="Book Antiqua" w:cs="Times New Roman"/>
          <w:sz w:val="24"/>
          <w:szCs w:val="24"/>
        </w:rPr>
        <w:t xml:space="preserve">, </w:t>
      </w:r>
      <w:r w:rsidR="00C84E3B" w:rsidRPr="00042FE3">
        <w:rPr>
          <w:rFonts w:ascii="Book Antiqua" w:hAnsi="Book Antiqua" w:cs="Times New Roman"/>
          <w:sz w:val="24"/>
          <w:szCs w:val="24"/>
        </w:rPr>
        <w:t xml:space="preserve">Center of Gastroenterology and Hepatology, </w:t>
      </w:r>
      <w:proofErr w:type="spellStart"/>
      <w:r w:rsidR="00C84E3B" w:rsidRPr="00042FE3">
        <w:rPr>
          <w:rFonts w:ascii="Book Antiqua" w:hAnsi="Book Antiqua" w:cs="Times New Roman"/>
          <w:sz w:val="24"/>
          <w:szCs w:val="24"/>
        </w:rPr>
        <w:t>Saiseikai</w:t>
      </w:r>
      <w:proofErr w:type="spellEnd"/>
      <w:r w:rsidR="00C84E3B" w:rsidRPr="00042FE3">
        <w:rPr>
          <w:rFonts w:ascii="Book Antiqua" w:hAnsi="Book Antiqua" w:cs="Times New Roman"/>
          <w:sz w:val="24"/>
          <w:szCs w:val="24"/>
        </w:rPr>
        <w:t xml:space="preserve"> Suita Hospital, Suita 5640013, Japan</w:t>
      </w:r>
    </w:p>
    <w:p w14:paraId="6CE995F4" w14:textId="77777777" w:rsidR="007D20E7" w:rsidRPr="00042FE3" w:rsidRDefault="007D20E7" w:rsidP="004449A0">
      <w:pPr>
        <w:spacing w:line="360" w:lineRule="auto"/>
        <w:rPr>
          <w:rFonts w:ascii="Book Antiqua" w:hAnsi="Book Antiqua" w:cs="Times New Roman"/>
          <w:sz w:val="24"/>
          <w:szCs w:val="24"/>
        </w:rPr>
      </w:pPr>
    </w:p>
    <w:p w14:paraId="2B1184DC" w14:textId="34687573" w:rsidR="00C84E3B" w:rsidRPr="00042FE3" w:rsidRDefault="0075609C" w:rsidP="004449A0">
      <w:pPr>
        <w:spacing w:line="360" w:lineRule="auto"/>
        <w:rPr>
          <w:rFonts w:ascii="Book Antiqua" w:hAnsi="Book Antiqua" w:cs="Times New Roman"/>
          <w:sz w:val="24"/>
          <w:szCs w:val="24"/>
        </w:rPr>
      </w:pPr>
      <w:r w:rsidRPr="00042FE3">
        <w:rPr>
          <w:rFonts w:ascii="Book Antiqua" w:hAnsi="Book Antiqua" w:cs="Times New Roman"/>
          <w:b/>
          <w:sz w:val="24"/>
          <w:szCs w:val="24"/>
        </w:rPr>
        <w:t>Masahito Minami</w:t>
      </w:r>
      <w:r w:rsidR="007D20E7" w:rsidRPr="00042FE3">
        <w:rPr>
          <w:rFonts w:ascii="Book Antiqua" w:hAnsi="Book Antiqua" w:cs="Times New Roman"/>
          <w:b/>
          <w:sz w:val="24"/>
          <w:szCs w:val="24"/>
        </w:rPr>
        <w:t xml:space="preserve">, Yoshihiko </w:t>
      </w:r>
      <w:proofErr w:type="spellStart"/>
      <w:r w:rsidR="007D20E7" w:rsidRPr="00042FE3">
        <w:rPr>
          <w:rFonts w:ascii="Book Antiqua" w:hAnsi="Book Antiqua" w:cs="Times New Roman"/>
          <w:b/>
          <w:sz w:val="24"/>
          <w:szCs w:val="24"/>
        </w:rPr>
        <w:t>Sawa</w:t>
      </w:r>
      <w:proofErr w:type="spellEnd"/>
      <w:r w:rsidRPr="00042FE3">
        <w:rPr>
          <w:rFonts w:ascii="Book Antiqua" w:hAnsi="Book Antiqua" w:cs="Times New Roman"/>
          <w:sz w:val="24"/>
          <w:szCs w:val="24"/>
        </w:rPr>
        <w:t xml:space="preserve">, </w:t>
      </w:r>
      <w:r w:rsidR="00C84E3B" w:rsidRPr="00042FE3">
        <w:rPr>
          <w:rFonts w:ascii="Book Antiqua" w:hAnsi="Book Antiqua" w:cs="Times New Roman"/>
          <w:sz w:val="24"/>
          <w:szCs w:val="24"/>
        </w:rPr>
        <w:t xml:space="preserve">Department of Internal Medicine, </w:t>
      </w:r>
      <w:proofErr w:type="spellStart"/>
      <w:r w:rsidR="00C84E3B" w:rsidRPr="00042FE3">
        <w:rPr>
          <w:rFonts w:ascii="Book Antiqua" w:hAnsi="Book Antiqua" w:cs="Times New Roman"/>
          <w:sz w:val="24"/>
          <w:szCs w:val="24"/>
        </w:rPr>
        <w:t>Aiseikai</w:t>
      </w:r>
      <w:proofErr w:type="spellEnd"/>
      <w:r w:rsidR="00C84E3B" w:rsidRPr="00042FE3">
        <w:rPr>
          <w:rFonts w:ascii="Book Antiqua" w:hAnsi="Book Antiqua" w:cs="Times New Roman"/>
          <w:sz w:val="24"/>
          <w:szCs w:val="24"/>
        </w:rPr>
        <w:t xml:space="preserve"> Yamashina Hospital, Kyoto 6078086, Japan</w:t>
      </w:r>
    </w:p>
    <w:p w14:paraId="600DB451" w14:textId="77777777" w:rsidR="00145FED" w:rsidRPr="00042FE3" w:rsidRDefault="00145FED" w:rsidP="004449A0">
      <w:pPr>
        <w:spacing w:line="360" w:lineRule="auto"/>
        <w:rPr>
          <w:rFonts w:ascii="Book Antiqua" w:hAnsi="Book Antiqua" w:cs="Times New Roman"/>
          <w:sz w:val="24"/>
          <w:szCs w:val="24"/>
        </w:rPr>
      </w:pPr>
    </w:p>
    <w:p w14:paraId="639B77BA" w14:textId="6C9A3156" w:rsidR="006F5411" w:rsidRPr="00042FE3" w:rsidRDefault="006F5411" w:rsidP="004449A0">
      <w:pPr>
        <w:spacing w:line="360" w:lineRule="auto"/>
        <w:rPr>
          <w:rFonts w:ascii="Book Antiqua" w:hAnsi="Book Antiqua" w:cs="Times New Roman"/>
          <w:sz w:val="24"/>
          <w:szCs w:val="24"/>
        </w:rPr>
      </w:pPr>
      <w:r w:rsidRPr="00042FE3">
        <w:rPr>
          <w:rFonts w:ascii="Book Antiqua" w:hAnsi="Book Antiqua" w:cs="Times New Roman"/>
          <w:b/>
          <w:sz w:val="24"/>
          <w:szCs w:val="24"/>
        </w:rPr>
        <w:t>Author contributions</w:t>
      </w:r>
      <w:r w:rsidRPr="00042FE3">
        <w:rPr>
          <w:rFonts w:ascii="Book Antiqua" w:hAnsi="Book Antiqua" w:cs="Times New Roman"/>
          <w:sz w:val="24"/>
          <w:szCs w:val="24"/>
        </w:rPr>
        <w:t xml:space="preserve">: </w:t>
      </w:r>
      <w:proofErr w:type="spellStart"/>
      <w:r w:rsidRPr="00042FE3">
        <w:rPr>
          <w:rFonts w:ascii="Book Antiqua" w:hAnsi="Book Antiqua" w:cs="Times New Roman"/>
          <w:sz w:val="24"/>
          <w:szCs w:val="24"/>
        </w:rPr>
        <w:t>Fujii</w:t>
      </w:r>
      <w:proofErr w:type="spellEnd"/>
      <w:r w:rsidRPr="00042FE3">
        <w:rPr>
          <w:rFonts w:ascii="Book Antiqua" w:hAnsi="Book Antiqua" w:cs="Times New Roman"/>
          <w:sz w:val="24"/>
          <w:szCs w:val="24"/>
        </w:rPr>
        <w:t xml:space="preserve"> H, </w:t>
      </w:r>
      <w:r w:rsidRPr="00042FE3">
        <w:rPr>
          <w:rFonts w:ascii="Book Antiqua" w:hAnsi="Book Antiqua" w:cs="Times New Roman"/>
          <w:kern w:val="0"/>
          <w:sz w:val="24"/>
          <w:szCs w:val="24"/>
        </w:rPr>
        <w:t xml:space="preserve">Nishimura T and </w:t>
      </w:r>
      <w:r w:rsidRPr="00042FE3">
        <w:rPr>
          <w:rFonts w:ascii="Book Antiqua" w:hAnsi="Book Antiqua" w:cs="Times New Roman"/>
          <w:sz w:val="24"/>
          <w:szCs w:val="24"/>
        </w:rPr>
        <w:t xml:space="preserve">Itoh Y designed the research; </w:t>
      </w:r>
      <w:proofErr w:type="spellStart"/>
      <w:r w:rsidRPr="00042FE3">
        <w:rPr>
          <w:rFonts w:ascii="Book Antiqua" w:hAnsi="Book Antiqua" w:cs="Times New Roman"/>
          <w:sz w:val="24"/>
          <w:szCs w:val="24"/>
        </w:rPr>
        <w:t>Umemura</w:t>
      </w:r>
      <w:proofErr w:type="spellEnd"/>
      <w:r w:rsidR="007D20E7" w:rsidRPr="00042FE3">
        <w:rPr>
          <w:rFonts w:ascii="Book Antiqua" w:hAnsi="Book Antiqua" w:cs="Times New Roman"/>
          <w:sz w:val="24"/>
          <w:szCs w:val="24"/>
        </w:rPr>
        <w:t xml:space="preserve"> A, </w:t>
      </w:r>
      <w:r w:rsidRPr="00042FE3">
        <w:rPr>
          <w:rFonts w:ascii="Book Antiqua" w:hAnsi="Book Antiqua" w:cs="Times New Roman"/>
          <w:sz w:val="24"/>
          <w:szCs w:val="24"/>
        </w:rPr>
        <w:t>Nishikawa</w:t>
      </w:r>
      <w:r w:rsidR="007D20E7" w:rsidRPr="00042FE3">
        <w:rPr>
          <w:rFonts w:ascii="Book Antiqua" w:hAnsi="Book Antiqua" w:cs="Times New Roman"/>
          <w:sz w:val="24"/>
          <w:szCs w:val="24"/>
        </w:rPr>
        <w:t xml:space="preserve"> T, </w:t>
      </w:r>
      <w:r w:rsidRPr="00042FE3">
        <w:rPr>
          <w:rFonts w:ascii="Book Antiqua" w:hAnsi="Book Antiqua" w:cs="Times New Roman"/>
          <w:sz w:val="24"/>
          <w:szCs w:val="24"/>
        </w:rPr>
        <w:t>Yamaguchi</w:t>
      </w:r>
      <w:r w:rsidR="007D20E7" w:rsidRPr="00042FE3">
        <w:rPr>
          <w:rFonts w:ascii="Book Antiqua" w:hAnsi="Book Antiqua" w:cs="Times New Roman"/>
          <w:sz w:val="24"/>
          <w:szCs w:val="24"/>
        </w:rPr>
        <w:t xml:space="preserve"> K, </w:t>
      </w:r>
      <w:proofErr w:type="spellStart"/>
      <w:r w:rsidRPr="00042FE3">
        <w:rPr>
          <w:rFonts w:ascii="Book Antiqua" w:hAnsi="Book Antiqua" w:cs="Times New Roman"/>
          <w:sz w:val="24"/>
          <w:szCs w:val="24"/>
        </w:rPr>
        <w:t>Moriguchi</w:t>
      </w:r>
      <w:proofErr w:type="spellEnd"/>
      <w:r w:rsidR="007D20E7" w:rsidRPr="00042FE3">
        <w:rPr>
          <w:rFonts w:ascii="Book Antiqua" w:hAnsi="Book Antiqua" w:cs="Times New Roman"/>
          <w:sz w:val="24"/>
          <w:szCs w:val="24"/>
        </w:rPr>
        <w:t xml:space="preserve"> M, </w:t>
      </w:r>
      <w:r w:rsidRPr="00042FE3">
        <w:rPr>
          <w:rFonts w:ascii="Book Antiqua" w:hAnsi="Book Antiqua" w:cs="Times New Roman"/>
          <w:sz w:val="24"/>
          <w:szCs w:val="24"/>
        </w:rPr>
        <w:t>Sumida</w:t>
      </w:r>
      <w:r w:rsidR="007D20E7" w:rsidRPr="00042FE3">
        <w:rPr>
          <w:rFonts w:ascii="Book Antiqua" w:hAnsi="Book Antiqua" w:cs="Times New Roman"/>
          <w:sz w:val="24"/>
          <w:szCs w:val="24"/>
        </w:rPr>
        <w:t xml:space="preserve"> Y, </w:t>
      </w:r>
      <w:proofErr w:type="spellStart"/>
      <w:r w:rsidRPr="00042FE3">
        <w:rPr>
          <w:rFonts w:ascii="Book Antiqua" w:hAnsi="Book Antiqua" w:cs="Times New Roman"/>
          <w:sz w:val="24"/>
          <w:szCs w:val="24"/>
        </w:rPr>
        <w:t>Mitsuyoshi</w:t>
      </w:r>
      <w:proofErr w:type="spellEnd"/>
      <w:r w:rsidR="007D20E7" w:rsidRPr="00042FE3">
        <w:rPr>
          <w:rFonts w:ascii="Book Antiqua" w:hAnsi="Book Antiqua" w:cs="Times New Roman"/>
          <w:sz w:val="24"/>
          <w:szCs w:val="24"/>
        </w:rPr>
        <w:t xml:space="preserve"> H</w:t>
      </w:r>
      <w:r w:rsidRPr="00042FE3">
        <w:rPr>
          <w:rFonts w:ascii="Book Antiqua" w:hAnsi="Book Antiqua" w:cs="Times New Roman"/>
          <w:sz w:val="24"/>
          <w:szCs w:val="24"/>
        </w:rPr>
        <w:t xml:space="preserve">, </w:t>
      </w:r>
      <w:proofErr w:type="spellStart"/>
      <w:r w:rsidRPr="00042FE3">
        <w:rPr>
          <w:rFonts w:ascii="Book Antiqua" w:hAnsi="Book Antiqua" w:cs="Times New Roman"/>
          <w:sz w:val="24"/>
          <w:szCs w:val="24"/>
        </w:rPr>
        <w:t>Yokomizo</w:t>
      </w:r>
      <w:proofErr w:type="spellEnd"/>
      <w:r w:rsidR="007D20E7" w:rsidRPr="00042FE3">
        <w:rPr>
          <w:rFonts w:ascii="Book Antiqua" w:hAnsi="Book Antiqua" w:cs="Times New Roman"/>
          <w:sz w:val="24"/>
          <w:szCs w:val="24"/>
        </w:rPr>
        <w:t xml:space="preserve"> C, </w:t>
      </w:r>
      <w:r w:rsidRPr="00042FE3">
        <w:rPr>
          <w:rFonts w:ascii="Book Antiqua" w:hAnsi="Book Antiqua" w:cs="Times New Roman"/>
          <w:sz w:val="24"/>
          <w:szCs w:val="24"/>
        </w:rPr>
        <w:t>Tanaka</w:t>
      </w:r>
      <w:r w:rsidR="007D20E7" w:rsidRPr="00042FE3">
        <w:rPr>
          <w:rFonts w:ascii="Book Antiqua" w:hAnsi="Book Antiqua" w:cs="Times New Roman"/>
          <w:sz w:val="24"/>
          <w:szCs w:val="24"/>
        </w:rPr>
        <w:t xml:space="preserve"> S, </w:t>
      </w:r>
      <w:r w:rsidRPr="00042FE3">
        <w:rPr>
          <w:rFonts w:ascii="Book Antiqua" w:hAnsi="Book Antiqua" w:cs="Times New Roman"/>
          <w:sz w:val="24"/>
          <w:szCs w:val="24"/>
        </w:rPr>
        <w:t>Ishikawa</w:t>
      </w:r>
      <w:r w:rsidR="007D20E7" w:rsidRPr="00042FE3">
        <w:rPr>
          <w:rFonts w:ascii="Book Antiqua" w:hAnsi="Book Antiqua" w:cs="Times New Roman"/>
          <w:sz w:val="24"/>
          <w:szCs w:val="24"/>
        </w:rPr>
        <w:t xml:space="preserve"> H, </w:t>
      </w:r>
      <w:proofErr w:type="spellStart"/>
      <w:r w:rsidRPr="00042FE3">
        <w:rPr>
          <w:rFonts w:ascii="Book Antiqua" w:hAnsi="Book Antiqua" w:cs="Times New Roman"/>
          <w:sz w:val="24"/>
          <w:szCs w:val="24"/>
        </w:rPr>
        <w:t>Nishioji</w:t>
      </w:r>
      <w:proofErr w:type="spellEnd"/>
      <w:r w:rsidR="007D20E7" w:rsidRPr="00042FE3">
        <w:rPr>
          <w:rFonts w:ascii="Book Antiqua" w:hAnsi="Book Antiqua" w:cs="Times New Roman"/>
          <w:sz w:val="24"/>
          <w:szCs w:val="24"/>
        </w:rPr>
        <w:t xml:space="preserve"> K, </w:t>
      </w:r>
      <w:r w:rsidRPr="00042FE3">
        <w:rPr>
          <w:rFonts w:ascii="Book Antiqua" w:hAnsi="Book Antiqua" w:cs="Times New Roman"/>
          <w:sz w:val="24"/>
          <w:szCs w:val="24"/>
        </w:rPr>
        <w:t>Kimura</w:t>
      </w:r>
      <w:r w:rsidR="007D20E7" w:rsidRPr="00042FE3">
        <w:rPr>
          <w:rFonts w:ascii="Book Antiqua" w:hAnsi="Book Antiqua" w:cs="Times New Roman"/>
          <w:sz w:val="24"/>
          <w:szCs w:val="24"/>
        </w:rPr>
        <w:t xml:space="preserve"> H, </w:t>
      </w:r>
      <w:proofErr w:type="spellStart"/>
      <w:r w:rsidRPr="00042FE3">
        <w:rPr>
          <w:rFonts w:ascii="Book Antiqua" w:hAnsi="Book Antiqua" w:cs="Times New Roman"/>
          <w:sz w:val="24"/>
          <w:szCs w:val="24"/>
        </w:rPr>
        <w:t>Takami</w:t>
      </w:r>
      <w:proofErr w:type="spellEnd"/>
      <w:r w:rsidR="007D20E7" w:rsidRPr="00042FE3">
        <w:rPr>
          <w:rFonts w:ascii="Book Antiqua" w:hAnsi="Book Antiqua" w:cs="Times New Roman"/>
          <w:sz w:val="24"/>
          <w:szCs w:val="24"/>
        </w:rPr>
        <w:t xml:space="preserve"> S, </w:t>
      </w:r>
      <w:r w:rsidRPr="00042FE3">
        <w:rPr>
          <w:rFonts w:ascii="Book Antiqua" w:hAnsi="Book Antiqua" w:cs="Times New Roman"/>
          <w:sz w:val="24"/>
          <w:szCs w:val="24"/>
        </w:rPr>
        <w:t>Nagao</w:t>
      </w:r>
      <w:r w:rsidR="007D20E7" w:rsidRPr="00042FE3">
        <w:rPr>
          <w:rFonts w:ascii="Book Antiqua" w:hAnsi="Book Antiqua" w:cs="Times New Roman"/>
          <w:sz w:val="24"/>
          <w:szCs w:val="24"/>
        </w:rPr>
        <w:t xml:space="preserve"> Y</w:t>
      </w:r>
      <w:r w:rsidRPr="00042FE3">
        <w:rPr>
          <w:rFonts w:ascii="Book Antiqua" w:hAnsi="Book Antiqua" w:cs="Times New Roman"/>
          <w:sz w:val="24"/>
          <w:szCs w:val="24"/>
        </w:rPr>
        <w:t>, Takeuchi</w:t>
      </w:r>
      <w:r w:rsidR="007D20E7" w:rsidRPr="00042FE3">
        <w:rPr>
          <w:rFonts w:ascii="Book Antiqua" w:hAnsi="Book Antiqua" w:cs="Times New Roman"/>
          <w:sz w:val="24"/>
          <w:szCs w:val="24"/>
        </w:rPr>
        <w:t xml:space="preserve"> T, </w:t>
      </w:r>
      <w:proofErr w:type="spellStart"/>
      <w:r w:rsidRPr="00042FE3">
        <w:rPr>
          <w:rFonts w:ascii="Book Antiqua" w:hAnsi="Book Antiqua" w:cs="Times New Roman"/>
          <w:sz w:val="24"/>
          <w:szCs w:val="24"/>
        </w:rPr>
        <w:t>Shima</w:t>
      </w:r>
      <w:proofErr w:type="spellEnd"/>
      <w:r w:rsidR="007D20E7" w:rsidRPr="00042FE3">
        <w:rPr>
          <w:rFonts w:ascii="Book Antiqua" w:hAnsi="Book Antiqua" w:cs="Times New Roman"/>
          <w:sz w:val="24"/>
          <w:szCs w:val="24"/>
        </w:rPr>
        <w:t xml:space="preserve"> T, </w:t>
      </w:r>
      <w:r w:rsidRPr="00042FE3">
        <w:rPr>
          <w:rFonts w:ascii="Book Antiqua" w:hAnsi="Book Antiqua" w:cs="Times New Roman"/>
          <w:sz w:val="24"/>
          <w:szCs w:val="24"/>
        </w:rPr>
        <w:t>Minami</w:t>
      </w:r>
      <w:r w:rsidR="007D20E7" w:rsidRPr="00042FE3">
        <w:rPr>
          <w:rFonts w:ascii="Book Antiqua" w:hAnsi="Book Antiqua" w:cs="Times New Roman"/>
          <w:sz w:val="24"/>
          <w:szCs w:val="24"/>
        </w:rPr>
        <w:t xml:space="preserve"> M,</w:t>
      </w:r>
      <w:r w:rsidRPr="00042FE3">
        <w:rPr>
          <w:rFonts w:ascii="Book Antiqua" w:hAnsi="Book Antiqua" w:cs="Times New Roman"/>
          <w:sz w:val="24"/>
          <w:szCs w:val="24"/>
        </w:rPr>
        <w:t xml:space="preserve"> </w:t>
      </w:r>
      <w:proofErr w:type="spellStart"/>
      <w:r w:rsidR="007D20E7" w:rsidRPr="00042FE3">
        <w:rPr>
          <w:rFonts w:ascii="Book Antiqua" w:hAnsi="Book Antiqua" w:cs="Times New Roman"/>
          <w:sz w:val="24"/>
          <w:szCs w:val="24"/>
        </w:rPr>
        <w:t>Sawa</w:t>
      </w:r>
      <w:proofErr w:type="spellEnd"/>
      <w:r w:rsidR="007D20E7" w:rsidRPr="00042FE3">
        <w:rPr>
          <w:rFonts w:ascii="Book Antiqua" w:hAnsi="Book Antiqua" w:cs="Times New Roman"/>
          <w:sz w:val="24"/>
          <w:szCs w:val="24"/>
        </w:rPr>
        <w:t xml:space="preserve"> Y,</w:t>
      </w:r>
      <w:r w:rsidR="00F4341F">
        <w:rPr>
          <w:rFonts w:ascii="Book Antiqua" w:hAnsi="Book Antiqua" w:cs="Times New Roman"/>
          <w:sz w:val="24"/>
          <w:szCs w:val="24"/>
        </w:rPr>
        <w:t xml:space="preserve"> and</w:t>
      </w:r>
      <w:r w:rsidRPr="00042FE3">
        <w:rPr>
          <w:rFonts w:ascii="Book Antiqua" w:hAnsi="Book Antiqua" w:cs="Times New Roman"/>
          <w:sz w:val="24"/>
          <w:szCs w:val="24"/>
        </w:rPr>
        <w:t xml:space="preserve"> </w:t>
      </w:r>
      <w:proofErr w:type="spellStart"/>
      <w:r w:rsidRPr="00042FE3">
        <w:rPr>
          <w:rFonts w:ascii="Book Antiqua" w:hAnsi="Book Antiqua" w:cs="Times New Roman"/>
          <w:sz w:val="24"/>
          <w:szCs w:val="24"/>
        </w:rPr>
        <w:t>Yasui</w:t>
      </w:r>
      <w:proofErr w:type="spellEnd"/>
      <w:r w:rsidR="007D20E7" w:rsidRPr="00042FE3">
        <w:rPr>
          <w:rFonts w:ascii="Book Antiqua" w:hAnsi="Book Antiqua" w:cs="Times New Roman"/>
          <w:sz w:val="24"/>
          <w:szCs w:val="24"/>
        </w:rPr>
        <w:t xml:space="preserve"> K</w:t>
      </w:r>
      <w:r w:rsidRPr="00042FE3">
        <w:rPr>
          <w:rFonts w:ascii="Book Antiqua" w:hAnsi="Book Antiqua" w:cs="Times New Roman"/>
          <w:sz w:val="24"/>
          <w:szCs w:val="24"/>
        </w:rPr>
        <w:t xml:space="preserve"> performed the research; </w:t>
      </w:r>
      <w:proofErr w:type="spellStart"/>
      <w:r w:rsidRPr="00042FE3">
        <w:rPr>
          <w:rFonts w:ascii="Book Antiqua" w:hAnsi="Book Antiqua" w:cs="Times New Roman"/>
          <w:sz w:val="24"/>
          <w:szCs w:val="24"/>
        </w:rPr>
        <w:t>Fujii</w:t>
      </w:r>
      <w:proofErr w:type="spellEnd"/>
      <w:r w:rsidRPr="00042FE3">
        <w:rPr>
          <w:rFonts w:ascii="Book Antiqua" w:hAnsi="Book Antiqua" w:cs="Times New Roman"/>
          <w:sz w:val="24"/>
          <w:szCs w:val="24"/>
        </w:rPr>
        <w:t xml:space="preserve"> H analyzed the data; </w:t>
      </w:r>
      <w:proofErr w:type="spellStart"/>
      <w:r w:rsidRPr="00042FE3">
        <w:rPr>
          <w:rFonts w:ascii="Book Antiqua" w:hAnsi="Book Antiqua" w:cs="Times New Roman"/>
          <w:sz w:val="24"/>
          <w:szCs w:val="24"/>
        </w:rPr>
        <w:t>Fujii</w:t>
      </w:r>
      <w:proofErr w:type="spellEnd"/>
      <w:r w:rsidRPr="00042FE3">
        <w:rPr>
          <w:rFonts w:ascii="Book Antiqua" w:hAnsi="Book Antiqua" w:cs="Times New Roman"/>
          <w:sz w:val="24"/>
          <w:szCs w:val="24"/>
        </w:rPr>
        <w:t xml:space="preserve"> H and Itoh Y wrote the paper.</w:t>
      </w:r>
    </w:p>
    <w:p w14:paraId="6A8B9B4C" w14:textId="77777777" w:rsidR="00E33B08" w:rsidRPr="00A84078" w:rsidRDefault="00E33B08" w:rsidP="004449A0">
      <w:pPr>
        <w:spacing w:line="360" w:lineRule="auto"/>
        <w:rPr>
          <w:rFonts w:ascii="Book Antiqua" w:eastAsia="宋体" w:hAnsi="Book Antiqua" w:cs="Times New Roman"/>
          <w:sz w:val="24"/>
          <w:szCs w:val="24"/>
          <w:lang w:eastAsia="zh-CN"/>
        </w:rPr>
      </w:pPr>
    </w:p>
    <w:p w14:paraId="38A691A9" w14:textId="6D468064" w:rsidR="00E33B08" w:rsidRPr="00042FE3" w:rsidRDefault="00E33B08" w:rsidP="004449A0">
      <w:pPr>
        <w:spacing w:line="360" w:lineRule="auto"/>
        <w:rPr>
          <w:rFonts w:ascii="Book Antiqua" w:hAnsi="Book Antiqua" w:cs="Times New Roman"/>
          <w:sz w:val="24"/>
          <w:szCs w:val="24"/>
        </w:rPr>
      </w:pPr>
      <w:r w:rsidRPr="00042FE3">
        <w:rPr>
          <w:rFonts w:ascii="Book Antiqua" w:hAnsi="Book Antiqua" w:cs="Times New Roman"/>
          <w:b/>
          <w:sz w:val="24"/>
          <w:szCs w:val="24"/>
        </w:rPr>
        <w:t>Institutional review board statement</w:t>
      </w:r>
      <w:r w:rsidRPr="00042FE3">
        <w:rPr>
          <w:rFonts w:ascii="Book Antiqua" w:hAnsi="Book Antiqua" w:cs="Times New Roman"/>
          <w:sz w:val="24"/>
          <w:szCs w:val="24"/>
        </w:rPr>
        <w:t xml:space="preserve">: The study was reviewed and approved by the </w:t>
      </w:r>
      <w:r w:rsidR="003E3401" w:rsidRPr="00042FE3">
        <w:rPr>
          <w:rFonts w:ascii="Book Antiqua" w:hAnsi="Book Antiqua" w:cs="Times New Roman"/>
          <w:kern w:val="0"/>
          <w:sz w:val="24"/>
          <w:szCs w:val="24"/>
        </w:rPr>
        <w:t>Kyoto Prefectural University of Medicine</w:t>
      </w:r>
      <w:r w:rsidR="003E3401" w:rsidRPr="00042FE3">
        <w:rPr>
          <w:rFonts w:ascii="Book Antiqua" w:hAnsi="Book Antiqua" w:cs="Times New Roman"/>
          <w:sz w:val="24"/>
          <w:szCs w:val="24"/>
        </w:rPr>
        <w:t xml:space="preserve"> </w:t>
      </w:r>
      <w:r w:rsidRPr="00042FE3">
        <w:rPr>
          <w:rFonts w:ascii="Book Antiqua" w:hAnsi="Book Antiqua" w:cs="Times New Roman"/>
          <w:sz w:val="24"/>
          <w:szCs w:val="24"/>
        </w:rPr>
        <w:t>Institutional Review Board.</w:t>
      </w:r>
    </w:p>
    <w:p w14:paraId="79B843C5" w14:textId="77777777" w:rsidR="004A237A" w:rsidRPr="005268F6" w:rsidRDefault="004A237A" w:rsidP="004449A0">
      <w:pPr>
        <w:spacing w:line="360" w:lineRule="auto"/>
        <w:rPr>
          <w:rFonts w:ascii="Book Antiqua" w:eastAsia="宋体" w:hAnsi="Book Antiqua" w:cs="Times New Roman"/>
          <w:sz w:val="24"/>
          <w:szCs w:val="24"/>
          <w:lang w:eastAsia="zh-CN"/>
        </w:rPr>
      </w:pPr>
    </w:p>
    <w:p w14:paraId="205AAAB6" w14:textId="57685AF4" w:rsidR="003E3401" w:rsidRPr="00A84078" w:rsidRDefault="003E3401" w:rsidP="004449A0">
      <w:pPr>
        <w:spacing w:line="360" w:lineRule="auto"/>
        <w:rPr>
          <w:rFonts w:ascii="Book Antiqua" w:hAnsi="Book Antiqua" w:cs="Times New Roman"/>
          <w:b/>
          <w:sz w:val="24"/>
          <w:szCs w:val="24"/>
        </w:rPr>
      </w:pPr>
      <w:r w:rsidRPr="00F55200">
        <w:rPr>
          <w:rFonts w:ascii="Book Antiqua" w:hAnsi="Book Antiqua" w:cs="Times New Roman"/>
          <w:b/>
          <w:sz w:val="24"/>
          <w:szCs w:val="24"/>
        </w:rPr>
        <w:t>Informed consent statement:</w:t>
      </w:r>
      <w:r w:rsidR="00A84078">
        <w:rPr>
          <w:rFonts w:ascii="Book Antiqua" w:eastAsia="宋体" w:hAnsi="Book Antiqua" w:cs="Times New Roman" w:hint="eastAsia"/>
          <w:b/>
          <w:sz w:val="24"/>
          <w:szCs w:val="24"/>
          <w:lang w:eastAsia="zh-CN"/>
        </w:rPr>
        <w:t xml:space="preserve"> </w:t>
      </w:r>
      <w:r w:rsidRPr="009D4FBD">
        <w:rPr>
          <w:rFonts w:ascii="Book Antiqua" w:hAnsi="Book Antiqua" w:cs="Times New Roman"/>
          <w:color w:val="000000" w:themeColor="text1"/>
          <w:sz w:val="24"/>
          <w:szCs w:val="24"/>
        </w:rPr>
        <w:t>All study participants provided informed written consent prior to study enrollment</w:t>
      </w:r>
      <w:r w:rsidR="00083723" w:rsidRPr="009D4FBD">
        <w:rPr>
          <w:rFonts w:ascii="Book Antiqua" w:hAnsi="Book Antiqua" w:cs="Times New Roman"/>
          <w:color w:val="000000" w:themeColor="text1"/>
          <w:sz w:val="24"/>
          <w:szCs w:val="24"/>
        </w:rPr>
        <w:t>.</w:t>
      </w:r>
      <w:r w:rsidRPr="009D4FBD">
        <w:rPr>
          <w:rFonts w:ascii="Book Antiqua" w:hAnsi="Book Antiqua" w:cs="Times New Roman"/>
          <w:color w:val="000000" w:themeColor="text1"/>
          <w:sz w:val="24"/>
          <w:szCs w:val="24"/>
        </w:rPr>
        <w:t xml:space="preserve"> </w:t>
      </w:r>
    </w:p>
    <w:p w14:paraId="49F63A4B" w14:textId="77777777" w:rsidR="003E3401" w:rsidRPr="00042FE3" w:rsidRDefault="003E3401" w:rsidP="004449A0">
      <w:pPr>
        <w:spacing w:line="360" w:lineRule="auto"/>
        <w:rPr>
          <w:rFonts w:ascii="Book Antiqua" w:hAnsi="Book Antiqua" w:cs="Times New Roman"/>
          <w:color w:val="FF0000"/>
          <w:sz w:val="24"/>
          <w:szCs w:val="24"/>
        </w:rPr>
      </w:pPr>
    </w:p>
    <w:p w14:paraId="1769F8B1" w14:textId="20FAEC95" w:rsidR="003E3401" w:rsidRPr="00A84078" w:rsidRDefault="005268F6" w:rsidP="004449A0">
      <w:pPr>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Conflict-of-interest</w:t>
      </w:r>
      <w:r>
        <w:rPr>
          <w:rFonts w:ascii="Book Antiqua" w:eastAsia="宋体" w:hAnsi="Book Antiqua" w:cs="Times New Roman" w:hint="eastAsia"/>
          <w:b/>
          <w:color w:val="000000" w:themeColor="text1"/>
          <w:sz w:val="24"/>
          <w:szCs w:val="24"/>
          <w:lang w:eastAsia="zh-CN"/>
        </w:rPr>
        <w:t xml:space="preserve"> </w:t>
      </w:r>
      <w:r w:rsidR="003E3401" w:rsidRPr="00042FE3">
        <w:rPr>
          <w:rFonts w:ascii="Book Antiqua" w:hAnsi="Book Antiqua" w:cs="Times New Roman"/>
          <w:b/>
          <w:color w:val="000000" w:themeColor="text1"/>
          <w:sz w:val="24"/>
          <w:szCs w:val="24"/>
        </w:rPr>
        <w:t>statement:</w:t>
      </w:r>
      <w:r w:rsidR="00A84078">
        <w:rPr>
          <w:rFonts w:ascii="Book Antiqua" w:eastAsia="宋体" w:hAnsi="Book Antiqua" w:cs="Times New Roman" w:hint="eastAsia"/>
          <w:b/>
          <w:color w:val="000000" w:themeColor="text1"/>
          <w:sz w:val="24"/>
          <w:szCs w:val="24"/>
          <w:lang w:eastAsia="zh-CN"/>
        </w:rPr>
        <w:t xml:space="preserve"> </w:t>
      </w:r>
      <w:proofErr w:type="spellStart"/>
      <w:r w:rsidR="003E3401" w:rsidRPr="00042FE3">
        <w:rPr>
          <w:rFonts w:ascii="Book Antiqua" w:hAnsi="Book Antiqua" w:cs="Times New Roman"/>
          <w:color w:val="000000" w:themeColor="text1"/>
          <w:sz w:val="24"/>
          <w:szCs w:val="24"/>
        </w:rPr>
        <w:t>Yoshito</w:t>
      </w:r>
      <w:proofErr w:type="spellEnd"/>
      <w:r w:rsidR="003E3401" w:rsidRPr="00042FE3">
        <w:rPr>
          <w:rFonts w:ascii="Book Antiqua" w:hAnsi="Book Antiqua" w:cs="Times New Roman"/>
          <w:color w:val="000000" w:themeColor="text1"/>
          <w:sz w:val="24"/>
          <w:szCs w:val="24"/>
        </w:rPr>
        <w:t xml:space="preserve"> Itoh receives honoraria from Bristol-Myers K.K., MSD K.K</w:t>
      </w:r>
      <w:proofErr w:type="gramStart"/>
      <w:r w:rsidR="003E3401" w:rsidRPr="00042FE3">
        <w:rPr>
          <w:rFonts w:ascii="Book Antiqua" w:hAnsi="Book Antiqua" w:cs="Times New Roman"/>
          <w:color w:val="000000" w:themeColor="text1"/>
          <w:sz w:val="24"/>
          <w:szCs w:val="24"/>
        </w:rPr>
        <w:t>.</w:t>
      </w:r>
      <w:r w:rsidR="005F0BA5">
        <w:rPr>
          <w:rFonts w:ascii="Book Antiqua" w:hAnsi="Book Antiqua" w:cs="Times New Roman"/>
          <w:color w:val="000000" w:themeColor="text1"/>
          <w:sz w:val="24"/>
          <w:szCs w:val="24"/>
        </w:rPr>
        <w:t>.</w:t>
      </w:r>
      <w:proofErr w:type="gramEnd"/>
      <w:r w:rsidR="003E3401" w:rsidRPr="00042FE3">
        <w:rPr>
          <w:rFonts w:ascii="Book Antiqua" w:hAnsi="Book Antiqua" w:cs="Times New Roman"/>
          <w:color w:val="000000" w:themeColor="text1"/>
          <w:sz w:val="24"/>
          <w:szCs w:val="24"/>
        </w:rPr>
        <w:t xml:space="preserve"> </w:t>
      </w:r>
      <w:proofErr w:type="spellStart"/>
      <w:r w:rsidR="003E3401" w:rsidRPr="00042FE3">
        <w:rPr>
          <w:rFonts w:ascii="Book Antiqua" w:hAnsi="Book Antiqua" w:cs="Times New Roman"/>
          <w:color w:val="000000" w:themeColor="text1"/>
          <w:sz w:val="24"/>
          <w:szCs w:val="24"/>
        </w:rPr>
        <w:t>Yoshito</w:t>
      </w:r>
      <w:proofErr w:type="spellEnd"/>
      <w:r w:rsidR="003E3401" w:rsidRPr="00042FE3">
        <w:rPr>
          <w:rFonts w:ascii="Book Antiqua" w:hAnsi="Book Antiqua" w:cs="Times New Roman"/>
          <w:color w:val="000000" w:themeColor="text1"/>
          <w:sz w:val="24"/>
          <w:szCs w:val="24"/>
        </w:rPr>
        <w:t xml:space="preserve"> Itoh receives research grant from MSD K.K., </w:t>
      </w:r>
      <w:r w:rsidR="005F0BA5" w:rsidRPr="005F0BA5">
        <w:rPr>
          <w:rFonts w:ascii="Book Antiqua" w:hAnsi="Book Antiqua" w:cs="Times New Roman"/>
          <w:color w:val="000000" w:themeColor="text1"/>
          <w:sz w:val="24"/>
          <w:szCs w:val="24"/>
        </w:rPr>
        <w:t xml:space="preserve">Chugai </w:t>
      </w:r>
      <w:proofErr w:type="spellStart"/>
      <w:r w:rsidR="005F0BA5" w:rsidRPr="005F0BA5">
        <w:rPr>
          <w:rFonts w:ascii="Book Antiqua" w:hAnsi="Book Antiqua" w:cs="Times New Roman"/>
          <w:color w:val="000000" w:themeColor="text1"/>
          <w:sz w:val="24"/>
          <w:szCs w:val="24"/>
        </w:rPr>
        <w:t>Phram</w:t>
      </w:r>
      <w:proofErr w:type="spellEnd"/>
      <w:r w:rsidR="005F0BA5">
        <w:rPr>
          <w:rFonts w:ascii="Book Antiqua" w:hAnsi="Book Antiqua" w:cs="Times New Roman"/>
          <w:color w:val="000000" w:themeColor="text1"/>
          <w:sz w:val="24"/>
          <w:szCs w:val="24"/>
        </w:rPr>
        <w:t>,</w:t>
      </w:r>
      <w:r w:rsidR="005F0BA5" w:rsidRPr="005F0BA5">
        <w:rPr>
          <w:rFonts w:ascii="Book Antiqua" w:hAnsi="Book Antiqua" w:cs="Times New Roman"/>
          <w:color w:val="000000" w:themeColor="text1"/>
          <w:sz w:val="24"/>
          <w:szCs w:val="24"/>
        </w:rPr>
        <w:t xml:space="preserve"> </w:t>
      </w:r>
      <w:r w:rsidR="00AA5A47">
        <w:rPr>
          <w:rFonts w:ascii="Book Antiqua" w:hAnsi="Book Antiqua" w:cs="Times New Roman"/>
          <w:color w:val="000000" w:themeColor="text1"/>
          <w:sz w:val="24"/>
          <w:szCs w:val="24"/>
        </w:rPr>
        <w:t xml:space="preserve">Bristol-Myers K.K., </w:t>
      </w:r>
      <w:r w:rsidR="003E3401" w:rsidRPr="00042FE3">
        <w:rPr>
          <w:rFonts w:ascii="Book Antiqua" w:hAnsi="Book Antiqua" w:cs="Times New Roman"/>
          <w:color w:val="000000" w:themeColor="text1"/>
          <w:sz w:val="24"/>
          <w:szCs w:val="24"/>
        </w:rPr>
        <w:t>Gilead Sciences, Inc</w:t>
      </w:r>
      <w:r w:rsidR="00AA5A47">
        <w:rPr>
          <w:rFonts w:ascii="Book Antiqua" w:hAnsi="Book Antiqua" w:cs="Times New Roman"/>
          <w:color w:val="000000" w:themeColor="text1"/>
          <w:sz w:val="24"/>
          <w:szCs w:val="24"/>
        </w:rPr>
        <w:t>.</w:t>
      </w:r>
      <w:r w:rsidR="003E3401" w:rsidRPr="00042FE3">
        <w:rPr>
          <w:rFonts w:ascii="Book Antiqua" w:hAnsi="Book Antiqua" w:cs="Times New Roman"/>
          <w:color w:val="000000" w:themeColor="text1"/>
          <w:sz w:val="24"/>
          <w:szCs w:val="24"/>
        </w:rPr>
        <w:t xml:space="preserve">, Mitsubishi </w:t>
      </w:r>
      <w:r w:rsidR="003E3401" w:rsidRPr="00042FE3">
        <w:rPr>
          <w:rFonts w:ascii="Book Antiqua" w:hAnsi="Book Antiqua" w:cs="Times New Roman"/>
          <w:color w:val="000000" w:themeColor="text1"/>
          <w:sz w:val="24"/>
          <w:szCs w:val="24"/>
        </w:rPr>
        <w:lastRenderedPageBreak/>
        <w:t xml:space="preserve">Tanabe Pharma Corporation, </w:t>
      </w:r>
      <w:proofErr w:type="gramStart"/>
      <w:r w:rsidR="003E3401" w:rsidRPr="00042FE3">
        <w:rPr>
          <w:rFonts w:ascii="Book Antiqua" w:hAnsi="Book Antiqua" w:cs="Times New Roman"/>
          <w:color w:val="000000" w:themeColor="text1"/>
          <w:sz w:val="24"/>
          <w:szCs w:val="24"/>
        </w:rPr>
        <w:t>Dainippon</w:t>
      </w:r>
      <w:proofErr w:type="gramEnd"/>
      <w:r w:rsidR="00AA5A47">
        <w:rPr>
          <w:rFonts w:ascii="Book Antiqua" w:hAnsi="Book Antiqua" w:cs="Times New Roman"/>
          <w:color w:val="000000" w:themeColor="text1"/>
          <w:sz w:val="24"/>
          <w:szCs w:val="24"/>
        </w:rPr>
        <w:t xml:space="preserve"> </w:t>
      </w:r>
      <w:r w:rsidR="003E3401" w:rsidRPr="00042FE3">
        <w:rPr>
          <w:rFonts w:ascii="Book Antiqua" w:hAnsi="Book Antiqua" w:cs="Times New Roman"/>
          <w:color w:val="000000" w:themeColor="text1"/>
          <w:sz w:val="24"/>
          <w:szCs w:val="24"/>
        </w:rPr>
        <w:t>Sumitomo</w:t>
      </w:r>
      <w:r w:rsidR="00AA5A47">
        <w:rPr>
          <w:rFonts w:ascii="Book Antiqua" w:hAnsi="Book Antiqua" w:cs="Times New Roman"/>
          <w:color w:val="000000" w:themeColor="text1"/>
          <w:sz w:val="24"/>
          <w:szCs w:val="24"/>
        </w:rPr>
        <w:t xml:space="preserve"> </w:t>
      </w:r>
      <w:r w:rsidR="003E3401" w:rsidRPr="00042FE3">
        <w:rPr>
          <w:rFonts w:ascii="Book Antiqua" w:hAnsi="Book Antiqua" w:cs="Times New Roman"/>
          <w:color w:val="000000" w:themeColor="text1"/>
          <w:sz w:val="24"/>
          <w:szCs w:val="24"/>
        </w:rPr>
        <w:t>Pharma</w:t>
      </w:r>
      <w:r w:rsidR="00AA5A47">
        <w:rPr>
          <w:rFonts w:ascii="Book Antiqua" w:hAnsi="Book Antiqua" w:cs="Times New Roman"/>
          <w:color w:val="000000" w:themeColor="text1"/>
          <w:sz w:val="24"/>
          <w:szCs w:val="24"/>
        </w:rPr>
        <w:t xml:space="preserve"> </w:t>
      </w:r>
      <w:r w:rsidR="003E3401" w:rsidRPr="00042FE3">
        <w:rPr>
          <w:rFonts w:ascii="Book Antiqua" w:hAnsi="Book Antiqua" w:cs="Times New Roman"/>
          <w:color w:val="000000" w:themeColor="text1"/>
          <w:sz w:val="24"/>
          <w:szCs w:val="24"/>
        </w:rPr>
        <w:t>Co.,</w:t>
      </w:r>
      <w:r w:rsidR="00AA5A47">
        <w:rPr>
          <w:rFonts w:ascii="Book Antiqua" w:hAnsi="Book Antiqua" w:cs="Times New Roman"/>
          <w:color w:val="000000" w:themeColor="text1"/>
          <w:sz w:val="24"/>
          <w:szCs w:val="24"/>
        </w:rPr>
        <w:t xml:space="preserve"> </w:t>
      </w:r>
      <w:r w:rsidR="003E3401" w:rsidRPr="00042FE3">
        <w:rPr>
          <w:rFonts w:ascii="Book Antiqua" w:hAnsi="Book Antiqua" w:cs="Times New Roman"/>
          <w:color w:val="000000" w:themeColor="text1"/>
          <w:sz w:val="24"/>
          <w:szCs w:val="24"/>
        </w:rPr>
        <w:t>Ltd.</w:t>
      </w:r>
    </w:p>
    <w:p w14:paraId="5A20284A" w14:textId="77777777" w:rsidR="003E3401" w:rsidRPr="00042FE3" w:rsidRDefault="003E3401" w:rsidP="004449A0">
      <w:pPr>
        <w:spacing w:line="360" w:lineRule="auto"/>
        <w:rPr>
          <w:rFonts w:ascii="Book Antiqua" w:hAnsi="Book Antiqua" w:cs="Times New Roman"/>
          <w:color w:val="000000" w:themeColor="text1"/>
          <w:sz w:val="24"/>
          <w:szCs w:val="24"/>
        </w:rPr>
      </w:pPr>
    </w:p>
    <w:p w14:paraId="30DCD99C" w14:textId="3A888EC8" w:rsidR="003E3401" w:rsidRDefault="003E3401" w:rsidP="004449A0">
      <w:pPr>
        <w:spacing w:line="360" w:lineRule="auto"/>
        <w:rPr>
          <w:rFonts w:ascii="Book Antiqua" w:eastAsia="宋体" w:hAnsi="Book Antiqua" w:cs="Times New Roman"/>
          <w:color w:val="000000" w:themeColor="text1"/>
          <w:sz w:val="24"/>
          <w:szCs w:val="24"/>
          <w:lang w:eastAsia="zh-CN"/>
        </w:rPr>
      </w:pPr>
      <w:r w:rsidRPr="00042FE3">
        <w:rPr>
          <w:rFonts w:ascii="Book Antiqua" w:hAnsi="Book Antiqua" w:cs="Times New Roman"/>
          <w:b/>
          <w:color w:val="000000" w:themeColor="text1"/>
          <w:sz w:val="24"/>
          <w:szCs w:val="24"/>
        </w:rPr>
        <w:t>Data sharing statement</w:t>
      </w:r>
      <w:r w:rsidR="005B1069" w:rsidRPr="00042FE3">
        <w:rPr>
          <w:rFonts w:ascii="Book Antiqua" w:hAnsi="Book Antiqua" w:cs="Times New Roman"/>
          <w:b/>
          <w:color w:val="000000" w:themeColor="text1"/>
          <w:sz w:val="24"/>
          <w:szCs w:val="24"/>
        </w:rPr>
        <w:t>:</w:t>
      </w:r>
      <w:r w:rsidR="000D1E70" w:rsidRPr="00627B4F">
        <w:rPr>
          <w:rFonts w:ascii="Book Antiqua" w:hAnsi="Book Antiqua" w:cs="Times New Roman"/>
          <w:b/>
          <w:color w:val="000000" w:themeColor="text1"/>
          <w:sz w:val="24"/>
          <w:szCs w:val="24"/>
        </w:rPr>
        <w:t xml:space="preserve"> </w:t>
      </w:r>
      <w:r w:rsidR="005B1069" w:rsidRPr="00042FE3">
        <w:rPr>
          <w:rFonts w:ascii="Book Antiqua" w:hAnsi="Book Antiqua" w:cs="Times New Roman"/>
          <w:color w:val="000000" w:themeColor="text1"/>
          <w:sz w:val="24"/>
          <w:szCs w:val="24"/>
        </w:rPr>
        <w:t>No additional data are available.</w:t>
      </w:r>
      <w:r w:rsidR="005F0BA5">
        <w:rPr>
          <w:rFonts w:ascii="Book Antiqua" w:hAnsi="Book Antiqua" w:cs="Times New Roman"/>
          <w:color w:val="000000" w:themeColor="text1"/>
          <w:sz w:val="24"/>
          <w:szCs w:val="24"/>
        </w:rPr>
        <w:t xml:space="preserve"> </w:t>
      </w:r>
      <w:r w:rsidR="005F0BA5" w:rsidRPr="005F0BA5">
        <w:rPr>
          <w:rFonts w:ascii="Book Antiqua" w:hAnsi="Book Antiqua" w:cs="Times New Roman"/>
          <w:color w:val="000000" w:themeColor="text1"/>
          <w:sz w:val="24"/>
          <w:szCs w:val="24"/>
        </w:rPr>
        <w:t>Responses to the request for the raw data will be judged by the IRB.</w:t>
      </w:r>
    </w:p>
    <w:p w14:paraId="2675D59D" w14:textId="77777777" w:rsidR="00A84078" w:rsidRPr="00A84078" w:rsidRDefault="00A84078" w:rsidP="004449A0">
      <w:pPr>
        <w:spacing w:line="360" w:lineRule="auto"/>
        <w:rPr>
          <w:rFonts w:ascii="Book Antiqua" w:eastAsia="宋体" w:hAnsi="Book Antiqua" w:cs="Times New Roman"/>
          <w:color w:val="000000" w:themeColor="text1"/>
          <w:sz w:val="24"/>
          <w:szCs w:val="24"/>
          <w:lang w:eastAsia="zh-CN"/>
        </w:rPr>
      </w:pPr>
    </w:p>
    <w:p w14:paraId="26DA798D" w14:textId="77777777" w:rsidR="00A84078" w:rsidRPr="00164EDB" w:rsidRDefault="00A84078" w:rsidP="00A84078">
      <w:pPr>
        <w:spacing w:line="360" w:lineRule="auto"/>
        <w:rPr>
          <w:rFonts w:ascii="Book Antiqua" w:hAnsi="Book Antiqua"/>
          <w:b/>
          <w:color w:val="000000"/>
          <w:kern w:val="0"/>
          <w:sz w:val="24"/>
        </w:rPr>
      </w:pPr>
      <w:bookmarkStart w:id="3" w:name="OLE_LINK155"/>
      <w:bookmarkStart w:id="4" w:name="OLE_LINK183"/>
      <w:r w:rsidRPr="00164EDB">
        <w:rPr>
          <w:rFonts w:ascii="Book Antiqua" w:hAnsi="Book Antiqua"/>
          <w:b/>
          <w:color w:val="000000"/>
          <w:kern w:val="0"/>
          <w:sz w:val="24"/>
        </w:rPr>
        <w:t xml:space="preserve">Open-Access: </w:t>
      </w:r>
      <w:r w:rsidRPr="00164EDB">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bookmarkEnd w:id="4"/>
    <w:p w14:paraId="76A6D578" w14:textId="77777777" w:rsidR="005B1069" w:rsidRPr="00042FE3" w:rsidRDefault="005B1069" w:rsidP="004449A0">
      <w:pPr>
        <w:spacing w:line="360" w:lineRule="auto"/>
        <w:rPr>
          <w:rFonts w:ascii="Book Antiqua" w:hAnsi="Book Antiqua" w:cs="Times New Roman"/>
          <w:color w:val="000000" w:themeColor="text1"/>
          <w:sz w:val="24"/>
          <w:szCs w:val="24"/>
        </w:rPr>
      </w:pPr>
    </w:p>
    <w:p w14:paraId="5E9C95D9" w14:textId="37340753" w:rsidR="00A775E0" w:rsidRPr="00042FE3" w:rsidRDefault="005B1069" w:rsidP="004449A0">
      <w:pPr>
        <w:spacing w:line="360" w:lineRule="auto"/>
        <w:rPr>
          <w:rFonts w:ascii="Book Antiqua" w:hAnsi="Book Antiqua" w:cs="Times New Roman"/>
          <w:kern w:val="0"/>
          <w:sz w:val="24"/>
          <w:szCs w:val="24"/>
        </w:rPr>
      </w:pPr>
      <w:r w:rsidRPr="00042FE3">
        <w:rPr>
          <w:rFonts w:ascii="Book Antiqua" w:hAnsi="Book Antiqua" w:cs="Times New Roman"/>
          <w:b/>
          <w:kern w:val="0"/>
          <w:sz w:val="24"/>
          <w:szCs w:val="24"/>
        </w:rPr>
        <w:t>Correspondence to:</w:t>
      </w:r>
      <w:r w:rsidR="00A775E0" w:rsidRPr="00042FE3">
        <w:rPr>
          <w:rFonts w:ascii="Book Antiqua" w:hAnsi="Book Antiqua" w:cs="Times New Roman"/>
          <w:b/>
          <w:sz w:val="24"/>
          <w:szCs w:val="24"/>
        </w:rPr>
        <w:t xml:space="preserve"> </w:t>
      </w:r>
      <w:r w:rsidR="00BC68A1">
        <w:rPr>
          <w:rFonts w:ascii="Book Antiqua" w:hAnsi="Book Antiqua" w:cs="Times New Roman"/>
          <w:b/>
          <w:kern w:val="0"/>
          <w:sz w:val="24"/>
          <w:szCs w:val="24"/>
        </w:rPr>
        <w:t xml:space="preserve">Hideki </w:t>
      </w:r>
      <w:proofErr w:type="spellStart"/>
      <w:r w:rsidR="00BC68A1">
        <w:rPr>
          <w:rFonts w:ascii="Book Antiqua" w:hAnsi="Book Antiqua" w:cs="Times New Roman"/>
          <w:b/>
          <w:kern w:val="0"/>
          <w:sz w:val="24"/>
          <w:szCs w:val="24"/>
        </w:rPr>
        <w:t>Fujii</w:t>
      </w:r>
      <w:proofErr w:type="spellEnd"/>
      <w:r w:rsidR="00BC68A1">
        <w:rPr>
          <w:rFonts w:ascii="Book Antiqua" w:hAnsi="Book Antiqua" w:cs="Times New Roman"/>
          <w:b/>
          <w:kern w:val="0"/>
          <w:sz w:val="24"/>
          <w:szCs w:val="24"/>
        </w:rPr>
        <w:t>, MD, PhD</w:t>
      </w:r>
      <w:r w:rsidR="00A775E0" w:rsidRPr="00A84078">
        <w:rPr>
          <w:rFonts w:ascii="Book Antiqua" w:hAnsi="Book Antiqua" w:cs="Times New Roman"/>
          <w:b/>
          <w:kern w:val="0"/>
          <w:sz w:val="24"/>
          <w:szCs w:val="24"/>
        </w:rPr>
        <w:t>,</w:t>
      </w:r>
      <w:r w:rsidR="00A84078">
        <w:rPr>
          <w:rFonts w:ascii="Book Antiqua" w:eastAsia="宋体" w:hAnsi="Book Antiqua" w:cs="Times New Roman" w:hint="eastAsia"/>
          <w:kern w:val="0"/>
          <w:sz w:val="24"/>
          <w:szCs w:val="24"/>
          <w:lang w:eastAsia="zh-CN"/>
        </w:rPr>
        <w:t xml:space="preserve"> </w:t>
      </w:r>
      <w:r w:rsidR="00A775E0" w:rsidRPr="00042FE3">
        <w:rPr>
          <w:rFonts w:ascii="Book Antiqua" w:hAnsi="Book Antiqua" w:cs="Times New Roman"/>
          <w:kern w:val="0"/>
          <w:sz w:val="24"/>
          <w:szCs w:val="24"/>
        </w:rPr>
        <w:t>Department of Molecular Gastroenterology and Hepat</w:t>
      </w:r>
      <w:r w:rsidR="00A775E0" w:rsidRPr="005268F6">
        <w:rPr>
          <w:rFonts w:ascii="Book Antiqua" w:hAnsi="Book Antiqua" w:cs="Times New Roman"/>
          <w:kern w:val="0"/>
          <w:sz w:val="24"/>
          <w:szCs w:val="24"/>
        </w:rPr>
        <w:t>ology, Kyoto Prefectural University of Medicine,</w:t>
      </w:r>
      <w:r w:rsidR="00A775E0" w:rsidRPr="00042FE3">
        <w:rPr>
          <w:rFonts w:ascii="Book Antiqua" w:hAnsi="Book Antiqua" w:cs="Times New Roman"/>
          <w:kern w:val="0"/>
          <w:sz w:val="24"/>
          <w:szCs w:val="24"/>
        </w:rPr>
        <w:t xml:space="preserve"> </w:t>
      </w:r>
      <w:r w:rsidR="005268F6" w:rsidRPr="005268F6">
        <w:rPr>
          <w:rFonts w:ascii="Book Antiqua" w:hAnsi="Book Antiqua" w:cs="Times New Roman"/>
          <w:kern w:val="0"/>
          <w:sz w:val="24"/>
          <w:szCs w:val="24"/>
        </w:rPr>
        <w:t xml:space="preserve">465 </w:t>
      </w:r>
      <w:proofErr w:type="spellStart"/>
      <w:r w:rsidR="005268F6" w:rsidRPr="005268F6">
        <w:rPr>
          <w:rFonts w:ascii="Book Antiqua" w:hAnsi="Book Antiqua" w:cs="Times New Roman"/>
          <w:kern w:val="0"/>
          <w:sz w:val="24"/>
          <w:szCs w:val="24"/>
        </w:rPr>
        <w:t>Kajii-cho</w:t>
      </w:r>
      <w:proofErr w:type="spellEnd"/>
      <w:r w:rsidR="005268F6" w:rsidRPr="005268F6">
        <w:rPr>
          <w:rFonts w:ascii="Book Antiqua" w:hAnsi="Book Antiqua" w:cs="Times New Roman"/>
          <w:kern w:val="0"/>
          <w:sz w:val="24"/>
          <w:szCs w:val="24"/>
        </w:rPr>
        <w:t xml:space="preserve">, </w:t>
      </w:r>
      <w:proofErr w:type="spellStart"/>
      <w:r w:rsidR="005268F6" w:rsidRPr="005268F6">
        <w:rPr>
          <w:rFonts w:ascii="Book Antiqua" w:hAnsi="Book Antiqua" w:cs="Times New Roman"/>
          <w:kern w:val="0"/>
          <w:sz w:val="24"/>
          <w:szCs w:val="24"/>
        </w:rPr>
        <w:t>Hirokoji</w:t>
      </w:r>
      <w:proofErr w:type="spellEnd"/>
      <w:r w:rsidR="005268F6" w:rsidRPr="005268F6">
        <w:rPr>
          <w:rFonts w:ascii="Book Antiqua" w:hAnsi="Book Antiqua" w:cs="Times New Roman"/>
          <w:kern w:val="0"/>
          <w:sz w:val="24"/>
          <w:szCs w:val="24"/>
        </w:rPr>
        <w:t xml:space="preserve"> </w:t>
      </w:r>
      <w:proofErr w:type="spellStart"/>
      <w:r w:rsidR="005268F6" w:rsidRPr="005268F6">
        <w:rPr>
          <w:rFonts w:ascii="Book Antiqua" w:hAnsi="Book Antiqua" w:cs="Times New Roman"/>
          <w:kern w:val="0"/>
          <w:sz w:val="24"/>
          <w:szCs w:val="24"/>
        </w:rPr>
        <w:t>Agaru</w:t>
      </w:r>
      <w:proofErr w:type="spellEnd"/>
      <w:r w:rsidR="005268F6" w:rsidRPr="005268F6">
        <w:rPr>
          <w:rFonts w:ascii="Book Antiqua" w:hAnsi="Book Antiqua" w:cs="Times New Roman"/>
          <w:kern w:val="0"/>
          <w:sz w:val="24"/>
          <w:szCs w:val="24"/>
        </w:rPr>
        <w:t xml:space="preserve">, </w:t>
      </w:r>
      <w:proofErr w:type="spellStart"/>
      <w:r w:rsidR="005268F6" w:rsidRPr="005268F6">
        <w:rPr>
          <w:rFonts w:ascii="Book Antiqua" w:hAnsi="Book Antiqua" w:cs="Times New Roman"/>
          <w:kern w:val="0"/>
          <w:sz w:val="24"/>
          <w:szCs w:val="24"/>
        </w:rPr>
        <w:t>Kawaramachi-dori</w:t>
      </w:r>
      <w:proofErr w:type="spellEnd"/>
      <w:r w:rsidR="005268F6" w:rsidRPr="005268F6">
        <w:rPr>
          <w:rFonts w:ascii="Book Antiqua" w:hAnsi="Book Antiqua" w:cs="Times New Roman"/>
          <w:kern w:val="0"/>
          <w:sz w:val="24"/>
          <w:szCs w:val="24"/>
        </w:rPr>
        <w:t>, Kamigyo-</w:t>
      </w:r>
      <w:proofErr w:type="spellStart"/>
      <w:r w:rsidR="005268F6" w:rsidRPr="005268F6">
        <w:rPr>
          <w:rFonts w:ascii="Book Antiqua" w:hAnsi="Book Antiqua" w:cs="Times New Roman"/>
          <w:kern w:val="0"/>
          <w:sz w:val="24"/>
          <w:szCs w:val="24"/>
        </w:rPr>
        <w:t>ku</w:t>
      </w:r>
      <w:proofErr w:type="spellEnd"/>
      <w:r w:rsidR="005268F6" w:rsidRPr="005268F6">
        <w:rPr>
          <w:rFonts w:ascii="Book Antiqua" w:hAnsi="Book Antiqua" w:cs="Times New Roman"/>
          <w:kern w:val="0"/>
          <w:sz w:val="24"/>
          <w:szCs w:val="24"/>
        </w:rPr>
        <w:t xml:space="preserve">, </w:t>
      </w:r>
      <w:r w:rsidR="00A775E0" w:rsidRPr="00042FE3">
        <w:rPr>
          <w:rFonts w:ascii="Book Antiqua" w:hAnsi="Book Antiqua" w:cs="Times New Roman"/>
          <w:kern w:val="0"/>
          <w:sz w:val="24"/>
          <w:szCs w:val="24"/>
        </w:rPr>
        <w:t xml:space="preserve">Kyoto 6028566, Japan. </w:t>
      </w:r>
      <w:hyperlink r:id="rId8" w:history="1">
        <w:r w:rsidR="002B03EA" w:rsidRPr="00BC68A1">
          <w:rPr>
            <w:rStyle w:val="Hyperlink"/>
            <w:rFonts w:ascii="Book Antiqua" w:hAnsi="Book Antiqua" w:cs="Times New Roman"/>
            <w:color w:val="auto"/>
            <w:kern w:val="0"/>
            <w:sz w:val="24"/>
            <w:szCs w:val="24"/>
            <w:u w:val="none"/>
          </w:rPr>
          <w:t>hidekifuiii710810@yahoo.co.jp</w:t>
        </w:r>
      </w:hyperlink>
    </w:p>
    <w:p w14:paraId="382D9002" w14:textId="299BE417" w:rsidR="00A775E0" w:rsidRPr="00042FE3" w:rsidRDefault="00A775E0" w:rsidP="004449A0">
      <w:pPr>
        <w:spacing w:line="360" w:lineRule="auto"/>
        <w:rPr>
          <w:rFonts w:ascii="Book Antiqua" w:hAnsi="Book Antiqua" w:cs="Times New Roman"/>
          <w:kern w:val="0"/>
          <w:sz w:val="24"/>
          <w:szCs w:val="24"/>
        </w:rPr>
      </w:pPr>
      <w:r w:rsidRPr="00A84078">
        <w:rPr>
          <w:rFonts w:ascii="Book Antiqua" w:hAnsi="Book Antiqua" w:cs="Times New Roman"/>
          <w:b/>
          <w:kern w:val="0"/>
          <w:sz w:val="24"/>
          <w:szCs w:val="24"/>
        </w:rPr>
        <w:t>Telephone</w:t>
      </w:r>
      <w:r w:rsidR="00BC68A1">
        <w:rPr>
          <w:rFonts w:ascii="Book Antiqua" w:hAnsi="Book Antiqua" w:cs="Times New Roman"/>
          <w:kern w:val="0"/>
          <w:sz w:val="24"/>
          <w:szCs w:val="24"/>
        </w:rPr>
        <w:t>: +81-75-251</w:t>
      </w:r>
      <w:r w:rsidRPr="00042FE3">
        <w:rPr>
          <w:rFonts w:ascii="Book Antiqua" w:hAnsi="Book Antiqua" w:cs="Times New Roman"/>
          <w:kern w:val="0"/>
          <w:sz w:val="24"/>
          <w:szCs w:val="24"/>
        </w:rPr>
        <w:t>5519</w:t>
      </w:r>
    </w:p>
    <w:p w14:paraId="74548301" w14:textId="555FB0C1" w:rsidR="00FE5EE6" w:rsidRPr="00042FE3" w:rsidRDefault="00053BD1" w:rsidP="004449A0">
      <w:pPr>
        <w:spacing w:line="360" w:lineRule="auto"/>
        <w:rPr>
          <w:rFonts w:ascii="Book Antiqua" w:hAnsi="Book Antiqua" w:cs="Times New Roman"/>
          <w:kern w:val="0"/>
          <w:sz w:val="24"/>
          <w:szCs w:val="24"/>
        </w:rPr>
      </w:pPr>
      <w:r w:rsidRPr="00A84078">
        <w:rPr>
          <w:rFonts w:ascii="Book Antiqua" w:hAnsi="Book Antiqua" w:cs="Times New Roman"/>
          <w:b/>
          <w:kern w:val="0"/>
          <w:sz w:val="24"/>
          <w:szCs w:val="24"/>
        </w:rPr>
        <w:t>Fax</w:t>
      </w:r>
      <w:r w:rsidRPr="00042FE3">
        <w:rPr>
          <w:rFonts w:ascii="Book Antiqua" w:hAnsi="Book Antiqua" w:cs="Times New Roman"/>
          <w:kern w:val="0"/>
          <w:sz w:val="24"/>
          <w:szCs w:val="24"/>
        </w:rPr>
        <w:t>:</w:t>
      </w:r>
      <w:r w:rsidR="002B03EA" w:rsidRPr="00042FE3">
        <w:rPr>
          <w:rFonts w:ascii="Book Antiqua" w:hAnsi="Book Antiqua" w:cs="Times New Roman"/>
          <w:kern w:val="0"/>
          <w:sz w:val="24"/>
          <w:szCs w:val="24"/>
        </w:rPr>
        <w:t xml:space="preserve"> </w:t>
      </w:r>
      <w:r w:rsidR="00BC68A1">
        <w:rPr>
          <w:rFonts w:ascii="Book Antiqua" w:hAnsi="Book Antiqua" w:cs="Times New Roman"/>
          <w:kern w:val="0"/>
          <w:sz w:val="24"/>
          <w:szCs w:val="24"/>
        </w:rPr>
        <w:t>+81-75-251</w:t>
      </w:r>
      <w:r w:rsidRPr="00042FE3">
        <w:rPr>
          <w:rFonts w:ascii="Book Antiqua" w:hAnsi="Book Antiqua" w:cs="Times New Roman"/>
          <w:kern w:val="0"/>
          <w:sz w:val="24"/>
          <w:szCs w:val="24"/>
        </w:rPr>
        <w:t>0710</w:t>
      </w:r>
    </w:p>
    <w:p w14:paraId="2DC0DADB" w14:textId="77777777" w:rsidR="00053BD1" w:rsidRPr="00042FE3" w:rsidRDefault="00053BD1" w:rsidP="004449A0">
      <w:pPr>
        <w:spacing w:line="360" w:lineRule="auto"/>
        <w:rPr>
          <w:rFonts w:ascii="Book Antiqua" w:hAnsi="Book Antiqua" w:cs="Book Antiqua"/>
          <w:kern w:val="0"/>
          <w:sz w:val="23"/>
          <w:szCs w:val="23"/>
        </w:rPr>
      </w:pPr>
    </w:p>
    <w:p w14:paraId="6E3BBC04" w14:textId="5C8A121B" w:rsidR="00A84078" w:rsidRPr="00BC68A1" w:rsidRDefault="00A84078" w:rsidP="00A84078">
      <w:pPr>
        <w:spacing w:line="360" w:lineRule="auto"/>
        <w:rPr>
          <w:rFonts w:ascii="Book Antiqua" w:eastAsia="宋体" w:hAnsi="Book Antiqua"/>
          <w:sz w:val="24"/>
          <w:lang w:eastAsia="zh-CN"/>
        </w:rPr>
      </w:pPr>
      <w:bookmarkStart w:id="5" w:name="OLE_LINK476"/>
      <w:bookmarkStart w:id="6" w:name="OLE_LINK477"/>
      <w:bookmarkStart w:id="7" w:name="OLE_LINK117"/>
      <w:bookmarkStart w:id="8" w:name="OLE_LINK528"/>
      <w:bookmarkStart w:id="9" w:name="OLE_LINK557"/>
      <w:r>
        <w:rPr>
          <w:rFonts w:ascii="Book Antiqua" w:hAnsi="Book Antiqua"/>
          <w:b/>
          <w:sz w:val="24"/>
        </w:rPr>
        <w:t>Received:</w:t>
      </w:r>
      <w:r w:rsidR="00BC68A1">
        <w:rPr>
          <w:rFonts w:ascii="Book Antiqua" w:eastAsia="宋体" w:hAnsi="Book Antiqua" w:hint="eastAsia"/>
          <w:b/>
          <w:sz w:val="24"/>
          <w:lang w:eastAsia="zh-CN"/>
        </w:rPr>
        <w:t xml:space="preserve"> </w:t>
      </w:r>
      <w:r w:rsidR="00BC68A1" w:rsidRPr="00BC68A1">
        <w:rPr>
          <w:rFonts w:ascii="Book Antiqua" w:eastAsia="宋体" w:hAnsi="Book Antiqua" w:hint="eastAsia"/>
          <w:sz w:val="24"/>
          <w:lang w:eastAsia="zh-CN"/>
        </w:rPr>
        <w:t>August 16, 2015</w:t>
      </w:r>
    </w:p>
    <w:p w14:paraId="04A8D540" w14:textId="6209DC8F" w:rsidR="00A84078" w:rsidRPr="005268F6" w:rsidRDefault="00A84078" w:rsidP="00A84078">
      <w:pPr>
        <w:spacing w:line="360" w:lineRule="auto"/>
        <w:rPr>
          <w:rFonts w:ascii="Book Antiqua" w:eastAsia="宋体"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00BC68A1">
        <w:rPr>
          <w:rFonts w:ascii="Book Antiqua" w:eastAsia="宋体" w:hAnsi="Book Antiqua" w:hint="eastAsia"/>
          <w:b/>
          <w:sz w:val="24"/>
          <w:lang w:eastAsia="zh-CN"/>
        </w:rPr>
        <w:t xml:space="preserve"> </w:t>
      </w:r>
      <w:r w:rsidR="00BC68A1" w:rsidRPr="00BC68A1">
        <w:rPr>
          <w:rFonts w:ascii="Book Antiqua" w:eastAsia="宋体" w:hAnsi="Book Antiqua" w:hint="eastAsia"/>
          <w:sz w:val="24"/>
          <w:lang w:eastAsia="zh-CN"/>
        </w:rPr>
        <w:t xml:space="preserve">August </w:t>
      </w:r>
      <w:r w:rsidR="00BC68A1">
        <w:rPr>
          <w:rFonts w:ascii="Book Antiqua" w:eastAsia="宋体" w:hAnsi="Book Antiqua" w:hint="eastAsia"/>
          <w:sz w:val="24"/>
          <w:lang w:eastAsia="zh-CN"/>
        </w:rPr>
        <w:t>18</w:t>
      </w:r>
      <w:r w:rsidR="00BC68A1" w:rsidRPr="00BC68A1">
        <w:rPr>
          <w:rFonts w:ascii="Book Antiqua" w:eastAsia="宋体" w:hAnsi="Book Antiqua" w:hint="eastAsia"/>
          <w:sz w:val="24"/>
          <w:lang w:eastAsia="zh-CN"/>
        </w:rPr>
        <w:t>, 2015</w:t>
      </w:r>
    </w:p>
    <w:p w14:paraId="5C09AC06" w14:textId="1111945D" w:rsidR="00A84078" w:rsidRPr="00BC68A1" w:rsidRDefault="00A84078" w:rsidP="00A84078">
      <w:pPr>
        <w:spacing w:line="360" w:lineRule="auto"/>
        <w:rPr>
          <w:rFonts w:ascii="Book Antiqua" w:eastAsia="宋体" w:hAnsi="Book Antiqua"/>
          <w:sz w:val="24"/>
          <w:lang w:eastAsia="zh-CN"/>
        </w:rPr>
      </w:pPr>
      <w:r w:rsidRPr="009659DA">
        <w:rPr>
          <w:rFonts w:ascii="Book Antiqua" w:hAnsi="Book Antiqua"/>
          <w:b/>
          <w:sz w:val="24"/>
        </w:rPr>
        <w:t>First decision:</w:t>
      </w:r>
      <w:r w:rsidR="00BC68A1">
        <w:rPr>
          <w:rFonts w:ascii="Book Antiqua" w:eastAsia="宋体" w:hAnsi="Book Antiqua" w:hint="eastAsia"/>
          <w:b/>
          <w:sz w:val="24"/>
          <w:lang w:eastAsia="zh-CN"/>
        </w:rPr>
        <w:t xml:space="preserve"> </w:t>
      </w:r>
      <w:r w:rsidR="00BC68A1" w:rsidRPr="00BC68A1">
        <w:rPr>
          <w:rFonts w:ascii="Book Antiqua" w:eastAsia="宋体" w:hAnsi="Book Antiqua"/>
          <w:sz w:val="24"/>
          <w:lang w:eastAsia="zh-CN"/>
        </w:rPr>
        <w:t xml:space="preserve">October </w:t>
      </w:r>
      <w:r w:rsidR="00BC68A1" w:rsidRPr="00BC68A1">
        <w:rPr>
          <w:rFonts w:ascii="Book Antiqua" w:eastAsia="宋体" w:hAnsi="Book Antiqua" w:hint="eastAsia"/>
          <w:sz w:val="24"/>
          <w:lang w:eastAsia="zh-CN"/>
        </w:rPr>
        <w:t>14</w:t>
      </w:r>
      <w:r w:rsidR="00BC68A1" w:rsidRPr="00BC68A1">
        <w:rPr>
          <w:rFonts w:ascii="Book Antiqua" w:eastAsia="宋体" w:hAnsi="Book Antiqua"/>
          <w:sz w:val="24"/>
          <w:lang w:eastAsia="zh-CN"/>
        </w:rPr>
        <w:t>, 2015</w:t>
      </w:r>
    </w:p>
    <w:p w14:paraId="7A194FB9" w14:textId="356DD823" w:rsidR="00A84078" w:rsidRPr="00BC68A1" w:rsidRDefault="00A84078" w:rsidP="00A84078">
      <w:pPr>
        <w:spacing w:line="360" w:lineRule="auto"/>
        <w:rPr>
          <w:rFonts w:ascii="Book Antiqua" w:eastAsia="宋体" w:hAnsi="Book Antiqua"/>
          <w:sz w:val="24"/>
          <w:lang w:eastAsia="zh-CN"/>
        </w:rPr>
      </w:pPr>
      <w:r>
        <w:rPr>
          <w:rFonts w:ascii="Book Antiqua" w:hAnsi="Book Antiqua"/>
          <w:b/>
          <w:sz w:val="24"/>
        </w:rPr>
        <w:t>Revised:</w:t>
      </w:r>
      <w:r w:rsidR="00BC68A1" w:rsidRPr="00BC68A1">
        <w:rPr>
          <w:rFonts w:ascii="Book Antiqua" w:eastAsia="宋体" w:hAnsi="Book Antiqua"/>
          <w:sz w:val="24"/>
          <w:lang w:eastAsia="zh-CN"/>
        </w:rPr>
        <w:t xml:space="preserve"> October </w:t>
      </w:r>
      <w:r w:rsidR="00BC68A1">
        <w:rPr>
          <w:rFonts w:ascii="Book Antiqua" w:eastAsia="宋体" w:hAnsi="Book Antiqua" w:hint="eastAsia"/>
          <w:sz w:val="24"/>
          <w:lang w:eastAsia="zh-CN"/>
        </w:rPr>
        <w:t>22</w:t>
      </w:r>
      <w:r w:rsidR="00BC68A1" w:rsidRPr="00BC68A1">
        <w:rPr>
          <w:rFonts w:ascii="Book Antiqua" w:eastAsia="宋体" w:hAnsi="Book Antiqua"/>
          <w:sz w:val="24"/>
          <w:lang w:eastAsia="zh-CN"/>
        </w:rPr>
        <w:t>, 2015</w:t>
      </w:r>
    </w:p>
    <w:p w14:paraId="38145B7A" w14:textId="0A5BE2AA" w:rsidR="00A84078" w:rsidRPr="00A50A3C" w:rsidRDefault="00A84078" w:rsidP="00A50A3C">
      <w:pPr>
        <w:rPr>
          <w:rFonts w:ascii="Book Antiqua" w:hAnsi="Book Antiqua"/>
          <w:iCs/>
          <w:sz w:val="24"/>
        </w:rPr>
      </w:pPr>
      <w:r>
        <w:rPr>
          <w:rFonts w:ascii="Book Antiqua" w:hAnsi="Book Antiqua"/>
          <w:b/>
          <w:sz w:val="24"/>
        </w:rPr>
        <w:lastRenderedPageBreak/>
        <w:t>Accepted:</w:t>
      </w:r>
      <w:r w:rsidR="00A50A3C" w:rsidRPr="00A50A3C">
        <w:rPr>
          <w:rStyle w:val="Emphasis"/>
        </w:rPr>
        <w:t xml:space="preserve"> </w:t>
      </w:r>
      <w:r w:rsidR="00A50A3C">
        <w:rPr>
          <w:rStyle w:val="Emphasis"/>
        </w:rPr>
        <w:t>November 10</w:t>
      </w:r>
      <w:r w:rsidR="00A50A3C" w:rsidRPr="00235CD4">
        <w:rPr>
          <w:rStyle w:val="Emphasis"/>
        </w:rPr>
        <w:t>, 2015</w:t>
      </w:r>
      <w:bookmarkStart w:id="10" w:name="_GoBack"/>
      <w:bookmarkEnd w:id="10"/>
      <w:r>
        <w:rPr>
          <w:rFonts w:ascii="Book Antiqua" w:hAnsi="Book Antiqua" w:hint="eastAsia"/>
          <w:b/>
          <w:sz w:val="24"/>
        </w:rPr>
        <w:t xml:space="preserve">  </w:t>
      </w:r>
    </w:p>
    <w:p w14:paraId="00062720" w14:textId="77777777" w:rsidR="00A84078" w:rsidRDefault="00A84078" w:rsidP="00A84078">
      <w:pPr>
        <w:spacing w:line="360" w:lineRule="auto"/>
        <w:rPr>
          <w:rFonts w:ascii="Book Antiqua" w:hAnsi="Book Antiqua"/>
          <w:b/>
          <w:sz w:val="24"/>
        </w:rPr>
      </w:pPr>
      <w:r w:rsidRPr="009659DA">
        <w:rPr>
          <w:rFonts w:ascii="Book Antiqua" w:hAnsi="Book Antiqua"/>
          <w:b/>
          <w:sz w:val="24"/>
        </w:rPr>
        <w:t>Article in press:</w:t>
      </w:r>
    </w:p>
    <w:p w14:paraId="071794E6" w14:textId="77777777" w:rsidR="00A84078" w:rsidRPr="00ED7CB9" w:rsidRDefault="00A84078" w:rsidP="00A84078">
      <w:pPr>
        <w:spacing w:line="360" w:lineRule="auto"/>
        <w:rPr>
          <w:rFonts w:ascii="Book Antiqua" w:hAnsi="Book Antiqua"/>
          <w:b/>
          <w:sz w:val="24"/>
        </w:rPr>
      </w:pPr>
      <w:r>
        <w:rPr>
          <w:rFonts w:ascii="Book Antiqua" w:hAnsi="Book Antiqua"/>
          <w:b/>
          <w:sz w:val="24"/>
        </w:rPr>
        <w:t>Published online:</w:t>
      </w:r>
    </w:p>
    <w:bookmarkEnd w:id="5"/>
    <w:bookmarkEnd w:id="6"/>
    <w:bookmarkEnd w:id="7"/>
    <w:bookmarkEnd w:id="8"/>
    <w:bookmarkEnd w:id="9"/>
    <w:p w14:paraId="5A48F94D" w14:textId="77777777" w:rsidR="00FE5EE6" w:rsidRPr="00042FE3" w:rsidRDefault="00FE5EE6" w:rsidP="004449A0">
      <w:pPr>
        <w:widowControl/>
        <w:spacing w:line="360" w:lineRule="auto"/>
        <w:jc w:val="left"/>
        <w:rPr>
          <w:rFonts w:ascii="Book Antiqua" w:hAnsi="Book Antiqua" w:cs="Book Antiqua"/>
          <w:kern w:val="0"/>
          <w:sz w:val="23"/>
          <w:szCs w:val="23"/>
        </w:rPr>
      </w:pPr>
      <w:r w:rsidRPr="00042FE3">
        <w:rPr>
          <w:rFonts w:ascii="Book Antiqua" w:hAnsi="Book Antiqua" w:cs="Book Antiqua"/>
          <w:kern w:val="0"/>
          <w:sz w:val="23"/>
          <w:szCs w:val="23"/>
        </w:rPr>
        <w:br w:type="page"/>
      </w:r>
    </w:p>
    <w:p w14:paraId="2BC8F55D" w14:textId="38A1B24E" w:rsidR="00FE5EE6" w:rsidRPr="00042FE3" w:rsidRDefault="00FE5EE6" w:rsidP="004449A0">
      <w:pPr>
        <w:pStyle w:val="1"/>
        <w:spacing w:line="360" w:lineRule="auto"/>
        <w:rPr>
          <w:rFonts w:ascii="Book Antiqua" w:eastAsia="Times New Roman" w:hAnsi="Book Antiqua" w:cs="Times New Roman"/>
          <w:b/>
          <w:bCs/>
          <w:color w:val="FF0000"/>
          <w:sz w:val="24"/>
          <w:szCs w:val="24"/>
          <w:u w:color="FF0000"/>
        </w:rPr>
      </w:pPr>
      <w:r w:rsidRPr="00042FE3">
        <w:rPr>
          <w:rFonts w:ascii="Book Antiqua" w:hAnsi="Book Antiqua"/>
          <w:b/>
          <w:bCs/>
          <w:sz w:val="24"/>
          <w:szCs w:val="24"/>
        </w:rPr>
        <w:lastRenderedPageBreak/>
        <w:t>Abstract</w:t>
      </w:r>
    </w:p>
    <w:p w14:paraId="5779A8E8" w14:textId="7B41B34C" w:rsidR="00FE5EE6" w:rsidRDefault="00FE5EE6" w:rsidP="004449A0">
      <w:pPr>
        <w:pStyle w:val="1"/>
        <w:spacing w:line="360" w:lineRule="auto"/>
        <w:rPr>
          <w:rFonts w:ascii="Book Antiqua" w:hAnsi="Book Antiqua"/>
          <w:color w:val="000000" w:themeColor="text1"/>
          <w:sz w:val="24"/>
          <w:szCs w:val="24"/>
          <w:lang w:eastAsia="zh-CN"/>
        </w:rPr>
      </w:pPr>
      <w:r w:rsidRPr="00F55200">
        <w:rPr>
          <w:rFonts w:ascii="Book Antiqua" w:hAnsi="Book Antiqua"/>
          <w:b/>
          <w:bCs/>
          <w:color w:val="000000" w:themeColor="text1"/>
          <w:sz w:val="24"/>
          <w:szCs w:val="24"/>
        </w:rPr>
        <w:t>AIM:</w:t>
      </w:r>
      <w:r w:rsidRPr="00042FE3">
        <w:rPr>
          <w:rFonts w:ascii="Book Antiqua" w:hAnsi="Book Antiqua"/>
          <w:b/>
          <w:bCs/>
          <w:color w:val="000000" w:themeColor="text1"/>
          <w:sz w:val="24"/>
          <w:szCs w:val="24"/>
        </w:rPr>
        <w:t xml:space="preserve"> </w:t>
      </w:r>
      <w:r w:rsidR="00F660AD" w:rsidRPr="00042FE3">
        <w:rPr>
          <w:rFonts w:ascii="Book Antiqua" w:hAnsi="Book Antiqua"/>
          <w:color w:val="000000" w:themeColor="text1"/>
          <w:sz w:val="24"/>
          <w:szCs w:val="24"/>
        </w:rPr>
        <w:t>T</w:t>
      </w:r>
      <w:r w:rsidRPr="00042FE3">
        <w:rPr>
          <w:rFonts w:ascii="Book Antiqua" w:hAnsi="Book Antiqua"/>
          <w:color w:val="000000" w:themeColor="text1"/>
          <w:sz w:val="24"/>
          <w:szCs w:val="24"/>
        </w:rPr>
        <w:t xml:space="preserve">o compare efficacy of </w:t>
      </w:r>
      <w:proofErr w:type="spellStart"/>
      <w:r w:rsidR="00593E51" w:rsidRPr="00042FE3">
        <w:rPr>
          <w:rFonts w:ascii="Book Antiqua" w:hAnsi="Book Antiqua"/>
          <w:color w:val="000000" w:themeColor="text1"/>
          <w:sz w:val="24"/>
          <w:szCs w:val="24"/>
        </w:rPr>
        <w:t>telaprevir</w:t>
      </w:r>
      <w:proofErr w:type="spellEnd"/>
      <w:r w:rsidR="00BC68A1">
        <w:rPr>
          <w:rFonts w:ascii="Book Antiqua" w:hAnsi="Book Antiqua" w:hint="eastAsia"/>
          <w:color w:val="000000" w:themeColor="text1"/>
          <w:sz w:val="24"/>
          <w:szCs w:val="24"/>
          <w:lang w:eastAsia="zh-CN"/>
        </w:rPr>
        <w:t xml:space="preserve"> </w:t>
      </w:r>
      <w:r w:rsidR="00DC5734" w:rsidRPr="00042FE3">
        <w:rPr>
          <w:rFonts w:ascii="Book Antiqua" w:hAnsi="Book Antiqua"/>
          <w:color w:val="000000" w:themeColor="text1"/>
          <w:sz w:val="24"/>
          <w:szCs w:val="24"/>
        </w:rPr>
        <w:t>(</w:t>
      </w:r>
      <w:r w:rsidRPr="00042FE3">
        <w:rPr>
          <w:rFonts w:ascii="Book Antiqua" w:hAnsi="Book Antiqua"/>
          <w:color w:val="000000" w:themeColor="text1"/>
          <w:sz w:val="24"/>
          <w:szCs w:val="24"/>
        </w:rPr>
        <w:t>TVR</w:t>
      </w:r>
      <w:r w:rsidR="00DC5734" w:rsidRPr="00042FE3">
        <w:rPr>
          <w:rFonts w:ascii="Book Antiqua" w:hAnsi="Book Antiqua"/>
          <w:color w:val="000000" w:themeColor="text1"/>
          <w:sz w:val="24"/>
          <w:szCs w:val="24"/>
        </w:rPr>
        <w:t>)</w:t>
      </w:r>
      <w:r w:rsidRPr="00042FE3">
        <w:rPr>
          <w:rFonts w:ascii="Book Antiqua" w:hAnsi="Book Antiqua"/>
          <w:color w:val="000000" w:themeColor="text1"/>
          <w:sz w:val="24"/>
          <w:szCs w:val="24"/>
        </w:rPr>
        <w:t xml:space="preserve"> and </w:t>
      </w:r>
      <w:proofErr w:type="spellStart"/>
      <w:r w:rsidR="009D4FBD">
        <w:rPr>
          <w:rFonts w:ascii="Book Antiqua" w:hAnsi="Book Antiqua" w:hint="eastAsia"/>
          <w:color w:val="000000" w:themeColor="text1"/>
          <w:sz w:val="24"/>
          <w:szCs w:val="24"/>
        </w:rPr>
        <w:t>s</w:t>
      </w:r>
      <w:r w:rsidR="00DC5734" w:rsidRPr="00042FE3">
        <w:rPr>
          <w:rFonts w:ascii="Book Antiqua" w:hAnsi="Book Antiqua"/>
          <w:color w:val="000000" w:themeColor="text1"/>
          <w:sz w:val="24"/>
          <w:szCs w:val="24"/>
        </w:rPr>
        <w:t>imeprevir</w:t>
      </w:r>
      <w:proofErr w:type="spellEnd"/>
      <w:r w:rsidR="00BC68A1">
        <w:rPr>
          <w:rFonts w:ascii="Book Antiqua" w:hAnsi="Book Antiqua" w:hint="eastAsia"/>
          <w:color w:val="000000" w:themeColor="text1"/>
          <w:sz w:val="24"/>
          <w:szCs w:val="24"/>
          <w:lang w:eastAsia="zh-CN"/>
        </w:rPr>
        <w:t xml:space="preserve"> </w:t>
      </w:r>
      <w:r w:rsidR="00DC5734" w:rsidRPr="00042FE3">
        <w:rPr>
          <w:rFonts w:ascii="Book Antiqua" w:hAnsi="Book Antiqua"/>
          <w:color w:val="000000" w:themeColor="text1"/>
          <w:sz w:val="24"/>
          <w:szCs w:val="24"/>
        </w:rPr>
        <w:t>(</w:t>
      </w:r>
      <w:r w:rsidRPr="00042FE3">
        <w:rPr>
          <w:rFonts w:ascii="Book Antiqua" w:hAnsi="Book Antiqua"/>
          <w:color w:val="000000" w:themeColor="text1"/>
          <w:sz w:val="24"/>
          <w:szCs w:val="24"/>
        </w:rPr>
        <w:t>SMV</w:t>
      </w:r>
      <w:r w:rsidR="00DC5734" w:rsidRPr="00042FE3">
        <w:rPr>
          <w:rFonts w:ascii="Book Antiqua" w:hAnsi="Book Antiqua"/>
          <w:color w:val="000000" w:themeColor="text1"/>
          <w:sz w:val="24"/>
          <w:szCs w:val="24"/>
        </w:rPr>
        <w:t>)</w:t>
      </w:r>
      <w:r w:rsidRPr="00042FE3">
        <w:rPr>
          <w:rFonts w:ascii="Book Antiqua" w:hAnsi="Book Antiqua"/>
          <w:color w:val="000000" w:themeColor="text1"/>
          <w:sz w:val="24"/>
          <w:szCs w:val="24"/>
        </w:rPr>
        <w:t xml:space="preserve"> </w:t>
      </w:r>
      <w:r w:rsidR="00E7660E" w:rsidRPr="00042FE3">
        <w:rPr>
          <w:rFonts w:ascii="Book Antiqua" w:hAnsi="Book Antiqua"/>
          <w:color w:val="000000" w:themeColor="text1"/>
          <w:sz w:val="24"/>
          <w:szCs w:val="24"/>
        </w:rPr>
        <w:t>combined</w:t>
      </w:r>
      <w:r w:rsidRPr="00042FE3">
        <w:rPr>
          <w:rFonts w:ascii="Book Antiqua" w:hAnsi="Book Antiqua"/>
          <w:color w:val="000000" w:themeColor="text1"/>
          <w:sz w:val="24"/>
          <w:szCs w:val="24"/>
        </w:rPr>
        <w:t xml:space="preserve"> with </w:t>
      </w:r>
      <w:proofErr w:type="spellStart"/>
      <w:r w:rsidR="00174930" w:rsidRPr="00042FE3">
        <w:rPr>
          <w:rFonts w:ascii="Book Antiqua" w:hAnsi="Book Antiqua"/>
          <w:color w:val="000000" w:themeColor="text1"/>
          <w:sz w:val="24"/>
          <w:szCs w:val="24"/>
        </w:rPr>
        <w:t>pegylated</w:t>
      </w:r>
      <w:proofErr w:type="spellEnd"/>
      <w:r w:rsidR="00174930" w:rsidRPr="00042FE3">
        <w:rPr>
          <w:rFonts w:ascii="Book Antiqua" w:hAnsi="Book Antiqua"/>
          <w:color w:val="000000" w:themeColor="text1"/>
          <w:sz w:val="24"/>
          <w:szCs w:val="24"/>
        </w:rPr>
        <w:t xml:space="preserve"> interferon (</w:t>
      </w:r>
      <w:r w:rsidRPr="00042FE3">
        <w:rPr>
          <w:rFonts w:ascii="Book Antiqua" w:hAnsi="Book Antiqua"/>
          <w:color w:val="000000" w:themeColor="text1"/>
          <w:sz w:val="24"/>
          <w:szCs w:val="24"/>
        </w:rPr>
        <w:t>PEG-IFN</w:t>
      </w:r>
      <w:r w:rsidR="00174930" w:rsidRPr="00042FE3">
        <w:rPr>
          <w:rFonts w:ascii="Book Antiqua" w:hAnsi="Book Antiqua"/>
          <w:color w:val="000000" w:themeColor="text1"/>
          <w:sz w:val="24"/>
          <w:szCs w:val="24"/>
        </w:rPr>
        <w:t>)</w:t>
      </w:r>
      <w:r w:rsidRPr="00042FE3">
        <w:rPr>
          <w:rFonts w:ascii="Book Antiqua" w:hAnsi="Book Antiqua"/>
          <w:color w:val="000000" w:themeColor="text1"/>
          <w:sz w:val="24"/>
          <w:szCs w:val="24"/>
        </w:rPr>
        <w:t xml:space="preserve"> and </w:t>
      </w:r>
      <w:r w:rsidR="00174930" w:rsidRPr="00042FE3">
        <w:rPr>
          <w:rFonts w:ascii="Book Antiqua" w:hAnsi="Book Antiqua"/>
          <w:color w:val="000000" w:themeColor="text1"/>
          <w:sz w:val="24"/>
          <w:szCs w:val="24"/>
        </w:rPr>
        <w:t>ribavirin (</w:t>
      </w:r>
      <w:r w:rsidRPr="00042FE3">
        <w:rPr>
          <w:rFonts w:ascii="Book Antiqua" w:hAnsi="Book Antiqua"/>
          <w:color w:val="000000" w:themeColor="text1"/>
          <w:sz w:val="24"/>
          <w:szCs w:val="24"/>
        </w:rPr>
        <w:t>RBV</w:t>
      </w:r>
      <w:r w:rsidR="00174930" w:rsidRPr="00042FE3">
        <w:rPr>
          <w:rFonts w:ascii="Book Antiqua" w:hAnsi="Book Antiqua"/>
          <w:color w:val="000000" w:themeColor="text1"/>
          <w:sz w:val="24"/>
          <w:szCs w:val="24"/>
        </w:rPr>
        <w:t>)</w:t>
      </w:r>
      <w:r w:rsidRPr="00042FE3">
        <w:rPr>
          <w:rFonts w:ascii="Book Antiqua" w:hAnsi="Book Antiqua"/>
          <w:color w:val="000000" w:themeColor="text1"/>
          <w:sz w:val="24"/>
          <w:szCs w:val="24"/>
        </w:rPr>
        <w:t xml:space="preserve"> </w:t>
      </w:r>
      <w:r w:rsidR="00FA5CC5" w:rsidRPr="00042FE3">
        <w:rPr>
          <w:rFonts w:ascii="Book Antiqua" w:hAnsi="Book Antiqua"/>
          <w:color w:val="000000" w:themeColor="text1"/>
          <w:sz w:val="24"/>
          <w:szCs w:val="24"/>
        </w:rPr>
        <w:t xml:space="preserve">while treating </w:t>
      </w:r>
      <w:r w:rsidR="00174930" w:rsidRPr="00042FE3">
        <w:rPr>
          <w:rFonts w:ascii="Book Antiqua" w:hAnsi="Book Antiqua"/>
          <w:color w:val="000000" w:themeColor="text1"/>
          <w:sz w:val="24"/>
          <w:szCs w:val="24"/>
        </w:rPr>
        <w:t>chronic hepatitis C</w:t>
      </w:r>
      <w:r w:rsidR="00BC68A1">
        <w:rPr>
          <w:rFonts w:ascii="Book Antiqua" w:hAnsi="Book Antiqua" w:hint="eastAsia"/>
          <w:color w:val="000000" w:themeColor="text1"/>
          <w:sz w:val="24"/>
          <w:szCs w:val="24"/>
          <w:lang w:eastAsia="zh-CN"/>
        </w:rPr>
        <w:t xml:space="preserve"> </w:t>
      </w:r>
      <w:r w:rsidR="00174930" w:rsidRPr="00042FE3">
        <w:rPr>
          <w:rFonts w:ascii="Book Antiqua" w:hAnsi="Book Antiqua"/>
          <w:color w:val="000000" w:themeColor="text1"/>
          <w:sz w:val="24"/>
          <w:szCs w:val="24"/>
        </w:rPr>
        <w:t>(CHC).</w:t>
      </w:r>
      <w:r w:rsidRPr="00042FE3">
        <w:rPr>
          <w:rFonts w:ascii="Book Antiqua" w:hAnsi="Book Antiqua"/>
          <w:color w:val="000000" w:themeColor="text1"/>
          <w:sz w:val="24"/>
          <w:szCs w:val="24"/>
        </w:rPr>
        <w:t xml:space="preserve"> </w:t>
      </w:r>
    </w:p>
    <w:p w14:paraId="2EB7FDB8" w14:textId="77777777" w:rsidR="00A84078" w:rsidRPr="00042FE3" w:rsidRDefault="00A84078" w:rsidP="004449A0">
      <w:pPr>
        <w:pStyle w:val="1"/>
        <w:spacing w:line="360" w:lineRule="auto"/>
        <w:rPr>
          <w:rFonts w:ascii="Book Antiqua" w:hAnsi="Book Antiqua"/>
          <w:color w:val="000000" w:themeColor="text1"/>
          <w:sz w:val="24"/>
          <w:szCs w:val="24"/>
          <w:lang w:eastAsia="zh-CN"/>
        </w:rPr>
      </w:pPr>
    </w:p>
    <w:p w14:paraId="7151A7FE" w14:textId="56550C6E" w:rsidR="00FE5EE6" w:rsidRDefault="00FE5EE6" w:rsidP="004449A0">
      <w:pPr>
        <w:pStyle w:val="1"/>
        <w:spacing w:line="360" w:lineRule="auto"/>
        <w:rPr>
          <w:rFonts w:ascii="Book Antiqua" w:hAnsi="Book Antiqua"/>
          <w:color w:val="000000" w:themeColor="text1"/>
          <w:sz w:val="24"/>
          <w:szCs w:val="24"/>
          <w:lang w:eastAsia="zh-CN"/>
        </w:rPr>
      </w:pPr>
      <w:r w:rsidRPr="00F55200">
        <w:rPr>
          <w:rFonts w:ascii="Book Antiqua" w:hAnsi="Book Antiqua"/>
          <w:b/>
          <w:bCs/>
          <w:color w:val="000000" w:themeColor="text1"/>
          <w:sz w:val="24"/>
          <w:szCs w:val="24"/>
        </w:rPr>
        <w:t>METHODS:</w:t>
      </w:r>
      <w:r w:rsidRPr="00F55200">
        <w:rPr>
          <w:rFonts w:ascii="Book Antiqua" w:hAnsi="Book Antiqua"/>
          <w:color w:val="000000" w:themeColor="text1"/>
          <w:sz w:val="24"/>
          <w:szCs w:val="24"/>
        </w:rPr>
        <w:t xml:space="preserve"> I</w:t>
      </w:r>
      <w:r w:rsidRPr="00042FE3">
        <w:rPr>
          <w:rFonts w:ascii="Book Antiqua" w:hAnsi="Book Antiqua"/>
          <w:color w:val="000000" w:themeColor="text1"/>
          <w:sz w:val="24"/>
          <w:szCs w:val="24"/>
        </w:rPr>
        <w:t>n all, 306 CHC patients were included</w:t>
      </w:r>
      <w:r w:rsidR="00245370" w:rsidRPr="00042FE3">
        <w:rPr>
          <w:rFonts w:ascii="Book Antiqua" w:hAnsi="Book Antiqua"/>
          <w:color w:val="000000" w:themeColor="text1"/>
          <w:sz w:val="24"/>
          <w:szCs w:val="24"/>
        </w:rPr>
        <w:t xml:space="preserve"> in this study. There were </w:t>
      </w:r>
      <w:r w:rsidRPr="00042FE3">
        <w:rPr>
          <w:rFonts w:ascii="Book Antiqua" w:hAnsi="Book Antiqua"/>
          <w:color w:val="000000" w:themeColor="text1"/>
          <w:sz w:val="24"/>
          <w:szCs w:val="24"/>
        </w:rPr>
        <w:t xml:space="preserve">159 </w:t>
      </w:r>
      <w:r w:rsidR="00245370" w:rsidRPr="00042FE3">
        <w:rPr>
          <w:rFonts w:ascii="Book Antiqua" w:hAnsi="Book Antiqua"/>
          <w:color w:val="000000" w:themeColor="text1"/>
          <w:sz w:val="24"/>
          <w:szCs w:val="24"/>
        </w:rPr>
        <w:t xml:space="preserve">patients </w:t>
      </w:r>
      <w:r w:rsidRPr="00042FE3">
        <w:rPr>
          <w:rFonts w:ascii="Book Antiqua" w:hAnsi="Book Antiqua"/>
          <w:color w:val="000000" w:themeColor="text1"/>
          <w:sz w:val="24"/>
          <w:szCs w:val="24"/>
        </w:rPr>
        <w:t xml:space="preserve">in the TVR combination therapy group and 147 </w:t>
      </w:r>
      <w:r w:rsidR="00245370" w:rsidRPr="00042FE3">
        <w:rPr>
          <w:rFonts w:ascii="Book Antiqua" w:hAnsi="Book Antiqua"/>
          <w:color w:val="000000" w:themeColor="text1"/>
          <w:sz w:val="24"/>
          <w:szCs w:val="24"/>
        </w:rPr>
        <w:t xml:space="preserve">patients </w:t>
      </w:r>
      <w:r w:rsidRPr="00042FE3">
        <w:rPr>
          <w:rFonts w:ascii="Book Antiqua" w:hAnsi="Book Antiqua"/>
          <w:color w:val="000000" w:themeColor="text1"/>
          <w:sz w:val="24"/>
          <w:szCs w:val="24"/>
        </w:rPr>
        <w:t xml:space="preserve">in the SMV combination therapy group. </w:t>
      </w:r>
      <w:r w:rsidR="00110477" w:rsidRPr="00042FE3">
        <w:rPr>
          <w:rFonts w:ascii="Book Antiqua" w:hAnsi="Book Antiqua"/>
          <w:color w:val="000000" w:themeColor="text1"/>
          <w:sz w:val="24"/>
          <w:szCs w:val="24"/>
        </w:rPr>
        <w:t>To evaluate pretreatment factors contributing to SVR12, univariate and multivariate analyses were performed in TVR and SMV groups. To adjust for patient background between TVR and SMV groups, propensity score matching was performed.</w:t>
      </w:r>
      <w:r w:rsidR="009D4FBD">
        <w:rPr>
          <w:rFonts w:ascii="Book Antiqua" w:hAnsi="Book Antiqua"/>
          <w:color w:val="000000" w:themeColor="text1"/>
          <w:sz w:val="24"/>
          <w:szCs w:val="24"/>
        </w:rPr>
        <w:t xml:space="preserve"> </w:t>
      </w:r>
      <w:proofErr w:type="spellStart"/>
      <w:r w:rsidR="009D4FBD" w:rsidRPr="009D4FBD">
        <w:rPr>
          <w:rFonts w:ascii="Book Antiqua" w:hAnsi="Book Antiqua"/>
          <w:color w:val="000000" w:themeColor="text1"/>
          <w:sz w:val="24"/>
          <w:szCs w:val="24"/>
        </w:rPr>
        <w:t>Virological</w:t>
      </w:r>
      <w:proofErr w:type="spellEnd"/>
      <w:r w:rsidR="009D4FBD" w:rsidRPr="009D4FBD">
        <w:rPr>
          <w:rFonts w:ascii="Book Antiqua" w:hAnsi="Book Antiqua"/>
          <w:color w:val="000000" w:themeColor="text1"/>
          <w:sz w:val="24"/>
          <w:szCs w:val="24"/>
        </w:rPr>
        <w:t xml:space="preserve"> response during treatment and SVR12 </w:t>
      </w:r>
      <w:r w:rsidR="008D079B">
        <w:rPr>
          <w:rFonts w:ascii="Book Antiqua" w:hAnsi="Book Antiqua"/>
          <w:color w:val="000000" w:themeColor="text1"/>
          <w:sz w:val="24"/>
          <w:szCs w:val="24"/>
        </w:rPr>
        <w:t>were evaluated.</w:t>
      </w:r>
    </w:p>
    <w:p w14:paraId="638D4BE2" w14:textId="77777777" w:rsidR="00A84078" w:rsidRPr="009D4FBD" w:rsidRDefault="00A84078" w:rsidP="004449A0">
      <w:pPr>
        <w:pStyle w:val="1"/>
        <w:spacing w:line="360" w:lineRule="auto"/>
        <w:rPr>
          <w:rFonts w:ascii="Book Antiqua" w:eastAsia="Times New Roman" w:hAnsi="Book Antiqua" w:cs="Times New Roman"/>
          <w:color w:val="000000" w:themeColor="text1"/>
          <w:sz w:val="24"/>
          <w:szCs w:val="24"/>
          <w:lang w:eastAsia="zh-CN"/>
        </w:rPr>
      </w:pPr>
    </w:p>
    <w:p w14:paraId="64A6A1B3" w14:textId="74D45262" w:rsidR="00FE5EE6" w:rsidRPr="00042FE3" w:rsidRDefault="00FE5EE6" w:rsidP="004449A0">
      <w:pPr>
        <w:pStyle w:val="1"/>
        <w:widowControl/>
        <w:spacing w:line="360" w:lineRule="auto"/>
        <w:rPr>
          <w:rFonts w:ascii="Book Antiqua" w:eastAsia="Times New Roman" w:hAnsi="Book Antiqua" w:cs="Times New Roman"/>
          <w:color w:val="000000" w:themeColor="text1"/>
          <w:sz w:val="24"/>
          <w:szCs w:val="24"/>
        </w:rPr>
      </w:pPr>
      <w:r w:rsidRPr="00042FE3">
        <w:rPr>
          <w:rFonts w:ascii="Book Antiqua" w:hAnsi="Book Antiqua"/>
          <w:b/>
          <w:bCs/>
          <w:color w:val="000000" w:themeColor="text1"/>
          <w:sz w:val="24"/>
          <w:szCs w:val="24"/>
        </w:rPr>
        <w:t xml:space="preserve">RESULTS: </w:t>
      </w:r>
      <w:r w:rsidRPr="00042FE3">
        <w:rPr>
          <w:rFonts w:ascii="Book Antiqua" w:hAnsi="Book Antiqua"/>
          <w:color w:val="000000" w:themeColor="text1"/>
          <w:sz w:val="24"/>
          <w:szCs w:val="24"/>
        </w:rPr>
        <w:t xml:space="preserve">Overall rates of sustained </w:t>
      </w:r>
      <w:proofErr w:type="spellStart"/>
      <w:r w:rsidRPr="00042FE3">
        <w:rPr>
          <w:rFonts w:ascii="Book Antiqua" w:hAnsi="Book Antiqua"/>
          <w:color w:val="000000" w:themeColor="text1"/>
          <w:sz w:val="24"/>
          <w:szCs w:val="24"/>
        </w:rPr>
        <w:t>virological</w:t>
      </w:r>
      <w:proofErr w:type="spellEnd"/>
      <w:r w:rsidRPr="00042FE3">
        <w:rPr>
          <w:rFonts w:ascii="Book Antiqua" w:hAnsi="Book Antiqua"/>
          <w:color w:val="000000" w:themeColor="text1"/>
          <w:sz w:val="24"/>
          <w:szCs w:val="24"/>
        </w:rPr>
        <w:t xml:space="preserve"> response (undetectable serum HCV RNA levels) at 12 </w:t>
      </w:r>
      <w:proofErr w:type="spellStart"/>
      <w:r w:rsidR="00BC68A1">
        <w:rPr>
          <w:rFonts w:ascii="Book Antiqua" w:hAnsi="Book Antiqua" w:hint="eastAsia"/>
          <w:color w:val="000000" w:themeColor="text1"/>
          <w:sz w:val="24"/>
          <w:szCs w:val="24"/>
          <w:lang w:eastAsia="zh-CN"/>
        </w:rPr>
        <w:t>wk</w:t>
      </w:r>
      <w:proofErr w:type="spellEnd"/>
      <w:r w:rsidRPr="00042FE3">
        <w:rPr>
          <w:rFonts w:ascii="Book Antiqua" w:hAnsi="Book Antiqua"/>
          <w:color w:val="000000" w:themeColor="text1"/>
          <w:sz w:val="24"/>
          <w:szCs w:val="24"/>
        </w:rPr>
        <w:t xml:space="preserve"> (SVR12) were 79.2% and 69.4% in TVR and SMV groups, respectively. Patients in the SMV group were older, had higher serum HCV RNA levels, lower hemoglobin, higher prevalence of unfavorable </w:t>
      </w:r>
      <w:r w:rsidRPr="00042FE3">
        <w:rPr>
          <w:rFonts w:ascii="Book Antiqua" w:hAnsi="Book Antiqua"/>
          <w:i/>
          <w:iCs/>
          <w:color w:val="000000" w:themeColor="text1"/>
          <w:sz w:val="24"/>
          <w:szCs w:val="24"/>
        </w:rPr>
        <w:t>IL28B</w:t>
      </w:r>
      <w:r w:rsidRPr="00042FE3">
        <w:rPr>
          <w:rFonts w:ascii="Book Antiqua" w:hAnsi="Book Antiqua"/>
          <w:color w:val="000000" w:themeColor="text1"/>
          <w:sz w:val="24"/>
          <w:szCs w:val="24"/>
        </w:rPr>
        <w:t xml:space="preserve"> genotype (rs8099917), and poorer response to previous PEG-IFN and RBV treatment. Propensity score matching was performed to adjust for backgrounds (</w:t>
      </w:r>
      <w:r w:rsidR="00BC68A1" w:rsidRPr="00BC68A1">
        <w:rPr>
          <w:rFonts w:ascii="Book Antiqua" w:hAnsi="Book Antiqua"/>
          <w:i/>
          <w:color w:val="000000" w:themeColor="text1"/>
          <w:sz w:val="24"/>
          <w:szCs w:val="24"/>
        </w:rPr>
        <w:t>n</w:t>
      </w:r>
      <w:r w:rsidRPr="00042FE3">
        <w:rPr>
          <w:rFonts w:ascii="Book Antiqua" w:hAnsi="Book Antiqua"/>
          <w:color w:val="000000" w:themeColor="text1"/>
          <w:sz w:val="24"/>
          <w:szCs w:val="24"/>
        </w:rPr>
        <w:t xml:space="preserve"> = 104) and demonstrated SVR12 rates of 74.0% and 73.1% in the TVR and SMV groups, respectively.</w:t>
      </w:r>
      <w:r w:rsidR="0012168A" w:rsidRPr="00042FE3">
        <w:rPr>
          <w:rFonts w:ascii="Book Antiqua" w:hAnsi="Book Antiqua"/>
          <w:color w:val="000000" w:themeColor="text1"/>
          <w:sz w:val="24"/>
          <w:szCs w:val="24"/>
        </w:rPr>
        <w:t xml:space="preserve"> In the TVR group, discontinuation rates were higher because of adverse events; however, breakthrough and nonresponse was more frequent in the in SMV group.</w:t>
      </w:r>
      <w:r w:rsidRPr="00042FE3">
        <w:rPr>
          <w:rFonts w:ascii="Book Antiqua" w:hAnsi="Book Antiqua"/>
          <w:color w:val="000000" w:themeColor="text1"/>
          <w:sz w:val="24"/>
          <w:szCs w:val="24"/>
        </w:rPr>
        <w:t xml:space="preserve"> Multivariate analysis revealed </w:t>
      </w:r>
      <w:r w:rsidRPr="00042FE3">
        <w:rPr>
          <w:rFonts w:ascii="Book Antiqua" w:hAnsi="Book Antiqua"/>
          <w:i/>
          <w:iCs/>
          <w:color w:val="000000" w:themeColor="text1"/>
          <w:sz w:val="24"/>
          <w:szCs w:val="24"/>
        </w:rPr>
        <w:t xml:space="preserve">IL28B </w:t>
      </w:r>
      <w:r w:rsidRPr="00042FE3">
        <w:rPr>
          <w:rFonts w:ascii="Book Antiqua" w:hAnsi="Book Antiqua"/>
          <w:color w:val="000000" w:themeColor="text1"/>
          <w:sz w:val="24"/>
          <w:szCs w:val="24"/>
        </w:rPr>
        <w:t>genotype (rs8099917) as the only independent predictive factor of SVR12 in both groups.</w:t>
      </w:r>
    </w:p>
    <w:p w14:paraId="6796358E" w14:textId="0FE4598A" w:rsidR="00FE5EE6" w:rsidRDefault="00FE5EE6" w:rsidP="004449A0">
      <w:pPr>
        <w:pStyle w:val="1"/>
        <w:widowControl/>
        <w:spacing w:line="360" w:lineRule="auto"/>
        <w:rPr>
          <w:rFonts w:ascii="Book Antiqua" w:hAnsi="Book Antiqua"/>
          <w:color w:val="000000" w:themeColor="text1"/>
          <w:sz w:val="24"/>
          <w:szCs w:val="24"/>
          <w:lang w:eastAsia="zh-CN"/>
        </w:rPr>
      </w:pPr>
      <w:r w:rsidRPr="00042FE3">
        <w:rPr>
          <w:rFonts w:ascii="Book Antiqua" w:hAnsi="Book Antiqua"/>
          <w:b/>
          <w:bCs/>
          <w:color w:val="000000" w:themeColor="text1"/>
          <w:sz w:val="24"/>
          <w:szCs w:val="24"/>
        </w:rPr>
        <w:lastRenderedPageBreak/>
        <w:t xml:space="preserve">CONCLUSION: </w:t>
      </w:r>
      <w:r w:rsidRPr="00042FE3">
        <w:rPr>
          <w:rFonts w:ascii="Book Antiqua" w:hAnsi="Book Antiqua"/>
          <w:color w:val="000000" w:themeColor="text1"/>
          <w:sz w:val="24"/>
          <w:szCs w:val="24"/>
        </w:rPr>
        <w:t xml:space="preserve">SVR12 rates were almost identical following propensity score matching. </w:t>
      </w:r>
    </w:p>
    <w:p w14:paraId="3EA5152D" w14:textId="77777777" w:rsidR="00A84078" w:rsidRPr="00042FE3" w:rsidRDefault="00A84078" w:rsidP="004449A0">
      <w:pPr>
        <w:pStyle w:val="1"/>
        <w:widowControl/>
        <w:spacing w:line="360" w:lineRule="auto"/>
        <w:rPr>
          <w:rFonts w:ascii="Book Antiqua" w:hAnsi="Book Antiqua"/>
          <w:color w:val="000000" w:themeColor="text1"/>
          <w:sz w:val="24"/>
          <w:szCs w:val="24"/>
          <w:lang w:eastAsia="zh-CN"/>
        </w:rPr>
      </w:pPr>
    </w:p>
    <w:p w14:paraId="5DB1C8C8" w14:textId="0B36B1EC" w:rsidR="00FE5EE6" w:rsidRDefault="00FE5EE6" w:rsidP="004449A0">
      <w:pPr>
        <w:spacing w:line="360" w:lineRule="auto"/>
        <w:rPr>
          <w:rFonts w:ascii="Book Antiqua" w:eastAsia="宋体" w:hAnsi="Book Antiqua"/>
          <w:color w:val="000000" w:themeColor="text1"/>
          <w:sz w:val="24"/>
          <w:szCs w:val="24"/>
          <w:lang w:eastAsia="zh-CN"/>
        </w:rPr>
      </w:pPr>
      <w:r w:rsidRPr="00042FE3">
        <w:rPr>
          <w:rFonts w:ascii="Book Antiqua" w:hAnsi="Book Antiqua"/>
          <w:b/>
          <w:color w:val="000000" w:themeColor="text1"/>
          <w:sz w:val="24"/>
          <w:szCs w:val="24"/>
        </w:rPr>
        <w:t>Key words</w:t>
      </w:r>
      <w:r w:rsidR="00A84078">
        <w:rPr>
          <w:rFonts w:ascii="Book Antiqua" w:eastAsia="宋体" w:hAnsi="Book Antiqua" w:hint="eastAsia"/>
          <w:b/>
          <w:color w:val="000000" w:themeColor="text1"/>
          <w:sz w:val="24"/>
          <w:szCs w:val="24"/>
          <w:lang w:eastAsia="zh-CN"/>
        </w:rPr>
        <w:t xml:space="preserve">: </w:t>
      </w:r>
      <w:r w:rsidRPr="00042FE3">
        <w:rPr>
          <w:rFonts w:ascii="Book Antiqua" w:hAnsi="Book Antiqua"/>
          <w:color w:val="000000" w:themeColor="text1"/>
          <w:sz w:val="24"/>
          <w:szCs w:val="24"/>
        </w:rPr>
        <w:t>Chronic hepatitis C</w:t>
      </w:r>
      <w:r w:rsidR="00250061" w:rsidRPr="00042FE3">
        <w:rPr>
          <w:rFonts w:ascii="Book Antiqua" w:hAnsi="Book Antiqua"/>
          <w:color w:val="000000" w:themeColor="text1"/>
          <w:sz w:val="24"/>
          <w:szCs w:val="24"/>
        </w:rPr>
        <w:t xml:space="preserve">; </w:t>
      </w:r>
      <w:r w:rsidR="00BC68A1" w:rsidRPr="00042FE3">
        <w:rPr>
          <w:rFonts w:ascii="Book Antiqua" w:hAnsi="Book Antiqua"/>
          <w:color w:val="000000" w:themeColor="text1"/>
          <w:sz w:val="24"/>
          <w:szCs w:val="24"/>
        </w:rPr>
        <w:t xml:space="preserve">Combination </w:t>
      </w:r>
      <w:r w:rsidRPr="00042FE3">
        <w:rPr>
          <w:rFonts w:ascii="Book Antiqua" w:hAnsi="Book Antiqua"/>
          <w:color w:val="000000" w:themeColor="text1"/>
          <w:sz w:val="24"/>
          <w:szCs w:val="24"/>
        </w:rPr>
        <w:t>therapy</w:t>
      </w:r>
      <w:r w:rsidR="00250061" w:rsidRPr="00042FE3">
        <w:rPr>
          <w:rFonts w:ascii="Book Antiqua" w:hAnsi="Book Antiqua"/>
          <w:color w:val="000000" w:themeColor="text1"/>
          <w:sz w:val="24"/>
          <w:szCs w:val="24"/>
        </w:rPr>
        <w:t xml:space="preserve">; </w:t>
      </w:r>
      <w:proofErr w:type="spellStart"/>
      <w:r w:rsidR="00BC68A1" w:rsidRPr="00042FE3">
        <w:rPr>
          <w:rFonts w:ascii="Book Antiqua" w:hAnsi="Book Antiqua"/>
          <w:color w:val="000000" w:themeColor="text1"/>
          <w:sz w:val="24"/>
          <w:szCs w:val="24"/>
        </w:rPr>
        <w:t>Pegylated</w:t>
      </w:r>
      <w:proofErr w:type="spellEnd"/>
      <w:r w:rsidR="00BC68A1" w:rsidRPr="00042FE3">
        <w:rPr>
          <w:rFonts w:ascii="Book Antiqua" w:hAnsi="Book Antiqua"/>
          <w:color w:val="000000" w:themeColor="text1"/>
          <w:sz w:val="24"/>
          <w:szCs w:val="24"/>
        </w:rPr>
        <w:t xml:space="preserve"> </w:t>
      </w:r>
      <w:r w:rsidRPr="00042FE3">
        <w:rPr>
          <w:rFonts w:ascii="Book Antiqua" w:hAnsi="Book Antiqua"/>
          <w:color w:val="000000" w:themeColor="text1"/>
          <w:sz w:val="24"/>
          <w:szCs w:val="24"/>
        </w:rPr>
        <w:t>interferon</w:t>
      </w:r>
      <w:r w:rsidR="00250061" w:rsidRPr="00042FE3">
        <w:rPr>
          <w:rFonts w:ascii="Book Antiqua" w:hAnsi="Book Antiqua"/>
          <w:color w:val="000000" w:themeColor="text1"/>
          <w:sz w:val="24"/>
          <w:szCs w:val="24"/>
        </w:rPr>
        <w:t xml:space="preserve">; </w:t>
      </w:r>
      <w:r w:rsidR="00BC68A1" w:rsidRPr="00042FE3">
        <w:rPr>
          <w:rFonts w:ascii="Book Antiqua" w:hAnsi="Book Antiqua"/>
          <w:color w:val="000000" w:themeColor="text1"/>
          <w:sz w:val="24"/>
          <w:szCs w:val="24"/>
        </w:rPr>
        <w:t xml:space="preserve">Protease </w:t>
      </w:r>
      <w:r w:rsidRPr="00042FE3">
        <w:rPr>
          <w:rFonts w:ascii="Book Antiqua" w:hAnsi="Book Antiqua"/>
          <w:color w:val="000000" w:themeColor="text1"/>
          <w:sz w:val="24"/>
          <w:szCs w:val="24"/>
        </w:rPr>
        <w:t>inhibitor</w:t>
      </w:r>
      <w:r w:rsidR="00250061" w:rsidRPr="00042FE3">
        <w:rPr>
          <w:rFonts w:ascii="Book Antiqua" w:hAnsi="Book Antiqua"/>
          <w:color w:val="000000" w:themeColor="text1"/>
          <w:sz w:val="24"/>
          <w:szCs w:val="24"/>
        </w:rPr>
        <w:t xml:space="preserve">; </w:t>
      </w:r>
      <w:proofErr w:type="spellStart"/>
      <w:r w:rsidR="00BC68A1" w:rsidRPr="00042FE3">
        <w:rPr>
          <w:rFonts w:ascii="Book Antiqua" w:hAnsi="Book Antiqua"/>
          <w:color w:val="000000" w:themeColor="text1"/>
          <w:sz w:val="24"/>
          <w:szCs w:val="24"/>
        </w:rPr>
        <w:t>Simeprevir</w:t>
      </w:r>
      <w:proofErr w:type="spellEnd"/>
      <w:r w:rsidR="00250061" w:rsidRPr="00042FE3">
        <w:rPr>
          <w:rFonts w:ascii="Book Antiqua" w:hAnsi="Book Antiqua"/>
          <w:color w:val="000000" w:themeColor="text1"/>
          <w:sz w:val="24"/>
          <w:szCs w:val="24"/>
        </w:rPr>
        <w:t xml:space="preserve">; </w:t>
      </w:r>
      <w:proofErr w:type="spellStart"/>
      <w:r w:rsidR="00BC68A1" w:rsidRPr="00042FE3">
        <w:rPr>
          <w:rFonts w:ascii="Book Antiqua" w:hAnsi="Book Antiqua"/>
          <w:color w:val="000000" w:themeColor="text1"/>
          <w:sz w:val="24"/>
          <w:szCs w:val="24"/>
        </w:rPr>
        <w:t>Telaprevir</w:t>
      </w:r>
      <w:proofErr w:type="spellEnd"/>
      <w:r w:rsidR="00250061" w:rsidRPr="00042FE3">
        <w:rPr>
          <w:rFonts w:ascii="Book Antiqua" w:hAnsi="Book Antiqua"/>
          <w:color w:val="000000" w:themeColor="text1"/>
          <w:sz w:val="24"/>
          <w:szCs w:val="24"/>
        </w:rPr>
        <w:t xml:space="preserve">; </w:t>
      </w:r>
      <w:r w:rsidR="00BC68A1" w:rsidRPr="00042FE3">
        <w:rPr>
          <w:rFonts w:ascii="Book Antiqua" w:hAnsi="Book Antiqua"/>
          <w:color w:val="000000" w:themeColor="text1"/>
          <w:sz w:val="24"/>
          <w:szCs w:val="24"/>
        </w:rPr>
        <w:t xml:space="preserve">Propensity </w:t>
      </w:r>
      <w:r w:rsidRPr="00042FE3">
        <w:rPr>
          <w:rFonts w:ascii="Book Antiqua" w:hAnsi="Book Antiqua"/>
          <w:color w:val="000000" w:themeColor="text1"/>
          <w:sz w:val="24"/>
          <w:szCs w:val="24"/>
        </w:rPr>
        <w:t>score matching</w:t>
      </w:r>
    </w:p>
    <w:p w14:paraId="2ABA6EA1" w14:textId="77777777" w:rsidR="00A84078" w:rsidRPr="00A84078" w:rsidRDefault="00A84078" w:rsidP="004449A0">
      <w:pPr>
        <w:spacing w:line="360" w:lineRule="auto"/>
        <w:rPr>
          <w:rFonts w:ascii="Book Antiqua" w:eastAsia="宋体" w:hAnsi="Book Antiqua"/>
          <w:b/>
          <w:color w:val="000000" w:themeColor="text1"/>
          <w:sz w:val="24"/>
          <w:szCs w:val="24"/>
          <w:lang w:eastAsia="zh-CN"/>
        </w:rPr>
      </w:pPr>
    </w:p>
    <w:p w14:paraId="47267DF1" w14:textId="77777777" w:rsidR="00A84078" w:rsidRDefault="00A84078" w:rsidP="00A84078">
      <w:pPr>
        <w:spacing w:line="360" w:lineRule="auto"/>
        <w:rPr>
          <w:rFonts w:ascii="Book Antiqua" w:hAnsi="Book Antiqua" w:cs="Arial"/>
          <w:sz w:val="24"/>
        </w:rPr>
      </w:pPr>
      <w:bookmarkStart w:id="11" w:name="OLE_LINK55"/>
      <w:bookmarkStart w:id="12" w:name="OLE_LINK56"/>
      <w:bookmarkStart w:id="13" w:name="OLE_LINK105"/>
      <w:bookmarkStart w:id="14" w:name="OLE_LINK116"/>
      <w:bookmarkStart w:id="15" w:name="OLE_LINK89"/>
      <w:proofErr w:type="gramStart"/>
      <w:r w:rsidRPr="0071780A">
        <w:rPr>
          <w:rFonts w:ascii="Book Antiqua" w:hAnsi="Book Antiqua"/>
          <w:b/>
          <w:sz w:val="24"/>
        </w:rPr>
        <w:t>©</w:t>
      </w:r>
      <w:bookmarkEnd w:id="11"/>
      <w:bookmarkEnd w:id="12"/>
      <w:r w:rsidRPr="0071780A">
        <w:rPr>
          <w:rFonts w:ascii="Book Antiqua" w:hAnsi="Book Antiqua" w:hint="eastAsia"/>
          <w:b/>
          <w:sz w:val="24"/>
        </w:rPr>
        <w:t xml:space="preserve"> </w:t>
      </w:r>
      <w:r w:rsidRPr="0071780A">
        <w:rPr>
          <w:rFonts w:ascii="Book Antiqua" w:hAnsi="Book Antiqua" w:cs="Arial"/>
          <w:b/>
          <w:sz w:val="24"/>
        </w:rPr>
        <w:t>The Author(s) 2015.</w:t>
      </w:r>
      <w:proofErr w:type="gramEnd"/>
      <w:r w:rsidRPr="0071780A">
        <w:rPr>
          <w:rFonts w:ascii="Book Antiqua" w:hAnsi="Book Antiqua" w:cs="Arial"/>
          <w:b/>
          <w:sz w:val="24"/>
        </w:rPr>
        <w:t xml:space="preserve"> </w:t>
      </w:r>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 All rights reserved.</w:t>
      </w:r>
    </w:p>
    <w:bookmarkEnd w:id="13"/>
    <w:bookmarkEnd w:id="14"/>
    <w:bookmarkEnd w:id="15"/>
    <w:p w14:paraId="7787F303" w14:textId="50730158" w:rsidR="00FE5EE6" w:rsidRPr="00042FE3" w:rsidRDefault="00FE5EE6" w:rsidP="004449A0">
      <w:pPr>
        <w:spacing w:line="360" w:lineRule="auto"/>
        <w:rPr>
          <w:rFonts w:ascii="Book Antiqua" w:hAnsi="Book Antiqua" w:cs="Book Antiqua"/>
          <w:kern w:val="0"/>
          <w:sz w:val="24"/>
          <w:szCs w:val="24"/>
        </w:rPr>
      </w:pPr>
    </w:p>
    <w:p w14:paraId="221B0078" w14:textId="57C71A18" w:rsidR="00D80055" w:rsidRDefault="00FE5EE6" w:rsidP="004449A0">
      <w:pPr>
        <w:spacing w:line="360" w:lineRule="auto"/>
        <w:rPr>
          <w:rFonts w:ascii="Book Antiqua" w:eastAsia="宋体" w:hAnsi="Book Antiqua"/>
          <w:color w:val="000000" w:themeColor="text1"/>
          <w:sz w:val="24"/>
          <w:szCs w:val="24"/>
          <w:lang w:eastAsia="zh-CN"/>
        </w:rPr>
      </w:pPr>
      <w:r w:rsidRPr="00042FE3">
        <w:rPr>
          <w:rFonts w:ascii="Book Antiqua" w:hAnsi="Book Antiqua" w:cs="Book Antiqua"/>
          <w:b/>
          <w:color w:val="000000" w:themeColor="text1"/>
          <w:kern w:val="0"/>
          <w:sz w:val="24"/>
          <w:szCs w:val="24"/>
        </w:rPr>
        <w:t>Core tip:</w:t>
      </w:r>
      <w:r w:rsidR="001A03A8" w:rsidRPr="00042FE3">
        <w:rPr>
          <w:rFonts w:ascii="Book Antiqua" w:hAnsi="Book Antiqua" w:cs="Book Antiqua"/>
          <w:b/>
          <w:color w:val="000000" w:themeColor="text1"/>
          <w:kern w:val="0"/>
          <w:sz w:val="24"/>
          <w:szCs w:val="24"/>
        </w:rPr>
        <w:t xml:space="preserve"> </w:t>
      </w:r>
      <w:r w:rsidR="001A03A8" w:rsidRPr="00042FE3">
        <w:rPr>
          <w:rFonts w:ascii="Book Antiqua" w:hAnsi="Book Antiqua" w:cs="Book Antiqua"/>
          <w:color w:val="000000" w:themeColor="text1"/>
          <w:kern w:val="0"/>
          <w:sz w:val="24"/>
          <w:szCs w:val="24"/>
        </w:rPr>
        <w:t>W</w:t>
      </w:r>
      <w:r w:rsidR="001A03A8" w:rsidRPr="00042FE3">
        <w:rPr>
          <w:rFonts w:ascii="Book Antiqua" w:hAnsi="Book Antiqua"/>
          <w:color w:val="000000" w:themeColor="text1"/>
          <w:sz w:val="24"/>
          <w:szCs w:val="24"/>
        </w:rPr>
        <w:t xml:space="preserve">e evaluated and compared the efficacy of </w:t>
      </w:r>
      <w:proofErr w:type="spellStart"/>
      <w:r w:rsidR="00BC68A1" w:rsidRPr="00042FE3">
        <w:rPr>
          <w:rFonts w:ascii="Book Antiqua" w:hAnsi="Book Antiqua"/>
          <w:color w:val="000000" w:themeColor="text1"/>
          <w:sz w:val="24"/>
          <w:szCs w:val="24"/>
        </w:rPr>
        <w:t>telaprevir</w:t>
      </w:r>
      <w:proofErr w:type="spellEnd"/>
      <w:r w:rsidR="00BC68A1">
        <w:rPr>
          <w:rFonts w:ascii="Book Antiqua" w:hAnsi="Book Antiqua" w:hint="eastAsia"/>
          <w:color w:val="000000" w:themeColor="text1"/>
          <w:sz w:val="24"/>
          <w:szCs w:val="24"/>
          <w:lang w:eastAsia="zh-CN"/>
        </w:rPr>
        <w:t xml:space="preserve"> </w:t>
      </w:r>
      <w:r w:rsidR="00BC68A1" w:rsidRPr="00042FE3">
        <w:rPr>
          <w:rFonts w:ascii="Book Antiqua" w:hAnsi="Book Antiqua"/>
          <w:color w:val="000000" w:themeColor="text1"/>
          <w:sz w:val="24"/>
          <w:szCs w:val="24"/>
        </w:rPr>
        <w:t xml:space="preserve">(TVR) and </w:t>
      </w:r>
      <w:proofErr w:type="spellStart"/>
      <w:r w:rsidR="00BC68A1">
        <w:rPr>
          <w:rFonts w:ascii="Book Antiqua" w:hAnsi="Book Antiqua" w:hint="eastAsia"/>
          <w:color w:val="000000" w:themeColor="text1"/>
          <w:sz w:val="24"/>
          <w:szCs w:val="24"/>
        </w:rPr>
        <w:t>s</w:t>
      </w:r>
      <w:r w:rsidR="00BC68A1" w:rsidRPr="00042FE3">
        <w:rPr>
          <w:rFonts w:ascii="Book Antiqua" w:hAnsi="Book Antiqua"/>
          <w:color w:val="000000" w:themeColor="text1"/>
          <w:sz w:val="24"/>
          <w:szCs w:val="24"/>
        </w:rPr>
        <w:t>imeprevir</w:t>
      </w:r>
      <w:proofErr w:type="spellEnd"/>
      <w:r w:rsidR="00BC68A1">
        <w:rPr>
          <w:rFonts w:ascii="Book Antiqua" w:hAnsi="Book Antiqua" w:hint="eastAsia"/>
          <w:color w:val="000000" w:themeColor="text1"/>
          <w:sz w:val="24"/>
          <w:szCs w:val="24"/>
          <w:lang w:eastAsia="zh-CN"/>
        </w:rPr>
        <w:t xml:space="preserve"> </w:t>
      </w:r>
      <w:r w:rsidR="00BC68A1" w:rsidRPr="00042FE3">
        <w:rPr>
          <w:rFonts w:ascii="Book Antiqua" w:hAnsi="Book Antiqua"/>
          <w:color w:val="000000" w:themeColor="text1"/>
          <w:sz w:val="24"/>
          <w:szCs w:val="24"/>
        </w:rPr>
        <w:t>(SMV)</w:t>
      </w:r>
      <w:r w:rsidR="001A03A8" w:rsidRPr="00042FE3">
        <w:rPr>
          <w:rFonts w:ascii="Book Antiqua" w:hAnsi="Book Antiqua"/>
          <w:color w:val="000000" w:themeColor="text1"/>
          <w:sz w:val="24"/>
          <w:szCs w:val="24"/>
        </w:rPr>
        <w:t xml:space="preserve"> in combination with </w:t>
      </w:r>
      <w:proofErr w:type="spellStart"/>
      <w:r w:rsidR="008D2F16" w:rsidRPr="00042FE3">
        <w:rPr>
          <w:rFonts w:ascii="Book Antiqua" w:hAnsi="Book Antiqua"/>
          <w:color w:val="000000" w:themeColor="text1"/>
          <w:sz w:val="24"/>
          <w:szCs w:val="24"/>
        </w:rPr>
        <w:t>pegylated</w:t>
      </w:r>
      <w:proofErr w:type="spellEnd"/>
      <w:r w:rsidR="008D2F16" w:rsidRPr="00042FE3">
        <w:rPr>
          <w:rFonts w:ascii="Book Antiqua" w:hAnsi="Book Antiqua"/>
          <w:color w:val="000000" w:themeColor="text1"/>
          <w:sz w:val="24"/>
          <w:szCs w:val="24"/>
        </w:rPr>
        <w:t xml:space="preserve"> interferon</w:t>
      </w:r>
      <w:r w:rsidR="001A03A8" w:rsidRPr="00042FE3">
        <w:rPr>
          <w:rFonts w:ascii="Book Antiqua" w:hAnsi="Book Antiqua"/>
          <w:color w:val="000000" w:themeColor="text1"/>
          <w:sz w:val="24"/>
          <w:szCs w:val="24"/>
        </w:rPr>
        <w:t xml:space="preserve"> and RBV in the treatment of </w:t>
      </w:r>
      <w:r w:rsidR="00BC68A1" w:rsidRPr="00042FE3">
        <w:rPr>
          <w:rFonts w:ascii="Book Antiqua" w:hAnsi="Book Antiqua"/>
          <w:color w:val="000000" w:themeColor="text1"/>
          <w:sz w:val="24"/>
          <w:szCs w:val="24"/>
        </w:rPr>
        <w:t>chronic hepatitis C.</w:t>
      </w:r>
      <w:r w:rsidR="001A03A8" w:rsidRPr="00042FE3">
        <w:rPr>
          <w:rFonts w:ascii="Book Antiqua" w:hAnsi="Book Antiqua"/>
          <w:color w:val="000000" w:themeColor="text1"/>
          <w:sz w:val="24"/>
          <w:szCs w:val="24"/>
        </w:rPr>
        <w:t xml:space="preserve"> patients in real-world clinical settings. In the TVR group, the proportion of patients achieving a </w:t>
      </w:r>
      <w:proofErr w:type="spellStart"/>
      <w:r w:rsidR="001A03A8" w:rsidRPr="00042FE3">
        <w:rPr>
          <w:rFonts w:ascii="Book Antiqua" w:hAnsi="Book Antiqua"/>
          <w:color w:val="000000" w:themeColor="text1"/>
          <w:sz w:val="24"/>
          <w:szCs w:val="24"/>
        </w:rPr>
        <w:t>virological</w:t>
      </w:r>
      <w:proofErr w:type="spellEnd"/>
      <w:r w:rsidR="001A03A8" w:rsidRPr="00042FE3">
        <w:rPr>
          <w:rFonts w:ascii="Book Antiqua" w:hAnsi="Book Antiqua"/>
          <w:color w:val="000000" w:themeColor="text1"/>
          <w:sz w:val="24"/>
          <w:szCs w:val="24"/>
        </w:rPr>
        <w:t xml:space="preserve"> response was higher than </w:t>
      </w:r>
      <w:r w:rsidR="00250061" w:rsidRPr="00042FE3">
        <w:rPr>
          <w:rFonts w:ascii="Book Antiqua" w:hAnsi="Book Antiqua"/>
          <w:color w:val="000000" w:themeColor="text1"/>
          <w:sz w:val="24"/>
          <w:szCs w:val="24"/>
        </w:rPr>
        <w:t xml:space="preserve">that </w:t>
      </w:r>
      <w:r w:rsidR="001A03A8" w:rsidRPr="00042FE3">
        <w:rPr>
          <w:rFonts w:ascii="Book Antiqua" w:hAnsi="Book Antiqua"/>
          <w:color w:val="000000" w:themeColor="text1"/>
          <w:sz w:val="24"/>
          <w:szCs w:val="24"/>
        </w:rPr>
        <w:t xml:space="preserve">in the SMV group according to the original data. After propensity score matching, the proportion of patients achieving a </w:t>
      </w:r>
      <w:proofErr w:type="spellStart"/>
      <w:r w:rsidR="001A03A8" w:rsidRPr="00042FE3">
        <w:rPr>
          <w:rFonts w:ascii="Book Antiqua" w:hAnsi="Book Antiqua"/>
          <w:color w:val="000000" w:themeColor="text1"/>
          <w:sz w:val="24"/>
          <w:szCs w:val="24"/>
        </w:rPr>
        <w:t>virological</w:t>
      </w:r>
      <w:proofErr w:type="spellEnd"/>
      <w:r w:rsidR="001A03A8" w:rsidRPr="00042FE3">
        <w:rPr>
          <w:rFonts w:ascii="Book Antiqua" w:hAnsi="Book Antiqua"/>
          <w:color w:val="000000" w:themeColor="text1"/>
          <w:sz w:val="24"/>
          <w:szCs w:val="24"/>
        </w:rPr>
        <w:t xml:space="preserve"> response during treatment and after 12 </w:t>
      </w:r>
      <w:proofErr w:type="spellStart"/>
      <w:r w:rsidR="00BC68A1">
        <w:rPr>
          <w:rFonts w:ascii="Book Antiqua" w:eastAsia="宋体" w:hAnsi="Book Antiqua" w:hint="eastAsia"/>
          <w:color w:val="000000" w:themeColor="text1"/>
          <w:sz w:val="24"/>
          <w:szCs w:val="24"/>
          <w:lang w:eastAsia="zh-CN"/>
        </w:rPr>
        <w:t>wk</w:t>
      </w:r>
      <w:proofErr w:type="spellEnd"/>
      <w:r w:rsidR="001A03A8" w:rsidRPr="00042FE3">
        <w:rPr>
          <w:rFonts w:ascii="Book Antiqua" w:hAnsi="Book Antiqua"/>
          <w:color w:val="000000" w:themeColor="text1"/>
          <w:sz w:val="24"/>
          <w:szCs w:val="24"/>
        </w:rPr>
        <w:t xml:space="preserve"> was almost identical between the two groups with no significant difference observed.</w:t>
      </w:r>
    </w:p>
    <w:p w14:paraId="09251474" w14:textId="77777777" w:rsidR="00A84078" w:rsidRDefault="00A84078" w:rsidP="004449A0">
      <w:pPr>
        <w:spacing w:line="360" w:lineRule="auto"/>
        <w:rPr>
          <w:rFonts w:ascii="Book Antiqua" w:eastAsia="宋体" w:hAnsi="Book Antiqua"/>
          <w:color w:val="000000" w:themeColor="text1"/>
          <w:sz w:val="24"/>
          <w:szCs w:val="24"/>
          <w:lang w:eastAsia="zh-CN"/>
        </w:rPr>
      </w:pPr>
    </w:p>
    <w:p w14:paraId="06D0799A" w14:textId="08AC0CEE" w:rsidR="00FE5EE6" w:rsidRPr="00BC68A1" w:rsidRDefault="00A84078" w:rsidP="00BC68A1">
      <w:pPr>
        <w:spacing w:line="360" w:lineRule="auto"/>
        <w:rPr>
          <w:rFonts w:ascii="Book Antiqua" w:hAnsi="Book Antiqua" w:cs="Book Antiqua"/>
          <w:b/>
          <w:color w:val="000000" w:themeColor="text1"/>
          <w:kern w:val="0"/>
          <w:sz w:val="24"/>
          <w:szCs w:val="24"/>
        </w:rPr>
      </w:pPr>
      <w:bookmarkStart w:id="16" w:name="OLE_LINK130"/>
      <w:bookmarkStart w:id="17" w:name="OLE_LINK134"/>
      <w:bookmarkStart w:id="18" w:name="OLE_LINK455"/>
      <w:bookmarkStart w:id="19" w:name="OLE_LINK464"/>
      <w:bookmarkStart w:id="20" w:name="OLE_LINK73"/>
      <w:bookmarkStart w:id="21" w:name="OLE_LINK74"/>
      <w:bookmarkStart w:id="22" w:name="OLE_LINK424"/>
      <w:bookmarkStart w:id="23" w:name="OLE_LINK425"/>
      <w:proofErr w:type="spellStart"/>
      <w:r w:rsidRPr="00BC68A1">
        <w:rPr>
          <w:rFonts w:ascii="Book Antiqua" w:hAnsi="Book Antiqua" w:cs="Book Antiqua"/>
          <w:color w:val="000000" w:themeColor="text1"/>
          <w:kern w:val="0"/>
          <w:sz w:val="24"/>
          <w:szCs w:val="24"/>
        </w:rPr>
        <w:t>Fujii</w:t>
      </w:r>
      <w:proofErr w:type="spellEnd"/>
      <w:r w:rsidRPr="00BC68A1">
        <w:rPr>
          <w:rFonts w:ascii="Book Antiqua" w:hAnsi="Book Antiqua" w:cs="Book Antiqua"/>
          <w:color w:val="000000" w:themeColor="text1"/>
          <w:kern w:val="0"/>
          <w:sz w:val="24"/>
          <w:szCs w:val="24"/>
        </w:rPr>
        <w:t xml:space="preserve"> H,</w:t>
      </w:r>
      <w:r w:rsidRPr="00042FE3">
        <w:rPr>
          <w:rFonts w:ascii="Book Antiqua" w:hAnsi="Book Antiqua" w:cs="Book Antiqua"/>
          <w:b/>
          <w:color w:val="000000" w:themeColor="text1"/>
          <w:kern w:val="0"/>
          <w:sz w:val="24"/>
          <w:szCs w:val="24"/>
        </w:rPr>
        <w:t xml:space="preserve"> </w:t>
      </w:r>
      <w:r w:rsidRPr="00627B4F">
        <w:rPr>
          <w:rFonts w:ascii="Book Antiqua" w:hAnsi="Book Antiqua" w:cs="Book Antiqua"/>
          <w:color w:val="000000" w:themeColor="text1"/>
          <w:kern w:val="0"/>
          <w:sz w:val="24"/>
          <w:szCs w:val="24"/>
        </w:rPr>
        <w:t>Nishimura</w:t>
      </w:r>
      <w:r w:rsidRPr="00042FE3">
        <w:rPr>
          <w:rFonts w:ascii="Book Antiqua" w:hAnsi="Book Antiqua" w:cs="Book Antiqua"/>
          <w:color w:val="000000" w:themeColor="text1"/>
          <w:kern w:val="0"/>
          <w:sz w:val="24"/>
          <w:szCs w:val="24"/>
        </w:rPr>
        <w:t xml:space="preserve"> T</w:t>
      </w:r>
      <w:r w:rsidRPr="00627B4F">
        <w:rPr>
          <w:rFonts w:ascii="Book Antiqua" w:hAnsi="Book Antiqua" w:cs="Book Antiqua"/>
          <w:color w:val="000000" w:themeColor="text1"/>
          <w:kern w:val="0"/>
          <w:sz w:val="24"/>
          <w:szCs w:val="24"/>
        </w:rPr>
        <w:t xml:space="preserve">, </w:t>
      </w:r>
      <w:proofErr w:type="spellStart"/>
      <w:r w:rsidRPr="00627B4F">
        <w:rPr>
          <w:rFonts w:ascii="Book Antiqua" w:hAnsi="Book Antiqua" w:cs="Book Antiqua"/>
          <w:color w:val="000000" w:themeColor="text1"/>
          <w:kern w:val="0"/>
          <w:sz w:val="24"/>
          <w:szCs w:val="24"/>
        </w:rPr>
        <w:t>Umemura</w:t>
      </w:r>
      <w:proofErr w:type="spellEnd"/>
      <w:r w:rsidRPr="00042FE3">
        <w:rPr>
          <w:rFonts w:ascii="Book Antiqua" w:hAnsi="Book Antiqua" w:cs="Book Antiqua"/>
          <w:color w:val="000000" w:themeColor="text1"/>
          <w:kern w:val="0"/>
          <w:sz w:val="24"/>
          <w:szCs w:val="24"/>
        </w:rPr>
        <w:t xml:space="preserve"> A</w:t>
      </w:r>
      <w:r w:rsidRPr="00627B4F">
        <w:rPr>
          <w:rFonts w:ascii="Book Antiqua" w:hAnsi="Book Antiqua" w:cs="Book Antiqua"/>
          <w:color w:val="000000" w:themeColor="text1"/>
          <w:kern w:val="0"/>
          <w:sz w:val="24"/>
          <w:szCs w:val="24"/>
        </w:rPr>
        <w:t>, Nishikawa</w:t>
      </w:r>
      <w:r w:rsidRPr="00042FE3">
        <w:rPr>
          <w:rFonts w:ascii="Book Antiqua" w:hAnsi="Book Antiqua" w:cs="Book Antiqua"/>
          <w:color w:val="000000" w:themeColor="text1"/>
          <w:kern w:val="0"/>
          <w:sz w:val="24"/>
          <w:szCs w:val="24"/>
        </w:rPr>
        <w:t xml:space="preserve"> T</w:t>
      </w:r>
      <w:r w:rsidRPr="00627B4F">
        <w:rPr>
          <w:rFonts w:ascii="Book Antiqua" w:hAnsi="Book Antiqua" w:cs="Book Antiqua"/>
          <w:color w:val="000000" w:themeColor="text1"/>
          <w:kern w:val="0"/>
          <w:sz w:val="24"/>
          <w:szCs w:val="24"/>
        </w:rPr>
        <w:t>, Yamaguchi</w:t>
      </w:r>
      <w:r w:rsidRPr="00042FE3">
        <w:rPr>
          <w:rFonts w:ascii="Book Antiqua" w:hAnsi="Book Antiqua" w:cs="Book Antiqua"/>
          <w:color w:val="000000" w:themeColor="text1"/>
          <w:kern w:val="0"/>
          <w:sz w:val="24"/>
          <w:szCs w:val="24"/>
        </w:rPr>
        <w:t xml:space="preserve"> K</w:t>
      </w:r>
      <w:r w:rsidRPr="00627B4F">
        <w:rPr>
          <w:rFonts w:ascii="Book Antiqua" w:hAnsi="Book Antiqua" w:cs="Book Antiqua"/>
          <w:color w:val="000000" w:themeColor="text1"/>
          <w:kern w:val="0"/>
          <w:sz w:val="24"/>
          <w:szCs w:val="24"/>
        </w:rPr>
        <w:t xml:space="preserve">, </w:t>
      </w:r>
      <w:proofErr w:type="spellStart"/>
      <w:r w:rsidRPr="00627B4F">
        <w:rPr>
          <w:rFonts w:ascii="Book Antiqua" w:hAnsi="Book Antiqua" w:cs="Book Antiqua"/>
          <w:color w:val="000000" w:themeColor="text1"/>
          <w:kern w:val="0"/>
          <w:sz w:val="24"/>
          <w:szCs w:val="24"/>
        </w:rPr>
        <w:t>Moriguchi</w:t>
      </w:r>
      <w:proofErr w:type="spellEnd"/>
      <w:r w:rsidRPr="00042FE3">
        <w:rPr>
          <w:rFonts w:ascii="Book Antiqua" w:hAnsi="Book Antiqua" w:cs="Book Antiqua"/>
          <w:color w:val="000000" w:themeColor="text1"/>
          <w:kern w:val="0"/>
          <w:sz w:val="24"/>
          <w:szCs w:val="24"/>
        </w:rPr>
        <w:t xml:space="preserve"> M</w:t>
      </w:r>
      <w:r w:rsidRPr="00627B4F">
        <w:rPr>
          <w:rFonts w:ascii="Book Antiqua" w:hAnsi="Book Antiqua" w:cs="Book Antiqua"/>
          <w:color w:val="000000" w:themeColor="text1"/>
          <w:kern w:val="0"/>
          <w:sz w:val="24"/>
          <w:szCs w:val="24"/>
        </w:rPr>
        <w:t>, Sumida</w:t>
      </w:r>
      <w:r w:rsidRPr="00042FE3">
        <w:rPr>
          <w:rFonts w:ascii="Book Antiqua" w:hAnsi="Book Antiqua" w:cs="Book Antiqua"/>
          <w:color w:val="000000" w:themeColor="text1"/>
          <w:kern w:val="0"/>
          <w:sz w:val="24"/>
          <w:szCs w:val="24"/>
        </w:rPr>
        <w:t xml:space="preserve"> Y</w:t>
      </w:r>
      <w:r w:rsidRPr="00627B4F">
        <w:rPr>
          <w:rFonts w:ascii="Book Antiqua" w:hAnsi="Book Antiqua" w:cs="Book Antiqua"/>
          <w:color w:val="000000" w:themeColor="text1"/>
          <w:kern w:val="0"/>
          <w:sz w:val="24"/>
          <w:szCs w:val="24"/>
        </w:rPr>
        <w:t xml:space="preserve">, </w:t>
      </w:r>
      <w:proofErr w:type="spellStart"/>
      <w:r w:rsidRPr="00627B4F">
        <w:rPr>
          <w:rFonts w:ascii="Book Antiqua" w:hAnsi="Book Antiqua" w:cs="Book Antiqua"/>
          <w:color w:val="000000" w:themeColor="text1"/>
          <w:kern w:val="0"/>
          <w:sz w:val="24"/>
          <w:szCs w:val="24"/>
        </w:rPr>
        <w:t>Mitsuyoshi</w:t>
      </w:r>
      <w:proofErr w:type="spellEnd"/>
      <w:r w:rsidRPr="00042FE3">
        <w:rPr>
          <w:rFonts w:ascii="Book Antiqua" w:hAnsi="Book Antiqua" w:cs="Book Antiqua"/>
          <w:color w:val="000000" w:themeColor="text1"/>
          <w:kern w:val="0"/>
          <w:sz w:val="24"/>
          <w:szCs w:val="24"/>
        </w:rPr>
        <w:t xml:space="preserve"> H</w:t>
      </w:r>
      <w:r w:rsidRPr="00627B4F">
        <w:rPr>
          <w:rFonts w:ascii="Book Antiqua" w:hAnsi="Book Antiqua" w:cs="Book Antiqua"/>
          <w:color w:val="000000" w:themeColor="text1"/>
          <w:kern w:val="0"/>
          <w:sz w:val="24"/>
          <w:szCs w:val="24"/>
        </w:rPr>
        <w:t xml:space="preserve">, </w:t>
      </w:r>
      <w:proofErr w:type="spellStart"/>
      <w:r w:rsidRPr="00627B4F">
        <w:rPr>
          <w:rFonts w:ascii="Book Antiqua" w:hAnsi="Book Antiqua" w:cs="Book Antiqua"/>
          <w:color w:val="000000" w:themeColor="text1"/>
          <w:kern w:val="0"/>
          <w:sz w:val="24"/>
          <w:szCs w:val="24"/>
        </w:rPr>
        <w:t>Yokomizo</w:t>
      </w:r>
      <w:proofErr w:type="spellEnd"/>
      <w:r w:rsidRPr="00042FE3">
        <w:rPr>
          <w:rFonts w:ascii="Book Antiqua" w:hAnsi="Book Antiqua" w:cs="Book Antiqua"/>
          <w:color w:val="000000" w:themeColor="text1"/>
          <w:kern w:val="0"/>
          <w:sz w:val="24"/>
          <w:szCs w:val="24"/>
        </w:rPr>
        <w:t xml:space="preserve"> C</w:t>
      </w:r>
      <w:r w:rsidRPr="00627B4F">
        <w:rPr>
          <w:rFonts w:ascii="Book Antiqua" w:hAnsi="Book Antiqua" w:cs="Book Antiqua"/>
          <w:color w:val="000000" w:themeColor="text1"/>
          <w:kern w:val="0"/>
          <w:sz w:val="24"/>
          <w:szCs w:val="24"/>
        </w:rPr>
        <w:t>, Tanaka</w:t>
      </w:r>
      <w:r w:rsidRPr="00042FE3">
        <w:rPr>
          <w:rFonts w:ascii="Book Antiqua" w:hAnsi="Book Antiqua" w:cs="Book Antiqua"/>
          <w:color w:val="000000" w:themeColor="text1"/>
          <w:kern w:val="0"/>
          <w:sz w:val="24"/>
          <w:szCs w:val="24"/>
        </w:rPr>
        <w:t xml:space="preserve"> S</w:t>
      </w:r>
      <w:r w:rsidRPr="00627B4F">
        <w:rPr>
          <w:rFonts w:ascii="Book Antiqua" w:hAnsi="Book Antiqua" w:cs="Book Antiqua"/>
          <w:color w:val="000000" w:themeColor="text1"/>
          <w:kern w:val="0"/>
          <w:sz w:val="24"/>
          <w:szCs w:val="24"/>
        </w:rPr>
        <w:t>, Ishikawa</w:t>
      </w:r>
      <w:r w:rsidRPr="00042FE3">
        <w:rPr>
          <w:rFonts w:ascii="Book Antiqua" w:hAnsi="Book Antiqua" w:cs="Book Antiqua"/>
          <w:color w:val="000000" w:themeColor="text1"/>
          <w:kern w:val="0"/>
          <w:sz w:val="24"/>
          <w:szCs w:val="24"/>
        </w:rPr>
        <w:t xml:space="preserve"> H</w:t>
      </w:r>
      <w:r w:rsidRPr="00627B4F">
        <w:rPr>
          <w:rFonts w:ascii="Book Antiqua" w:hAnsi="Book Antiqua" w:cs="Book Antiqua"/>
          <w:color w:val="000000" w:themeColor="text1"/>
          <w:kern w:val="0"/>
          <w:sz w:val="24"/>
          <w:szCs w:val="24"/>
        </w:rPr>
        <w:t xml:space="preserve">, </w:t>
      </w:r>
      <w:proofErr w:type="spellStart"/>
      <w:r w:rsidRPr="00627B4F">
        <w:rPr>
          <w:rFonts w:ascii="Book Antiqua" w:hAnsi="Book Antiqua" w:cs="Book Antiqua"/>
          <w:color w:val="000000" w:themeColor="text1"/>
          <w:kern w:val="0"/>
          <w:sz w:val="24"/>
          <w:szCs w:val="24"/>
        </w:rPr>
        <w:t>Nishioji</w:t>
      </w:r>
      <w:proofErr w:type="spellEnd"/>
      <w:r w:rsidRPr="00042FE3">
        <w:rPr>
          <w:rFonts w:ascii="Book Antiqua" w:hAnsi="Book Antiqua" w:cs="Book Antiqua"/>
          <w:color w:val="000000" w:themeColor="text1"/>
          <w:kern w:val="0"/>
          <w:sz w:val="24"/>
          <w:szCs w:val="24"/>
        </w:rPr>
        <w:t xml:space="preserve"> K</w:t>
      </w:r>
      <w:r w:rsidRPr="00627B4F">
        <w:rPr>
          <w:rFonts w:ascii="Book Antiqua" w:hAnsi="Book Antiqua" w:cs="Book Antiqua"/>
          <w:color w:val="000000" w:themeColor="text1"/>
          <w:kern w:val="0"/>
          <w:sz w:val="24"/>
          <w:szCs w:val="24"/>
        </w:rPr>
        <w:t>, Kimura</w:t>
      </w:r>
      <w:r w:rsidRPr="00042FE3">
        <w:rPr>
          <w:rFonts w:ascii="Book Antiqua" w:hAnsi="Book Antiqua" w:cs="Book Antiqua"/>
          <w:color w:val="000000" w:themeColor="text1"/>
          <w:kern w:val="0"/>
          <w:sz w:val="24"/>
          <w:szCs w:val="24"/>
        </w:rPr>
        <w:t xml:space="preserve"> H</w:t>
      </w:r>
      <w:r w:rsidRPr="00627B4F">
        <w:rPr>
          <w:rFonts w:ascii="Book Antiqua" w:hAnsi="Book Antiqua" w:cs="Book Antiqua"/>
          <w:color w:val="000000" w:themeColor="text1"/>
          <w:kern w:val="0"/>
          <w:sz w:val="24"/>
          <w:szCs w:val="24"/>
        </w:rPr>
        <w:t xml:space="preserve">, </w:t>
      </w:r>
      <w:proofErr w:type="spellStart"/>
      <w:r w:rsidRPr="00627B4F">
        <w:rPr>
          <w:rFonts w:ascii="Book Antiqua" w:hAnsi="Book Antiqua" w:cs="Book Antiqua"/>
          <w:color w:val="000000" w:themeColor="text1"/>
          <w:kern w:val="0"/>
          <w:sz w:val="24"/>
          <w:szCs w:val="24"/>
        </w:rPr>
        <w:t>Takami</w:t>
      </w:r>
      <w:proofErr w:type="spellEnd"/>
      <w:r w:rsidRPr="00042FE3">
        <w:rPr>
          <w:rFonts w:ascii="Book Antiqua" w:hAnsi="Book Antiqua" w:cs="Book Antiqua"/>
          <w:color w:val="000000" w:themeColor="text1"/>
          <w:kern w:val="0"/>
          <w:sz w:val="24"/>
          <w:szCs w:val="24"/>
        </w:rPr>
        <w:t xml:space="preserve"> S</w:t>
      </w:r>
      <w:r w:rsidRPr="00627B4F">
        <w:rPr>
          <w:rFonts w:ascii="Book Antiqua" w:hAnsi="Book Antiqua" w:cs="Book Antiqua"/>
          <w:color w:val="000000" w:themeColor="text1"/>
          <w:kern w:val="0"/>
          <w:sz w:val="24"/>
          <w:szCs w:val="24"/>
        </w:rPr>
        <w:t>, Nagao</w:t>
      </w:r>
      <w:r w:rsidRPr="00042FE3">
        <w:rPr>
          <w:rFonts w:ascii="Book Antiqua" w:hAnsi="Book Antiqua" w:cs="Book Antiqua"/>
          <w:color w:val="000000" w:themeColor="text1"/>
          <w:kern w:val="0"/>
          <w:sz w:val="24"/>
          <w:szCs w:val="24"/>
        </w:rPr>
        <w:t xml:space="preserve"> Y</w:t>
      </w:r>
      <w:r w:rsidRPr="00627B4F">
        <w:rPr>
          <w:rFonts w:ascii="Book Antiqua" w:hAnsi="Book Antiqua" w:cs="Book Antiqua"/>
          <w:color w:val="000000" w:themeColor="text1"/>
          <w:kern w:val="0"/>
          <w:sz w:val="24"/>
          <w:szCs w:val="24"/>
        </w:rPr>
        <w:t>, Takeuchi</w:t>
      </w:r>
      <w:r w:rsidRPr="00042FE3">
        <w:rPr>
          <w:rFonts w:ascii="Book Antiqua" w:hAnsi="Book Antiqua" w:cs="Book Antiqua"/>
          <w:color w:val="000000" w:themeColor="text1"/>
          <w:kern w:val="0"/>
          <w:sz w:val="24"/>
          <w:szCs w:val="24"/>
        </w:rPr>
        <w:t xml:space="preserve"> T</w:t>
      </w:r>
      <w:r w:rsidRPr="00627B4F">
        <w:rPr>
          <w:rFonts w:ascii="Book Antiqua" w:hAnsi="Book Antiqua" w:cs="Book Antiqua"/>
          <w:color w:val="000000" w:themeColor="text1"/>
          <w:kern w:val="0"/>
          <w:sz w:val="24"/>
          <w:szCs w:val="24"/>
        </w:rPr>
        <w:t xml:space="preserve">, </w:t>
      </w:r>
      <w:proofErr w:type="spellStart"/>
      <w:r w:rsidRPr="00627B4F">
        <w:rPr>
          <w:rFonts w:ascii="Book Antiqua" w:hAnsi="Book Antiqua" w:cs="Book Antiqua"/>
          <w:color w:val="000000" w:themeColor="text1"/>
          <w:kern w:val="0"/>
          <w:sz w:val="24"/>
          <w:szCs w:val="24"/>
        </w:rPr>
        <w:t>Shima</w:t>
      </w:r>
      <w:proofErr w:type="spellEnd"/>
      <w:r w:rsidRPr="00042FE3">
        <w:rPr>
          <w:rFonts w:ascii="Book Antiqua" w:hAnsi="Book Antiqua" w:cs="Book Antiqua"/>
          <w:color w:val="000000" w:themeColor="text1"/>
          <w:kern w:val="0"/>
          <w:sz w:val="24"/>
          <w:szCs w:val="24"/>
        </w:rPr>
        <w:t xml:space="preserve"> T</w:t>
      </w:r>
      <w:r w:rsidRPr="00627B4F">
        <w:rPr>
          <w:rFonts w:ascii="Book Antiqua" w:hAnsi="Book Antiqua" w:cs="Book Antiqua"/>
          <w:color w:val="000000" w:themeColor="text1"/>
          <w:kern w:val="0"/>
          <w:sz w:val="24"/>
          <w:szCs w:val="24"/>
        </w:rPr>
        <w:t xml:space="preserve">, </w:t>
      </w:r>
      <w:proofErr w:type="spellStart"/>
      <w:r w:rsidRPr="00627B4F">
        <w:rPr>
          <w:rFonts w:ascii="Book Antiqua" w:hAnsi="Book Antiqua" w:cs="Book Antiqua"/>
          <w:color w:val="000000" w:themeColor="text1"/>
          <w:kern w:val="0"/>
          <w:sz w:val="24"/>
          <w:szCs w:val="24"/>
        </w:rPr>
        <w:t>Sawa</w:t>
      </w:r>
      <w:proofErr w:type="spellEnd"/>
      <w:r w:rsidRPr="00042FE3">
        <w:rPr>
          <w:rFonts w:ascii="Book Antiqua" w:hAnsi="Book Antiqua" w:cs="Book Antiqua"/>
          <w:color w:val="000000" w:themeColor="text1"/>
          <w:kern w:val="0"/>
          <w:sz w:val="24"/>
          <w:szCs w:val="24"/>
        </w:rPr>
        <w:t xml:space="preserve"> Y</w:t>
      </w:r>
      <w:r w:rsidRPr="00627B4F">
        <w:rPr>
          <w:rFonts w:ascii="Book Antiqua" w:hAnsi="Book Antiqua" w:cs="Book Antiqua"/>
          <w:color w:val="000000" w:themeColor="text1"/>
          <w:kern w:val="0"/>
          <w:sz w:val="24"/>
          <w:szCs w:val="24"/>
        </w:rPr>
        <w:t>, Minami</w:t>
      </w:r>
      <w:r w:rsidRPr="00042FE3">
        <w:rPr>
          <w:rFonts w:ascii="Book Antiqua" w:hAnsi="Book Antiqua" w:cs="Book Antiqua"/>
          <w:color w:val="000000" w:themeColor="text1"/>
          <w:kern w:val="0"/>
          <w:sz w:val="24"/>
          <w:szCs w:val="24"/>
        </w:rPr>
        <w:t xml:space="preserve"> M</w:t>
      </w:r>
      <w:r w:rsidRPr="00627B4F">
        <w:rPr>
          <w:rFonts w:ascii="Book Antiqua" w:hAnsi="Book Antiqua" w:cs="Book Antiqua"/>
          <w:color w:val="000000" w:themeColor="text1"/>
          <w:kern w:val="0"/>
          <w:sz w:val="24"/>
          <w:szCs w:val="24"/>
        </w:rPr>
        <w:t xml:space="preserve">, </w:t>
      </w:r>
      <w:proofErr w:type="spellStart"/>
      <w:r w:rsidRPr="00627B4F">
        <w:rPr>
          <w:rFonts w:ascii="Book Antiqua" w:hAnsi="Book Antiqua" w:cs="Book Antiqua"/>
          <w:color w:val="000000" w:themeColor="text1"/>
          <w:kern w:val="0"/>
          <w:sz w:val="24"/>
          <w:szCs w:val="24"/>
        </w:rPr>
        <w:t>Yasui</w:t>
      </w:r>
      <w:proofErr w:type="spellEnd"/>
      <w:r w:rsidRPr="00042FE3">
        <w:rPr>
          <w:rFonts w:ascii="Book Antiqua" w:hAnsi="Book Antiqua" w:cs="Book Antiqua"/>
          <w:color w:val="000000" w:themeColor="text1"/>
          <w:kern w:val="0"/>
          <w:sz w:val="24"/>
          <w:szCs w:val="24"/>
        </w:rPr>
        <w:t xml:space="preserve"> K</w:t>
      </w:r>
      <w:r w:rsidRPr="00627B4F">
        <w:rPr>
          <w:rFonts w:ascii="Book Antiqua" w:hAnsi="Book Antiqua" w:cs="Book Antiqua"/>
          <w:color w:val="000000" w:themeColor="text1"/>
          <w:kern w:val="0"/>
          <w:sz w:val="24"/>
          <w:szCs w:val="24"/>
        </w:rPr>
        <w:t>, Itoh</w:t>
      </w:r>
      <w:r w:rsidRPr="00042FE3">
        <w:rPr>
          <w:rFonts w:ascii="Book Antiqua" w:hAnsi="Book Antiqua" w:cs="Book Antiqua"/>
          <w:color w:val="000000" w:themeColor="text1"/>
          <w:kern w:val="0"/>
          <w:sz w:val="24"/>
          <w:szCs w:val="24"/>
        </w:rPr>
        <w:t xml:space="preserve"> Y. </w:t>
      </w:r>
      <w:r w:rsidRPr="00627B4F">
        <w:rPr>
          <w:rFonts w:ascii="Book Antiqua" w:hAnsi="Book Antiqua" w:cs="Book Antiqua"/>
          <w:bCs/>
          <w:color w:val="000000" w:themeColor="text1"/>
          <w:kern w:val="0"/>
          <w:sz w:val="24"/>
          <w:szCs w:val="24"/>
        </w:rPr>
        <w:t xml:space="preserve">Comparison of peg-interferon, ribavirin plus </w:t>
      </w:r>
      <w:proofErr w:type="spellStart"/>
      <w:r w:rsidRPr="00627B4F">
        <w:rPr>
          <w:rFonts w:ascii="Book Antiqua" w:hAnsi="Book Antiqua" w:cs="Book Antiqua"/>
          <w:bCs/>
          <w:color w:val="000000" w:themeColor="text1"/>
          <w:kern w:val="0"/>
          <w:sz w:val="24"/>
          <w:szCs w:val="24"/>
        </w:rPr>
        <w:t>telaprevir</w:t>
      </w:r>
      <w:proofErr w:type="spellEnd"/>
      <w:r w:rsidRPr="00627B4F">
        <w:rPr>
          <w:rFonts w:ascii="Book Antiqua" w:hAnsi="Book Antiqua" w:cs="Book Antiqua"/>
          <w:bCs/>
          <w:color w:val="000000" w:themeColor="text1"/>
          <w:kern w:val="0"/>
          <w:sz w:val="24"/>
          <w:szCs w:val="24"/>
        </w:rPr>
        <w:t xml:space="preserve"> versus </w:t>
      </w:r>
      <w:proofErr w:type="spellStart"/>
      <w:r w:rsidRPr="00627B4F">
        <w:rPr>
          <w:rFonts w:ascii="Book Antiqua" w:hAnsi="Book Antiqua" w:cs="Book Antiqua"/>
          <w:bCs/>
          <w:color w:val="000000" w:themeColor="text1"/>
          <w:kern w:val="0"/>
          <w:sz w:val="24"/>
          <w:szCs w:val="24"/>
        </w:rPr>
        <w:t>simeprevir</w:t>
      </w:r>
      <w:proofErr w:type="spellEnd"/>
      <w:r w:rsidRPr="00627B4F">
        <w:rPr>
          <w:rFonts w:ascii="Book Antiqua" w:hAnsi="Book Antiqua" w:cs="Book Antiqua"/>
          <w:bCs/>
          <w:color w:val="000000" w:themeColor="text1"/>
          <w:kern w:val="0"/>
          <w:sz w:val="24"/>
          <w:szCs w:val="24"/>
        </w:rPr>
        <w:t xml:space="preserve"> by propensity score matching</w:t>
      </w:r>
      <w:r w:rsidRPr="00042FE3">
        <w:rPr>
          <w:rFonts w:ascii="Book Antiqua" w:hAnsi="Book Antiqua" w:cs="Book Antiqua"/>
          <w:bCs/>
          <w:color w:val="000000" w:themeColor="text1"/>
          <w:kern w:val="0"/>
          <w:sz w:val="24"/>
          <w:szCs w:val="24"/>
        </w:rPr>
        <w:t>.</w:t>
      </w:r>
      <w:r w:rsidR="00BC68A1">
        <w:rPr>
          <w:rFonts w:ascii="Book Antiqua" w:eastAsia="宋体" w:hAnsi="Book Antiqua" w:cs="Book Antiqua" w:hint="eastAsia"/>
          <w:b/>
          <w:color w:val="000000" w:themeColor="text1"/>
          <w:kern w:val="0"/>
          <w:sz w:val="24"/>
          <w:szCs w:val="24"/>
          <w:lang w:eastAsia="zh-CN"/>
        </w:rPr>
        <w:t xml:space="preserve"> </w:t>
      </w:r>
      <w:r w:rsidRPr="00712F63">
        <w:rPr>
          <w:rFonts w:ascii="Book Antiqua" w:hAnsi="Book Antiqua"/>
          <w:i/>
          <w:sz w:val="24"/>
        </w:rPr>
        <w:t xml:space="preserve">World J </w:t>
      </w:r>
      <w:proofErr w:type="spellStart"/>
      <w:r w:rsidRPr="00A84078">
        <w:rPr>
          <w:rFonts w:ascii="Book Antiqua" w:hAnsi="Book Antiqua"/>
          <w:i/>
          <w:sz w:val="24"/>
        </w:rPr>
        <w:t>Hepatol</w:t>
      </w:r>
      <w:proofErr w:type="spellEnd"/>
      <w:r>
        <w:rPr>
          <w:rFonts w:ascii="Book Antiqua" w:eastAsia="宋体" w:hAnsi="Book Antiqua" w:hint="eastAsia"/>
          <w:i/>
          <w:sz w:val="24"/>
          <w:lang w:eastAsia="zh-CN"/>
        </w:rPr>
        <w:t xml:space="preserve"> </w:t>
      </w:r>
      <w:r w:rsidRPr="00712F63">
        <w:rPr>
          <w:rFonts w:ascii="Book Antiqua" w:hAnsi="Book Antiqua"/>
          <w:sz w:val="24"/>
        </w:rPr>
        <w:t>201</w:t>
      </w:r>
      <w:r>
        <w:rPr>
          <w:rFonts w:ascii="Book Antiqua" w:hAnsi="Book Antiqua" w:hint="eastAsia"/>
          <w:sz w:val="24"/>
        </w:rPr>
        <w:t>5</w:t>
      </w:r>
      <w:r w:rsidRPr="00712F63">
        <w:rPr>
          <w:rFonts w:ascii="Book Antiqua" w:hAnsi="Book Antiqua"/>
          <w:sz w:val="24"/>
        </w:rPr>
        <w:t xml:space="preserve">; </w:t>
      </w:r>
      <w:bookmarkStart w:id="24" w:name="OLE_LINK1689"/>
      <w:bookmarkStart w:id="25" w:name="OLE_LINK1298"/>
      <w:bookmarkStart w:id="26" w:name="OLE_LINK1297"/>
      <w:proofErr w:type="gramStart"/>
      <w:r w:rsidRPr="00712F63">
        <w:rPr>
          <w:rFonts w:ascii="Book Antiqua" w:hAnsi="Book Antiqua"/>
          <w:sz w:val="24"/>
        </w:rPr>
        <w:t>In</w:t>
      </w:r>
      <w:proofErr w:type="gramEnd"/>
      <w:r w:rsidRPr="00712F63">
        <w:rPr>
          <w:rFonts w:ascii="Book Antiqua" w:hAnsi="Book Antiqua"/>
          <w:sz w:val="24"/>
        </w:rPr>
        <w:t xml:space="preserve"> press</w:t>
      </w:r>
      <w:bookmarkEnd w:id="16"/>
      <w:bookmarkEnd w:id="17"/>
      <w:bookmarkEnd w:id="18"/>
      <w:bookmarkEnd w:id="19"/>
      <w:bookmarkEnd w:id="20"/>
      <w:bookmarkEnd w:id="21"/>
      <w:bookmarkEnd w:id="22"/>
      <w:bookmarkEnd w:id="23"/>
      <w:bookmarkEnd w:id="24"/>
      <w:bookmarkEnd w:id="25"/>
      <w:bookmarkEnd w:id="26"/>
    </w:p>
    <w:p w14:paraId="0AD35A6C" w14:textId="6AD9E017" w:rsidR="00FE5EE6" w:rsidRPr="00A84078" w:rsidRDefault="00FE5EE6" w:rsidP="00A84078">
      <w:pPr>
        <w:widowControl/>
        <w:spacing w:line="360" w:lineRule="auto"/>
        <w:jc w:val="left"/>
        <w:rPr>
          <w:rFonts w:ascii="Book Antiqua" w:hAnsi="Book Antiqua" w:cs="Book Antiqua"/>
          <w:kern w:val="0"/>
          <w:sz w:val="23"/>
          <w:szCs w:val="23"/>
        </w:rPr>
      </w:pPr>
      <w:r w:rsidRPr="00042FE3">
        <w:rPr>
          <w:rFonts w:ascii="Book Antiqua" w:hAnsi="Book Antiqua" w:cs="Book Antiqua"/>
          <w:kern w:val="0"/>
          <w:sz w:val="23"/>
          <w:szCs w:val="23"/>
        </w:rPr>
        <w:br w:type="page"/>
      </w:r>
      <w:r w:rsidRPr="00042FE3">
        <w:rPr>
          <w:rFonts w:ascii="Book Antiqua" w:eastAsia="Arial Unicode MS" w:hAnsi="Book Antiqua" w:cs="Arial Unicode MS"/>
          <w:b/>
          <w:bCs/>
          <w:color w:val="000000"/>
          <w:sz w:val="24"/>
          <w:szCs w:val="24"/>
          <w:u w:color="000000"/>
          <w:bdr w:val="nil"/>
        </w:rPr>
        <w:lastRenderedPageBreak/>
        <w:t>INTRODUCTION</w:t>
      </w:r>
    </w:p>
    <w:p w14:paraId="694091A3" w14:textId="5753716A" w:rsidR="00FE5EE6" w:rsidRPr="00042FE3" w:rsidRDefault="00FE5EE6" w:rsidP="00A84078">
      <w:pPr>
        <w:pBdr>
          <w:top w:val="nil"/>
          <w:left w:val="nil"/>
          <w:bottom w:val="nil"/>
          <w:right w:val="nil"/>
          <w:between w:val="nil"/>
          <w:bar w:val="nil"/>
        </w:pBdr>
        <w:spacing w:line="360" w:lineRule="auto"/>
        <w:rPr>
          <w:rFonts w:ascii="Book Antiqua" w:eastAsia="Times New Roman" w:hAnsi="Book Antiqua" w:cs="Times New Roman"/>
          <w:color w:val="000000"/>
          <w:sz w:val="24"/>
          <w:szCs w:val="24"/>
          <w:u w:color="000000"/>
          <w:bdr w:val="nil"/>
        </w:rPr>
      </w:pPr>
      <w:r w:rsidRPr="00042FE3">
        <w:rPr>
          <w:rFonts w:ascii="Book Antiqua" w:eastAsia="Arial Unicode MS" w:hAnsi="Book Antiqua" w:cs="Arial Unicode MS"/>
          <w:color w:val="000000"/>
          <w:sz w:val="24"/>
          <w:szCs w:val="24"/>
          <w:u w:color="000000"/>
          <w:bdr w:val="nil"/>
        </w:rPr>
        <w:t>Chronic hepatitis C (CHC) infection is associated with a greatly increased risk of liver cirrhosis and hepatocellular carcinoma (HCC). There are an estimated 130</w:t>
      </w:r>
      <w:r w:rsidR="00D83046" w:rsidRPr="00042FE3">
        <w:rPr>
          <w:rFonts w:ascii="Book Antiqua" w:eastAsia="Arial Unicode MS" w:hAnsi="Book Antiqua" w:cs="Arial Unicode MS"/>
          <w:color w:val="000000"/>
          <w:sz w:val="24"/>
          <w:szCs w:val="24"/>
          <w:u w:color="000000"/>
          <w:bdr w:val="nil"/>
        </w:rPr>
        <w:t>–</w:t>
      </w:r>
      <w:r w:rsidRPr="00042FE3">
        <w:rPr>
          <w:rFonts w:ascii="Book Antiqua" w:eastAsia="Arial Unicode MS" w:hAnsi="Book Antiqua" w:cs="Arial Unicode MS"/>
          <w:color w:val="000000"/>
          <w:sz w:val="24"/>
          <w:szCs w:val="24"/>
          <w:u w:color="000000"/>
          <w:bdr w:val="nil"/>
        </w:rPr>
        <w:t xml:space="preserve">170 million people infected with HCV </w:t>
      </w:r>
      <w:proofErr w:type="gramStart"/>
      <w:r w:rsidRPr="00042FE3">
        <w:rPr>
          <w:rFonts w:ascii="Book Antiqua" w:eastAsia="Arial Unicode MS" w:hAnsi="Book Antiqua" w:cs="Arial Unicode MS"/>
          <w:color w:val="000000"/>
          <w:sz w:val="24"/>
          <w:szCs w:val="24"/>
          <w:u w:color="000000"/>
          <w:bdr w:val="nil"/>
        </w:rPr>
        <w:t>worldwide</w:t>
      </w:r>
      <w:r w:rsidRPr="00042FE3">
        <w:rPr>
          <w:rFonts w:ascii="Book Antiqua" w:eastAsia="Arial Unicode MS" w:hAnsi="Book Antiqua" w:cs="Arial Unicode MS"/>
          <w:color w:val="000000"/>
          <w:sz w:val="24"/>
          <w:szCs w:val="24"/>
          <w:u w:color="000000"/>
          <w:bdr w:val="nil"/>
          <w:vertAlign w:val="superscript"/>
        </w:rPr>
        <w:t>[</w:t>
      </w:r>
      <w:proofErr w:type="gramEnd"/>
      <w:r w:rsidRPr="00042FE3">
        <w:rPr>
          <w:rFonts w:ascii="Book Antiqua" w:eastAsia="Arial Unicode MS" w:hAnsi="Book Antiqua" w:cs="Arial Unicode MS"/>
          <w:color w:val="000000"/>
          <w:sz w:val="24"/>
          <w:szCs w:val="24"/>
          <w:u w:color="000000"/>
          <w:bdr w:val="nil"/>
          <w:vertAlign w:val="superscript"/>
        </w:rPr>
        <w:t>1]</w:t>
      </w:r>
      <w:r w:rsidRPr="00042FE3">
        <w:rPr>
          <w:rFonts w:ascii="Book Antiqua" w:eastAsia="Arial Unicode MS" w:hAnsi="Book Antiqua" w:cs="Arial Unicode MS"/>
          <w:color w:val="000000"/>
          <w:sz w:val="24"/>
          <w:szCs w:val="24"/>
          <w:u w:color="000000"/>
          <w:bdr w:val="nil"/>
        </w:rPr>
        <w:t xml:space="preserve"> and approximately 1.5</w:t>
      </w:r>
      <w:r w:rsidRPr="00042FE3">
        <w:rPr>
          <w:rFonts w:ascii="Book Antiqua" w:eastAsia="Arial Unicode MS" w:hAnsi="Book Antiqua" w:cs="Times New Roman"/>
          <w:color w:val="000000"/>
          <w:sz w:val="24"/>
          <w:szCs w:val="24"/>
          <w:u w:color="000000"/>
          <w:bdr w:val="nil"/>
        </w:rPr>
        <w:t>–</w:t>
      </w:r>
      <w:r w:rsidRPr="00042FE3">
        <w:rPr>
          <w:rFonts w:ascii="Book Antiqua" w:eastAsia="Arial Unicode MS" w:hAnsi="Book Antiqua" w:cs="Arial Unicode MS"/>
          <w:color w:val="000000"/>
          <w:sz w:val="24"/>
          <w:szCs w:val="24"/>
          <w:u w:color="000000"/>
          <w:bdr w:val="nil"/>
        </w:rPr>
        <w:t>2 million in Japan</w:t>
      </w:r>
      <w:r w:rsidRPr="00042FE3">
        <w:rPr>
          <w:rFonts w:ascii="Book Antiqua" w:eastAsia="Arial Unicode MS" w:hAnsi="Book Antiqua" w:cs="Arial Unicode MS"/>
          <w:color w:val="000000"/>
          <w:sz w:val="24"/>
          <w:szCs w:val="24"/>
          <w:u w:color="000000"/>
          <w:bdr w:val="nil"/>
          <w:vertAlign w:val="superscript"/>
        </w:rPr>
        <w:t>[2]</w:t>
      </w:r>
      <w:r w:rsidRPr="00042FE3">
        <w:rPr>
          <w:rFonts w:ascii="Book Antiqua" w:eastAsia="Arial Unicode MS" w:hAnsi="Book Antiqua" w:cs="Arial Unicode MS"/>
          <w:color w:val="000000"/>
          <w:sz w:val="24"/>
          <w:szCs w:val="24"/>
          <w:u w:color="000000"/>
          <w:bdr w:val="nil"/>
        </w:rPr>
        <w:t xml:space="preserve">. The combination of </w:t>
      </w:r>
      <w:proofErr w:type="spellStart"/>
      <w:r w:rsidRPr="00042FE3">
        <w:rPr>
          <w:rFonts w:ascii="Book Antiqua" w:eastAsia="Arial Unicode MS" w:hAnsi="Book Antiqua" w:cs="Arial Unicode MS"/>
          <w:color w:val="000000"/>
          <w:sz w:val="24"/>
          <w:szCs w:val="24"/>
          <w:u w:color="000000"/>
          <w:bdr w:val="nil"/>
        </w:rPr>
        <w:t>pegylated</w:t>
      </w:r>
      <w:proofErr w:type="spellEnd"/>
      <w:r w:rsidRPr="00042FE3">
        <w:rPr>
          <w:rFonts w:ascii="Book Antiqua" w:eastAsia="Arial Unicode MS" w:hAnsi="Book Antiqua" w:cs="Arial Unicode MS"/>
          <w:color w:val="000000"/>
          <w:sz w:val="24"/>
          <w:szCs w:val="24"/>
          <w:u w:color="000000"/>
          <w:bdr w:val="nil"/>
        </w:rPr>
        <w:t xml:space="preserve"> interferon (PEG-IFN) and ribavirin (RBV) dual therapy was previously the standard care for CHC, and was administered for 48</w:t>
      </w:r>
      <w:r w:rsidR="001058DF">
        <w:rPr>
          <w:rFonts w:ascii="Book Antiqua" w:eastAsia="Arial Unicode MS" w:hAnsi="Book Antiqua" w:cs="Times New Roman" w:hint="eastAsia"/>
          <w:color w:val="000000"/>
          <w:sz w:val="24"/>
          <w:szCs w:val="24"/>
          <w:u w:color="000000"/>
          <w:bdr w:val="nil"/>
          <w:lang w:eastAsia="zh-CN"/>
        </w:rPr>
        <w:t>-</w:t>
      </w:r>
      <w:r w:rsidRPr="00042FE3">
        <w:rPr>
          <w:rFonts w:ascii="Book Antiqua" w:eastAsia="Arial Unicode MS" w:hAnsi="Book Antiqua" w:cs="Arial Unicode MS"/>
          <w:color w:val="000000"/>
          <w:sz w:val="24"/>
          <w:szCs w:val="24"/>
          <w:u w:color="000000"/>
          <w:bdr w:val="nil"/>
        </w:rPr>
        <w:t xml:space="preserve">72 </w:t>
      </w:r>
      <w:proofErr w:type="spellStart"/>
      <w:r w:rsidR="00BC68A1">
        <w:rPr>
          <w:rFonts w:ascii="Book Antiqua" w:eastAsia="Arial Unicode MS" w:hAnsi="Book Antiqua" w:cs="Arial Unicode MS" w:hint="eastAsia"/>
          <w:color w:val="000000"/>
          <w:sz w:val="24"/>
          <w:szCs w:val="24"/>
          <w:u w:color="000000"/>
          <w:bdr w:val="nil"/>
          <w:lang w:eastAsia="zh-CN"/>
        </w:rPr>
        <w:t>wk</w:t>
      </w:r>
      <w:proofErr w:type="spellEnd"/>
      <w:r w:rsidRPr="00042FE3">
        <w:rPr>
          <w:rFonts w:ascii="Book Antiqua" w:eastAsia="Arial Unicode MS" w:hAnsi="Book Antiqua" w:cs="Arial Unicode MS"/>
          <w:color w:val="000000"/>
          <w:sz w:val="24"/>
          <w:szCs w:val="24"/>
          <w:u w:color="000000"/>
          <w:bdr w:val="nil"/>
        </w:rPr>
        <w:t xml:space="preserve"> in patients with genotype 1 and for 24 </w:t>
      </w:r>
      <w:proofErr w:type="spellStart"/>
      <w:r w:rsidR="00BC68A1">
        <w:rPr>
          <w:rFonts w:ascii="Book Antiqua" w:eastAsia="Arial Unicode MS" w:hAnsi="Book Antiqua" w:cs="Arial Unicode MS" w:hint="eastAsia"/>
          <w:color w:val="000000"/>
          <w:sz w:val="24"/>
          <w:szCs w:val="24"/>
          <w:u w:color="000000"/>
          <w:bdr w:val="nil"/>
          <w:lang w:eastAsia="zh-CN"/>
        </w:rPr>
        <w:t>wk</w:t>
      </w:r>
      <w:proofErr w:type="spellEnd"/>
      <w:r w:rsidRPr="00042FE3">
        <w:rPr>
          <w:rFonts w:ascii="Book Antiqua" w:eastAsia="Arial Unicode MS" w:hAnsi="Book Antiqua" w:cs="Arial Unicode MS"/>
          <w:color w:val="000000"/>
          <w:sz w:val="24"/>
          <w:szCs w:val="24"/>
          <w:u w:color="000000"/>
          <w:bdr w:val="nil"/>
        </w:rPr>
        <w:t xml:space="preserve"> in genotype 2. Sustained </w:t>
      </w:r>
      <w:proofErr w:type="spellStart"/>
      <w:r w:rsidRPr="00042FE3">
        <w:rPr>
          <w:rFonts w:ascii="Book Antiqua" w:eastAsia="Arial Unicode MS" w:hAnsi="Book Antiqua" w:cs="Arial Unicode MS"/>
          <w:color w:val="000000"/>
          <w:sz w:val="24"/>
          <w:szCs w:val="24"/>
          <w:u w:color="000000"/>
          <w:bdr w:val="nil"/>
        </w:rPr>
        <w:t>virological</w:t>
      </w:r>
      <w:proofErr w:type="spellEnd"/>
      <w:r w:rsidRPr="00042FE3">
        <w:rPr>
          <w:rFonts w:ascii="Book Antiqua" w:eastAsia="Arial Unicode MS" w:hAnsi="Book Antiqua" w:cs="Arial Unicode MS"/>
          <w:color w:val="000000"/>
          <w:sz w:val="24"/>
          <w:szCs w:val="24"/>
          <w:u w:color="000000"/>
          <w:bdr w:val="nil"/>
        </w:rPr>
        <w:t xml:space="preserve"> response (SVR) rates are approximately 40–50% in former group treated for 48 weeks and approximately 80% in the latter treated for 24 </w:t>
      </w:r>
      <w:proofErr w:type="spellStart"/>
      <w:r w:rsidR="00BC68A1">
        <w:rPr>
          <w:rFonts w:ascii="Book Antiqua" w:eastAsia="Arial Unicode MS" w:hAnsi="Book Antiqua" w:cs="Arial Unicode MS" w:hint="eastAsia"/>
          <w:color w:val="000000"/>
          <w:sz w:val="24"/>
          <w:szCs w:val="24"/>
          <w:u w:color="000000"/>
          <w:bdr w:val="nil"/>
          <w:lang w:eastAsia="zh-CN"/>
        </w:rPr>
        <w:t>wk</w:t>
      </w:r>
      <w:proofErr w:type="spellEnd"/>
      <w:r w:rsidRPr="00042FE3">
        <w:rPr>
          <w:rFonts w:ascii="Book Antiqua" w:eastAsia="Arial Unicode MS" w:hAnsi="Book Antiqua" w:cs="Arial Unicode MS"/>
          <w:color w:val="000000"/>
          <w:sz w:val="24"/>
          <w:szCs w:val="24"/>
          <w:u w:color="000000"/>
          <w:bdr w:val="nil"/>
          <w:vertAlign w:val="superscript"/>
        </w:rPr>
        <w:t>[3-5]</w:t>
      </w:r>
      <w:r w:rsidRPr="00042FE3">
        <w:rPr>
          <w:rFonts w:ascii="Book Antiqua" w:eastAsia="Arial Unicode MS" w:hAnsi="Book Antiqua" w:cs="Arial Unicode MS"/>
          <w:color w:val="000000"/>
          <w:sz w:val="24"/>
          <w:szCs w:val="24"/>
          <w:u w:color="000000"/>
          <w:bdr w:val="nil"/>
        </w:rPr>
        <w:t>.</w:t>
      </w:r>
    </w:p>
    <w:p w14:paraId="6D200117" w14:textId="6A7A559C" w:rsidR="00FE5EE6" w:rsidRPr="00042FE3" w:rsidRDefault="00D83046" w:rsidP="004449A0">
      <w:pPr>
        <w:pBdr>
          <w:top w:val="nil"/>
          <w:left w:val="nil"/>
          <w:bottom w:val="nil"/>
          <w:right w:val="nil"/>
          <w:between w:val="nil"/>
          <w:bar w:val="nil"/>
        </w:pBdr>
        <w:spacing w:line="360" w:lineRule="auto"/>
        <w:ind w:firstLine="525"/>
        <w:rPr>
          <w:rFonts w:ascii="Book Antiqua" w:eastAsia="Times New Roman" w:hAnsi="Book Antiqua" w:cs="Times New Roman"/>
          <w:color w:val="000000"/>
          <w:sz w:val="24"/>
          <w:szCs w:val="24"/>
          <w:u w:color="000000"/>
          <w:bdr w:val="nil"/>
        </w:rPr>
      </w:pPr>
      <w:r w:rsidRPr="00042FE3">
        <w:rPr>
          <w:rFonts w:ascii="Book Antiqua" w:eastAsia="Arial Unicode MS" w:hAnsi="Book Antiqua" w:cs="Arial Unicode MS"/>
          <w:color w:val="000000"/>
          <w:sz w:val="24"/>
          <w:szCs w:val="24"/>
          <w:u w:color="000000"/>
          <w:bdr w:val="nil"/>
        </w:rPr>
        <w:t>N</w:t>
      </w:r>
      <w:r w:rsidR="00FE5EE6" w:rsidRPr="00042FE3">
        <w:rPr>
          <w:rFonts w:ascii="Book Antiqua" w:eastAsia="Arial Unicode MS" w:hAnsi="Book Antiqua" w:cs="Arial Unicode MS"/>
          <w:color w:val="000000"/>
          <w:sz w:val="24"/>
          <w:szCs w:val="24"/>
          <w:u w:color="000000"/>
          <w:bdr w:val="nil"/>
        </w:rPr>
        <w:t xml:space="preserve">ovel drug classes, including inhibitors of the NS3/NS4 protease of HCV polyprotein (protease inhibitors), have </w:t>
      </w:r>
      <w:r w:rsidRPr="00042FE3">
        <w:rPr>
          <w:rFonts w:ascii="Book Antiqua" w:eastAsia="Arial Unicode MS" w:hAnsi="Book Antiqua" w:cs="Arial Unicode MS"/>
          <w:color w:val="000000"/>
          <w:sz w:val="24"/>
          <w:szCs w:val="24"/>
          <w:u w:color="000000"/>
          <w:bdr w:val="nil"/>
        </w:rPr>
        <w:t xml:space="preserve">recently </w:t>
      </w:r>
      <w:r w:rsidR="00FE5EE6" w:rsidRPr="00042FE3">
        <w:rPr>
          <w:rFonts w:ascii="Book Antiqua" w:eastAsia="Arial Unicode MS" w:hAnsi="Book Antiqua" w:cs="Arial Unicode MS"/>
          <w:color w:val="000000"/>
          <w:sz w:val="24"/>
          <w:szCs w:val="24"/>
          <w:u w:color="000000"/>
          <w:bdr w:val="nil"/>
        </w:rPr>
        <w:t xml:space="preserve">become </w:t>
      </w:r>
      <w:proofErr w:type="gramStart"/>
      <w:r w:rsidR="00FE5EE6" w:rsidRPr="00042FE3">
        <w:rPr>
          <w:rFonts w:ascii="Book Antiqua" w:eastAsia="Arial Unicode MS" w:hAnsi="Book Antiqua" w:cs="Arial Unicode MS"/>
          <w:color w:val="000000"/>
          <w:sz w:val="24"/>
          <w:szCs w:val="24"/>
          <w:u w:color="000000"/>
          <w:bdr w:val="nil"/>
        </w:rPr>
        <w:t>available</w:t>
      </w:r>
      <w:r w:rsidR="00FE5EE6" w:rsidRPr="00042FE3">
        <w:rPr>
          <w:rFonts w:ascii="Book Antiqua" w:eastAsia="Arial Unicode MS" w:hAnsi="Book Antiqua" w:cs="Arial Unicode MS"/>
          <w:color w:val="000000"/>
          <w:sz w:val="24"/>
          <w:szCs w:val="24"/>
          <w:u w:color="000000"/>
          <w:bdr w:val="nil"/>
          <w:vertAlign w:val="superscript"/>
        </w:rPr>
        <w:t>[</w:t>
      </w:r>
      <w:proofErr w:type="gramEnd"/>
      <w:r w:rsidR="00FE5EE6" w:rsidRPr="00042FE3">
        <w:rPr>
          <w:rFonts w:ascii="Book Antiqua" w:eastAsia="Arial Unicode MS" w:hAnsi="Book Antiqua" w:cs="Arial Unicode MS"/>
          <w:color w:val="000000"/>
          <w:sz w:val="24"/>
          <w:szCs w:val="24"/>
          <w:u w:color="000000"/>
          <w:bdr w:val="nil"/>
          <w:vertAlign w:val="superscript"/>
        </w:rPr>
        <w:t>6-8]</w:t>
      </w:r>
      <w:r w:rsidR="00FE5EE6" w:rsidRPr="00042FE3">
        <w:rPr>
          <w:rFonts w:ascii="Book Antiqua" w:eastAsia="Arial Unicode MS" w:hAnsi="Book Antiqua" w:cs="Arial Unicode MS"/>
          <w:color w:val="000000"/>
          <w:sz w:val="24"/>
          <w:szCs w:val="24"/>
          <w:u w:color="000000"/>
          <w:bdr w:val="nil"/>
        </w:rPr>
        <w:t xml:space="preserve">. Of these, </w:t>
      </w:r>
      <w:proofErr w:type="spellStart"/>
      <w:r w:rsidR="00FE5EE6" w:rsidRPr="00042FE3">
        <w:rPr>
          <w:rFonts w:ascii="Book Antiqua" w:eastAsia="Arial Unicode MS" w:hAnsi="Book Antiqua" w:cs="Arial Unicode MS"/>
          <w:color w:val="000000"/>
          <w:sz w:val="24"/>
          <w:szCs w:val="24"/>
          <w:u w:color="000000"/>
          <w:bdr w:val="nil"/>
        </w:rPr>
        <w:t>telaprevir</w:t>
      </w:r>
      <w:proofErr w:type="spellEnd"/>
      <w:r w:rsidR="00FE5EE6" w:rsidRPr="00042FE3">
        <w:rPr>
          <w:rFonts w:ascii="Book Antiqua" w:eastAsia="Arial Unicode MS" w:hAnsi="Book Antiqua" w:cs="Arial Unicode MS"/>
          <w:color w:val="000000"/>
          <w:sz w:val="24"/>
          <w:szCs w:val="24"/>
          <w:u w:color="000000"/>
          <w:bdr w:val="nil"/>
        </w:rPr>
        <w:t xml:space="preserve"> (TVR) was the first to be approved in Japan for the treatment of CHC. In a clinical trial of TVR triple combination therapy (TVR, PEG-IFN, and RBV) for 24 </w:t>
      </w:r>
      <w:proofErr w:type="spellStart"/>
      <w:r w:rsidR="00BC68A1">
        <w:rPr>
          <w:rFonts w:ascii="Book Antiqua" w:eastAsia="Arial Unicode MS" w:hAnsi="Book Antiqua" w:cs="Arial Unicode MS" w:hint="eastAsia"/>
          <w:color w:val="000000"/>
          <w:sz w:val="24"/>
          <w:szCs w:val="24"/>
          <w:u w:color="000000"/>
          <w:bdr w:val="nil"/>
          <w:lang w:eastAsia="zh-CN"/>
        </w:rPr>
        <w:t>wk</w:t>
      </w:r>
      <w:proofErr w:type="spellEnd"/>
      <w:r w:rsidR="00FE5EE6" w:rsidRPr="00042FE3">
        <w:rPr>
          <w:rFonts w:ascii="Book Antiqua" w:eastAsia="Arial Unicode MS" w:hAnsi="Book Antiqua" w:cs="Arial Unicode MS"/>
          <w:color w:val="000000"/>
          <w:sz w:val="24"/>
          <w:szCs w:val="24"/>
          <w:u w:color="000000"/>
          <w:bdr w:val="nil"/>
        </w:rPr>
        <w:t xml:space="preserve"> in Japan, rapid reductions in serum HCV </w:t>
      </w:r>
      <w:r w:rsidR="007C5BF8">
        <w:rPr>
          <w:rFonts w:ascii="Book Antiqua" w:eastAsia="Arial Unicode MS" w:hAnsi="Book Antiqua" w:cs="Arial Unicode MS"/>
          <w:color w:val="000000"/>
          <w:sz w:val="24"/>
          <w:szCs w:val="24"/>
          <w:u w:color="000000"/>
          <w:bdr w:val="nil"/>
        </w:rPr>
        <w:t>RNA levels were observed with a</w:t>
      </w:r>
      <w:r w:rsidR="00FE5EE6" w:rsidRPr="00042FE3">
        <w:rPr>
          <w:rFonts w:ascii="Book Antiqua" w:eastAsia="Arial Unicode MS" w:hAnsi="Book Antiqua" w:cs="Arial Unicode MS"/>
          <w:color w:val="000000"/>
          <w:sz w:val="24"/>
          <w:szCs w:val="24"/>
          <w:u w:color="000000"/>
          <w:bdr w:val="nil"/>
        </w:rPr>
        <w:t xml:space="preserve"> SVR rate of approximately 70%</w:t>
      </w:r>
      <w:r w:rsidR="002520CC" w:rsidRPr="00042FE3">
        <w:rPr>
          <w:rFonts w:ascii="Book Antiqua" w:eastAsia="Arial Unicode MS" w:hAnsi="Book Antiqua" w:cs="Arial Unicode MS"/>
          <w:color w:val="000000"/>
          <w:sz w:val="24"/>
          <w:szCs w:val="24"/>
          <w:u w:color="000000"/>
          <w:bdr w:val="nil"/>
          <w:vertAlign w:val="superscript"/>
        </w:rPr>
        <w:t>[</w:t>
      </w:r>
      <w:r w:rsidR="00BC68A1">
        <w:rPr>
          <w:rFonts w:ascii="Book Antiqua" w:eastAsia="Arial Unicode MS" w:hAnsi="Book Antiqua" w:cs="Arial Unicode MS"/>
          <w:color w:val="000000"/>
          <w:sz w:val="24"/>
          <w:szCs w:val="24"/>
          <w:u w:color="000000"/>
          <w:bdr w:val="nil"/>
          <w:vertAlign w:val="superscript"/>
        </w:rPr>
        <w:t>9,</w:t>
      </w:r>
      <w:r w:rsidR="00FE5EE6" w:rsidRPr="00042FE3">
        <w:rPr>
          <w:rFonts w:ascii="Book Antiqua" w:eastAsia="Arial Unicode MS" w:hAnsi="Book Antiqua" w:cs="Arial Unicode MS"/>
          <w:color w:val="000000"/>
          <w:sz w:val="24"/>
          <w:szCs w:val="24"/>
          <w:u w:color="000000"/>
          <w:bdr w:val="nil"/>
          <w:vertAlign w:val="superscript"/>
        </w:rPr>
        <w:t>1</w:t>
      </w:r>
      <w:r w:rsidR="00FE5EE6" w:rsidRPr="00627B4F">
        <w:rPr>
          <w:rFonts w:ascii="Book Antiqua" w:eastAsia="Arial Unicode MS" w:hAnsi="Book Antiqua" w:cs="Arial Unicode MS"/>
          <w:color w:val="000000"/>
          <w:sz w:val="24"/>
          <w:szCs w:val="24"/>
          <w:u w:color="000000"/>
          <w:bdr w:val="nil"/>
          <w:vertAlign w:val="superscript"/>
        </w:rPr>
        <w:t>0</w:t>
      </w:r>
      <w:r w:rsidR="002520CC" w:rsidRPr="00042FE3">
        <w:rPr>
          <w:rFonts w:ascii="Book Antiqua" w:eastAsia="Arial Unicode MS" w:hAnsi="Book Antiqua" w:cs="Arial Unicode MS"/>
          <w:color w:val="000000"/>
          <w:sz w:val="24"/>
          <w:szCs w:val="24"/>
          <w:u w:color="000000"/>
          <w:bdr w:val="nil"/>
          <w:vertAlign w:val="superscript"/>
        </w:rPr>
        <w:t>]</w:t>
      </w:r>
      <w:r w:rsidR="002520CC" w:rsidRPr="00042FE3">
        <w:rPr>
          <w:rFonts w:ascii="Book Antiqua" w:eastAsia="Arial Unicode MS" w:hAnsi="Book Antiqua" w:cs="Arial Unicode MS"/>
          <w:color w:val="000000"/>
          <w:sz w:val="24"/>
          <w:szCs w:val="24"/>
          <w:u w:color="000000"/>
          <w:bdr w:val="nil"/>
        </w:rPr>
        <w:t>.</w:t>
      </w:r>
      <w:r w:rsidR="00FE5EE6" w:rsidRPr="00042FE3">
        <w:rPr>
          <w:rFonts w:ascii="Book Antiqua" w:eastAsia="Arial Unicode MS" w:hAnsi="Book Antiqua" w:cs="Arial Unicode MS"/>
          <w:color w:val="000000"/>
          <w:sz w:val="24"/>
          <w:szCs w:val="24"/>
          <w:u w:color="000000"/>
          <w:bdr w:val="nil"/>
        </w:rPr>
        <w:t xml:space="preserve"> However, treatment discontinuation because of adverse events, including skin rash, anemia, and thrombocytopenia, occurred in up to 21% </w:t>
      </w:r>
      <w:proofErr w:type="gramStart"/>
      <w:r w:rsidR="00FE5EE6" w:rsidRPr="00042FE3">
        <w:rPr>
          <w:rFonts w:ascii="Book Antiqua" w:eastAsia="Arial Unicode MS" w:hAnsi="Book Antiqua" w:cs="Arial Unicode MS"/>
          <w:color w:val="000000"/>
          <w:sz w:val="24"/>
          <w:szCs w:val="24"/>
          <w:u w:color="000000"/>
          <w:bdr w:val="nil"/>
        </w:rPr>
        <w:t>patients</w:t>
      </w:r>
      <w:r w:rsidR="002520CC" w:rsidRPr="00042FE3">
        <w:rPr>
          <w:rFonts w:ascii="Book Antiqua" w:eastAsia="Arial Unicode MS" w:hAnsi="Book Antiqua" w:cs="Arial Unicode MS"/>
          <w:color w:val="000000"/>
          <w:sz w:val="24"/>
          <w:szCs w:val="24"/>
          <w:u w:color="000000"/>
          <w:bdr w:val="nil"/>
          <w:vertAlign w:val="superscript"/>
        </w:rPr>
        <w:t>[</w:t>
      </w:r>
      <w:proofErr w:type="gramEnd"/>
      <w:r w:rsidR="00FE5EE6" w:rsidRPr="00042FE3">
        <w:rPr>
          <w:rFonts w:ascii="Book Antiqua" w:eastAsia="Arial Unicode MS" w:hAnsi="Book Antiqua" w:cs="Arial Unicode MS"/>
          <w:color w:val="000000"/>
          <w:sz w:val="24"/>
          <w:szCs w:val="24"/>
          <w:u w:color="000000"/>
          <w:bdr w:val="nil"/>
          <w:vertAlign w:val="superscript"/>
        </w:rPr>
        <w:t>11</w:t>
      </w:r>
      <w:r w:rsidR="002520CC" w:rsidRPr="00042FE3">
        <w:rPr>
          <w:rFonts w:ascii="Book Antiqua" w:eastAsia="Arial Unicode MS" w:hAnsi="Book Antiqua" w:cs="Arial Unicode MS"/>
          <w:color w:val="000000"/>
          <w:sz w:val="24"/>
          <w:szCs w:val="24"/>
          <w:u w:color="000000"/>
          <w:bdr w:val="nil"/>
          <w:vertAlign w:val="superscript"/>
        </w:rPr>
        <w:t>]</w:t>
      </w:r>
      <w:r w:rsidR="002520CC" w:rsidRPr="00042FE3">
        <w:rPr>
          <w:rFonts w:ascii="Book Antiqua" w:eastAsia="Arial Unicode MS" w:hAnsi="Book Antiqua" w:cs="Arial Unicode MS"/>
          <w:color w:val="000000"/>
          <w:sz w:val="24"/>
          <w:szCs w:val="24"/>
          <w:u w:color="000000"/>
          <w:bdr w:val="nil"/>
        </w:rPr>
        <w:t>.</w:t>
      </w:r>
      <w:r w:rsidR="00FE5EE6" w:rsidRPr="00042FE3">
        <w:rPr>
          <w:rFonts w:ascii="Book Antiqua" w:eastAsia="Arial Unicode MS" w:hAnsi="Book Antiqua" w:cs="Arial Unicode MS"/>
          <w:color w:val="000000"/>
          <w:sz w:val="24"/>
          <w:szCs w:val="24"/>
          <w:u w:color="000000"/>
          <w:bdr w:val="nil"/>
        </w:rPr>
        <w:t xml:space="preserve"> Thus, the TVR triple combination therapy is no longer </w:t>
      </w:r>
      <w:proofErr w:type="gramStart"/>
      <w:r w:rsidR="00FE5EE6" w:rsidRPr="00042FE3">
        <w:rPr>
          <w:rFonts w:ascii="Book Antiqua" w:eastAsia="Arial Unicode MS" w:hAnsi="Book Antiqua" w:cs="Arial Unicode MS"/>
          <w:color w:val="000000"/>
          <w:sz w:val="24"/>
          <w:szCs w:val="24"/>
          <w:u w:color="000000"/>
          <w:bdr w:val="nil"/>
        </w:rPr>
        <w:t>recommended</w:t>
      </w:r>
      <w:r w:rsidR="002520CC" w:rsidRPr="00042FE3">
        <w:rPr>
          <w:rFonts w:ascii="Book Antiqua" w:eastAsia="Arial Unicode MS" w:hAnsi="Book Antiqua" w:cs="Arial Unicode MS"/>
          <w:color w:val="000000"/>
          <w:sz w:val="24"/>
          <w:szCs w:val="24"/>
          <w:u w:color="000000"/>
          <w:bdr w:val="nil"/>
          <w:vertAlign w:val="superscript"/>
        </w:rPr>
        <w:t>[</w:t>
      </w:r>
      <w:proofErr w:type="gramEnd"/>
      <w:r w:rsidR="00FE5EE6" w:rsidRPr="00042FE3">
        <w:rPr>
          <w:rFonts w:ascii="Book Antiqua" w:eastAsia="Arial Unicode MS" w:hAnsi="Book Antiqua" w:cs="Arial Unicode MS"/>
          <w:color w:val="000000"/>
          <w:sz w:val="24"/>
          <w:szCs w:val="24"/>
          <w:u w:color="000000"/>
          <w:bdr w:val="nil"/>
          <w:vertAlign w:val="superscript"/>
        </w:rPr>
        <w:t>12</w:t>
      </w:r>
      <w:r w:rsidR="002520CC" w:rsidRPr="00042FE3">
        <w:rPr>
          <w:rFonts w:ascii="Book Antiqua" w:eastAsia="Arial Unicode MS" w:hAnsi="Book Antiqua" w:cs="Arial Unicode MS"/>
          <w:color w:val="000000"/>
          <w:sz w:val="24"/>
          <w:szCs w:val="24"/>
          <w:u w:color="000000"/>
          <w:bdr w:val="nil"/>
          <w:vertAlign w:val="superscript"/>
        </w:rPr>
        <w:t>]</w:t>
      </w:r>
      <w:r w:rsidR="002520CC" w:rsidRPr="00042FE3">
        <w:rPr>
          <w:rFonts w:ascii="Book Antiqua" w:eastAsia="Arial Unicode MS" w:hAnsi="Book Antiqua" w:cs="Arial Unicode MS"/>
          <w:color w:val="000000"/>
          <w:sz w:val="24"/>
          <w:szCs w:val="24"/>
          <w:u w:color="000000"/>
          <w:bdr w:val="nil"/>
        </w:rPr>
        <w:t>.</w:t>
      </w:r>
    </w:p>
    <w:p w14:paraId="7FD6B840" w14:textId="1B1940E7" w:rsidR="00FE5EE6" w:rsidRPr="00042FE3" w:rsidRDefault="00FE5EE6" w:rsidP="004449A0">
      <w:pPr>
        <w:pBdr>
          <w:top w:val="nil"/>
          <w:left w:val="nil"/>
          <w:bottom w:val="nil"/>
          <w:right w:val="nil"/>
          <w:between w:val="nil"/>
          <w:bar w:val="nil"/>
        </w:pBdr>
        <w:spacing w:line="360" w:lineRule="auto"/>
        <w:ind w:firstLine="525"/>
        <w:rPr>
          <w:rFonts w:ascii="Book Antiqua" w:eastAsia="Times New Roman" w:hAnsi="Book Antiqua" w:cs="Times New Roman"/>
          <w:color w:val="000000"/>
          <w:sz w:val="24"/>
          <w:szCs w:val="24"/>
          <w:u w:color="000000"/>
          <w:bdr w:val="nil"/>
        </w:rPr>
      </w:pPr>
      <w:proofErr w:type="spellStart"/>
      <w:r w:rsidRPr="00042FE3">
        <w:rPr>
          <w:rFonts w:ascii="Book Antiqua" w:eastAsia="Arial Unicode MS" w:hAnsi="Book Antiqua" w:cs="Arial Unicode MS"/>
          <w:color w:val="000000"/>
          <w:sz w:val="24"/>
          <w:szCs w:val="24"/>
          <w:u w:color="000000"/>
          <w:bdr w:val="nil"/>
        </w:rPr>
        <w:t>Simeprevir</w:t>
      </w:r>
      <w:proofErr w:type="spellEnd"/>
      <w:r w:rsidRPr="00042FE3">
        <w:rPr>
          <w:rFonts w:ascii="Book Antiqua" w:eastAsia="Arial Unicode MS" w:hAnsi="Book Antiqua" w:cs="Arial Unicode MS"/>
          <w:color w:val="000000"/>
          <w:sz w:val="24"/>
          <w:szCs w:val="24"/>
          <w:u w:color="000000"/>
          <w:bdr w:val="nil"/>
        </w:rPr>
        <w:t xml:space="preserve"> (SMV) is a second generation NS3/NS4 protease </w:t>
      </w:r>
      <w:proofErr w:type="gramStart"/>
      <w:r w:rsidRPr="00042FE3">
        <w:rPr>
          <w:rFonts w:ascii="Book Antiqua" w:eastAsia="Arial Unicode MS" w:hAnsi="Book Antiqua" w:cs="Arial Unicode MS"/>
          <w:color w:val="000000"/>
          <w:sz w:val="24"/>
          <w:szCs w:val="24"/>
          <w:u w:color="000000"/>
          <w:bdr w:val="nil"/>
        </w:rPr>
        <w:t>inhibitor</w:t>
      </w:r>
      <w:r w:rsidR="002520CC" w:rsidRPr="00042FE3">
        <w:rPr>
          <w:rFonts w:ascii="Book Antiqua" w:eastAsia="Arial Unicode MS" w:hAnsi="Book Antiqua" w:cs="Arial Unicode MS"/>
          <w:color w:val="000000"/>
          <w:sz w:val="24"/>
          <w:szCs w:val="24"/>
          <w:u w:color="000000"/>
          <w:bdr w:val="nil"/>
          <w:vertAlign w:val="superscript"/>
        </w:rPr>
        <w:t>[</w:t>
      </w:r>
      <w:proofErr w:type="gramEnd"/>
      <w:r w:rsidRPr="00042FE3">
        <w:rPr>
          <w:rFonts w:ascii="Book Antiqua" w:eastAsia="Arial Unicode MS" w:hAnsi="Book Antiqua" w:cs="Arial Unicode MS"/>
          <w:color w:val="000000"/>
          <w:sz w:val="24"/>
          <w:szCs w:val="24"/>
          <w:u w:color="000000"/>
          <w:bdr w:val="nil"/>
          <w:vertAlign w:val="superscript"/>
        </w:rPr>
        <w:t>13</w:t>
      </w:r>
      <w:r w:rsidR="002520CC" w:rsidRPr="00042FE3">
        <w:rPr>
          <w:rFonts w:ascii="Book Antiqua" w:eastAsia="Arial Unicode MS" w:hAnsi="Book Antiqua" w:cs="Arial Unicode MS"/>
          <w:color w:val="000000"/>
          <w:sz w:val="24"/>
          <w:szCs w:val="24"/>
          <w:u w:color="000000"/>
          <w:bdr w:val="nil"/>
          <w:vertAlign w:val="superscript"/>
        </w:rPr>
        <w:t>]</w:t>
      </w:r>
      <w:r w:rsidR="002520CC" w:rsidRPr="00042FE3">
        <w:rPr>
          <w:rFonts w:ascii="Book Antiqua" w:eastAsia="Arial Unicode MS" w:hAnsi="Book Antiqua" w:cs="Arial Unicode MS"/>
          <w:color w:val="000000"/>
          <w:sz w:val="24"/>
          <w:szCs w:val="24"/>
          <w:u w:color="000000"/>
          <w:bdr w:val="nil"/>
        </w:rPr>
        <w:t>.</w:t>
      </w:r>
      <w:r w:rsidRPr="00042FE3">
        <w:rPr>
          <w:rFonts w:ascii="Book Antiqua" w:eastAsia="Arial Unicode MS" w:hAnsi="Book Antiqua" w:cs="Arial Unicode MS"/>
          <w:color w:val="000000"/>
          <w:sz w:val="24"/>
          <w:szCs w:val="24"/>
          <w:u w:color="000000"/>
          <w:bdr w:val="nil"/>
        </w:rPr>
        <w:t xml:space="preserve"> The QUEST 1 and QUEST 2 phase 3 clinical trials demonstrated SVRs of 80% and 81% in patients treated with SMV triple combination therapy (SMV, PEG-IFN, and RBV), respectively. Similar results have been reported in phase 3 clinical trials conducted in </w:t>
      </w:r>
      <w:proofErr w:type="gramStart"/>
      <w:r w:rsidRPr="00042FE3">
        <w:rPr>
          <w:rFonts w:ascii="Book Antiqua" w:eastAsia="Arial Unicode MS" w:hAnsi="Book Antiqua" w:cs="Arial Unicode MS"/>
          <w:color w:val="000000"/>
          <w:sz w:val="24"/>
          <w:szCs w:val="24"/>
          <w:u w:color="000000"/>
          <w:bdr w:val="nil"/>
        </w:rPr>
        <w:t>Japan</w:t>
      </w:r>
      <w:r w:rsidR="002520CC" w:rsidRPr="00042FE3">
        <w:rPr>
          <w:rFonts w:ascii="Book Antiqua" w:eastAsia="Arial Unicode MS" w:hAnsi="Book Antiqua" w:cs="Arial Unicode MS"/>
          <w:color w:val="000000"/>
          <w:sz w:val="24"/>
          <w:szCs w:val="24"/>
          <w:u w:color="000000"/>
          <w:bdr w:val="nil"/>
          <w:vertAlign w:val="superscript"/>
        </w:rPr>
        <w:t>[</w:t>
      </w:r>
      <w:proofErr w:type="gramEnd"/>
      <w:r w:rsidRPr="00042FE3">
        <w:rPr>
          <w:rFonts w:ascii="Book Antiqua" w:eastAsia="Arial Unicode MS" w:hAnsi="Book Antiqua" w:cs="Arial Unicode MS"/>
          <w:color w:val="000000"/>
          <w:sz w:val="24"/>
          <w:szCs w:val="24"/>
          <w:u w:color="000000"/>
          <w:bdr w:val="nil"/>
          <w:vertAlign w:val="superscript"/>
        </w:rPr>
        <w:t>14-16</w:t>
      </w:r>
      <w:r w:rsidR="002520CC" w:rsidRPr="00042FE3">
        <w:rPr>
          <w:rFonts w:ascii="Book Antiqua" w:eastAsia="Arial Unicode MS" w:hAnsi="Book Antiqua" w:cs="Arial Unicode MS"/>
          <w:color w:val="000000"/>
          <w:sz w:val="24"/>
          <w:szCs w:val="24"/>
          <w:u w:color="000000"/>
          <w:bdr w:val="nil"/>
          <w:vertAlign w:val="superscript"/>
        </w:rPr>
        <w:t>]</w:t>
      </w:r>
      <w:r w:rsidR="002520CC" w:rsidRPr="00042FE3">
        <w:rPr>
          <w:rFonts w:ascii="Book Antiqua" w:eastAsia="Arial Unicode MS" w:hAnsi="Book Antiqua" w:cs="Arial Unicode MS"/>
          <w:color w:val="000000"/>
          <w:sz w:val="24"/>
          <w:szCs w:val="24"/>
          <w:u w:color="000000"/>
          <w:bdr w:val="nil"/>
        </w:rPr>
        <w:t>.</w:t>
      </w:r>
      <w:r w:rsidRPr="00042FE3">
        <w:rPr>
          <w:rFonts w:ascii="Book Antiqua" w:eastAsia="Arial Unicode MS" w:hAnsi="Book Antiqua" w:cs="Arial Unicode MS"/>
          <w:color w:val="000000"/>
          <w:sz w:val="24"/>
          <w:szCs w:val="24"/>
          <w:u w:color="000000"/>
          <w:bdr w:val="nil"/>
        </w:rPr>
        <w:t xml:space="preserve"> TVR and SMV were approved for use in </w:t>
      </w:r>
      <w:r w:rsidRPr="00042FE3">
        <w:rPr>
          <w:rFonts w:ascii="Book Antiqua" w:eastAsia="Arial Unicode MS" w:hAnsi="Book Antiqua" w:cs="Arial Unicode MS"/>
          <w:color w:val="000000"/>
          <w:sz w:val="24"/>
          <w:szCs w:val="24"/>
          <w:u w:color="000000"/>
          <w:bdr w:val="nil"/>
        </w:rPr>
        <w:lastRenderedPageBreak/>
        <w:t>clinical pra</w:t>
      </w:r>
      <w:r w:rsidR="002520CC" w:rsidRPr="00042FE3">
        <w:rPr>
          <w:rFonts w:ascii="Book Antiqua" w:eastAsia="Arial Unicode MS" w:hAnsi="Book Antiqua" w:cs="Arial Unicode MS"/>
          <w:color w:val="000000"/>
          <w:sz w:val="24"/>
          <w:szCs w:val="24"/>
          <w:u w:color="000000"/>
          <w:bdr w:val="nil"/>
        </w:rPr>
        <w:t>ctice in Japan in December 2011</w:t>
      </w:r>
      <w:r w:rsidRPr="00042FE3">
        <w:rPr>
          <w:rFonts w:ascii="Book Antiqua" w:eastAsia="Arial Unicode MS" w:hAnsi="Book Antiqua" w:cs="Arial Unicode MS"/>
          <w:color w:val="000000"/>
          <w:sz w:val="24"/>
          <w:szCs w:val="24"/>
          <w:u w:color="000000"/>
          <w:bdr w:val="nil"/>
        </w:rPr>
        <w:t xml:space="preserve"> and December 2013, respectively. We previously treated patients with CHC using TVR or SMV as PEG-IFN and RBV-based triple combination therapy with an NS3/NS4 protease inhibitor; however, “drug lag” between TVR and SMV, causing a difference in clinical backgrounds between the two regimens prior to treatment initiation, prevented fair comparison of the efficacy of TVR and SMV in real-world clinical practice. The aim of this study was to evaluate and compare the efficacy of TVR or SMV for the treatment of CHC patients in Japan. </w:t>
      </w:r>
    </w:p>
    <w:p w14:paraId="5B567B6A" w14:textId="77777777" w:rsidR="005B5695" w:rsidRPr="00627B4F" w:rsidRDefault="005B5695" w:rsidP="004449A0">
      <w:pPr>
        <w:pBdr>
          <w:top w:val="nil"/>
          <w:left w:val="nil"/>
          <w:bottom w:val="nil"/>
          <w:right w:val="nil"/>
          <w:between w:val="nil"/>
          <w:bar w:val="nil"/>
        </w:pBdr>
        <w:spacing w:line="360" w:lineRule="auto"/>
        <w:rPr>
          <w:rFonts w:ascii="Book Antiqua" w:eastAsia="Arial Unicode MS" w:hAnsi="Book Antiqua" w:cs="Arial Unicode MS"/>
          <w:b/>
          <w:bCs/>
          <w:color w:val="000000"/>
          <w:sz w:val="22"/>
          <w:u w:color="000000"/>
          <w:bdr w:val="nil"/>
        </w:rPr>
      </w:pPr>
    </w:p>
    <w:p w14:paraId="6B677AD7" w14:textId="04D44D07" w:rsidR="00FE5EE6" w:rsidRPr="00627B4F" w:rsidRDefault="002C2FDC" w:rsidP="004449A0">
      <w:pPr>
        <w:pBdr>
          <w:top w:val="nil"/>
          <w:left w:val="nil"/>
          <w:bottom w:val="nil"/>
          <w:right w:val="nil"/>
          <w:between w:val="nil"/>
          <w:bar w:val="nil"/>
        </w:pBdr>
        <w:spacing w:line="360" w:lineRule="auto"/>
        <w:rPr>
          <w:rFonts w:ascii="Book Antiqua" w:eastAsia="Times New Roman" w:hAnsi="Book Antiqua" w:cs="Times New Roman"/>
          <w:b/>
          <w:bCs/>
          <w:color w:val="000000"/>
          <w:sz w:val="22"/>
          <w:u w:color="000000"/>
          <w:bdr w:val="nil"/>
        </w:rPr>
      </w:pPr>
      <w:r w:rsidRPr="00627B4F">
        <w:rPr>
          <w:rFonts w:ascii="Book Antiqua" w:eastAsia="Arial Unicode MS" w:hAnsi="Book Antiqua" w:cs="Arial Unicode MS"/>
          <w:b/>
          <w:bCs/>
          <w:color w:val="000000"/>
          <w:sz w:val="22"/>
          <w:u w:color="000000"/>
          <w:bdr w:val="nil"/>
        </w:rPr>
        <w:t xml:space="preserve">MATHERIALS AND </w:t>
      </w:r>
      <w:r w:rsidR="00FE5EE6" w:rsidRPr="00627B4F">
        <w:rPr>
          <w:rFonts w:ascii="Book Antiqua" w:eastAsia="Arial Unicode MS" w:hAnsi="Book Antiqua" w:cs="Arial Unicode MS"/>
          <w:b/>
          <w:bCs/>
          <w:color w:val="000000"/>
          <w:sz w:val="22"/>
          <w:u w:color="000000"/>
          <w:bdr w:val="nil"/>
        </w:rPr>
        <w:t>METHODS</w:t>
      </w:r>
    </w:p>
    <w:p w14:paraId="4ED87470" w14:textId="77777777" w:rsidR="002C2FDC" w:rsidRPr="00042FE3" w:rsidRDefault="002C2FDC" w:rsidP="004449A0">
      <w:pPr>
        <w:pStyle w:val="1"/>
        <w:spacing w:line="360" w:lineRule="auto"/>
        <w:rPr>
          <w:rFonts w:ascii="Book Antiqua" w:eastAsia="Times New Roman" w:hAnsi="Book Antiqua" w:cs="Times New Roman"/>
          <w:b/>
          <w:bCs/>
          <w:i/>
          <w:sz w:val="24"/>
          <w:szCs w:val="24"/>
        </w:rPr>
      </w:pPr>
      <w:r w:rsidRPr="00042FE3">
        <w:rPr>
          <w:rFonts w:ascii="Book Antiqua" w:hAnsi="Book Antiqua"/>
          <w:b/>
          <w:bCs/>
          <w:i/>
          <w:sz w:val="24"/>
          <w:szCs w:val="24"/>
        </w:rPr>
        <w:t>Patients</w:t>
      </w:r>
    </w:p>
    <w:p w14:paraId="60F7DD01" w14:textId="77777777" w:rsidR="002C2FDC" w:rsidRPr="00042FE3" w:rsidRDefault="002C2FDC" w:rsidP="00BC68A1">
      <w:pPr>
        <w:pStyle w:val="1"/>
        <w:spacing w:line="360" w:lineRule="auto"/>
        <w:rPr>
          <w:rFonts w:ascii="Book Antiqua" w:eastAsia="Times New Roman" w:hAnsi="Book Antiqua" w:cs="Times New Roman"/>
          <w:sz w:val="24"/>
          <w:szCs w:val="24"/>
        </w:rPr>
      </w:pPr>
      <w:r w:rsidRPr="00042FE3">
        <w:rPr>
          <w:rFonts w:ascii="Book Antiqua" w:hAnsi="Book Antiqua"/>
          <w:sz w:val="24"/>
          <w:szCs w:val="24"/>
        </w:rPr>
        <w:t>Patients were enrolled at Kyoto Prefectural University of Medicine and 8</w:t>
      </w:r>
      <w:r w:rsidRPr="00042FE3">
        <w:rPr>
          <w:rFonts w:ascii="Book Antiqua" w:hAnsi="Book Antiqua"/>
          <w:color w:val="FF0000"/>
          <w:sz w:val="24"/>
          <w:szCs w:val="24"/>
          <w:u w:color="FF0000"/>
        </w:rPr>
        <w:t xml:space="preserve"> </w:t>
      </w:r>
      <w:r w:rsidRPr="00042FE3">
        <w:rPr>
          <w:rFonts w:ascii="Book Antiqua" w:hAnsi="Book Antiqua"/>
          <w:sz w:val="24"/>
          <w:szCs w:val="24"/>
        </w:rPr>
        <w:t xml:space="preserve">affiliated hospitals in Kinki area of Japan (Kyoto, Osaka, Nara, Shiga Prefecture) from 2012 to 2014. Study protocols were approved by the ethics committee of each institution and conformed to the provisions of the Declaration of Helsinki. Patients enrolled in this study were diagnosed with CHC by board-certified </w:t>
      </w:r>
      <w:proofErr w:type="spellStart"/>
      <w:r w:rsidRPr="00042FE3">
        <w:rPr>
          <w:rFonts w:ascii="Book Antiqua" w:hAnsi="Book Antiqua"/>
          <w:sz w:val="24"/>
          <w:szCs w:val="24"/>
        </w:rPr>
        <w:t>hepatologists</w:t>
      </w:r>
      <w:proofErr w:type="spellEnd"/>
      <w:r w:rsidRPr="00042FE3">
        <w:rPr>
          <w:rFonts w:ascii="Book Antiqua" w:hAnsi="Book Antiqua"/>
          <w:sz w:val="24"/>
          <w:szCs w:val="24"/>
        </w:rPr>
        <w:t>. Eligible patients were 20–80</w:t>
      </w:r>
      <w:r w:rsidRPr="00042FE3">
        <w:rPr>
          <w:rFonts w:ascii="Book Antiqua" w:hAnsi="Book Antiqua"/>
          <w:color w:val="FF0000"/>
          <w:sz w:val="24"/>
          <w:szCs w:val="24"/>
          <w:u w:color="FF0000"/>
        </w:rPr>
        <w:t xml:space="preserve"> </w:t>
      </w:r>
      <w:r w:rsidRPr="00042FE3">
        <w:rPr>
          <w:rFonts w:ascii="Book Antiqua" w:hAnsi="Book Antiqua"/>
          <w:sz w:val="24"/>
          <w:szCs w:val="24"/>
        </w:rPr>
        <w:t>years of age</w:t>
      </w:r>
      <w:r w:rsidRPr="00042FE3">
        <w:rPr>
          <w:rFonts w:ascii="Book Antiqua" w:hAnsi="Book Antiqua"/>
          <w:color w:val="C45911"/>
          <w:sz w:val="24"/>
          <w:szCs w:val="24"/>
          <w:u w:color="C45911"/>
        </w:rPr>
        <w:t xml:space="preserve"> </w:t>
      </w:r>
      <w:r w:rsidRPr="00042FE3">
        <w:rPr>
          <w:rFonts w:ascii="Book Antiqua" w:hAnsi="Book Antiqua"/>
          <w:sz w:val="24"/>
          <w:szCs w:val="24"/>
        </w:rPr>
        <w:t>and had chronic HCV genotype 1 infection with HCV RNA le</w:t>
      </w:r>
      <w:r w:rsidRPr="00042FE3">
        <w:rPr>
          <w:rFonts w:ascii="Book Antiqua" w:hAnsi="Book Antiqua" w:cs="Times New Roman"/>
          <w:sz w:val="24"/>
          <w:szCs w:val="24"/>
        </w:rPr>
        <w:t>vels of</w:t>
      </w:r>
      <w:r w:rsidRPr="00042FE3">
        <w:rPr>
          <w:rFonts w:ascii="Book Antiqua" w:hAnsi="Book Antiqua" w:cs="Times New Roman"/>
          <w:color w:val="FF0000"/>
          <w:sz w:val="24"/>
          <w:szCs w:val="24"/>
        </w:rPr>
        <w:t xml:space="preserve"> </w:t>
      </w:r>
      <w:r w:rsidRPr="00042FE3">
        <w:rPr>
          <w:rFonts w:ascii="Book Antiqua" w:hAnsi="Book Antiqua" w:cs="Times New Roman"/>
          <w:sz w:val="24"/>
          <w:szCs w:val="24"/>
        </w:rPr>
        <w:t>5.0 log10 IU</w:t>
      </w:r>
      <w:r w:rsidRPr="00042FE3">
        <w:rPr>
          <w:rFonts w:ascii="Book Antiqua" w:hAnsi="Book Antiqua"/>
          <w:sz w:val="24"/>
          <w:szCs w:val="24"/>
        </w:rPr>
        <w:t>/mL or higher at screening.</w:t>
      </w:r>
    </w:p>
    <w:p w14:paraId="1FE653EB" w14:textId="40555FF0" w:rsidR="002C2FDC" w:rsidRPr="00042FE3" w:rsidRDefault="002C2FDC" w:rsidP="004449A0">
      <w:pPr>
        <w:pStyle w:val="1"/>
        <w:spacing w:line="360" w:lineRule="auto"/>
        <w:ind w:firstLine="840"/>
        <w:rPr>
          <w:rFonts w:ascii="Book Antiqua" w:eastAsia="Times New Roman" w:hAnsi="Book Antiqua" w:cs="Times New Roman"/>
          <w:sz w:val="24"/>
          <w:szCs w:val="24"/>
        </w:rPr>
      </w:pPr>
      <w:r w:rsidRPr="00042FE3">
        <w:rPr>
          <w:rFonts w:ascii="Book Antiqua" w:hAnsi="Book Antiqua"/>
          <w:sz w:val="24"/>
          <w:szCs w:val="24"/>
        </w:rPr>
        <w:t xml:space="preserve">Patients with decompensated liver disease, chronic hepatitis B, co-infection with human immunodeficiency virus, autoimmune hepatitis, primary biliary cirrhosis, hemochromatosis, or Wilson’s disease were excluded. Patients with uncontrollable hypertension or diabetes mellitus, and those with a history of alcohol abuse, were also excluded. Patients were followed-up </w:t>
      </w:r>
      <w:r w:rsidRPr="00042FE3">
        <w:rPr>
          <w:rFonts w:ascii="Book Antiqua" w:hAnsi="Book Antiqua"/>
          <w:sz w:val="24"/>
          <w:szCs w:val="24"/>
        </w:rPr>
        <w:lastRenderedPageBreak/>
        <w:t xml:space="preserve">monthly for the assessment of liver function and </w:t>
      </w:r>
      <w:proofErr w:type="spellStart"/>
      <w:r w:rsidRPr="00042FE3">
        <w:rPr>
          <w:rFonts w:ascii="Book Antiqua" w:hAnsi="Book Antiqua"/>
          <w:sz w:val="24"/>
          <w:szCs w:val="24"/>
        </w:rPr>
        <w:t>virological</w:t>
      </w:r>
      <w:proofErr w:type="spellEnd"/>
      <w:r w:rsidRPr="00042FE3">
        <w:rPr>
          <w:rFonts w:ascii="Book Antiqua" w:hAnsi="Book Antiqua"/>
          <w:sz w:val="24"/>
          <w:szCs w:val="24"/>
        </w:rPr>
        <w:t xml:space="preserve"> markers during treatment and until 12 </w:t>
      </w:r>
      <w:proofErr w:type="spellStart"/>
      <w:r w:rsidR="00BC68A1">
        <w:rPr>
          <w:rFonts w:ascii="Book Antiqua" w:hAnsi="Book Antiqua" w:hint="eastAsia"/>
          <w:sz w:val="24"/>
          <w:szCs w:val="24"/>
          <w:lang w:eastAsia="zh-CN"/>
        </w:rPr>
        <w:t>wk</w:t>
      </w:r>
      <w:proofErr w:type="spellEnd"/>
      <w:r w:rsidRPr="00042FE3">
        <w:rPr>
          <w:rFonts w:ascii="Book Antiqua" w:hAnsi="Book Antiqua"/>
          <w:sz w:val="24"/>
          <w:szCs w:val="24"/>
        </w:rPr>
        <w:t xml:space="preserve"> after the completion of triple therapy. All patients gave informed consent to participate in this study. </w:t>
      </w:r>
    </w:p>
    <w:p w14:paraId="622E2F11" w14:textId="1F7A3E58" w:rsidR="002C2FDC" w:rsidRPr="00042FE3" w:rsidRDefault="002C2FDC" w:rsidP="004449A0">
      <w:pPr>
        <w:pStyle w:val="2"/>
        <w:spacing w:line="360" w:lineRule="auto"/>
        <w:ind w:firstLine="840"/>
        <w:rPr>
          <w:rFonts w:ascii="Book Antiqua" w:eastAsia="Times New Roman" w:hAnsi="Book Antiqua" w:cs="Times New Roman"/>
          <w:sz w:val="24"/>
          <w:szCs w:val="24"/>
        </w:rPr>
      </w:pPr>
      <w:r w:rsidRPr="00042FE3">
        <w:rPr>
          <w:rFonts w:ascii="Book Antiqua" w:hAnsi="Book Antiqua"/>
          <w:sz w:val="24"/>
          <w:szCs w:val="24"/>
        </w:rPr>
        <w:t xml:space="preserve">In the TVR group, </w:t>
      </w:r>
      <w:r w:rsidR="00B02117" w:rsidRPr="00042FE3">
        <w:rPr>
          <w:rFonts w:ascii="Book Antiqua" w:hAnsi="Book Antiqua"/>
          <w:sz w:val="24"/>
          <w:szCs w:val="24"/>
        </w:rPr>
        <w:t xml:space="preserve">three </w:t>
      </w:r>
      <w:r w:rsidRPr="00042FE3">
        <w:rPr>
          <w:rFonts w:ascii="Book Antiqua" w:hAnsi="Book Antiqua"/>
          <w:sz w:val="24"/>
          <w:szCs w:val="24"/>
        </w:rPr>
        <w:t>patients were lost to follow-up and extreme protocol deviation (</w:t>
      </w:r>
      <w:r w:rsidRPr="00BC68A1">
        <w:rPr>
          <w:rFonts w:ascii="Book Antiqua" w:hAnsi="Book Antiqua"/>
          <w:i/>
          <w:sz w:val="24"/>
          <w:szCs w:val="24"/>
        </w:rPr>
        <w:t>e.g.,</w:t>
      </w:r>
      <w:r w:rsidRPr="00042FE3">
        <w:rPr>
          <w:rFonts w:ascii="Book Antiqua" w:hAnsi="Book Antiqua"/>
          <w:sz w:val="24"/>
          <w:szCs w:val="24"/>
        </w:rPr>
        <w:t xml:space="preserve"> extended PEG-IFN and RBV therapy for up to 48 </w:t>
      </w:r>
      <w:proofErr w:type="spellStart"/>
      <w:r w:rsidR="00BC68A1">
        <w:rPr>
          <w:rFonts w:ascii="Book Antiqua" w:eastAsia="宋体" w:hAnsi="Book Antiqua" w:hint="eastAsia"/>
          <w:sz w:val="24"/>
          <w:szCs w:val="24"/>
          <w:lang w:eastAsia="zh-CN"/>
        </w:rPr>
        <w:t>wk</w:t>
      </w:r>
      <w:proofErr w:type="spellEnd"/>
      <w:r w:rsidRPr="00042FE3">
        <w:rPr>
          <w:rFonts w:ascii="Book Antiqua" w:hAnsi="Book Antiqua"/>
          <w:sz w:val="24"/>
          <w:szCs w:val="24"/>
        </w:rPr>
        <w:t xml:space="preserve">) occurred in </w:t>
      </w:r>
      <w:r w:rsidR="00B02117" w:rsidRPr="00042FE3">
        <w:rPr>
          <w:rFonts w:ascii="Book Antiqua" w:hAnsi="Book Antiqua"/>
          <w:sz w:val="24"/>
          <w:szCs w:val="24"/>
        </w:rPr>
        <w:t xml:space="preserve">seven </w:t>
      </w:r>
      <w:r w:rsidRPr="00042FE3">
        <w:rPr>
          <w:rFonts w:ascii="Book Antiqua" w:hAnsi="Book Antiqua"/>
          <w:sz w:val="24"/>
          <w:szCs w:val="24"/>
        </w:rPr>
        <w:t xml:space="preserve">patients. In the SMV group, </w:t>
      </w:r>
      <w:r w:rsidR="00B02117" w:rsidRPr="00042FE3">
        <w:rPr>
          <w:rFonts w:ascii="Book Antiqua" w:hAnsi="Book Antiqua"/>
          <w:sz w:val="24"/>
          <w:szCs w:val="24"/>
        </w:rPr>
        <w:t xml:space="preserve">two </w:t>
      </w:r>
      <w:r w:rsidRPr="00042FE3">
        <w:rPr>
          <w:rFonts w:ascii="Book Antiqua" w:hAnsi="Book Antiqua"/>
          <w:sz w:val="24"/>
          <w:szCs w:val="24"/>
        </w:rPr>
        <w:t>patients were lost to follow-up and extreme protocol deviation (</w:t>
      </w:r>
      <w:r w:rsidRPr="00BC68A1">
        <w:rPr>
          <w:rFonts w:ascii="Book Antiqua" w:hAnsi="Book Antiqua"/>
          <w:i/>
          <w:sz w:val="24"/>
          <w:szCs w:val="24"/>
        </w:rPr>
        <w:t>e.g.,</w:t>
      </w:r>
      <w:r w:rsidRPr="00042FE3">
        <w:rPr>
          <w:rFonts w:ascii="Book Antiqua" w:hAnsi="Book Antiqua"/>
          <w:sz w:val="24"/>
          <w:szCs w:val="24"/>
        </w:rPr>
        <w:t xml:space="preserve"> extended PEG-IFN and RBV therapy for up to 48 </w:t>
      </w:r>
      <w:proofErr w:type="spellStart"/>
      <w:r w:rsidR="00BC68A1">
        <w:rPr>
          <w:rFonts w:ascii="Book Antiqua" w:eastAsia="宋体" w:hAnsi="Book Antiqua" w:hint="eastAsia"/>
          <w:sz w:val="24"/>
          <w:szCs w:val="24"/>
          <w:lang w:eastAsia="zh-CN"/>
        </w:rPr>
        <w:t>wk</w:t>
      </w:r>
      <w:proofErr w:type="spellEnd"/>
      <w:r w:rsidRPr="00042FE3">
        <w:rPr>
          <w:rFonts w:ascii="Book Antiqua" w:hAnsi="Book Antiqua"/>
          <w:sz w:val="24"/>
          <w:szCs w:val="24"/>
        </w:rPr>
        <w:t xml:space="preserve">) occurred in </w:t>
      </w:r>
      <w:r w:rsidR="00B02117" w:rsidRPr="00042FE3">
        <w:rPr>
          <w:rFonts w:ascii="Book Antiqua" w:hAnsi="Book Antiqua"/>
          <w:sz w:val="24"/>
          <w:szCs w:val="24"/>
        </w:rPr>
        <w:t xml:space="preserve">nine </w:t>
      </w:r>
      <w:r w:rsidRPr="00042FE3">
        <w:rPr>
          <w:rFonts w:ascii="Book Antiqua" w:hAnsi="Book Antiqua"/>
          <w:sz w:val="24"/>
          <w:szCs w:val="24"/>
        </w:rPr>
        <w:t>patients. Patients lost to follow-up or with extreme protocol deviation were excluded from the analysis.</w:t>
      </w:r>
    </w:p>
    <w:p w14:paraId="20D09112" w14:textId="77777777" w:rsidR="002C2FDC" w:rsidRPr="00042FE3" w:rsidRDefault="002C2FDC" w:rsidP="004449A0">
      <w:pPr>
        <w:pStyle w:val="1"/>
        <w:spacing w:line="360" w:lineRule="auto"/>
        <w:ind w:firstLine="840"/>
        <w:rPr>
          <w:rFonts w:ascii="Book Antiqua" w:eastAsia="Times New Roman" w:hAnsi="Book Antiqua" w:cs="Times New Roman"/>
          <w:sz w:val="24"/>
          <w:szCs w:val="24"/>
        </w:rPr>
      </w:pPr>
      <w:r w:rsidRPr="00042FE3">
        <w:rPr>
          <w:rFonts w:ascii="Book Antiqua" w:hAnsi="Book Antiqua"/>
          <w:sz w:val="24"/>
          <w:szCs w:val="24"/>
        </w:rPr>
        <w:t>The therapeutic outcomes of previous PEG-IFN and RBV therapy were classified into the following two groups: undetectable serum HCV RNA levels at the end of the treatment period with quantifiable HCV RNA levels during follow-up (relapse group); and detectable HCV RNA levels at the end of the treatment period (other group).</w:t>
      </w:r>
    </w:p>
    <w:p w14:paraId="7C5A169C" w14:textId="77777777" w:rsidR="002C2FDC" w:rsidRPr="00042FE3" w:rsidRDefault="002C2FDC" w:rsidP="004449A0">
      <w:pPr>
        <w:pStyle w:val="1"/>
        <w:spacing w:line="360" w:lineRule="auto"/>
        <w:rPr>
          <w:rFonts w:ascii="Book Antiqua" w:eastAsia="Times New Roman" w:hAnsi="Book Antiqua" w:cs="Times New Roman"/>
          <w:sz w:val="24"/>
          <w:szCs w:val="24"/>
        </w:rPr>
      </w:pPr>
    </w:p>
    <w:p w14:paraId="0D83857E" w14:textId="77777777" w:rsidR="004B22EE" w:rsidRPr="00042FE3" w:rsidRDefault="004B22EE" w:rsidP="004449A0">
      <w:pPr>
        <w:pStyle w:val="1"/>
        <w:spacing w:line="360" w:lineRule="auto"/>
        <w:rPr>
          <w:rFonts w:ascii="Book Antiqua" w:eastAsia="Times New Roman" w:hAnsi="Book Antiqua" w:cs="Times New Roman"/>
          <w:b/>
          <w:bCs/>
          <w:i/>
          <w:sz w:val="24"/>
          <w:szCs w:val="24"/>
        </w:rPr>
      </w:pPr>
      <w:r w:rsidRPr="00042FE3">
        <w:rPr>
          <w:rFonts w:ascii="Book Antiqua" w:hAnsi="Book Antiqua"/>
          <w:b/>
          <w:bCs/>
          <w:i/>
          <w:sz w:val="24"/>
          <w:szCs w:val="24"/>
        </w:rPr>
        <w:t>Study design</w:t>
      </w:r>
    </w:p>
    <w:p w14:paraId="09A4E5F4" w14:textId="7803D0A6" w:rsidR="004B22EE" w:rsidRPr="00042FE3" w:rsidRDefault="004B22EE" w:rsidP="00BC68A1">
      <w:pPr>
        <w:pStyle w:val="1"/>
        <w:spacing w:line="360" w:lineRule="auto"/>
        <w:rPr>
          <w:rFonts w:ascii="Book Antiqua" w:eastAsia="Times New Roman" w:hAnsi="Book Antiqua" w:cs="Times New Roman"/>
          <w:sz w:val="24"/>
          <w:szCs w:val="24"/>
        </w:rPr>
      </w:pPr>
      <w:r w:rsidRPr="00042FE3">
        <w:rPr>
          <w:rFonts w:ascii="Book Antiqua" w:hAnsi="Book Antiqua"/>
          <w:sz w:val="24"/>
          <w:szCs w:val="24"/>
        </w:rPr>
        <w:t xml:space="preserve">Patients received </w:t>
      </w:r>
      <w:proofErr w:type="spellStart"/>
      <w:r w:rsidRPr="00042FE3">
        <w:rPr>
          <w:rFonts w:ascii="Book Antiqua" w:hAnsi="Book Antiqua"/>
          <w:sz w:val="24"/>
          <w:szCs w:val="24"/>
        </w:rPr>
        <w:t>p.o.</w:t>
      </w:r>
      <w:proofErr w:type="spellEnd"/>
      <w:r w:rsidRPr="00042FE3">
        <w:rPr>
          <w:rFonts w:ascii="Book Antiqua" w:hAnsi="Book Antiqua"/>
          <w:sz w:val="24"/>
          <w:szCs w:val="24"/>
        </w:rPr>
        <w:t xml:space="preserve"> </w:t>
      </w:r>
      <w:proofErr w:type="spellStart"/>
      <w:r w:rsidRPr="00042FE3">
        <w:rPr>
          <w:rFonts w:ascii="Book Antiqua" w:hAnsi="Book Antiqua"/>
          <w:sz w:val="24"/>
          <w:szCs w:val="24"/>
        </w:rPr>
        <w:t>telaprevir</w:t>
      </w:r>
      <w:proofErr w:type="spellEnd"/>
      <w:r w:rsidRPr="00042FE3">
        <w:rPr>
          <w:rFonts w:ascii="Book Antiqua" w:hAnsi="Book Antiqua"/>
          <w:sz w:val="24"/>
          <w:szCs w:val="24"/>
        </w:rPr>
        <w:t xml:space="preserve"> (</w:t>
      </w:r>
      <w:proofErr w:type="spellStart"/>
      <w:r w:rsidRPr="00042FE3">
        <w:rPr>
          <w:rFonts w:ascii="Book Antiqua" w:hAnsi="Book Antiqua"/>
          <w:sz w:val="24"/>
          <w:szCs w:val="24"/>
        </w:rPr>
        <w:t>Telavic</w:t>
      </w:r>
      <w:proofErr w:type="spellEnd"/>
      <w:r w:rsidRPr="00042FE3">
        <w:rPr>
          <w:rFonts w:ascii="Book Antiqua" w:hAnsi="Book Antiqua"/>
          <w:sz w:val="24"/>
          <w:szCs w:val="24"/>
        </w:rPr>
        <w:t xml:space="preserve">; Mitsubishi Tanabe Pharma, Osaka, Japan) 2250 mg/d or </w:t>
      </w:r>
      <w:proofErr w:type="spellStart"/>
      <w:r w:rsidRPr="00042FE3">
        <w:rPr>
          <w:rFonts w:ascii="Book Antiqua" w:hAnsi="Book Antiqua"/>
          <w:sz w:val="24"/>
          <w:szCs w:val="24"/>
        </w:rPr>
        <w:t>simeprevir</w:t>
      </w:r>
      <w:proofErr w:type="spellEnd"/>
      <w:r w:rsidRPr="00042FE3">
        <w:rPr>
          <w:rFonts w:ascii="Book Antiqua" w:hAnsi="Book Antiqua"/>
          <w:sz w:val="24"/>
          <w:szCs w:val="24"/>
        </w:rPr>
        <w:t xml:space="preserve"> (</w:t>
      </w:r>
      <w:proofErr w:type="spellStart"/>
      <w:r w:rsidRPr="00042FE3">
        <w:rPr>
          <w:rFonts w:ascii="Book Antiqua" w:hAnsi="Book Antiqua"/>
          <w:sz w:val="24"/>
          <w:szCs w:val="24"/>
        </w:rPr>
        <w:t>Sovriad</w:t>
      </w:r>
      <w:proofErr w:type="spellEnd"/>
      <w:r w:rsidRPr="00042FE3">
        <w:rPr>
          <w:rFonts w:ascii="Book Antiqua" w:hAnsi="Book Antiqua"/>
          <w:sz w:val="24"/>
          <w:szCs w:val="24"/>
        </w:rPr>
        <w:t xml:space="preserve">; Janssen Pharmaceutical K.K., Tokyo, Japan) 100 mg/d, combined with weekly subcutaneous injections of PEG-IFN alpha 2b (Peg-Intron; MSD, Tokyo, Japan) of 1.5 μg/kg and </w:t>
      </w:r>
      <w:proofErr w:type="spellStart"/>
      <w:r w:rsidRPr="00042FE3">
        <w:rPr>
          <w:rFonts w:ascii="Book Antiqua" w:hAnsi="Book Antiqua"/>
          <w:sz w:val="24"/>
          <w:szCs w:val="24"/>
        </w:rPr>
        <w:t>p.o.</w:t>
      </w:r>
      <w:proofErr w:type="spellEnd"/>
      <w:r w:rsidRPr="00042FE3">
        <w:rPr>
          <w:rFonts w:ascii="Book Antiqua" w:hAnsi="Book Antiqua"/>
          <w:sz w:val="24"/>
          <w:szCs w:val="24"/>
        </w:rPr>
        <w:t xml:space="preserve"> administration of RBV (</w:t>
      </w:r>
      <w:proofErr w:type="spellStart"/>
      <w:r w:rsidRPr="00042FE3">
        <w:rPr>
          <w:rFonts w:ascii="Book Antiqua" w:hAnsi="Book Antiqua"/>
          <w:sz w:val="24"/>
          <w:szCs w:val="24"/>
        </w:rPr>
        <w:t>Rebetol</w:t>
      </w:r>
      <w:proofErr w:type="spellEnd"/>
      <w:r w:rsidRPr="00042FE3">
        <w:rPr>
          <w:rFonts w:ascii="Book Antiqua" w:hAnsi="Book Antiqua"/>
          <w:sz w:val="24"/>
          <w:szCs w:val="24"/>
        </w:rPr>
        <w:t xml:space="preserve">; MSD, Tokyo, Japan) of 600–1000 mg/d in accordance with prescribing information for 12 weeks followed by PEG IFN alpha 2b and RBV </w:t>
      </w:r>
      <w:r w:rsidRPr="00042FE3">
        <w:rPr>
          <w:rFonts w:ascii="Book Antiqua" w:hAnsi="Book Antiqua"/>
          <w:color w:val="auto"/>
          <w:sz w:val="24"/>
          <w:szCs w:val="24"/>
        </w:rPr>
        <w:t xml:space="preserve">between weeks 12 and 24. </w:t>
      </w:r>
      <w:r w:rsidRPr="00042FE3">
        <w:rPr>
          <w:rFonts w:ascii="Book Antiqua" w:hAnsi="Book Antiqua"/>
          <w:sz w:val="24"/>
          <w:szCs w:val="24"/>
        </w:rPr>
        <w:t xml:space="preserve">In the TVR group, patients with lower serum hemoglobin levels began therapy at a reduced dose of TVR 1500 mg/d </w:t>
      </w:r>
      <w:r w:rsidRPr="00042FE3">
        <w:rPr>
          <w:rFonts w:ascii="Book Antiqua" w:hAnsi="Book Antiqua"/>
          <w:sz w:val="24"/>
          <w:szCs w:val="24"/>
        </w:rPr>
        <w:lastRenderedPageBreak/>
        <w:t>according to the judgment of treating physicians (2250 mg/d, 66 patients; 1500 mg/d, 93 patients). In the SMV group, patients began therapy at a dose of 100 mg/d. Dose reductions or discontinuation of TVR, SMV, PEG-IFN, and RBV were according to the judgment of treating physicians. Patients were followed-up for at least</w:t>
      </w:r>
      <w:r w:rsidRPr="00042FE3">
        <w:rPr>
          <w:rFonts w:ascii="Book Antiqua" w:hAnsi="Book Antiqua"/>
          <w:color w:val="FF0000"/>
          <w:sz w:val="24"/>
          <w:szCs w:val="24"/>
          <w:u w:color="FF0000"/>
        </w:rPr>
        <w:t xml:space="preserve"> </w:t>
      </w:r>
      <w:r w:rsidRPr="00042FE3">
        <w:rPr>
          <w:rFonts w:ascii="Book Antiqua" w:hAnsi="Book Antiqua"/>
          <w:sz w:val="24"/>
          <w:szCs w:val="24"/>
        </w:rPr>
        <w:t xml:space="preserve">12 </w:t>
      </w:r>
      <w:proofErr w:type="spellStart"/>
      <w:r w:rsidR="008D2F16">
        <w:rPr>
          <w:rFonts w:ascii="Book Antiqua" w:hAnsi="Book Antiqua" w:hint="eastAsia"/>
          <w:sz w:val="24"/>
          <w:szCs w:val="24"/>
          <w:lang w:eastAsia="zh-CN"/>
        </w:rPr>
        <w:t>wk</w:t>
      </w:r>
      <w:proofErr w:type="spellEnd"/>
      <w:r w:rsidRPr="00042FE3">
        <w:rPr>
          <w:rFonts w:ascii="Book Antiqua" w:hAnsi="Book Antiqua"/>
          <w:sz w:val="24"/>
          <w:szCs w:val="24"/>
        </w:rPr>
        <w:t xml:space="preserve"> after final treatment administration to assess SVR. </w:t>
      </w:r>
    </w:p>
    <w:p w14:paraId="16167771" w14:textId="77777777" w:rsidR="004B22EE" w:rsidRPr="00042FE3" w:rsidRDefault="004B22EE" w:rsidP="004449A0">
      <w:pPr>
        <w:pStyle w:val="1"/>
        <w:spacing w:line="360" w:lineRule="auto"/>
        <w:ind w:firstLine="840"/>
        <w:rPr>
          <w:rFonts w:ascii="Book Antiqua" w:eastAsia="Times New Roman" w:hAnsi="Book Antiqua" w:cs="Times New Roman"/>
          <w:color w:val="FF0000"/>
          <w:sz w:val="24"/>
          <w:szCs w:val="24"/>
          <w:u w:val="single" w:color="FF0000"/>
        </w:rPr>
      </w:pPr>
      <w:r w:rsidRPr="00042FE3">
        <w:rPr>
          <w:rFonts w:ascii="Book Antiqua" w:hAnsi="Book Antiqua"/>
          <w:sz w:val="24"/>
          <w:szCs w:val="24"/>
        </w:rPr>
        <w:t xml:space="preserve">HCV RNA responses during therapy were classified into the following groups: detectable HCV RNA levels at the end of the treatment period (nonresponse group); reappearance of HCV RNA during treatment (breakthrough group); and undetectable serum HCV RNA levels at the end of the treatment period with quantifiable HCV RNA levels during follow-up (relapse group). SVR12 was defined as undetectable serum HCV RNA levels at 12 weeks after the end of treatment. Therapeutic effects were evaluated using intention-to-treat (ITT) analysis. </w:t>
      </w:r>
    </w:p>
    <w:p w14:paraId="76F0ED8F" w14:textId="77777777" w:rsidR="004B22EE" w:rsidRPr="00042FE3" w:rsidRDefault="004B22EE" w:rsidP="004449A0">
      <w:pPr>
        <w:pStyle w:val="1"/>
        <w:spacing w:line="360" w:lineRule="auto"/>
        <w:rPr>
          <w:rFonts w:ascii="Book Antiqua" w:eastAsia="Times New Roman" w:hAnsi="Book Antiqua" w:cs="Times New Roman"/>
          <w:b/>
          <w:bCs/>
          <w:sz w:val="24"/>
          <w:szCs w:val="24"/>
        </w:rPr>
      </w:pPr>
    </w:p>
    <w:p w14:paraId="13D67A0B" w14:textId="125276B0" w:rsidR="004B22EE" w:rsidRPr="00042FE3" w:rsidRDefault="004B22EE" w:rsidP="004449A0">
      <w:pPr>
        <w:pStyle w:val="1"/>
        <w:spacing w:line="360" w:lineRule="auto"/>
        <w:rPr>
          <w:rFonts w:ascii="Book Antiqua" w:eastAsia="Times New Roman" w:hAnsi="Book Antiqua" w:cs="Times New Roman"/>
          <w:b/>
          <w:bCs/>
          <w:i/>
          <w:sz w:val="24"/>
          <w:szCs w:val="24"/>
        </w:rPr>
      </w:pPr>
      <w:r w:rsidRPr="00042FE3">
        <w:rPr>
          <w:rFonts w:ascii="Book Antiqua" w:hAnsi="Book Antiqua"/>
          <w:b/>
          <w:bCs/>
          <w:i/>
          <w:sz w:val="24"/>
          <w:szCs w:val="24"/>
        </w:rPr>
        <w:t xml:space="preserve">Laboratory </w:t>
      </w:r>
      <w:r w:rsidR="00BC68A1" w:rsidRPr="00042FE3">
        <w:rPr>
          <w:rFonts w:ascii="Book Antiqua" w:hAnsi="Book Antiqua"/>
          <w:b/>
          <w:bCs/>
          <w:i/>
          <w:sz w:val="24"/>
          <w:szCs w:val="24"/>
        </w:rPr>
        <w:t>assessments</w:t>
      </w:r>
    </w:p>
    <w:p w14:paraId="020312A2" w14:textId="6DBA9EE8" w:rsidR="004B22EE" w:rsidRPr="00042FE3" w:rsidRDefault="004B22EE" w:rsidP="00BC68A1">
      <w:pPr>
        <w:pStyle w:val="1"/>
        <w:spacing w:line="360" w:lineRule="auto"/>
        <w:rPr>
          <w:rFonts w:ascii="Book Antiqua" w:eastAsiaTheme="minorEastAsia" w:hAnsi="Book Antiqua" w:cs="Times New Roman"/>
          <w:sz w:val="24"/>
          <w:szCs w:val="24"/>
        </w:rPr>
      </w:pPr>
      <w:r w:rsidRPr="00042FE3">
        <w:rPr>
          <w:rFonts w:ascii="Book Antiqua" w:hAnsi="Book Antiqua"/>
          <w:sz w:val="24"/>
          <w:szCs w:val="24"/>
        </w:rPr>
        <w:t xml:space="preserve">Blood samples were obtained for routine biochemical and hematological assessments at treatment initiation, on treatment weeks 2, 4, 8, 12, 16, 20, 24, at the end of treatment (EOT), and at 12 </w:t>
      </w:r>
      <w:proofErr w:type="spellStart"/>
      <w:r w:rsidR="00BC68A1">
        <w:rPr>
          <w:rFonts w:ascii="Book Antiqua" w:hAnsi="Book Antiqua" w:hint="eastAsia"/>
          <w:sz w:val="24"/>
          <w:szCs w:val="24"/>
          <w:lang w:eastAsia="zh-CN"/>
        </w:rPr>
        <w:t>wk</w:t>
      </w:r>
      <w:proofErr w:type="spellEnd"/>
      <w:r w:rsidRPr="00042FE3">
        <w:rPr>
          <w:rFonts w:ascii="Book Antiqua" w:hAnsi="Book Antiqua"/>
          <w:color w:val="FF0000"/>
          <w:sz w:val="24"/>
          <w:szCs w:val="24"/>
          <w:u w:color="FF0000"/>
        </w:rPr>
        <w:t xml:space="preserve"> </w:t>
      </w:r>
      <w:r w:rsidRPr="00042FE3">
        <w:rPr>
          <w:rFonts w:ascii="Book Antiqua" w:hAnsi="Book Antiqua"/>
          <w:sz w:val="24"/>
          <w:szCs w:val="24"/>
        </w:rPr>
        <w:t xml:space="preserve">after EOT. The antiviral effects were assessed by measuring </w:t>
      </w:r>
      <w:r w:rsidR="00D75154" w:rsidRPr="00042FE3">
        <w:rPr>
          <w:rFonts w:ascii="Book Antiqua" w:hAnsi="Book Antiqua"/>
          <w:sz w:val="24"/>
          <w:szCs w:val="24"/>
        </w:rPr>
        <w:t xml:space="preserve">serum </w:t>
      </w:r>
      <w:r w:rsidRPr="00042FE3">
        <w:rPr>
          <w:rFonts w:ascii="Book Antiqua" w:hAnsi="Book Antiqua"/>
          <w:sz w:val="24"/>
          <w:szCs w:val="24"/>
        </w:rPr>
        <w:t xml:space="preserve">HCV RNA levels using the COBAS </w:t>
      </w:r>
      <w:proofErr w:type="spellStart"/>
      <w:r w:rsidRPr="00042FE3">
        <w:rPr>
          <w:rFonts w:ascii="Book Antiqua" w:hAnsi="Book Antiqua"/>
          <w:sz w:val="24"/>
          <w:szCs w:val="24"/>
        </w:rPr>
        <w:t>TaqMan</w:t>
      </w:r>
      <w:proofErr w:type="spellEnd"/>
      <w:r w:rsidRPr="00042FE3">
        <w:rPr>
          <w:rFonts w:ascii="Book Antiqua" w:hAnsi="Book Antiqua"/>
          <w:sz w:val="24"/>
          <w:szCs w:val="24"/>
        </w:rPr>
        <w:t xml:space="preserve"> HCV test (Roche Molecular Diagnostics, Tokyo, Japan) with a lower limit o</w:t>
      </w:r>
      <w:r w:rsidR="004F3FBF" w:rsidRPr="00042FE3">
        <w:rPr>
          <w:rFonts w:ascii="Book Antiqua" w:hAnsi="Book Antiqua"/>
          <w:sz w:val="24"/>
          <w:szCs w:val="24"/>
        </w:rPr>
        <w:t>f quantitation (LLOQ) of 15 IU/</w:t>
      </w:r>
      <w:proofErr w:type="spellStart"/>
      <w:r w:rsidR="003B4672" w:rsidRPr="00042FE3">
        <w:rPr>
          <w:rFonts w:ascii="Book Antiqua" w:hAnsi="Book Antiqua"/>
          <w:sz w:val="24"/>
          <w:szCs w:val="24"/>
        </w:rPr>
        <w:t>m</w:t>
      </w:r>
      <w:r w:rsidR="003B4672">
        <w:rPr>
          <w:rFonts w:ascii="Book Antiqua" w:hAnsi="Book Antiqua"/>
          <w:sz w:val="24"/>
          <w:szCs w:val="24"/>
        </w:rPr>
        <w:t>L</w:t>
      </w:r>
      <w:r w:rsidRPr="00042FE3">
        <w:rPr>
          <w:rFonts w:ascii="Book Antiqua" w:hAnsi="Book Antiqua"/>
          <w:sz w:val="24"/>
          <w:szCs w:val="24"/>
        </w:rPr>
        <w:t>.</w:t>
      </w:r>
      <w:proofErr w:type="spellEnd"/>
      <w:r w:rsidRPr="00042FE3">
        <w:rPr>
          <w:rFonts w:ascii="Book Antiqua" w:hAnsi="Book Antiqua"/>
          <w:sz w:val="24"/>
          <w:szCs w:val="24"/>
        </w:rPr>
        <w:t xml:space="preserve"> Interleukin 28B (</w:t>
      </w:r>
      <w:r w:rsidRPr="00042FE3">
        <w:rPr>
          <w:rFonts w:ascii="Book Antiqua" w:hAnsi="Book Antiqua"/>
          <w:i/>
          <w:iCs/>
          <w:sz w:val="24"/>
          <w:szCs w:val="24"/>
        </w:rPr>
        <w:t>IL28B</w:t>
      </w:r>
      <w:r w:rsidR="00A65371" w:rsidRPr="00042FE3">
        <w:rPr>
          <w:rFonts w:ascii="Book Antiqua" w:hAnsi="Book Antiqua"/>
          <w:sz w:val="24"/>
          <w:szCs w:val="24"/>
        </w:rPr>
        <w:t xml:space="preserve">; </w:t>
      </w:r>
      <w:r w:rsidRPr="00042FE3">
        <w:rPr>
          <w:rFonts w:ascii="Book Antiqua" w:hAnsi="Book Antiqua"/>
          <w:sz w:val="24"/>
          <w:szCs w:val="24"/>
        </w:rPr>
        <w:t xml:space="preserve">rs8099917) genotyping was </w:t>
      </w:r>
      <w:r w:rsidR="00A65371" w:rsidRPr="00042FE3">
        <w:rPr>
          <w:rFonts w:ascii="Book Antiqua" w:hAnsi="Book Antiqua"/>
          <w:sz w:val="24"/>
          <w:szCs w:val="24"/>
        </w:rPr>
        <w:t xml:space="preserve">accordingly </w:t>
      </w:r>
      <w:r w:rsidRPr="00042FE3">
        <w:rPr>
          <w:rFonts w:ascii="Book Antiqua" w:hAnsi="Book Antiqua"/>
          <w:sz w:val="24"/>
          <w:szCs w:val="24"/>
        </w:rPr>
        <w:t xml:space="preserve">performed in the majority of patients. In brief, DNA was extracted from peripheral whole blood (100 </w:t>
      </w:r>
      <w:proofErr w:type="spellStart"/>
      <w:r w:rsidRPr="00042FE3">
        <w:rPr>
          <w:rFonts w:ascii="Book Antiqua" w:hAnsi="Book Antiqua"/>
          <w:sz w:val="24"/>
          <w:szCs w:val="24"/>
        </w:rPr>
        <w:t>μ</w:t>
      </w:r>
      <w:r w:rsidR="00BC68A1" w:rsidRPr="00042FE3">
        <w:rPr>
          <w:rFonts w:ascii="Book Antiqua" w:hAnsi="Book Antiqua"/>
          <w:sz w:val="24"/>
          <w:szCs w:val="24"/>
        </w:rPr>
        <w:t>L</w:t>
      </w:r>
      <w:proofErr w:type="spellEnd"/>
      <w:r w:rsidRPr="00042FE3">
        <w:rPr>
          <w:rFonts w:ascii="Book Antiqua" w:hAnsi="Book Antiqua"/>
          <w:sz w:val="24"/>
          <w:szCs w:val="24"/>
        </w:rPr>
        <w:t xml:space="preserve">) with </w:t>
      </w:r>
      <w:proofErr w:type="spellStart"/>
      <w:r w:rsidRPr="00042FE3">
        <w:rPr>
          <w:rFonts w:ascii="Book Antiqua" w:hAnsi="Book Antiqua"/>
          <w:sz w:val="24"/>
          <w:szCs w:val="24"/>
        </w:rPr>
        <w:t>DNeasy</w:t>
      </w:r>
      <w:proofErr w:type="spellEnd"/>
      <w:r w:rsidRPr="00042FE3">
        <w:rPr>
          <w:rFonts w:ascii="Book Antiqua" w:hAnsi="Book Antiqua"/>
          <w:sz w:val="24"/>
          <w:szCs w:val="24"/>
        </w:rPr>
        <w:t xml:space="preserve"> Blood </w:t>
      </w:r>
      <w:r w:rsidRPr="00042FE3">
        <w:rPr>
          <w:rFonts w:ascii="Book Antiqua" w:hAnsi="Book Antiqua"/>
          <w:sz w:val="24"/>
          <w:szCs w:val="24"/>
        </w:rPr>
        <w:lastRenderedPageBreak/>
        <w:t xml:space="preserve">and Tissue Kits (QIAGEN, Valencia, CA) according to the </w:t>
      </w:r>
      <w:r w:rsidR="00A65371" w:rsidRPr="00042FE3">
        <w:rPr>
          <w:rFonts w:ascii="Book Antiqua" w:hAnsi="Book Antiqua"/>
          <w:sz w:val="24"/>
          <w:szCs w:val="24"/>
        </w:rPr>
        <w:t xml:space="preserve">manufacturer’s </w:t>
      </w:r>
      <w:r w:rsidRPr="00042FE3">
        <w:rPr>
          <w:rFonts w:ascii="Book Antiqua" w:hAnsi="Book Antiqua"/>
          <w:sz w:val="24"/>
          <w:szCs w:val="24"/>
        </w:rPr>
        <w:t xml:space="preserve">instructions. Genotypes were determined using a Light Cycler (Roche, Osaka, Japan). Subsequent gene sequencing was performed to validate amplified PCR products. </w:t>
      </w:r>
      <w:r w:rsidRPr="00F55200">
        <w:rPr>
          <w:rFonts w:ascii="Book Antiqua" w:hAnsi="Book Antiqua"/>
          <w:sz w:val="24"/>
          <w:szCs w:val="24"/>
        </w:rPr>
        <w:t>Primers</w:t>
      </w:r>
      <w:r w:rsidRPr="00042FE3">
        <w:rPr>
          <w:rFonts w:ascii="Book Antiqua" w:hAnsi="Book Antiqua"/>
          <w:sz w:val="24"/>
          <w:szCs w:val="24"/>
        </w:rPr>
        <w:t xml:space="preserve"> and probes used for PCR were as follows: forward primer, </w:t>
      </w:r>
      <w:r w:rsidR="00F63424">
        <w:rPr>
          <w:rFonts w:ascii="Book Antiqua" w:hAnsi="Book Antiqua"/>
          <w:sz w:val="24"/>
          <w:szCs w:val="24"/>
        </w:rPr>
        <w:t>5’-</w:t>
      </w:r>
      <w:r w:rsidRPr="00042FE3">
        <w:rPr>
          <w:rFonts w:ascii="Book Antiqua" w:hAnsi="Book Antiqua"/>
          <w:sz w:val="24"/>
          <w:szCs w:val="24"/>
        </w:rPr>
        <w:t>CAACATGGAGAGTTAAAGTAAGTCTTG</w:t>
      </w:r>
      <w:r w:rsidR="00F63424">
        <w:rPr>
          <w:rFonts w:ascii="Book Antiqua" w:hAnsi="Book Antiqua"/>
          <w:sz w:val="24"/>
          <w:szCs w:val="24"/>
        </w:rPr>
        <w:t>-3’</w:t>
      </w:r>
      <w:r w:rsidRPr="00042FE3">
        <w:rPr>
          <w:rFonts w:ascii="Book Antiqua" w:hAnsi="Book Antiqua"/>
          <w:sz w:val="24"/>
          <w:szCs w:val="24"/>
        </w:rPr>
        <w:t xml:space="preserve">; reverse primer, </w:t>
      </w:r>
      <w:r w:rsidR="00F63424">
        <w:rPr>
          <w:rFonts w:ascii="Book Antiqua" w:hAnsi="Book Antiqua"/>
          <w:sz w:val="24"/>
          <w:szCs w:val="24"/>
        </w:rPr>
        <w:t>5’-</w:t>
      </w:r>
      <w:r w:rsidRPr="00042FE3">
        <w:rPr>
          <w:rFonts w:ascii="Book Antiqua" w:hAnsi="Book Antiqua"/>
          <w:sz w:val="24"/>
          <w:szCs w:val="24"/>
        </w:rPr>
        <w:t>TGCTGGGCCCTAACTGAT</w:t>
      </w:r>
      <w:r w:rsidR="00F63424">
        <w:rPr>
          <w:rFonts w:ascii="Book Antiqua" w:hAnsi="Book Antiqua"/>
          <w:sz w:val="24"/>
          <w:szCs w:val="24"/>
        </w:rPr>
        <w:t>-3’</w:t>
      </w:r>
      <w:r w:rsidRPr="00042FE3">
        <w:rPr>
          <w:rFonts w:ascii="Book Antiqua" w:hAnsi="Book Antiqua"/>
          <w:sz w:val="24"/>
          <w:szCs w:val="24"/>
        </w:rPr>
        <w:t>; probe 1, LC Red 640-TTGGGTGACATTGCTCACAGAAAGG-Phosphate; and probe 2, CCAGCTACCAAACTGTATACAGCATGGTTCCA-Fluorescein.</w:t>
      </w:r>
    </w:p>
    <w:p w14:paraId="72E6357C" w14:textId="77777777" w:rsidR="004B22EE" w:rsidRPr="00042FE3" w:rsidRDefault="004B22EE" w:rsidP="004449A0">
      <w:pPr>
        <w:pStyle w:val="1"/>
        <w:spacing w:line="360" w:lineRule="auto"/>
        <w:rPr>
          <w:rFonts w:ascii="Book Antiqua" w:hAnsi="Book Antiqua"/>
          <w:b/>
          <w:bCs/>
          <w:sz w:val="24"/>
          <w:szCs w:val="24"/>
        </w:rPr>
      </w:pPr>
    </w:p>
    <w:p w14:paraId="23FB2054" w14:textId="77777777" w:rsidR="004B22EE" w:rsidRPr="00042FE3" w:rsidRDefault="004B22EE" w:rsidP="004449A0">
      <w:pPr>
        <w:pStyle w:val="1"/>
        <w:spacing w:line="360" w:lineRule="auto"/>
        <w:rPr>
          <w:rFonts w:ascii="Book Antiqua" w:eastAsia="Times New Roman" w:hAnsi="Book Antiqua" w:cs="Times New Roman"/>
          <w:b/>
          <w:bCs/>
          <w:i/>
          <w:sz w:val="24"/>
          <w:szCs w:val="24"/>
        </w:rPr>
      </w:pPr>
      <w:r w:rsidRPr="00042FE3">
        <w:rPr>
          <w:rFonts w:ascii="Book Antiqua" w:hAnsi="Book Antiqua"/>
          <w:b/>
          <w:bCs/>
          <w:i/>
          <w:sz w:val="24"/>
          <w:szCs w:val="24"/>
        </w:rPr>
        <w:t>Statistical analyses</w:t>
      </w:r>
    </w:p>
    <w:p w14:paraId="7413F2D4" w14:textId="717E7A78" w:rsidR="004B22EE" w:rsidRPr="00042FE3" w:rsidRDefault="004B22EE" w:rsidP="00BC68A1">
      <w:pPr>
        <w:pStyle w:val="1"/>
        <w:spacing w:line="360" w:lineRule="auto"/>
        <w:rPr>
          <w:rFonts w:ascii="Book Antiqua" w:eastAsia="Times New Roman" w:hAnsi="Book Antiqua" w:cs="Times New Roman"/>
          <w:sz w:val="24"/>
          <w:szCs w:val="24"/>
        </w:rPr>
      </w:pPr>
      <w:r w:rsidRPr="00042FE3">
        <w:rPr>
          <w:rFonts w:ascii="Book Antiqua" w:hAnsi="Book Antiqua"/>
          <w:sz w:val="24"/>
          <w:szCs w:val="24"/>
        </w:rPr>
        <w:t>Baseline continuous data were expressed as median with interquartile ranges in parentheses, and categorical variables were expressed as numbers.</w:t>
      </w:r>
      <w:r w:rsidRPr="00042FE3">
        <w:rPr>
          <w:rFonts w:ascii="Book Antiqua" w:hAnsi="Book Antiqua"/>
          <w:color w:val="FF0000"/>
          <w:sz w:val="24"/>
          <w:szCs w:val="24"/>
          <w:u w:color="FF0000"/>
        </w:rPr>
        <w:t xml:space="preserve"> </w:t>
      </w:r>
      <w:r w:rsidRPr="00042FE3">
        <w:rPr>
          <w:rFonts w:ascii="Book Antiqua" w:hAnsi="Book Antiqua"/>
          <w:sz w:val="24"/>
          <w:szCs w:val="24"/>
        </w:rPr>
        <w:t xml:space="preserve">Univariate analyses were performed using chi-squared or Mann–Whitney </w:t>
      </w:r>
      <w:r w:rsidRPr="00BC68A1">
        <w:rPr>
          <w:rFonts w:ascii="Book Antiqua" w:hAnsi="Book Antiqua"/>
          <w:i/>
          <w:sz w:val="24"/>
          <w:szCs w:val="24"/>
        </w:rPr>
        <w:t>U</w:t>
      </w:r>
      <w:r w:rsidRPr="00042FE3">
        <w:rPr>
          <w:rFonts w:ascii="Book Antiqua" w:hAnsi="Book Antiqua"/>
          <w:sz w:val="24"/>
          <w:szCs w:val="24"/>
        </w:rPr>
        <w:t>-tests</w:t>
      </w:r>
      <w:r w:rsidRPr="00042FE3">
        <w:rPr>
          <w:rFonts w:ascii="Book Antiqua" w:hAnsi="Book Antiqua"/>
          <w:color w:val="FF0000"/>
          <w:sz w:val="24"/>
          <w:szCs w:val="24"/>
          <w:u w:color="FF0000"/>
        </w:rPr>
        <w:t xml:space="preserve"> </w:t>
      </w:r>
      <w:r w:rsidRPr="00042FE3">
        <w:rPr>
          <w:rFonts w:ascii="Book Antiqua" w:hAnsi="Book Antiqua"/>
          <w:sz w:val="24"/>
          <w:szCs w:val="24"/>
        </w:rPr>
        <w:t xml:space="preserve">as appropriate. All </w:t>
      </w:r>
      <w:r w:rsidRPr="00042FE3">
        <w:rPr>
          <w:rFonts w:ascii="Book Antiqua" w:hAnsi="Book Antiqua"/>
          <w:i/>
          <w:sz w:val="24"/>
          <w:szCs w:val="24"/>
        </w:rPr>
        <w:t>P</w:t>
      </w:r>
      <w:r w:rsidRPr="00042FE3">
        <w:rPr>
          <w:rFonts w:ascii="Book Antiqua" w:hAnsi="Book Antiqua"/>
          <w:sz w:val="24"/>
          <w:szCs w:val="24"/>
        </w:rPr>
        <w:t>-values of &lt;</w:t>
      </w:r>
      <w:r w:rsidR="00BC68A1">
        <w:rPr>
          <w:rFonts w:ascii="Book Antiqua" w:hAnsi="Book Antiqua" w:hint="eastAsia"/>
          <w:sz w:val="24"/>
          <w:szCs w:val="24"/>
          <w:lang w:eastAsia="zh-CN"/>
        </w:rPr>
        <w:t xml:space="preserve"> </w:t>
      </w:r>
      <w:r w:rsidRPr="00042FE3">
        <w:rPr>
          <w:rFonts w:ascii="Book Antiqua" w:hAnsi="Book Antiqua"/>
          <w:sz w:val="24"/>
          <w:szCs w:val="24"/>
        </w:rPr>
        <w:t>0.05 of two-tailed tests were considered significant. Multivariate logistic regression was used to identify significant independent predictive factors of SVR12.</w:t>
      </w:r>
      <w:r w:rsidRPr="00042FE3">
        <w:rPr>
          <w:rFonts w:ascii="Book Antiqua" w:hAnsi="Book Antiqua"/>
          <w:color w:val="FF0000"/>
          <w:sz w:val="24"/>
          <w:szCs w:val="24"/>
          <w:u w:color="FF0000"/>
        </w:rPr>
        <w:t xml:space="preserve"> </w:t>
      </w:r>
      <w:r w:rsidR="00174930" w:rsidRPr="00042FE3">
        <w:rPr>
          <w:rFonts w:ascii="Book Antiqua" w:hAnsi="Book Antiqua"/>
          <w:sz w:val="24"/>
          <w:szCs w:val="24"/>
        </w:rPr>
        <w:t>Results were expressed as Odds</w:t>
      </w:r>
      <w:r w:rsidRPr="00042FE3">
        <w:rPr>
          <w:rFonts w:ascii="Book Antiqua" w:hAnsi="Book Antiqua"/>
          <w:sz w:val="24"/>
          <w:szCs w:val="24"/>
        </w:rPr>
        <w:t xml:space="preserve"> ratios and 95%</w:t>
      </w:r>
      <w:r w:rsidR="00BC68A1">
        <w:rPr>
          <w:rFonts w:ascii="Book Antiqua" w:hAnsi="Book Antiqua"/>
          <w:sz w:val="24"/>
          <w:szCs w:val="24"/>
        </w:rPr>
        <w:t>CI</w:t>
      </w:r>
      <w:r w:rsidRPr="00042FE3">
        <w:rPr>
          <w:rFonts w:ascii="Book Antiqua" w:hAnsi="Book Antiqua"/>
          <w:sz w:val="24"/>
          <w:szCs w:val="24"/>
        </w:rPr>
        <w:t>. All statistical analyses were performed using the SPSS 22.0 statistical package (SPSS Incorporated, Chicago, Illinois, United States).</w:t>
      </w:r>
    </w:p>
    <w:p w14:paraId="3C57B7AF" w14:textId="2574BC29" w:rsidR="004B22EE" w:rsidRPr="00042FE3" w:rsidRDefault="004B22EE" w:rsidP="004449A0">
      <w:pPr>
        <w:pStyle w:val="1"/>
        <w:spacing w:line="360" w:lineRule="auto"/>
        <w:ind w:firstLine="840"/>
        <w:rPr>
          <w:rFonts w:ascii="Book Antiqua" w:hAnsi="Book Antiqua"/>
          <w:sz w:val="24"/>
          <w:szCs w:val="24"/>
        </w:rPr>
      </w:pPr>
      <w:r w:rsidRPr="00042FE3">
        <w:rPr>
          <w:rFonts w:ascii="Book Antiqua" w:hAnsi="Book Antiqua"/>
          <w:sz w:val="24"/>
          <w:szCs w:val="24"/>
        </w:rPr>
        <w:t xml:space="preserve">To adjust for patient background between TVR and SMV groups, propensity score matching was performed. Propensity score models were estimated using a logistic regression model that adjusts for patient characteristics (age, gender, body mass index, HCV RNA level, leukocyte count, hemoglobin, platelet count, and </w:t>
      </w:r>
      <w:r w:rsidRPr="00042FE3">
        <w:rPr>
          <w:rFonts w:ascii="Book Antiqua" w:hAnsi="Book Antiqua"/>
          <w:i/>
          <w:iCs/>
          <w:sz w:val="24"/>
          <w:szCs w:val="24"/>
        </w:rPr>
        <w:t>IL28</w:t>
      </w:r>
      <w:r w:rsidRPr="00042FE3">
        <w:rPr>
          <w:rFonts w:ascii="Book Antiqua" w:hAnsi="Book Antiqua"/>
          <w:sz w:val="24"/>
          <w:szCs w:val="24"/>
        </w:rPr>
        <w:t xml:space="preserve"> SNPs) listed in </w:t>
      </w:r>
      <w:r w:rsidRPr="00627B4F">
        <w:rPr>
          <w:rFonts w:ascii="Book Antiqua" w:hAnsi="Book Antiqua"/>
          <w:sz w:val="24"/>
          <w:szCs w:val="24"/>
        </w:rPr>
        <w:t>Table</w:t>
      </w:r>
      <w:r w:rsidRPr="00042FE3">
        <w:rPr>
          <w:rFonts w:ascii="Book Antiqua" w:hAnsi="Book Antiqua"/>
          <w:sz w:val="24"/>
          <w:szCs w:val="24"/>
        </w:rPr>
        <w:t xml:space="preserve"> 1. Confounders were selected according to their potential association with the outcome on the basis </w:t>
      </w:r>
      <w:r w:rsidRPr="00042FE3">
        <w:rPr>
          <w:rFonts w:ascii="Book Antiqua" w:hAnsi="Book Antiqua"/>
          <w:sz w:val="24"/>
          <w:szCs w:val="24"/>
        </w:rPr>
        <w:lastRenderedPageBreak/>
        <w:t xml:space="preserve">of clinical knowledge and previous </w:t>
      </w:r>
      <w:proofErr w:type="gramStart"/>
      <w:r w:rsidRPr="00042FE3">
        <w:rPr>
          <w:rFonts w:ascii="Book Antiqua" w:hAnsi="Book Antiqua"/>
          <w:sz w:val="24"/>
          <w:szCs w:val="24"/>
        </w:rPr>
        <w:t>studies</w:t>
      </w:r>
      <w:r w:rsidRPr="00042FE3">
        <w:rPr>
          <w:rFonts w:ascii="Book Antiqua" w:hAnsi="Book Antiqua"/>
          <w:sz w:val="24"/>
          <w:szCs w:val="24"/>
          <w:vertAlign w:val="superscript"/>
        </w:rPr>
        <w:t>[</w:t>
      </w:r>
      <w:proofErr w:type="gramEnd"/>
      <w:r w:rsidRPr="00042FE3">
        <w:rPr>
          <w:rFonts w:ascii="Book Antiqua" w:hAnsi="Book Antiqua"/>
          <w:sz w:val="24"/>
          <w:szCs w:val="24"/>
          <w:vertAlign w:val="superscript"/>
        </w:rPr>
        <w:t>17]</w:t>
      </w:r>
      <w:r w:rsidRPr="00042FE3">
        <w:rPr>
          <w:rFonts w:ascii="Book Antiqua" w:hAnsi="Book Antiqua"/>
          <w:sz w:val="24"/>
          <w:szCs w:val="24"/>
        </w:rPr>
        <w:t xml:space="preserve">. </w:t>
      </w:r>
      <w:r w:rsidR="0026297B" w:rsidRPr="00042FE3">
        <w:rPr>
          <w:rFonts w:ascii="Book Antiqua" w:hAnsi="Book Antiqua"/>
          <w:sz w:val="24"/>
          <w:szCs w:val="24"/>
        </w:rPr>
        <w:t xml:space="preserve">The propensity score matching model was validated by the Hosmer and </w:t>
      </w:r>
      <w:proofErr w:type="spellStart"/>
      <w:r w:rsidR="0026297B" w:rsidRPr="00042FE3">
        <w:rPr>
          <w:rFonts w:ascii="Book Antiqua" w:hAnsi="Book Antiqua"/>
          <w:sz w:val="24"/>
          <w:szCs w:val="24"/>
        </w:rPr>
        <w:t>Lemeshow</w:t>
      </w:r>
      <w:proofErr w:type="spellEnd"/>
      <w:r w:rsidR="0026297B" w:rsidRPr="00042FE3">
        <w:rPr>
          <w:rFonts w:ascii="Book Antiqua" w:hAnsi="Book Antiqua"/>
          <w:sz w:val="24"/>
          <w:szCs w:val="24"/>
        </w:rPr>
        <w:t xml:space="preserve"> goodness-of-fit test (</w:t>
      </w:r>
      <w:r w:rsidR="0026297B" w:rsidRPr="00BC68A1">
        <w:rPr>
          <w:rFonts w:ascii="Book Antiqua" w:hAnsi="Book Antiqua"/>
          <w:i/>
          <w:sz w:val="24"/>
          <w:szCs w:val="24"/>
        </w:rPr>
        <w:t>P</w:t>
      </w:r>
      <w:r w:rsidR="004F5A73" w:rsidRPr="00042FE3">
        <w:rPr>
          <w:rFonts w:ascii="Book Antiqua" w:hAnsi="Book Antiqua"/>
          <w:sz w:val="24"/>
          <w:szCs w:val="24"/>
        </w:rPr>
        <w:t xml:space="preserve"> </w:t>
      </w:r>
      <w:r w:rsidR="0026297B" w:rsidRPr="00042FE3">
        <w:rPr>
          <w:rFonts w:ascii="Book Antiqua" w:hAnsi="Book Antiqua"/>
          <w:sz w:val="24"/>
          <w:szCs w:val="24"/>
        </w:rPr>
        <w:t>=</w:t>
      </w:r>
      <w:r w:rsidR="004F5A73" w:rsidRPr="00042FE3">
        <w:rPr>
          <w:rFonts w:ascii="Book Antiqua" w:hAnsi="Book Antiqua"/>
          <w:sz w:val="24"/>
          <w:szCs w:val="24"/>
        </w:rPr>
        <w:t xml:space="preserve"> </w:t>
      </w:r>
      <w:r w:rsidR="0026297B" w:rsidRPr="00042FE3">
        <w:rPr>
          <w:rFonts w:ascii="Book Antiqua" w:hAnsi="Book Antiqua"/>
          <w:sz w:val="24"/>
          <w:szCs w:val="24"/>
        </w:rPr>
        <w:t>0.638) and by the value of the area under the curve (0.66</w:t>
      </w:r>
      <w:r w:rsidR="00BC68A1">
        <w:rPr>
          <w:rFonts w:ascii="Book Antiqua" w:hAnsi="Book Antiqua" w:hint="eastAsia"/>
          <w:sz w:val="24"/>
          <w:szCs w:val="24"/>
          <w:lang w:eastAsia="zh-CN"/>
        </w:rPr>
        <w:t>,</w:t>
      </w:r>
      <w:r w:rsidR="004F5A73" w:rsidRPr="00042FE3">
        <w:rPr>
          <w:rFonts w:ascii="Book Antiqua" w:hAnsi="Book Antiqua"/>
          <w:sz w:val="24"/>
          <w:szCs w:val="24"/>
        </w:rPr>
        <w:t xml:space="preserve"> </w:t>
      </w:r>
      <w:r w:rsidR="00BC68A1">
        <w:rPr>
          <w:rFonts w:ascii="Book Antiqua" w:hAnsi="Book Antiqua"/>
          <w:sz w:val="24"/>
          <w:szCs w:val="24"/>
        </w:rPr>
        <w:t>95%</w:t>
      </w:r>
      <w:r w:rsidR="0026297B" w:rsidRPr="00042FE3">
        <w:rPr>
          <w:rFonts w:ascii="Book Antiqua" w:hAnsi="Book Antiqua"/>
          <w:sz w:val="24"/>
          <w:szCs w:val="24"/>
        </w:rPr>
        <w:t>CI</w:t>
      </w:r>
      <w:r w:rsidR="00BC68A1">
        <w:rPr>
          <w:rFonts w:ascii="Book Antiqua" w:hAnsi="Book Antiqua" w:hint="eastAsia"/>
          <w:sz w:val="24"/>
          <w:szCs w:val="24"/>
          <w:lang w:eastAsia="zh-CN"/>
        </w:rPr>
        <w:t>:</w:t>
      </w:r>
      <w:r w:rsidR="0026297B" w:rsidRPr="00042FE3">
        <w:rPr>
          <w:rFonts w:ascii="Book Antiqua" w:hAnsi="Book Antiqua"/>
          <w:sz w:val="24"/>
          <w:szCs w:val="24"/>
        </w:rPr>
        <w:t xml:space="preserve"> 0.594</w:t>
      </w:r>
      <w:r w:rsidR="004F5A73" w:rsidRPr="00042FE3">
        <w:rPr>
          <w:rFonts w:ascii="Book Antiqua" w:hAnsi="Book Antiqua"/>
          <w:sz w:val="24"/>
          <w:szCs w:val="24"/>
        </w:rPr>
        <w:t>–</w:t>
      </w:r>
      <w:r w:rsidR="0026297B" w:rsidRPr="00042FE3">
        <w:rPr>
          <w:rFonts w:ascii="Book Antiqua" w:hAnsi="Book Antiqua"/>
          <w:sz w:val="24"/>
          <w:szCs w:val="24"/>
        </w:rPr>
        <w:t>0.724)</w:t>
      </w:r>
      <w:r w:rsidR="003B353C">
        <w:rPr>
          <w:rFonts w:ascii="Book Antiqua" w:hAnsi="Book Antiqua"/>
          <w:sz w:val="24"/>
          <w:szCs w:val="24"/>
        </w:rPr>
        <w:t>.</w:t>
      </w:r>
      <w:r w:rsidR="0026297B" w:rsidRPr="00042FE3">
        <w:rPr>
          <w:rFonts w:ascii="Book Antiqua" w:hAnsi="Book Antiqua"/>
          <w:sz w:val="24"/>
          <w:szCs w:val="24"/>
        </w:rPr>
        <w:t xml:space="preserve"> </w:t>
      </w:r>
      <w:r w:rsidRPr="00042FE3">
        <w:rPr>
          <w:rFonts w:ascii="Book Antiqua" w:hAnsi="Book Antiqua"/>
          <w:sz w:val="24"/>
          <w:szCs w:val="24"/>
        </w:rPr>
        <w:t>One SMV patient was matched to one TVR patient using nearest neighbor matching without replacement. Propensity scores were matched using a caliper</w:t>
      </w:r>
      <w:r w:rsidRPr="00042FE3">
        <w:rPr>
          <w:rFonts w:ascii="Book Antiqua" w:hAnsi="Book Antiqua"/>
          <w:color w:val="FF0000"/>
          <w:sz w:val="24"/>
          <w:szCs w:val="24"/>
          <w:u w:color="FF0000"/>
        </w:rPr>
        <w:t xml:space="preserve"> </w:t>
      </w:r>
      <w:r w:rsidRPr="00042FE3">
        <w:rPr>
          <w:rFonts w:ascii="Book Antiqua" w:hAnsi="Book Antiqua"/>
          <w:sz w:val="24"/>
          <w:szCs w:val="24"/>
        </w:rPr>
        <w:t xml:space="preserve">width 0.25 logit of the SD. The standardized difference was used to assess the covariate balance. </w:t>
      </w:r>
      <w:proofErr w:type="spellStart"/>
      <w:r w:rsidRPr="00042FE3">
        <w:rPr>
          <w:rFonts w:ascii="Book Antiqua" w:hAnsi="Book Antiqua"/>
          <w:sz w:val="24"/>
          <w:szCs w:val="24"/>
        </w:rPr>
        <w:t>McNemarr’s</w:t>
      </w:r>
      <w:proofErr w:type="spellEnd"/>
      <w:r w:rsidRPr="00042FE3">
        <w:rPr>
          <w:rFonts w:ascii="Book Antiqua" w:hAnsi="Book Antiqua"/>
          <w:sz w:val="24"/>
          <w:szCs w:val="24"/>
        </w:rPr>
        <w:t xml:space="preserve"> tests were performed after matching.</w:t>
      </w:r>
    </w:p>
    <w:p w14:paraId="7B9C8492" w14:textId="77777777" w:rsidR="004B22EE" w:rsidRPr="00042FE3" w:rsidRDefault="004B22EE" w:rsidP="004449A0">
      <w:pPr>
        <w:pStyle w:val="1"/>
        <w:spacing w:line="360" w:lineRule="auto"/>
        <w:rPr>
          <w:rFonts w:ascii="Book Antiqua" w:hAnsi="Book Antiqua"/>
          <w:b/>
          <w:bCs/>
          <w:sz w:val="24"/>
          <w:szCs w:val="24"/>
        </w:rPr>
      </w:pPr>
    </w:p>
    <w:p w14:paraId="00ECE970" w14:textId="3AB63859" w:rsidR="004B22EE" w:rsidRPr="00042FE3" w:rsidRDefault="004B22EE" w:rsidP="004449A0">
      <w:pPr>
        <w:pStyle w:val="1"/>
        <w:spacing w:line="360" w:lineRule="auto"/>
        <w:rPr>
          <w:rFonts w:ascii="Book Antiqua" w:eastAsia="Times New Roman" w:hAnsi="Book Antiqua" w:cs="Times New Roman"/>
          <w:b/>
          <w:bCs/>
          <w:sz w:val="24"/>
          <w:szCs w:val="24"/>
        </w:rPr>
      </w:pPr>
      <w:r w:rsidRPr="00042FE3">
        <w:rPr>
          <w:rFonts w:ascii="Book Antiqua" w:hAnsi="Book Antiqua"/>
          <w:b/>
          <w:bCs/>
          <w:sz w:val="24"/>
          <w:szCs w:val="24"/>
        </w:rPr>
        <w:t>RESULTS</w:t>
      </w:r>
    </w:p>
    <w:p w14:paraId="1BC40B70" w14:textId="77777777" w:rsidR="004B22EE" w:rsidRPr="00042FE3" w:rsidRDefault="004B22EE" w:rsidP="004449A0">
      <w:pPr>
        <w:pStyle w:val="1"/>
        <w:spacing w:line="360" w:lineRule="auto"/>
        <w:rPr>
          <w:rFonts w:ascii="Book Antiqua" w:eastAsia="Times New Roman" w:hAnsi="Book Antiqua" w:cs="Times New Roman"/>
          <w:b/>
          <w:bCs/>
          <w:i/>
          <w:sz w:val="24"/>
          <w:szCs w:val="24"/>
        </w:rPr>
      </w:pPr>
      <w:r w:rsidRPr="00042FE3">
        <w:rPr>
          <w:rFonts w:ascii="Book Antiqua" w:hAnsi="Book Antiqua"/>
          <w:b/>
          <w:bCs/>
          <w:i/>
          <w:sz w:val="24"/>
          <w:szCs w:val="24"/>
        </w:rPr>
        <w:t>Baseline characteristics</w:t>
      </w:r>
    </w:p>
    <w:p w14:paraId="4AF77F6F" w14:textId="7E922A48" w:rsidR="004B22EE" w:rsidRPr="00042FE3" w:rsidRDefault="004B22EE" w:rsidP="00BC68A1">
      <w:pPr>
        <w:pStyle w:val="1"/>
        <w:spacing w:line="360" w:lineRule="auto"/>
        <w:rPr>
          <w:rFonts w:ascii="Book Antiqua" w:eastAsia="Times New Roman" w:hAnsi="Book Antiqua" w:cs="Times New Roman"/>
          <w:sz w:val="24"/>
          <w:szCs w:val="24"/>
        </w:rPr>
      </w:pPr>
      <w:r w:rsidRPr="00042FE3">
        <w:rPr>
          <w:rFonts w:ascii="Book Antiqua" w:hAnsi="Book Antiqua"/>
          <w:sz w:val="24"/>
          <w:szCs w:val="24"/>
        </w:rPr>
        <w:t>The baseline patient characteristics in the TVR group (</w:t>
      </w:r>
      <w:r w:rsidR="00BC68A1" w:rsidRPr="00BC68A1">
        <w:rPr>
          <w:rFonts w:ascii="Book Antiqua" w:hAnsi="Book Antiqua"/>
          <w:i/>
          <w:sz w:val="24"/>
          <w:szCs w:val="24"/>
        </w:rPr>
        <w:t>n</w:t>
      </w:r>
      <w:r w:rsidRPr="00042FE3">
        <w:rPr>
          <w:rFonts w:ascii="Book Antiqua" w:hAnsi="Book Antiqua"/>
          <w:sz w:val="24"/>
          <w:szCs w:val="24"/>
        </w:rPr>
        <w:t xml:space="preserve"> = 159) and SMV group (</w:t>
      </w:r>
      <w:r w:rsidRPr="00BC68A1">
        <w:rPr>
          <w:rFonts w:ascii="Book Antiqua" w:hAnsi="Book Antiqua"/>
          <w:i/>
          <w:sz w:val="24"/>
          <w:szCs w:val="24"/>
        </w:rPr>
        <w:t xml:space="preserve">n </w:t>
      </w:r>
      <w:r w:rsidRPr="00042FE3">
        <w:rPr>
          <w:rFonts w:ascii="Book Antiqua" w:hAnsi="Book Antiqua"/>
          <w:sz w:val="24"/>
          <w:szCs w:val="24"/>
        </w:rPr>
        <w:t xml:space="preserve">= 147) are shown in </w:t>
      </w:r>
      <w:r w:rsidRPr="00627B4F">
        <w:rPr>
          <w:rFonts w:ascii="Book Antiqua" w:hAnsi="Book Antiqua"/>
          <w:sz w:val="24"/>
          <w:szCs w:val="24"/>
        </w:rPr>
        <w:t>Table</w:t>
      </w:r>
      <w:r w:rsidRPr="00042FE3">
        <w:rPr>
          <w:rFonts w:ascii="Book Antiqua" w:hAnsi="Book Antiqua"/>
          <w:sz w:val="24"/>
          <w:szCs w:val="24"/>
        </w:rPr>
        <w:t xml:space="preserve"> 1 as “unmatched patients.” Patients in the SMV group were significantly older than patients in the TVR group. High viral load, low hemoglobin levels, the non-TT </w:t>
      </w:r>
      <w:r w:rsidRPr="00042FE3">
        <w:rPr>
          <w:rFonts w:ascii="Book Antiqua" w:hAnsi="Book Antiqua"/>
          <w:i/>
          <w:iCs/>
          <w:sz w:val="24"/>
          <w:szCs w:val="24"/>
        </w:rPr>
        <w:t xml:space="preserve">IL28B </w:t>
      </w:r>
      <w:r w:rsidRPr="00042FE3">
        <w:rPr>
          <w:rFonts w:ascii="Book Antiqua" w:hAnsi="Book Antiqua"/>
          <w:sz w:val="24"/>
          <w:szCs w:val="24"/>
        </w:rPr>
        <w:t xml:space="preserve">genotype, and relapse following previous PEG-IFN and RBV treatment were more commonly observed in the SMV group compared with the TVR group. </w:t>
      </w:r>
    </w:p>
    <w:p w14:paraId="13E0B010" w14:textId="77777777" w:rsidR="004B22EE" w:rsidRPr="00042FE3" w:rsidRDefault="004B22EE" w:rsidP="004449A0">
      <w:pPr>
        <w:pStyle w:val="1"/>
        <w:spacing w:line="360" w:lineRule="auto"/>
        <w:rPr>
          <w:rFonts w:ascii="Book Antiqua" w:eastAsia="Times New Roman" w:hAnsi="Book Antiqua" w:cs="Times New Roman"/>
          <w:b/>
          <w:bCs/>
          <w:sz w:val="24"/>
          <w:szCs w:val="24"/>
        </w:rPr>
      </w:pPr>
    </w:p>
    <w:p w14:paraId="2DCF12CE" w14:textId="77777777" w:rsidR="004B22EE" w:rsidRPr="00042FE3" w:rsidRDefault="004B22EE" w:rsidP="004449A0">
      <w:pPr>
        <w:pStyle w:val="1"/>
        <w:spacing w:line="360" w:lineRule="auto"/>
        <w:rPr>
          <w:rFonts w:ascii="Book Antiqua" w:eastAsia="Times New Roman" w:hAnsi="Book Antiqua" w:cs="Times New Roman"/>
          <w:b/>
          <w:bCs/>
          <w:i/>
          <w:sz w:val="24"/>
          <w:szCs w:val="24"/>
        </w:rPr>
      </w:pPr>
      <w:proofErr w:type="spellStart"/>
      <w:r w:rsidRPr="00042FE3">
        <w:rPr>
          <w:rFonts w:ascii="Book Antiqua" w:hAnsi="Book Antiqua"/>
          <w:b/>
          <w:bCs/>
          <w:i/>
          <w:sz w:val="24"/>
          <w:szCs w:val="24"/>
        </w:rPr>
        <w:t>Virological</w:t>
      </w:r>
      <w:proofErr w:type="spellEnd"/>
      <w:r w:rsidRPr="00042FE3">
        <w:rPr>
          <w:rFonts w:ascii="Book Antiqua" w:hAnsi="Book Antiqua"/>
          <w:b/>
          <w:bCs/>
          <w:i/>
          <w:sz w:val="24"/>
          <w:szCs w:val="24"/>
        </w:rPr>
        <w:t xml:space="preserve"> response to therapy and loss of HCV RNA during treatment</w:t>
      </w:r>
    </w:p>
    <w:p w14:paraId="7C113D20" w14:textId="7240ABAC" w:rsidR="004B22EE" w:rsidRPr="00042FE3" w:rsidRDefault="004B22EE" w:rsidP="00BC68A1">
      <w:pPr>
        <w:pStyle w:val="1"/>
        <w:spacing w:line="360" w:lineRule="auto"/>
        <w:rPr>
          <w:rFonts w:ascii="Book Antiqua" w:hAnsi="Book Antiqua"/>
          <w:sz w:val="24"/>
          <w:szCs w:val="24"/>
        </w:rPr>
      </w:pPr>
      <w:r w:rsidRPr="00042FE3">
        <w:rPr>
          <w:rFonts w:ascii="Book Antiqua" w:hAnsi="Book Antiqua"/>
          <w:sz w:val="24"/>
          <w:szCs w:val="24"/>
        </w:rPr>
        <w:t>In the TVR group, the over</w:t>
      </w:r>
      <w:r w:rsidR="00347115" w:rsidRPr="00042FE3">
        <w:rPr>
          <w:rFonts w:ascii="Book Antiqua" w:hAnsi="Book Antiqua"/>
          <w:sz w:val="24"/>
          <w:szCs w:val="24"/>
        </w:rPr>
        <w:t>all SVR12</w:t>
      </w:r>
      <w:r w:rsidRPr="00042FE3">
        <w:rPr>
          <w:rFonts w:ascii="Book Antiqua" w:hAnsi="Book Antiqua"/>
          <w:sz w:val="24"/>
          <w:szCs w:val="24"/>
        </w:rPr>
        <w:t xml:space="preserve"> was 79.2% (126 of 159 patients). Undetectable HCV RNA levels were achieved during treatment in 33.3% (41 of 123), 80.8% (118 of 146), 92.4% (146 of 158), and 91.2% (145 of 159) of patients at 2, 4, 8 </w:t>
      </w:r>
      <w:proofErr w:type="spellStart"/>
      <w:r w:rsidR="00BC68A1">
        <w:rPr>
          <w:rFonts w:ascii="Book Antiqua" w:hAnsi="Book Antiqua" w:hint="eastAsia"/>
          <w:sz w:val="24"/>
          <w:szCs w:val="24"/>
          <w:lang w:eastAsia="zh-CN"/>
        </w:rPr>
        <w:t>wk</w:t>
      </w:r>
      <w:proofErr w:type="spellEnd"/>
      <w:r w:rsidRPr="00042FE3">
        <w:rPr>
          <w:rFonts w:ascii="Book Antiqua" w:hAnsi="Book Antiqua"/>
          <w:sz w:val="24"/>
          <w:szCs w:val="24"/>
        </w:rPr>
        <w:t xml:space="preserve">, and EOT or 24 </w:t>
      </w:r>
      <w:proofErr w:type="spellStart"/>
      <w:r w:rsidR="00BC68A1">
        <w:rPr>
          <w:rFonts w:ascii="Book Antiqua" w:hAnsi="Book Antiqua" w:hint="eastAsia"/>
          <w:sz w:val="24"/>
          <w:szCs w:val="24"/>
          <w:lang w:eastAsia="zh-CN"/>
        </w:rPr>
        <w:t>wk</w:t>
      </w:r>
      <w:proofErr w:type="spellEnd"/>
      <w:r w:rsidRPr="00042FE3">
        <w:rPr>
          <w:rFonts w:ascii="Book Antiqua" w:hAnsi="Book Antiqua"/>
          <w:sz w:val="24"/>
          <w:szCs w:val="24"/>
        </w:rPr>
        <w:t xml:space="preserve">, respectively. In the SMV group, the overall SVR12 rate was 69.4% (102 of 147 patients). Undetectable HCV RNA levels were achieved during treatment in 23.8% (31 of 130), 69.4% (100 of 144), 89.3% (125 of </w:t>
      </w:r>
      <w:r w:rsidRPr="00042FE3">
        <w:rPr>
          <w:rFonts w:ascii="Book Antiqua" w:hAnsi="Book Antiqua"/>
          <w:sz w:val="24"/>
          <w:szCs w:val="24"/>
        </w:rPr>
        <w:lastRenderedPageBreak/>
        <w:t xml:space="preserve">140), and 85.0% (125 of 147) of patients at 2, 4, 8, and EOT or 24 </w:t>
      </w:r>
      <w:proofErr w:type="spellStart"/>
      <w:r w:rsidR="00BC68A1">
        <w:rPr>
          <w:rFonts w:ascii="Book Antiqua" w:hAnsi="Book Antiqua" w:hint="eastAsia"/>
          <w:sz w:val="24"/>
          <w:szCs w:val="24"/>
          <w:lang w:eastAsia="zh-CN"/>
        </w:rPr>
        <w:t>wk</w:t>
      </w:r>
      <w:proofErr w:type="spellEnd"/>
      <w:r w:rsidRPr="00042FE3">
        <w:rPr>
          <w:rFonts w:ascii="Book Antiqua" w:hAnsi="Book Antiqua"/>
          <w:sz w:val="24"/>
          <w:szCs w:val="24"/>
        </w:rPr>
        <w:t>, respectively (</w:t>
      </w:r>
      <w:r w:rsidRPr="00627B4F">
        <w:rPr>
          <w:rFonts w:ascii="Book Antiqua" w:hAnsi="Book Antiqua"/>
          <w:sz w:val="24"/>
          <w:szCs w:val="24"/>
        </w:rPr>
        <w:t>Figure</w:t>
      </w:r>
      <w:r w:rsidRPr="00042FE3">
        <w:rPr>
          <w:rFonts w:ascii="Book Antiqua" w:hAnsi="Book Antiqua"/>
          <w:sz w:val="24"/>
          <w:szCs w:val="24"/>
        </w:rPr>
        <w:t xml:space="preserve"> 1</w:t>
      </w:r>
      <w:r w:rsidR="008D2F16" w:rsidRPr="00042FE3">
        <w:rPr>
          <w:rFonts w:ascii="Book Antiqua" w:hAnsi="Book Antiqua"/>
          <w:sz w:val="24"/>
          <w:szCs w:val="24"/>
        </w:rPr>
        <w:t>A</w:t>
      </w:r>
      <w:r w:rsidRPr="00042FE3">
        <w:rPr>
          <w:rFonts w:ascii="Book Antiqua" w:hAnsi="Book Antiqua"/>
          <w:sz w:val="24"/>
          <w:szCs w:val="24"/>
        </w:rPr>
        <w:t>).</w:t>
      </w:r>
    </w:p>
    <w:p w14:paraId="72327E0E" w14:textId="77777777" w:rsidR="005B5695" w:rsidRPr="00042FE3" w:rsidRDefault="005B5695" w:rsidP="004449A0">
      <w:pPr>
        <w:pStyle w:val="1"/>
        <w:spacing w:line="360" w:lineRule="auto"/>
        <w:ind w:firstLine="840"/>
        <w:rPr>
          <w:rFonts w:ascii="Book Antiqua" w:eastAsia="Times New Roman" w:hAnsi="Book Antiqua" w:cs="Times New Roman"/>
          <w:sz w:val="24"/>
          <w:szCs w:val="24"/>
        </w:rPr>
      </w:pPr>
    </w:p>
    <w:p w14:paraId="3898FA78" w14:textId="4307606C" w:rsidR="004B22EE" w:rsidRPr="00042FE3" w:rsidRDefault="004B22EE" w:rsidP="004449A0">
      <w:pPr>
        <w:pStyle w:val="1"/>
        <w:spacing w:line="360" w:lineRule="auto"/>
        <w:rPr>
          <w:rFonts w:ascii="Book Antiqua" w:eastAsia="Times New Roman" w:hAnsi="Book Antiqua" w:cs="Times New Roman"/>
          <w:b/>
          <w:bCs/>
          <w:i/>
          <w:sz w:val="24"/>
          <w:szCs w:val="24"/>
        </w:rPr>
      </w:pPr>
      <w:r w:rsidRPr="00042FE3">
        <w:rPr>
          <w:rFonts w:ascii="Book Antiqua" w:hAnsi="Book Antiqua"/>
          <w:b/>
          <w:bCs/>
          <w:i/>
          <w:sz w:val="24"/>
          <w:szCs w:val="24"/>
        </w:rPr>
        <w:t xml:space="preserve">Safety and </w:t>
      </w:r>
      <w:r w:rsidR="00BC68A1" w:rsidRPr="00042FE3">
        <w:rPr>
          <w:rFonts w:ascii="Book Antiqua" w:hAnsi="Book Antiqua"/>
          <w:b/>
          <w:bCs/>
          <w:i/>
          <w:sz w:val="24"/>
          <w:szCs w:val="24"/>
        </w:rPr>
        <w:t>tolerability</w:t>
      </w:r>
    </w:p>
    <w:p w14:paraId="5FCDA0B0" w14:textId="77181CCE" w:rsidR="004B22EE" w:rsidRPr="00042FE3" w:rsidRDefault="004B22EE" w:rsidP="00BC68A1">
      <w:pPr>
        <w:pStyle w:val="1"/>
        <w:spacing w:line="360" w:lineRule="auto"/>
        <w:rPr>
          <w:rFonts w:ascii="Book Antiqua" w:hAnsi="Book Antiqua"/>
          <w:sz w:val="24"/>
          <w:szCs w:val="24"/>
        </w:rPr>
      </w:pPr>
      <w:r w:rsidRPr="00042FE3">
        <w:rPr>
          <w:rFonts w:ascii="Book Antiqua" w:hAnsi="Book Antiqua"/>
          <w:sz w:val="24"/>
          <w:szCs w:val="24"/>
        </w:rPr>
        <w:t>In the TVR group, 10 patients demonstrated nonresponse, and breakthrough occurred in 4 patients. Relapse occurred in 19 patients. In patients with nonresponse, 8 patients discontinued TVR because of adverse events within the first 4 weeks of treatment (</w:t>
      </w:r>
      <w:r w:rsidR="009110D4" w:rsidRPr="00042FE3">
        <w:rPr>
          <w:rFonts w:ascii="Book Antiqua" w:hAnsi="Book Antiqua"/>
          <w:sz w:val="24"/>
          <w:szCs w:val="24"/>
        </w:rPr>
        <w:t xml:space="preserve">four </w:t>
      </w:r>
      <w:r w:rsidRPr="00042FE3">
        <w:rPr>
          <w:rFonts w:ascii="Book Antiqua" w:hAnsi="Book Antiqua"/>
          <w:sz w:val="24"/>
          <w:szCs w:val="24"/>
        </w:rPr>
        <w:t xml:space="preserve">skin </w:t>
      </w:r>
      <w:r w:rsidR="009110D4" w:rsidRPr="00042FE3">
        <w:rPr>
          <w:rFonts w:ascii="Book Antiqua" w:hAnsi="Book Antiqua"/>
          <w:sz w:val="24"/>
          <w:szCs w:val="24"/>
        </w:rPr>
        <w:t>rash</w:t>
      </w:r>
      <w:r w:rsidRPr="00042FE3">
        <w:rPr>
          <w:rFonts w:ascii="Book Antiqua" w:hAnsi="Book Antiqua"/>
          <w:sz w:val="24"/>
          <w:szCs w:val="24"/>
        </w:rPr>
        <w:t xml:space="preserve">, </w:t>
      </w:r>
      <w:r w:rsidR="009110D4" w:rsidRPr="00042FE3">
        <w:rPr>
          <w:rFonts w:ascii="Book Antiqua" w:hAnsi="Book Antiqua"/>
          <w:sz w:val="24"/>
          <w:szCs w:val="24"/>
        </w:rPr>
        <w:t xml:space="preserve">one </w:t>
      </w:r>
      <w:r w:rsidRPr="00042FE3">
        <w:rPr>
          <w:rFonts w:ascii="Book Antiqua" w:hAnsi="Book Antiqua"/>
          <w:sz w:val="24"/>
          <w:szCs w:val="24"/>
        </w:rPr>
        <w:t xml:space="preserve">renal dysfunction, </w:t>
      </w:r>
      <w:r w:rsidR="009110D4" w:rsidRPr="00042FE3">
        <w:rPr>
          <w:rFonts w:ascii="Book Antiqua" w:hAnsi="Book Antiqua"/>
          <w:sz w:val="24"/>
          <w:szCs w:val="24"/>
        </w:rPr>
        <w:t xml:space="preserve">two </w:t>
      </w:r>
      <w:r w:rsidRPr="00042FE3">
        <w:rPr>
          <w:rFonts w:ascii="Book Antiqua" w:hAnsi="Book Antiqua"/>
          <w:sz w:val="24"/>
          <w:szCs w:val="24"/>
        </w:rPr>
        <w:t xml:space="preserve">appetite loss, </w:t>
      </w:r>
      <w:r w:rsidR="009110D4" w:rsidRPr="00042FE3">
        <w:rPr>
          <w:rFonts w:ascii="Book Antiqua" w:hAnsi="Book Antiqua"/>
          <w:sz w:val="24"/>
          <w:szCs w:val="24"/>
        </w:rPr>
        <w:t xml:space="preserve">one </w:t>
      </w:r>
      <w:r w:rsidRPr="00042FE3">
        <w:rPr>
          <w:rFonts w:ascii="Book Antiqua" w:hAnsi="Book Antiqua"/>
          <w:sz w:val="24"/>
          <w:szCs w:val="24"/>
        </w:rPr>
        <w:t xml:space="preserve">unknown). In the SMV group, 15 patients demonstrated nonresponse, and breakthrough occurred in </w:t>
      </w:r>
      <w:r w:rsidR="009110D4" w:rsidRPr="00042FE3">
        <w:rPr>
          <w:rFonts w:ascii="Book Antiqua" w:hAnsi="Book Antiqua"/>
          <w:sz w:val="24"/>
          <w:szCs w:val="24"/>
        </w:rPr>
        <w:t xml:space="preserve">eight </w:t>
      </w:r>
      <w:r w:rsidRPr="00042FE3">
        <w:rPr>
          <w:rFonts w:ascii="Book Antiqua" w:hAnsi="Book Antiqua"/>
          <w:sz w:val="24"/>
          <w:szCs w:val="24"/>
        </w:rPr>
        <w:t xml:space="preserve">patients. Relapse occurred in 22 patients. In patients with nonresponse, one patient discontinued within the first 4 weeks of treatment (transient visual field defect). There was a trend toward greater rates of treatment discontinuation because of adverse events in the TVR group and </w:t>
      </w:r>
      <w:r w:rsidR="006B7A64" w:rsidRPr="00042FE3">
        <w:rPr>
          <w:rFonts w:ascii="Book Antiqua" w:hAnsi="Book Antiqua"/>
          <w:sz w:val="24"/>
          <w:szCs w:val="24"/>
        </w:rPr>
        <w:t xml:space="preserve">nonresponse </w:t>
      </w:r>
      <w:r w:rsidR="006B7A64">
        <w:rPr>
          <w:rFonts w:ascii="Book Antiqua" w:hAnsi="Book Antiqua"/>
          <w:sz w:val="24"/>
          <w:szCs w:val="24"/>
        </w:rPr>
        <w:t xml:space="preserve">and </w:t>
      </w:r>
      <w:r w:rsidRPr="00042FE3">
        <w:rPr>
          <w:rFonts w:ascii="Book Antiqua" w:hAnsi="Book Antiqua"/>
          <w:sz w:val="24"/>
          <w:szCs w:val="24"/>
        </w:rPr>
        <w:t xml:space="preserve">breakthrough in the SMV group. </w:t>
      </w:r>
    </w:p>
    <w:p w14:paraId="59E1E27A" w14:textId="77777777" w:rsidR="007A4DA3" w:rsidRPr="00042FE3" w:rsidRDefault="007A4DA3" w:rsidP="004449A0">
      <w:pPr>
        <w:pStyle w:val="1"/>
        <w:spacing w:line="360" w:lineRule="auto"/>
        <w:ind w:firstLine="840"/>
        <w:rPr>
          <w:rFonts w:ascii="Book Antiqua" w:eastAsia="Times New Roman" w:hAnsi="Book Antiqua" w:cs="Times New Roman"/>
          <w:b/>
          <w:bCs/>
          <w:sz w:val="24"/>
          <w:szCs w:val="24"/>
        </w:rPr>
      </w:pPr>
    </w:p>
    <w:p w14:paraId="0C20BC22" w14:textId="77777777" w:rsidR="007A4DA3" w:rsidRPr="00042FE3" w:rsidRDefault="007A4DA3" w:rsidP="004449A0">
      <w:pPr>
        <w:pStyle w:val="1"/>
        <w:spacing w:line="360" w:lineRule="auto"/>
        <w:rPr>
          <w:rFonts w:ascii="Book Antiqua" w:eastAsia="Times New Roman" w:hAnsi="Book Antiqua" w:cs="Times New Roman"/>
          <w:b/>
          <w:bCs/>
          <w:i/>
          <w:sz w:val="24"/>
          <w:szCs w:val="24"/>
        </w:rPr>
      </w:pPr>
      <w:r w:rsidRPr="00042FE3">
        <w:rPr>
          <w:rFonts w:ascii="Book Antiqua" w:hAnsi="Book Antiqua"/>
          <w:b/>
          <w:bCs/>
          <w:i/>
          <w:sz w:val="24"/>
          <w:szCs w:val="24"/>
        </w:rPr>
        <w:t>Pretreatment factors contributing to SVR12 in TVR and SMV groups</w:t>
      </w:r>
    </w:p>
    <w:p w14:paraId="5EDE1E0B" w14:textId="6002B5B5" w:rsidR="007A4DA3" w:rsidRPr="00042FE3" w:rsidRDefault="007A4DA3" w:rsidP="00BC68A1">
      <w:pPr>
        <w:pStyle w:val="1"/>
        <w:spacing w:line="360" w:lineRule="auto"/>
        <w:rPr>
          <w:rFonts w:ascii="Book Antiqua" w:hAnsi="Book Antiqua"/>
          <w:color w:val="000000" w:themeColor="text1"/>
          <w:sz w:val="24"/>
          <w:szCs w:val="24"/>
        </w:rPr>
      </w:pPr>
      <w:r w:rsidRPr="00042FE3">
        <w:rPr>
          <w:rFonts w:ascii="Book Antiqua" w:hAnsi="Book Antiqua"/>
          <w:sz w:val="24"/>
          <w:szCs w:val="24"/>
        </w:rPr>
        <w:t xml:space="preserve">To evaluate pretreatment factors contributing to SVR12, univariate and multivariate analyses were performed in TVR and SMV groups including the following variables: age, gender, body mass index, </w:t>
      </w:r>
      <w:r w:rsidRPr="00042FE3">
        <w:rPr>
          <w:rFonts w:ascii="Book Antiqua" w:hAnsi="Book Antiqua"/>
          <w:i/>
          <w:iCs/>
          <w:sz w:val="24"/>
          <w:szCs w:val="24"/>
        </w:rPr>
        <w:t>IL28B</w:t>
      </w:r>
      <w:r w:rsidRPr="00042FE3">
        <w:rPr>
          <w:rFonts w:ascii="Book Antiqua" w:hAnsi="Book Antiqua"/>
          <w:sz w:val="24"/>
          <w:szCs w:val="24"/>
        </w:rPr>
        <w:t xml:space="preserve"> (rs8099917) genotype, viral load, leukocyte count, hemoglobin, and platelet counts (</w:t>
      </w:r>
      <w:r w:rsidRPr="00627B4F">
        <w:rPr>
          <w:rFonts w:ascii="Book Antiqua" w:hAnsi="Book Antiqua"/>
          <w:sz w:val="24"/>
          <w:szCs w:val="24"/>
        </w:rPr>
        <w:t>Table</w:t>
      </w:r>
      <w:r w:rsidR="008D2F16">
        <w:rPr>
          <w:rFonts w:ascii="Book Antiqua" w:hAnsi="Book Antiqua"/>
          <w:sz w:val="24"/>
          <w:szCs w:val="24"/>
        </w:rPr>
        <w:t xml:space="preserve"> 2</w:t>
      </w:r>
      <w:r w:rsidRPr="00042FE3">
        <w:rPr>
          <w:rFonts w:ascii="Book Antiqua" w:hAnsi="Book Antiqua"/>
          <w:sz w:val="24"/>
          <w:szCs w:val="24"/>
        </w:rPr>
        <w:t xml:space="preserve">). In the TVR group, </w:t>
      </w:r>
      <w:r w:rsidRPr="00042FE3">
        <w:rPr>
          <w:rFonts w:ascii="Book Antiqua" w:hAnsi="Book Antiqua"/>
          <w:i/>
          <w:iCs/>
          <w:sz w:val="24"/>
          <w:szCs w:val="24"/>
        </w:rPr>
        <w:t xml:space="preserve">IL28B </w:t>
      </w:r>
      <w:r w:rsidRPr="00042FE3">
        <w:rPr>
          <w:rFonts w:ascii="Book Antiqua" w:hAnsi="Book Antiqua"/>
          <w:sz w:val="24"/>
          <w:szCs w:val="24"/>
        </w:rPr>
        <w:t xml:space="preserve">genotypes significantly correlated with SVR12 according to univariate analysis. In multivariable logistic regression analysis, </w:t>
      </w:r>
      <w:r w:rsidRPr="00042FE3">
        <w:rPr>
          <w:rFonts w:ascii="Book Antiqua" w:hAnsi="Book Antiqua"/>
          <w:i/>
          <w:iCs/>
          <w:sz w:val="24"/>
          <w:szCs w:val="24"/>
        </w:rPr>
        <w:t>IL28B</w:t>
      </w:r>
      <w:r w:rsidRPr="00042FE3">
        <w:rPr>
          <w:rFonts w:ascii="Book Antiqua" w:hAnsi="Book Antiqua"/>
          <w:sz w:val="24"/>
          <w:szCs w:val="24"/>
        </w:rPr>
        <w:t xml:space="preserve"> genotype was found to be a significant independent predictor of SVR12 </w:t>
      </w:r>
      <w:r w:rsidRPr="00042FE3">
        <w:rPr>
          <w:rFonts w:ascii="Book Antiqua" w:hAnsi="Book Antiqua"/>
          <w:color w:val="000000" w:themeColor="text1"/>
          <w:sz w:val="24"/>
          <w:szCs w:val="24"/>
        </w:rPr>
        <w:t>(</w:t>
      </w:r>
      <w:r w:rsidR="00BC68A1">
        <w:rPr>
          <w:rFonts w:ascii="Book Antiqua" w:hAnsi="Book Antiqua" w:hint="eastAsia"/>
          <w:color w:val="000000" w:themeColor="text1"/>
          <w:sz w:val="24"/>
          <w:szCs w:val="24"/>
          <w:lang w:eastAsia="zh-CN"/>
        </w:rPr>
        <w:t>OR =</w:t>
      </w:r>
      <w:r w:rsidR="00BC68A1">
        <w:rPr>
          <w:rFonts w:ascii="Book Antiqua" w:hAnsi="Book Antiqua"/>
          <w:color w:val="000000" w:themeColor="text1"/>
          <w:sz w:val="24"/>
          <w:szCs w:val="24"/>
        </w:rPr>
        <w:t xml:space="preserve"> 4.316; 95%</w:t>
      </w:r>
      <w:r w:rsidRPr="00042FE3">
        <w:rPr>
          <w:rFonts w:ascii="Book Antiqua" w:hAnsi="Book Antiqua"/>
          <w:color w:val="000000" w:themeColor="text1"/>
          <w:sz w:val="24"/>
          <w:szCs w:val="24"/>
        </w:rPr>
        <w:t>CI</w:t>
      </w:r>
      <w:r w:rsidR="00BC68A1">
        <w:rPr>
          <w:rFonts w:ascii="Book Antiqua" w:hAnsi="Book Antiqua" w:hint="eastAsia"/>
          <w:color w:val="000000" w:themeColor="text1"/>
          <w:sz w:val="24"/>
          <w:szCs w:val="24"/>
          <w:lang w:eastAsia="zh-CN"/>
        </w:rPr>
        <w:t>:</w:t>
      </w:r>
      <w:r w:rsidRPr="00042FE3">
        <w:rPr>
          <w:rFonts w:ascii="Book Antiqua" w:hAnsi="Book Antiqua"/>
          <w:color w:val="000000" w:themeColor="text1"/>
          <w:sz w:val="24"/>
          <w:szCs w:val="24"/>
        </w:rPr>
        <w:t xml:space="preserve"> 1.804</w:t>
      </w:r>
      <w:r w:rsidRPr="00627B4F">
        <w:rPr>
          <w:rFonts w:ascii="Times New Roman" w:hAnsi="Times New Roman" w:cs="Times New Roman"/>
          <w:color w:val="000000" w:themeColor="text1"/>
          <w:sz w:val="24"/>
          <w:szCs w:val="24"/>
        </w:rPr>
        <w:t>‒</w:t>
      </w:r>
      <w:r w:rsidRPr="00042FE3">
        <w:rPr>
          <w:rFonts w:ascii="Book Antiqua" w:hAnsi="Book Antiqua"/>
          <w:color w:val="000000" w:themeColor="text1"/>
          <w:sz w:val="24"/>
          <w:szCs w:val="24"/>
        </w:rPr>
        <w:t>10.327</w:t>
      </w:r>
      <w:r w:rsidR="00BC68A1">
        <w:rPr>
          <w:rFonts w:ascii="Book Antiqua" w:hAnsi="Book Antiqua" w:hint="eastAsia"/>
          <w:color w:val="000000" w:themeColor="text1"/>
          <w:sz w:val="24"/>
          <w:szCs w:val="24"/>
          <w:lang w:eastAsia="zh-CN"/>
        </w:rPr>
        <w:t xml:space="preserve">, </w:t>
      </w:r>
      <w:r w:rsidRPr="00042FE3">
        <w:rPr>
          <w:rFonts w:ascii="Book Antiqua" w:hAnsi="Book Antiqua"/>
          <w:i/>
          <w:color w:val="000000" w:themeColor="text1"/>
          <w:sz w:val="24"/>
          <w:szCs w:val="24"/>
        </w:rPr>
        <w:t>P</w:t>
      </w:r>
      <w:r w:rsidRPr="00042FE3">
        <w:rPr>
          <w:rFonts w:ascii="Book Antiqua" w:hAnsi="Book Antiqua"/>
          <w:color w:val="000000" w:themeColor="text1"/>
          <w:sz w:val="24"/>
          <w:szCs w:val="24"/>
        </w:rPr>
        <w:t xml:space="preserve"> = 0.001). In the SMV group, age and </w:t>
      </w:r>
      <w:r w:rsidRPr="00042FE3">
        <w:rPr>
          <w:rFonts w:ascii="Book Antiqua" w:hAnsi="Book Antiqua"/>
          <w:i/>
          <w:iCs/>
          <w:color w:val="000000" w:themeColor="text1"/>
          <w:sz w:val="24"/>
          <w:szCs w:val="24"/>
        </w:rPr>
        <w:t>IL28B</w:t>
      </w:r>
      <w:r w:rsidRPr="00042FE3">
        <w:rPr>
          <w:rFonts w:ascii="Book Antiqua" w:hAnsi="Book Antiqua"/>
          <w:color w:val="000000" w:themeColor="text1"/>
          <w:sz w:val="24"/>
          <w:szCs w:val="24"/>
        </w:rPr>
        <w:t xml:space="preserve"> genotype </w:t>
      </w:r>
      <w:r w:rsidRPr="00042FE3">
        <w:rPr>
          <w:rFonts w:ascii="Book Antiqua" w:hAnsi="Book Antiqua"/>
          <w:color w:val="000000" w:themeColor="text1"/>
          <w:sz w:val="24"/>
          <w:szCs w:val="24"/>
        </w:rPr>
        <w:lastRenderedPageBreak/>
        <w:t xml:space="preserve">significantly correlated with SVR12 according to univariate analysis. In multivariable logistic regression analysis, significant independent predictors of SVR were </w:t>
      </w:r>
      <w:r w:rsidRPr="00042FE3">
        <w:rPr>
          <w:rFonts w:ascii="Book Antiqua" w:hAnsi="Book Antiqua"/>
          <w:i/>
          <w:iCs/>
          <w:color w:val="000000" w:themeColor="text1"/>
          <w:sz w:val="24"/>
          <w:szCs w:val="24"/>
        </w:rPr>
        <w:t>IL28B</w:t>
      </w:r>
      <w:r w:rsidRPr="00042FE3">
        <w:rPr>
          <w:rFonts w:ascii="Book Antiqua" w:hAnsi="Book Antiqua"/>
          <w:color w:val="000000" w:themeColor="text1"/>
          <w:sz w:val="24"/>
          <w:szCs w:val="24"/>
        </w:rPr>
        <w:t xml:space="preserve"> genotype (</w:t>
      </w:r>
      <w:r w:rsidR="00BC68A1">
        <w:rPr>
          <w:rFonts w:ascii="Book Antiqua" w:hAnsi="Book Antiqua" w:hint="eastAsia"/>
          <w:color w:val="000000" w:themeColor="text1"/>
          <w:sz w:val="24"/>
          <w:szCs w:val="24"/>
          <w:lang w:eastAsia="zh-CN"/>
        </w:rPr>
        <w:t>OR =</w:t>
      </w:r>
      <w:r w:rsidR="00BC68A1">
        <w:rPr>
          <w:rFonts w:ascii="Book Antiqua" w:hAnsi="Book Antiqua"/>
          <w:color w:val="000000" w:themeColor="text1"/>
          <w:sz w:val="24"/>
          <w:szCs w:val="24"/>
        </w:rPr>
        <w:t xml:space="preserve"> 8.598; 95%</w:t>
      </w:r>
      <w:r w:rsidRPr="00042FE3">
        <w:rPr>
          <w:rFonts w:ascii="Book Antiqua" w:hAnsi="Book Antiqua"/>
          <w:color w:val="000000" w:themeColor="text1"/>
          <w:sz w:val="24"/>
          <w:szCs w:val="24"/>
        </w:rPr>
        <w:t>CI</w:t>
      </w:r>
      <w:r w:rsidR="00BC68A1">
        <w:rPr>
          <w:rFonts w:ascii="Book Antiqua" w:hAnsi="Book Antiqua" w:hint="eastAsia"/>
          <w:color w:val="000000" w:themeColor="text1"/>
          <w:sz w:val="24"/>
          <w:szCs w:val="24"/>
          <w:lang w:eastAsia="zh-CN"/>
        </w:rPr>
        <w:t>:</w:t>
      </w:r>
      <w:r w:rsidRPr="00042FE3">
        <w:rPr>
          <w:rFonts w:ascii="Book Antiqua" w:hAnsi="Book Antiqua"/>
          <w:color w:val="000000" w:themeColor="text1"/>
          <w:sz w:val="24"/>
          <w:szCs w:val="24"/>
        </w:rPr>
        <w:t xml:space="preserve"> 3.388</w:t>
      </w:r>
      <w:r w:rsidRPr="00042FE3">
        <w:rPr>
          <w:rFonts w:ascii="Times New Roman" w:hAnsi="Times New Roman" w:cs="Times New Roman"/>
          <w:color w:val="000000" w:themeColor="text1"/>
          <w:sz w:val="24"/>
          <w:szCs w:val="24"/>
        </w:rPr>
        <w:t>‒</w:t>
      </w:r>
      <w:r w:rsidRPr="00042FE3">
        <w:rPr>
          <w:rFonts w:ascii="Book Antiqua" w:hAnsi="Book Antiqua"/>
          <w:color w:val="000000" w:themeColor="text1"/>
          <w:sz w:val="24"/>
          <w:szCs w:val="24"/>
        </w:rPr>
        <w:t xml:space="preserve">21.817; </w:t>
      </w:r>
      <w:r w:rsidRPr="00042FE3">
        <w:rPr>
          <w:rFonts w:ascii="Book Antiqua" w:hAnsi="Book Antiqua"/>
          <w:i/>
          <w:color w:val="000000" w:themeColor="text1"/>
          <w:sz w:val="24"/>
          <w:szCs w:val="24"/>
        </w:rPr>
        <w:t>P</w:t>
      </w:r>
      <w:r w:rsidRPr="00042FE3">
        <w:rPr>
          <w:rFonts w:ascii="Book Antiqua" w:hAnsi="Book Antiqua"/>
          <w:color w:val="000000" w:themeColor="text1"/>
          <w:sz w:val="24"/>
          <w:szCs w:val="24"/>
        </w:rPr>
        <w:t xml:space="preserve"> &lt; 0.001), age (</w:t>
      </w:r>
      <w:r w:rsidR="00BC68A1">
        <w:rPr>
          <w:rFonts w:ascii="Book Antiqua" w:hAnsi="Book Antiqua" w:hint="eastAsia"/>
          <w:color w:val="000000" w:themeColor="text1"/>
          <w:sz w:val="24"/>
          <w:szCs w:val="24"/>
          <w:lang w:eastAsia="zh-CN"/>
        </w:rPr>
        <w:t xml:space="preserve">OR = </w:t>
      </w:r>
      <w:r w:rsidRPr="00042FE3">
        <w:rPr>
          <w:rFonts w:ascii="Book Antiqua" w:hAnsi="Book Antiqua"/>
          <w:color w:val="000000" w:themeColor="text1"/>
          <w:sz w:val="24"/>
          <w:szCs w:val="24"/>
        </w:rPr>
        <w:t>0.933; 95%CI</w:t>
      </w:r>
      <w:r w:rsidR="00BC68A1">
        <w:rPr>
          <w:rFonts w:ascii="Book Antiqua" w:hAnsi="Book Antiqua" w:hint="eastAsia"/>
          <w:color w:val="000000" w:themeColor="text1"/>
          <w:sz w:val="24"/>
          <w:szCs w:val="24"/>
          <w:lang w:eastAsia="zh-CN"/>
        </w:rPr>
        <w:t>:</w:t>
      </w:r>
      <w:r w:rsidRPr="00042FE3">
        <w:rPr>
          <w:rFonts w:ascii="Book Antiqua" w:hAnsi="Book Antiqua"/>
          <w:color w:val="000000" w:themeColor="text1"/>
          <w:sz w:val="24"/>
          <w:szCs w:val="24"/>
        </w:rPr>
        <w:t xml:space="preserve"> 0.889</w:t>
      </w:r>
      <w:r w:rsidR="00BC68A1">
        <w:rPr>
          <w:rFonts w:ascii="Times New Roman" w:hAnsi="Times New Roman" w:cs="Times New Roman" w:hint="eastAsia"/>
          <w:color w:val="000000" w:themeColor="text1"/>
          <w:sz w:val="24"/>
          <w:szCs w:val="24"/>
          <w:lang w:eastAsia="zh-CN"/>
        </w:rPr>
        <w:t>-</w:t>
      </w:r>
      <w:r w:rsidRPr="00042FE3">
        <w:rPr>
          <w:rFonts w:ascii="Book Antiqua" w:hAnsi="Book Antiqua"/>
          <w:color w:val="000000" w:themeColor="text1"/>
          <w:sz w:val="24"/>
          <w:szCs w:val="24"/>
        </w:rPr>
        <w:t xml:space="preserve">0.980; </w:t>
      </w:r>
      <w:r w:rsidRPr="00042FE3">
        <w:rPr>
          <w:rFonts w:ascii="Book Antiqua" w:hAnsi="Book Antiqua"/>
          <w:i/>
          <w:color w:val="000000" w:themeColor="text1"/>
          <w:sz w:val="24"/>
          <w:szCs w:val="24"/>
        </w:rPr>
        <w:t>P</w:t>
      </w:r>
      <w:r w:rsidRPr="00042FE3">
        <w:rPr>
          <w:rFonts w:ascii="Book Antiqua" w:hAnsi="Book Antiqua"/>
          <w:color w:val="000000" w:themeColor="text1"/>
          <w:sz w:val="24"/>
          <w:szCs w:val="24"/>
        </w:rPr>
        <w:t xml:space="preserve"> = 0.006), and viral load (</w:t>
      </w:r>
      <w:r w:rsidR="00BC68A1">
        <w:rPr>
          <w:rFonts w:ascii="Book Antiqua" w:hAnsi="Book Antiqua" w:hint="eastAsia"/>
          <w:color w:val="000000" w:themeColor="text1"/>
          <w:sz w:val="24"/>
          <w:szCs w:val="24"/>
          <w:lang w:eastAsia="zh-CN"/>
        </w:rPr>
        <w:t>OR =</w:t>
      </w:r>
      <w:r w:rsidRPr="00042FE3">
        <w:rPr>
          <w:rFonts w:ascii="Book Antiqua" w:hAnsi="Book Antiqua"/>
          <w:color w:val="000000" w:themeColor="text1"/>
          <w:sz w:val="24"/>
          <w:szCs w:val="24"/>
        </w:rPr>
        <w:t xml:space="preserve"> 0.335; 95%CI</w:t>
      </w:r>
      <w:r w:rsidR="00BC68A1">
        <w:rPr>
          <w:rFonts w:ascii="Book Antiqua" w:hAnsi="Book Antiqua" w:hint="eastAsia"/>
          <w:color w:val="000000" w:themeColor="text1"/>
          <w:sz w:val="24"/>
          <w:szCs w:val="24"/>
          <w:lang w:eastAsia="zh-CN"/>
        </w:rPr>
        <w:t>:</w:t>
      </w:r>
      <w:r w:rsidRPr="00042FE3">
        <w:rPr>
          <w:rFonts w:ascii="Book Antiqua" w:hAnsi="Book Antiqua"/>
          <w:color w:val="000000" w:themeColor="text1"/>
          <w:sz w:val="24"/>
          <w:szCs w:val="24"/>
        </w:rPr>
        <w:t xml:space="preserve"> 0.157</w:t>
      </w:r>
      <w:r w:rsidRPr="00042FE3">
        <w:rPr>
          <w:rFonts w:ascii="Times New Roman" w:hAnsi="Times New Roman" w:cs="Times New Roman"/>
          <w:color w:val="000000" w:themeColor="text1"/>
          <w:sz w:val="24"/>
          <w:szCs w:val="24"/>
        </w:rPr>
        <w:t>‒</w:t>
      </w:r>
      <w:r w:rsidRPr="00042FE3">
        <w:rPr>
          <w:rFonts w:ascii="Book Antiqua" w:hAnsi="Book Antiqua"/>
          <w:color w:val="000000" w:themeColor="text1"/>
          <w:sz w:val="24"/>
          <w:szCs w:val="24"/>
        </w:rPr>
        <w:t>0.715</w:t>
      </w:r>
      <w:r w:rsidR="00BC68A1">
        <w:rPr>
          <w:rFonts w:ascii="Book Antiqua" w:hAnsi="Book Antiqua" w:hint="eastAsia"/>
          <w:color w:val="000000" w:themeColor="text1"/>
          <w:sz w:val="24"/>
          <w:szCs w:val="24"/>
          <w:lang w:eastAsia="zh-CN"/>
        </w:rPr>
        <w:t>,</w:t>
      </w:r>
      <w:r w:rsidRPr="00042FE3">
        <w:rPr>
          <w:rFonts w:ascii="Book Antiqua" w:hAnsi="Book Antiqua"/>
          <w:color w:val="000000" w:themeColor="text1"/>
          <w:sz w:val="24"/>
          <w:szCs w:val="24"/>
        </w:rPr>
        <w:t xml:space="preserve"> </w:t>
      </w:r>
      <w:r w:rsidRPr="00BC68A1">
        <w:rPr>
          <w:rFonts w:ascii="Book Antiqua" w:hAnsi="Book Antiqua"/>
          <w:i/>
          <w:color w:val="000000" w:themeColor="text1"/>
          <w:sz w:val="24"/>
          <w:szCs w:val="24"/>
        </w:rPr>
        <w:t>P</w:t>
      </w:r>
      <w:r w:rsidRPr="00042FE3">
        <w:rPr>
          <w:rFonts w:ascii="Book Antiqua" w:hAnsi="Book Antiqua"/>
          <w:color w:val="000000" w:themeColor="text1"/>
          <w:sz w:val="24"/>
          <w:szCs w:val="24"/>
        </w:rPr>
        <w:t xml:space="preserve"> = 0.005). Propensity score matching analysis was subsequently performed to reduce bias caused by differing baseline patient characteristics between TVR and SMV groups (</w:t>
      </w:r>
      <w:r w:rsidRPr="00627B4F">
        <w:rPr>
          <w:rFonts w:ascii="Book Antiqua" w:hAnsi="Book Antiqua"/>
          <w:color w:val="000000" w:themeColor="text1"/>
          <w:sz w:val="24"/>
          <w:szCs w:val="24"/>
        </w:rPr>
        <w:t>Table</w:t>
      </w:r>
      <w:r w:rsidR="00BC68A1">
        <w:rPr>
          <w:rFonts w:ascii="Book Antiqua" w:hAnsi="Book Antiqua" w:hint="eastAsia"/>
          <w:color w:val="000000" w:themeColor="text1"/>
          <w:sz w:val="24"/>
          <w:szCs w:val="24"/>
          <w:lang w:eastAsia="zh-CN"/>
        </w:rPr>
        <w:t>s</w:t>
      </w:r>
      <w:r w:rsidRPr="00042FE3">
        <w:rPr>
          <w:rFonts w:ascii="Book Antiqua" w:hAnsi="Book Antiqua"/>
          <w:color w:val="000000" w:themeColor="text1"/>
          <w:sz w:val="24"/>
          <w:szCs w:val="24"/>
        </w:rPr>
        <w:t xml:space="preserve"> 1</w:t>
      </w:r>
      <w:r w:rsidR="00BC68A1">
        <w:rPr>
          <w:rFonts w:ascii="Book Antiqua" w:hAnsi="Book Antiqua" w:hint="eastAsia"/>
          <w:color w:val="000000" w:themeColor="text1"/>
          <w:sz w:val="24"/>
          <w:szCs w:val="24"/>
          <w:lang w:eastAsia="zh-CN"/>
        </w:rPr>
        <w:t xml:space="preserve"> and</w:t>
      </w:r>
      <w:r w:rsidRPr="00042FE3">
        <w:rPr>
          <w:rFonts w:ascii="Book Antiqua" w:hAnsi="Book Antiqua"/>
          <w:color w:val="000000" w:themeColor="text1"/>
          <w:sz w:val="24"/>
          <w:szCs w:val="24"/>
        </w:rPr>
        <w:t xml:space="preserve"> 2, </w:t>
      </w:r>
      <w:r w:rsidR="002C5BAD" w:rsidRPr="00042FE3">
        <w:rPr>
          <w:rFonts w:ascii="Book Antiqua" w:hAnsi="Book Antiqua"/>
          <w:color w:val="000000" w:themeColor="text1"/>
          <w:sz w:val="24"/>
          <w:szCs w:val="24"/>
        </w:rPr>
        <w:t xml:space="preserve">Propensity score </w:t>
      </w:r>
      <w:r w:rsidRPr="00042FE3">
        <w:rPr>
          <w:rFonts w:ascii="Book Antiqua" w:hAnsi="Book Antiqua"/>
          <w:color w:val="000000" w:themeColor="text1"/>
          <w:sz w:val="24"/>
          <w:szCs w:val="24"/>
        </w:rPr>
        <w:t>matched patients). Following one-to-one matching of the two groups according to propensity score, 104 patients from the TVR group and 104 patients from the SMV group were matched according to baseline characteristics (</w:t>
      </w:r>
      <w:r w:rsidR="00BC68A1" w:rsidRPr="00627B4F">
        <w:rPr>
          <w:rFonts w:ascii="Book Antiqua" w:hAnsi="Book Antiqua"/>
          <w:color w:val="000000" w:themeColor="text1"/>
          <w:sz w:val="24"/>
          <w:szCs w:val="24"/>
        </w:rPr>
        <w:t>Table</w:t>
      </w:r>
      <w:r w:rsidR="00BC68A1">
        <w:rPr>
          <w:rFonts w:ascii="Book Antiqua" w:hAnsi="Book Antiqua" w:hint="eastAsia"/>
          <w:color w:val="000000" w:themeColor="text1"/>
          <w:sz w:val="24"/>
          <w:szCs w:val="24"/>
          <w:lang w:eastAsia="zh-CN"/>
        </w:rPr>
        <w:t>s</w:t>
      </w:r>
      <w:r w:rsidR="00BC68A1" w:rsidRPr="00042FE3">
        <w:rPr>
          <w:rFonts w:ascii="Book Antiqua" w:hAnsi="Book Antiqua"/>
          <w:color w:val="000000" w:themeColor="text1"/>
          <w:sz w:val="24"/>
          <w:szCs w:val="24"/>
        </w:rPr>
        <w:t xml:space="preserve"> 1</w:t>
      </w:r>
      <w:r w:rsidR="00BC68A1">
        <w:rPr>
          <w:rFonts w:ascii="Book Antiqua" w:hAnsi="Book Antiqua" w:hint="eastAsia"/>
          <w:color w:val="000000" w:themeColor="text1"/>
          <w:sz w:val="24"/>
          <w:szCs w:val="24"/>
          <w:lang w:eastAsia="zh-CN"/>
        </w:rPr>
        <w:t xml:space="preserve"> and</w:t>
      </w:r>
      <w:r w:rsidR="008D2F16">
        <w:rPr>
          <w:rFonts w:ascii="Book Antiqua" w:hAnsi="Book Antiqua"/>
          <w:color w:val="000000" w:themeColor="text1"/>
          <w:sz w:val="24"/>
          <w:szCs w:val="24"/>
        </w:rPr>
        <w:t xml:space="preserve"> 2</w:t>
      </w:r>
      <w:r w:rsidRPr="00042FE3">
        <w:rPr>
          <w:rFonts w:ascii="Book Antiqua" w:hAnsi="Book Antiqua"/>
          <w:color w:val="000000" w:themeColor="text1"/>
          <w:sz w:val="24"/>
          <w:szCs w:val="24"/>
        </w:rPr>
        <w:t xml:space="preserve">). </w:t>
      </w:r>
      <w:r w:rsidR="009D265F" w:rsidRPr="00042FE3">
        <w:rPr>
          <w:rFonts w:ascii="Book Antiqua" w:hAnsi="Book Antiqua"/>
          <w:color w:val="000000" w:themeColor="text1"/>
          <w:sz w:val="24"/>
          <w:szCs w:val="24"/>
        </w:rPr>
        <w:t>M</w:t>
      </w:r>
      <w:r w:rsidRPr="00042FE3">
        <w:rPr>
          <w:rFonts w:ascii="Book Antiqua" w:hAnsi="Book Antiqua"/>
          <w:color w:val="000000" w:themeColor="text1"/>
          <w:sz w:val="24"/>
          <w:szCs w:val="24"/>
        </w:rPr>
        <w:t>ajority of covariates were statistically similar between the two groups (</w:t>
      </w:r>
      <w:r w:rsidRPr="00627B4F">
        <w:rPr>
          <w:rFonts w:ascii="Book Antiqua" w:hAnsi="Book Antiqua"/>
          <w:color w:val="000000" w:themeColor="text1"/>
          <w:sz w:val="24"/>
          <w:szCs w:val="24"/>
        </w:rPr>
        <w:t>Table</w:t>
      </w:r>
      <w:r w:rsidRPr="00042FE3">
        <w:rPr>
          <w:rFonts w:ascii="Book Antiqua" w:hAnsi="Book Antiqua"/>
          <w:color w:val="000000" w:themeColor="text1"/>
          <w:sz w:val="24"/>
          <w:szCs w:val="24"/>
        </w:rPr>
        <w:t xml:space="preserve"> 1, </w:t>
      </w:r>
      <w:r w:rsidR="002C5BAD" w:rsidRPr="00042FE3">
        <w:rPr>
          <w:rFonts w:ascii="Book Antiqua" w:hAnsi="Book Antiqua"/>
          <w:color w:val="000000" w:themeColor="text1"/>
          <w:sz w:val="24"/>
          <w:szCs w:val="24"/>
        </w:rPr>
        <w:t xml:space="preserve">Propensity score </w:t>
      </w:r>
      <w:r w:rsidRPr="00042FE3">
        <w:rPr>
          <w:rFonts w:ascii="Book Antiqua" w:hAnsi="Book Antiqua"/>
          <w:color w:val="000000" w:themeColor="text1"/>
          <w:sz w:val="24"/>
          <w:szCs w:val="24"/>
        </w:rPr>
        <w:t xml:space="preserve">matched patients). Multivariable logistic regression analysis demonstrated that </w:t>
      </w:r>
      <w:r w:rsidRPr="00042FE3">
        <w:rPr>
          <w:rFonts w:ascii="Book Antiqua" w:hAnsi="Book Antiqua"/>
          <w:i/>
          <w:iCs/>
          <w:color w:val="000000" w:themeColor="text1"/>
          <w:sz w:val="24"/>
          <w:szCs w:val="24"/>
        </w:rPr>
        <w:t xml:space="preserve">IL28B </w:t>
      </w:r>
      <w:r w:rsidRPr="00042FE3">
        <w:rPr>
          <w:rFonts w:ascii="Book Antiqua" w:hAnsi="Book Antiqua"/>
          <w:color w:val="000000" w:themeColor="text1"/>
          <w:sz w:val="24"/>
          <w:szCs w:val="24"/>
        </w:rPr>
        <w:t xml:space="preserve">genotype significantly associated with SVR12 in both groups (TVR: </w:t>
      </w:r>
      <w:r w:rsidR="00BC68A1">
        <w:rPr>
          <w:rFonts w:ascii="Book Antiqua" w:hAnsi="Book Antiqua" w:hint="eastAsia"/>
          <w:color w:val="000000" w:themeColor="text1"/>
          <w:sz w:val="24"/>
          <w:szCs w:val="24"/>
          <w:lang w:eastAsia="zh-CN"/>
        </w:rPr>
        <w:t>OR =</w:t>
      </w:r>
      <w:r w:rsidR="00BC68A1">
        <w:rPr>
          <w:rFonts w:ascii="Book Antiqua" w:hAnsi="Book Antiqua"/>
          <w:color w:val="000000" w:themeColor="text1"/>
          <w:sz w:val="24"/>
          <w:szCs w:val="24"/>
        </w:rPr>
        <w:t xml:space="preserve"> 7.739; 95%</w:t>
      </w:r>
      <w:r w:rsidRPr="00042FE3">
        <w:rPr>
          <w:rFonts w:ascii="Book Antiqua" w:hAnsi="Book Antiqua"/>
          <w:color w:val="000000" w:themeColor="text1"/>
          <w:sz w:val="24"/>
          <w:szCs w:val="24"/>
        </w:rPr>
        <w:t>CI</w:t>
      </w:r>
      <w:r w:rsidR="00BC68A1">
        <w:rPr>
          <w:rFonts w:ascii="Book Antiqua" w:hAnsi="Book Antiqua" w:hint="eastAsia"/>
          <w:color w:val="000000" w:themeColor="text1"/>
          <w:sz w:val="24"/>
          <w:szCs w:val="24"/>
          <w:lang w:eastAsia="zh-CN"/>
        </w:rPr>
        <w:t>:</w:t>
      </w:r>
      <w:r w:rsidRPr="00042FE3">
        <w:rPr>
          <w:rFonts w:ascii="Book Antiqua" w:hAnsi="Book Antiqua"/>
          <w:color w:val="000000" w:themeColor="text1"/>
          <w:sz w:val="24"/>
          <w:szCs w:val="24"/>
        </w:rPr>
        <w:t xml:space="preserve"> 2.111</w:t>
      </w:r>
      <w:r w:rsidRPr="00042FE3">
        <w:rPr>
          <w:rFonts w:ascii="Times New Roman" w:hAnsi="Times New Roman" w:cs="Times New Roman"/>
          <w:color w:val="000000" w:themeColor="text1"/>
          <w:sz w:val="24"/>
          <w:szCs w:val="24"/>
        </w:rPr>
        <w:t>‒</w:t>
      </w:r>
      <w:r w:rsidRPr="00042FE3">
        <w:rPr>
          <w:rFonts w:ascii="Book Antiqua" w:hAnsi="Book Antiqua"/>
          <w:color w:val="000000" w:themeColor="text1"/>
          <w:sz w:val="24"/>
          <w:szCs w:val="24"/>
        </w:rPr>
        <w:t>28.375</w:t>
      </w:r>
      <w:r w:rsidR="00BC68A1">
        <w:rPr>
          <w:rFonts w:ascii="Book Antiqua" w:hAnsi="Book Antiqua" w:hint="eastAsia"/>
          <w:color w:val="000000" w:themeColor="text1"/>
          <w:sz w:val="24"/>
          <w:szCs w:val="24"/>
          <w:lang w:eastAsia="zh-CN"/>
        </w:rPr>
        <w:t xml:space="preserve">, </w:t>
      </w:r>
      <w:r w:rsidRPr="00042FE3">
        <w:rPr>
          <w:rFonts w:ascii="Book Antiqua" w:hAnsi="Book Antiqua"/>
          <w:i/>
          <w:color w:val="000000" w:themeColor="text1"/>
          <w:sz w:val="24"/>
          <w:szCs w:val="24"/>
        </w:rPr>
        <w:t>P</w:t>
      </w:r>
      <w:r w:rsidRPr="00042FE3">
        <w:rPr>
          <w:rFonts w:ascii="Book Antiqua" w:hAnsi="Book Antiqua"/>
          <w:color w:val="000000" w:themeColor="text1"/>
          <w:sz w:val="24"/>
          <w:szCs w:val="24"/>
        </w:rPr>
        <w:t xml:space="preserve"> = 0.002; and SMV: </w:t>
      </w:r>
      <w:r w:rsidR="00BC68A1">
        <w:rPr>
          <w:rFonts w:ascii="Book Antiqua" w:hAnsi="Book Antiqua" w:hint="eastAsia"/>
          <w:color w:val="000000" w:themeColor="text1"/>
          <w:sz w:val="24"/>
          <w:szCs w:val="24"/>
          <w:lang w:eastAsia="zh-CN"/>
        </w:rPr>
        <w:t xml:space="preserve">OR = </w:t>
      </w:r>
      <w:r w:rsidR="00BC68A1">
        <w:rPr>
          <w:rFonts w:ascii="Book Antiqua" w:hAnsi="Book Antiqua"/>
          <w:color w:val="000000" w:themeColor="text1"/>
          <w:sz w:val="24"/>
          <w:szCs w:val="24"/>
        </w:rPr>
        <w:t>8.594; 95%</w:t>
      </w:r>
      <w:r w:rsidRPr="00042FE3">
        <w:rPr>
          <w:rFonts w:ascii="Book Antiqua" w:hAnsi="Book Antiqua"/>
          <w:color w:val="000000" w:themeColor="text1"/>
          <w:sz w:val="24"/>
          <w:szCs w:val="24"/>
        </w:rPr>
        <w:t>CI</w:t>
      </w:r>
      <w:r w:rsidR="00BC68A1">
        <w:rPr>
          <w:rFonts w:ascii="Book Antiqua" w:hAnsi="Book Antiqua" w:hint="eastAsia"/>
          <w:color w:val="000000" w:themeColor="text1"/>
          <w:sz w:val="24"/>
          <w:szCs w:val="24"/>
          <w:lang w:eastAsia="zh-CN"/>
        </w:rPr>
        <w:t>:</w:t>
      </w:r>
      <w:r w:rsidRPr="00042FE3">
        <w:rPr>
          <w:rFonts w:ascii="Book Antiqua" w:hAnsi="Book Antiqua"/>
          <w:color w:val="000000" w:themeColor="text1"/>
          <w:sz w:val="24"/>
          <w:szCs w:val="24"/>
        </w:rPr>
        <w:t xml:space="preserve"> 2.777</w:t>
      </w:r>
      <w:r w:rsidRPr="00042FE3">
        <w:rPr>
          <w:rFonts w:ascii="Times New Roman" w:hAnsi="Times New Roman" w:cs="Times New Roman"/>
          <w:color w:val="000000" w:themeColor="text1"/>
          <w:sz w:val="24"/>
          <w:szCs w:val="24"/>
        </w:rPr>
        <w:t>‒</w:t>
      </w:r>
      <w:r w:rsidRPr="00042FE3">
        <w:rPr>
          <w:rFonts w:ascii="Book Antiqua" w:hAnsi="Book Antiqua"/>
          <w:color w:val="000000" w:themeColor="text1"/>
          <w:sz w:val="24"/>
          <w:szCs w:val="24"/>
        </w:rPr>
        <w:t>26.598</w:t>
      </w:r>
      <w:r w:rsidR="00BC68A1">
        <w:rPr>
          <w:rFonts w:ascii="Book Antiqua" w:hAnsi="Book Antiqua" w:hint="eastAsia"/>
          <w:color w:val="000000" w:themeColor="text1"/>
          <w:sz w:val="24"/>
          <w:szCs w:val="24"/>
          <w:lang w:eastAsia="zh-CN"/>
        </w:rPr>
        <w:t>,</w:t>
      </w:r>
      <w:r w:rsidRPr="00042FE3">
        <w:rPr>
          <w:rFonts w:ascii="Book Antiqua" w:hAnsi="Book Antiqua"/>
          <w:color w:val="000000" w:themeColor="text1"/>
          <w:sz w:val="24"/>
          <w:szCs w:val="24"/>
        </w:rPr>
        <w:t xml:space="preserve"> </w:t>
      </w:r>
      <w:r w:rsidRPr="00042FE3">
        <w:rPr>
          <w:rFonts w:ascii="Book Antiqua" w:hAnsi="Book Antiqua"/>
          <w:i/>
          <w:color w:val="000000" w:themeColor="text1"/>
          <w:sz w:val="24"/>
          <w:szCs w:val="24"/>
        </w:rPr>
        <w:t>P</w:t>
      </w:r>
      <w:r w:rsidRPr="00042FE3">
        <w:rPr>
          <w:rFonts w:ascii="Book Antiqua" w:hAnsi="Book Antiqua"/>
          <w:color w:val="000000" w:themeColor="text1"/>
          <w:sz w:val="24"/>
          <w:szCs w:val="24"/>
        </w:rPr>
        <w:t xml:space="preserve"> &lt; 0.001; </w:t>
      </w:r>
      <w:r w:rsidRPr="00627B4F">
        <w:rPr>
          <w:rFonts w:ascii="Book Antiqua" w:hAnsi="Book Antiqua"/>
          <w:color w:val="000000" w:themeColor="text1"/>
          <w:sz w:val="24"/>
          <w:szCs w:val="24"/>
        </w:rPr>
        <w:t>Table</w:t>
      </w:r>
      <w:r w:rsidRPr="00042FE3">
        <w:rPr>
          <w:rFonts w:ascii="Book Antiqua" w:hAnsi="Book Antiqua"/>
          <w:color w:val="000000" w:themeColor="text1"/>
          <w:sz w:val="24"/>
          <w:szCs w:val="24"/>
        </w:rPr>
        <w:t xml:space="preserve"> 2).</w:t>
      </w:r>
    </w:p>
    <w:p w14:paraId="2F8CD6CE" w14:textId="77777777" w:rsidR="00F1084D" w:rsidRPr="00042FE3" w:rsidRDefault="00F1084D" w:rsidP="004449A0">
      <w:pPr>
        <w:pStyle w:val="1"/>
        <w:spacing w:line="360" w:lineRule="auto"/>
        <w:ind w:firstLine="840"/>
        <w:rPr>
          <w:rFonts w:ascii="Book Antiqua" w:eastAsia="Times New Roman" w:hAnsi="Book Antiqua" w:cs="Times New Roman"/>
          <w:color w:val="000000" w:themeColor="text1"/>
          <w:sz w:val="24"/>
          <w:szCs w:val="24"/>
        </w:rPr>
      </w:pPr>
    </w:p>
    <w:p w14:paraId="31E7CB81" w14:textId="77777777" w:rsidR="007A4DA3" w:rsidRPr="00042FE3" w:rsidRDefault="007A4DA3" w:rsidP="004449A0">
      <w:pPr>
        <w:pStyle w:val="1"/>
        <w:spacing w:line="360" w:lineRule="auto"/>
        <w:rPr>
          <w:rFonts w:ascii="Book Antiqua" w:eastAsia="Times New Roman" w:hAnsi="Book Antiqua" w:cs="Times New Roman"/>
          <w:b/>
          <w:bCs/>
          <w:i/>
          <w:sz w:val="24"/>
          <w:szCs w:val="24"/>
        </w:rPr>
      </w:pPr>
      <w:proofErr w:type="spellStart"/>
      <w:r w:rsidRPr="00042FE3">
        <w:rPr>
          <w:rFonts w:ascii="Book Antiqua" w:hAnsi="Book Antiqua"/>
          <w:b/>
          <w:bCs/>
          <w:i/>
          <w:sz w:val="24"/>
          <w:szCs w:val="24"/>
        </w:rPr>
        <w:t>Virological</w:t>
      </w:r>
      <w:proofErr w:type="spellEnd"/>
      <w:r w:rsidRPr="00042FE3">
        <w:rPr>
          <w:rFonts w:ascii="Book Antiqua" w:hAnsi="Book Antiqua"/>
          <w:b/>
          <w:bCs/>
          <w:i/>
          <w:sz w:val="24"/>
          <w:szCs w:val="24"/>
        </w:rPr>
        <w:t xml:space="preserve"> response during treatment and SVR12 after propensity score matching</w:t>
      </w:r>
    </w:p>
    <w:p w14:paraId="2476E78F" w14:textId="42F62BED" w:rsidR="007A4DA3" w:rsidRPr="00042FE3" w:rsidRDefault="007A4DA3" w:rsidP="00BC68A1">
      <w:pPr>
        <w:pStyle w:val="1"/>
        <w:widowControl/>
        <w:spacing w:line="360" w:lineRule="auto"/>
        <w:rPr>
          <w:rFonts w:ascii="Book Antiqua" w:hAnsi="Book Antiqua"/>
          <w:sz w:val="24"/>
          <w:szCs w:val="24"/>
        </w:rPr>
      </w:pPr>
      <w:r w:rsidRPr="00042FE3">
        <w:rPr>
          <w:rFonts w:ascii="Book Antiqua" w:hAnsi="Book Antiqua"/>
          <w:sz w:val="24"/>
          <w:szCs w:val="24"/>
        </w:rPr>
        <w:t xml:space="preserve">Before adjustment, the proportion of patients achieving </w:t>
      </w:r>
      <w:proofErr w:type="spellStart"/>
      <w:r w:rsidRPr="00042FE3">
        <w:rPr>
          <w:rFonts w:ascii="Book Antiqua" w:hAnsi="Book Antiqua"/>
          <w:sz w:val="24"/>
          <w:szCs w:val="24"/>
        </w:rPr>
        <w:t>virological</w:t>
      </w:r>
      <w:proofErr w:type="spellEnd"/>
      <w:r w:rsidRPr="00042FE3">
        <w:rPr>
          <w:rFonts w:ascii="Book Antiqua" w:hAnsi="Book Antiqua"/>
          <w:sz w:val="24"/>
          <w:szCs w:val="24"/>
        </w:rPr>
        <w:t xml:space="preserve"> responses at 4 </w:t>
      </w:r>
      <w:proofErr w:type="spellStart"/>
      <w:r w:rsidR="008D2F16">
        <w:rPr>
          <w:rFonts w:ascii="Book Antiqua" w:hAnsi="Book Antiqua" w:hint="eastAsia"/>
          <w:sz w:val="24"/>
          <w:szCs w:val="24"/>
          <w:lang w:eastAsia="zh-CN"/>
        </w:rPr>
        <w:t>wk</w:t>
      </w:r>
      <w:proofErr w:type="spellEnd"/>
      <w:r w:rsidR="008D2F16" w:rsidRPr="00042FE3">
        <w:rPr>
          <w:rFonts w:ascii="Book Antiqua" w:hAnsi="Book Antiqua"/>
          <w:sz w:val="24"/>
          <w:szCs w:val="24"/>
        </w:rPr>
        <w:t xml:space="preserve"> </w:t>
      </w:r>
      <w:r w:rsidRPr="00042FE3">
        <w:rPr>
          <w:rFonts w:ascii="Book Antiqua" w:hAnsi="Book Antiqua"/>
          <w:sz w:val="24"/>
          <w:szCs w:val="24"/>
        </w:rPr>
        <w:t xml:space="preserve">and after 12 </w:t>
      </w:r>
      <w:proofErr w:type="spellStart"/>
      <w:r w:rsidR="00BC68A1">
        <w:rPr>
          <w:rFonts w:ascii="Book Antiqua" w:hAnsi="Book Antiqua" w:hint="eastAsia"/>
          <w:sz w:val="24"/>
          <w:szCs w:val="24"/>
          <w:lang w:eastAsia="zh-CN"/>
        </w:rPr>
        <w:t>wk</w:t>
      </w:r>
      <w:proofErr w:type="spellEnd"/>
      <w:r w:rsidRPr="00042FE3">
        <w:rPr>
          <w:rFonts w:ascii="Book Antiqua" w:hAnsi="Book Antiqua"/>
          <w:sz w:val="24"/>
          <w:szCs w:val="24"/>
        </w:rPr>
        <w:t xml:space="preserve"> treatment significantly differed between the TVR group and SMV group. In general, a greater proportion of patients in the TVR group had a </w:t>
      </w:r>
      <w:proofErr w:type="spellStart"/>
      <w:r w:rsidRPr="00042FE3">
        <w:rPr>
          <w:rFonts w:ascii="Book Antiqua" w:hAnsi="Book Antiqua"/>
          <w:sz w:val="24"/>
          <w:szCs w:val="24"/>
        </w:rPr>
        <w:t>virological</w:t>
      </w:r>
      <w:proofErr w:type="spellEnd"/>
      <w:r w:rsidRPr="00042FE3">
        <w:rPr>
          <w:rFonts w:ascii="Book Antiqua" w:hAnsi="Book Antiqua"/>
          <w:sz w:val="24"/>
          <w:szCs w:val="24"/>
        </w:rPr>
        <w:t xml:space="preserve"> response than </w:t>
      </w:r>
      <w:r w:rsidR="009D265F" w:rsidRPr="00042FE3">
        <w:rPr>
          <w:rFonts w:ascii="Book Antiqua" w:hAnsi="Book Antiqua"/>
          <w:sz w:val="24"/>
          <w:szCs w:val="24"/>
        </w:rPr>
        <w:t xml:space="preserve">that </w:t>
      </w:r>
      <w:r w:rsidRPr="00042FE3">
        <w:rPr>
          <w:rFonts w:ascii="Book Antiqua" w:hAnsi="Book Antiqua"/>
          <w:sz w:val="24"/>
          <w:szCs w:val="24"/>
        </w:rPr>
        <w:t>in the SMV group (</w:t>
      </w:r>
      <w:r w:rsidRPr="00627B4F">
        <w:rPr>
          <w:rFonts w:ascii="Book Antiqua" w:hAnsi="Book Antiqua"/>
          <w:sz w:val="24"/>
          <w:szCs w:val="24"/>
        </w:rPr>
        <w:t>Figure</w:t>
      </w:r>
      <w:r w:rsidRPr="00042FE3">
        <w:rPr>
          <w:rFonts w:ascii="Book Antiqua" w:hAnsi="Book Antiqua"/>
          <w:sz w:val="24"/>
          <w:szCs w:val="24"/>
        </w:rPr>
        <w:t xml:space="preserve"> 1</w:t>
      </w:r>
      <w:r w:rsidR="003F3E75" w:rsidRPr="00042FE3">
        <w:rPr>
          <w:rFonts w:ascii="Book Antiqua" w:hAnsi="Book Antiqua"/>
          <w:sz w:val="24"/>
          <w:szCs w:val="24"/>
        </w:rPr>
        <w:t>A</w:t>
      </w:r>
      <w:r w:rsidRPr="00042FE3">
        <w:rPr>
          <w:rFonts w:ascii="Book Antiqua" w:hAnsi="Book Antiqua"/>
          <w:sz w:val="24"/>
          <w:szCs w:val="24"/>
        </w:rPr>
        <w:t xml:space="preserve">). After one-to-one propensity score matching, the proportions of patients achieving a </w:t>
      </w:r>
      <w:proofErr w:type="spellStart"/>
      <w:r w:rsidRPr="00042FE3">
        <w:rPr>
          <w:rFonts w:ascii="Book Antiqua" w:hAnsi="Book Antiqua"/>
          <w:sz w:val="24"/>
          <w:szCs w:val="24"/>
        </w:rPr>
        <w:lastRenderedPageBreak/>
        <w:t>virological</w:t>
      </w:r>
      <w:proofErr w:type="spellEnd"/>
      <w:r w:rsidRPr="00042FE3">
        <w:rPr>
          <w:rFonts w:ascii="Book Antiqua" w:hAnsi="Book Antiqua"/>
          <w:sz w:val="24"/>
          <w:szCs w:val="24"/>
        </w:rPr>
        <w:t xml:space="preserve"> response during treatment and after 12 </w:t>
      </w:r>
      <w:proofErr w:type="spellStart"/>
      <w:r w:rsidR="00BC68A1">
        <w:rPr>
          <w:rFonts w:ascii="Book Antiqua" w:hAnsi="Book Antiqua" w:hint="eastAsia"/>
          <w:sz w:val="24"/>
          <w:szCs w:val="24"/>
          <w:lang w:eastAsia="zh-CN"/>
        </w:rPr>
        <w:t>wk</w:t>
      </w:r>
      <w:proofErr w:type="spellEnd"/>
      <w:r w:rsidRPr="00042FE3">
        <w:rPr>
          <w:rFonts w:ascii="Book Antiqua" w:hAnsi="Book Antiqua"/>
          <w:sz w:val="24"/>
          <w:szCs w:val="24"/>
        </w:rPr>
        <w:t xml:space="preserve"> treatment were similar between the two groups (SVR12: TVR, 74.0%; SMV, 73.1</w:t>
      </w:r>
      <w:r w:rsidR="003F3E75" w:rsidRPr="00042FE3">
        <w:rPr>
          <w:rFonts w:ascii="Book Antiqua" w:hAnsi="Book Antiqua"/>
          <w:sz w:val="24"/>
          <w:szCs w:val="24"/>
        </w:rPr>
        <w:t xml:space="preserve">%; </w:t>
      </w:r>
      <w:r w:rsidR="003F3E75" w:rsidRPr="00627B4F">
        <w:rPr>
          <w:rFonts w:ascii="Book Antiqua" w:hAnsi="Book Antiqua"/>
          <w:sz w:val="24"/>
          <w:szCs w:val="24"/>
        </w:rPr>
        <w:t>Figure</w:t>
      </w:r>
      <w:r w:rsidR="003F3E75" w:rsidRPr="00042FE3">
        <w:rPr>
          <w:rFonts w:ascii="Book Antiqua" w:hAnsi="Book Antiqua"/>
          <w:sz w:val="24"/>
          <w:szCs w:val="24"/>
        </w:rPr>
        <w:t xml:space="preserve"> 1 B</w:t>
      </w:r>
      <w:r w:rsidRPr="00042FE3">
        <w:rPr>
          <w:rFonts w:ascii="Book Antiqua" w:hAnsi="Book Antiqua"/>
          <w:sz w:val="24"/>
          <w:szCs w:val="24"/>
        </w:rPr>
        <w:t>).</w:t>
      </w:r>
    </w:p>
    <w:p w14:paraId="7ED0AE21" w14:textId="77777777" w:rsidR="00F1084D" w:rsidRPr="00BC68A1" w:rsidRDefault="00F1084D" w:rsidP="004449A0">
      <w:pPr>
        <w:pStyle w:val="1"/>
        <w:spacing w:line="360" w:lineRule="auto"/>
        <w:rPr>
          <w:rFonts w:ascii="Book Antiqua" w:hAnsi="Book Antiqua"/>
          <w:b/>
          <w:bCs/>
          <w:sz w:val="22"/>
          <w:szCs w:val="22"/>
        </w:rPr>
      </w:pPr>
    </w:p>
    <w:p w14:paraId="594FA72A" w14:textId="4928AACD" w:rsidR="007A4DA3" w:rsidRPr="00042FE3" w:rsidRDefault="007A4DA3" w:rsidP="004449A0">
      <w:pPr>
        <w:pStyle w:val="1"/>
        <w:spacing w:line="360" w:lineRule="auto"/>
        <w:rPr>
          <w:rFonts w:ascii="Book Antiqua" w:eastAsia="Times New Roman" w:hAnsi="Book Antiqua" w:cs="Times New Roman"/>
          <w:b/>
          <w:bCs/>
          <w:sz w:val="24"/>
          <w:szCs w:val="24"/>
        </w:rPr>
      </w:pPr>
      <w:r w:rsidRPr="00042FE3">
        <w:rPr>
          <w:rFonts w:ascii="Book Antiqua" w:hAnsi="Book Antiqua"/>
          <w:b/>
          <w:bCs/>
          <w:sz w:val="24"/>
          <w:szCs w:val="24"/>
        </w:rPr>
        <w:t>DISCUSSSION</w:t>
      </w:r>
    </w:p>
    <w:p w14:paraId="5FCCCFA5" w14:textId="64506B21" w:rsidR="007A4DA3" w:rsidRPr="00042FE3" w:rsidRDefault="007A4DA3" w:rsidP="004449A0">
      <w:pPr>
        <w:pStyle w:val="1"/>
        <w:spacing w:line="360" w:lineRule="auto"/>
        <w:rPr>
          <w:rFonts w:ascii="Book Antiqua" w:eastAsia="Times New Roman" w:hAnsi="Book Antiqua" w:cs="Times New Roman"/>
          <w:sz w:val="24"/>
          <w:szCs w:val="24"/>
        </w:rPr>
      </w:pPr>
      <w:r w:rsidRPr="00042FE3">
        <w:rPr>
          <w:rFonts w:ascii="Book Antiqua" w:eastAsia="Times New Roman" w:hAnsi="Book Antiqua" w:cs="Times New Roman"/>
          <w:sz w:val="24"/>
          <w:szCs w:val="24"/>
        </w:rPr>
        <w:t xml:space="preserve">In </w:t>
      </w:r>
      <w:r w:rsidRPr="00042FE3">
        <w:rPr>
          <w:rFonts w:ascii="Book Antiqua" w:hAnsi="Book Antiqua"/>
          <w:sz w:val="24"/>
          <w:szCs w:val="24"/>
        </w:rPr>
        <w:t xml:space="preserve">the present study, we evaluated and compared the efficacy of TVR and SMV in combination with PEG-IFN and RBV in the treatment of CHC patients in real-world clinical settings in Japan. Both regimens achieved higher SVR rates compared with </w:t>
      </w:r>
      <w:r w:rsidR="009D265F" w:rsidRPr="00042FE3">
        <w:rPr>
          <w:rFonts w:ascii="Book Antiqua" w:hAnsi="Book Antiqua"/>
          <w:sz w:val="24"/>
          <w:szCs w:val="24"/>
        </w:rPr>
        <w:t xml:space="preserve">that using </w:t>
      </w:r>
      <w:r w:rsidRPr="00042FE3">
        <w:rPr>
          <w:rFonts w:ascii="Book Antiqua" w:hAnsi="Book Antiqua"/>
          <w:sz w:val="24"/>
          <w:szCs w:val="24"/>
        </w:rPr>
        <w:t xml:space="preserve">the dual combination therapy with PEG-IFN and </w:t>
      </w:r>
      <w:proofErr w:type="gramStart"/>
      <w:r w:rsidRPr="00042FE3">
        <w:rPr>
          <w:rFonts w:ascii="Book Antiqua" w:hAnsi="Book Antiqua"/>
          <w:sz w:val="24"/>
          <w:szCs w:val="24"/>
        </w:rPr>
        <w:t>RBV</w:t>
      </w:r>
      <w:r w:rsidRPr="00042FE3">
        <w:rPr>
          <w:rFonts w:ascii="Book Antiqua" w:hAnsi="Book Antiqua"/>
          <w:sz w:val="24"/>
          <w:szCs w:val="24"/>
          <w:vertAlign w:val="superscript"/>
        </w:rPr>
        <w:t>[</w:t>
      </w:r>
      <w:proofErr w:type="gramEnd"/>
      <w:r w:rsidRPr="00042FE3">
        <w:rPr>
          <w:rFonts w:ascii="Book Antiqua" w:hAnsi="Book Antiqua"/>
          <w:sz w:val="24"/>
          <w:szCs w:val="24"/>
          <w:vertAlign w:val="superscript"/>
        </w:rPr>
        <w:t>6-1</w:t>
      </w:r>
      <w:r w:rsidRPr="00627B4F">
        <w:rPr>
          <w:rFonts w:ascii="Book Antiqua" w:hAnsi="Book Antiqua"/>
          <w:sz w:val="24"/>
          <w:szCs w:val="24"/>
          <w:vertAlign w:val="superscript"/>
        </w:rPr>
        <w:t>0</w:t>
      </w:r>
      <w:r w:rsidR="00BC68A1">
        <w:rPr>
          <w:rFonts w:ascii="Book Antiqua" w:hAnsi="Book Antiqua"/>
          <w:sz w:val="24"/>
          <w:szCs w:val="24"/>
          <w:vertAlign w:val="superscript"/>
        </w:rPr>
        <w:t>,</w:t>
      </w:r>
      <w:r w:rsidRPr="00042FE3">
        <w:rPr>
          <w:rFonts w:ascii="Book Antiqua" w:hAnsi="Book Antiqua"/>
          <w:sz w:val="24"/>
          <w:szCs w:val="24"/>
          <w:vertAlign w:val="superscript"/>
        </w:rPr>
        <w:t>14-16]</w:t>
      </w:r>
      <w:r w:rsidRPr="00042FE3">
        <w:rPr>
          <w:rFonts w:ascii="Book Antiqua" w:hAnsi="Book Antiqua"/>
          <w:sz w:val="24"/>
          <w:szCs w:val="24"/>
        </w:rPr>
        <w:t xml:space="preserve">. In the TVR group, the proportion of patients achieving a </w:t>
      </w:r>
      <w:proofErr w:type="spellStart"/>
      <w:r w:rsidRPr="00042FE3">
        <w:rPr>
          <w:rFonts w:ascii="Book Antiqua" w:hAnsi="Book Antiqua"/>
          <w:sz w:val="24"/>
          <w:szCs w:val="24"/>
        </w:rPr>
        <w:t>virological</w:t>
      </w:r>
      <w:proofErr w:type="spellEnd"/>
      <w:r w:rsidRPr="00042FE3">
        <w:rPr>
          <w:rFonts w:ascii="Book Antiqua" w:hAnsi="Book Antiqua"/>
          <w:sz w:val="24"/>
          <w:szCs w:val="24"/>
        </w:rPr>
        <w:t xml:space="preserve"> response was higher than in the SMV group according to the original data. A number of patients discontinued TVR therapy because of adverse events at the beginning of treatment. After propensity score matching, the proportion of patients achieving a </w:t>
      </w:r>
      <w:proofErr w:type="spellStart"/>
      <w:r w:rsidRPr="00042FE3">
        <w:rPr>
          <w:rFonts w:ascii="Book Antiqua" w:hAnsi="Book Antiqua"/>
          <w:sz w:val="24"/>
          <w:szCs w:val="24"/>
        </w:rPr>
        <w:t>virological</w:t>
      </w:r>
      <w:proofErr w:type="spellEnd"/>
      <w:r w:rsidRPr="00042FE3">
        <w:rPr>
          <w:rFonts w:ascii="Book Antiqua" w:hAnsi="Book Antiqua"/>
          <w:sz w:val="24"/>
          <w:szCs w:val="24"/>
        </w:rPr>
        <w:t xml:space="preserve"> response during treatment and after 12 </w:t>
      </w:r>
      <w:proofErr w:type="spellStart"/>
      <w:r w:rsidR="00BC68A1">
        <w:rPr>
          <w:rFonts w:ascii="Book Antiqua" w:hAnsi="Book Antiqua" w:hint="eastAsia"/>
          <w:sz w:val="24"/>
          <w:szCs w:val="24"/>
          <w:lang w:eastAsia="zh-CN"/>
        </w:rPr>
        <w:t>wk</w:t>
      </w:r>
      <w:proofErr w:type="spellEnd"/>
      <w:r w:rsidRPr="00042FE3">
        <w:rPr>
          <w:rFonts w:ascii="Book Antiqua" w:hAnsi="Book Antiqua"/>
          <w:sz w:val="24"/>
          <w:szCs w:val="24"/>
        </w:rPr>
        <w:t xml:space="preserve"> was almost identical between the two groups with no significantly difference observed (</w:t>
      </w:r>
      <w:r w:rsidRPr="00627B4F">
        <w:rPr>
          <w:rFonts w:ascii="Book Antiqua" w:hAnsi="Book Antiqua"/>
          <w:sz w:val="24"/>
          <w:szCs w:val="24"/>
        </w:rPr>
        <w:t>Figure</w:t>
      </w:r>
      <w:r w:rsidRPr="00042FE3">
        <w:rPr>
          <w:rFonts w:ascii="Book Antiqua" w:hAnsi="Book Antiqua"/>
          <w:sz w:val="24"/>
          <w:szCs w:val="24"/>
        </w:rPr>
        <w:t xml:space="preserve"> 1</w:t>
      </w:r>
      <w:r w:rsidR="00B21EE6" w:rsidRPr="00042FE3">
        <w:rPr>
          <w:rFonts w:ascii="Book Antiqua" w:hAnsi="Book Antiqua"/>
          <w:sz w:val="24"/>
          <w:szCs w:val="24"/>
        </w:rPr>
        <w:t xml:space="preserve"> </w:t>
      </w:r>
      <w:r w:rsidR="004F3FBF" w:rsidRPr="00042FE3">
        <w:rPr>
          <w:rFonts w:ascii="Book Antiqua" w:hAnsi="Book Antiqua"/>
          <w:sz w:val="24"/>
          <w:szCs w:val="24"/>
        </w:rPr>
        <w:t>B</w:t>
      </w:r>
      <w:r w:rsidRPr="00042FE3">
        <w:rPr>
          <w:rFonts w:ascii="Book Antiqua" w:hAnsi="Book Antiqua"/>
          <w:sz w:val="24"/>
          <w:szCs w:val="24"/>
        </w:rPr>
        <w:t xml:space="preserve">). </w:t>
      </w:r>
    </w:p>
    <w:p w14:paraId="4F46E187" w14:textId="4E452002" w:rsidR="007A4DA3" w:rsidRPr="00042FE3" w:rsidRDefault="007A4DA3" w:rsidP="004449A0">
      <w:pPr>
        <w:pStyle w:val="1"/>
        <w:spacing w:line="360" w:lineRule="auto"/>
        <w:rPr>
          <w:rFonts w:ascii="Book Antiqua" w:eastAsia="Times New Roman" w:hAnsi="Book Antiqua" w:cs="Times New Roman"/>
          <w:sz w:val="24"/>
          <w:szCs w:val="24"/>
        </w:rPr>
      </w:pPr>
      <w:r w:rsidRPr="00627B4F">
        <w:rPr>
          <w:rFonts w:ascii="Book Antiqua" w:eastAsia="Times New Roman" w:hAnsi="Book Antiqua" w:cs="Times New Roman"/>
          <w:sz w:val="22"/>
          <w:szCs w:val="22"/>
        </w:rPr>
        <w:tab/>
      </w:r>
      <w:r w:rsidRPr="00042FE3">
        <w:rPr>
          <w:rFonts w:ascii="Book Antiqua" w:hAnsi="Book Antiqua"/>
          <w:sz w:val="24"/>
          <w:szCs w:val="24"/>
        </w:rPr>
        <w:t xml:space="preserve">Patients in the SMV group appeared to have a greater prevalence of unfavorable baseline characteristics. Patients in SMV group were statistically older, had higher viral loads, lower hemoglobin levels, and a higher prevalence of unfavorable </w:t>
      </w:r>
      <w:r w:rsidRPr="00042FE3">
        <w:rPr>
          <w:rFonts w:ascii="Book Antiqua" w:hAnsi="Book Antiqua"/>
          <w:i/>
          <w:iCs/>
          <w:sz w:val="24"/>
          <w:szCs w:val="24"/>
        </w:rPr>
        <w:t>IL28</w:t>
      </w:r>
      <w:r w:rsidRPr="00042FE3">
        <w:rPr>
          <w:rFonts w:ascii="Book Antiqua" w:hAnsi="Book Antiqua"/>
          <w:sz w:val="24"/>
          <w:szCs w:val="24"/>
        </w:rPr>
        <w:t xml:space="preserve"> genotypes (rs809997) compared with </w:t>
      </w:r>
      <w:r w:rsidR="0079724A" w:rsidRPr="00042FE3">
        <w:rPr>
          <w:rFonts w:ascii="Book Antiqua" w:hAnsi="Book Antiqua"/>
          <w:sz w:val="24"/>
          <w:szCs w:val="24"/>
        </w:rPr>
        <w:t xml:space="preserve">that in </w:t>
      </w:r>
      <w:r w:rsidRPr="00042FE3">
        <w:rPr>
          <w:rFonts w:ascii="Book Antiqua" w:hAnsi="Book Antiqua"/>
          <w:sz w:val="24"/>
          <w:szCs w:val="24"/>
        </w:rPr>
        <w:t xml:space="preserve">the TVR group. These pretreatment factors are known to influence the efficacy of IFN-based </w:t>
      </w:r>
      <w:proofErr w:type="gramStart"/>
      <w:r w:rsidRPr="00042FE3">
        <w:rPr>
          <w:rFonts w:ascii="Book Antiqua" w:hAnsi="Book Antiqua"/>
          <w:sz w:val="24"/>
          <w:szCs w:val="24"/>
        </w:rPr>
        <w:t>therapies</w:t>
      </w:r>
      <w:r w:rsidR="005F3D76" w:rsidRPr="00042FE3">
        <w:rPr>
          <w:rFonts w:ascii="Book Antiqua" w:hAnsi="Book Antiqua"/>
          <w:sz w:val="24"/>
          <w:szCs w:val="24"/>
          <w:vertAlign w:val="superscript"/>
        </w:rPr>
        <w:t>[</w:t>
      </w:r>
      <w:proofErr w:type="gramEnd"/>
      <w:r w:rsidRPr="00042FE3">
        <w:rPr>
          <w:rFonts w:ascii="Book Antiqua" w:hAnsi="Book Antiqua"/>
          <w:sz w:val="24"/>
          <w:szCs w:val="24"/>
          <w:vertAlign w:val="superscript"/>
        </w:rPr>
        <w:t>17</w:t>
      </w:r>
      <w:r w:rsidR="005F3D76" w:rsidRPr="00042FE3">
        <w:rPr>
          <w:rFonts w:ascii="Book Antiqua" w:hAnsi="Book Antiqua"/>
          <w:sz w:val="24"/>
          <w:szCs w:val="24"/>
          <w:vertAlign w:val="superscript"/>
        </w:rPr>
        <w:t>]</w:t>
      </w:r>
      <w:r w:rsidR="005F3D76" w:rsidRPr="00042FE3">
        <w:rPr>
          <w:rFonts w:ascii="Book Antiqua" w:hAnsi="Book Antiqua"/>
          <w:sz w:val="24"/>
          <w:szCs w:val="24"/>
        </w:rPr>
        <w:t>.</w:t>
      </w:r>
      <w:r w:rsidRPr="00042FE3">
        <w:rPr>
          <w:rFonts w:ascii="Book Antiqua" w:hAnsi="Book Antiqua"/>
          <w:sz w:val="24"/>
          <w:szCs w:val="24"/>
        </w:rPr>
        <w:t xml:space="preserve"> As previously reported, Japanese patients infected with HCV genotype 1b are substantially older than Western </w:t>
      </w:r>
      <w:proofErr w:type="gramStart"/>
      <w:r w:rsidRPr="00042FE3">
        <w:rPr>
          <w:rFonts w:ascii="Book Antiqua" w:hAnsi="Book Antiqua"/>
          <w:sz w:val="24"/>
          <w:szCs w:val="24"/>
        </w:rPr>
        <w:t>patients</w:t>
      </w:r>
      <w:r w:rsidR="005F3D76" w:rsidRPr="00042FE3">
        <w:rPr>
          <w:rFonts w:ascii="Book Antiqua" w:hAnsi="Book Antiqua"/>
          <w:sz w:val="24"/>
          <w:szCs w:val="24"/>
          <w:vertAlign w:val="superscript"/>
        </w:rPr>
        <w:t>[</w:t>
      </w:r>
      <w:proofErr w:type="gramEnd"/>
      <w:r w:rsidRPr="00042FE3">
        <w:rPr>
          <w:rFonts w:ascii="Book Antiqua" w:hAnsi="Book Antiqua"/>
          <w:sz w:val="24"/>
          <w:szCs w:val="24"/>
          <w:vertAlign w:val="superscript"/>
        </w:rPr>
        <w:t>18</w:t>
      </w:r>
      <w:r w:rsidR="005F3D76" w:rsidRPr="00042FE3">
        <w:rPr>
          <w:rFonts w:ascii="Book Antiqua" w:hAnsi="Book Antiqua"/>
          <w:sz w:val="24"/>
          <w:szCs w:val="24"/>
          <w:vertAlign w:val="superscript"/>
        </w:rPr>
        <w:t>]</w:t>
      </w:r>
      <w:r w:rsidR="005F3D76" w:rsidRPr="00042FE3">
        <w:rPr>
          <w:rFonts w:ascii="Book Antiqua" w:hAnsi="Book Antiqua"/>
          <w:sz w:val="24"/>
          <w:szCs w:val="24"/>
        </w:rPr>
        <w:t>.</w:t>
      </w:r>
      <w:r w:rsidRPr="00042FE3">
        <w:rPr>
          <w:rFonts w:ascii="Book Antiqua" w:hAnsi="Book Antiqua"/>
          <w:sz w:val="24"/>
          <w:szCs w:val="24"/>
        </w:rPr>
        <w:t xml:space="preserve"> A large proportion of patients able to tolerate IFN-based therapies were cured with previous therapies. </w:t>
      </w:r>
      <w:r w:rsidR="0079724A" w:rsidRPr="00042FE3">
        <w:rPr>
          <w:rFonts w:ascii="Book Antiqua" w:hAnsi="Book Antiqua"/>
          <w:sz w:val="24"/>
          <w:szCs w:val="24"/>
        </w:rPr>
        <w:t>P</w:t>
      </w:r>
      <w:r w:rsidRPr="00042FE3">
        <w:rPr>
          <w:rFonts w:ascii="Book Antiqua" w:hAnsi="Book Antiqua"/>
          <w:sz w:val="24"/>
          <w:szCs w:val="24"/>
        </w:rPr>
        <w:t xml:space="preserve">atients with unfavorable baseline characteristics remain untreated. </w:t>
      </w:r>
      <w:r w:rsidR="0079724A" w:rsidRPr="00042FE3">
        <w:rPr>
          <w:rFonts w:ascii="Book Antiqua" w:hAnsi="Book Antiqua"/>
          <w:sz w:val="24"/>
          <w:szCs w:val="24"/>
        </w:rPr>
        <w:lastRenderedPageBreak/>
        <w:t>In addition</w:t>
      </w:r>
      <w:r w:rsidRPr="00042FE3">
        <w:rPr>
          <w:rFonts w:ascii="Book Antiqua" w:hAnsi="Book Antiqua"/>
          <w:sz w:val="24"/>
          <w:szCs w:val="24"/>
        </w:rPr>
        <w:t>, a</w:t>
      </w:r>
      <w:r w:rsidR="00BC68A1">
        <w:rPr>
          <w:rFonts w:ascii="Book Antiqua" w:hAnsi="Book Antiqua"/>
          <w:sz w:val="24"/>
          <w:szCs w:val="24"/>
        </w:rPr>
        <w:t xml:space="preserve">ccording to academic </w:t>
      </w:r>
      <w:proofErr w:type="gramStart"/>
      <w:r w:rsidR="00BC68A1">
        <w:rPr>
          <w:rFonts w:ascii="Book Antiqua" w:hAnsi="Book Antiqua"/>
          <w:sz w:val="24"/>
          <w:szCs w:val="24"/>
        </w:rPr>
        <w:t>guidelines</w:t>
      </w:r>
      <w:r w:rsidR="005F3D76" w:rsidRPr="00042FE3">
        <w:rPr>
          <w:rFonts w:ascii="Book Antiqua" w:hAnsi="Book Antiqua"/>
          <w:sz w:val="24"/>
          <w:szCs w:val="24"/>
          <w:vertAlign w:val="superscript"/>
        </w:rPr>
        <w:t>[</w:t>
      </w:r>
      <w:proofErr w:type="gramEnd"/>
      <w:r w:rsidRPr="00042FE3">
        <w:rPr>
          <w:rFonts w:ascii="Book Antiqua" w:hAnsi="Book Antiqua"/>
          <w:sz w:val="24"/>
          <w:szCs w:val="24"/>
          <w:vertAlign w:val="superscript"/>
        </w:rPr>
        <w:t>19</w:t>
      </w:r>
      <w:r w:rsidR="005F3D76" w:rsidRPr="00042FE3">
        <w:rPr>
          <w:rFonts w:ascii="Book Antiqua" w:hAnsi="Book Antiqua"/>
          <w:sz w:val="24"/>
          <w:szCs w:val="24"/>
          <w:vertAlign w:val="superscript"/>
        </w:rPr>
        <w:t>]</w:t>
      </w:r>
      <w:r w:rsidR="00BC68A1">
        <w:rPr>
          <w:rFonts w:ascii="Book Antiqua" w:hAnsi="Book Antiqua" w:hint="eastAsia"/>
          <w:sz w:val="24"/>
          <w:szCs w:val="24"/>
          <w:lang w:eastAsia="zh-CN"/>
        </w:rPr>
        <w:t xml:space="preserve">, </w:t>
      </w:r>
      <w:r w:rsidRPr="00042FE3">
        <w:rPr>
          <w:rFonts w:ascii="Book Antiqua" w:hAnsi="Book Antiqua"/>
          <w:sz w:val="24"/>
          <w:szCs w:val="24"/>
        </w:rPr>
        <w:t xml:space="preserve">TVR therapy should be avoided in older patients with low hemoglobin levels in anticipation of future therapeutic options. As a result, a greater prevalence of unfavorable baseline characteristics </w:t>
      </w:r>
      <w:proofErr w:type="gramStart"/>
      <w:r w:rsidRPr="00042FE3">
        <w:rPr>
          <w:rFonts w:ascii="Book Antiqua" w:hAnsi="Book Antiqua"/>
          <w:sz w:val="24"/>
          <w:szCs w:val="24"/>
        </w:rPr>
        <w:t>were</w:t>
      </w:r>
      <w:proofErr w:type="gramEnd"/>
      <w:r w:rsidRPr="00042FE3">
        <w:rPr>
          <w:rFonts w:ascii="Book Antiqua" w:hAnsi="Book Antiqua"/>
          <w:sz w:val="24"/>
          <w:szCs w:val="24"/>
        </w:rPr>
        <w:t xml:space="preserve"> observed in patients in the SMV group. </w:t>
      </w:r>
    </w:p>
    <w:p w14:paraId="6D46EA28" w14:textId="3C37B292" w:rsidR="007A4DA3" w:rsidRPr="00042FE3" w:rsidRDefault="007A4DA3" w:rsidP="004449A0">
      <w:pPr>
        <w:pStyle w:val="1"/>
        <w:spacing w:line="360" w:lineRule="auto"/>
        <w:ind w:firstLine="840"/>
        <w:rPr>
          <w:rFonts w:ascii="Book Antiqua" w:eastAsia="Times New Roman" w:hAnsi="Book Antiqua" w:cs="Times New Roman"/>
          <w:sz w:val="24"/>
          <w:szCs w:val="24"/>
        </w:rPr>
      </w:pPr>
      <w:r w:rsidRPr="00042FE3">
        <w:rPr>
          <w:rFonts w:ascii="Book Antiqua" w:hAnsi="Book Antiqua"/>
          <w:sz w:val="24"/>
          <w:szCs w:val="24"/>
        </w:rPr>
        <w:t xml:space="preserve">In the present study, a greater proportion of patients in the TVR group discontinued treatment because of adverse events. Previously reported adverse events associated with TVR treatment include anemia, skin rash, and severe </w:t>
      </w:r>
      <w:proofErr w:type="gramStart"/>
      <w:r w:rsidRPr="00042FE3">
        <w:rPr>
          <w:rFonts w:ascii="Book Antiqua" w:hAnsi="Book Antiqua"/>
          <w:sz w:val="24"/>
          <w:szCs w:val="24"/>
        </w:rPr>
        <w:t>fatigue</w:t>
      </w:r>
      <w:r w:rsidR="005F3D76" w:rsidRPr="00042FE3">
        <w:rPr>
          <w:rFonts w:ascii="Book Antiqua" w:hAnsi="Book Antiqua"/>
          <w:sz w:val="24"/>
          <w:szCs w:val="24"/>
          <w:vertAlign w:val="superscript"/>
        </w:rPr>
        <w:t>[</w:t>
      </w:r>
      <w:proofErr w:type="gramEnd"/>
      <w:r w:rsidR="00C6366E">
        <w:rPr>
          <w:rFonts w:ascii="Book Antiqua" w:hAnsi="Book Antiqua"/>
          <w:sz w:val="24"/>
          <w:szCs w:val="24"/>
          <w:vertAlign w:val="superscript"/>
        </w:rPr>
        <w:t>11</w:t>
      </w:r>
      <w:r w:rsidR="005F3D76" w:rsidRPr="00042FE3">
        <w:rPr>
          <w:rFonts w:ascii="Book Antiqua" w:hAnsi="Book Antiqua"/>
          <w:sz w:val="24"/>
          <w:szCs w:val="24"/>
          <w:vertAlign w:val="superscript"/>
        </w:rPr>
        <w:t>]</w:t>
      </w:r>
      <w:r w:rsidR="005F3D76" w:rsidRPr="00042FE3">
        <w:rPr>
          <w:rFonts w:ascii="Book Antiqua" w:hAnsi="Book Antiqua"/>
          <w:sz w:val="24"/>
          <w:szCs w:val="24"/>
        </w:rPr>
        <w:t>.</w:t>
      </w:r>
      <w:r w:rsidRPr="00042FE3">
        <w:rPr>
          <w:rFonts w:ascii="Book Antiqua" w:hAnsi="Book Antiqua"/>
          <w:sz w:val="24"/>
          <w:szCs w:val="24"/>
        </w:rPr>
        <w:t xml:space="preserve"> Cutaneous adverse effects caused by TVR have been frequently reported and are rare but are characterized by rapid development of lethal severe skin complications, such as Stevens–Johnson syndrome and drug</w:t>
      </w:r>
      <w:r w:rsidR="0079724A" w:rsidRPr="00042FE3">
        <w:rPr>
          <w:rFonts w:ascii="Book Antiqua" w:hAnsi="Book Antiqua"/>
          <w:sz w:val="24"/>
          <w:szCs w:val="24"/>
        </w:rPr>
        <w:t>-</w:t>
      </w:r>
      <w:r w:rsidRPr="00042FE3">
        <w:rPr>
          <w:rFonts w:ascii="Book Antiqua" w:hAnsi="Book Antiqua"/>
          <w:sz w:val="24"/>
          <w:szCs w:val="24"/>
        </w:rPr>
        <w:t xml:space="preserve">induced hypersensitivity </w:t>
      </w:r>
      <w:proofErr w:type="gramStart"/>
      <w:r w:rsidRPr="00042FE3">
        <w:rPr>
          <w:rFonts w:ascii="Book Antiqua" w:hAnsi="Book Antiqua"/>
          <w:sz w:val="24"/>
          <w:szCs w:val="24"/>
        </w:rPr>
        <w:t>syndrome</w:t>
      </w:r>
      <w:r w:rsidR="005F3D76" w:rsidRPr="00042FE3">
        <w:rPr>
          <w:rFonts w:ascii="Book Antiqua" w:hAnsi="Book Antiqua"/>
          <w:sz w:val="24"/>
          <w:szCs w:val="24"/>
          <w:vertAlign w:val="superscript"/>
        </w:rPr>
        <w:t>[</w:t>
      </w:r>
      <w:proofErr w:type="gramEnd"/>
      <w:r w:rsidR="00BC68A1">
        <w:rPr>
          <w:rFonts w:ascii="Book Antiqua" w:hAnsi="Book Antiqua"/>
          <w:sz w:val="24"/>
          <w:szCs w:val="24"/>
          <w:vertAlign w:val="superscript"/>
        </w:rPr>
        <w:t>20,</w:t>
      </w:r>
      <w:r w:rsidR="00C6366E">
        <w:rPr>
          <w:rFonts w:ascii="Book Antiqua" w:hAnsi="Book Antiqua"/>
          <w:sz w:val="24"/>
          <w:szCs w:val="24"/>
          <w:vertAlign w:val="superscript"/>
        </w:rPr>
        <w:t>21</w:t>
      </w:r>
      <w:r w:rsidR="005F3D76" w:rsidRPr="00042FE3">
        <w:rPr>
          <w:rFonts w:ascii="Book Antiqua" w:hAnsi="Book Antiqua"/>
          <w:sz w:val="24"/>
          <w:szCs w:val="24"/>
          <w:vertAlign w:val="superscript"/>
        </w:rPr>
        <w:t>]</w:t>
      </w:r>
      <w:r w:rsidR="005F3D76" w:rsidRPr="00042FE3">
        <w:rPr>
          <w:rFonts w:ascii="Book Antiqua" w:hAnsi="Book Antiqua"/>
          <w:sz w:val="24"/>
          <w:szCs w:val="24"/>
        </w:rPr>
        <w:t>.</w:t>
      </w:r>
      <w:r w:rsidRPr="00042FE3">
        <w:rPr>
          <w:rFonts w:ascii="Book Antiqua" w:hAnsi="Book Antiqua"/>
          <w:sz w:val="24"/>
          <w:szCs w:val="24"/>
        </w:rPr>
        <w:t xml:space="preserve"> Patients with these skin complications may have stopped the TVR treatment earlier. We administrated an initial dose of TVR 1500 mg/d in majority of patients to prevent treatment-induced </w:t>
      </w:r>
      <w:proofErr w:type="gramStart"/>
      <w:r w:rsidRPr="00042FE3">
        <w:rPr>
          <w:rFonts w:ascii="Book Antiqua" w:hAnsi="Book Antiqua"/>
          <w:sz w:val="24"/>
          <w:szCs w:val="24"/>
        </w:rPr>
        <w:t>anemia</w:t>
      </w:r>
      <w:r w:rsidR="005F3D76" w:rsidRPr="00042FE3">
        <w:rPr>
          <w:rFonts w:ascii="Book Antiqua" w:hAnsi="Book Antiqua"/>
          <w:sz w:val="24"/>
          <w:szCs w:val="24"/>
          <w:vertAlign w:val="superscript"/>
        </w:rPr>
        <w:t>[</w:t>
      </w:r>
      <w:proofErr w:type="gramEnd"/>
      <w:r w:rsidRPr="00042FE3">
        <w:rPr>
          <w:rFonts w:ascii="Book Antiqua" w:hAnsi="Book Antiqua"/>
          <w:sz w:val="24"/>
          <w:szCs w:val="24"/>
          <w:vertAlign w:val="superscript"/>
        </w:rPr>
        <w:t>2</w:t>
      </w:r>
      <w:r w:rsidR="00C6366E">
        <w:rPr>
          <w:rFonts w:ascii="Book Antiqua" w:hAnsi="Book Antiqua"/>
          <w:sz w:val="24"/>
          <w:szCs w:val="24"/>
          <w:vertAlign w:val="superscript"/>
        </w:rPr>
        <w:t>2</w:t>
      </w:r>
      <w:r w:rsidR="005F3D76" w:rsidRPr="00042FE3">
        <w:rPr>
          <w:rFonts w:ascii="Book Antiqua" w:hAnsi="Book Antiqua"/>
          <w:sz w:val="24"/>
          <w:szCs w:val="24"/>
          <w:vertAlign w:val="superscript"/>
        </w:rPr>
        <w:t>]</w:t>
      </w:r>
      <w:r w:rsidR="005F3D76" w:rsidRPr="00042FE3">
        <w:rPr>
          <w:rFonts w:ascii="Book Antiqua" w:hAnsi="Book Antiqua"/>
          <w:sz w:val="24"/>
          <w:szCs w:val="24"/>
        </w:rPr>
        <w:t>.</w:t>
      </w:r>
      <w:r w:rsidRPr="00042FE3">
        <w:rPr>
          <w:rFonts w:ascii="Book Antiqua" w:hAnsi="Book Antiqua"/>
          <w:sz w:val="24"/>
          <w:szCs w:val="24"/>
        </w:rPr>
        <w:t xml:space="preserve"> In contrast, the incidence of severe adverse events was low in the SMV group. Therefore, a smaller number of patients discontinued therapy in the SMV group. </w:t>
      </w:r>
    </w:p>
    <w:p w14:paraId="5491F2DF" w14:textId="5F96CC29" w:rsidR="007A4DA3" w:rsidRPr="00627B4F" w:rsidRDefault="007A4DA3" w:rsidP="004449A0">
      <w:pPr>
        <w:pStyle w:val="1"/>
        <w:spacing w:line="360" w:lineRule="auto"/>
        <w:rPr>
          <w:rFonts w:ascii="Book Antiqua" w:eastAsia="Times New Roman" w:hAnsi="Book Antiqua" w:cs="Times New Roman"/>
          <w:sz w:val="24"/>
          <w:szCs w:val="24"/>
        </w:rPr>
      </w:pPr>
      <w:r w:rsidRPr="00627B4F">
        <w:rPr>
          <w:rFonts w:ascii="Book Antiqua" w:eastAsia="Times New Roman" w:hAnsi="Book Antiqua" w:cs="Times New Roman"/>
          <w:sz w:val="22"/>
          <w:szCs w:val="22"/>
        </w:rPr>
        <w:tab/>
      </w:r>
      <w:r w:rsidRPr="00627B4F">
        <w:rPr>
          <w:rFonts w:ascii="Book Antiqua" w:eastAsia="Times New Roman" w:hAnsi="Book Antiqua" w:cs="Times New Roman"/>
          <w:sz w:val="24"/>
          <w:szCs w:val="24"/>
        </w:rPr>
        <w:t xml:space="preserve">Viral dynamics during treatment were similar </w:t>
      </w:r>
      <w:r w:rsidRPr="00627B4F">
        <w:rPr>
          <w:rFonts w:ascii="Book Antiqua" w:hAnsi="Book Antiqua" w:cs="Times New Roman"/>
          <w:sz w:val="24"/>
          <w:szCs w:val="24"/>
        </w:rPr>
        <w:t xml:space="preserve">to previous reports in both </w:t>
      </w:r>
      <w:proofErr w:type="gramStart"/>
      <w:r w:rsidRPr="00627B4F">
        <w:rPr>
          <w:rFonts w:ascii="Book Antiqua" w:hAnsi="Book Antiqua" w:cs="Times New Roman"/>
          <w:sz w:val="24"/>
          <w:szCs w:val="24"/>
        </w:rPr>
        <w:t>groups</w:t>
      </w:r>
      <w:r w:rsidR="005F3D76" w:rsidRPr="00627B4F">
        <w:rPr>
          <w:rFonts w:ascii="Book Antiqua" w:hAnsi="Book Antiqua" w:cs="Times New Roman"/>
          <w:sz w:val="24"/>
          <w:szCs w:val="24"/>
          <w:vertAlign w:val="superscript"/>
        </w:rPr>
        <w:t>[</w:t>
      </w:r>
      <w:proofErr w:type="gramEnd"/>
      <w:r w:rsidR="00BC68A1">
        <w:rPr>
          <w:rFonts w:ascii="Book Antiqua" w:hAnsi="Book Antiqua" w:cs="Times New Roman"/>
          <w:sz w:val="24"/>
          <w:szCs w:val="24"/>
          <w:vertAlign w:val="superscript"/>
        </w:rPr>
        <w:t>16,</w:t>
      </w:r>
      <w:r w:rsidR="00C6366E">
        <w:rPr>
          <w:rFonts w:ascii="Book Antiqua" w:hAnsi="Book Antiqua" w:cs="Times New Roman"/>
          <w:sz w:val="24"/>
          <w:szCs w:val="24"/>
          <w:vertAlign w:val="superscript"/>
        </w:rPr>
        <w:t>23</w:t>
      </w:r>
      <w:r w:rsidR="005F3D76" w:rsidRPr="00627B4F">
        <w:rPr>
          <w:rFonts w:ascii="Book Antiqua" w:hAnsi="Book Antiqua" w:cs="Times New Roman"/>
          <w:sz w:val="24"/>
          <w:szCs w:val="24"/>
          <w:vertAlign w:val="superscript"/>
        </w:rPr>
        <w:t>]</w:t>
      </w:r>
      <w:r w:rsidR="005F3D76" w:rsidRPr="00627B4F">
        <w:rPr>
          <w:rFonts w:ascii="Book Antiqua" w:hAnsi="Book Antiqua" w:cs="Times New Roman"/>
          <w:sz w:val="24"/>
          <w:szCs w:val="24"/>
        </w:rPr>
        <w:t>.</w:t>
      </w:r>
      <w:r w:rsidRPr="00627B4F">
        <w:rPr>
          <w:rFonts w:ascii="Book Antiqua" w:hAnsi="Book Antiqua" w:cs="Times New Roman"/>
          <w:sz w:val="24"/>
          <w:szCs w:val="24"/>
        </w:rPr>
        <w:t xml:space="preserve"> However, breakthrough and nonresponse was more frequent in the SMV group. Before matching, the TVR group had a higher SVR12 rate than </w:t>
      </w:r>
      <w:r w:rsidR="00042FE3">
        <w:rPr>
          <w:rFonts w:ascii="Book Antiqua" w:hAnsi="Book Antiqua" w:cs="Times New Roman"/>
          <w:sz w:val="24"/>
          <w:szCs w:val="24"/>
        </w:rPr>
        <w:t xml:space="preserve">that of </w:t>
      </w:r>
      <w:r w:rsidRPr="00627B4F">
        <w:rPr>
          <w:rFonts w:ascii="Book Antiqua" w:hAnsi="Book Antiqua" w:cs="Times New Roman"/>
          <w:sz w:val="24"/>
          <w:szCs w:val="24"/>
        </w:rPr>
        <w:t xml:space="preserve">the SMV group. After propensity score matching, this difference diminished and SVR12 rates were similar between the two groups. Reddy </w:t>
      </w:r>
      <w:r w:rsidR="00BC68A1">
        <w:rPr>
          <w:rFonts w:ascii="Book Antiqua" w:hAnsi="Book Antiqua" w:cs="Times New Roman"/>
          <w:i/>
          <w:iCs/>
          <w:sz w:val="24"/>
          <w:szCs w:val="24"/>
        </w:rPr>
        <w:t xml:space="preserve">et </w:t>
      </w:r>
      <w:proofErr w:type="gramStart"/>
      <w:r w:rsidR="00BC68A1">
        <w:rPr>
          <w:rFonts w:ascii="Book Antiqua" w:hAnsi="Book Antiqua" w:cs="Times New Roman"/>
          <w:i/>
          <w:iCs/>
          <w:sz w:val="24"/>
          <w:szCs w:val="24"/>
        </w:rPr>
        <w:t>al</w:t>
      </w:r>
      <w:r w:rsidR="005F3D76" w:rsidRPr="00627B4F">
        <w:rPr>
          <w:rFonts w:ascii="Book Antiqua" w:hAnsi="Book Antiqua" w:cs="Times New Roman"/>
          <w:iCs/>
          <w:sz w:val="24"/>
          <w:szCs w:val="24"/>
          <w:vertAlign w:val="superscript"/>
        </w:rPr>
        <w:t>[</w:t>
      </w:r>
      <w:proofErr w:type="gramEnd"/>
      <w:r w:rsidR="00C6366E">
        <w:rPr>
          <w:rFonts w:ascii="Book Antiqua" w:hAnsi="Book Antiqua" w:cs="Times New Roman"/>
          <w:sz w:val="24"/>
          <w:szCs w:val="24"/>
          <w:vertAlign w:val="superscript"/>
        </w:rPr>
        <w:t>24</w:t>
      </w:r>
      <w:r w:rsidR="005F3D76" w:rsidRPr="00627B4F">
        <w:rPr>
          <w:rFonts w:ascii="Book Antiqua" w:hAnsi="Book Antiqua" w:cs="Times New Roman"/>
          <w:sz w:val="24"/>
          <w:szCs w:val="24"/>
          <w:vertAlign w:val="superscript"/>
        </w:rPr>
        <w:t>]</w:t>
      </w:r>
      <w:r w:rsidRPr="00627B4F">
        <w:rPr>
          <w:rFonts w:ascii="Book Antiqua" w:hAnsi="Book Antiqua" w:cs="Times New Roman"/>
          <w:sz w:val="24"/>
          <w:szCs w:val="24"/>
        </w:rPr>
        <w:t xml:space="preserve"> reported a randomized control study between SMV and TVR for previous null or partial responders. Although the differences were observed in dosage, race, approved combined interferon, and treatment duration in their report, </w:t>
      </w:r>
      <w:r w:rsidRPr="00627B4F">
        <w:rPr>
          <w:rFonts w:ascii="Book Antiqua" w:hAnsi="Book Antiqua" w:cs="Times New Roman"/>
          <w:sz w:val="24"/>
          <w:szCs w:val="24"/>
        </w:rPr>
        <w:lastRenderedPageBreak/>
        <w:t xml:space="preserve">viral breakthrough was more frequent with SMV therapy than with TVR therapy similar to the present report. </w:t>
      </w:r>
    </w:p>
    <w:p w14:paraId="7E1F360A" w14:textId="5682A828" w:rsidR="007A4DA3" w:rsidRPr="00042FE3" w:rsidRDefault="007A4DA3" w:rsidP="004449A0">
      <w:pPr>
        <w:pStyle w:val="1"/>
        <w:spacing w:line="360" w:lineRule="auto"/>
        <w:ind w:firstLine="840"/>
        <w:rPr>
          <w:rFonts w:ascii="Book Antiqua" w:eastAsia="Times New Roman" w:hAnsi="Book Antiqua" w:cs="Times New Roman"/>
          <w:sz w:val="24"/>
          <w:szCs w:val="24"/>
        </w:rPr>
      </w:pPr>
      <w:r w:rsidRPr="00042FE3">
        <w:rPr>
          <w:rFonts w:ascii="Book Antiqua" w:hAnsi="Book Antiqua"/>
          <w:sz w:val="24"/>
          <w:szCs w:val="24"/>
        </w:rPr>
        <w:t>The SVR rate in the SMV group in the present study was lower than in the CO</w:t>
      </w:r>
      <w:r w:rsidRPr="00BA1BBC">
        <w:rPr>
          <w:rFonts w:ascii="Book Antiqua" w:hAnsi="Book Antiqua"/>
          <w:sz w:val="24"/>
          <w:szCs w:val="24"/>
        </w:rPr>
        <w:t xml:space="preserve">NCERTO-4 </w:t>
      </w:r>
      <w:proofErr w:type="gramStart"/>
      <w:r w:rsidRPr="00BA1BBC">
        <w:rPr>
          <w:rFonts w:ascii="Book Antiqua" w:hAnsi="Book Antiqua"/>
          <w:sz w:val="24"/>
          <w:szCs w:val="24"/>
        </w:rPr>
        <w:t>study</w:t>
      </w:r>
      <w:r w:rsidR="005F3D76" w:rsidRPr="00BA1BBC">
        <w:rPr>
          <w:rFonts w:ascii="Book Antiqua" w:hAnsi="Book Antiqua"/>
          <w:sz w:val="24"/>
          <w:szCs w:val="24"/>
          <w:vertAlign w:val="superscript"/>
        </w:rPr>
        <w:t>[</w:t>
      </w:r>
      <w:proofErr w:type="gramEnd"/>
      <w:r w:rsidRPr="00BA1BBC">
        <w:rPr>
          <w:rFonts w:ascii="Book Antiqua" w:hAnsi="Book Antiqua"/>
          <w:sz w:val="24"/>
          <w:szCs w:val="24"/>
          <w:vertAlign w:val="superscript"/>
        </w:rPr>
        <w:t>16</w:t>
      </w:r>
      <w:r w:rsidR="005F3D76" w:rsidRPr="00BA1BBC">
        <w:rPr>
          <w:rFonts w:ascii="Book Antiqua" w:hAnsi="Book Antiqua"/>
          <w:sz w:val="24"/>
          <w:szCs w:val="24"/>
          <w:vertAlign w:val="superscript"/>
        </w:rPr>
        <w:t>]</w:t>
      </w:r>
      <w:r w:rsidR="005F3D76" w:rsidRPr="00BA1BBC">
        <w:rPr>
          <w:rFonts w:ascii="Book Antiqua" w:hAnsi="Book Antiqua"/>
          <w:sz w:val="24"/>
          <w:szCs w:val="24"/>
        </w:rPr>
        <w:t>.</w:t>
      </w:r>
      <w:r w:rsidRPr="00BA1BBC">
        <w:rPr>
          <w:rFonts w:ascii="Book Antiqua" w:hAnsi="Book Antiqua"/>
          <w:sz w:val="24"/>
          <w:szCs w:val="24"/>
        </w:rPr>
        <w:t xml:space="preserve"> As our study was in a real-world clinical setting, patients were generally older (proportion of patients aged &gt;</w:t>
      </w:r>
      <w:r w:rsidR="00BC68A1">
        <w:rPr>
          <w:rFonts w:ascii="Book Antiqua" w:hAnsi="Book Antiqua" w:hint="eastAsia"/>
          <w:sz w:val="24"/>
          <w:szCs w:val="24"/>
          <w:lang w:eastAsia="zh-CN"/>
        </w:rPr>
        <w:t xml:space="preserve"> </w:t>
      </w:r>
      <w:r w:rsidRPr="00BA1BBC">
        <w:rPr>
          <w:rFonts w:ascii="Book Antiqua" w:hAnsi="Book Antiqua"/>
          <w:sz w:val="24"/>
          <w:szCs w:val="24"/>
        </w:rPr>
        <w:t xml:space="preserve">65 years, 42.3% </w:t>
      </w:r>
      <w:r w:rsidRPr="00BC68A1">
        <w:rPr>
          <w:rFonts w:ascii="Book Antiqua" w:hAnsi="Book Antiqua"/>
          <w:i/>
          <w:sz w:val="24"/>
          <w:szCs w:val="24"/>
        </w:rPr>
        <w:t>vs</w:t>
      </w:r>
      <w:r w:rsidRPr="00BA1BBC">
        <w:rPr>
          <w:rFonts w:ascii="Book Antiqua" w:hAnsi="Book Antiqua"/>
          <w:sz w:val="24"/>
          <w:szCs w:val="24"/>
        </w:rPr>
        <w:t xml:space="preserve"> CONCERTO-4, 22.8%) and had lower platelet counts (platelet counts &lt;</w:t>
      </w:r>
      <w:r w:rsidR="00BC68A1">
        <w:rPr>
          <w:rFonts w:ascii="Book Antiqua" w:hAnsi="Book Antiqua" w:hint="eastAsia"/>
          <w:sz w:val="24"/>
          <w:szCs w:val="24"/>
          <w:lang w:eastAsia="zh-CN"/>
        </w:rPr>
        <w:t xml:space="preserve"> </w:t>
      </w:r>
      <w:r w:rsidRPr="00BA1BBC">
        <w:rPr>
          <w:rFonts w:ascii="Book Antiqua" w:hAnsi="Book Antiqua"/>
          <w:sz w:val="24"/>
          <w:szCs w:val="24"/>
        </w:rPr>
        <w:t>15 × 10</w:t>
      </w:r>
      <w:r w:rsidRPr="00BA1BBC">
        <w:rPr>
          <w:rFonts w:ascii="Book Antiqua" w:hAnsi="Book Antiqua"/>
          <w:sz w:val="24"/>
          <w:szCs w:val="24"/>
          <w:vertAlign w:val="superscript"/>
        </w:rPr>
        <w:t>4</w:t>
      </w:r>
      <w:r w:rsidRPr="00BA1BBC">
        <w:rPr>
          <w:rFonts w:ascii="Book Antiqua" w:hAnsi="Book Antiqua"/>
          <w:sz w:val="24"/>
          <w:szCs w:val="24"/>
        </w:rPr>
        <w:t>/mm</w:t>
      </w:r>
      <w:r w:rsidRPr="00042FE3">
        <w:rPr>
          <w:rFonts w:ascii="Book Antiqua" w:hAnsi="Book Antiqua"/>
          <w:sz w:val="24"/>
          <w:szCs w:val="24"/>
          <w:vertAlign w:val="superscript"/>
        </w:rPr>
        <w:t>3</w:t>
      </w:r>
      <w:r w:rsidRPr="00042FE3">
        <w:rPr>
          <w:rFonts w:ascii="Book Antiqua" w:hAnsi="Book Antiqua"/>
          <w:sz w:val="24"/>
          <w:szCs w:val="24"/>
        </w:rPr>
        <w:t xml:space="preserve">: 47.7% </w:t>
      </w:r>
      <w:r w:rsidRPr="00BC68A1">
        <w:rPr>
          <w:rFonts w:ascii="Book Antiqua" w:hAnsi="Book Antiqua"/>
          <w:i/>
          <w:sz w:val="24"/>
          <w:szCs w:val="24"/>
        </w:rPr>
        <w:t>vs</w:t>
      </w:r>
      <w:r w:rsidRPr="00042FE3">
        <w:rPr>
          <w:rFonts w:ascii="Book Antiqua" w:hAnsi="Book Antiqua"/>
          <w:sz w:val="24"/>
          <w:szCs w:val="24"/>
        </w:rPr>
        <w:t xml:space="preserve"> CONCERTO-4, 31.6%) in our study. Baseline patient characteristics in our study may have resulted in a lower SVR12 rate.</w:t>
      </w:r>
    </w:p>
    <w:p w14:paraId="0E692675" w14:textId="4B28D15F" w:rsidR="007A4DA3" w:rsidRPr="00BA1BBC" w:rsidRDefault="007A4DA3" w:rsidP="004449A0">
      <w:pPr>
        <w:pStyle w:val="1"/>
        <w:spacing w:line="360" w:lineRule="auto"/>
        <w:ind w:firstLine="840"/>
        <w:rPr>
          <w:rFonts w:ascii="Book Antiqua" w:eastAsia="Times New Roman" w:hAnsi="Book Antiqua" w:cs="Times New Roman"/>
          <w:sz w:val="24"/>
          <w:szCs w:val="24"/>
        </w:rPr>
      </w:pPr>
      <w:r w:rsidRPr="00042FE3">
        <w:rPr>
          <w:rFonts w:ascii="Book Antiqua" w:hAnsi="Book Antiqua"/>
          <w:sz w:val="24"/>
          <w:szCs w:val="24"/>
        </w:rPr>
        <w:t>The major limitation of the present study was the inability to evaluate several factors known to influence treatment efficacy. We did not examine amino acid substitutions o</w:t>
      </w:r>
      <w:r w:rsidR="00BC68A1">
        <w:rPr>
          <w:rFonts w:ascii="Book Antiqua" w:hAnsi="Book Antiqua"/>
          <w:sz w:val="24"/>
          <w:szCs w:val="24"/>
        </w:rPr>
        <w:t>f the HCV core region 70 and 91</w:t>
      </w:r>
      <w:r w:rsidR="005F3D76" w:rsidRPr="00042FE3">
        <w:rPr>
          <w:rFonts w:ascii="Book Antiqua" w:hAnsi="Book Antiqua"/>
          <w:sz w:val="24"/>
          <w:szCs w:val="24"/>
          <w:vertAlign w:val="superscript"/>
        </w:rPr>
        <w:t>[</w:t>
      </w:r>
      <w:r w:rsidR="00C6366E">
        <w:rPr>
          <w:rFonts w:ascii="Book Antiqua" w:hAnsi="Book Antiqua"/>
          <w:sz w:val="24"/>
          <w:szCs w:val="24"/>
          <w:vertAlign w:val="superscript"/>
        </w:rPr>
        <w:t>23</w:t>
      </w:r>
      <w:r w:rsidR="005F3D76" w:rsidRPr="00042FE3">
        <w:rPr>
          <w:rFonts w:ascii="Book Antiqua" w:hAnsi="Book Antiqua"/>
          <w:sz w:val="24"/>
          <w:szCs w:val="24"/>
          <w:vertAlign w:val="superscript"/>
        </w:rPr>
        <w:t>]</w:t>
      </w:r>
      <w:r w:rsidR="00BC68A1">
        <w:rPr>
          <w:rFonts w:ascii="Book Antiqua" w:hAnsi="Book Antiqua" w:hint="eastAsia"/>
          <w:sz w:val="24"/>
          <w:szCs w:val="24"/>
          <w:lang w:eastAsia="zh-CN"/>
        </w:rPr>
        <w:t xml:space="preserve">, </w:t>
      </w:r>
      <w:r w:rsidRPr="00042FE3">
        <w:rPr>
          <w:rFonts w:ascii="Book Antiqua" w:hAnsi="Book Antiqua"/>
          <w:sz w:val="24"/>
          <w:szCs w:val="24"/>
        </w:rPr>
        <w:t>NS5A interferon</w:t>
      </w:r>
      <w:r w:rsidR="00BC68A1">
        <w:rPr>
          <w:rFonts w:ascii="Book Antiqua" w:hAnsi="Book Antiqua"/>
          <w:sz w:val="24"/>
          <w:szCs w:val="24"/>
        </w:rPr>
        <w:t xml:space="preserve"> sensitivity determining region</w:t>
      </w:r>
      <w:r w:rsidR="005F3D76" w:rsidRPr="00042FE3">
        <w:rPr>
          <w:rFonts w:ascii="Book Antiqua" w:hAnsi="Book Antiqua"/>
          <w:sz w:val="24"/>
          <w:szCs w:val="24"/>
          <w:vertAlign w:val="superscript"/>
        </w:rPr>
        <w:t>[</w:t>
      </w:r>
      <w:r w:rsidR="00C6366E">
        <w:rPr>
          <w:rFonts w:ascii="Book Antiqua" w:hAnsi="Book Antiqua"/>
          <w:sz w:val="24"/>
          <w:szCs w:val="24"/>
          <w:vertAlign w:val="superscript"/>
        </w:rPr>
        <w:t>25</w:t>
      </w:r>
      <w:r w:rsidR="005F3D76" w:rsidRPr="00042FE3">
        <w:rPr>
          <w:rFonts w:ascii="Book Antiqua" w:hAnsi="Book Antiqua"/>
          <w:sz w:val="24"/>
          <w:szCs w:val="24"/>
          <w:vertAlign w:val="superscript"/>
        </w:rPr>
        <w:t>]</w:t>
      </w:r>
      <w:r w:rsidR="00BC68A1">
        <w:rPr>
          <w:rFonts w:ascii="Book Antiqua" w:hAnsi="Book Antiqua" w:hint="eastAsia"/>
          <w:sz w:val="24"/>
          <w:szCs w:val="24"/>
          <w:lang w:eastAsia="zh-CN"/>
        </w:rPr>
        <w:t xml:space="preserve">, </w:t>
      </w:r>
      <w:r w:rsidRPr="00042FE3">
        <w:rPr>
          <w:rFonts w:ascii="Book Antiqua" w:hAnsi="Book Antiqua"/>
          <w:sz w:val="24"/>
          <w:szCs w:val="24"/>
        </w:rPr>
        <w:t>interferon/ribaviri</w:t>
      </w:r>
      <w:r w:rsidR="00BC68A1">
        <w:rPr>
          <w:rFonts w:ascii="Book Antiqua" w:hAnsi="Book Antiqua"/>
          <w:sz w:val="24"/>
          <w:szCs w:val="24"/>
        </w:rPr>
        <w:t>n resistance determining region</w:t>
      </w:r>
      <w:r w:rsidR="005F3D76" w:rsidRPr="00042FE3">
        <w:rPr>
          <w:rFonts w:ascii="Book Antiqua" w:hAnsi="Book Antiqua"/>
          <w:sz w:val="24"/>
          <w:szCs w:val="24"/>
          <w:vertAlign w:val="superscript"/>
        </w:rPr>
        <w:t>[</w:t>
      </w:r>
      <w:r w:rsidR="00C6366E">
        <w:rPr>
          <w:rFonts w:ascii="Book Antiqua" w:hAnsi="Book Antiqua"/>
          <w:sz w:val="24"/>
          <w:szCs w:val="24"/>
          <w:vertAlign w:val="superscript"/>
        </w:rPr>
        <w:t>26</w:t>
      </w:r>
      <w:r w:rsidR="005F3D76" w:rsidRPr="00042FE3">
        <w:rPr>
          <w:rFonts w:ascii="Book Antiqua" w:hAnsi="Book Antiqua"/>
          <w:sz w:val="24"/>
          <w:szCs w:val="24"/>
          <w:vertAlign w:val="superscript"/>
        </w:rPr>
        <w:t>]</w:t>
      </w:r>
      <w:r w:rsidR="00BC68A1">
        <w:rPr>
          <w:rFonts w:ascii="Book Antiqua" w:hAnsi="Book Antiqua" w:hint="eastAsia"/>
          <w:sz w:val="24"/>
          <w:szCs w:val="24"/>
          <w:lang w:eastAsia="zh-CN"/>
        </w:rPr>
        <w:t xml:space="preserve">, </w:t>
      </w:r>
      <w:r w:rsidRPr="00042FE3">
        <w:rPr>
          <w:rFonts w:ascii="Book Antiqua" w:hAnsi="Book Antiqua"/>
          <w:sz w:val="24"/>
          <w:szCs w:val="24"/>
        </w:rPr>
        <w:t xml:space="preserve">or resistance-associated mutations of </w:t>
      </w:r>
      <w:r w:rsidRPr="00BA1BBC">
        <w:rPr>
          <w:rFonts w:ascii="Book Antiqua" w:hAnsi="Book Antiqua"/>
          <w:sz w:val="24"/>
          <w:szCs w:val="24"/>
        </w:rPr>
        <w:t>HCV NS3/NS4 proteases</w:t>
      </w:r>
      <w:r w:rsidR="005F3D76" w:rsidRPr="00BA1BBC">
        <w:rPr>
          <w:rFonts w:ascii="Book Antiqua" w:hAnsi="Book Antiqua"/>
          <w:sz w:val="24"/>
          <w:szCs w:val="24"/>
          <w:vertAlign w:val="superscript"/>
        </w:rPr>
        <w:t>[</w:t>
      </w:r>
      <w:r w:rsidR="00C6366E">
        <w:rPr>
          <w:rFonts w:ascii="Book Antiqua" w:hAnsi="Book Antiqua"/>
          <w:sz w:val="24"/>
          <w:szCs w:val="24"/>
          <w:vertAlign w:val="superscript"/>
        </w:rPr>
        <w:t>27-29</w:t>
      </w:r>
      <w:r w:rsidR="005F3D76" w:rsidRPr="00BA1BBC">
        <w:rPr>
          <w:rFonts w:ascii="Book Antiqua" w:hAnsi="Book Antiqua"/>
          <w:sz w:val="24"/>
          <w:szCs w:val="24"/>
          <w:vertAlign w:val="superscript"/>
        </w:rPr>
        <w:t>]</w:t>
      </w:r>
      <w:r w:rsidR="005F3D76" w:rsidRPr="00BA1BBC">
        <w:rPr>
          <w:rFonts w:ascii="Book Antiqua" w:hAnsi="Book Antiqua"/>
          <w:sz w:val="24"/>
          <w:szCs w:val="24"/>
        </w:rPr>
        <w:t>.</w:t>
      </w:r>
      <w:r w:rsidRPr="00BA1BBC">
        <w:rPr>
          <w:rFonts w:ascii="Book Antiqua" w:hAnsi="Book Antiqua"/>
          <w:sz w:val="24"/>
          <w:szCs w:val="24"/>
        </w:rPr>
        <w:t xml:space="preserve"> </w:t>
      </w:r>
    </w:p>
    <w:p w14:paraId="72F4FDB0" w14:textId="5706BB9E" w:rsidR="007A4DA3" w:rsidRPr="00042FE3" w:rsidRDefault="007A4DA3" w:rsidP="004449A0">
      <w:pPr>
        <w:pStyle w:val="1"/>
        <w:spacing w:line="360" w:lineRule="auto"/>
        <w:ind w:firstLine="840"/>
        <w:rPr>
          <w:rFonts w:ascii="Book Antiqua" w:eastAsia="Times New Roman" w:hAnsi="Book Antiqua" w:cs="Times New Roman"/>
          <w:sz w:val="24"/>
          <w:szCs w:val="24"/>
        </w:rPr>
      </w:pPr>
      <w:r w:rsidRPr="00BA1BBC">
        <w:rPr>
          <w:rFonts w:ascii="Book Antiqua" w:hAnsi="Book Antiqua"/>
          <w:sz w:val="24"/>
          <w:szCs w:val="24"/>
        </w:rPr>
        <w:t>Treatment approaches</w:t>
      </w:r>
      <w:r w:rsidRPr="00042FE3">
        <w:rPr>
          <w:rFonts w:ascii="Book Antiqua" w:hAnsi="Book Antiqua"/>
          <w:sz w:val="24"/>
          <w:szCs w:val="24"/>
        </w:rPr>
        <w:t xml:space="preserve"> to CHC are rapidly changing </w:t>
      </w:r>
      <w:proofErr w:type="gramStart"/>
      <w:r w:rsidRPr="00042FE3">
        <w:rPr>
          <w:rFonts w:ascii="Book Antiqua" w:hAnsi="Book Antiqua"/>
          <w:sz w:val="24"/>
          <w:szCs w:val="24"/>
        </w:rPr>
        <w:t>worldwide</w:t>
      </w:r>
      <w:r w:rsidR="005F3D76" w:rsidRPr="00042FE3">
        <w:rPr>
          <w:rFonts w:ascii="Book Antiqua" w:hAnsi="Book Antiqua"/>
          <w:sz w:val="24"/>
          <w:szCs w:val="24"/>
          <w:vertAlign w:val="superscript"/>
        </w:rPr>
        <w:t>[</w:t>
      </w:r>
      <w:proofErr w:type="gramEnd"/>
      <w:r w:rsidRPr="00042FE3">
        <w:rPr>
          <w:rFonts w:ascii="Book Antiqua" w:hAnsi="Book Antiqua"/>
          <w:sz w:val="24"/>
          <w:szCs w:val="24"/>
          <w:vertAlign w:val="superscript"/>
        </w:rPr>
        <w:t>3</w:t>
      </w:r>
      <w:r w:rsidR="00A10C62">
        <w:rPr>
          <w:rFonts w:ascii="Book Antiqua" w:hAnsi="Book Antiqua"/>
          <w:sz w:val="24"/>
          <w:szCs w:val="24"/>
          <w:vertAlign w:val="superscript"/>
        </w:rPr>
        <w:t>0, 31</w:t>
      </w:r>
      <w:r w:rsidR="005F3D76" w:rsidRPr="00042FE3">
        <w:rPr>
          <w:rFonts w:ascii="Book Antiqua" w:hAnsi="Book Antiqua"/>
          <w:sz w:val="24"/>
          <w:szCs w:val="24"/>
          <w:vertAlign w:val="superscript"/>
        </w:rPr>
        <w:t>]</w:t>
      </w:r>
      <w:r w:rsidR="005F3D76" w:rsidRPr="00042FE3">
        <w:rPr>
          <w:rFonts w:ascii="Book Antiqua" w:hAnsi="Book Antiqua"/>
          <w:sz w:val="24"/>
          <w:szCs w:val="24"/>
        </w:rPr>
        <w:t>.</w:t>
      </w:r>
      <w:r w:rsidRPr="00627B4F">
        <w:rPr>
          <w:rFonts w:ascii="Book Antiqua" w:hAnsi="Book Antiqua"/>
          <w:sz w:val="24"/>
          <w:szCs w:val="24"/>
        </w:rPr>
        <w:t xml:space="preserve"> </w:t>
      </w:r>
      <w:r w:rsidRPr="00042FE3">
        <w:rPr>
          <w:rFonts w:ascii="Book Antiqua" w:hAnsi="Book Antiqua"/>
          <w:sz w:val="24"/>
          <w:szCs w:val="24"/>
        </w:rPr>
        <w:t>At present, direct-a</w:t>
      </w:r>
      <w:r w:rsidRPr="00BA1BBC">
        <w:rPr>
          <w:rFonts w:ascii="Book Antiqua" w:hAnsi="Book Antiqua"/>
          <w:sz w:val="24"/>
          <w:szCs w:val="24"/>
        </w:rPr>
        <w:t>cting antiviral agent (DAA) combination therapy (</w:t>
      </w:r>
      <w:proofErr w:type="spellStart"/>
      <w:r w:rsidRPr="00BA1BBC">
        <w:rPr>
          <w:rFonts w:ascii="Book Antiqua" w:hAnsi="Book Antiqua"/>
          <w:sz w:val="24"/>
          <w:szCs w:val="24"/>
        </w:rPr>
        <w:t>daclatasvir</w:t>
      </w:r>
      <w:proofErr w:type="spellEnd"/>
      <w:r w:rsidRPr="00BA1BBC">
        <w:rPr>
          <w:rFonts w:ascii="Book Antiqua" w:hAnsi="Book Antiqua"/>
          <w:sz w:val="24"/>
          <w:szCs w:val="24"/>
        </w:rPr>
        <w:t xml:space="preserve"> and </w:t>
      </w:r>
      <w:proofErr w:type="spellStart"/>
      <w:r w:rsidRPr="00BA1BBC">
        <w:rPr>
          <w:rFonts w:ascii="Book Antiqua" w:hAnsi="Book Antiqua"/>
          <w:sz w:val="24"/>
          <w:szCs w:val="24"/>
        </w:rPr>
        <w:t>asunaprevir</w:t>
      </w:r>
      <w:proofErr w:type="spellEnd"/>
      <w:r w:rsidRPr="00042FE3">
        <w:rPr>
          <w:rFonts w:ascii="Book Antiqua" w:hAnsi="Book Antiqua"/>
          <w:sz w:val="24"/>
          <w:szCs w:val="24"/>
        </w:rPr>
        <w:t>) is available for patients with HCV genotype 1 in Japan. Interferon-free DAA combination therapy has demonstrated an overall SVR12 rate of 85%</w:t>
      </w:r>
      <w:r w:rsidR="005F3D76" w:rsidRPr="00042FE3">
        <w:rPr>
          <w:rFonts w:ascii="Book Antiqua" w:hAnsi="Book Antiqua"/>
          <w:sz w:val="24"/>
          <w:szCs w:val="24"/>
          <w:vertAlign w:val="superscript"/>
        </w:rPr>
        <w:t>[</w:t>
      </w:r>
      <w:r w:rsidR="00A10C62">
        <w:rPr>
          <w:rFonts w:ascii="Book Antiqua" w:hAnsi="Book Antiqua"/>
          <w:sz w:val="24"/>
          <w:szCs w:val="24"/>
          <w:vertAlign w:val="superscript"/>
        </w:rPr>
        <w:t>32</w:t>
      </w:r>
      <w:r w:rsidR="005F3D76" w:rsidRPr="00042FE3">
        <w:rPr>
          <w:rFonts w:ascii="Book Antiqua" w:hAnsi="Book Antiqua"/>
          <w:sz w:val="24"/>
          <w:szCs w:val="24"/>
          <w:vertAlign w:val="superscript"/>
        </w:rPr>
        <w:t>]</w:t>
      </w:r>
      <w:r w:rsidR="005F3D76" w:rsidRPr="00042FE3">
        <w:rPr>
          <w:rFonts w:ascii="Book Antiqua" w:hAnsi="Book Antiqua"/>
          <w:sz w:val="24"/>
          <w:szCs w:val="24"/>
        </w:rPr>
        <w:t>.</w:t>
      </w:r>
      <w:r w:rsidRPr="00042FE3">
        <w:rPr>
          <w:rFonts w:ascii="Book Antiqua" w:hAnsi="Book Antiqua"/>
          <w:sz w:val="24"/>
          <w:szCs w:val="24"/>
        </w:rPr>
        <w:t xml:space="preserve"> Although the majority of patie</w:t>
      </w:r>
      <w:r w:rsidRPr="00BA1BBC">
        <w:rPr>
          <w:rFonts w:ascii="Book Antiqua" w:hAnsi="Book Antiqua"/>
          <w:sz w:val="24"/>
          <w:szCs w:val="24"/>
        </w:rPr>
        <w:t>nts with HCV infection may be treated with DAAs combination regimens, PEG-IFN and RBV-based treatment may still have utility in a small number of patie</w:t>
      </w:r>
      <w:r w:rsidRPr="00042FE3">
        <w:rPr>
          <w:rFonts w:ascii="Book Antiqua" w:hAnsi="Book Antiqua"/>
          <w:sz w:val="24"/>
          <w:szCs w:val="24"/>
        </w:rPr>
        <w:t>nts that do not respond to DAAs therapies.</w:t>
      </w:r>
    </w:p>
    <w:p w14:paraId="3BB54911" w14:textId="3C1BC9BD" w:rsidR="007A4DA3" w:rsidRPr="00042FE3" w:rsidRDefault="007A4DA3" w:rsidP="004449A0">
      <w:pPr>
        <w:pStyle w:val="1"/>
        <w:spacing w:line="360" w:lineRule="auto"/>
        <w:ind w:firstLine="840"/>
        <w:rPr>
          <w:rFonts w:ascii="Book Antiqua" w:hAnsi="Book Antiqua"/>
          <w:sz w:val="24"/>
          <w:szCs w:val="24"/>
        </w:rPr>
      </w:pPr>
      <w:r w:rsidRPr="00BA1BBC">
        <w:rPr>
          <w:rFonts w:ascii="Book Antiqua" w:hAnsi="Book Antiqua"/>
          <w:sz w:val="24"/>
          <w:szCs w:val="24"/>
        </w:rPr>
        <w:t>In conclusion, both TVR and SMV regimens achieved high SVR12 rates. In the original analysis, TVR appeared to demonst</w:t>
      </w:r>
      <w:r w:rsidRPr="00042FE3">
        <w:rPr>
          <w:rFonts w:ascii="Book Antiqua" w:hAnsi="Book Antiqua"/>
          <w:sz w:val="24"/>
          <w:szCs w:val="24"/>
        </w:rPr>
        <w:t xml:space="preserve">rate an increased anti-viral efficacy compared with that of SMV. After </w:t>
      </w:r>
      <w:r w:rsidRPr="00BA1BBC">
        <w:rPr>
          <w:rFonts w:ascii="Book Antiqua" w:hAnsi="Book Antiqua"/>
          <w:sz w:val="24"/>
          <w:szCs w:val="24"/>
        </w:rPr>
        <w:t xml:space="preserve">propensity score matching, the </w:t>
      </w:r>
      <w:r w:rsidRPr="00BA1BBC">
        <w:rPr>
          <w:rFonts w:ascii="Book Antiqua" w:hAnsi="Book Antiqua"/>
          <w:sz w:val="24"/>
          <w:szCs w:val="24"/>
        </w:rPr>
        <w:lastRenderedPageBreak/>
        <w:t xml:space="preserve">proportion of patients achieving a </w:t>
      </w:r>
      <w:proofErr w:type="spellStart"/>
      <w:r w:rsidRPr="00BA1BBC">
        <w:rPr>
          <w:rFonts w:ascii="Book Antiqua" w:hAnsi="Book Antiqua"/>
          <w:sz w:val="24"/>
          <w:szCs w:val="24"/>
        </w:rPr>
        <w:t>virological</w:t>
      </w:r>
      <w:proofErr w:type="spellEnd"/>
      <w:r w:rsidRPr="00BA1BBC">
        <w:rPr>
          <w:rFonts w:ascii="Book Antiqua" w:hAnsi="Book Antiqua"/>
          <w:sz w:val="24"/>
          <w:szCs w:val="24"/>
        </w:rPr>
        <w:t xml:space="preserve"> response during treatment and after</w:t>
      </w:r>
      <w:r w:rsidRPr="00042FE3">
        <w:rPr>
          <w:rFonts w:ascii="Book Antiqua" w:hAnsi="Book Antiqua"/>
          <w:sz w:val="24"/>
          <w:szCs w:val="24"/>
        </w:rPr>
        <w:t xml:space="preserve"> </w:t>
      </w:r>
      <w:r w:rsidRPr="00BA1BBC">
        <w:rPr>
          <w:rFonts w:ascii="Book Antiqua" w:hAnsi="Book Antiqua"/>
          <w:sz w:val="24"/>
          <w:szCs w:val="24"/>
        </w:rPr>
        <w:t xml:space="preserve">12 </w:t>
      </w:r>
      <w:proofErr w:type="spellStart"/>
      <w:r w:rsidR="008D2F16">
        <w:rPr>
          <w:rFonts w:ascii="Book Antiqua" w:hAnsi="Book Antiqua" w:hint="eastAsia"/>
          <w:sz w:val="24"/>
          <w:szCs w:val="24"/>
          <w:lang w:eastAsia="zh-CN"/>
        </w:rPr>
        <w:t>wk</w:t>
      </w:r>
      <w:proofErr w:type="spellEnd"/>
      <w:r w:rsidRPr="00BA1BBC">
        <w:rPr>
          <w:rFonts w:ascii="Book Antiqua" w:hAnsi="Book Antiqua"/>
          <w:sz w:val="24"/>
          <w:szCs w:val="24"/>
        </w:rPr>
        <w:t xml:space="preserve"> treatment was almost identical between the two groups. Treatment discontinuation was more frequent in the TVR group because of adverse events at the beginning of treatment; however, nonresponse and breakthrough were more frequently observed in the SMV group.</w:t>
      </w:r>
      <w:r w:rsidRPr="00042FE3">
        <w:rPr>
          <w:rFonts w:ascii="Book Antiqua" w:hAnsi="Book Antiqua"/>
          <w:sz w:val="24"/>
          <w:szCs w:val="24"/>
        </w:rPr>
        <w:t xml:space="preserve"> </w:t>
      </w:r>
    </w:p>
    <w:p w14:paraId="54FB3ECD" w14:textId="77777777" w:rsidR="00A84078" w:rsidRPr="00BC68A1" w:rsidRDefault="00A84078" w:rsidP="00A84078">
      <w:pPr>
        <w:autoSpaceDE w:val="0"/>
        <w:autoSpaceDN w:val="0"/>
        <w:adjustRightInd w:val="0"/>
        <w:snapToGrid w:val="0"/>
        <w:spacing w:line="360" w:lineRule="auto"/>
        <w:rPr>
          <w:rFonts w:ascii="Book Antiqua" w:eastAsia="宋体" w:hAnsi="Book Antiqua" w:cs="Arial"/>
          <w:b/>
          <w:sz w:val="24"/>
          <w:lang w:eastAsia="zh-CN"/>
        </w:rPr>
      </w:pPr>
    </w:p>
    <w:p w14:paraId="45A53203" w14:textId="77777777" w:rsidR="00A84078" w:rsidRPr="00712F63" w:rsidRDefault="00A84078" w:rsidP="00A84078">
      <w:pPr>
        <w:spacing w:line="360" w:lineRule="auto"/>
        <w:rPr>
          <w:rFonts w:ascii="Book Antiqua" w:hAnsi="Book Antiqua"/>
          <w:b/>
          <w:sz w:val="24"/>
        </w:rPr>
      </w:pPr>
      <w:bookmarkStart w:id="27" w:name="OLE_LINK13"/>
      <w:bookmarkStart w:id="28" w:name="OLE_LINK323"/>
      <w:bookmarkStart w:id="29" w:name="OLE_LINK349"/>
      <w:bookmarkStart w:id="30" w:name="OLE_LINK377"/>
      <w:bookmarkStart w:id="31" w:name="OLE_LINK386"/>
      <w:bookmarkStart w:id="32" w:name="OLE_LINK400"/>
      <w:bookmarkStart w:id="33" w:name="OLE_LINK416"/>
      <w:bookmarkStart w:id="34" w:name="OLE_LINK512"/>
      <w:r w:rsidRPr="00BC68A1">
        <w:rPr>
          <w:rFonts w:ascii="Book Antiqua" w:hAnsi="Book Antiqua"/>
          <w:b/>
          <w:sz w:val="24"/>
        </w:rPr>
        <w:t>COMMENTS</w:t>
      </w:r>
    </w:p>
    <w:p w14:paraId="6536E58E" w14:textId="29225BDE" w:rsidR="004D77DA" w:rsidRPr="00712F63" w:rsidRDefault="004D77DA" w:rsidP="004D77DA">
      <w:pPr>
        <w:spacing w:line="360" w:lineRule="auto"/>
        <w:rPr>
          <w:rFonts w:ascii="Book Antiqua" w:hAnsi="Book Antiqua"/>
          <w:b/>
          <w:i/>
          <w:sz w:val="24"/>
        </w:rPr>
      </w:pPr>
      <w:r w:rsidRPr="00712F63">
        <w:rPr>
          <w:rFonts w:ascii="Book Antiqua" w:hAnsi="Book Antiqua"/>
          <w:b/>
          <w:i/>
          <w:sz w:val="24"/>
        </w:rPr>
        <w:t>Background</w:t>
      </w:r>
    </w:p>
    <w:p w14:paraId="06116469" w14:textId="38CC8891" w:rsidR="004D77DA" w:rsidRPr="00C46431" w:rsidRDefault="004D77DA" w:rsidP="004D77DA">
      <w:pPr>
        <w:spacing w:line="360" w:lineRule="auto"/>
        <w:rPr>
          <w:rFonts w:ascii="Book Antiqua" w:hAnsi="Book Antiqua"/>
          <w:sz w:val="24"/>
        </w:rPr>
      </w:pPr>
      <w:r w:rsidRPr="00C46431">
        <w:rPr>
          <w:rFonts w:ascii="Book Antiqua" w:hAnsi="Book Antiqua"/>
          <w:sz w:val="24"/>
        </w:rPr>
        <w:t xml:space="preserve">The combination of </w:t>
      </w:r>
      <w:proofErr w:type="spellStart"/>
      <w:r w:rsidRPr="00C46431">
        <w:rPr>
          <w:rFonts w:ascii="Book Antiqua" w:hAnsi="Book Antiqua"/>
          <w:sz w:val="24"/>
        </w:rPr>
        <w:t>pegylated</w:t>
      </w:r>
      <w:proofErr w:type="spellEnd"/>
      <w:r w:rsidRPr="00C46431">
        <w:rPr>
          <w:rFonts w:ascii="Book Antiqua" w:hAnsi="Book Antiqua"/>
          <w:sz w:val="24"/>
        </w:rPr>
        <w:t xml:space="preserve"> interferon (PEG-IFN) and ribavirin (RBV) dual therapy was previously the standard care for chronic hepatitis C (CHC). Novel drug classes, including inhibitors of the NS3/NS4 protease of </w:t>
      </w:r>
      <w:r w:rsidR="00BC68A1" w:rsidRPr="00BC68A1">
        <w:rPr>
          <w:rFonts w:ascii="Book Antiqua" w:hAnsi="Book Antiqua"/>
          <w:sz w:val="24"/>
        </w:rPr>
        <w:t xml:space="preserve">hepatitis C virus </w:t>
      </w:r>
      <w:r w:rsidR="00BC68A1">
        <w:rPr>
          <w:rFonts w:ascii="Book Antiqua" w:eastAsia="宋体" w:hAnsi="Book Antiqua" w:hint="eastAsia"/>
          <w:sz w:val="24"/>
          <w:lang w:eastAsia="zh-CN"/>
        </w:rPr>
        <w:t>(</w:t>
      </w:r>
      <w:r w:rsidRPr="00C46431">
        <w:rPr>
          <w:rFonts w:ascii="Book Antiqua" w:hAnsi="Book Antiqua"/>
          <w:sz w:val="24"/>
        </w:rPr>
        <w:t>HCV</w:t>
      </w:r>
      <w:r w:rsidR="00BC68A1">
        <w:rPr>
          <w:rFonts w:ascii="Book Antiqua" w:eastAsia="宋体" w:hAnsi="Book Antiqua" w:hint="eastAsia"/>
          <w:sz w:val="24"/>
          <w:lang w:eastAsia="zh-CN"/>
        </w:rPr>
        <w:t>)</w:t>
      </w:r>
      <w:r w:rsidRPr="00C46431">
        <w:rPr>
          <w:rFonts w:ascii="Book Antiqua" w:hAnsi="Book Antiqua"/>
          <w:sz w:val="24"/>
        </w:rPr>
        <w:t xml:space="preserve"> polyprotein (protease inhibitors), have recently become available. Of these, </w:t>
      </w:r>
      <w:proofErr w:type="spellStart"/>
      <w:r w:rsidRPr="00C46431">
        <w:rPr>
          <w:rFonts w:ascii="Book Antiqua" w:hAnsi="Book Antiqua"/>
          <w:sz w:val="24"/>
        </w:rPr>
        <w:t>telaprevir</w:t>
      </w:r>
      <w:proofErr w:type="spellEnd"/>
      <w:r w:rsidRPr="00C46431">
        <w:rPr>
          <w:rFonts w:ascii="Book Antiqua" w:hAnsi="Book Antiqua"/>
          <w:sz w:val="24"/>
        </w:rPr>
        <w:t xml:space="preserve"> (TVR) triple combination therapy (TVR, PEG-IFN, and RBV) was the first to be approved in Japan in December 2011.  </w:t>
      </w:r>
      <w:proofErr w:type="spellStart"/>
      <w:r w:rsidRPr="00C46431">
        <w:rPr>
          <w:rFonts w:ascii="Book Antiqua" w:hAnsi="Book Antiqua"/>
          <w:sz w:val="24"/>
        </w:rPr>
        <w:t>Simeprevir</w:t>
      </w:r>
      <w:proofErr w:type="spellEnd"/>
      <w:r w:rsidRPr="00C46431">
        <w:rPr>
          <w:rFonts w:ascii="Book Antiqua" w:hAnsi="Book Antiqua"/>
          <w:sz w:val="24"/>
        </w:rPr>
        <w:t xml:space="preserve"> (SMV), second generation protease inhibitor, was approved in Japan in December 2013. “Drug lag” between TVR and SMV, causing a difference in clinical backgrounds between the two regimens prior to treatment initiation, prevented fair comparison of the efficacy of TVR and SMV in real-world clinical practice.</w:t>
      </w:r>
    </w:p>
    <w:p w14:paraId="24776CA4" w14:textId="77777777" w:rsidR="00BC68A1" w:rsidRDefault="00BC68A1" w:rsidP="004D77DA">
      <w:pPr>
        <w:spacing w:line="360" w:lineRule="auto"/>
        <w:rPr>
          <w:rFonts w:ascii="Book Antiqua" w:eastAsia="宋体" w:hAnsi="Book Antiqua"/>
          <w:b/>
          <w:i/>
          <w:sz w:val="24"/>
          <w:lang w:eastAsia="zh-CN"/>
        </w:rPr>
      </w:pPr>
    </w:p>
    <w:p w14:paraId="659F0337" w14:textId="77777777" w:rsidR="004D77DA" w:rsidRPr="00712F63" w:rsidRDefault="004D77DA" w:rsidP="004D77DA">
      <w:pPr>
        <w:spacing w:line="360" w:lineRule="auto"/>
        <w:rPr>
          <w:rFonts w:ascii="Book Antiqua" w:hAnsi="Book Antiqua"/>
          <w:b/>
          <w:i/>
          <w:sz w:val="24"/>
        </w:rPr>
      </w:pPr>
      <w:r w:rsidRPr="00712F63">
        <w:rPr>
          <w:rFonts w:ascii="Book Antiqua" w:hAnsi="Book Antiqua"/>
          <w:b/>
          <w:i/>
          <w:sz w:val="24"/>
        </w:rPr>
        <w:t>Research frontiers</w:t>
      </w:r>
    </w:p>
    <w:p w14:paraId="204B3065" w14:textId="77777777" w:rsidR="004D77DA" w:rsidRDefault="004D77DA" w:rsidP="004D77DA">
      <w:pPr>
        <w:spacing w:line="360" w:lineRule="auto"/>
        <w:rPr>
          <w:rFonts w:ascii="Book Antiqua" w:eastAsia="宋体" w:hAnsi="Book Antiqua"/>
          <w:sz w:val="24"/>
          <w:lang w:eastAsia="zh-CN"/>
        </w:rPr>
      </w:pPr>
      <w:r w:rsidRPr="00C46431">
        <w:rPr>
          <w:rFonts w:ascii="Book Antiqua" w:hAnsi="Book Antiqua"/>
          <w:sz w:val="24"/>
        </w:rPr>
        <w:t xml:space="preserve">The </w:t>
      </w:r>
      <w:r>
        <w:rPr>
          <w:rFonts w:ascii="Book Antiqua" w:hAnsi="Book Antiqua"/>
          <w:sz w:val="24"/>
        </w:rPr>
        <w:t xml:space="preserve">authors’ group </w:t>
      </w:r>
      <w:r w:rsidRPr="00C46431">
        <w:rPr>
          <w:rFonts w:ascii="Book Antiqua" w:hAnsi="Book Antiqua"/>
          <w:sz w:val="24"/>
        </w:rPr>
        <w:t>evaluate</w:t>
      </w:r>
      <w:r>
        <w:rPr>
          <w:rFonts w:ascii="Book Antiqua" w:hAnsi="Book Antiqua"/>
          <w:sz w:val="24"/>
        </w:rPr>
        <w:t>d</w:t>
      </w:r>
      <w:r w:rsidRPr="00C46431">
        <w:rPr>
          <w:rFonts w:ascii="Book Antiqua" w:hAnsi="Book Antiqua"/>
          <w:sz w:val="24"/>
        </w:rPr>
        <w:t xml:space="preserve"> and compare</w:t>
      </w:r>
      <w:r>
        <w:rPr>
          <w:rFonts w:ascii="Book Antiqua" w:hAnsi="Book Antiqua"/>
          <w:sz w:val="24"/>
        </w:rPr>
        <w:t>d</w:t>
      </w:r>
      <w:r w:rsidRPr="00C46431">
        <w:rPr>
          <w:rFonts w:ascii="Book Antiqua" w:hAnsi="Book Antiqua"/>
          <w:sz w:val="24"/>
        </w:rPr>
        <w:t xml:space="preserve"> the efficacy of TVR or SMV for the treatment of CHC patients in Japan</w:t>
      </w:r>
      <w:r>
        <w:rPr>
          <w:rFonts w:ascii="Book Antiqua" w:hAnsi="Book Antiqua"/>
          <w:sz w:val="24"/>
        </w:rPr>
        <w:t xml:space="preserve"> with </w:t>
      </w:r>
      <w:r w:rsidRPr="00BF1C7D">
        <w:rPr>
          <w:rFonts w:ascii="Book Antiqua" w:hAnsi="Book Antiqua"/>
          <w:sz w:val="24"/>
        </w:rPr>
        <w:t xml:space="preserve">propensity score matching </w:t>
      </w:r>
      <w:r>
        <w:rPr>
          <w:rFonts w:ascii="Book Antiqua" w:hAnsi="Book Antiqua"/>
          <w:sz w:val="24"/>
        </w:rPr>
        <w:t>t</w:t>
      </w:r>
      <w:r w:rsidRPr="00BF1C7D">
        <w:rPr>
          <w:rFonts w:ascii="Book Antiqua" w:hAnsi="Book Antiqua"/>
          <w:sz w:val="24"/>
        </w:rPr>
        <w:t xml:space="preserve">o adjust for patient background between </w:t>
      </w:r>
      <w:r>
        <w:rPr>
          <w:rFonts w:ascii="Book Antiqua" w:hAnsi="Book Antiqua"/>
          <w:sz w:val="24"/>
        </w:rPr>
        <w:t>two</w:t>
      </w:r>
      <w:r w:rsidRPr="00BF1C7D">
        <w:rPr>
          <w:rFonts w:ascii="Book Antiqua" w:hAnsi="Book Antiqua"/>
          <w:sz w:val="24"/>
        </w:rPr>
        <w:t xml:space="preserve"> groups</w:t>
      </w:r>
      <w:r>
        <w:rPr>
          <w:rFonts w:ascii="Book Antiqua" w:hAnsi="Book Antiqua"/>
          <w:sz w:val="24"/>
        </w:rPr>
        <w:t>.</w:t>
      </w:r>
    </w:p>
    <w:p w14:paraId="148F8D66" w14:textId="77777777" w:rsidR="00BC68A1" w:rsidRPr="00BC68A1" w:rsidRDefault="00BC68A1" w:rsidP="004D77DA">
      <w:pPr>
        <w:spacing w:line="360" w:lineRule="auto"/>
        <w:rPr>
          <w:rFonts w:ascii="Book Antiqua" w:eastAsia="宋体" w:hAnsi="Book Antiqua"/>
          <w:sz w:val="24"/>
          <w:lang w:eastAsia="zh-CN"/>
        </w:rPr>
      </w:pPr>
    </w:p>
    <w:p w14:paraId="46E20976" w14:textId="77777777" w:rsidR="004D77DA" w:rsidRPr="00712F63" w:rsidRDefault="004D77DA" w:rsidP="004D77DA">
      <w:pPr>
        <w:spacing w:line="360" w:lineRule="auto"/>
        <w:rPr>
          <w:rFonts w:ascii="Book Antiqua" w:hAnsi="Book Antiqua"/>
          <w:b/>
          <w:i/>
          <w:sz w:val="24"/>
        </w:rPr>
      </w:pPr>
      <w:r w:rsidRPr="00712F63">
        <w:rPr>
          <w:rFonts w:ascii="Book Antiqua" w:hAnsi="Book Antiqua"/>
          <w:b/>
          <w:i/>
          <w:sz w:val="24"/>
        </w:rPr>
        <w:lastRenderedPageBreak/>
        <w:t>Innovations and breakthroughs</w:t>
      </w:r>
    </w:p>
    <w:p w14:paraId="6891CA1C" w14:textId="72AD080C" w:rsidR="004D77DA" w:rsidRDefault="004D77DA" w:rsidP="004D77DA">
      <w:pPr>
        <w:spacing w:line="360" w:lineRule="auto"/>
        <w:rPr>
          <w:rFonts w:ascii="Book Antiqua" w:eastAsia="宋体" w:hAnsi="Book Antiqua"/>
          <w:sz w:val="24"/>
          <w:lang w:eastAsia="zh-CN"/>
        </w:rPr>
      </w:pPr>
      <w:r w:rsidRPr="0009348B">
        <w:rPr>
          <w:rFonts w:ascii="Book Antiqua" w:hAnsi="Book Antiqua"/>
          <w:sz w:val="24"/>
        </w:rPr>
        <w:t xml:space="preserve">Before adjustment, the proportion of patients achieving </w:t>
      </w:r>
      <w:proofErr w:type="spellStart"/>
      <w:r w:rsidRPr="0009348B">
        <w:rPr>
          <w:rFonts w:ascii="Book Antiqua" w:hAnsi="Book Antiqua"/>
          <w:sz w:val="24"/>
        </w:rPr>
        <w:t>virological</w:t>
      </w:r>
      <w:proofErr w:type="spellEnd"/>
      <w:r w:rsidRPr="0009348B">
        <w:rPr>
          <w:rFonts w:ascii="Book Antiqua" w:hAnsi="Book Antiqua"/>
          <w:sz w:val="24"/>
        </w:rPr>
        <w:t xml:space="preserve"> responses significantly differed between the TVR group and SMV group. In general, a greater proportion of patients in the TVR group had a </w:t>
      </w:r>
      <w:proofErr w:type="spellStart"/>
      <w:r w:rsidRPr="0009348B">
        <w:rPr>
          <w:rFonts w:ascii="Book Antiqua" w:hAnsi="Book Antiqua"/>
          <w:sz w:val="24"/>
        </w:rPr>
        <w:t>virological</w:t>
      </w:r>
      <w:proofErr w:type="spellEnd"/>
      <w:r w:rsidRPr="0009348B">
        <w:rPr>
          <w:rFonts w:ascii="Book Antiqua" w:hAnsi="Book Antiqua"/>
          <w:sz w:val="24"/>
        </w:rPr>
        <w:t xml:space="preserve"> resp</w:t>
      </w:r>
      <w:r>
        <w:rPr>
          <w:rFonts w:ascii="Book Antiqua" w:hAnsi="Book Antiqua"/>
          <w:sz w:val="24"/>
        </w:rPr>
        <w:t>onse than that in the SMV group</w:t>
      </w:r>
      <w:r w:rsidRPr="0009348B">
        <w:rPr>
          <w:rFonts w:ascii="Book Antiqua" w:hAnsi="Book Antiqua"/>
          <w:sz w:val="24"/>
        </w:rPr>
        <w:t xml:space="preserve">. After one-to-one propensity score matching, the proportions of patients achieving a </w:t>
      </w:r>
      <w:proofErr w:type="spellStart"/>
      <w:r w:rsidRPr="0009348B">
        <w:rPr>
          <w:rFonts w:ascii="Book Antiqua" w:hAnsi="Book Antiqua"/>
          <w:sz w:val="24"/>
        </w:rPr>
        <w:t>virological</w:t>
      </w:r>
      <w:proofErr w:type="spellEnd"/>
      <w:r w:rsidRPr="0009348B">
        <w:rPr>
          <w:rFonts w:ascii="Book Antiqua" w:hAnsi="Book Antiqua"/>
          <w:sz w:val="24"/>
        </w:rPr>
        <w:t xml:space="preserve"> response during treatment and after 12 </w:t>
      </w:r>
      <w:proofErr w:type="spellStart"/>
      <w:r w:rsidR="00BC68A1">
        <w:rPr>
          <w:rFonts w:ascii="Book Antiqua" w:eastAsia="宋体" w:hAnsi="Book Antiqua" w:hint="eastAsia"/>
          <w:sz w:val="24"/>
          <w:lang w:eastAsia="zh-CN"/>
        </w:rPr>
        <w:t>wk</w:t>
      </w:r>
      <w:proofErr w:type="spellEnd"/>
      <w:r w:rsidRPr="0009348B">
        <w:rPr>
          <w:rFonts w:ascii="Book Antiqua" w:hAnsi="Book Antiqua"/>
          <w:sz w:val="24"/>
        </w:rPr>
        <w:t xml:space="preserve"> treatment were similar between the two groups.</w:t>
      </w:r>
    </w:p>
    <w:p w14:paraId="62302FE9" w14:textId="77777777" w:rsidR="00BC68A1" w:rsidRPr="00BC68A1" w:rsidRDefault="00BC68A1" w:rsidP="004D77DA">
      <w:pPr>
        <w:spacing w:line="360" w:lineRule="auto"/>
        <w:rPr>
          <w:rFonts w:ascii="Book Antiqua" w:eastAsia="宋体" w:hAnsi="Book Antiqua"/>
          <w:sz w:val="24"/>
          <w:lang w:eastAsia="zh-CN"/>
        </w:rPr>
      </w:pPr>
    </w:p>
    <w:p w14:paraId="3C0370A2" w14:textId="77777777" w:rsidR="004D77DA" w:rsidRPr="00712F63" w:rsidRDefault="004D77DA" w:rsidP="004D77DA">
      <w:pPr>
        <w:spacing w:line="360" w:lineRule="auto"/>
        <w:rPr>
          <w:rFonts w:ascii="Book Antiqua" w:hAnsi="Book Antiqua"/>
          <w:b/>
          <w:i/>
          <w:sz w:val="24"/>
        </w:rPr>
      </w:pPr>
      <w:r w:rsidRPr="00712F63">
        <w:rPr>
          <w:rFonts w:ascii="Book Antiqua" w:hAnsi="Book Antiqua"/>
          <w:b/>
          <w:i/>
          <w:sz w:val="24"/>
        </w:rPr>
        <w:t>Applications</w:t>
      </w:r>
    </w:p>
    <w:p w14:paraId="6B04D63C" w14:textId="77777777" w:rsidR="004D77DA" w:rsidRDefault="004D77DA" w:rsidP="004D77DA">
      <w:pPr>
        <w:spacing w:line="360" w:lineRule="auto"/>
        <w:rPr>
          <w:rFonts w:ascii="Book Antiqua" w:eastAsia="宋体" w:hAnsi="Book Antiqua"/>
          <w:sz w:val="24"/>
          <w:lang w:eastAsia="zh-CN"/>
        </w:rPr>
      </w:pPr>
      <w:r w:rsidRPr="0009348B">
        <w:rPr>
          <w:rFonts w:ascii="Book Antiqua" w:hAnsi="Book Antiqua"/>
          <w:sz w:val="24"/>
        </w:rPr>
        <w:t xml:space="preserve">In the TVR group, the proportion of patients achieving a </w:t>
      </w:r>
      <w:proofErr w:type="spellStart"/>
      <w:r w:rsidRPr="0009348B">
        <w:rPr>
          <w:rFonts w:ascii="Book Antiqua" w:hAnsi="Book Antiqua"/>
          <w:sz w:val="24"/>
        </w:rPr>
        <w:t>virological</w:t>
      </w:r>
      <w:proofErr w:type="spellEnd"/>
      <w:r w:rsidRPr="0009348B">
        <w:rPr>
          <w:rFonts w:ascii="Book Antiqua" w:hAnsi="Book Antiqua"/>
          <w:sz w:val="24"/>
        </w:rPr>
        <w:t xml:space="preserve"> response was higher than in the SMV group according to the original data. A number of patients discontinued TVR therapy because of adverse events at the beginning of treatment. </w:t>
      </w:r>
      <w:r>
        <w:rPr>
          <w:rFonts w:ascii="Book Antiqua" w:hAnsi="Book Antiqua"/>
          <w:sz w:val="24"/>
        </w:rPr>
        <w:t>B</w:t>
      </w:r>
      <w:r w:rsidRPr="0009348B">
        <w:rPr>
          <w:rFonts w:ascii="Book Antiqua" w:hAnsi="Book Antiqua"/>
          <w:sz w:val="24"/>
        </w:rPr>
        <w:t>reakthrough and nonresponse was more frequent in the SMV group. After propensity score matching, this difference diminished and SVR12 rates were similar between the two groups.</w:t>
      </w:r>
    </w:p>
    <w:p w14:paraId="731AA20D" w14:textId="77777777" w:rsidR="00BC68A1" w:rsidRPr="00BC68A1" w:rsidRDefault="00BC68A1" w:rsidP="004D77DA">
      <w:pPr>
        <w:spacing w:line="360" w:lineRule="auto"/>
        <w:rPr>
          <w:rFonts w:ascii="Book Antiqua" w:eastAsia="宋体" w:hAnsi="Book Antiqua"/>
          <w:sz w:val="24"/>
          <w:lang w:eastAsia="zh-CN"/>
        </w:rPr>
      </w:pPr>
    </w:p>
    <w:p w14:paraId="7418B0C1" w14:textId="77777777" w:rsidR="004D77DA" w:rsidRPr="00712F63" w:rsidRDefault="004D77DA" w:rsidP="004D77DA">
      <w:pPr>
        <w:spacing w:line="360" w:lineRule="auto"/>
        <w:rPr>
          <w:rFonts w:ascii="Book Antiqua" w:hAnsi="Book Antiqua"/>
          <w:b/>
          <w:i/>
          <w:sz w:val="24"/>
        </w:rPr>
      </w:pPr>
      <w:r w:rsidRPr="00712F63">
        <w:rPr>
          <w:rFonts w:ascii="Book Antiqua" w:hAnsi="Book Antiqua"/>
          <w:b/>
          <w:i/>
          <w:sz w:val="24"/>
        </w:rPr>
        <w:t>Terminology</w:t>
      </w:r>
    </w:p>
    <w:p w14:paraId="7241C60F" w14:textId="72965AD8" w:rsidR="004D77DA" w:rsidRDefault="00BC68A1" w:rsidP="004D77DA">
      <w:pPr>
        <w:spacing w:line="360" w:lineRule="auto"/>
        <w:rPr>
          <w:rFonts w:ascii="Book Antiqua" w:hAnsi="Book Antiqua"/>
          <w:sz w:val="24"/>
        </w:rPr>
      </w:pPr>
      <w:r>
        <w:rPr>
          <w:rFonts w:ascii="Book Antiqua" w:hAnsi="Book Antiqua"/>
          <w:sz w:val="24"/>
        </w:rPr>
        <w:t>TVR</w:t>
      </w:r>
      <w:r w:rsidR="004D77DA" w:rsidRPr="0009348B">
        <w:rPr>
          <w:rFonts w:ascii="Book Antiqua" w:hAnsi="Book Antiqua"/>
          <w:sz w:val="24"/>
        </w:rPr>
        <w:t xml:space="preserve"> </w:t>
      </w:r>
      <w:r w:rsidR="004D77DA">
        <w:rPr>
          <w:rFonts w:ascii="Book Antiqua" w:hAnsi="Book Antiqua"/>
          <w:sz w:val="24"/>
        </w:rPr>
        <w:t xml:space="preserve">is the first </w:t>
      </w:r>
      <w:r w:rsidR="004D77DA" w:rsidRPr="007706A2">
        <w:rPr>
          <w:rFonts w:ascii="Book Antiqua" w:hAnsi="Book Antiqua"/>
          <w:sz w:val="24"/>
        </w:rPr>
        <w:t>inhibitor of the NS3/NS4 protease of HCV polyprotein (protease inhibitors)</w:t>
      </w:r>
      <w:r w:rsidR="004D77DA" w:rsidRPr="0009348B">
        <w:rPr>
          <w:rFonts w:ascii="Book Antiqua" w:hAnsi="Book Antiqua"/>
          <w:sz w:val="24"/>
        </w:rPr>
        <w:t xml:space="preserve"> in Japan</w:t>
      </w:r>
      <w:r w:rsidR="004D77DA">
        <w:rPr>
          <w:rFonts w:ascii="Book Antiqua" w:hAnsi="Book Antiqua"/>
          <w:sz w:val="24"/>
        </w:rPr>
        <w:t>.</w:t>
      </w:r>
      <w:r w:rsidR="004D77DA" w:rsidRPr="0009348B">
        <w:rPr>
          <w:rFonts w:ascii="Book Antiqua" w:hAnsi="Book Antiqua"/>
          <w:sz w:val="24"/>
        </w:rPr>
        <w:t xml:space="preserve"> </w:t>
      </w:r>
      <w:r>
        <w:rPr>
          <w:rFonts w:ascii="Book Antiqua" w:hAnsi="Book Antiqua"/>
          <w:sz w:val="24"/>
        </w:rPr>
        <w:t>SMV</w:t>
      </w:r>
      <w:r>
        <w:rPr>
          <w:rFonts w:ascii="Book Antiqua" w:eastAsia="宋体" w:hAnsi="Book Antiqua" w:hint="eastAsia"/>
          <w:sz w:val="24"/>
          <w:lang w:eastAsia="zh-CN"/>
        </w:rPr>
        <w:t xml:space="preserve"> </w:t>
      </w:r>
      <w:r w:rsidR="004D77DA" w:rsidRPr="007706A2">
        <w:rPr>
          <w:rFonts w:ascii="Book Antiqua" w:hAnsi="Book Antiqua"/>
          <w:sz w:val="24"/>
        </w:rPr>
        <w:t>is a second generation NS3/NS4 protease inhibitor</w:t>
      </w:r>
      <w:r w:rsidR="004D77DA">
        <w:rPr>
          <w:rFonts w:ascii="Book Antiqua" w:hAnsi="Book Antiqua"/>
          <w:sz w:val="24"/>
        </w:rPr>
        <w:t>.</w:t>
      </w:r>
      <w:r w:rsidR="00A36D9B">
        <w:rPr>
          <w:rFonts w:ascii="Book Antiqua" w:hAnsi="Book Antiqua"/>
          <w:sz w:val="24"/>
        </w:rPr>
        <w:t xml:space="preserve"> P</w:t>
      </w:r>
      <w:r w:rsidR="00A36D9B" w:rsidRPr="00A36D9B">
        <w:rPr>
          <w:rFonts w:ascii="Book Antiqua" w:hAnsi="Book Antiqua"/>
          <w:sz w:val="24"/>
        </w:rPr>
        <w:t xml:space="preserve">ropensity score matching attempt </w:t>
      </w:r>
      <w:r w:rsidR="00A36D9B">
        <w:rPr>
          <w:rFonts w:ascii="Book Antiqua" w:hAnsi="Book Antiqua"/>
          <w:sz w:val="24"/>
        </w:rPr>
        <w:t xml:space="preserve">is used </w:t>
      </w:r>
      <w:r w:rsidR="00A36D9B" w:rsidRPr="00A36D9B">
        <w:rPr>
          <w:rFonts w:ascii="Book Antiqua" w:hAnsi="Book Antiqua"/>
          <w:sz w:val="24"/>
        </w:rPr>
        <w:t xml:space="preserve">to reduce the </w:t>
      </w:r>
      <w:r w:rsidR="00A36D9B">
        <w:rPr>
          <w:rFonts w:ascii="Book Antiqua" w:hAnsi="Book Antiqua"/>
          <w:sz w:val="24"/>
        </w:rPr>
        <w:t>background difference between TVR and SMV groups.</w:t>
      </w:r>
    </w:p>
    <w:p w14:paraId="605827A8" w14:textId="77777777" w:rsidR="004D77DA" w:rsidRPr="0009348B" w:rsidRDefault="004D77DA" w:rsidP="004D77DA">
      <w:pPr>
        <w:spacing w:line="360" w:lineRule="auto"/>
        <w:rPr>
          <w:rFonts w:ascii="Book Antiqua" w:hAnsi="Book Antiqua"/>
          <w:sz w:val="24"/>
        </w:rPr>
      </w:pPr>
    </w:p>
    <w:p w14:paraId="30F63BC3" w14:textId="77777777" w:rsidR="004D77DA" w:rsidRPr="0009348B" w:rsidRDefault="004D77DA" w:rsidP="00BC68A1">
      <w:pPr>
        <w:spacing w:line="360" w:lineRule="auto"/>
        <w:rPr>
          <w:rFonts w:ascii="Book Antiqua" w:hAnsi="Book Antiqua"/>
          <w:b/>
          <w:i/>
          <w:sz w:val="24"/>
        </w:rPr>
      </w:pPr>
      <w:r w:rsidRPr="0009348B">
        <w:rPr>
          <w:rFonts w:ascii="Book Antiqua" w:hAnsi="Book Antiqua"/>
          <w:b/>
          <w:i/>
          <w:sz w:val="24"/>
        </w:rPr>
        <w:t>Peer</w:t>
      </w:r>
      <w:r w:rsidRPr="0009348B">
        <w:rPr>
          <w:rFonts w:ascii="Book Antiqua" w:hAnsi="Book Antiqua" w:hint="eastAsia"/>
          <w:b/>
          <w:i/>
          <w:sz w:val="24"/>
        </w:rPr>
        <w:t>-</w:t>
      </w:r>
      <w:r w:rsidRPr="0009348B">
        <w:rPr>
          <w:rFonts w:ascii="Book Antiqua" w:hAnsi="Book Antiqua"/>
          <w:b/>
          <w:i/>
          <w:sz w:val="24"/>
        </w:rPr>
        <w:t>review</w:t>
      </w:r>
    </w:p>
    <w:p w14:paraId="715F789C" w14:textId="77777777" w:rsidR="004D77DA" w:rsidRPr="00746088" w:rsidRDefault="004D77DA" w:rsidP="00BC68A1">
      <w:pPr>
        <w:spacing w:line="360" w:lineRule="auto"/>
        <w:rPr>
          <w:rFonts w:ascii="Book Antiqua" w:hAnsi="Book Antiqua"/>
          <w:sz w:val="24"/>
        </w:rPr>
      </w:pPr>
      <w:r>
        <w:rPr>
          <w:rFonts w:ascii="Book Antiqua" w:hAnsi="Book Antiqua"/>
          <w:sz w:val="24"/>
        </w:rPr>
        <w:t>T</w:t>
      </w:r>
      <w:r w:rsidRPr="00746088">
        <w:rPr>
          <w:rFonts w:ascii="Book Antiqua" w:hAnsi="Book Antiqua"/>
          <w:sz w:val="24"/>
        </w:rPr>
        <w:t xml:space="preserve">he article is well written. It's clear and can help us to understand the new drug </w:t>
      </w:r>
      <w:r w:rsidRPr="00746088">
        <w:rPr>
          <w:rFonts w:ascii="Book Antiqua" w:hAnsi="Book Antiqua"/>
          <w:sz w:val="24"/>
        </w:rPr>
        <w:lastRenderedPageBreak/>
        <w:t>treatment efficiency in a big cohort of HCV patience.</w:t>
      </w:r>
    </w:p>
    <w:p w14:paraId="457DADDE" w14:textId="77777777" w:rsidR="004D77DA" w:rsidRDefault="004D77DA" w:rsidP="00A84078">
      <w:pPr>
        <w:spacing w:line="360" w:lineRule="auto"/>
        <w:rPr>
          <w:rFonts w:ascii="Book Antiqua" w:hAnsi="Book Antiqua"/>
          <w:b/>
          <w:i/>
          <w:sz w:val="24"/>
        </w:rPr>
      </w:pPr>
    </w:p>
    <w:p w14:paraId="0183E582" w14:textId="77777777" w:rsidR="004D77DA" w:rsidRDefault="004D77DA" w:rsidP="00A84078">
      <w:pPr>
        <w:spacing w:line="360" w:lineRule="auto"/>
        <w:rPr>
          <w:rFonts w:ascii="Book Antiqua" w:hAnsi="Book Antiqua"/>
          <w:b/>
          <w:i/>
          <w:sz w:val="24"/>
        </w:rPr>
      </w:pPr>
    </w:p>
    <w:bookmarkEnd w:id="27"/>
    <w:bookmarkEnd w:id="28"/>
    <w:bookmarkEnd w:id="29"/>
    <w:bookmarkEnd w:id="30"/>
    <w:bookmarkEnd w:id="31"/>
    <w:bookmarkEnd w:id="32"/>
    <w:bookmarkEnd w:id="33"/>
    <w:bookmarkEnd w:id="34"/>
    <w:p w14:paraId="27E39955" w14:textId="77777777" w:rsidR="004449A0" w:rsidRPr="00042FE3" w:rsidRDefault="004449A0">
      <w:pPr>
        <w:widowControl/>
        <w:jc w:val="left"/>
        <w:rPr>
          <w:rFonts w:ascii="Book Antiqua" w:eastAsia="Times New Roman" w:hAnsi="Book Antiqua" w:cs="Times New Roman"/>
          <w:color w:val="000000" w:themeColor="text1"/>
          <w:sz w:val="24"/>
          <w:szCs w:val="24"/>
          <w:u w:color="000000"/>
          <w:bdr w:val="nil"/>
        </w:rPr>
      </w:pPr>
      <w:r w:rsidRPr="00042FE3">
        <w:rPr>
          <w:rFonts w:ascii="Book Antiqua" w:eastAsia="Times New Roman" w:hAnsi="Book Antiqua" w:cs="Times New Roman"/>
          <w:color w:val="000000" w:themeColor="text1"/>
          <w:sz w:val="24"/>
          <w:szCs w:val="24"/>
        </w:rPr>
        <w:br w:type="page"/>
      </w:r>
    </w:p>
    <w:p w14:paraId="67D6C29E" w14:textId="4FC2E11A" w:rsidR="004449A0" w:rsidRPr="003E7E19" w:rsidRDefault="004449A0" w:rsidP="004449A0">
      <w:pPr>
        <w:pStyle w:val="1"/>
        <w:spacing w:line="360" w:lineRule="auto"/>
        <w:rPr>
          <w:rFonts w:ascii="Book Antiqua" w:eastAsia="Times New Roman" w:hAnsi="Book Antiqua" w:cs="Times New Roman"/>
          <w:b/>
          <w:color w:val="000000" w:themeColor="text1"/>
          <w:sz w:val="24"/>
          <w:szCs w:val="24"/>
        </w:rPr>
      </w:pPr>
      <w:r w:rsidRPr="003E7E19">
        <w:rPr>
          <w:rFonts w:ascii="Book Antiqua" w:eastAsia="Times New Roman" w:hAnsi="Book Antiqua" w:cs="Times New Roman"/>
          <w:b/>
          <w:color w:val="000000" w:themeColor="text1"/>
          <w:sz w:val="24"/>
          <w:szCs w:val="24"/>
        </w:rPr>
        <w:lastRenderedPageBreak/>
        <w:t>R</w:t>
      </w:r>
      <w:r w:rsidR="00AE6682">
        <w:rPr>
          <w:rFonts w:ascii="Book Antiqua" w:eastAsia="Times New Roman" w:hAnsi="Book Antiqua" w:cs="Times New Roman"/>
          <w:b/>
          <w:color w:val="000000" w:themeColor="text1"/>
          <w:sz w:val="24"/>
          <w:szCs w:val="24"/>
        </w:rPr>
        <w:t>EFERENCES</w:t>
      </w:r>
    </w:p>
    <w:p w14:paraId="5D4BE073"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1 </w:t>
      </w:r>
      <w:proofErr w:type="spellStart"/>
      <w:r w:rsidRPr="001A6A02">
        <w:rPr>
          <w:rFonts w:ascii="Book Antiqua" w:eastAsia="宋体" w:hAnsi="Book Antiqua" w:cs="宋体"/>
          <w:b/>
          <w:bCs/>
          <w:kern w:val="0"/>
          <w:sz w:val="24"/>
          <w:szCs w:val="24"/>
        </w:rPr>
        <w:t>Mohd</w:t>
      </w:r>
      <w:proofErr w:type="spellEnd"/>
      <w:r w:rsidRPr="001A6A02">
        <w:rPr>
          <w:rFonts w:ascii="Book Antiqua" w:eastAsia="宋体" w:hAnsi="Book Antiqua" w:cs="宋体"/>
          <w:b/>
          <w:bCs/>
          <w:kern w:val="0"/>
          <w:sz w:val="24"/>
          <w:szCs w:val="24"/>
        </w:rPr>
        <w:t xml:space="preserve"> </w:t>
      </w:r>
      <w:proofErr w:type="spellStart"/>
      <w:r w:rsidRPr="001A6A02">
        <w:rPr>
          <w:rFonts w:ascii="Book Antiqua" w:eastAsia="宋体" w:hAnsi="Book Antiqua" w:cs="宋体"/>
          <w:b/>
          <w:bCs/>
          <w:kern w:val="0"/>
          <w:sz w:val="24"/>
          <w:szCs w:val="24"/>
        </w:rPr>
        <w:t>Hanafiah</w:t>
      </w:r>
      <w:proofErr w:type="spellEnd"/>
      <w:r w:rsidRPr="001A6A02">
        <w:rPr>
          <w:rFonts w:ascii="Book Antiqua" w:eastAsia="宋体" w:hAnsi="Book Antiqua" w:cs="宋体"/>
          <w:b/>
          <w:bCs/>
          <w:kern w:val="0"/>
          <w:sz w:val="24"/>
          <w:szCs w:val="24"/>
        </w:rPr>
        <w:t xml:space="preserve"> K</w:t>
      </w:r>
      <w:r w:rsidRPr="001A6A02">
        <w:rPr>
          <w:rFonts w:ascii="Book Antiqua" w:eastAsia="宋体" w:hAnsi="Book Antiqua" w:cs="宋体"/>
          <w:kern w:val="0"/>
          <w:sz w:val="24"/>
          <w:szCs w:val="24"/>
        </w:rPr>
        <w:t xml:space="preserve">, </w:t>
      </w:r>
      <w:proofErr w:type="spellStart"/>
      <w:r w:rsidRPr="001A6A02">
        <w:rPr>
          <w:rFonts w:ascii="Book Antiqua" w:eastAsia="宋体" w:hAnsi="Book Antiqua" w:cs="宋体"/>
          <w:kern w:val="0"/>
          <w:sz w:val="24"/>
          <w:szCs w:val="24"/>
        </w:rPr>
        <w:t>Groeger</w:t>
      </w:r>
      <w:proofErr w:type="spellEnd"/>
      <w:r w:rsidRPr="001A6A02">
        <w:rPr>
          <w:rFonts w:ascii="Book Antiqua" w:eastAsia="宋体" w:hAnsi="Book Antiqua" w:cs="宋体"/>
          <w:kern w:val="0"/>
          <w:sz w:val="24"/>
          <w:szCs w:val="24"/>
        </w:rPr>
        <w:t xml:space="preserve"> J, Flaxman AD, </w:t>
      </w:r>
      <w:proofErr w:type="spellStart"/>
      <w:r w:rsidRPr="001A6A02">
        <w:rPr>
          <w:rFonts w:ascii="Book Antiqua" w:eastAsia="宋体" w:hAnsi="Book Antiqua" w:cs="宋体"/>
          <w:kern w:val="0"/>
          <w:sz w:val="24"/>
          <w:szCs w:val="24"/>
        </w:rPr>
        <w:t>Wiersma</w:t>
      </w:r>
      <w:proofErr w:type="spellEnd"/>
      <w:r w:rsidRPr="001A6A02">
        <w:rPr>
          <w:rFonts w:ascii="Book Antiqua" w:eastAsia="宋体" w:hAnsi="Book Antiqua" w:cs="宋体"/>
          <w:kern w:val="0"/>
          <w:sz w:val="24"/>
          <w:szCs w:val="24"/>
        </w:rPr>
        <w:t xml:space="preserve"> ST. Global epidemiology of hepatitis C virus infection: new estimates of age-specific antibody to HCV </w:t>
      </w:r>
      <w:proofErr w:type="spellStart"/>
      <w:r w:rsidRPr="001A6A02">
        <w:rPr>
          <w:rFonts w:ascii="Book Antiqua" w:eastAsia="宋体" w:hAnsi="Book Antiqua" w:cs="宋体"/>
          <w:kern w:val="0"/>
          <w:sz w:val="24"/>
          <w:szCs w:val="24"/>
        </w:rPr>
        <w:t>seroprevalence</w:t>
      </w:r>
      <w:proofErr w:type="spellEnd"/>
      <w:r w:rsidRPr="001A6A02">
        <w:rPr>
          <w:rFonts w:ascii="Book Antiqua" w:eastAsia="宋体" w:hAnsi="Book Antiqua" w:cs="宋体"/>
          <w:kern w:val="0"/>
          <w:sz w:val="24"/>
          <w:szCs w:val="24"/>
        </w:rPr>
        <w:t>. </w:t>
      </w:r>
      <w:r w:rsidRPr="001A6A02">
        <w:rPr>
          <w:rFonts w:ascii="Book Antiqua" w:eastAsia="宋体" w:hAnsi="Book Antiqua" w:cs="宋体"/>
          <w:i/>
          <w:iCs/>
          <w:kern w:val="0"/>
          <w:sz w:val="24"/>
          <w:szCs w:val="24"/>
        </w:rPr>
        <w:t>Hepatology</w:t>
      </w:r>
      <w:r w:rsidRPr="001A6A02">
        <w:rPr>
          <w:rFonts w:ascii="Book Antiqua" w:eastAsia="宋体" w:hAnsi="Book Antiqua" w:cs="宋体"/>
          <w:kern w:val="0"/>
          <w:sz w:val="24"/>
          <w:szCs w:val="24"/>
        </w:rPr>
        <w:t> 2013; </w:t>
      </w:r>
      <w:r w:rsidRPr="001A6A02">
        <w:rPr>
          <w:rFonts w:ascii="Book Antiqua" w:eastAsia="宋体" w:hAnsi="Book Antiqua" w:cs="宋体"/>
          <w:b/>
          <w:bCs/>
          <w:kern w:val="0"/>
          <w:sz w:val="24"/>
          <w:szCs w:val="24"/>
        </w:rPr>
        <w:t>57</w:t>
      </w:r>
      <w:r w:rsidRPr="001A6A02">
        <w:rPr>
          <w:rFonts w:ascii="Book Antiqua" w:eastAsia="宋体" w:hAnsi="Book Antiqua" w:cs="宋体"/>
          <w:kern w:val="0"/>
          <w:sz w:val="24"/>
          <w:szCs w:val="24"/>
        </w:rPr>
        <w:t>: 1333-1342 [PMID: 23172780 DOI: 10.1002/hep.26141]</w:t>
      </w:r>
    </w:p>
    <w:p w14:paraId="42EE78D7"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2 </w:t>
      </w:r>
      <w:proofErr w:type="spellStart"/>
      <w:r w:rsidRPr="001A6A02">
        <w:rPr>
          <w:rFonts w:ascii="Book Antiqua" w:eastAsia="宋体" w:hAnsi="Book Antiqua" w:cs="宋体"/>
          <w:b/>
          <w:bCs/>
          <w:kern w:val="0"/>
          <w:sz w:val="24"/>
          <w:szCs w:val="24"/>
        </w:rPr>
        <w:t>Namiki</w:t>
      </w:r>
      <w:proofErr w:type="spellEnd"/>
      <w:r w:rsidRPr="001A6A02">
        <w:rPr>
          <w:rFonts w:ascii="Book Antiqua" w:eastAsia="宋体" w:hAnsi="Book Antiqua" w:cs="宋体"/>
          <w:b/>
          <w:bCs/>
          <w:kern w:val="0"/>
          <w:sz w:val="24"/>
          <w:szCs w:val="24"/>
        </w:rPr>
        <w:t xml:space="preserve"> I</w:t>
      </w:r>
      <w:r w:rsidRPr="001A6A02">
        <w:rPr>
          <w:rFonts w:ascii="Book Antiqua" w:eastAsia="宋体" w:hAnsi="Book Antiqua" w:cs="宋体"/>
          <w:kern w:val="0"/>
          <w:sz w:val="24"/>
          <w:szCs w:val="24"/>
        </w:rPr>
        <w:t xml:space="preserve">, </w:t>
      </w:r>
      <w:proofErr w:type="spellStart"/>
      <w:r w:rsidRPr="001A6A02">
        <w:rPr>
          <w:rFonts w:ascii="Book Antiqua" w:eastAsia="宋体" w:hAnsi="Book Antiqua" w:cs="宋体"/>
          <w:kern w:val="0"/>
          <w:sz w:val="24"/>
          <w:szCs w:val="24"/>
        </w:rPr>
        <w:t>Nishiguchi</w:t>
      </w:r>
      <w:proofErr w:type="spellEnd"/>
      <w:r w:rsidRPr="001A6A02">
        <w:rPr>
          <w:rFonts w:ascii="Book Antiqua" w:eastAsia="宋体" w:hAnsi="Book Antiqua" w:cs="宋体"/>
          <w:kern w:val="0"/>
          <w:sz w:val="24"/>
          <w:szCs w:val="24"/>
        </w:rPr>
        <w:t xml:space="preserve"> S, Hino K, Suzuki F, </w:t>
      </w:r>
      <w:proofErr w:type="spellStart"/>
      <w:r w:rsidRPr="001A6A02">
        <w:rPr>
          <w:rFonts w:ascii="Book Antiqua" w:eastAsia="宋体" w:hAnsi="Book Antiqua" w:cs="宋体"/>
          <w:kern w:val="0"/>
          <w:sz w:val="24"/>
          <w:szCs w:val="24"/>
        </w:rPr>
        <w:t>Kumada</w:t>
      </w:r>
      <w:proofErr w:type="spellEnd"/>
      <w:r w:rsidRPr="001A6A02">
        <w:rPr>
          <w:rFonts w:ascii="Book Antiqua" w:eastAsia="宋体" w:hAnsi="Book Antiqua" w:cs="宋体"/>
          <w:kern w:val="0"/>
          <w:sz w:val="24"/>
          <w:szCs w:val="24"/>
        </w:rPr>
        <w:t xml:space="preserve"> H, Itoh Y, </w:t>
      </w:r>
      <w:proofErr w:type="spellStart"/>
      <w:r w:rsidRPr="001A6A02">
        <w:rPr>
          <w:rFonts w:ascii="Book Antiqua" w:eastAsia="宋体" w:hAnsi="Book Antiqua" w:cs="宋体"/>
          <w:kern w:val="0"/>
          <w:sz w:val="24"/>
          <w:szCs w:val="24"/>
        </w:rPr>
        <w:t>Asahina</w:t>
      </w:r>
      <w:proofErr w:type="spellEnd"/>
      <w:r w:rsidRPr="001A6A02">
        <w:rPr>
          <w:rFonts w:ascii="Book Antiqua" w:eastAsia="宋体" w:hAnsi="Book Antiqua" w:cs="宋体"/>
          <w:kern w:val="0"/>
          <w:sz w:val="24"/>
          <w:szCs w:val="24"/>
        </w:rPr>
        <w:t xml:space="preserve"> Y, </w:t>
      </w:r>
      <w:proofErr w:type="spellStart"/>
      <w:r w:rsidRPr="001A6A02">
        <w:rPr>
          <w:rFonts w:ascii="Book Antiqua" w:eastAsia="宋体" w:hAnsi="Book Antiqua" w:cs="宋体"/>
          <w:kern w:val="0"/>
          <w:sz w:val="24"/>
          <w:szCs w:val="24"/>
        </w:rPr>
        <w:t>Tamori</w:t>
      </w:r>
      <w:proofErr w:type="spellEnd"/>
      <w:r w:rsidRPr="001A6A02">
        <w:rPr>
          <w:rFonts w:ascii="Book Antiqua" w:eastAsia="宋体" w:hAnsi="Book Antiqua" w:cs="宋体"/>
          <w:kern w:val="0"/>
          <w:sz w:val="24"/>
          <w:szCs w:val="24"/>
        </w:rPr>
        <w:t xml:space="preserve"> A, </w:t>
      </w:r>
      <w:proofErr w:type="spellStart"/>
      <w:r w:rsidRPr="001A6A02">
        <w:rPr>
          <w:rFonts w:ascii="Book Antiqua" w:eastAsia="宋体" w:hAnsi="Book Antiqua" w:cs="宋体"/>
          <w:kern w:val="0"/>
          <w:sz w:val="24"/>
          <w:szCs w:val="24"/>
        </w:rPr>
        <w:t>Hiramatsu</w:t>
      </w:r>
      <w:proofErr w:type="spellEnd"/>
      <w:r w:rsidRPr="001A6A02">
        <w:rPr>
          <w:rFonts w:ascii="Book Antiqua" w:eastAsia="宋体" w:hAnsi="Book Antiqua" w:cs="宋体"/>
          <w:kern w:val="0"/>
          <w:sz w:val="24"/>
          <w:szCs w:val="24"/>
        </w:rPr>
        <w:t xml:space="preserve"> N, Hayashi N, Kudo M. Management of hepatitis C; Report of the Consensus Meeting at the 45th Annual Meeting of the Japan Society of Hepatology (2009). </w:t>
      </w:r>
      <w:proofErr w:type="spellStart"/>
      <w:r w:rsidRPr="001A6A02">
        <w:rPr>
          <w:rFonts w:ascii="Book Antiqua" w:eastAsia="宋体" w:hAnsi="Book Antiqua" w:cs="宋体"/>
          <w:i/>
          <w:iCs/>
          <w:kern w:val="0"/>
          <w:sz w:val="24"/>
          <w:szCs w:val="24"/>
        </w:rPr>
        <w:t>Hepatol</w:t>
      </w:r>
      <w:proofErr w:type="spellEnd"/>
      <w:r w:rsidRPr="001A6A02">
        <w:rPr>
          <w:rFonts w:ascii="Book Antiqua" w:eastAsia="宋体" w:hAnsi="Book Antiqua" w:cs="宋体"/>
          <w:i/>
          <w:iCs/>
          <w:kern w:val="0"/>
          <w:sz w:val="24"/>
          <w:szCs w:val="24"/>
        </w:rPr>
        <w:t xml:space="preserve"> Res</w:t>
      </w:r>
      <w:r w:rsidRPr="001A6A02">
        <w:rPr>
          <w:rFonts w:ascii="Book Antiqua" w:eastAsia="宋体" w:hAnsi="Book Antiqua" w:cs="宋体"/>
          <w:kern w:val="0"/>
          <w:sz w:val="24"/>
          <w:szCs w:val="24"/>
        </w:rPr>
        <w:t> 2010; </w:t>
      </w:r>
      <w:r w:rsidRPr="001A6A02">
        <w:rPr>
          <w:rFonts w:ascii="Book Antiqua" w:eastAsia="宋体" w:hAnsi="Book Antiqua" w:cs="宋体"/>
          <w:b/>
          <w:bCs/>
          <w:kern w:val="0"/>
          <w:sz w:val="24"/>
          <w:szCs w:val="24"/>
        </w:rPr>
        <w:t>40</w:t>
      </w:r>
      <w:r w:rsidRPr="001A6A02">
        <w:rPr>
          <w:rFonts w:ascii="Book Antiqua" w:eastAsia="宋体" w:hAnsi="Book Antiqua" w:cs="宋体"/>
          <w:kern w:val="0"/>
          <w:sz w:val="24"/>
          <w:szCs w:val="24"/>
        </w:rPr>
        <w:t>: 347-368 [PMID: 20394674 DOI: HEP642]</w:t>
      </w:r>
    </w:p>
    <w:p w14:paraId="519E9A82"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3 </w:t>
      </w:r>
      <w:r w:rsidRPr="001A6A02">
        <w:rPr>
          <w:rFonts w:ascii="Book Antiqua" w:eastAsia="宋体" w:hAnsi="Book Antiqua" w:cs="宋体"/>
          <w:b/>
          <w:bCs/>
          <w:kern w:val="0"/>
          <w:sz w:val="24"/>
          <w:szCs w:val="24"/>
        </w:rPr>
        <w:t>Fried MW</w:t>
      </w:r>
      <w:r w:rsidRPr="001A6A02">
        <w:rPr>
          <w:rFonts w:ascii="Book Antiqua" w:eastAsia="宋体" w:hAnsi="Book Antiqua" w:cs="宋体"/>
          <w:kern w:val="0"/>
          <w:sz w:val="24"/>
          <w:szCs w:val="24"/>
        </w:rPr>
        <w:t xml:space="preserve">, </w:t>
      </w:r>
      <w:proofErr w:type="spellStart"/>
      <w:r w:rsidRPr="001A6A02">
        <w:rPr>
          <w:rFonts w:ascii="Book Antiqua" w:eastAsia="宋体" w:hAnsi="Book Antiqua" w:cs="宋体"/>
          <w:kern w:val="0"/>
          <w:sz w:val="24"/>
          <w:szCs w:val="24"/>
        </w:rPr>
        <w:t>Shiffman</w:t>
      </w:r>
      <w:proofErr w:type="spellEnd"/>
      <w:r w:rsidRPr="001A6A02">
        <w:rPr>
          <w:rFonts w:ascii="Book Antiqua" w:eastAsia="宋体" w:hAnsi="Book Antiqua" w:cs="宋体"/>
          <w:kern w:val="0"/>
          <w:sz w:val="24"/>
          <w:szCs w:val="24"/>
        </w:rPr>
        <w:t xml:space="preserve"> ML, Reddy KR, Smith C, </w:t>
      </w:r>
      <w:proofErr w:type="spellStart"/>
      <w:r w:rsidRPr="001A6A02">
        <w:rPr>
          <w:rFonts w:ascii="Book Antiqua" w:eastAsia="宋体" w:hAnsi="Book Antiqua" w:cs="宋体"/>
          <w:kern w:val="0"/>
          <w:sz w:val="24"/>
          <w:szCs w:val="24"/>
        </w:rPr>
        <w:t>Marinos</w:t>
      </w:r>
      <w:proofErr w:type="spellEnd"/>
      <w:r w:rsidRPr="001A6A02">
        <w:rPr>
          <w:rFonts w:ascii="Book Antiqua" w:eastAsia="宋体" w:hAnsi="Book Antiqua" w:cs="宋体"/>
          <w:kern w:val="0"/>
          <w:sz w:val="24"/>
          <w:szCs w:val="24"/>
        </w:rPr>
        <w:t xml:space="preserve"> G, </w:t>
      </w:r>
      <w:proofErr w:type="spellStart"/>
      <w:r w:rsidRPr="001A6A02">
        <w:rPr>
          <w:rFonts w:ascii="Book Antiqua" w:eastAsia="宋体" w:hAnsi="Book Antiqua" w:cs="宋体"/>
          <w:kern w:val="0"/>
          <w:sz w:val="24"/>
          <w:szCs w:val="24"/>
        </w:rPr>
        <w:t>Gonçales</w:t>
      </w:r>
      <w:proofErr w:type="spellEnd"/>
      <w:r w:rsidRPr="001A6A02">
        <w:rPr>
          <w:rFonts w:ascii="Book Antiqua" w:eastAsia="宋体" w:hAnsi="Book Antiqua" w:cs="宋体"/>
          <w:kern w:val="0"/>
          <w:sz w:val="24"/>
          <w:szCs w:val="24"/>
        </w:rPr>
        <w:t xml:space="preserve"> FL, </w:t>
      </w:r>
      <w:proofErr w:type="spellStart"/>
      <w:r w:rsidRPr="001A6A02">
        <w:rPr>
          <w:rFonts w:ascii="Book Antiqua" w:eastAsia="宋体" w:hAnsi="Book Antiqua" w:cs="宋体"/>
          <w:kern w:val="0"/>
          <w:sz w:val="24"/>
          <w:szCs w:val="24"/>
        </w:rPr>
        <w:t>Häussinger</w:t>
      </w:r>
      <w:proofErr w:type="spellEnd"/>
      <w:r w:rsidRPr="001A6A02">
        <w:rPr>
          <w:rFonts w:ascii="Book Antiqua" w:eastAsia="宋体" w:hAnsi="Book Antiqua" w:cs="宋体"/>
          <w:kern w:val="0"/>
          <w:sz w:val="24"/>
          <w:szCs w:val="24"/>
        </w:rPr>
        <w:t xml:space="preserve"> D, </w:t>
      </w:r>
      <w:proofErr w:type="spellStart"/>
      <w:r w:rsidRPr="001A6A02">
        <w:rPr>
          <w:rFonts w:ascii="Book Antiqua" w:eastAsia="宋体" w:hAnsi="Book Antiqua" w:cs="宋体"/>
          <w:kern w:val="0"/>
          <w:sz w:val="24"/>
          <w:szCs w:val="24"/>
        </w:rPr>
        <w:t>Diago</w:t>
      </w:r>
      <w:proofErr w:type="spellEnd"/>
      <w:r w:rsidRPr="001A6A02">
        <w:rPr>
          <w:rFonts w:ascii="Book Antiqua" w:eastAsia="宋体" w:hAnsi="Book Antiqua" w:cs="宋体"/>
          <w:kern w:val="0"/>
          <w:sz w:val="24"/>
          <w:szCs w:val="24"/>
        </w:rPr>
        <w:t xml:space="preserve"> M, </w:t>
      </w:r>
      <w:proofErr w:type="spellStart"/>
      <w:r w:rsidRPr="001A6A02">
        <w:rPr>
          <w:rFonts w:ascii="Book Antiqua" w:eastAsia="宋体" w:hAnsi="Book Antiqua" w:cs="宋体"/>
          <w:kern w:val="0"/>
          <w:sz w:val="24"/>
          <w:szCs w:val="24"/>
        </w:rPr>
        <w:t>Carosi</w:t>
      </w:r>
      <w:proofErr w:type="spellEnd"/>
      <w:r w:rsidRPr="001A6A02">
        <w:rPr>
          <w:rFonts w:ascii="Book Antiqua" w:eastAsia="宋体" w:hAnsi="Book Antiqua" w:cs="宋体"/>
          <w:kern w:val="0"/>
          <w:sz w:val="24"/>
          <w:szCs w:val="24"/>
        </w:rPr>
        <w:t xml:space="preserve"> G, </w:t>
      </w:r>
      <w:proofErr w:type="spellStart"/>
      <w:r w:rsidRPr="001A6A02">
        <w:rPr>
          <w:rFonts w:ascii="Book Antiqua" w:eastAsia="宋体" w:hAnsi="Book Antiqua" w:cs="宋体"/>
          <w:kern w:val="0"/>
          <w:sz w:val="24"/>
          <w:szCs w:val="24"/>
        </w:rPr>
        <w:t>Dhumeaux</w:t>
      </w:r>
      <w:proofErr w:type="spellEnd"/>
      <w:r w:rsidRPr="001A6A02">
        <w:rPr>
          <w:rFonts w:ascii="Book Antiqua" w:eastAsia="宋体" w:hAnsi="Book Antiqua" w:cs="宋体"/>
          <w:kern w:val="0"/>
          <w:sz w:val="24"/>
          <w:szCs w:val="24"/>
        </w:rPr>
        <w:t xml:space="preserve"> D, </w:t>
      </w:r>
      <w:proofErr w:type="spellStart"/>
      <w:r w:rsidRPr="001A6A02">
        <w:rPr>
          <w:rFonts w:ascii="Book Antiqua" w:eastAsia="宋体" w:hAnsi="Book Antiqua" w:cs="宋体"/>
          <w:kern w:val="0"/>
          <w:sz w:val="24"/>
          <w:szCs w:val="24"/>
        </w:rPr>
        <w:t>Craxi</w:t>
      </w:r>
      <w:proofErr w:type="spellEnd"/>
      <w:r w:rsidRPr="001A6A02">
        <w:rPr>
          <w:rFonts w:ascii="Book Antiqua" w:eastAsia="宋体" w:hAnsi="Book Antiqua" w:cs="宋体"/>
          <w:kern w:val="0"/>
          <w:sz w:val="24"/>
          <w:szCs w:val="24"/>
        </w:rPr>
        <w:t xml:space="preserve"> A, Lin A, Hoffman J, Yu J. </w:t>
      </w:r>
      <w:proofErr w:type="spellStart"/>
      <w:r w:rsidRPr="001A6A02">
        <w:rPr>
          <w:rFonts w:ascii="Book Antiqua" w:eastAsia="宋体" w:hAnsi="Book Antiqua" w:cs="宋体"/>
          <w:kern w:val="0"/>
          <w:sz w:val="24"/>
          <w:szCs w:val="24"/>
        </w:rPr>
        <w:t>Peginterferon</w:t>
      </w:r>
      <w:proofErr w:type="spellEnd"/>
      <w:r w:rsidRPr="001A6A02">
        <w:rPr>
          <w:rFonts w:ascii="Book Antiqua" w:eastAsia="宋体" w:hAnsi="Book Antiqua" w:cs="宋体"/>
          <w:kern w:val="0"/>
          <w:sz w:val="24"/>
          <w:szCs w:val="24"/>
        </w:rPr>
        <w:t xml:space="preserve"> alfa-2a plus ribavirin for chronic hepatitis C virus infection. </w:t>
      </w:r>
      <w:r w:rsidRPr="001A6A02">
        <w:rPr>
          <w:rFonts w:ascii="Book Antiqua" w:eastAsia="宋体" w:hAnsi="Book Antiqua" w:cs="宋体"/>
          <w:i/>
          <w:iCs/>
          <w:kern w:val="0"/>
          <w:sz w:val="24"/>
          <w:szCs w:val="24"/>
        </w:rPr>
        <w:t xml:space="preserve">N </w:t>
      </w:r>
      <w:proofErr w:type="spellStart"/>
      <w:r w:rsidRPr="001A6A02">
        <w:rPr>
          <w:rFonts w:ascii="Book Antiqua" w:eastAsia="宋体" w:hAnsi="Book Antiqua" w:cs="宋体"/>
          <w:i/>
          <w:iCs/>
          <w:kern w:val="0"/>
          <w:sz w:val="24"/>
          <w:szCs w:val="24"/>
        </w:rPr>
        <w:t>Engl</w:t>
      </w:r>
      <w:proofErr w:type="spellEnd"/>
      <w:r w:rsidRPr="001A6A02">
        <w:rPr>
          <w:rFonts w:ascii="Book Antiqua" w:eastAsia="宋体" w:hAnsi="Book Antiqua" w:cs="宋体"/>
          <w:i/>
          <w:iCs/>
          <w:kern w:val="0"/>
          <w:sz w:val="24"/>
          <w:szCs w:val="24"/>
        </w:rPr>
        <w:t xml:space="preserve"> J Med</w:t>
      </w:r>
      <w:r w:rsidRPr="001A6A02">
        <w:rPr>
          <w:rFonts w:ascii="Book Antiqua" w:eastAsia="宋体" w:hAnsi="Book Antiqua" w:cs="宋体"/>
          <w:kern w:val="0"/>
          <w:sz w:val="24"/>
          <w:szCs w:val="24"/>
        </w:rPr>
        <w:t> 2002; </w:t>
      </w:r>
      <w:r w:rsidRPr="001A6A02">
        <w:rPr>
          <w:rFonts w:ascii="Book Antiqua" w:eastAsia="宋体" w:hAnsi="Book Antiqua" w:cs="宋体"/>
          <w:b/>
          <w:bCs/>
          <w:kern w:val="0"/>
          <w:sz w:val="24"/>
          <w:szCs w:val="24"/>
        </w:rPr>
        <w:t>347</w:t>
      </w:r>
      <w:r w:rsidRPr="001A6A02">
        <w:rPr>
          <w:rFonts w:ascii="Book Antiqua" w:eastAsia="宋体" w:hAnsi="Book Antiqua" w:cs="宋体"/>
          <w:kern w:val="0"/>
          <w:sz w:val="24"/>
          <w:szCs w:val="24"/>
        </w:rPr>
        <w:t>: 975-982 [PMID: 12324553 DOI: 10.1056/NEJMoa020047347/13/975]</w:t>
      </w:r>
    </w:p>
    <w:p w14:paraId="4C9A553A"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4 </w:t>
      </w:r>
      <w:proofErr w:type="spellStart"/>
      <w:r w:rsidRPr="001A6A02">
        <w:rPr>
          <w:rFonts w:ascii="Book Antiqua" w:eastAsia="宋体" w:hAnsi="Book Antiqua" w:cs="宋体"/>
          <w:b/>
          <w:bCs/>
          <w:kern w:val="0"/>
          <w:sz w:val="24"/>
          <w:szCs w:val="24"/>
        </w:rPr>
        <w:t>Manns</w:t>
      </w:r>
      <w:proofErr w:type="spellEnd"/>
      <w:r w:rsidRPr="001A6A02">
        <w:rPr>
          <w:rFonts w:ascii="Book Antiqua" w:eastAsia="宋体" w:hAnsi="Book Antiqua" w:cs="宋体"/>
          <w:b/>
          <w:bCs/>
          <w:kern w:val="0"/>
          <w:sz w:val="24"/>
          <w:szCs w:val="24"/>
        </w:rPr>
        <w:t xml:space="preserve"> MP</w:t>
      </w:r>
      <w:r w:rsidRPr="001A6A02">
        <w:rPr>
          <w:rFonts w:ascii="Book Antiqua" w:eastAsia="宋体" w:hAnsi="Book Antiqua" w:cs="宋体"/>
          <w:kern w:val="0"/>
          <w:sz w:val="24"/>
          <w:szCs w:val="24"/>
        </w:rPr>
        <w:t xml:space="preserve">, </w:t>
      </w:r>
      <w:proofErr w:type="spellStart"/>
      <w:r w:rsidRPr="001A6A02">
        <w:rPr>
          <w:rFonts w:ascii="Book Antiqua" w:eastAsia="宋体" w:hAnsi="Book Antiqua" w:cs="宋体"/>
          <w:kern w:val="0"/>
          <w:sz w:val="24"/>
          <w:szCs w:val="24"/>
        </w:rPr>
        <w:t>McHutchison</w:t>
      </w:r>
      <w:proofErr w:type="spellEnd"/>
      <w:r w:rsidRPr="001A6A02">
        <w:rPr>
          <w:rFonts w:ascii="Book Antiqua" w:eastAsia="宋体" w:hAnsi="Book Antiqua" w:cs="宋体"/>
          <w:kern w:val="0"/>
          <w:sz w:val="24"/>
          <w:szCs w:val="24"/>
        </w:rPr>
        <w:t xml:space="preserve"> JG, Gordon SC, </w:t>
      </w:r>
      <w:proofErr w:type="spellStart"/>
      <w:r w:rsidRPr="001A6A02">
        <w:rPr>
          <w:rFonts w:ascii="Book Antiqua" w:eastAsia="宋体" w:hAnsi="Book Antiqua" w:cs="宋体"/>
          <w:kern w:val="0"/>
          <w:sz w:val="24"/>
          <w:szCs w:val="24"/>
        </w:rPr>
        <w:t>Rustgi</w:t>
      </w:r>
      <w:proofErr w:type="spellEnd"/>
      <w:r w:rsidRPr="001A6A02">
        <w:rPr>
          <w:rFonts w:ascii="Book Antiqua" w:eastAsia="宋体" w:hAnsi="Book Antiqua" w:cs="宋体"/>
          <w:kern w:val="0"/>
          <w:sz w:val="24"/>
          <w:szCs w:val="24"/>
        </w:rPr>
        <w:t xml:space="preserve"> VK, </w:t>
      </w:r>
      <w:proofErr w:type="spellStart"/>
      <w:r w:rsidRPr="001A6A02">
        <w:rPr>
          <w:rFonts w:ascii="Book Antiqua" w:eastAsia="宋体" w:hAnsi="Book Antiqua" w:cs="宋体"/>
          <w:kern w:val="0"/>
          <w:sz w:val="24"/>
          <w:szCs w:val="24"/>
        </w:rPr>
        <w:t>Shiffman</w:t>
      </w:r>
      <w:proofErr w:type="spellEnd"/>
      <w:r w:rsidRPr="001A6A02">
        <w:rPr>
          <w:rFonts w:ascii="Book Antiqua" w:eastAsia="宋体" w:hAnsi="Book Antiqua" w:cs="宋体"/>
          <w:kern w:val="0"/>
          <w:sz w:val="24"/>
          <w:szCs w:val="24"/>
        </w:rPr>
        <w:t xml:space="preserve"> M, </w:t>
      </w:r>
      <w:proofErr w:type="spellStart"/>
      <w:r w:rsidRPr="001A6A02">
        <w:rPr>
          <w:rFonts w:ascii="Book Antiqua" w:eastAsia="宋体" w:hAnsi="Book Antiqua" w:cs="宋体"/>
          <w:kern w:val="0"/>
          <w:sz w:val="24"/>
          <w:szCs w:val="24"/>
        </w:rPr>
        <w:t>Reindollar</w:t>
      </w:r>
      <w:proofErr w:type="spellEnd"/>
      <w:r w:rsidRPr="001A6A02">
        <w:rPr>
          <w:rFonts w:ascii="Book Antiqua" w:eastAsia="宋体" w:hAnsi="Book Antiqua" w:cs="宋体"/>
          <w:kern w:val="0"/>
          <w:sz w:val="24"/>
          <w:szCs w:val="24"/>
        </w:rPr>
        <w:t xml:space="preserve"> R, Goodman ZD, </w:t>
      </w:r>
      <w:proofErr w:type="spellStart"/>
      <w:r w:rsidRPr="001A6A02">
        <w:rPr>
          <w:rFonts w:ascii="Book Antiqua" w:eastAsia="宋体" w:hAnsi="Book Antiqua" w:cs="宋体"/>
          <w:kern w:val="0"/>
          <w:sz w:val="24"/>
          <w:szCs w:val="24"/>
        </w:rPr>
        <w:t>Koury</w:t>
      </w:r>
      <w:proofErr w:type="spellEnd"/>
      <w:r w:rsidRPr="001A6A02">
        <w:rPr>
          <w:rFonts w:ascii="Book Antiqua" w:eastAsia="宋体" w:hAnsi="Book Antiqua" w:cs="宋体"/>
          <w:kern w:val="0"/>
          <w:sz w:val="24"/>
          <w:szCs w:val="24"/>
        </w:rPr>
        <w:t xml:space="preserve"> K, Ling M, Albrecht JK. </w:t>
      </w:r>
      <w:proofErr w:type="spellStart"/>
      <w:r w:rsidRPr="001A6A02">
        <w:rPr>
          <w:rFonts w:ascii="Book Antiqua" w:eastAsia="宋体" w:hAnsi="Book Antiqua" w:cs="宋体"/>
          <w:kern w:val="0"/>
          <w:sz w:val="24"/>
          <w:szCs w:val="24"/>
        </w:rPr>
        <w:t>Peginterferon</w:t>
      </w:r>
      <w:proofErr w:type="spellEnd"/>
      <w:r w:rsidRPr="001A6A02">
        <w:rPr>
          <w:rFonts w:ascii="Book Antiqua" w:eastAsia="宋体" w:hAnsi="Book Antiqua" w:cs="宋体"/>
          <w:kern w:val="0"/>
          <w:sz w:val="24"/>
          <w:szCs w:val="24"/>
        </w:rPr>
        <w:t xml:space="preserve"> alfa-2b plus ribavirin compared with interferon alfa-2b plus ribavirin for initial treatment of chronic hepatitis C: a </w:t>
      </w:r>
      <w:proofErr w:type="spellStart"/>
      <w:r w:rsidRPr="001A6A02">
        <w:rPr>
          <w:rFonts w:ascii="Book Antiqua" w:eastAsia="宋体" w:hAnsi="Book Antiqua" w:cs="宋体"/>
          <w:kern w:val="0"/>
          <w:sz w:val="24"/>
          <w:szCs w:val="24"/>
        </w:rPr>
        <w:t>randomised</w:t>
      </w:r>
      <w:proofErr w:type="spellEnd"/>
      <w:r w:rsidRPr="001A6A02">
        <w:rPr>
          <w:rFonts w:ascii="Book Antiqua" w:eastAsia="宋体" w:hAnsi="Book Antiqua" w:cs="宋体"/>
          <w:kern w:val="0"/>
          <w:sz w:val="24"/>
          <w:szCs w:val="24"/>
        </w:rPr>
        <w:t xml:space="preserve"> trial. </w:t>
      </w:r>
      <w:r w:rsidRPr="001A6A02">
        <w:rPr>
          <w:rFonts w:ascii="Book Antiqua" w:eastAsia="宋体" w:hAnsi="Book Antiqua" w:cs="宋体"/>
          <w:i/>
          <w:iCs/>
          <w:kern w:val="0"/>
          <w:sz w:val="24"/>
          <w:szCs w:val="24"/>
        </w:rPr>
        <w:t>Lancet</w:t>
      </w:r>
      <w:r w:rsidRPr="001A6A02">
        <w:rPr>
          <w:rFonts w:ascii="Book Antiqua" w:eastAsia="宋体" w:hAnsi="Book Antiqua" w:cs="宋体"/>
          <w:kern w:val="0"/>
          <w:sz w:val="24"/>
          <w:szCs w:val="24"/>
        </w:rPr>
        <w:t> 2001; </w:t>
      </w:r>
      <w:r w:rsidRPr="001A6A02">
        <w:rPr>
          <w:rFonts w:ascii="Book Antiqua" w:eastAsia="宋体" w:hAnsi="Book Antiqua" w:cs="宋体"/>
          <w:b/>
          <w:bCs/>
          <w:kern w:val="0"/>
          <w:sz w:val="24"/>
          <w:szCs w:val="24"/>
        </w:rPr>
        <w:t>358</w:t>
      </w:r>
      <w:r w:rsidRPr="001A6A02">
        <w:rPr>
          <w:rFonts w:ascii="Book Antiqua" w:eastAsia="宋体" w:hAnsi="Book Antiqua" w:cs="宋体"/>
          <w:kern w:val="0"/>
          <w:sz w:val="24"/>
          <w:szCs w:val="24"/>
        </w:rPr>
        <w:t>: 958-965 [PMID: 11583749 DOI: S0140673601061025]</w:t>
      </w:r>
    </w:p>
    <w:p w14:paraId="57C47067"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5 </w:t>
      </w:r>
      <w:proofErr w:type="spellStart"/>
      <w:r w:rsidRPr="001A6A02">
        <w:rPr>
          <w:rFonts w:ascii="Book Antiqua" w:eastAsia="宋体" w:hAnsi="Book Antiqua" w:cs="宋体"/>
          <w:b/>
          <w:bCs/>
          <w:kern w:val="0"/>
          <w:sz w:val="24"/>
          <w:szCs w:val="24"/>
        </w:rPr>
        <w:t>Manns</w:t>
      </w:r>
      <w:proofErr w:type="spellEnd"/>
      <w:r w:rsidRPr="001A6A02">
        <w:rPr>
          <w:rFonts w:ascii="Book Antiqua" w:eastAsia="宋体" w:hAnsi="Book Antiqua" w:cs="宋体"/>
          <w:b/>
          <w:bCs/>
          <w:kern w:val="0"/>
          <w:sz w:val="24"/>
          <w:szCs w:val="24"/>
        </w:rPr>
        <w:t xml:space="preserve"> MP</w:t>
      </w:r>
      <w:r w:rsidRPr="001A6A02">
        <w:rPr>
          <w:rFonts w:ascii="Book Antiqua" w:eastAsia="宋体" w:hAnsi="Book Antiqua" w:cs="宋体"/>
          <w:kern w:val="0"/>
          <w:sz w:val="24"/>
          <w:szCs w:val="24"/>
        </w:rPr>
        <w:t xml:space="preserve">, </w:t>
      </w:r>
      <w:proofErr w:type="spellStart"/>
      <w:r w:rsidRPr="001A6A02">
        <w:rPr>
          <w:rFonts w:ascii="Book Antiqua" w:eastAsia="宋体" w:hAnsi="Book Antiqua" w:cs="宋体"/>
          <w:kern w:val="0"/>
          <w:sz w:val="24"/>
          <w:szCs w:val="24"/>
        </w:rPr>
        <w:t>Wedemeyer</w:t>
      </w:r>
      <w:proofErr w:type="spellEnd"/>
      <w:r w:rsidRPr="001A6A02">
        <w:rPr>
          <w:rFonts w:ascii="Book Antiqua" w:eastAsia="宋体" w:hAnsi="Book Antiqua" w:cs="宋体"/>
          <w:kern w:val="0"/>
          <w:sz w:val="24"/>
          <w:szCs w:val="24"/>
        </w:rPr>
        <w:t xml:space="preserve"> H, </w:t>
      </w:r>
      <w:proofErr w:type="spellStart"/>
      <w:r w:rsidRPr="001A6A02">
        <w:rPr>
          <w:rFonts w:ascii="Book Antiqua" w:eastAsia="宋体" w:hAnsi="Book Antiqua" w:cs="宋体"/>
          <w:kern w:val="0"/>
          <w:sz w:val="24"/>
          <w:szCs w:val="24"/>
        </w:rPr>
        <w:t>Cornberg</w:t>
      </w:r>
      <w:proofErr w:type="spellEnd"/>
      <w:r w:rsidRPr="001A6A02">
        <w:rPr>
          <w:rFonts w:ascii="Book Antiqua" w:eastAsia="宋体" w:hAnsi="Book Antiqua" w:cs="宋体"/>
          <w:kern w:val="0"/>
          <w:sz w:val="24"/>
          <w:szCs w:val="24"/>
        </w:rPr>
        <w:t xml:space="preserve"> M. Treating viral hepatitis C: efficacy, side effects, and complications. </w:t>
      </w:r>
      <w:r w:rsidRPr="001A6A02">
        <w:rPr>
          <w:rFonts w:ascii="Book Antiqua" w:eastAsia="宋体" w:hAnsi="Book Antiqua" w:cs="宋体"/>
          <w:i/>
          <w:iCs/>
          <w:kern w:val="0"/>
          <w:sz w:val="24"/>
          <w:szCs w:val="24"/>
        </w:rPr>
        <w:t>Gut</w:t>
      </w:r>
      <w:r w:rsidRPr="001A6A02">
        <w:rPr>
          <w:rFonts w:ascii="Book Antiqua" w:eastAsia="宋体" w:hAnsi="Book Antiqua" w:cs="宋体"/>
          <w:kern w:val="0"/>
          <w:sz w:val="24"/>
          <w:szCs w:val="24"/>
        </w:rPr>
        <w:t> 2006; </w:t>
      </w:r>
      <w:r w:rsidRPr="001A6A02">
        <w:rPr>
          <w:rFonts w:ascii="Book Antiqua" w:eastAsia="宋体" w:hAnsi="Book Antiqua" w:cs="宋体"/>
          <w:b/>
          <w:bCs/>
          <w:kern w:val="0"/>
          <w:sz w:val="24"/>
          <w:szCs w:val="24"/>
        </w:rPr>
        <w:t>55</w:t>
      </w:r>
      <w:r w:rsidRPr="001A6A02">
        <w:rPr>
          <w:rFonts w:ascii="Book Antiqua" w:eastAsia="宋体" w:hAnsi="Book Antiqua" w:cs="宋体"/>
          <w:kern w:val="0"/>
          <w:sz w:val="24"/>
          <w:szCs w:val="24"/>
        </w:rPr>
        <w:t>: 1350-1359 [PMID: 16905701 DOI: 55/9/1350]</w:t>
      </w:r>
    </w:p>
    <w:p w14:paraId="2619138F"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lastRenderedPageBreak/>
        <w:t>6 </w:t>
      </w:r>
      <w:r w:rsidRPr="001A6A02">
        <w:rPr>
          <w:rFonts w:ascii="Book Antiqua" w:eastAsia="宋体" w:hAnsi="Book Antiqua" w:cs="宋体"/>
          <w:b/>
          <w:bCs/>
          <w:kern w:val="0"/>
          <w:sz w:val="24"/>
          <w:szCs w:val="24"/>
        </w:rPr>
        <w:t>Jacobson IM</w:t>
      </w:r>
      <w:r w:rsidRPr="001A6A02">
        <w:rPr>
          <w:rFonts w:ascii="Book Antiqua" w:eastAsia="宋体" w:hAnsi="Book Antiqua" w:cs="宋体"/>
          <w:kern w:val="0"/>
          <w:sz w:val="24"/>
          <w:szCs w:val="24"/>
        </w:rPr>
        <w:t xml:space="preserve">, </w:t>
      </w:r>
      <w:proofErr w:type="spellStart"/>
      <w:r w:rsidRPr="001A6A02">
        <w:rPr>
          <w:rFonts w:ascii="Book Antiqua" w:eastAsia="宋体" w:hAnsi="Book Antiqua" w:cs="宋体"/>
          <w:kern w:val="0"/>
          <w:sz w:val="24"/>
          <w:szCs w:val="24"/>
        </w:rPr>
        <w:t>McHutchison</w:t>
      </w:r>
      <w:proofErr w:type="spellEnd"/>
      <w:r w:rsidRPr="001A6A02">
        <w:rPr>
          <w:rFonts w:ascii="Book Antiqua" w:eastAsia="宋体" w:hAnsi="Book Antiqua" w:cs="宋体"/>
          <w:kern w:val="0"/>
          <w:sz w:val="24"/>
          <w:szCs w:val="24"/>
        </w:rPr>
        <w:t xml:space="preserve"> JG, </w:t>
      </w:r>
      <w:proofErr w:type="spellStart"/>
      <w:r w:rsidRPr="001A6A02">
        <w:rPr>
          <w:rFonts w:ascii="Book Antiqua" w:eastAsia="宋体" w:hAnsi="Book Antiqua" w:cs="宋体"/>
          <w:kern w:val="0"/>
          <w:sz w:val="24"/>
          <w:szCs w:val="24"/>
        </w:rPr>
        <w:t>Dusheiko</w:t>
      </w:r>
      <w:proofErr w:type="spellEnd"/>
      <w:r w:rsidRPr="001A6A02">
        <w:rPr>
          <w:rFonts w:ascii="Book Antiqua" w:eastAsia="宋体" w:hAnsi="Book Antiqua" w:cs="宋体"/>
          <w:kern w:val="0"/>
          <w:sz w:val="24"/>
          <w:szCs w:val="24"/>
        </w:rPr>
        <w:t xml:space="preserve"> G, Di </w:t>
      </w:r>
      <w:proofErr w:type="spellStart"/>
      <w:r w:rsidRPr="001A6A02">
        <w:rPr>
          <w:rFonts w:ascii="Book Antiqua" w:eastAsia="宋体" w:hAnsi="Book Antiqua" w:cs="宋体"/>
          <w:kern w:val="0"/>
          <w:sz w:val="24"/>
          <w:szCs w:val="24"/>
        </w:rPr>
        <w:t>Bisceglie</w:t>
      </w:r>
      <w:proofErr w:type="spellEnd"/>
      <w:r w:rsidRPr="001A6A02">
        <w:rPr>
          <w:rFonts w:ascii="Book Antiqua" w:eastAsia="宋体" w:hAnsi="Book Antiqua" w:cs="宋体"/>
          <w:kern w:val="0"/>
          <w:sz w:val="24"/>
          <w:szCs w:val="24"/>
        </w:rPr>
        <w:t xml:space="preserve"> AM, Reddy KR, </w:t>
      </w:r>
      <w:proofErr w:type="spellStart"/>
      <w:r w:rsidRPr="001A6A02">
        <w:rPr>
          <w:rFonts w:ascii="Book Antiqua" w:eastAsia="宋体" w:hAnsi="Book Antiqua" w:cs="宋体"/>
          <w:kern w:val="0"/>
          <w:sz w:val="24"/>
          <w:szCs w:val="24"/>
        </w:rPr>
        <w:t>Bzowej</w:t>
      </w:r>
      <w:proofErr w:type="spellEnd"/>
      <w:r w:rsidRPr="001A6A02">
        <w:rPr>
          <w:rFonts w:ascii="Book Antiqua" w:eastAsia="宋体" w:hAnsi="Book Antiqua" w:cs="宋体"/>
          <w:kern w:val="0"/>
          <w:sz w:val="24"/>
          <w:szCs w:val="24"/>
        </w:rPr>
        <w:t xml:space="preserve"> NH, Marcellin P, Muir AJ, </w:t>
      </w:r>
      <w:proofErr w:type="spellStart"/>
      <w:r w:rsidRPr="001A6A02">
        <w:rPr>
          <w:rFonts w:ascii="Book Antiqua" w:eastAsia="宋体" w:hAnsi="Book Antiqua" w:cs="宋体"/>
          <w:kern w:val="0"/>
          <w:sz w:val="24"/>
          <w:szCs w:val="24"/>
        </w:rPr>
        <w:t>Ferenci</w:t>
      </w:r>
      <w:proofErr w:type="spellEnd"/>
      <w:r w:rsidRPr="001A6A02">
        <w:rPr>
          <w:rFonts w:ascii="Book Antiqua" w:eastAsia="宋体" w:hAnsi="Book Antiqua" w:cs="宋体"/>
          <w:kern w:val="0"/>
          <w:sz w:val="24"/>
          <w:szCs w:val="24"/>
        </w:rPr>
        <w:t xml:space="preserve"> P, </w:t>
      </w:r>
      <w:proofErr w:type="spellStart"/>
      <w:r w:rsidRPr="001A6A02">
        <w:rPr>
          <w:rFonts w:ascii="Book Antiqua" w:eastAsia="宋体" w:hAnsi="Book Antiqua" w:cs="宋体"/>
          <w:kern w:val="0"/>
          <w:sz w:val="24"/>
          <w:szCs w:val="24"/>
        </w:rPr>
        <w:t>Flisiak</w:t>
      </w:r>
      <w:proofErr w:type="spellEnd"/>
      <w:r w:rsidRPr="001A6A02">
        <w:rPr>
          <w:rFonts w:ascii="Book Antiqua" w:eastAsia="宋体" w:hAnsi="Book Antiqua" w:cs="宋体"/>
          <w:kern w:val="0"/>
          <w:sz w:val="24"/>
          <w:szCs w:val="24"/>
        </w:rPr>
        <w:t xml:space="preserve"> R, George J, </w:t>
      </w:r>
      <w:proofErr w:type="spellStart"/>
      <w:r w:rsidRPr="001A6A02">
        <w:rPr>
          <w:rFonts w:ascii="Book Antiqua" w:eastAsia="宋体" w:hAnsi="Book Antiqua" w:cs="宋体"/>
          <w:kern w:val="0"/>
          <w:sz w:val="24"/>
          <w:szCs w:val="24"/>
        </w:rPr>
        <w:t>Rizzetto</w:t>
      </w:r>
      <w:proofErr w:type="spellEnd"/>
      <w:r w:rsidRPr="001A6A02">
        <w:rPr>
          <w:rFonts w:ascii="Book Antiqua" w:eastAsia="宋体" w:hAnsi="Book Antiqua" w:cs="宋体"/>
          <w:kern w:val="0"/>
          <w:sz w:val="24"/>
          <w:szCs w:val="24"/>
        </w:rPr>
        <w:t xml:space="preserve"> M, </w:t>
      </w:r>
      <w:proofErr w:type="spellStart"/>
      <w:r w:rsidRPr="001A6A02">
        <w:rPr>
          <w:rFonts w:ascii="Book Antiqua" w:eastAsia="宋体" w:hAnsi="Book Antiqua" w:cs="宋体"/>
          <w:kern w:val="0"/>
          <w:sz w:val="24"/>
          <w:szCs w:val="24"/>
        </w:rPr>
        <w:t>Shouval</w:t>
      </w:r>
      <w:proofErr w:type="spellEnd"/>
      <w:r w:rsidRPr="001A6A02">
        <w:rPr>
          <w:rFonts w:ascii="Book Antiqua" w:eastAsia="宋体" w:hAnsi="Book Antiqua" w:cs="宋体"/>
          <w:kern w:val="0"/>
          <w:sz w:val="24"/>
          <w:szCs w:val="24"/>
        </w:rPr>
        <w:t xml:space="preserve"> D, Sola R, </w:t>
      </w:r>
      <w:proofErr w:type="spellStart"/>
      <w:r w:rsidRPr="001A6A02">
        <w:rPr>
          <w:rFonts w:ascii="Book Antiqua" w:eastAsia="宋体" w:hAnsi="Book Antiqua" w:cs="宋体"/>
          <w:kern w:val="0"/>
          <w:sz w:val="24"/>
          <w:szCs w:val="24"/>
        </w:rPr>
        <w:t>Terg</w:t>
      </w:r>
      <w:proofErr w:type="spellEnd"/>
      <w:r w:rsidRPr="001A6A02">
        <w:rPr>
          <w:rFonts w:ascii="Book Antiqua" w:eastAsia="宋体" w:hAnsi="Book Antiqua" w:cs="宋体"/>
          <w:kern w:val="0"/>
          <w:sz w:val="24"/>
          <w:szCs w:val="24"/>
        </w:rPr>
        <w:t xml:space="preserve"> RA, Yoshida EM, </w:t>
      </w:r>
      <w:proofErr w:type="spellStart"/>
      <w:r w:rsidRPr="001A6A02">
        <w:rPr>
          <w:rFonts w:ascii="Book Antiqua" w:eastAsia="宋体" w:hAnsi="Book Antiqua" w:cs="宋体"/>
          <w:kern w:val="0"/>
          <w:sz w:val="24"/>
          <w:szCs w:val="24"/>
        </w:rPr>
        <w:t>Adda</w:t>
      </w:r>
      <w:proofErr w:type="spellEnd"/>
      <w:r w:rsidRPr="001A6A02">
        <w:rPr>
          <w:rFonts w:ascii="Book Antiqua" w:eastAsia="宋体" w:hAnsi="Book Antiqua" w:cs="宋体"/>
          <w:kern w:val="0"/>
          <w:sz w:val="24"/>
          <w:szCs w:val="24"/>
        </w:rPr>
        <w:t xml:space="preserve"> N, </w:t>
      </w:r>
      <w:proofErr w:type="spellStart"/>
      <w:r w:rsidRPr="001A6A02">
        <w:rPr>
          <w:rFonts w:ascii="Book Antiqua" w:eastAsia="宋体" w:hAnsi="Book Antiqua" w:cs="宋体"/>
          <w:kern w:val="0"/>
          <w:sz w:val="24"/>
          <w:szCs w:val="24"/>
        </w:rPr>
        <w:t>Bengtsson</w:t>
      </w:r>
      <w:proofErr w:type="spellEnd"/>
      <w:r w:rsidRPr="001A6A02">
        <w:rPr>
          <w:rFonts w:ascii="Book Antiqua" w:eastAsia="宋体" w:hAnsi="Book Antiqua" w:cs="宋体"/>
          <w:kern w:val="0"/>
          <w:sz w:val="24"/>
          <w:szCs w:val="24"/>
        </w:rPr>
        <w:t xml:space="preserve"> L, </w:t>
      </w:r>
      <w:proofErr w:type="spellStart"/>
      <w:r w:rsidRPr="001A6A02">
        <w:rPr>
          <w:rFonts w:ascii="Book Antiqua" w:eastAsia="宋体" w:hAnsi="Book Antiqua" w:cs="宋体"/>
          <w:kern w:val="0"/>
          <w:sz w:val="24"/>
          <w:szCs w:val="24"/>
        </w:rPr>
        <w:t>Sankoh</w:t>
      </w:r>
      <w:proofErr w:type="spellEnd"/>
      <w:r w:rsidRPr="001A6A02">
        <w:rPr>
          <w:rFonts w:ascii="Book Antiqua" w:eastAsia="宋体" w:hAnsi="Book Antiqua" w:cs="宋体"/>
          <w:kern w:val="0"/>
          <w:sz w:val="24"/>
          <w:szCs w:val="24"/>
        </w:rPr>
        <w:t xml:space="preserve"> AJ, </w:t>
      </w:r>
      <w:proofErr w:type="spellStart"/>
      <w:r w:rsidRPr="001A6A02">
        <w:rPr>
          <w:rFonts w:ascii="Book Antiqua" w:eastAsia="宋体" w:hAnsi="Book Antiqua" w:cs="宋体"/>
          <w:kern w:val="0"/>
          <w:sz w:val="24"/>
          <w:szCs w:val="24"/>
        </w:rPr>
        <w:t>Kieffer</w:t>
      </w:r>
      <w:proofErr w:type="spellEnd"/>
      <w:r w:rsidRPr="001A6A02">
        <w:rPr>
          <w:rFonts w:ascii="Book Antiqua" w:eastAsia="宋体" w:hAnsi="Book Antiqua" w:cs="宋体"/>
          <w:kern w:val="0"/>
          <w:sz w:val="24"/>
          <w:szCs w:val="24"/>
        </w:rPr>
        <w:t xml:space="preserve"> TL, George S, Kauffman RS, </w:t>
      </w:r>
      <w:proofErr w:type="spellStart"/>
      <w:r w:rsidRPr="001A6A02">
        <w:rPr>
          <w:rFonts w:ascii="Book Antiqua" w:eastAsia="宋体" w:hAnsi="Book Antiqua" w:cs="宋体"/>
          <w:kern w:val="0"/>
          <w:sz w:val="24"/>
          <w:szCs w:val="24"/>
        </w:rPr>
        <w:t>Zeuzem</w:t>
      </w:r>
      <w:proofErr w:type="spellEnd"/>
      <w:r w:rsidRPr="001A6A02">
        <w:rPr>
          <w:rFonts w:ascii="Book Antiqua" w:eastAsia="宋体" w:hAnsi="Book Antiqua" w:cs="宋体"/>
          <w:kern w:val="0"/>
          <w:sz w:val="24"/>
          <w:szCs w:val="24"/>
        </w:rPr>
        <w:t xml:space="preserve"> S. </w:t>
      </w:r>
      <w:proofErr w:type="spellStart"/>
      <w:r w:rsidRPr="001A6A02">
        <w:rPr>
          <w:rFonts w:ascii="Book Antiqua" w:eastAsia="宋体" w:hAnsi="Book Antiqua" w:cs="宋体"/>
          <w:kern w:val="0"/>
          <w:sz w:val="24"/>
          <w:szCs w:val="24"/>
        </w:rPr>
        <w:t>Telaprevir</w:t>
      </w:r>
      <w:proofErr w:type="spellEnd"/>
      <w:r w:rsidRPr="001A6A02">
        <w:rPr>
          <w:rFonts w:ascii="Book Antiqua" w:eastAsia="宋体" w:hAnsi="Book Antiqua" w:cs="宋体"/>
          <w:kern w:val="0"/>
          <w:sz w:val="24"/>
          <w:szCs w:val="24"/>
        </w:rPr>
        <w:t xml:space="preserve"> for previously untreated chronic hepatitis C virus infection. </w:t>
      </w:r>
      <w:r w:rsidRPr="001A6A02">
        <w:rPr>
          <w:rFonts w:ascii="Book Antiqua" w:eastAsia="宋体" w:hAnsi="Book Antiqua" w:cs="宋体"/>
          <w:i/>
          <w:iCs/>
          <w:kern w:val="0"/>
          <w:sz w:val="24"/>
          <w:szCs w:val="24"/>
        </w:rPr>
        <w:t xml:space="preserve">N </w:t>
      </w:r>
      <w:proofErr w:type="spellStart"/>
      <w:r w:rsidRPr="001A6A02">
        <w:rPr>
          <w:rFonts w:ascii="Book Antiqua" w:eastAsia="宋体" w:hAnsi="Book Antiqua" w:cs="宋体"/>
          <w:i/>
          <w:iCs/>
          <w:kern w:val="0"/>
          <w:sz w:val="24"/>
          <w:szCs w:val="24"/>
        </w:rPr>
        <w:t>Engl</w:t>
      </w:r>
      <w:proofErr w:type="spellEnd"/>
      <w:r w:rsidRPr="001A6A02">
        <w:rPr>
          <w:rFonts w:ascii="Book Antiqua" w:eastAsia="宋体" w:hAnsi="Book Antiqua" w:cs="宋体"/>
          <w:i/>
          <w:iCs/>
          <w:kern w:val="0"/>
          <w:sz w:val="24"/>
          <w:szCs w:val="24"/>
        </w:rPr>
        <w:t xml:space="preserve"> J Med</w:t>
      </w:r>
      <w:r w:rsidRPr="001A6A02">
        <w:rPr>
          <w:rFonts w:ascii="Book Antiqua" w:eastAsia="宋体" w:hAnsi="Book Antiqua" w:cs="宋体"/>
          <w:kern w:val="0"/>
          <w:sz w:val="24"/>
          <w:szCs w:val="24"/>
        </w:rPr>
        <w:t> 2011; </w:t>
      </w:r>
      <w:r w:rsidRPr="001A6A02">
        <w:rPr>
          <w:rFonts w:ascii="Book Antiqua" w:eastAsia="宋体" w:hAnsi="Book Antiqua" w:cs="宋体"/>
          <w:b/>
          <w:bCs/>
          <w:kern w:val="0"/>
          <w:sz w:val="24"/>
          <w:szCs w:val="24"/>
        </w:rPr>
        <w:t>364</w:t>
      </w:r>
      <w:r w:rsidRPr="001A6A02">
        <w:rPr>
          <w:rFonts w:ascii="Book Antiqua" w:eastAsia="宋体" w:hAnsi="Book Antiqua" w:cs="宋体"/>
          <w:kern w:val="0"/>
          <w:sz w:val="24"/>
          <w:szCs w:val="24"/>
        </w:rPr>
        <w:t>: 2405-2416 [PMID: 21696307 DOI: 10.1056/NEJMoa1012912]</w:t>
      </w:r>
    </w:p>
    <w:p w14:paraId="2B101D42"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7 </w:t>
      </w:r>
      <w:proofErr w:type="spellStart"/>
      <w:r w:rsidRPr="001A6A02">
        <w:rPr>
          <w:rFonts w:ascii="Book Antiqua" w:eastAsia="宋体" w:hAnsi="Book Antiqua" w:cs="宋体"/>
          <w:b/>
          <w:bCs/>
          <w:kern w:val="0"/>
          <w:sz w:val="24"/>
          <w:szCs w:val="24"/>
        </w:rPr>
        <w:t>Poordad</w:t>
      </w:r>
      <w:proofErr w:type="spellEnd"/>
      <w:r w:rsidRPr="001A6A02">
        <w:rPr>
          <w:rFonts w:ascii="Book Antiqua" w:eastAsia="宋体" w:hAnsi="Book Antiqua" w:cs="宋体"/>
          <w:b/>
          <w:bCs/>
          <w:kern w:val="0"/>
          <w:sz w:val="24"/>
          <w:szCs w:val="24"/>
        </w:rPr>
        <w:t xml:space="preserve"> F</w:t>
      </w:r>
      <w:r w:rsidRPr="001A6A02">
        <w:rPr>
          <w:rFonts w:ascii="Book Antiqua" w:eastAsia="宋体" w:hAnsi="Book Antiqua" w:cs="宋体"/>
          <w:kern w:val="0"/>
          <w:sz w:val="24"/>
          <w:szCs w:val="24"/>
        </w:rPr>
        <w:t xml:space="preserve">, McCone J, Bacon BR, Bruno S, </w:t>
      </w:r>
      <w:proofErr w:type="spellStart"/>
      <w:r w:rsidRPr="001A6A02">
        <w:rPr>
          <w:rFonts w:ascii="Book Antiqua" w:eastAsia="宋体" w:hAnsi="Book Antiqua" w:cs="宋体"/>
          <w:kern w:val="0"/>
          <w:sz w:val="24"/>
          <w:szCs w:val="24"/>
        </w:rPr>
        <w:t>Manns</w:t>
      </w:r>
      <w:proofErr w:type="spellEnd"/>
      <w:r w:rsidRPr="001A6A02">
        <w:rPr>
          <w:rFonts w:ascii="Book Antiqua" w:eastAsia="宋体" w:hAnsi="Book Antiqua" w:cs="宋体"/>
          <w:kern w:val="0"/>
          <w:sz w:val="24"/>
          <w:szCs w:val="24"/>
        </w:rPr>
        <w:t xml:space="preserve"> MP, </w:t>
      </w:r>
      <w:proofErr w:type="spellStart"/>
      <w:r w:rsidRPr="001A6A02">
        <w:rPr>
          <w:rFonts w:ascii="Book Antiqua" w:eastAsia="宋体" w:hAnsi="Book Antiqua" w:cs="宋体"/>
          <w:kern w:val="0"/>
          <w:sz w:val="24"/>
          <w:szCs w:val="24"/>
        </w:rPr>
        <w:t>Sulkowski</w:t>
      </w:r>
      <w:proofErr w:type="spellEnd"/>
      <w:r w:rsidRPr="001A6A02">
        <w:rPr>
          <w:rFonts w:ascii="Book Antiqua" w:eastAsia="宋体" w:hAnsi="Book Antiqua" w:cs="宋体"/>
          <w:kern w:val="0"/>
          <w:sz w:val="24"/>
          <w:szCs w:val="24"/>
        </w:rPr>
        <w:t xml:space="preserve"> MS, Jacobson IM, Reddy KR, Goodman ZD, Boparai N, </w:t>
      </w:r>
      <w:proofErr w:type="spellStart"/>
      <w:r w:rsidRPr="001A6A02">
        <w:rPr>
          <w:rFonts w:ascii="Book Antiqua" w:eastAsia="宋体" w:hAnsi="Book Antiqua" w:cs="宋体"/>
          <w:kern w:val="0"/>
          <w:sz w:val="24"/>
          <w:szCs w:val="24"/>
        </w:rPr>
        <w:t>DiNubile</w:t>
      </w:r>
      <w:proofErr w:type="spellEnd"/>
      <w:r w:rsidRPr="001A6A02">
        <w:rPr>
          <w:rFonts w:ascii="Book Antiqua" w:eastAsia="宋体" w:hAnsi="Book Antiqua" w:cs="宋体"/>
          <w:kern w:val="0"/>
          <w:sz w:val="24"/>
          <w:szCs w:val="24"/>
        </w:rPr>
        <w:t xml:space="preserve"> MJ, </w:t>
      </w:r>
      <w:proofErr w:type="spellStart"/>
      <w:r w:rsidRPr="001A6A02">
        <w:rPr>
          <w:rFonts w:ascii="Book Antiqua" w:eastAsia="宋体" w:hAnsi="Book Antiqua" w:cs="宋体"/>
          <w:kern w:val="0"/>
          <w:sz w:val="24"/>
          <w:szCs w:val="24"/>
        </w:rPr>
        <w:t>Sniukiene</w:t>
      </w:r>
      <w:proofErr w:type="spellEnd"/>
      <w:r w:rsidRPr="001A6A02">
        <w:rPr>
          <w:rFonts w:ascii="Book Antiqua" w:eastAsia="宋体" w:hAnsi="Book Antiqua" w:cs="宋体"/>
          <w:kern w:val="0"/>
          <w:sz w:val="24"/>
          <w:szCs w:val="24"/>
        </w:rPr>
        <w:t xml:space="preserve"> V, Brass CA, Albrecht JK, </w:t>
      </w:r>
      <w:proofErr w:type="spellStart"/>
      <w:r w:rsidRPr="001A6A02">
        <w:rPr>
          <w:rFonts w:ascii="Book Antiqua" w:eastAsia="宋体" w:hAnsi="Book Antiqua" w:cs="宋体"/>
          <w:kern w:val="0"/>
          <w:sz w:val="24"/>
          <w:szCs w:val="24"/>
        </w:rPr>
        <w:t>Bronowicki</w:t>
      </w:r>
      <w:proofErr w:type="spellEnd"/>
      <w:r w:rsidRPr="001A6A02">
        <w:rPr>
          <w:rFonts w:ascii="Book Antiqua" w:eastAsia="宋体" w:hAnsi="Book Antiqua" w:cs="宋体"/>
          <w:kern w:val="0"/>
          <w:sz w:val="24"/>
          <w:szCs w:val="24"/>
        </w:rPr>
        <w:t xml:space="preserve"> JP. </w:t>
      </w:r>
      <w:proofErr w:type="spellStart"/>
      <w:proofErr w:type="gramStart"/>
      <w:r w:rsidRPr="001A6A02">
        <w:rPr>
          <w:rFonts w:ascii="Book Antiqua" w:eastAsia="宋体" w:hAnsi="Book Antiqua" w:cs="宋体"/>
          <w:kern w:val="0"/>
          <w:sz w:val="24"/>
          <w:szCs w:val="24"/>
        </w:rPr>
        <w:t>Boceprevir</w:t>
      </w:r>
      <w:proofErr w:type="spellEnd"/>
      <w:r w:rsidRPr="001A6A02">
        <w:rPr>
          <w:rFonts w:ascii="Book Antiqua" w:eastAsia="宋体" w:hAnsi="Book Antiqua" w:cs="宋体"/>
          <w:kern w:val="0"/>
          <w:sz w:val="24"/>
          <w:szCs w:val="24"/>
        </w:rPr>
        <w:t xml:space="preserve"> for untreated chronic HCV genotype 1 infection.</w:t>
      </w:r>
      <w:proofErr w:type="gramEnd"/>
      <w:r w:rsidRPr="001A6A02">
        <w:rPr>
          <w:rFonts w:ascii="Book Antiqua" w:eastAsia="宋体" w:hAnsi="Book Antiqua" w:cs="宋体"/>
          <w:kern w:val="0"/>
          <w:sz w:val="24"/>
          <w:szCs w:val="24"/>
        </w:rPr>
        <w:t> </w:t>
      </w:r>
      <w:r w:rsidRPr="001A6A02">
        <w:rPr>
          <w:rFonts w:ascii="Book Antiqua" w:eastAsia="宋体" w:hAnsi="Book Antiqua" w:cs="宋体"/>
          <w:i/>
          <w:iCs/>
          <w:kern w:val="0"/>
          <w:sz w:val="24"/>
          <w:szCs w:val="24"/>
        </w:rPr>
        <w:t xml:space="preserve">N </w:t>
      </w:r>
      <w:proofErr w:type="spellStart"/>
      <w:r w:rsidRPr="001A6A02">
        <w:rPr>
          <w:rFonts w:ascii="Book Antiqua" w:eastAsia="宋体" w:hAnsi="Book Antiqua" w:cs="宋体"/>
          <w:i/>
          <w:iCs/>
          <w:kern w:val="0"/>
          <w:sz w:val="24"/>
          <w:szCs w:val="24"/>
        </w:rPr>
        <w:t>Engl</w:t>
      </w:r>
      <w:proofErr w:type="spellEnd"/>
      <w:r w:rsidRPr="001A6A02">
        <w:rPr>
          <w:rFonts w:ascii="Book Antiqua" w:eastAsia="宋体" w:hAnsi="Book Antiqua" w:cs="宋体"/>
          <w:i/>
          <w:iCs/>
          <w:kern w:val="0"/>
          <w:sz w:val="24"/>
          <w:szCs w:val="24"/>
        </w:rPr>
        <w:t xml:space="preserve"> J Med</w:t>
      </w:r>
      <w:r w:rsidRPr="001A6A02">
        <w:rPr>
          <w:rFonts w:ascii="Book Antiqua" w:eastAsia="宋体" w:hAnsi="Book Antiqua" w:cs="宋体"/>
          <w:kern w:val="0"/>
          <w:sz w:val="24"/>
          <w:szCs w:val="24"/>
        </w:rPr>
        <w:t> 2011; </w:t>
      </w:r>
      <w:r w:rsidRPr="001A6A02">
        <w:rPr>
          <w:rFonts w:ascii="Book Antiqua" w:eastAsia="宋体" w:hAnsi="Book Antiqua" w:cs="宋体"/>
          <w:b/>
          <w:bCs/>
          <w:kern w:val="0"/>
          <w:sz w:val="24"/>
          <w:szCs w:val="24"/>
        </w:rPr>
        <w:t>364</w:t>
      </w:r>
      <w:r w:rsidRPr="001A6A02">
        <w:rPr>
          <w:rFonts w:ascii="Book Antiqua" w:eastAsia="宋体" w:hAnsi="Book Antiqua" w:cs="宋体"/>
          <w:kern w:val="0"/>
          <w:sz w:val="24"/>
          <w:szCs w:val="24"/>
        </w:rPr>
        <w:t>: 1195-1206 [PMID: 21449783 DOI: 10.1056/NEJMoa1010494]</w:t>
      </w:r>
    </w:p>
    <w:p w14:paraId="243F2B52"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8 </w:t>
      </w:r>
      <w:proofErr w:type="spellStart"/>
      <w:r w:rsidRPr="001A6A02">
        <w:rPr>
          <w:rFonts w:ascii="Book Antiqua" w:eastAsia="宋体" w:hAnsi="Book Antiqua" w:cs="宋体"/>
          <w:b/>
          <w:bCs/>
          <w:kern w:val="0"/>
          <w:sz w:val="24"/>
          <w:szCs w:val="24"/>
        </w:rPr>
        <w:t>Zeuzem</w:t>
      </w:r>
      <w:proofErr w:type="spellEnd"/>
      <w:r w:rsidRPr="001A6A02">
        <w:rPr>
          <w:rFonts w:ascii="Book Antiqua" w:eastAsia="宋体" w:hAnsi="Book Antiqua" w:cs="宋体"/>
          <w:b/>
          <w:bCs/>
          <w:kern w:val="0"/>
          <w:sz w:val="24"/>
          <w:szCs w:val="24"/>
        </w:rPr>
        <w:t xml:space="preserve"> S</w:t>
      </w:r>
      <w:r w:rsidRPr="001A6A02">
        <w:rPr>
          <w:rFonts w:ascii="Book Antiqua" w:eastAsia="宋体" w:hAnsi="Book Antiqua" w:cs="宋体"/>
          <w:kern w:val="0"/>
          <w:sz w:val="24"/>
          <w:szCs w:val="24"/>
        </w:rPr>
        <w:t xml:space="preserve">, </w:t>
      </w:r>
      <w:proofErr w:type="spellStart"/>
      <w:r w:rsidRPr="001A6A02">
        <w:rPr>
          <w:rFonts w:ascii="Book Antiqua" w:eastAsia="宋体" w:hAnsi="Book Antiqua" w:cs="宋体"/>
          <w:kern w:val="0"/>
          <w:sz w:val="24"/>
          <w:szCs w:val="24"/>
        </w:rPr>
        <w:t>Andreone</w:t>
      </w:r>
      <w:proofErr w:type="spellEnd"/>
      <w:r w:rsidRPr="001A6A02">
        <w:rPr>
          <w:rFonts w:ascii="Book Antiqua" w:eastAsia="宋体" w:hAnsi="Book Antiqua" w:cs="宋体"/>
          <w:kern w:val="0"/>
          <w:sz w:val="24"/>
          <w:szCs w:val="24"/>
        </w:rPr>
        <w:t xml:space="preserve"> P, Pol S, </w:t>
      </w:r>
      <w:proofErr w:type="spellStart"/>
      <w:r w:rsidRPr="001A6A02">
        <w:rPr>
          <w:rFonts w:ascii="Book Antiqua" w:eastAsia="宋体" w:hAnsi="Book Antiqua" w:cs="宋体"/>
          <w:kern w:val="0"/>
          <w:sz w:val="24"/>
          <w:szCs w:val="24"/>
        </w:rPr>
        <w:t>Lawitz</w:t>
      </w:r>
      <w:proofErr w:type="spellEnd"/>
      <w:r w:rsidRPr="001A6A02">
        <w:rPr>
          <w:rFonts w:ascii="Book Antiqua" w:eastAsia="宋体" w:hAnsi="Book Antiqua" w:cs="宋体"/>
          <w:kern w:val="0"/>
          <w:sz w:val="24"/>
          <w:szCs w:val="24"/>
        </w:rPr>
        <w:t xml:space="preserve"> E, </w:t>
      </w:r>
      <w:proofErr w:type="spellStart"/>
      <w:r w:rsidRPr="001A6A02">
        <w:rPr>
          <w:rFonts w:ascii="Book Antiqua" w:eastAsia="宋体" w:hAnsi="Book Antiqua" w:cs="宋体"/>
          <w:kern w:val="0"/>
          <w:sz w:val="24"/>
          <w:szCs w:val="24"/>
        </w:rPr>
        <w:t>Diago</w:t>
      </w:r>
      <w:proofErr w:type="spellEnd"/>
      <w:r w:rsidRPr="001A6A02">
        <w:rPr>
          <w:rFonts w:ascii="Book Antiqua" w:eastAsia="宋体" w:hAnsi="Book Antiqua" w:cs="宋体"/>
          <w:kern w:val="0"/>
          <w:sz w:val="24"/>
          <w:szCs w:val="24"/>
        </w:rPr>
        <w:t xml:space="preserve"> M, Roberts S, Focaccia R, </w:t>
      </w:r>
      <w:proofErr w:type="spellStart"/>
      <w:r w:rsidRPr="001A6A02">
        <w:rPr>
          <w:rFonts w:ascii="Book Antiqua" w:eastAsia="宋体" w:hAnsi="Book Antiqua" w:cs="宋体"/>
          <w:kern w:val="0"/>
          <w:sz w:val="24"/>
          <w:szCs w:val="24"/>
        </w:rPr>
        <w:t>Younossi</w:t>
      </w:r>
      <w:proofErr w:type="spellEnd"/>
      <w:r w:rsidRPr="001A6A02">
        <w:rPr>
          <w:rFonts w:ascii="Book Antiqua" w:eastAsia="宋体" w:hAnsi="Book Antiqua" w:cs="宋体"/>
          <w:kern w:val="0"/>
          <w:sz w:val="24"/>
          <w:szCs w:val="24"/>
        </w:rPr>
        <w:t xml:space="preserve"> Z, Foster GR, </w:t>
      </w:r>
      <w:proofErr w:type="spellStart"/>
      <w:r w:rsidRPr="001A6A02">
        <w:rPr>
          <w:rFonts w:ascii="Book Antiqua" w:eastAsia="宋体" w:hAnsi="Book Antiqua" w:cs="宋体"/>
          <w:kern w:val="0"/>
          <w:sz w:val="24"/>
          <w:szCs w:val="24"/>
        </w:rPr>
        <w:t>Horban</w:t>
      </w:r>
      <w:proofErr w:type="spellEnd"/>
      <w:r w:rsidRPr="001A6A02">
        <w:rPr>
          <w:rFonts w:ascii="Book Antiqua" w:eastAsia="宋体" w:hAnsi="Book Antiqua" w:cs="宋体"/>
          <w:kern w:val="0"/>
          <w:sz w:val="24"/>
          <w:szCs w:val="24"/>
        </w:rPr>
        <w:t xml:space="preserve"> A, </w:t>
      </w:r>
      <w:proofErr w:type="spellStart"/>
      <w:r w:rsidRPr="001A6A02">
        <w:rPr>
          <w:rFonts w:ascii="Book Antiqua" w:eastAsia="宋体" w:hAnsi="Book Antiqua" w:cs="宋体"/>
          <w:kern w:val="0"/>
          <w:sz w:val="24"/>
          <w:szCs w:val="24"/>
        </w:rPr>
        <w:t>Ferenci</w:t>
      </w:r>
      <w:proofErr w:type="spellEnd"/>
      <w:r w:rsidRPr="001A6A02">
        <w:rPr>
          <w:rFonts w:ascii="Book Antiqua" w:eastAsia="宋体" w:hAnsi="Book Antiqua" w:cs="宋体"/>
          <w:kern w:val="0"/>
          <w:sz w:val="24"/>
          <w:szCs w:val="24"/>
        </w:rPr>
        <w:t xml:space="preserve"> P, </w:t>
      </w:r>
      <w:proofErr w:type="spellStart"/>
      <w:r w:rsidRPr="001A6A02">
        <w:rPr>
          <w:rFonts w:ascii="Book Antiqua" w:eastAsia="宋体" w:hAnsi="Book Antiqua" w:cs="宋体"/>
          <w:kern w:val="0"/>
          <w:sz w:val="24"/>
          <w:szCs w:val="24"/>
        </w:rPr>
        <w:t>Nevens</w:t>
      </w:r>
      <w:proofErr w:type="spellEnd"/>
      <w:r w:rsidRPr="001A6A02">
        <w:rPr>
          <w:rFonts w:ascii="Book Antiqua" w:eastAsia="宋体" w:hAnsi="Book Antiqua" w:cs="宋体"/>
          <w:kern w:val="0"/>
          <w:sz w:val="24"/>
          <w:szCs w:val="24"/>
        </w:rPr>
        <w:t xml:space="preserve"> F, </w:t>
      </w:r>
      <w:proofErr w:type="spellStart"/>
      <w:r w:rsidRPr="001A6A02">
        <w:rPr>
          <w:rFonts w:ascii="Book Antiqua" w:eastAsia="宋体" w:hAnsi="Book Antiqua" w:cs="宋体"/>
          <w:kern w:val="0"/>
          <w:sz w:val="24"/>
          <w:szCs w:val="24"/>
        </w:rPr>
        <w:t>Müllhaupt</w:t>
      </w:r>
      <w:proofErr w:type="spellEnd"/>
      <w:r w:rsidRPr="001A6A02">
        <w:rPr>
          <w:rFonts w:ascii="Book Antiqua" w:eastAsia="宋体" w:hAnsi="Book Antiqua" w:cs="宋体"/>
          <w:kern w:val="0"/>
          <w:sz w:val="24"/>
          <w:szCs w:val="24"/>
        </w:rPr>
        <w:t xml:space="preserve"> B, </w:t>
      </w:r>
      <w:proofErr w:type="spellStart"/>
      <w:r w:rsidRPr="001A6A02">
        <w:rPr>
          <w:rFonts w:ascii="Book Antiqua" w:eastAsia="宋体" w:hAnsi="Book Antiqua" w:cs="宋体"/>
          <w:kern w:val="0"/>
          <w:sz w:val="24"/>
          <w:szCs w:val="24"/>
        </w:rPr>
        <w:t>Pockros</w:t>
      </w:r>
      <w:proofErr w:type="spellEnd"/>
      <w:r w:rsidRPr="001A6A02">
        <w:rPr>
          <w:rFonts w:ascii="Book Antiqua" w:eastAsia="宋体" w:hAnsi="Book Antiqua" w:cs="宋体"/>
          <w:kern w:val="0"/>
          <w:sz w:val="24"/>
          <w:szCs w:val="24"/>
        </w:rPr>
        <w:t xml:space="preserve"> P, </w:t>
      </w:r>
      <w:proofErr w:type="spellStart"/>
      <w:r w:rsidRPr="001A6A02">
        <w:rPr>
          <w:rFonts w:ascii="Book Antiqua" w:eastAsia="宋体" w:hAnsi="Book Antiqua" w:cs="宋体"/>
          <w:kern w:val="0"/>
          <w:sz w:val="24"/>
          <w:szCs w:val="24"/>
        </w:rPr>
        <w:t>Terg</w:t>
      </w:r>
      <w:proofErr w:type="spellEnd"/>
      <w:r w:rsidRPr="001A6A02">
        <w:rPr>
          <w:rFonts w:ascii="Book Antiqua" w:eastAsia="宋体" w:hAnsi="Book Antiqua" w:cs="宋体"/>
          <w:kern w:val="0"/>
          <w:sz w:val="24"/>
          <w:szCs w:val="24"/>
        </w:rPr>
        <w:t xml:space="preserve"> R, </w:t>
      </w:r>
      <w:proofErr w:type="spellStart"/>
      <w:r w:rsidRPr="001A6A02">
        <w:rPr>
          <w:rFonts w:ascii="Book Antiqua" w:eastAsia="宋体" w:hAnsi="Book Antiqua" w:cs="宋体"/>
          <w:kern w:val="0"/>
          <w:sz w:val="24"/>
          <w:szCs w:val="24"/>
        </w:rPr>
        <w:t>Shouval</w:t>
      </w:r>
      <w:proofErr w:type="spellEnd"/>
      <w:r w:rsidRPr="001A6A02">
        <w:rPr>
          <w:rFonts w:ascii="Book Antiqua" w:eastAsia="宋体" w:hAnsi="Book Antiqua" w:cs="宋体"/>
          <w:kern w:val="0"/>
          <w:sz w:val="24"/>
          <w:szCs w:val="24"/>
        </w:rPr>
        <w:t xml:space="preserve"> D, van Hoek B, Weiland O, Van </w:t>
      </w:r>
      <w:proofErr w:type="spellStart"/>
      <w:r w:rsidRPr="001A6A02">
        <w:rPr>
          <w:rFonts w:ascii="Book Antiqua" w:eastAsia="宋体" w:hAnsi="Book Antiqua" w:cs="宋体"/>
          <w:kern w:val="0"/>
          <w:sz w:val="24"/>
          <w:szCs w:val="24"/>
        </w:rPr>
        <w:t>Heeswijk</w:t>
      </w:r>
      <w:proofErr w:type="spellEnd"/>
      <w:r w:rsidRPr="001A6A02">
        <w:rPr>
          <w:rFonts w:ascii="Book Antiqua" w:eastAsia="宋体" w:hAnsi="Book Antiqua" w:cs="宋体"/>
          <w:kern w:val="0"/>
          <w:sz w:val="24"/>
          <w:szCs w:val="24"/>
        </w:rPr>
        <w:t xml:space="preserve"> R, De Meyer S, Luo D, </w:t>
      </w:r>
      <w:proofErr w:type="spellStart"/>
      <w:r w:rsidRPr="001A6A02">
        <w:rPr>
          <w:rFonts w:ascii="Book Antiqua" w:eastAsia="宋体" w:hAnsi="Book Antiqua" w:cs="宋体"/>
          <w:kern w:val="0"/>
          <w:sz w:val="24"/>
          <w:szCs w:val="24"/>
        </w:rPr>
        <w:t>Boogaerts</w:t>
      </w:r>
      <w:proofErr w:type="spellEnd"/>
      <w:r w:rsidRPr="001A6A02">
        <w:rPr>
          <w:rFonts w:ascii="Book Antiqua" w:eastAsia="宋体" w:hAnsi="Book Antiqua" w:cs="宋体"/>
          <w:kern w:val="0"/>
          <w:sz w:val="24"/>
          <w:szCs w:val="24"/>
        </w:rPr>
        <w:t xml:space="preserve"> G, Polo R, </w:t>
      </w:r>
      <w:proofErr w:type="spellStart"/>
      <w:r w:rsidRPr="001A6A02">
        <w:rPr>
          <w:rFonts w:ascii="Book Antiqua" w:eastAsia="宋体" w:hAnsi="Book Antiqua" w:cs="宋体"/>
          <w:kern w:val="0"/>
          <w:sz w:val="24"/>
          <w:szCs w:val="24"/>
        </w:rPr>
        <w:t>Picchio</w:t>
      </w:r>
      <w:proofErr w:type="spellEnd"/>
      <w:r w:rsidRPr="001A6A02">
        <w:rPr>
          <w:rFonts w:ascii="Book Antiqua" w:eastAsia="宋体" w:hAnsi="Book Antiqua" w:cs="宋体"/>
          <w:kern w:val="0"/>
          <w:sz w:val="24"/>
          <w:szCs w:val="24"/>
        </w:rPr>
        <w:t xml:space="preserve"> G, </w:t>
      </w:r>
      <w:proofErr w:type="spellStart"/>
      <w:r w:rsidRPr="001A6A02">
        <w:rPr>
          <w:rFonts w:ascii="Book Antiqua" w:eastAsia="宋体" w:hAnsi="Book Antiqua" w:cs="宋体"/>
          <w:kern w:val="0"/>
          <w:sz w:val="24"/>
          <w:szCs w:val="24"/>
        </w:rPr>
        <w:t>Beumont</w:t>
      </w:r>
      <w:proofErr w:type="spellEnd"/>
      <w:r w:rsidRPr="001A6A02">
        <w:rPr>
          <w:rFonts w:ascii="Book Antiqua" w:eastAsia="宋体" w:hAnsi="Book Antiqua" w:cs="宋体"/>
          <w:kern w:val="0"/>
          <w:sz w:val="24"/>
          <w:szCs w:val="24"/>
        </w:rPr>
        <w:t xml:space="preserve"> M. </w:t>
      </w:r>
      <w:proofErr w:type="spellStart"/>
      <w:r w:rsidRPr="001A6A02">
        <w:rPr>
          <w:rFonts w:ascii="Book Antiqua" w:eastAsia="宋体" w:hAnsi="Book Antiqua" w:cs="宋体"/>
          <w:kern w:val="0"/>
          <w:sz w:val="24"/>
          <w:szCs w:val="24"/>
        </w:rPr>
        <w:t>Telaprevir</w:t>
      </w:r>
      <w:proofErr w:type="spellEnd"/>
      <w:r w:rsidRPr="001A6A02">
        <w:rPr>
          <w:rFonts w:ascii="Book Antiqua" w:eastAsia="宋体" w:hAnsi="Book Antiqua" w:cs="宋体"/>
          <w:kern w:val="0"/>
          <w:sz w:val="24"/>
          <w:szCs w:val="24"/>
        </w:rPr>
        <w:t xml:space="preserve"> for retreatment of HCV infection. </w:t>
      </w:r>
      <w:r w:rsidRPr="001A6A02">
        <w:rPr>
          <w:rFonts w:ascii="Book Antiqua" w:eastAsia="宋体" w:hAnsi="Book Antiqua" w:cs="宋体"/>
          <w:i/>
          <w:iCs/>
          <w:kern w:val="0"/>
          <w:sz w:val="24"/>
          <w:szCs w:val="24"/>
        </w:rPr>
        <w:t xml:space="preserve">N </w:t>
      </w:r>
      <w:proofErr w:type="spellStart"/>
      <w:r w:rsidRPr="001A6A02">
        <w:rPr>
          <w:rFonts w:ascii="Book Antiqua" w:eastAsia="宋体" w:hAnsi="Book Antiqua" w:cs="宋体"/>
          <w:i/>
          <w:iCs/>
          <w:kern w:val="0"/>
          <w:sz w:val="24"/>
          <w:szCs w:val="24"/>
        </w:rPr>
        <w:t>Engl</w:t>
      </w:r>
      <w:proofErr w:type="spellEnd"/>
      <w:r w:rsidRPr="001A6A02">
        <w:rPr>
          <w:rFonts w:ascii="Book Antiqua" w:eastAsia="宋体" w:hAnsi="Book Antiqua" w:cs="宋体"/>
          <w:i/>
          <w:iCs/>
          <w:kern w:val="0"/>
          <w:sz w:val="24"/>
          <w:szCs w:val="24"/>
        </w:rPr>
        <w:t xml:space="preserve"> J Med</w:t>
      </w:r>
      <w:r w:rsidRPr="001A6A02">
        <w:rPr>
          <w:rFonts w:ascii="Book Antiqua" w:eastAsia="宋体" w:hAnsi="Book Antiqua" w:cs="宋体"/>
          <w:kern w:val="0"/>
          <w:sz w:val="24"/>
          <w:szCs w:val="24"/>
        </w:rPr>
        <w:t> 2011; </w:t>
      </w:r>
      <w:r w:rsidRPr="001A6A02">
        <w:rPr>
          <w:rFonts w:ascii="Book Antiqua" w:eastAsia="宋体" w:hAnsi="Book Antiqua" w:cs="宋体"/>
          <w:b/>
          <w:bCs/>
          <w:kern w:val="0"/>
          <w:sz w:val="24"/>
          <w:szCs w:val="24"/>
        </w:rPr>
        <w:t>364</w:t>
      </w:r>
      <w:r w:rsidRPr="001A6A02">
        <w:rPr>
          <w:rFonts w:ascii="Book Antiqua" w:eastAsia="宋体" w:hAnsi="Book Antiqua" w:cs="宋体"/>
          <w:kern w:val="0"/>
          <w:sz w:val="24"/>
          <w:szCs w:val="24"/>
        </w:rPr>
        <w:t>: 2417-2428 [PMID: 21696308 DOI: 10.1056/NEJMoa1013086]</w:t>
      </w:r>
    </w:p>
    <w:p w14:paraId="266DA110"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9 </w:t>
      </w:r>
      <w:proofErr w:type="spellStart"/>
      <w:r w:rsidRPr="001A6A02">
        <w:rPr>
          <w:rFonts w:ascii="Book Antiqua" w:eastAsia="宋体" w:hAnsi="Book Antiqua" w:cs="宋体"/>
          <w:b/>
          <w:bCs/>
          <w:kern w:val="0"/>
          <w:sz w:val="24"/>
          <w:szCs w:val="24"/>
        </w:rPr>
        <w:t>Akuta</w:t>
      </w:r>
      <w:proofErr w:type="spellEnd"/>
      <w:r w:rsidRPr="001A6A02">
        <w:rPr>
          <w:rFonts w:ascii="Book Antiqua" w:eastAsia="宋体" w:hAnsi="Book Antiqua" w:cs="宋体"/>
          <w:b/>
          <w:bCs/>
          <w:kern w:val="0"/>
          <w:sz w:val="24"/>
          <w:szCs w:val="24"/>
        </w:rPr>
        <w:t xml:space="preserve"> N</w:t>
      </w:r>
      <w:r w:rsidRPr="001A6A02">
        <w:rPr>
          <w:rFonts w:ascii="Book Antiqua" w:eastAsia="宋体" w:hAnsi="Book Antiqua" w:cs="宋体"/>
          <w:kern w:val="0"/>
          <w:sz w:val="24"/>
          <w:szCs w:val="24"/>
        </w:rPr>
        <w:t xml:space="preserve">, Suzuki F, </w:t>
      </w:r>
      <w:proofErr w:type="spellStart"/>
      <w:r w:rsidRPr="001A6A02">
        <w:rPr>
          <w:rFonts w:ascii="Book Antiqua" w:eastAsia="宋体" w:hAnsi="Book Antiqua" w:cs="宋体"/>
          <w:kern w:val="0"/>
          <w:sz w:val="24"/>
          <w:szCs w:val="24"/>
        </w:rPr>
        <w:t>Hirakawa</w:t>
      </w:r>
      <w:proofErr w:type="spellEnd"/>
      <w:r w:rsidRPr="001A6A02">
        <w:rPr>
          <w:rFonts w:ascii="Book Antiqua" w:eastAsia="宋体" w:hAnsi="Book Antiqua" w:cs="宋体"/>
          <w:kern w:val="0"/>
          <w:sz w:val="24"/>
          <w:szCs w:val="24"/>
        </w:rPr>
        <w:t xml:space="preserve"> M, Kawamura Y, </w:t>
      </w:r>
      <w:proofErr w:type="spellStart"/>
      <w:r w:rsidRPr="001A6A02">
        <w:rPr>
          <w:rFonts w:ascii="Book Antiqua" w:eastAsia="宋体" w:hAnsi="Book Antiqua" w:cs="宋体"/>
          <w:kern w:val="0"/>
          <w:sz w:val="24"/>
          <w:szCs w:val="24"/>
        </w:rPr>
        <w:t>Yatsuji</w:t>
      </w:r>
      <w:proofErr w:type="spellEnd"/>
      <w:r w:rsidRPr="001A6A02">
        <w:rPr>
          <w:rFonts w:ascii="Book Antiqua" w:eastAsia="宋体" w:hAnsi="Book Antiqua" w:cs="宋体"/>
          <w:kern w:val="0"/>
          <w:sz w:val="24"/>
          <w:szCs w:val="24"/>
        </w:rPr>
        <w:t xml:space="preserve"> H, </w:t>
      </w:r>
      <w:proofErr w:type="spellStart"/>
      <w:r w:rsidRPr="001A6A02">
        <w:rPr>
          <w:rFonts w:ascii="Book Antiqua" w:eastAsia="宋体" w:hAnsi="Book Antiqua" w:cs="宋体"/>
          <w:kern w:val="0"/>
          <w:sz w:val="24"/>
          <w:szCs w:val="24"/>
        </w:rPr>
        <w:t>Sezaki</w:t>
      </w:r>
      <w:proofErr w:type="spellEnd"/>
      <w:r w:rsidRPr="001A6A02">
        <w:rPr>
          <w:rFonts w:ascii="Book Antiqua" w:eastAsia="宋体" w:hAnsi="Book Antiqua" w:cs="宋体"/>
          <w:kern w:val="0"/>
          <w:sz w:val="24"/>
          <w:szCs w:val="24"/>
        </w:rPr>
        <w:t xml:space="preserve"> H, Suzuki Y, </w:t>
      </w:r>
      <w:proofErr w:type="spellStart"/>
      <w:r w:rsidRPr="001A6A02">
        <w:rPr>
          <w:rFonts w:ascii="Book Antiqua" w:eastAsia="宋体" w:hAnsi="Book Antiqua" w:cs="宋体"/>
          <w:kern w:val="0"/>
          <w:sz w:val="24"/>
          <w:szCs w:val="24"/>
        </w:rPr>
        <w:t>Hosaka</w:t>
      </w:r>
      <w:proofErr w:type="spellEnd"/>
      <w:r w:rsidRPr="001A6A02">
        <w:rPr>
          <w:rFonts w:ascii="Book Antiqua" w:eastAsia="宋体" w:hAnsi="Book Antiqua" w:cs="宋体"/>
          <w:kern w:val="0"/>
          <w:sz w:val="24"/>
          <w:szCs w:val="24"/>
        </w:rPr>
        <w:t xml:space="preserve"> T, Kobayashi M, Kobayashi M, </w:t>
      </w:r>
      <w:proofErr w:type="spellStart"/>
      <w:r w:rsidRPr="001A6A02">
        <w:rPr>
          <w:rFonts w:ascii="Book Antiqua" w:eastAsia="宋体" w:hAnsi="Book Antiqua" w:cs="宋体"/>
          <w:kern w:val="0"/>
          <w:sz w:val="24"/>
          <w:szCs w:val="24"/>
        </w:rPr>
        <w:t>Saitoh</w:t>
      </w:r>
      <w:proofErr w:type="spellEnd"/>
      <w:r w:rsidRPr="001A6A02">
        <w:rPr>
          <w:rFonts w:ascii="Book Antiqua" w:eastAsia="宋体" w:hAnsi="Book Antiqua" w:cs="宋体"/>
          <w:kern w:val="0"/>
          <w:sz w:val="24"/>
          <w:szCs w:val="24"/>
        </w:rPr>
        <w:t xml:space="preserve"> S, Arase Y, Ikeda K, </w:t>
      </w:r>
      <w:proofErr w:type="spellStart"/>
      <w:r w:rsidRPr="001A6A02">
        <w:rPr>
          <w:rFonts w:ascii="Book Antiqua" w:eastAsia="宋体" w:hAnsi="Book Antiqua" w:cs="宋体"/>
          <w:kern w:val="0"/>
          <w:sz w:val="24"/>
          <w:szCs w:val="24"/>
        </w:rPr>
        <w:t>Chayama</w:t>
      </w:r>
      <w:proofErr w:type="spellEnd"/>
      <w:r w:rsidRPr="001A6A02">
        <w:rPr>
          <w:rFonts w:ascii="Book Antiqua" w:eastAsia="宋体" w:hAnsi="Book Antiqua" w:cs="宋体"/>
          <w:kern w:val="0"/>
          <w:sz w:val="24"/>
          <w:szCs w:val="24"/>
        </w:rPr>
        <w:t xml:space="preserve"> K, Nakamura Y, </w:t>
      </w:r>
      <w:proofErr w:type="spellStart"/>
      <w:r w:rsidRPr="001A6A02">
        <w:rPr>
          <w:rFonts w:ascii="Book Antiqua" w:eastAsia="宋体" w:hAnsi="Book Antiqua" w:cs="宋体"/>
          <w:kern w:val="0"/>
          <w:sz w:val="24"/>
          <w:szCs w:val="24"/>
        </w:rPr>
        <w:t>Kumada</w:t>
      </w:r>
      <w:proofErr w:type="spellEnd"/>
      <w:r w:rsidRPr="001A6A02">
        <w:rPr>
          <w:rFonts w:ascii="Book Antiqua" w:eastAsia="宋体" w:hAnsi="Book Antiqua" w:cs="宋体"/>
          <w:kern w:val="0"/>
          <w:sz w:val="24"/>
          <w:szCs w:val="24"/>
        </w:rPr>
        <w:t xml:space="preserve"> H. Amino acid substitution in hepatitis C virus core region and genetic variation near the interleukin 28B gene predict viral response to </w:t>
      </w:r>
      <w:proofErr w:type="spellStart"/>
      <w:r w:rsidRPr="001A6A02">
        <w:rPr>
          <w:rFonts w:ascii="Book Antiqua" w:eastAsia="宋体" w:hAnsi="Book Antiqua" w:cs="宋体"/>
          <w:kern w:val="0"/>
          <w:sz w:val="24"/>
          <w:szCs w:val="24"/>
        </w:rPr>
        <w:t>telaprevir</w:t>
      </w:r>
      <w:proofErr w:type="spellEnd"/>
      <w:r w:rsidRPr="001A6A02">
        <w:rPr>
          <w:rFonts w:ascii="Book Antiqua" w:eastAsia="宋体" w:hAnsi="Book Antiqua" w:cs="宋体"/>
          <w:kern w:val="0"/>
          <w:sz w:val="24"/>
          <w:szCs w:val="24"/>
        </w:rPr>
        <w:t xml:space="preserve"> with </w:t>
      </w:r>
      <w:proofErr w:type="spellStart"/>
      <w:r w:rsidRPr="001A6A02">
        <w:rPr>
          <w:rFonts w:ascii="Book Antiqua" w:eastAsia="宋体" w:hAnsi="Book Antiqua" w:cs="宋体"/>
          <w:kern w:val="0"/>
          <w:sz w:val="24"/>
          <w:szCs w:val="24"/>
        </w:rPr>
        <w:t>peginterferon</w:t>
      </w:r>
      <w:proofErr w:type="spellEnd"/>
      <w:r w:rsidRPr="001A6A02">
        <w:rPr>
          <w:rFonts w:ascii="Book Antiqua" w:eastAsia="宋体" w:hAnsi="Book Antiqua" w:cs="宋体"/>
          <w:kern w:val="0"/>
          <w:sz w:val="24"/>
          <w:szCs w:val="24"/>
        </w:rPr>
        <w:t xml:space="preserve"> and ribavirin. </w:t>
      </w:r>
      <w:r w:rsidRPr="001A6A02">
        <w:rPr>
          <w:rFonts w:ascii="Book Antiqua" w:eastAsia="宋体" w:hAnsi="Book Antiqua" w:cs="宋体"/>
          <w:i/>
          <w:iCs/>
          <w:kern w:val="0"/>
          <w:sz w:val="24"/>
          <w:szCs w:val="24"/>
        </w:rPr>
        <w:t>Hepatology</w:t>
      </w:r>
      <w:r w:rsidRPr="001A6A02">
        <w:rPr>
          <w:rFonts w:ascii="Book Antiqua" w:eastAsia="宋体" w:hAnsi="Book Antiqua" w:cs="宋体"/>
          <w:kern w:val="0"/>
          <w:sz w:val="24"/>
          <w:szCs w:val="24"/>
        </w:rPr>
        <w:t> 2010; </w:t>
      </w:r>
      <w:r w:rsidRPr="001A6A02">
        <w:rPr>
          <w:rFonts w:ascii="Book Antiqua" w:eastAsia="宋体" w:hAnsi="Book Antiqua" w:cs="宋体"/>
          <w:b/>
          <w:bCs/>
          <w:kern w:val="0"/>
          <w:sz w:val="24"/>
          <w:szCs w:val="24"/>
        </w:rPr>
        <w:t>52</w:t>
      </w:r>
      <w:r w:rsidRPr="001A6A02">
        <w:rPr>
          <w:rFonts w:ascii="Book Antiqua" w:eastAsia="宋体" w:hAnsi="Book Antiqua" w:cs="宋体"/>
          <w:kern w:val="0"/>
          <w:sz w:val="24"/>
          <w:szCs w:val="24"/>
        </w:rPr>
        <w:t>: 421-429 [PMID: 20648473 DOI: 10.1002/hep.23690]</w:t>
      </w:r>
    </w:p>
    <w:p w14:paraId="56C8A619"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lastRenderedPageBreak/>
        <w:t>10 </w:t>
      </w:r>
      <w:proofErr w:type="spellStart"/>
      <w:r w:rsidRPr="001A6A02">
        <w:rPr>
          <w:rFonts w:ascii="Book Antiqua" w:eastAsia="宋体" w:hAnsi="Book Antiqua" w:cs="宋体"/>
          <w:b/>
          <w:bCs/>
          <w:kern w:val="0"/>
          <w:sz w:val="24"/>
          <w:szCs w:val="24"/>
        </w:rPr>
        <w:t>Kumada</w:t>
      </w:r>
      <w:proofErr w:type="spellEnd"/>
      <w:r w:rsidRPr="001A6A02">
        <w:rPr>
          <w:rFonts w:ascii="Book Antiqua" w:eastAsia="宋体" w:hAnsi="Book Antiqua" w:cs="宋体"/>
          <w:b/>
          <w:bCs/>
          <w:kern w:val="0"/>
          <w:sz w:val="24"/>
          <w:szCs w:val="24"/>
        </w:rPr>
        <w:t xml:space="preserve"> H</w:t>
      </w:r>
      <w:r w:rsidRPr="001A6A02">
        <w:rPr>
          <w:rFonts w:ascii="Book Antiqua" w:eastAsia="宋体" w:hAnsi="Book Antiqua" w:cs="宋体"/>
          <w:kern w:val="0"/>
          <w:sz w:val="24"/>
          <w:szCs w:val="24"/>
        </w:rPr>
        <w:t xml:space="preserve">, Toyota J, </w:t>
      </w:r>
      <w:proofErr w:type="spellStart"/>
      <w:r w:rsidRPr="001A6A02">
        <w:rPr>
          <w:rFonts w:ascii="Book Antiqua" w:eastAsia="宋体" w:hAnsi="Book Antiqua" w:cs="宋体"/>
          <w:kern w:val="0"/>
          <w:sz w:val="24"/>
          <w:szCs w:val="24"/>
        </w:rPr>
        <w:t>Okanoue</w:t>
      </w:r>
      <w:proofErr w:type="spellEnd"/>
      <w:r w:rsidRPr="001A6A02">
        <w:rPr>
          <w:rFonts w:ascii="Book Antiqua" w:eastAsia="宋体" w:hAnsi="Book Antiqua" w:cs="宋体"/>
          <w:kern w:val="0"/>
          <w:sz w:val="24"/>
          <w:szCs w:val="24"/>
        </w:rPr>
        <w:t xml:space="preserve"> T, </w:t>
      </w:r>
      <w:proofErr w:type="spellStart"/>
      <w:r w:rsidRPr="001A6A02">
        <w:rPr>
          <w:rFonts w:ascii="Book Antiqua" w:eastAsia="宋体" w:hAnsi="Book Antiqua" w:cs="宋体"/>
          <w:kern w:val="0"/>
          <w:sz w:val="24"/>
          <w:szCs w:val="24"/>
        </w:rPr>
        <w:t>Chayama</w:t>
      </w:r>
      <w:proofErr w:type="spellEnd"/>
      <w:r w:rsidRPr="001A6A02">
        <w:rPr>
          <w:rFonts w:ascii="Book Antiqua" w:eastAsia="宋体" w:hAnsi="Book Antiqua" w:cs="宋体"/>
          <w:kern w:val="0"/>
          <w:sz w:val="24"/>
          <w:szCs w:val="24"/>
        </w:rPr>
        <w:t xml:space="preserve"> K, </w:t>
      </w:r>
      <w:proofErr w:type="spellStart"/>
      <w:r w:rsidRPr="001A6A02">
        <w:rPr>
          <w:rFonts w:ascii="Book Antiqua" w:eastAsia="宋体" w:hAnsi="Book Antiqua" w:cs="宋体"/>
          <w:kern w:val="0"/>
          <w:sz w:val="24"/>
          <w:szCs w:val="24"/>
        </w:rPr>
        <w:t>Tsubouchi</w:t>
      </w:r>
      <w:proofErr w:type="spellEnd"/>
      <w:r w:rsidRPr="001A6A02">
        <w:rPr>
          <w:rFonts w:ascii="Book Antiqua" w:eastAsia="宋体" w:hAnsi="Book Antiqua" w:cs="宋体"/>
          <w:kern w:val="0"/>
          <w:sz w:val="24"/>
          <w:szCs w:val="24"/>
        </w:rPr>
        <w:t xml:space="preserve"> H, Hayashi N. </w:t>
      </w:r>
      <w:proofErr w:type="spellStart"/>
      <w:r w:rsidRPr="001A6A02">
        <w:rPr>
          <w:rFonts w:ascii="Book Antiqua" w:eastAsia="宋体" w:hAnsi="Book Antiqua" w:cs="宋体"/>
          <w:kern w:val="0"/>
          <w:sz w:val="24"/>
          <w:szCs w:val="24"/>
        </w:rPr>
        <w:t>Telaprevir</w:t>
      </w:r>
      <w:proofErr w:type="spellEnd"/>
      <w:r w:rsidRPr="001A6A02">
        <w:rPr>
          <w:rFonts w:ascii="Book Antiqua" w:eastAsia="宋体" w:hAnsi="Book Antiqua" w:cs="宋体"/>
          <w:kern w:val="0"/>
          <w:sz w:val="24"/>
          <w:szCs w:val="24"/>
        </w:rPr>
        <w:t xml:space="preserve"> with </w:t>
      </w:r>
      <w:proofErr w:type="spellStart"/>
      <w:r w:rsidRPr="001A6A02">
        <w:rPr>
          <w:rFonts w:ascii="Book Antiqua" w:eastAsia="宋体" w:hAnsi="Book Antiqua" w:cs="宋体"/>
          <w:kern w:val="0"/>
          <w:sz w:val="24"/>
          <w:szCs w:val="24"/>
        </w:rPr>
        <w:t>peginterferon</w:t>
      </w:r>
      <w:proofErr w:type="spellEnd"/>
      <w:r w:rsidRPr="001A6A02">
        <w:rPr>
          <w:rFonts w:ascii="Book Antiqua" w:eastAsia="宋体" w:hAnsi="Book Antiqua" w:cs="宋体"/>
          <w:kern w:val="0"/>
          <w:sz w:val="24"/>
          <w:szCs w:val="24"/>
        </w:rPr>
        <w:t xml:space="preserve"> and ribavirin for treatment-naive patients chronically infected with HCV of genotype 1 in Japan. </w:t>
      </w:r>
      <w:r w:rsidRPr="001A6A02">
        <w:rPr>
          <w:rFonts w:ascii="Book Antiqua" w:eastAsia="宋体" w:hAnsi="Book Antiqua" w:cs="宋体"/>
          <w:i/>
          <w:iCs/>
          <w:kern w:val="0"/>
          <w:sz w:val="24"/>
          <w:szCs w:val="24"/>
        </w:rPr>
        <w:t xml:space="preserve">J </w:t>
      </w:r>
      <w:proofErr w:type="spellStart"/>
      <w:r w:rsidRPr="001A6A02">
        <w:rPr>
          <w:rFonts w:ascii="Book Antiqua" w:eastAsia="宋体" w:hAnsi="Book Antiqua" w:cs="宋体"/>
          <w:i/>
          <w:iCs/>
          <w:kern w:val="0"/>
          <w:sz w:val="24"/>
          <w:szCs w:val="24"/>
        </w:rPr>
        <w:t>Hepatol</w:t>
      </w:r>
      <w:proofErr w:type="spellEnd"/>
      <w:r w:rsidRPr="001A6A02">
        <w:rPr>
          <w:rFonts w:ascii="Book Antiqua" w:eastAsia="宋体" w:hAnsi="Book Antiqua" w:cs="宋体"/>
          <w:kern w:val="0"/>
          <w:sz w:val="24"/>
          <w:szCs w:val="24"/>
        </w:rPr>
        <w:t> 2012; </w:t>
      </w:r>
      <w:r w:rsidRPr="001A6A02">
        <w:rPr>
          <w:rFonts w:ascii="Book Antiqua" w:eastAsia="宋体" w:hAnsi="Book Antiqua" w:cs="宋体"/>
          <w:b/>
          <w:bCs/>
          <w:kern w:val="0"/>
          <w:sz w:val="24"/>
          <w:szCs w:val="24"/>
        </w:rPr>
        <w:t>56</w:t>
      </w:r>
      <w:r w:rsidRPr="001A6A02">
        <w:rPr>
          <w:rFonts w:ascii="Book Antiqua" w:eastAsia="宋体" w:hAnsi="Book Antiqua" w:cs="宋体"/>
          <w:kern w:val="0"/>
          <w:sz w:val="24"/>
          <w:szCs w:val="24"/>
        </w:rPr>
        <w:t>: 78-84 [PMID: 21827730 DOI: S0168-8278(11)00610-6]</w:t>
      </w:r>
    </w:p>
    <w:p w14:paraId="6A98EB44" w14:textId="77777777" w:rsidR="00C97DEC" w:rsidRPr="001A6A02" w:rsidRDefault="00C97DEC" w:rsidP="00C97DEC">
      <w:pPr>
        <w:widowControl/>
        <w:spacing w:line="360" w:lineRule="auto"/>
        <w:rPr>
          <w:rFonts w:ascii="Book Antiqua" w:eastAsia="宋体" w:hAnsi="Book Antiqua" w:cs="宋体"/>
          <w:kern w:val="0"/>
          <w:sz w:val="24"/>
          <w:szCs w:val="24"/>
        </w:rPr>
      </w:pPr>
      <w:proofErr w:type="gramStart"/>
      <w:r w:rsidRPr="001A6A02">
        <w:rPr>
          <w:rFonts w:ascii="Book Antiqua" w:eastAsia="宋体" w:hAnsi="Book Antiqua" w:cs="宋体"/>
          <w:kern w:val="0"/>
          <w:sz w:val="24"/>
          <w:szCs w:val="24"/>
        </w:rPr>
        <w:t>11 </w:t>
      </w:r>
      <w:r w:rsidRPr="001A6A02">
        <w:rPr>
          <w:rFonts w:ascii="Book Antiqua" w:eastAsia="宋体" w:hAnsi="Book Antiqua" w:cs="宋体"/>
          <w:b/>
          <w:bCs/>
          <w:kern w:val="0"/>
          <w:sz w:val="24"/>
          <w:szCs w:val="24"/>
        </w:rPr>
        <w:t>Sherman KE</w:t>
      </w:r>
      <w:r w:rsidRPr="001A6A02">
        <w:rPr>
          <w:rFonts w:ascii="Book Antiqua" w:eastAsia="宋体" w:hAnsi="Book Antiqua" w:cs="宋体"/>
          <w:kern w:val="0"/>
          <w:sz w:val="24"/>
          <w:szCs w:val="24"/>
        </w:rPr>
        <w:t>.</w:t>
      </w:r>
      <w:proofErr w:type="gramEnd"/>
      <w:r w:rsidRPr="001A6A02">
        <w:rPr>
          <w:rFonts w:ascii="Book Antiqua" w:eastAsia="宋体" w:hAnsi="Book Antiqua" w:cs="宋体"/>
          <w:kern w:val="0"/>
          <w:sz w:val="24"/>
          <w:szCs w:val="24"/>
        </w:rPr>
        <w:t xml:space="preserve"> Managing adverse effects and complications in completing treatment for hepatitis C virus infection. </w:t>
      </w:r>
      <w:r w:rsidRPr="001A6A02">
        <w:rPr>
          <w:rFonts w:ascii="Book Antiqua" w:eastAsia="宋体" w:hAnsi="Book Antiqua" w:cs="宋体"/>
          <w:i/>
          <w:iCs/>
          <w:kern w:val="0"/>
          <w:sz w:val="24"/>
          <w:szCs w:val="24"/>
        </w:rPr>
        <w:t xml:space="preserve">Top </w:t>
      </w:r>
      <w:proofErr w:type="spellStart"/>
      <w:r w:rsidRPr="001A6A02">
        <w:rPr>
          <w:rFonts w:ascii="Book Antiqua" w:eastAsia="宋体" w:hAnsi="Book Antiqua" w:cs="宋体"/>
          <w:i/>
          <w:iCs/>
          <w:kern w:val="0"/>
          <w:sz w:val="24"/>
          <w:szCs w:val="24"/>
        </w:rPr>
        <w:t>Antivir</w:t>
      </w:r>
      <w:proofErr w:type="spellEnd"/>
      <w:r w:rsidRPr="001A6A02">
        <w:rPr>
          <w:rFonts w:ascii="Book Antiqua" w:eastAsia="宋体" w:hAnsi="Book Antiqua" w:cs="宋体"/>
          <w:i/>
          <w:iCs/>
          <w:kern w:val="0"/>
          <w:sz w:val="24"/>
          <w:szCs w:val="24"/>
        </w:rPr>
        <w:t xml:space="preserve"> Med</w:t>
      </w:r>
      <w:r w:rsidRPr="001A6A02">
        <w:rPr>
          <w:rFonts w:ascii="Book Antiqua" w:eastAsia="宋体" w:hAnsi="Book Antiqua" w:cs="宋体"/>
          <w:kern w:val="0"/>
          <w:sz w:val="24"/>
          <w:szCs w:val="24"/>
        </w:rPr>
        <w:t> </w:t>
      </w:r>
      <w:r>
        <w:rPr>
          <w:rFonts w:ascii="Book Antiqua" w:eastAsia="宋体" w:hAnsi="Book Antiqua" w:cs="宋体" w:hint="eastAsia"/>
          <w:kern w:val="0"/>
          <w:sz w:val="24"/>
          <w:szCs w:val="24"/>
        </w:rPr>
        <w:t>2012</w:t>
      </w:r>
      <w:r w:rsidRPr="001A6A02">
        <w:rPr>
          <w:rFonts w:ascii="Book Antiqua" w:eastAsia="宋体" w:hAnsi="Book Antiqua" w:cs="宋体"/>
          <w:kern w:val="0"/>
          <w:sz w:val="24"/>
          <w:szCs w:val="24"/>
        </w:rPr>
        <w:t>; </w:t>
      </w:r>
      <w:r w:rsidRPr="001A6A02">
        <w:rPr>
          <w:rFonts w:ascii="Book Antiqua" w:eastAsia="宋体" w:hAnsi="Book Antiqua" w:cs="宋体"/>
          <w:b/>
          <w:bCs/>
          <w:kern w:val="0"/>
          <w:sz w:val="24"/>
          <w:szCs w:val="24"/>
        </w:rPr>
        <w:t>20</w:t>
      </w:r>
      <w:r w:rsidRPr="001A6A02">
        <w:rPr>
          <w:rFonts w:ascii="Book Antiqua" w:eastAsia="宋体" w:hAnsi="Book Antiqua" w:cs="宋体"/>
          <w:kern w:val="0"/>
          <w:sz w:val="24"/>
          <w:szCs w:val="24"/>
        </w:rPr>
        <w:t xml:space="preserve">: 125-128 [PMID: </w:t>
      </w:r>
      <w:bookmarkStart w:id="35" w:name="OLE_LINK639"/>
      <w:bookmarkStart w:id="36" w:name="OLE_LINK640"/>
      <w:r w:rsidRPr="001A6A02">
        <w:rPr>
          <w:rFonts w:ascii="Book Antiqua" w:eastAsia="宋体" w:hAnsi="Book Antiqua" w:cs="宋体"/>
          <w:kern w:val="0"/>
          <w:sz w:val="24"/>
          <w:szCs w:val="24"/>
        </w:rPr>
        <w:t>23154251</w:t>
      </w:r>
      <w:bookmarkEnd w:id="35"/>
      <w:bookmarkEnd w:id="36"/>
      <w:r w:rsidRPr="001A6A02">
        <w:rPr>
          <w:rFonts w:ascii="Book Antiqua" w:eastAsia="宋体" w:hAnsi="Book Antiqua" w:cs="宋体"/>
          <w:kern w:val="0"/>
          <w:sz w:val="24"/>
          <w:szCs w:val="24"/>
        </w:rPr>
        <w:t>]</w:t>
      </w:r>
    </w:p>
    <w:p w14:paraId="078675E9" w14:textId="77777777" w:rsidR="00C97DEC" w:rsidRPr="001A6A02" w:rsidRDefault="00C97DEC" w:rsidP="00C97DEC">
      <w:pPr>
        <w:widowControl/>
        <w:spacing w:line="360" w:lineRule="auto"/>
        <w:rPr>
          <w:rFonts w:ascii="Book Antiqua" w:eastAsia="宋体" w:hAnsi="Book Antiqua" w:cs="宋体"/>
          <w:kern w:val="0"/>
          <w:sz w:val="24"/>
          <w:szCs w:val="24"/>
        </w:rPr>
      </w:pPr>
      <w:proofErr w:type="gramStart"/>
      <w:r w:rsidRPr="001A6A02">
        <w:rPr>
          <w:rFonts w:ascii="Book Antiqua" w:eastAsia="宋体" w:hAnsi="Book Antiqua" w:cs="宋体"/>
          <w:kern w:val="0"/>
          <w:sz w:val="24"/>
          <w:szCs w:val="24"/>
        </w:rPr>
        <w:t>12</w:t>
      </w:r>
      <w:r>
        <w:rPr>
          <w:rFonts w:ascii="Book Antiqua" w:eastAsia="宋体" w:hAnsi="Book Antiqua" w:cs="宋体" w:hint="eastAsia"/>
          <w:kern w:val="0"/>
          <w:sz w:val="24"/>
          <w:szCs w:val="24"/>
        </w:rPr>
        <w:t xml:space="preserve"> </w:t>
      </w:r>
      <w:r w:rsidRPr="001A6A02">
        <w:rPr>
          <w:rFonts w:ascii="Book Antiqua" w:eastAsia="宋体" w:hAnsi="Book Antiqua" w:cs="宋体"/>
          <w:b/>
          <w:kern w:val="0"/>
          <w:sz w:val="24"/>
          <w:szCs w:val="24"/>
        </w:rPr>
        <w:t>Drafting Committee for Hepatitis Management Guidelines</w:t>
      </w:r>
      <w:proofErr w:type="gramEnd"/>
      <w:r w:rsidRPr="001A6A02">
        <w:rPr>
          <w:rFonts w:ascii="Book Antiqua" w:eastAsia="宋体" w:hAnsi="Book Antiqua" w:cs="宋体"/>
          <w:b/>
          <w:kern w:val="0"/>
          <w:sz w:val="24"/>
          <w:szCs w:val="24"/>
        </w:rPr>
        <w:t>, the Japan Society of Hepatology.</w:t>
      </w:r>
      <w:r>
        <w:rPr>
          <w:rFonts w:ascii="Book Antiqua" w:eastAsia="宋体" w:hAnsi="Book Antiqua" w:cs="宋体" w:hint="eastAsia"/>
          <w:kern w:val="0"/>
          <w:sz w:val="24"/>
          <w:szCs w:val="24"/>
        </w:rPr>
        <w:t xml:space="preserve"> </w:t>
      </w:r>
      <w:r w:rsidRPr="001A6A02">
        <w:rPr>
          <w:rFonts w:ascii="Book Antiqua" w:eastAsia="宋体" w:hAnsi="Book Antiqua" w:cs="宋体"/>
          <w:kern w:val="0"/>
          <w:sz w:val="24"/>
          <w:szCs w:val="24"/>
        </w:rPr>
        <w:t>JSH Guidelines for the Management of Hepatitis C Virus Infection: A 2014 Update for Genotype 1. </w:t>
      </w:r>
      <w:proofErr w:type="spellStart"/>
      <w:r w:rsidRPr="001A6A02">
        <w:rPr>
          <w:rFonts w:ascii="Book Antiqua" w:eastAsia="宋体" w:hAnsi="Book Antiqua" w:cs="宋体"/>
          <w:i/>
          <w:iCs/>
          <w:kern w:val="0"/>
          <w:sz w:val="24"/>
          <w:szCs w:val="24"/>
        </w:rPr>
        <w:t>Hepatol</w:t>
      </w:r>
      <w:proofErr w:type="spellEnd"/>
      <w:r w:rsidRPr="001A6A02">
        <w:rPr>
          <w:rFonts w:ascii="Book Antiqua" w:eastAsia="宋体" w:hAnsi="Book Antiqua" w:cs="宋体"/>
          <w:i/>
          <w:iCs/>
          <w:kern w:val="0"/>
          <w:sz w:val="24"/>
          <w:szCs w:val="24"/>
        </w:rPr>
        <w:t xml:space="preserve"> Res</w:t>
      </w:r>
      <w:r w:rsidRPr="001A6A02">
        <w:rPr>
          <w:rFonts w:ascii="Book Antiqua" w:eastAsia="宋体" w:hAnsi="Book Antiqua" w:cs="宋体"/>
          <w:kern w:val="0"/>
          <w:sz w:val="24"/>
          <w:szCs w:val="24"/>
        </w:rPr>
        <w:t> 2014; </w:t>
      </w:r>
      <w:r w:rsidRPr="001A6A02">
        <w:rPr>
          <w:rFonts w:ascii="Book Antiqua" w:eastAsia="宋体" w:hAnsi="Book Antiqua" w:cs="宋体"/>
          <w:b/>
          <w:bCs/>
          <w:kern w:val="0"/>
          <w:sz w:val="24"/>
          <w:szCs w:val="24"/>
        </w:rPr>
        <w:t xml:space="preserve">44 </w:t>
      </w:r>
      <w:proofErr w:type="spellStart"/>
      <w:r w:rsidRPr="001A6A02">
        <w:rPr>
          <w:rFonts w:ascii="Book Antiqua" w:eastAsia="宋体" w:hAnsi="Book Antiqua" w:cs="宋体"/>
          <w:bCs/>
          <w:kern w:val="0"/>
          <w:sz w:val="24"/>
          <w:szCs w:val="24"/>
        </w:rPr>
        <w:t>Suppl</w:t>
      </w:r>
      <w:proofErr w:type="spellEnd"/>
      <w:r w:rsidRPr="001A6A02">
        <w:rPr>
          <w:rFonts w:ascii="Book Antiqua" w:eastAsia="宋体" w:hAnsi="Book Antiqua" w:cs="宋体"/>
          <w:bCs/>
          <w:kern w:val="0"/>
          <w:sz w:val="24"/>
          <w:szCs w:val="24"/>
        </w:rPr>
        <w:t xml:space="preserve"> S1</w:t>
      </w:r>
      <w:r w:rsidRPr="001A6A02">
        <w:rPr>
          <w:rFonts w:ascii="Book Antiqua" w:eastAsia="宋体" w:hAnsi="Book Antiqua" w:cs="宋体"/>
          <w:kern w:val="0"/>
          <w:sz w:val="24"/>
          <w:szCs w:val="24"/>
        </w:rPr>
        <w:t xml:space="preserve">: 59-70 [PMID: </w:t>
      </w:r>
      <w:bookmarkStart w:id="37" w:name="OLE_LINK635"/>
      <w:bookmarkStart w:id="38" w:name="OLE_LINK636"/>
      <w:r w:rsidRPr="001A6A02">
        <w:rPr>
          <w:rFonts w:ascii="Book Antiqua" w:eastAsia="宋体" w:hAnsi="Book Antiqua" w:cs="宋体"/>
          <w:kern w:val="0"/>
          <w:sz w:val="24"/>
          <w:szCs w:val="24"/>
        </w:rPr>
        <w:t xml:space="preserve">24397840 </w:t>
      </w:r>
      <w:bookmarkEnd w:id="37"/>
      <w:bookmarkEnd w:id="38"/>
      <w:r w:rsidRPr="001A6A02">
        <w:rPr>
          <w:rFonts w:ascii="Book Antiqua" w:eastAsia="宋体" w:hAnsi="Book Antiqua" w:cs="宋体"/>
          <w:kern w:val="0"/>
          <w:sz w:val="24"/>
          <w:szCs w:val="24"/>
        </w:rPr>
        <w:t>DOI: 10.1111/hepr.12272]</w:t>
      </w:r>
    </w:p>
    <w:p w14:paraId="4C6615D4"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13 </w:t>
      </w:r>
      <w:r w:rsidRPr="001A6A02">
        <w:rPr>
          <w:rFonts w:ascii="Book Antiqua" w:eastAsia="宋体" w:hAnsi="Book Antiqua" w:cs="宋体"/>
          <w:b/>
          <w:bCs/>
          <w:kern w:val="0"/>
          <w:sz w:val="24"/>
          <w:szCs w:val="24"/>
        </w:rPr>
        <w:t>Welch NM</w:t>
      </w:r>
      <w:r w:rsidRPr="001A6A02">
        <w:rPr>
          <w:rFonts w:ascii="Book Antiqua" w:eastAsia="宋体" w:hAnsi="Book Antiqua" w:cs="宋体"/>
          <w:kern w:val="0"/>
          <w:sz w:val="24"/>
          <w:szCs w:val="24"/>
        </w:rPr>
        <w:t xml:space="preserve">, Jensen DM. </w:t>
      </w:r>
      <w:proofErr w:type="spellStart"/>
      <w:r w:rsidRPr="001A6A02">
        <w:rPr>
          <w:rFonts w:ascii="Book Antiqua" w:eastAsia="宋体" w:hAnsi="Book Antiqua" w:cs="宋体"/>
          <w:kern w:val="0"/>
          <w:sz w:val="24"/>
          <w:szCs w:val="24"/>
        </w:rPr>
        <w:t>Pegylated</w:t>
      </w:r>
      <w:proofErr w:type="spellEnd"/>
      <w:r w:rsidRPr="001A6A02">
        <w:rPr>
          <w:rFonts w:ascii="Book Antiqua" w:eastAsia="宋体" w:hAnsi="Book Antiqua" w:cs="宋体"/>
          <w:kern w:val="0"/>
          <w:sz w:val="24"/>
          <w:szCs w:val="24"/>
        </w:rPr>
        <w:t xml:space="preserve"> interferon based therapy with second-wave direct-acting antivirals in genotype 1 chronic hepatitis C. </w:t>
      </w:r>
      <w:r w:rsidRPr="001A6A02">
        <w:rPr>
          <w:rFonts w:ascii="Book Antiqua" w:eastAsia="宋体" w:hAnsi="Book Antiqua" w:cs="宋体"/>
          <w:i/>
          <w:iCs/>
          <w:kern w:val="0"/>
          <w:sz w:val="24"/>
          <w:szCs w:val="24"/>
        </w:rPr>
        <w:t xml:space="preserve">Liver </w:t>
      </w:r>
      <w:proofErr w:type="spellStart"/>
      <w:r w:rsidRPr="001A6A02">
        <w:rPr>
          <w:rFonts w:ascii="Book Antiqua" w:eastAsia="宋体" w:hAnsi="Book Antiqua" w:cs="宋体"/>
          <w:i/>
          <w:iCs/>
          <w:kern w:val="0"/>
          <w:sz w:val="24"/>
          <w:szCs w:val="24"/>
        </w:rPr>
        <w:t>Int</w:t>
      </w:r>
      <w:proofErr w:type="spellEnd"/>
      <w:r w:rsidRPr="001A6A02">
        <w:rPr>
          <w:rFonts w:ascii="Book Antiqua" w:eastAsia="宋体" w:hAnsi="Book Antiqua" w:cs="宋体"/>
          <w:kern w:val="0"/>
          <w:sz w:val="24"/>
          <w:szCs w:val="24"/>
        </w:rPr>
        <w:t> 2015; </w:t>
      </w:r>
      <w:r w:rsidRPr="001A6A02">
        <w:rPr>
          <w:rFonts w:ascii="Book Antiqua" w:eastAsia="宋体" w:hAnsi="Book Antiqua" w:cs="宋体"/>
          <w:b/>
          <w:bCs/>
          <w:kern w:val="0"/>
          <w:sz w:val="24"/>
          <w:szCs w:val="24"/>
        </w:rPr>
        <w:t>35</w:t>
      </w:r>
      <w:r w:rsidRPr="001A6A02">
        <w:rPr>
          <w:rFonts w:ascii="Book Antiqua" w:eastAsia="宋体" w:hAnsi="Book Antiqua" w:cs="宋体"/>
          <w:bCs/>
          <w:kern w:val="0"/>
          <w:sz w:val="24"/>
          <w:szCs w:val="24"/>
        </w:rPr>
        <w:t xml:space="preserve"> </w:t>
      </w:r>
      <w:proofErr w:type="spellStart"/>
      <w:r w:rsidRPr="001A6A02">
        <w:rPr>
          <w:rFonts w:ascii="Book Antiqua" w:eastAsia="宋体" w:hAnsi="Book Antiqua" w:cs="宋体"/>
          <w:bCs/>
          <w:kern w:val="0"/>
          <w:sz w:val="24"/>
          <w:szCs w:val="24"/>
        </w:rPr>
        <w:t>Suppl</w:t>
      </w:r>
      <w:proofErr w:type="spellEnd"/>
      <w:r w:rsidRPr="001A6A02">
        <w:rPr>
          <w:rFonts w:ascii="Book Antiqua" w:eastAsia="宋体" w:hAnsi="Book Antiqua" w:cs="宋体"/>
          <w:bCs/>
          <w:kern w:val="0"/>
          <w:sz w:val="24"/>
          <w:szCs w:val="24"/>
        </w:rPr>
        <w:t xml:space="preserve"> 1</w:t>
      </w:r>
      <w:r w:rsidRPr="001A6A02">
        <w:rPr>
          <w:rFonts w:ascii="Book Antiqua" w:eastAsia="宋体" w:hAnsi="Book Antiqua" w:cs="宋体"/>
          <w:kern w:val="0"/>
          <w:sz w:val="24"/>
          <w:szCs w:val="24"/>
        </w:rPr>
        <w:t>: 11-17 [PMID: 25529082 DOI: 10.1111/liv.12715]</w:t>
      </w:r>
    </w:p>
    <w:p w14:paraId="036049F9"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14 </w:t>
      </w:r>
      <w:r w:rsidRPr="001A6A02">
        <w:rPr>
          <w:rFonts w:ascii="Book Antiqua" w:eastAsia="宋体" w:hAnsi="Book Antiqua" w:cs="宋体"/>
          <w:b/>
          <w:bCs/>
          <w:kern w:val="0"/>
          <w:sz w:val="24"/>
          <w:szCs w:val="24"/>
        </w:rPr>
        <w:t>Hayashi N</w:t>
      </w:r>
      <w:r w:rsidRPr="001A6A02">
        <w:rPr>
          <w:rFonts w:ascii="Book Antiqua" w:eastAsia="宋体" w:hAnsi="Book Antiqua" w:cs="宋体"/>
          <w:kern w:val="0"/>
          <w:sz w:val="24"/>
          <w:szCs w:val="24"/>
        </w:rPr>
        <w:t xml:space="preserve">, Izumi N, </w:t>
      </w:r>
      <w:proofErr w:type="spellStart"/>
      <w:r w:rsidRPr="001A6A02">
        <w:rPr>
          <w:rFonts w:ascii="Book Antiqua" w:eastAsia="宋体" w:hAnsi="Book Antiqua" w:cs="宋体"/>
          <w:kern w:val="0"/>
          <w:sz w:val="24"/>
          <w:szCs w:val="24"/>
        </w:rPr>
        <w:t>Kumada</w:t>
      </w:r>
      <w:proofErr w:type="spellEnd"/>
      <w:r w:rsidRPr="001A6A02">
        <w:rPr>
          <w:rFonts w:ascii="Book Antiqua" w:eastAsia="宋体" w:hAnsi="Book Antiqua" w:cs="宋体"/>
          <w:kern w:val="0"/>
          <w:sz w:val="24"/>
          <w:szCs w:val="24"/>
        </w:rPr>
        <w:t xml:space="preserve"> H, </w:t>
      </w:r>
      <w:proofErr w:type="spellStart"/>
      <w:r w:rsidRPr="001A6A02">
        <w:rPr>
          <w:rFonts w:ascii="Book Antiqua" w:eastAsia="宋体" w:hAnsi="Book Antiqua" w:cs="宋体"/>
          <w:kern w:val="0"/>
          <w:sz w:val="24"/>
          <w:szCs w:val="24"/>
        </w:rPr>
        <w:t>Okanoue</w:t>
      </w:r>
      <w:proofErr w:type="spellEnd"/>
      <w:r w:rsidRPr="001A6A02">
        <w:rPr>
          <w:rFonts w:ascii="Book Antiqua" w:eastAsia="宋体" w:hAnsi="Book Antiqua" w:cs="宋体"/>
          <w:kern w:val="0"/>
          <w:sz w:val="24"/>
          <w:szCs w:val="24"/>
        </w:rPr>
        <w:t xml:space="preserve"> T, </w:t>
      </w:r>
      <w:proofErr w:type="spellStart"/>
      <w:r w:rsidRPr="001A6A02">
        <w:rPr>
          <w:rFonts w:ascii="Book Antiqua" w:eastAsia="宋体" w:hAnsi="Book Antiqua" w:cs="宋体"/>
          <w:kern w:val="0"/>
          <w:sz w:val="24"/>
          <w:szCs w:val="24"/>
        </w:rPr>
        <w:t>Tsubouchi</w:t>
      </w:r>
      <w:proofErr w:type="spellEnd"/>
      <w:r w:rsidRPr="001A6A02">
        <w:rPr>
          <w:rFonts w:ascii="Book Antiqua" w:eastAsia="宋体" w:hAnsi="Book Antiqua" w:cs="宋体"/>
          <w:kern w:val="0"/>
          <w:sz w:val="24"/>
          <w:szCs w:val="24"/>
        </w:rPr>
        <w:t xml:space="preserve"> H, </w:t>
      </w:r>
      <w:proofErr w:type="spellStart"/>
      <w:r w:rsidRPr="001A6A02">
        <w:rPr>
          <w:rFonts w:ascii="Book Antiqua" w:eastAsia="宋体" w:hAnsi="Book Antiqua" w:cs="宋体"/>
          <w:kern w:val="0"/>
          <w:sz w:val="24"/>
          <w:szCs w:val="24"/>
        </w:rPr>
        <w:t>Yatsuhashi</w:t>
      </w:r>
      <w:proofErr w:type="spellEnd"/>
      <w:r w:rsidRPr="001A6A02">
        <w:rPr>
          <w:rFonts w:ascii="Book Antiqua" w:eastAsia="宋体" w:hAnsi="Book Antiqua" w:cs="宋体"/>
          <w:kern w:val="0"/>
          <w:sz w:val="24"/>
          <w:szCs w:val="24"/>
        </w:rPr>
        <w:t xml:space="preserve"> H, Kato M, Ki R, </w:t>
      </w:r>
      <w:proofErr w:type="spellStart"/>
      <w:r w:rsidRPr="001A6A02">
        <w:rPr>
          <w:rFonts w:ascii="Book Antiqua" w:eastAsia="宋体" w:hAnsi="Book Antiqua" w:cs="宋体"/>
          <w:kern w:val="0"/>
          <w:sz w:val="24"/>
          <w:szCs w:val="24"/>
        </w:rPr>
        <w:t>Komada</w:t>
      </w:r>
      <w:proofErr w:type="spellEnd"/>
      <w:r w:rsidRPr="001A6A02">
        <w:rPr>
          <w:rFonts w:ascii="Book Antiqua" w:eastAsia="宋体" w:hAnsi="Book Antiqua" w:cs="宋体"/>
          <w:kern w:val="0"/>
          <w:sz w:val="24"/>
          <w:szCs w:val="24"/>
        </w:rPr>
        <w:t xml:space="preserve"> Y, </w:t>
      </w:r>
      <w:proofErr w:type="spellStart"/>
      <w:r w:rsidRPr="001A6A02">
        <w:rPr>
          <w:rFonts w:ascii="Book Antiqua" w:eastAsia="宋体" w:hAnsi="Book Antiqua" w:cs="宋体"/>
          <w:kern w:val="0"/>
          <w:sz w:val="24"/>
          <w:szCs w:val="24"/>
        </w:rPr>
        <w:t>Seto</w:t>
      </w:r>
      <w:proofErr w:type="spellEnd"/>
      <w:r w:rsidRPr="001A6A02">
        <w:rPr>
          <w:rFonts w:ascii="Book Antiqua" w:eastAsia="宋体" w:hAnsi="Book Antiqua" w:cs="宋体"/>
          <w:kern w:val="0"/>
          <w:sz w:val="24"/>
          <w:szCs w:val="24"/>
        </w:rPr>
        <w:t xml:space="preserve"> C, </w:t>
      </w:r>
      <w:proofErr w:type="spellStart"/>
      <w:r w:rsidRPr="001A6A02">
        <w:rPr>
          <w:rFonts w:ascii="Book Antiqua" w:eastAsia="宋体" w:hAnsi="Book Antiqua" w:cs="宋体"/>
          <w:kern w:val="0"/>
          <w:sz w:val="24"/>
          <w:szCs w:val="24"/>
        </w:rPr>
        <w:t>Goto</w:t>
      </w:r>
      <w:proofErr w:type="spellEnd"/>
      <w:r w:rsidRPr="001A6A02">
        <w:rPr>
          <w:rFonts w:ascii="Book Antiqua" w:eastAsia="宋体" w:hAnsi="Book Antiqua" w:cs="宋体"/>
          <w:kern w:val="0"/>
          <w:sz w:val="24"/>
          <w:szCs w:val="24"/>
        </w:rPr>
        <w:t xml:space="preserve"> S. </w:t>
      </w:r>
      <w:proofErr w:type="spellStart"/>
      <w:r w:rsidRPr="001A6A02">
        <w:rPr>
          <w:rFonts w:ascii="Book Antiqua" w:eastAsia="宋体" w:hAnsi="Book Antiqua" w:cs="宋体"/>
          <w:kern w:val="0"/>
          <w:sz w:val="24"/>
          <w:szCs w:val="24"/>
        </w:rPr>
        <w:t>Simeprevir</w:t>
      </w:r>
      <w:proofErr w:type="spellEnd"/>
      <w:r w:rsidRPr="001A6A02">
        <w:rPr>
          <w:rFonts w:ascii="Book Antiqua" w:eastAsia="宋体" w:hAnsi="Book Antiqua" w:cs="宋体"/>
          <w:kern w:val="0"/>
          <w:sz w:val="24"/>
          <w:szCs w:val="24"/>
        </w:rPr>
        <w:t xml:space="preserve"> with </w:t>
      </w:r>
      <w:proofErr w:type="spellStart"/>
      <w:r w:rsidRPr="001A6A02">
        <w:rPr>
          <w:rFonts w:ascii="Book Antiqua" w:eastAsia="宋体" w:hAnsi="Book Antiqua" w:cs="宋体"/>
          <w:kern w:val="0"/>
          <w:sz w:val="24"/>
          <w:szCs w:val="24"/>
        </w:rPr>
        <w:t>peginterferon</w:t>
      </w:r>
      <w:proofErr w:type="spellEnd"/>
      <w:r w:rsidRPr="001A6A02">
        <w:rPr>
          <w:rFonts w:ascii="Book Antiqua" w:eastAsia="宋体" w:hAnsi="Book Antiqua" w:cs="宋体"/>
          <w:kern w:val="0"/>
          <w:sz w:val="24"/>
          <w:szCs w:val="24"/>
        </w:rPr>
        <w:t>/ribavirin for treatment-naïve hepatitis C genotype 1 patients in Japan: CONCERTO-1, a phase III trial. </w:t>
      </w:r>
      <w:r w:rsidRPr="001A6A02">
        <w:rPr>
          <w:rFonts w:ascii="Book Antiqua" w:eastAsia="宋体" w:hAnsi="Book Antiqua" w:cs="宋体"/>
          <w:i/>
          <w:iCs/>
          <w:kern w:val="0"/>
          <w:sz w:val="24"/>
          <w:szCs w:val="24"/>
        </w:rPr>
        <w:t xml:space="preserve">J </w:t>
      </w:r>
      <w:proofErr w:type="spellStart"/>
      <w:r w:rsidRPr="001A6A02">
        <w:rPr>
          <w:rFonts w:ascii="Book Antiqua" w:eastAsia="宋体" w:hAnsi="Book Antiqua" w:cs="宋体"/>
          <w:i/>
          <w:iCs/>
          <w:kern w:val="0"/>
          <w:sz w:val="24"/>
          <w:szCs w:val="24"/>
        </w:rPr>
        <w:t>Hepatol</w:t>
      </w:r>
      <w:proofErr w:type="spellEnd"/>
      <w:r w:rsidRPr="001A6A02">
        <w:rPr>
          <w:rFonts w:ascii="Book Antiqua" w:eastAsia="宋体" w:hAnsi="Book Antiqua" w:cs="宋体"/>
          <w:kern w:val="0"/>
          <w:sz w:val="24"/>
          <w:szCs w:val="24"/>
        </w:rPr>
        <w:t> 2014; </w:t>
      </w:r>
      <w:r w:rsidRPr="001A6A02">
        <w:rPr>
          <w:rFonts w:ascii="Book Antiqua" w:eastAsia="宋体" w:hAnsi="Book Antiqua" w:cs="宋体"/>
          <w:b/>
          <w:bCs/>
          <w:kern w:val="0"/>
          <w:sz w:val="24"/>
          <w:szCs w:val="24"/>
        </w:rPr>
        <w:t>61</w:t>
      </w:r>
      <w:r w:rsidRPr="001A6A02">
        <w:rPr>
          <w:rFonts w:ascii="Book Antiqua" w:eastAsia="宋体" w:hAnsi="Book Antiqua" w:cs="宋体"/>
          <w:kern w:val="0"/>
          <w:sz w:val="24"/>
          <w:szCs w:val="24"/>
        </w:rPr>
        <w:t>: 219-227 [PMID: 24727123 DOI: S0168-8278(14)00221-9]</w:t>
      </w:r>
    </w:p>
    <w:p w14:paraId="200294C6"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15 </w:t>
      </w:r>
      <w:r w:rsidRPr="001A6A02">
        <w:rPr>
          <w:rFonts w:ascii="Book Antiqua" w:eastAsia="宋体" w:hAnsi="Book Antiqua" w:cs="宋体"/>
          <w:b/>
          <w:bCs/>
          <w:kern w:val="0"/>
          <w:sz w:val="24"/>
          <w:szCs w:val="24"/>
        </w:rPr>
        <w:t>Izumi N</w:t>
      </w:r>
      <w:r w:rsidRPr="001A6A02">
        <w:rPr>
          <w:rFonts w:ascii="Book Antiqua" w:eastAsia="宋体" w:hAnsi="Book Antiqua" w:cs="宋体"/>
          <w:kern w:val="0"/>
          <w:sz w:val="24"/>
          <w:szCs w:val="24"/>
        </w:rPr>
        <w:t xml:space="preserve">, Hayashi N, </w:t>
      </w:r>
      <w:proofErr w:type="spellStart"/>
      <w:r w:rsidRPr="001A6A02">
        <w:rPr>
          <w:rFonts w:ascii="Book Antiqua" w:eastAsia="宋体" w:hAnsi="Book Antiqua" w:cs="宋体"/>
          <w:kern w:val="0"/>
          <w:sz w:val="24"/>
          <w:szCs w:val="24"/>
        </w:rPr>
        <w:t>Kumada</w:t>
      </w:r>
      <w:proofErr w:type="spellEnd"/>
      <w:r w:rsidRPr="001A6A02">
        <w:rPr>
          <w:rFonts w:ascii="Book Antiqua" w:eastAsia="宋体" w:hAnsi="Book Antiqua" w:cs="宋体"/>
          <w:kern w:val="0"/>
          <w:sz w:val="24"/>
          <w:szCs w:val="24"/>
        </w:rPr>
        <w:t xml:space="preserve"> H, </w:t>
      </w:r>
      <w:proofErr w:type="spellStart"/>
      <w:r w:rsidRPr="001A6A02">
        <w:rPr>
          <w:rFonts w:ascii="Book Antiqua" w:eastAsia="宋体" w:hAnsi="Book Antiqua" w:cs="宋体"/>
          <w:kern w:val="0"/>
          <w:sz w:val="24"/>
          <w:szCs w:val="24"/>
        </w:rPr>
        <w:t>Okanoue</w:t>
      </w:r>
      <w:proofErr w:type="spellEnd"/>
      <w:r w:rsidRPr="001A6A02">
        <w:rPr>
          <w:rFonts w:ascii="Book Antiqua" w:eastAsia="宋体" w:hAnsi="Book Antiqua" w:cs="宋体"/>
          <w:kern w:val="0"/>
          <w:sz w:val="24"/>
          <w:szCs w:val="24"/>
        </w:rPr>
        <w:t xml:space="preserve"> T, </w:t>
      </w:r>
      <w:proofErr w:type="spellStart"/>
      <w:r w:rsidRPr="001A6A02">
        <w:rPr>
          <w:rFonts w:ascii="Book Antiqua" w:eastAsia="宋体" w:hAnsi="Book Antiqua" w:cs="宋体"/>
          <w:kern w:val="0"/>
          <w:sz w:val="24"/>
          <w:szCs w:val="24"/>
        </w:rPr>
        <w:t>Tsubouchi</w:t>
      </w:r>
      <w:proofErr w:type="spellEnd"/>
      <w:r w:rsidRPr="001A6A02">
        <w:rPr>
          <w:rFonts w:ascii="Book Antiqua" w:eastAsia="宋体" w:hAnsi="Book Antiqua" w:cs="宋体"/>
          <w:kern w:val="0"/>
          <w:sz w:val="24"/>
          <w:szCs w:val="24"/>
        </w:rPr>
        <w:t xml:space="preserve"> H, </w:t>
      </w:r>
      <w:proofErr w:type="spellStart"/>
      <w:r w:rsidRPr="001A6A02">
        <w:rPr>
          <w:rFonts w:ascii="Book Antiqua" w:eastAsia="宋体" w:hAnsi="Book Antiqua" w:cs="宋体"/>
          <w:kern w:val="0"/>
          <w:sz w:val="24"/>
          <w:szCs w:val="24"/>
        </w:rPr>
        <w:t>Yatsuhashi</w:t>
      </w:r>
      <w:proofErr w:type="spellEnd"/>
      <w:r w:rsidRPr="001A6A02">
        <w:rPr>
          <w:rFonts w:ascii="Book Antiqua" w:eastAsia="宋体" w:hAnsi="Book Antiqua" w:cs="宋体"/>
          <w:kern w:val="0"/>
          <w:sz w:val="24"/>
          <w:szCs w:val="24"/>
        </w:rPr>
        <w:t xml:space="preserve"> H, Kato M, Ki R, </w:t>
      </w:r>
      <w:proofErr w:type="spellStart"/>
      <w:r w:rsidRPr="001A6A02">
        <w:rPr>
          <w:rFonts w:ascii="Book Antiqua" w:eastAsia="宋体" w:hAnsi="Book Antiqua" w:cs="宋体"/>
          <w:kern w:val="0"/>
          <w:sz w:val="24"/>
          <w:szCs w:val="24"/>
        </w:rPr>
        <w:t>Komada</w:t>
      </w:r>
      <w:proofErr w:type="spellEnd"/>
      <w:r w:rsidRPr="001A6A02">
        <w:rPr>
          <w:rFonts w:ascii="Book Antiqua" w:eastAsia="宋体" w:hAnsi="Book Antiqua" w:cs="宋体"/>
          <w:kern w:val="0"/>
          <w:sz w:val="24"/>
          <w:szCs w:val="24"/>
        </w:rPr>
        <w:t xml:space="preserve"> Y, </w:t>
      </w:r>
      <w:proofErr w:type="spellStart"/>
      <w:r w:rsidRPr="001A6A02">
        <w:rPr>
          <w:rFonts w:ascii="Book Antiqua" w:eastAsia="宋体" w:hAnsi="Book Antiqua" w:cs="宋体"/>
          <w:kern w:val="0"/>
          <w:sz w:val="24"/>
          <w:szCs w:val="24"/>
        </w:rPr>
        <w:t>Seto</w:t>
      </w:r>
      <w:proofErr w:type="spellEnd"/>
      <w:r w:rsidRPr="001A6A02">
        <w:rPr>
          <w:rFonts w:ascii="Book Antiqua" w:eastAsia="宋体" w:hAnsi="Book Antiqua" w:cs="宋体"/>
          <w:kern w:val="0"/>
          <w:sz w:val="24"/>
          <w:szCs w:val="24"/>
        </w:rPr>
        <w:t xml:space="preserve"> C, </w:t>
      </w:r>
      <w:proofErr w:type="spellStart"/>
      <w:r w:rsidRPr="001A6A02">
        <w:rPr>
          <w:rFonts w:ascii="Book Antiqua" w:eastAsia="宋体" w:hAnsi="Book Antiqua" w:cs="宋体"/>
          <w:kern w:val="0"/>
          <w:sz w:val="24"/>
          <w:szCs w:val="24"/>
        </w:rPr>
        <w:t>Goto</w:t>
      </w:r>
      <w:proofErr w:type="spellEnd"/>
      <w:r w:rsidRPr="001A6A02">
        <w:rPr>
          <w:rFonts w:ascii="Book Antiqua" w:eastAsia="宋体" w:hAnsi="Book Antiqua" w:cs="宋体"/>
          <w:kern w:val="0"/>
          <w:sz w:val="24"/>
          <w:szCs w:val="24"/>
        </w:rPr>
        <w:t xml:space="preserve"> S. Once-daily </w:t>
      </w:r>
      <w:proofErr w:type="spellStart"/>
      <w:r w:rsidRPr="001A6A02">
        <w:rPr>
          <w:rFonts w:ascii="Book Antiqua" w:eastAsia="宋体" w:hAnsi="Book Antiqua" w:cs="宋体"/>
          <w:kern w:val="0"/>
          <w:sz w:val="24"/>
          <w:szCs w:val="24"/>
        </w:rPr>
        <w:t>simeprevir</w:t>
      </w:r>
      <w:proofErr w:type="spellEnd"/>
      <w:r w:rsidRPr="001A6A02">
        <w:rPr>
          <w:rFonts w:ascii="Book Antiqua" w:eastAsia="宋体" w:hAnsi="Book Antiqua" w:cs="宋体"/>
          <w:kern w:val="0"/>
          <w:sz w:val="24"/>
          <w:szCs w:val="24"/>
        </w:rPr>
        <w:t xml:space="preserve"> with </w:t>
      </w:r>
      <w:proofErr w:type="spellStart"/>
      <w:r w:rsidRPr="001A6A02">
        <w:rPr>
          <w:rFonts w:ascii="Book Antiqua" w:eastAsia="宋体" w:hAnsi="Book Antiqua" w:cs="宋体"/>
          <w:kern w:val="0"/>
          <w:sz w:val="24"/>
          <w:szCs w:val="24"/>
        </w:rPr>
        <w:t>peginterferon</w:t>
      </w:r>
      <w:proofErr w:type="spellEnd"/>
      <w:r w:rsidRPr="001A6A02">
        <w:rPr>
          <w:rFonts w:ascii="Book Antiqua" w:eastAsia="宋体" w:hAnsi="Book Antiqua" w:cs="宋体"/>
          <w:kern w:val="0"/>
          <w:sz w:val="24"/>
          <w:szCs w:val="24"/>
        </w:rPr>
        <w:t xml:space="preserve"> and ribavirin for treatment-experienced HCV genotype 1-infected patients in Japan: the CONCERTO-2 and CONCERTO-3 studies. </w:t>
      </w:r>
      <w:r w:rsidRPr="001A6A02">
        <w:rPr>
          <w:rFonts w:ascii="Book Antiqua" w:eastAsia="宋体" w:hAnsi="Book Antiqua" w:cs="宋体"/>
          <w:i/>
          <w:iCs/>
          <w:kern w:val="0"/>
          <w:sz w:val="24"/>
          <w:szCs w:val="24"/>
        </w:rPr>
        <w:t xml:space="preserve">J </w:t>
      </w:r>
      <w:proofErr w:type="spellStart"/>
      <w:r w:rsidRPr="001A6A02">
        <w:rPr>
          <w:rFonts w:ascii="Book Antiqua" w:eastAsia="宋体" w:hAnsi="Book Antiqua" w:cs="宋体"/>
          <w:i/>
          <w:iCs/>
          <w:kern w:val="0"/>
          <w:sz w:val="24"/>
          <w:szCs w:val="24"/>
        </w:rPr>
        <w:lastRenderedPageBreak/>
        <w:t>Gastroenterol</w:t>
      </w:r>
      <w:proofErr w:type="spellEnd"/>
      <w:r w:rsidRPr="001A6A02">
        <w:rPr>
          <w:rFonts w:ascii="Book Antiqua" w:eastAsia="宋体" w:hAnsi="Book Antiqua" w:cs="宋体"/>
          <w:kern w:val="0"/>
          <w:sz w:val="24"/>
          <w:szCs w:val="24"/>
        </w:rPr>
        <w:t> 2014; </w:t>
      </w:r>
      <w:r w:rsidRPr="001A6A02">
        <w:rPr>
          <w:rFonts w:ascii="Book Antiqua" w:eastAsia="宋体" w:hAnsi="Book Antiqua" w:cs="宋体"/>
          <w:b/>
          <w:bCs/>
          <w:kern w:val="0"/>
          <w:sz w:val="24"/>
          <w:szCs w:val="24"/>
        </w:rPr>
        <w:t>49</w:t>
      </w:r>
      <w:r w:rsidRPr="001A6A02">
        <w:rPr>
          <w:rFonts w:ascii="Book Antiqua" w:eastAsia="宋体" w:hAnsi="Book Antiqua" w:cs="宋体"/>
          <w:kern w:val="0"/>
          <w:sz w:val="24"/>
          <w:szCs w:val="24"/>
        </w:rPr>
        <w:t>: 941-953 [PMID: 24626851 DOI: 10.1007/s00535-014-0949-8]</w:t>
      </w:r>
    </w:p>
    <w:p w14:paraId="1E123611"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16 </w:t>
      </w:r>
      <w:proofErr w:type="spellStart"/>
      <w:r w:rsidRPr="001A6A02">
        <w:rPr>
          <w:rFonts w:ascii="Book Antiqua" w:eastAsia="宋体" w:hAnsi="Book Antiqua" w:cs="宋体"/>
          <w:b/>
          <w:bCs/>
          <w:kern w:val="0"/>
          <w:sz w:val="24"/>
          <w:szCs w:val="24"/>
        </w:rPr>
        <w:t>Kumada</w:t>
      </w:r>
      <w:proofErr w:type="spellEnd"/>
      <w:r w:rsidRPr="001A6A02">
        <w:rPr>
          <w:rFonts w:ascii="Book Antiqua" w:eastAsia="宋体" w:hAnsi="Book Antiqua" w:cs="宋体"/>
          <w:b/>
          <w:bCs/>
          <w:kern w:val="0"/>
          <w:sz w:val="24"/>
          <w:szCs w:val="24"/>
        </w:rPr>
        <w:t xml:space="preserve"> H</w:t>
      </w:r>
      <w:r w:rsidRPr="001A6A02">
        <w:rPr>
          <w:rFonts w:ascii="Book Antiqua" w:eastAsia="宋体" w:hAnsi="Book Antiqua" w:cs="宋体"/>
          <w:kern w:val="0"/>
          <w:sz w:val="24"/>
          <w:szCs w:val="24"/>
        </w:rPr>
        <w:t xml:space="preserve">, Hayashi N, Izumi N, </w:t>
      </w:r>
      <w:proofErr w:type="spellStart"/>
      <w:r w:rsidRPr="001A6A02">
        <w:rPr>
          <w:rFonts w:ascii="Book Antiqua" w:eastAsia="宋体" w:hAnsi="Book Antiqua" w:cs="宋体"/>
          <w:kern w:val="0"/>
          <w:sz w:val="24"/>
          <w:szCs w:val="24"/>
        </w:rPr>
        <w:t>Okanoue</w:t>
      </w:r>
      <w:proofErr w:type="spellEnd"/>
      <w:r w:rsidRPr="001A6A02">
        <w:rPr>
          <w:rFonts w:ascii="Book Antiqua" w:eastAsia="宋体" w:hAnsi="Book Antiqua" w:cs="宋体"/>
          <w:kern w:val="0"/>
          <w:sz w:val="24"/>
          <w:szCs w:val="24"/>
        </w:rPr>
        <w:t xml:space="preserve"> T, </w:t>
      </w:r>
      <w:proofErr w:type="spellStart"/>
      <w:r w:rsidRPr="001A6A02">
        <w:rPr>
          <w:rFonts w:ascii="Book Antiqua" w:eastAsia="宋体" w:hAnsi="Book Antiqua" w:cs="宋体"/>
          <w:kern w:val="0"/>
          <w:sz w:val="24"/>
          <w:szCs w:val="24"/>
        </w:rPr>
        <w:t>Tsubouchi</w:t>
      </w:r>
      <w:proofErr w:type="spellEnd"/>
      <w:r w:rsidRPr="001A6A02">
        <w:rPr>
          <w:rFonts w:ascii="Book Antiqua" w:eastAsia="宋体" w:hAnsi="Book Antiqua" w:cs="宋体"/>
          <w:kern w:val="0"/>
          <w:sz w:val="24"/>
          <w:szCs w:val="24"/>
        </w:rPr>
        <w:t xml:space="preserve"> H, </w:t>
      </w:r>
      <w:proofErr w:type="spellStart"/>
      <w:r w:rsidRPr="001A6A02">
        <w:rPr>
          <w:rFonts w:ascii="Book Antiqua" w:eastAsia="宋体" w:hAnsi="Book Antiqua" w:cs="宋体"/>
          <w:kern w:val="0"/>
          <w:sz w:val="24"/>
          <w:szCs w:val="24"/>
        </w:rPr>
        <w:t>Yatsuhashi</w:t>
      </w:r>
      <w:proofErr w:type="spellEnd"/>
      <w:r w:rsidRPr="001A6A02">
        <w:rPr>
          <w:rFonts w:ascii="Book Antiqua" w:eastAsia="宋体" w:hAnsi="Book Antiqua" w:cs="宋体"/>
          <w:kern w:val="0"/>
          <w:sz w:val="24"/>
          <w:szCs w:val="24"/>
        </w:rPr>
        <w:t xml:space="preserve"> H, Kato M, </w:t>
      </w:r>
      <w:proofErr w:type="spellStart"/>
      <w:r w:rsidRPr="001A6A02">
        <w:rPr>
          <w:rFonts w:ascii="Book Antiqua" w:eastAsia="宋体" w:hAnsi="Book Antiqua" w:cs="宋体"/>
          <w:kern w:val="0"/>
          <w:sz w:val="24"/>
          <w:szCs w:val="24"/>
        </w:rPr>
        <w:t>Rito</w:t>
      </w:r>
      <w:proofErr w:type="spellEnd"/>
      <w:r w:rsidRPr="001A6A02">
        <w:rPr>
          <w:rFonts w:ascii="Book Antiqua" w:eastAsia="宋体" w:hAnsi="Book Antiqua" w:cs="宋体"/>
          <w:kern w:val="0"/>
          <w:sz w:val="24"/>
          <w:szCs w:val="24"/>
        </w:rPr>
        <w:t xml:space="preserve"> K, </w:t>
      </w:r>
      <w:proofErr w:type="spellStart"/>
      <w:r w:rsidRPr="001A6A02">
        <w:rPr>
          <w:rFonts w:ascii="Book Antiqua" w:eastAsia="宋体" w:hAnsi="Book Antiqua" w:cs="宋体"/>
          <w:kern w:val="0"/>
          <w:sz w:val="24"/>
          <w:szCs w:val="24"/>
        </w:rPr>
        <w:t>Komada</w:t>
      </w:r>
      <w:proofErr w:type="spellEnd"/>
      <w:r w:rsidRPr="001A6A02">
        <w:rPr>
          <w:rFonts w:ascii="Book Antiqua" w:eastAsia="宋体" w:hAnsi="Book Antiqua" w:cs="宋体"/>
          <w:kern w:val="0"/>
          <w:sz w:val="24"/>
          <w:szCs w:val="24"/>
        </w:rPr>
        <w:t xml:space="preserve"> Y, </w:t>
      </w:r>
      <w:proofErr w:type="spellStart"/>
      <w:r w:rsidRPr="001A6A02">
        <w:rPr>
          <w:rFonts w:ascii="Book Antiqua" w:eastAsia="宋体" w:hAnsi="Book Antiqua" w:cs="宋体"/>
          <w:kern w:val="0"/>
          <w:sz w:val="24"/>
          <w:szCs w:val="24"/>
        </w:rPr>
        <w:t>Seto</w:t>
      </w:r>
      <w:proofErr w:type="spellEnd"/>
      <w:r w:rsidRPr="001A6A02">
        <w:rPr>
          <w:rFonts w:ascii="Book Antiqua" w:eastAsia="宋体" w:hAnsi="Book Antiqua" w:cs="宋体"/>
          <w:kern w:val="0"/>
          <w:sz w:val="24"/>
          <w:szCs w:val="24"/>
        </w:rPr>
        <w:t xml:space="preserve"> C, </w:t>
      </w:r>
      <w:proofErr w:type="spellStart"/>
      <w:r w:rsidRPr="001A6A02">
        <w:rPr>
          <w:rFonts w:ascii="Book Antiqua" w:eastAsia="宋体" w:hAnsi="Book Antiqua" w:cs="宋体"/>
          <w:kern w:val="0"/>
          <w:sz w:val="24"/>
          <w:szCs w:val="24"/>
        </w:rPr>
        <w:t>Goto</w:t>
      </w:r>
      <w:proofErr w:type="spellEnd"/>
      <w:r w:rsidRPr="001A6A02">
        <w:rPr>
          <w:rFonts w:ascii="Book Antiqua" w:eastAsia="宋体" w:hAnsi="Book Antiqua" w:cs="宋体"/>
          <w:kern w:val="0"/>
          <w:sz w:val="24"/>
          <w:szCs w:val="24"/>
        </w:rPr>
        <w:t xml:space="preserve"> S. </w:t>
      </w:r>
      <w:proofErr w:type="spellStart"/>
      <w:r w:rsidRPr="001A6A02">
        <w:rPr>
          <w:rFonts w:ascii="Book Antiqua" w:eastAsia="宋体" w:hAnsi="Book Antiqua" w:cs="宋体"/>
          <w:kern w:val="0"/>
          <w:sz w:val="24"/>
          <w:szCs w:val="24"/>
        </w:rPr>
        <w:t>Simeprevir</w:t>
      </w:r>
      <w:proofErr w:type="spellEnd"/>
      <w:r w:rsidRPr="001A6A02">
        <w:rPr>
          <w:rFonts w:ascii="Book Antiqua" w:eastAsia="宋体" w:hAnsi="Book Antiqua" w:cs="宋体"/>
          <w:kern w:val="0"/>
          <w:sz w:val="24"/>
          <w:szCs w:val="24"/>
        </w:rPr>
        <w:t xml:space="preserve"> (TMC435) once daily with </w:t>
      </w:r>
      <w:proofErr w:type="spellStart"/>
      <w:r w:rsidRPr="001A6A02">
        <w:rPr>
          <w:rFonts w:ascii="Book Antiqua" w:eastAsia="宋体" w:hAnsi="Book Antiqua" w:cs="宋体"/>
          <w:kern w:val="0"/>
          <w:sz w:val="24"/>
          <w:szCs w:val="24"/>
        </w:rPr>
        <w:t>peginterferon</w:t>
      </w:r>
      <w:proofErr w:type="spellEnd"/>
      <w:r w:rsidRPr="001A6A02">
        <w:rPr>
          <w:rFonts w:ascii="Book Antiqua" w:eastAsia="宋体" w:hAnsi="Book Antiqua" w:cs="宋体"/>
          <w:kern w:val="0"/>
          <w:sz w:val="24"/>
          <w:szCs w:val="24"/>
        </w:rPr>
        <w:t>-α-2b and ribavirin in patients with genotype 1 hepatitis C virus infection: The CONCERTO-4 study. </w:t>
      </w:r>
      <w:proofErr w:type="spellStart"/>
      <w:r w:rsidRPr="001A6A02">
        <w:rPr>
          <w:rFonts w:ascii="Book Antiqua" w:eastAsia="宋体" w:hAnsi="Book Antiqua" w:cs="宋体"/>
          <w:i/>
          <w:iCs/>
          <w:kern w:val="0"/>
          <w:sz w:val="24"/>
          <w:szCs w:val="24"/>
        </w:rPr>
        <w:t>Hepatol</w:t>
      </w:r>
      <w:proofErr w:type="spellEnd"/>
      <w:r w:rsidRPr="001A6A02">
        <w:rPr>
          <w:rFonts w:ascii="Book Antiqua" w:eastAsia="宋体" w:hAnsi="Book Antiqua" w:cs="宋体"/>
          <w:i/>
          <w:iCs/>
          <w:kern w:val="0"/>
          <w:sz w:val="24"/>
          <w:szCs w:val="24"/>
        </w:rPr>
        <w:t xml:space="preserve"> Res</w:t>
      </w:r>
      <w:r w:rsidRPr="001A6A02">
        <w:rPr>
          <w:rFonts w:ascii="Book Antiqua" w:eastAsia="宋体" w:hAnsi="Book Antiqua" w:cs="宋体"/>
          <w:kern w:val="0"/>
          <w:sz w:val="24"/>
          <w:szCs w:val="24"/>
        </w:rPr>
        <w:t> 2015; </w:t>
      </w:r>
      <w:r w:rsidRPr="001A6A02">
        <w:rPr>
          <w:rFonts w:ascii="Book Antiqua" w:eastAsia="宋体" w:hAnsi="Book Antiqua" w:cs="宋体"/>
          <w:b/>
          <w:bCs/>
          <w:kern w:val="0"/>
          <w:sz w:val="24"/>
          <w:szCs w:val="24"/>
        </w:rPr>
        <w:t>45</w:t>
      </w:r>
      <w:r w:rsidRPr="001A6A02">
        <w:rPr>
          <w:rFonts w:ascii="Book Antiqua" w:eastAsia="宋体" w:hAnsi="Book Antiqua" w:cs="宋体"/>
          <w:kern w:val="0"/>
          <w:sz w:val="24"/>
          <w:szCs w:val="24"/>
        </w:rPr>
        <w:t>: 501-513 [PMID: 24961662 DOI: 10.1111/hepr.12375]</w:t>
      </w:r>
    </w:p>
    <w:p w14:paraId="3BB0DE40"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17 </w:t>
      </w:r>
      <w:proofErr w:type="spellStart"/>
      <w:r w:rsidRPr="001A6A02">
        <w:rPr>
          <w:rFonts w:ascii="Book Antiqua" w:eastAsia="宋体" w:hAnsi="Book Antiqua" w:cs="宋体"/>
          <w:b/>
          <w:bCs/>
          <w:kern w:val="0"/>
          <w:sz w:val="24"/>
          <w:szCs w:val="24"/>
        </w:rPr>
        <w:t>Kau</w:t>
      </w:r>
      <w:proofErr w:type="spellEnd"/>
      <w:r w:rsidRPr="001A6A02">
        <w:rPr>
          <w:rFonts w:ascii="Book Antiqua" w:eastAsia="宋体" w:hAnsi="Book Antiqua" w:cs="宋体"/>
          <w:b/>
          <w:bCs/>
          <w:kern w:val="0"/>
          <w:sz w:val="24"/>
          <w:szCs w:val="24"/>
        </w:rPr>
        <w:t xml:space="preserve"> A</w:t>
      </w:r>
      <w:r w:rsidRPr="001A6A02">
        <w:rPr>
          <w:rFonts w:ascii="Book Antiqua" w:eastAsia="宋体" w:hAnsi="Book Antiqua" w:cs="宋体"/>
          <w:kern w:val="0"/>
          <w:sz w:val="24"/>
          <w:szCs w:val="24"/>
        </w:rPr>
        <w:t xml:space="preserve">, </w:t>
      </w:r>
      <w:proofErr w:type="spellStart"/>
      <w:r w:rsidRPr="001A6A02">
        <w:rPr>
          <w:rFonts w:ascii="Book Antiqua" w:eastAsia="宋体" w:hAnsi="Book Antiqua" w:cs="宋体"/>
          <w:kern w:val="0"/>
          <w:sz w:val="24"/>
          <w:szCs w:val="24"/>
        </w:rPr>
        <w:t>Vermehren</w:t>
      </w:r>
      <w:proofErr w:type="spellEnd"/>
      <w:r w:rsidRPr="001A6A02">
        <w:rPr>
          <w:rFonts w:ascii="Book Antiqua" w:eastAsia="宋体" w:hAnsi="Book Antiqua" w:cs="宋体"/>
          <w:kern w:val="0"/>
          <w:sz w:val="24"/>
          <w:szCs w:val="24"/>
        </w:rPr>
        <w:t xml:space="preserve"> J, </w:t>
      </w:r>
      <w:proofErr w:type="spellStart"/>
      <w:r w:rsidRPr="001A6A02">
        <w:rPr>
          <w:rFonts w:ascii="Book Antiqua" w:eastAsia="宋体" w:hAnsi="Book Antiqua" w:cs="宋体"/>
          <w:kern w:val="0"/>
          <w:sz w:val="24"/>
          <w:szCs w:val="24"/>
        </w:rPr>
        <w:t>Sarrazin</w:t>
      </w:r>
      <w:proofErr w:type="spellEnd"/>
      <w:r w:rsidRPr="001A6A02">
        <w:rPr>
          <w:rFonts w:ascii="Book Antiqua" w:eastAsia="宋体" w:hAnsi="Book Antiqua" w:cs="宋体"/>
          <w:kern w:val="0"/>
          <w:sz w:val="24"/>
          <w:szCs w:val="24"/>
        </w:rPr>
        <w:t xml:space="preserve"> C. Treatment predictors of a sustained </w:t>
      </w:r>
      <w:proofErr w:type="spellStart"/>
      <w:r w:rsidRPr="001A6A02">
        <w:rPr>
          <w:rFonts w:ascii="Book Antiqua" w:eastAsia="宋体" w:hAnsi="Book Antiqua" w:cs="宋体"/>
          <w:kern w:val="0"/>
          <w:sz w:val="24"/>
          <w:szCs w:val="24"/>
        </w:rPr>
        <w:t>virologic</w:t>
      </w:r>
      <w:proofErr w:type="spellEnd"/>
      <w:r w:rsidRPr="001A6A02">
        <w:rPr>
          <w:rFonts w:ascii="Book Antiqua" w:eastAsia="宋体" w:hAnsi="Book Antiqua" w:cs="宋体"/>
          <w:kern w:val="0"/>
          <w:sz w:val="24"/>
          <w:szCs w:val="24"/>
        </w:rPr>
        <w:t xml:space="preserve"> response in hepatitis B and C. </w:t>
      </w:r>
      <w:r w:rsidRPr="001A6A02">
        <w:rPr>
          <w:rFonts w:ascii="Book Antiqua" w:eastAsia="宋体" w:hAnsi="Book Antiqua" w:cs="宋体"/>
          <w:i/>
          <w:iCs/>
          <w:kern w:val="0"/>
          <w:sz w:val="24"/>
          <w:szCs w:val="24"/>
        </w:rPr>
        <w:t xml:space="preserve">J </w:t>
      </w:r>
      <w:proofErr w:type="spellStart"/>
      <w:r w:rsidRPr="001A6A02">
        <w:rPr>
          <w:rFonts w:ascii="Book Antiqua" w:eastAsia="宋体" w:hAnsi="Book Antiqua" w:cs="宋体"/>
          <w:i/>
          <w:iCs/>
          <w:kern w:val="0"/>
          <w:sz w:val="24"/>
          <w:szCs w:val="24"/>
        </w:rPr>
        <w:t>Hepatol</w:t>
      </w:r>
      <w:proofErr w:type="spellEnd"/>
      <w:r w:rsidRPr="001A6A02">
        <w:rPr>
          <w:rFonts w:ascii="Book Antiqua" w:eastAsia="宋体" w:hAnsi="Book Antiqua" w:cs="宋体"/>
          <w:kern w:val="0"/>
          <w:sz w:val="24"/>
          <w:szCs w:val="24"/>
        </w:rPr>
        <w:t> 2008; </w:t>
      </w:r>
      <w:r w:rsidRPr="001A6A02">
        <w:rPr>
          <w:rFonts w:ascii="Book Antiqua" w:eastAsia="宋体" w:hAnsi="Book Antiqua" w:cs="宋体"/>
          <w:b/>
          <w:bCs/>
          <w:kern w:val="0"/>
          <w:sz w:val="24"/>
          <w:szCs w:val="24"/>
        </w:rPr>
        <w:t>49</w:t>
      </w:r>
      <w:r w:rsidRPr="001A6A02">
        <w:rPr>
          <w:rFonts w:ascii="Book Antiqua" w:eastAsia="宋体" w:hAnsi="Book Antiqua" w:cs="宋体"/>
          <w:kern w:val="0"/>
          <w:sz w:val="24"/>
          <w:szCs w:val="24"/>
        </w:rPr>
        <w:t>: 634-651 [PMID: 18715665 DOI: S0168-8278(08)00485-6]</w:t>
      </w:r>
    </w:p>
    <w:p w14:paraId="0B4B204F"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18 </w:t>
      </w:r>
      <w:proofErr w:type="spellStart"/>
      <w:r w:rsidRPr="001A6A02">
        <w:rPr>
          <w:rFonts w:ascii="Book Antiqua" w:eastAsia="宋体" w:hAnsi="Book Antiqua" w:cs="宋体"/>
          <w:b/>
          <w:bCs/>
          <w:kern w:val="0"/>
          <w:sz w:val="24"/>
          <w:szCs w:val="24"/>
        </w:rPr>
        <w:t>Yoshizawa</w:t>
      </w:r>
      <w:proofErr w:type="spellEnd"/>
      <w:r w:rsidRPr="001A6A02">
        <w:rPr>
          <w:rFonts w:ascii="Book Antiqua" w:eastAsia="宋体" w:hAnsi="Book Antiqua" w:cs="宋体"/>
          <w:b/>
          <w:bCs/>
          <w:kern w:val="0"/>
          <w:sz w:val="24"/>
          <w:szCs w:val="24"/>
        </w:rPr>
        <w:t xml:space="preserve"> H</w:t>
      </w:r>
      <w:r w:rsidRPr="001A6A02">
        <w:rPr>
          <w:rFonts w:ascii="Book Antiqua" w:eastAsia="宋体" w:hAnsi="Book Antiqua" w:cs="宋体"/>
          <w:kern w:val="0"/>
          <w:sz w:val="24"/>
          <w:szCs w:val="24"/>
        </w:rPr>
        <w:t xml:space="preserve">, Tanaka J, </w:t>
      </w:r>
      <w:proofErr w:type="spellStart"/>
      <w:r w:rsidRPr="001A6A02">
        <w:rPr>
          <w:rFonts w:ascii="Book Antiqua" w:eastAsia="宋体" w:hAnsi="Book Antiqua" w:cs="宋体"/>
          <w:kern w:val="0"/>
          <w:sz w:val="24"/>
          <w:szCs w:val="24"/>
        </w:rPr>
        <w:t>Miyakawa</w:t>
      </w:r>
      <w:proofErr w:type="spellEnd"/>
      <w:r w:rsidRPr="001A6A02">
        <w:rPr>
          <w:rFonts w:ascii="Book Antiqua" w:eastAsia="宋体" w:hAnsi="Book Antiqua" w:cs="宋体"/>
          <w:kern w:val="0"/>
          <w:sz w:val="24"/>
          <w:szCs w:val="24"/>
        </w:rPr>
        <w:t xml:space="preserve"> Y. National prevention of hepatocellular carcinoma in Japan based on epidemiology of hepatitis C virus infection in the general population. </w:t>
      </w:r>
      <w:proofErr w:type="spellStart"/>
      <w:r w:rsidRPr="001A6A02">
        <w:rPr>
          <w:rFonts w:ascii="Book Antiqua" w:eastAsia="宋体" w:hAnsi="Book Antiqua" w:cs="宋体"/>
          <w:i/>
          <w:iCs/>
          <w:kern w:val="0"/>
          <w:sz w:val="24"/>
          <w:szCs w:val="24"/>
        </w:rPr>
        <w:t>Intervirology</w:t>
      </w:r>
      <w:proofErr w:type="spellEnd"/>
      <w:r w:rsidRPr="001A6A02">
        <w:rPr>
          <w:rFonts w:ascii="Book Antiqua" w:eastAsia="宋体" w:hAnsi="Book Antiqua" w:cs="宋体"/>
          <w:kern w:val="0"/>
          <w:sz w:val="24"/>
          <w:szCs w:val="24"/>
        </w:rPr>
        <w:t> 2006; </w:t>
      </w:r>
      <w:r w:rsidRPr="001A6A02">
        <w:rPr>
          <w:rFonts w:ascii="Book Antiqua" w:eastAsia="宋体" w:hAnsi="Book Antiqua" w:cs="宋体"/>
          <w:b/>
          <w:bCs/>
          <w:kern w:val="0"/>
          <w:sz w:val="24"/>
          <w:szCs w:val="24"/>
        </w:rPr>
        <w:t>49</w:t>
      </w:r>
      <w:r w:rsidRPr="001A6A02">
        <w:rPr>
          <w:rFonts w:ascii="Book Antiqua" w:eastAsia="宋体" w:hAnsi="Book Antiqua" w:cs="宋体"/>
          <w:kern w:val="0"/>
          <w:sz w:val="24"/>
          <w:szCs w:val="24"/>
        </w:rPr>
        <w:t>: 7-17 [PMID: 16166783 DOI: 87257]</w:t>
      </w:r>
    </w:p>
    <w:p w14:paraId="5C232F1E"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19</w:t>
      </w:r>
      <w:r>
        <w:rPr>
          <w:rFonts w:ascii="Book Antiqua" w:eastAsia="宋体" w:hAnsi="Book Antiqua" w:cs="宋体" w:hint="eastAsia"/>
          <w:kern w:val="0"/>
          <w:sz w:val="24"/>
          <w:szCs w:val="24"/>
        </w:rPr>
        <w:t xml:space="preserve"> </w:t>
      </w:r>
      <w:r w:rsidRPr="001A6A02">
        <w:rPr>
          <w:rFonts w:ascii="Book Antiqua" w:eastAsia="宋体" w:hAnsi="Book Antiqua" w:cs="宋体"/>
          <w:b/>
          <w:kern w:val="0"/>
          <w:sz w:val="24"/>
          <w:szCs w:val="24"/>
        </w:rPr>
        <w:t xml:space="preserve">Editors of the Drafting Committee for Hepatitis Management Guidelines: </w:t>
      </w:r>
      <w:r>
        <w:rPr>
          <w:rFonts w:ascii="Book Antiqua" w:eastAsia="宋体" w:hAnsi="Book Antiqua" w:cs="宋体"/>
          <w:b/>
          <w:kern w:val="0"/>
          <w:sz w:val="24"/>
          <w:szCs w:val="24"/>
        </w:rPr>
        <w:t>The Japan Society of Hepatology</w:t>
      </w:r>
      <w:r w:rsidRPr="001A6A02">
        <w:rPr>
          <w:rFonts w:ascii="Book Antiqua" w:eastAsia="宋体" w:hAnsi="Book Antiqua" w:cs="宋体"/>
          <w:b/>
          <w:kern w:val="0"/>
          <w:sz w:val="24"/>
          <w:szCs w:val="24"/>
        </w:rPr>
        <w:t>.</w:t>
      </w:r>
      <w:r>
        <w:rPr>
          <w:rFonts w:ascii="Book Antiqua" w:eastAsia="宋体" w:hAnsi="Book Antiqua" w:cs="宋体" w:hint="eastAsia"/>
          <w:kern w:val="0"/>
          <w:sz w:val="24"/>
          <w:szCs w:val="24"/>
        </w:rPr>
        <w:t xml:space="preserve"> </w:t>
      </w:r>
      <w:r w:rsidRPr="001A6A02">
        <w:rPr>
          <w:rFonts w:ascii="Book Antiqua" w:eastAsia="宋体" w:hAnsi="Book Antiqua" w:cs="宋体"/>
          <w:kern w:val="0"/>
          <w:sz w:val="24"/>
          <w:szCs w:val="24"/>
        </w:rPr>
        <w:t>Guidelines for the Management of Hepatitis C Virus Infection: First edition, May 2012, The Japan Society of Hepatology. </w:t>
      </w:r>
      <w:proofErr w:type="spellStart"/>
      <w:r w:rsidRPr="001A6A02">
        <w:rPr>
          <w:rFonts w:ascii="Book Antiqua" w:eastAsia="宋体" w:hAnsi="Book Antiqua" w:cs="宋体"/>
          <w:i/>
          <w:iCs/>
          <w:kern w:val="0"/>
          <w:sz w:val="24"/>
          <w:szCs w:val="24"/>
        </w:rPr>
        <w:t>Hepatol</w:t>
      </w:r>
      <w:proofErr w:type="spellEnd"/>
      <w:r w:rsidRPr="001A6A02">
        <w:rPr>
          <w:rFonts w:ascii="Book Antiqua" w:eastAsia="宋体" w:hAnsi="Book Antiqua" w:cs="宋体"/>
          <w:i/>
          <w:iCs/>
          <w:kern w:val="0"/>
          <w:sz w:val="24"/>
          <w:szCs w:val="24"/>
        </w:rPr>
        <w:t xml:space="preserve"> Res</w:t>
      </w:r>
      <w:r w:rsidRPr="001A6A02">
        <w:rPr>
          <w:rFonts w:ascii="Book Antiqua" w:eastAsia="宋体" w:hAnsi="Book Antiqua" w:cs="宋体"/>
          <w:kern w:val="0"/>
          <w:sz w:val="24"/>
          <w:szCs w:val="24"/>
        </w:rPr>
        <w:t> 2013; </w:t>
      </w:r>
      <w:r w:rsidRPr="001A6A02">
        <w:rPr>
          <w:rFonts w:ascii="Book Antiqua" w:eastAsia="宋体" w:hAnsi="Book Antiqua" w:cs="宋体"/>
          <w:b/>
          <w:bCs/>
          <w:kern w:val="0"/>
          <w:sz w:val="24"/>
          <w:szCs w:val="24"/>
        </w:rPr>
        <w:t>43</w:t>
      </w:r>
      <w:r w:rsidRPr="001A6A02">
        <w:rPr>
          <w:rFonts w:ascii="Book Antiqua" w:eastAsia="宋体" w:hAnsi="Book Antiqua" w:cs="宋体"/>
          <w:kern w:val="0"/>
          <w:sz w:val="24"/>
          <w:szCs w:val="24"/>
        </w:rPr>
        <w:t xml:space="preserve">: 1-34 [PMID: </w:t>
      </w:r>
      <w:bookmarkStart w:id="39" w:name="OLE_LINK637"/>
      <w:bookmarkStart w:id="40" w:name="OLE_LINK638"/>
      <w:r w:rsidRPr="001A6A02">
        <w:rPr>
          <w:rFonts w:ascii="Book Antiqua" w:eastAsia="宋体" w:hAnsi="Book Antiqua" w:cs="宋体"/>
          <w:kern w:val="0"/>
          <w:sz w:val="24"/>
          <w:szCs w:val="24"/>
        </w:rPr>
        <w:t xml:space="preserve">23332085 </w:t>
      </w:r>
      <w:bookmarkEnd w:id="39"/>
      <w:bookmarkEnd w:id="40"/>
      <w:r w:rsidRPr="001A6A02">
        <w:rPr>
          <w:rFonts w:ascii="Book Antiqua" w:eastAsia="宋体" w:hAnsi="Book Antiqua" w:cs="宋体"/>
          <w:kern w:val="0"/>
          <w:sz w:val="24"/>
          <w:szCs w:val="24"/>
        </w:rPr>
        <w:t>DOI: 10.1111/hepr.12020]</w:t>
      </w:r>
    </w:p>
    <w:p w14:paraId="4CD3897C"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20 </w:t>
      </w:r>
      <w:r w:rsidRPr="001A6A02">
        <w:rPr>
          <w:rFonts w:ascii="Book Antiqua" w:eastAsia="宋体" w:hAnsi="Book Antiqua" w:cs="宋体"/>
          <w:b/>
          <w:bCs/>
          <w:kern w:val="0"/>
          <w:sz w:val="24"/>
          <w:szCs w:val="24"/>
        </w:rPr>
        <w:t>Shuster M</w:t>
      </w:r>
      <w:r w:rsidRPr="001A6A02">
        <w:rPr>
          <w:rFonts w:ascii="Book Antiqua" w:eastAsia="宋体" w:hAnsi="Book Antiqua" w:cs="宋体"/>
          <w:kern w:val="0"/>
          <w:sz w:val="24"/>
          <w:szCs w:val="24"/>
        </w:rPr>
        <w:t xml:space="preserve">, Do D, </w:t>
      </w:r>
      <w:proofErr w:type="spellStart"/>
      <w:r w:rsidRPr="001A6A02">
        <w:rPr>
          <w:rFonts w:ascii="Book Antiqua" w:eastAsia="宋体" w:hAnsi="Book Antiqua" w:cs="宋体"/>
          <w:kern w:val="0"/>
          <w:sz w:val="24"/>
          <w:szCs w:val="24"/>
        </w:rPr>
        <w:t>Nambudiri</w:t>
      </w:r>
      <w:proofErr w:type="spellEnd"/>
      <w:r w:rsidRPr="001A6A02">
        <w:rPr>
          <w:rFonts w:ascii="Book Antiqua" w:eastAsia="宋体" w:hAnsi="Book Antiqua" w:cs="宋体"/>
          <w:kern w:val="0"/>
          <w:sz w:val="24"/>
          <w:szCs w:val="24"/>
        </w:rPr>
        <w:t xml:space="preserve"> V. Severe cutaneous adverse reaction to </w:t>
      </w:r>
      <w:proofErr w:type="spellStart"/>
      <w:r w:rsidRPr="001A6A02">
        <w:rPr>
          <w:rFonts w:ascii="Book Antiqua" w:eastAsia="宋体" w:hAnsi="Book Antiqua" w:cs="宋体"/>
          <w:kern w:val="0"/>
          <w:sz w:val="24"/>
          <w:szCs w:val="24"/>
        </w:rPr>
        <w:t>telaprevir</w:t>
      </w:r>
      <w:proofErr w:type="spellEnd"/>
      <w:r w:rsidRPr="001A6A02">
        <w:rPr>
          <w:rFonts w:ascii="Book Antiqua" w:eastAsia="宋体" w:hAnsi="Book Antiqua" w:cs="宋体"/>
          <w:kern w:val="0"/>
          <w:sz w:val="24"/>
          <w:szCs w:val="24"/>
        </w:rPr>
        <w:t>. </w:t>
      </w:r>
      <w:proofErr w:type="spellStart"/>
      <w:r w:rsidRPr="001A6A02">
        <w:rPr>
          <w:rFonts w:ascii="Book Antiqua" w:eastAsia="宋体" w:hAnsi="Book Antiqua" w:cs="宋体"/>
          <w:i/>
          <w:iCs/>
          <w:kern w:val="0"/>
          <w:sz w:val="24"/>
          <w:szCs w:val="24"/>
        </w:rPr>
        <w:t>Dermatol</w:t>
      </w:r>
      <w:proofErr w:type="spellEnd"/>
      <w:r w:rsidRPr="001A6A02">
        <w:rPr>
          <w:rFonts w:ascii="Book Antiqua" w:eastAsia="宋体" w:hAnsi="Book Antiqua" w:cs="宋体"/>
          <w:i/>
          <w:iCs/>
          <w:kern w:val="0"/>
          <w:sz w:val="24"/>
          <w:szCs w:val="24"/>
        </w:rPr>
        <w:t xml:space="preserve"> Online J</w:t>
      </w:r>
      <w:r w:rsidRPr="001A6A02">
        <w:rPr>
          <w:rFonts w:ascii="Book Antiqua" w:eastAsia="宋体" w:hAnsi="Book Antiqua" w:cs="宋体"/>
          <w:kern w:val="0"/>
          <w:sz w:val="24"/>
          <w:szCs w:val="24"/>
        </w:rPr>
        <w:t> 2015; </w:t>
      </w:r>
      <w:r w:rsidRPr="001A6A02">
        <w:rPr>
          <w:rFonts w:ascii="Book Antiqua" w:eastAsia="宋体" w:hAnsi="Book Antiqua" w:cs="宋体"/>
          <w:b/>
          <w:bCs/>
          <w:kern w:val="0"/>
          <w:sz w:val="24"/>
          <w:szCs w:val="24"/>
        </w:rPr>
        <w:t>21</w:t>
      </w:r>
      <w:r w:rsidRPr="001A6A02">
        <w:rPr>
          <w:rFonts w:ascii="Book Antiqua" w:eastAsia="宋体" w:hAnsi="Book Antiqua" w:cs="宋体"/>
          <w:kern w:val="0"/>
          <w:sz w:val="24"/>
          <w:szCs w:val="24"/>
        </w:rPr>
        <w:t>: [PMID: 25612120]</w:t>
      </w:r>
    </w:p>
    <w:p w14:paraId="6A4E2FFD"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21 </w:t>
      </w:r>
      <w:r w:rsidRPr="001A6A02">
        <w:rPr>
          <w:rFonts w:ascii="Book Antiqua" w:eastAsia="宋体" w:hAnsi="Book Antiqua" w:cs="宋体"/>
          <w:b/>
          <w:bCs/>
          <w:kern w:val="0"/>
          <w:sz w:val="24"/>
          <w:szCs w:val="24"/>
        </w:rPr>
        <w:t>Federico A</w:t>
      </w:r>
      <w:r w:rsidRPr="001A6A02">
        <w:rPr>
          <w:rFonts w:ascii="Book Antiqua" w:eastAsia="宋体" w:hAnsi="Book Antiqua" w:cs="宋体"/>
          <w:kern w:val="0"/>
          <w:sz w:val="24"/>
          <w:szCs w:val="24"/>
        </w:rPr>
        <w:t xml:space="preserve">, </w:t>
      </w:r>
      <w:proofErr w:type="spellStart"/>
      <w:r w:rsidRPr="001A6A02">
        <w:rPr>
          <w:rFonts w:ascii="Book Antiqua" w:eastAsia="宋体" w:hAnsi="Book Antiqua" w:cs="宋体"/>
          <w:kern w:val="0"/>
          <w:sz w:val="24"/>
          <w:szCs w:val="24"/>
        </w:rPr>
        <w:t>Sgambato</w:t>
      </w:r>
      <w:proofErr w:type="spellEnd"/>
      <w:r w:rsidRPr="001A6A02">
        <w:rPr>
          <w:rFonts w:ascii="Book Antiqua" w:eastAsia="宋体" w:hAnsi="Book Antiqua" w:cs="宋体"/>
          <w:kern w:val="0"/>
          <w:sz w:val="24"/>
          <w:szCs w:val="24"/>
        </w:rPr>
        <w:t xml:space="preserve"> D, </w:t>
      </w:r>
      <w:proofErr w:type="spellStart"/>
      <w:r w:rsidRPr="001A6A02">
        <w:rPr>
          <w:rFonts w:ascii="Book Antiqua" w:eastAsia="宋体" w:hAnsi="Book Antiqua" w:cs="宋体"/>
          <w:kern w:val="0"/>
          <w:sz w:val="24"/>
          <w:szCs w:val="24"/>
        </w:rPr>
        <w:t>Cotticelli</w:t>
      </w:r>
      <w:proofErr w:type="spellEnd"/>
      <w:r w:rsidRPr="001A6A02">
        <w:rPr>
          <w:rFonts w:ascii="Book Antiqua" w:eastAsia="宋体" w:hAnsi="Book Antiqua" w:cs="宋体"/>
          <w:kern w:val="0"/>
          <w:sz w:val="24"/>
          <w:szCs w:val="24"/>
        </w:rPr>
        <w:t xml:space="preserve"> G, </w:t>
      </w:r>
      <w:proofErr w:type="spellStart"/>
      <w:r w:rsidRPr="001A6A02">
        <w:rPr>
          <w:rFonts w:ascii="Book Antiqua" w:eastAsia="宋体" w:hAnsi="Book Antiqua" w:cs="宋体"/>
          <w:kern w:val="0"/>
          <w:sz w:val="24"/>
          <w:szCs w:val="24"/>
        </w:rPr>
        <w:t>Gravina</w:t>
      </w:r>
      <w:proofErr w:type="spellEnd"/>
      <w:r w:rsidRPr="001A6A02">
        <w:rPr>
          <w:rFonts w:ascii="Book Antiqua" w:eastAsia="宋体" w:hAnsi="Book Antiqua" w:cs="宋体"/>
          <w:kern w:val="0"/>
          <w:sz w:val="24"/>
          <w:szCs w:val="24"/>
        </w:rPr>
        <w:t xml:space="preserve"> AG, </w:t>
      </w:r>
      <w:proofErr w:type="spellStart"/>
      <w:r w:rsidRPr="001A6A02">
        <w:rPr>
          <w:rFonts w:ascii="Book Antiqua" w:eastAsia="宋体" w:hAnsi="Book Antiqua" w:cs="宋体"/>
          <w:kern w:val="0"/>
          <w:sz w:val="24"/>
          <w:szCs w:val="24"/>
        </w:rPr>
        <w:t>Dallio</w:t>
      </w:r>
      <w:proofErr w:type="spellEnd"/>
      <w:r w:rsidRPr="001A6A02">
        <w:rPr>
          <w:rFonts w:ascii="Book Antiqua" w:eastAsia="宋体" w:hAnsi="Book Antiqua" w:cs="宋体"/>
          <w:kern w:val="0"/>
          <w:sz w:val="24"/>
          <w:szCs w:val="24"/>
        </w:rPr>
        <w:t xml:space="preserve"> M, </w:t>
      </w:r>
      <w:proofErr w:type="spellStart"/>
      <w:r w:rsidRPr="001A6A02">
        <w:rPr>
          <w:rFonts w:ascii="Book Antiqua" w:eastAsia="宋体" w:hAnsi="Book Antiqua" w:cs="宋体"/>
          <w:kern w:val="0"/>
          <w:sz w:val="24"/>
          <w:szCs w:val="24"/>
        </w:rPr>
        <w:t>Beneduce</w:t>
      </w:r>
      <w:proofErr w:type="spellEnd"/>
      <w:r w:rsidRPr="001A6A02">
        <w:rPr>
          <w:rFonts w:ascii="Book Antiqua" w:eastAsia="宋体" w:hAnsi="Book Antiqua" w:cs="宋体"/>
          <w:kern w:val="0"/>
          <w:sz w:val="24"/>
          <w:szCs w:val="24"/>
        </w:rPr>
        <w:t xml:space="preserve"> F, </w:t>
      </w:r>
      <w:proofErr w:type="spellStart"/>
      <w:r w:rsidRPr="001A6A02">
        <w:rPr>
          <w:rFonts w:ascii="Book Antiqua" w:eastAsia="宋体" w:hAnsi="Book Antiqua" w:cs="宋体"/>
          <w:kern w:val="0"/>
          <w:sz w:val="24"/>
          <w:szCs w:val="24"/>
        </w:rPr>
        <w:t>Ruocco</w:t>
      </w:r>
      <w:proofErr w:type="spellEnd"/>
      <w:r w:rsidRPr="001A6A02">
        <w:rPr>
          <w:rFonts w:ascii="Book Antiqua" w:eastAsia="宋体" w:hAnsi="Book Antiqua" w:cs="宋体"/>
          <w:kern w:val="0"/>
          <w:sz w:val="24"/>
          <w:szCs w:val="24"/>
        </w:rPr>
        <w:t xml:space="preserve"> E, Romano M, </w:t>
      </w:r>
      <w:proofErr w:type="spellStart"/>
      <w:r w:rsidRPr="001A6A02">
        <w:rPr>
          <w:rFonts w:ascii="Book Antiqua" w:eastAsia="宋体" w:hAnsi="Book Antiqua" w:cs="宋体"/>
          <w:kern w:val="0"/>
          <w:sz w:val="24"/>
          <w:szCs w:val="24"/>
        </w:rPr>
        <w:t>Loguercio</w:t>
      </w:r>
      <w:proofErr w:type="spellEnd"/>
      <w:r w:rsidRPr="001A6A02">
        <w:rPr>
          <w:rFonts w:ascii="Book Antiqua" w:eastAsia="宋体" w:hAnsi="Book Antiqua" w:cs="宋体"/>
          <w:kern w:val="0"/>
          <w:sz w:val="24"/>
          <w:szCs w:val="24"/>
        </w:rPr>
        <w:t xml:space="preserve"> C. Skin Adverse Events During Dual and Triple Therapy for HCV-Related Cirrhosis. </w:t>
      </w:r>
      <w:proofErr w:type="spellStart"/>
      <w:r w:rsidRPr="001A6A02">
        <w:rPr>
          <w:rFonts w:ascii="Book Antiqua" w:eastAsia="宋体" w:hAnsi="Book Antiqua" w:cs="宋体"/>
          <w:i/>
          <w:iCs/>
          <w:kern w:val="0"/>
          <w:sz w:val="24"/>
          <w:szCs w:val="24"/>
        </w:rPr>
        <w:t>Hepat</w:t>
      </w:r>
      <w:proofErr w:type="spellEnd"/>
      <w:r w:rsidRPr="001A6A02">
        <w:rPr>
          <w:rFonts w:ascii="Book Antiqua" w:eastAsia="宋体" w:hAnsi="Book Antiqua" w:cs="宋体"/>
          <w:i/>
          <w:iCs/>
          <w:kern w:val="0"/>
          <w:sz w:val="24"/>
          <w:szCs w:val="24"/>
        </w:rPr>
        <w:t xml:space="preserve"> Mon</w:t>
      </w:r>
      <w:r w:rsidRPr="001A6A02">
        <w:rPr>
          <w:rFonts w:ascii="Book Antiqua" w:eastAsia="宋体" w:hAnsi="Book Antiqua" w:cs="宋体"/>
          <w:kern w:val="0"/>
          <w:sz w:val="24"/>
          <w:szCs w:val="24"/>
        </w:rPr>
        <w:t> 2014; </w:t>
      </w:r>
      <w:r w:rsidRPr="001A6A02">
        <w:rPr>
          <w:rFonts w:ascii="Book Antiqua" w:eastAsia="宋体" w:hAnsi="Book Antiqua" w:cs="宋体"/>
          <w:b/>
          <w:bCs/>
          <w:kern w:val="0"/>
          <w:sz w:val="24"/>
          <w:szCs w:val="24"/>
        </w:rPr>
        <w:t>14</w:t>
      </w:r>
      <w:r w:rsidRPr="001A6A02">
        <w:rPr>
          <w:rFonts w:ascii="Book Antiqua" w:eastAsia="宋体" w:hAnsi="Book Antiqua" w:cs="宋体"/>
          <w:kern w:val="0"/>
          <w:sz w:val="24"/>
          <w:szCs w:val="24"/>
        </w:rPr>
        <w:t>: e16632 [PMID: 24734094 DOI: 10.5812/hepatmon.16632]</w:t>
      </w:r>
    </w:p>
    <w:p w14:paraId="5493E3DC"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lastRenderedPageBreak/>
        <w:t>22 </w:t>
      </w:r>
      <w:proofErr w:type="spellStart"/>
      <w:r w:rsidRPr="001A6A02">
        <w:rPr>
          <w:rFonts w:ascii="Book Antiqua" w:eastAsia="宋体" w:hAnsi="Book Antiqua" w:cs="宋体"/>
          <w:b/>
          <w:bCs/>
          <w:kern w:val="0"/>
          <w:sz w:val="24"/>
          <w:szCs w:val="24"/>
        </w:rPr>
        <w:t>Sezaki</w:t>
      </w:r>
      <w:proofErr w:type="spellEnd"/>
      <w:r w:rsidRPr="001A6A02">
        <w:rPr>
          <w:rFonts w:ascii="Book Antiqua" w:eastAsia="宋体" w:hAnsi="Book Antiqua" w:cs="宋体"/>
          <w:b/>
          <w:bCs/>
          <w:kern w:val="0"/>
          <w:sz w:val="24"/>
          <w:szCs w:val="24"/>
        </w:rPr>
        <w:t xml:space="preserve"> H</w:t>
      </w:r>
      <w:r w:rsidRPr="001A6A02">
        <w:rPr>
          <w:rFonts w:ascii="Book Antiqua" w:eastAsia="宋体" w:hAnsi="Book Antiqua" w:cs="宋体"/>
          <w:kern w:val="0"/>
          <w:sz w:val="24"/>
          <w:szCs w:val="24"/>
        </w:rPr>
        <w:t xml:space="preserve">, Suzuki F, </w:t>
      </w:r>
      <w:proofErr w:type="spellStart"/>
      <w:r w:rsidRPr="001A6A02">
        <w:rPr>
          <w:rFonts w:ascii="Book Antiqua" w:eastAsia="宋体" w:hAnsi="Book Antiqua" w:cs="宋体"/>
          <w:kern w:val="0"/>
          <w:sz w:val="24"/>
          <w:szCs w:val="24"/>
        </w:rPr>
        <w:t>Hosaka</w:t>
      </w:r>
      <w:proofErr w:type="spellEnd"/>
      <w:r w:rsidRPr="001A6A02">
        <w:rPr>
          <w:rFonts w:ascii="Book Antiqua" w:eastAsia="宋体" w:hAnsi="Book Antiqua" w:cs="宋体"/>
          <w:kern w:val="0"/>
          <w:sz w:val="24"/>
          <w:szCs w:val="24"/>
        </w:rPr>
        <w:t xml:space="preserve"> T, </w:t>
      </w:r>
      <w:proofErr w:type="spellStart"/>
      <w:r w:rsidRPr="001A6A02">
        <w:rPr>
          <w:rFonts w:ascii="Book Antiqua" w:eastAsia="宋体" w:hAnsi="Book Antiqua" w:cs="宋体"/>
          <w:kern w:val="0"/>
          <w:sz w:val="24"/>
          <w:szCs w:val="24"/>
        </w:rPr>
        <w:t>Akuta</w:t>
      </w:r>
      <w:proofErr w:type="spellEnd"/>
      <w:r w:rsidRPr="001A6A02">
        <w:rPr>
          <w:rFonts w:ascii="Book Antiqua" w:eastAsia="宋体" w:hAnsi="Book Antiqua" w:cs="宋体"/>
          <w:kern w:val="0"/>
          <w:sz w:val="24"/>
          <w:szCs w:val="24"/>
        </w:rPr>
        <w:t xml:space="preserve"> N, Fukushima T, Hara T, Kawamura Y, Kobayashi M, Suzuki Y, </w:t>
      </w:r>
      <w:proofErr w:type="spellStart"/>
      <w:r w:rsidRPr="001A6A02">
        <w:rPr>
          <w:rFonts w:ascii="Book Antiqua" w:eastAsia="宋体" w:hAnsi="Book Antiqua" w:cs="宋体"/>
          <w:kern w:val="0"/>
          <w:sz w:val="24"/>
          <w:szCs w:val="24"/>
        </w:rPr>
        <w:t>Saitoh</w:t>
      </w:r>
      <w:proofErr w:type="spellEnd"/>
      <w:r w:rsidRPr="001A6A02">
        <w:rPr>
          <w:rFonts w:ascii="Book Antiqua" w:eastAsia="宋体" w:hAnsi="Book Antiqua" w:cs="宋体"/>
          <w:kern w:val="0"/>
          <w:sz w:val="24"/>
          <w:szCs w:val="24"/>
        </w:rPr>
        <w:t xml:space="preserve"> S, Arase Y, Ikeda K, </w:t>
      </w:r>
      <w:proofErr w:type="spellStart"/>
      <w:r w:rsidRPr="001A6A02">
        <w:rPr>
          <w:rFonts w:ascii="Book Antiqua" w:eastAsia="宋体" w:hAnsi="Book Antiqua" w:cs="宋体"/>
          <w:kern w:val="0"/>
          <w:sz w:val="24"/>
          <w:szCs w:val="24"/>
        </w:rPr>
        <w:t>Kumada</w:t>
      </w:r>
      <w:proofErr w:type="spellEnd"/>
      <w:r w:rsidRPr="001A6A02">
        <w:rPr>
          <w:rFonts w:ascii="Book Antiqua" w:eastAsia="宋体" w:hAnsi="Book Antiqua" w:cs="宋体"/>
          <w:kern w:val="0"/>
          <w:sz w:val="24"/>
          <w:szCs w:val="24"/>
        </w:rPr>
        <w:t xml:space="preserve"> H. Effectiveness and safety of reduced-dose </w:t>
      </w:r>
      <w:proofErr w:type="spellStart"/>
      <w:r w:rsidRPr="001A6A02">
        <w:rPr>
          <w:rFonts w:ascii="Book Antiqua" w:eastAsia="宋体" w:hAnsi="Book Antiqua" w:cs="宋体"/>
          <w:kern w:val="0"/>
          <w:sz w:val="24"/>
          <w:szCs w:val="24"/>
        </w:rPr>
        <w:t>telaprevir</w:t>
      </w:r>
      <w:proofErr w:type="spellEnd"/>
      <w:r w:rsidRPr="001A6A02">
        <w:rPr>
          <w:rFonts w:ascii="Book Antiqua" w:eastAsia="宋体" w:hAnsi="Book Antiqua" w:cs="宋体"/>
          <w:kern w:val="0"/>
          <w:sz w:val="24"/>
          <w:szCs w:val="24"/>
        </w:rPr>
        <w:t>-based triple therapy in chronic hepatitis C patients. </w:t>
      </w:r>
      <w:proofErr w:type="spellStart"/>
      <w:r w:rsidRPr="001A6A02">
        <w:rPr>
          <w:rFonts w:ascii="Book Antiqua" w:eastAsia="宋体" w:hAnsi="Book Antiqua" w:cs="宋体"/>
          <w:i/>
          <w:iCs/>
          <w:kern w:val="0"/>
          <w:sz w:val="24"/>
          <w:szCs w:val="24"/>
        </w:rPr>
        <w:t>Hepatol</w:t>
      </w:r>
      <w:proofErr w:type="spellEnd"/>
      <w:r w:rsidRPr="001A6A02">
        <w:rPr>
          <w:rFonts w:ascii="Book Antiqua" w:eastAsia="宋体" w:hAnsi="Book Antiqua" w:cs="宋体"/>
          <w:i/>
          <w:iCs/>
          <w:kern w:val="0"/>
          <w:sz w:val="24"/>
          <w:szCs w:val="24"/>
        </w:rPr>
        <w:t xml:space="preserve"> Res</w:t>
      </w:r>
      <w:r w:rsidRPr="001A6A02">
        <w:rPr>
          <w:rFonts w:ascii="Book Antiqua" w:eastAsia="宋体" w:hAnsi="Book Antiqua" w:cs="宋体"/>
          <w:kern w:val="0"/>
          <w:sz w:val="24"/>
          <w:szCs w:val="24"/>
        </w:rPr>
        <w:t> 2014; </w:t>
      </w:r>
      <w:r w:rsidRPr="001A6A02">
        <w:rPr>
          <w:rFonts w:ascii="Book Antiqua" w:eastAsia="宋体" w:hAnsi="Book Antiqua" w:cs="宋体"/>
          <w:b/>
          <w:bCs/>
          <w:kern w:val="0"/>
          <w:sz w:val="24"/>
          <w:szCs w:val="24"/>
        </w:rPr>
        <w:t>44</w:t>
      </w:r>
      <w:r w:rsidRPr="001A6A02">
        <w:rPr>
          <w:rFonts w:ascii="Book Antiqua" w:eastAsia="宋体" w:hAnsi="Book Antiqua" w:cs="宋体"/>
          <w:kern w:val="0"/>
          <w:sz w:val="24"/>
          <w:szCs w:val="24"/>
        </w:rPr>
        <w:t>: E163-E171 [PMID: 24397402 DOI: 10.1111/hepr.12268]</w:t>
      </w:r>
    </w:p>
    <w:p w14:paraId="48995ECA"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23 </w:t>
      </w:r>
      <w:proofErr w:type="spellStart"/>
      <w:r w:rsidRPr="001A6A02">
        <w:rPr>
          <w:rFonts w:ascii="Book Antiqua" w:eastAsia="宋体" w:hAnsi="Book Antiqua" w:cs="宋体"/>
          <w:b/>
          <w:bCs/>
          <w:kern w:val="0"/>
          <w:sz w:val="24"/>
          <w:szCs w:val="24"/>
        </w:rPr>
        <w:t>Akuta</w:t>
      </w:r>
      <w:proofErr w:type="spellEnd"/>
      <w:r w:rsidRPr="001A6A02">
        <w:rPr>
          <w:rFonts w:ascii="Book Antiqua" w:eastAsia="宋体" w:hAnsi="Book Antiqua" w:cs="宋体"/>
          <w:b/>
          <w:bCs/>
          <w:kern w:val="0"/>
          <w:sz w:val="24"/>
          <w:szCs w:val="24"/>
        </w:rPr>
        <w:t xml:space="preserve"> N</w:t>
      </w:r>
      <w:r w:rsidRPr="001A6A02">
        <w:rPr>
          <w:rFonts w:ascii="Book Antiqua" w:eastAsia="宋体" w:hAnsi="Book Antiqua" w:cs="宋体"/>
          <w:kern w:val="0"/>
          <w:sz w:val="24"/>
          <w:szCs w:val="24"/>
        </w:rPr>
        <w:t xml:space="preserve">, Suzuki F, </w:t>
      </w:r>
      <w:proofErr w:type="spellStart"/>
      <w:r w:rsidRPr="001A6A02">
        <w:rPr>
          <w:rFonts w:ascii="Book Antiqua" w:eastAsia="宋体" w:hAnsi="Book Antiqua" w:cs="宋体"/>
          <w:kern w:val="0"/>
          <w:sz w:val="24"/>
          <w:szCs w:val="24"/>
        </w:rPr>
        <w:t>Hirakawa</w:t>
      </w:r>
      <w:proofErr w:type="spellEnd"/>
      <w:r w:rsidRPr="001A6A02">
        <w:rPr>
          <w:rFonts w:ascii="Book Antiqua" w:eastAsia="宋体" w:hAnsi="Book Antiqua" w:cs="宋体"/>
          <w:kern w:val="0"/>
          <w:sz w:val="24"/>
          <w:szCs w:val="24"/>
        </w:rPr>
        <w:t xml:space="preserve"> M, Kawamura Y, </w:t>
      </w:r>
      <w:proofErr w:type="spellStart"/>
      <w:r w:rsidRPr="001A6A02">
        <w:rPr>
          <w:rFonts w:ascii="Book Antiqua" w:eastAsia="宋体" w:hAnsi="Book Antiqua" w:cs="宋体"/>
          <w:kern w:val="0"/>
          <w:sz w:val="24"/>
          <w:szCs w:val="24"/>
        </w:rPr>
        <w:t>Yatsuji</w:t>
      </w:r>
      <w:proofErr w:type="spellEnd"/>
      <w:r w:rsidRPr="001A6A02">
        <w:rPr>
          <w:rFonts w:ascii="Book Antiqua" w:eastAsia="宋体" w:hAnsi="Book Antiqua" w:cs="宋体"/>
          <w:kern w:val="0"/>
          <w:sz w:val="24"/>
          <w:szCs w:val="24"/>
        </w:rPr>
        <w:t xml:space="preserve"> H, </w:t>
      </w:r>
      <w:proofErr w:type="spellStart"/>
      <w:r w:rsidRPr="001A6A02">
        <w:rPr>
          <w:rFonts w:ascii="Book Antiqua" w:eastAsia="宋体" w:hAnsi="Book Antiqua" w:cs="宋体"/>
          <w:kern w:val="0"/>
          <w:sz w:val="24"/>
          <w:szCs w:val="24"/>
        </w:rPr>
        <w:t>Sezaki</w:t>
      </w:r>
      <w:proofErr w:type="spellEnd"/>
      <w:r w:rsidRPr="001A6A02">
        <w:rPr>
          <w:rFonts w:ascii="Book Antiqua" w:eastAsia="宋体" w:hAnsi="Book Antiqua" w:cs="宋体"/>
          <w:kern w:val="0"/>
          <w:sz w:val="24"/>
          <w:szCs w:val="24"/>
        </w:rPr>
        <w:t xml:space="preserve"> H, Suzuki Y, </w:t>
      </w:r>
      <w:proofErr w:type="spellStart"/>
      <w:r w:rsidRPr="001A6A02">
        <w:rPr>
          <w:rFonts w:ascii="Book Antiqua" w:eastAsia="宋体" w:hAnsi="Book Antiqua" w:cs="宋体"/>
          <w:kern w:val="0"/>
          <w:sz w:val="24"/>
          <w:szCs w:val="24"/>
        </w:rPr>
        <w:t>Hosaka</w:t>
      </w:r>
      <w:proofErr w:type="spellEnd"/>
      <w:r w:rsidRPr="001A6A02">
        <w:rPr>
          <w:rFonts w:ascii="Book Antiqua" w:eastAsia="宋体" w:hAnsi="Book Antiqua" w:cs="宋体"/>
          <w:kern w:val="0"/>
          <w:sz w:val="24"/>
          <w:szCs w:val="24"/>
        </w:rPr>
        <w:t xml:space="preserve"> T, Kobayashi M, Kobayashi M, </w:t>
      </w:r>
      <w:proofErr w:type="spellStart"/>
      <w:r w:rsidRPr="001A6A02">
        <w:rPr>
          <w:rFonts w:ascii="Book Antiqua" w:eastAsia="宋体" w:hAnsi="Book Antiqua" w:cs="宋体"/>
          <w:kern w:val="0"/>
          <w:sz w:val="24"/>
          <w:szCs w:val="24"/>
        </w:rPr>
        <w:t>Saitoh</w:t>
      </w:r>
      <w:proofErr w:type="spellEnd"/>
      <w:r w:rsidRPr="001A6A02">
        <w:rPr>
          <w:rFonts w:ascii="Book Antiqua" w:eastAsia="宋体" w:hAnsi="Book Antiqua" w:cs="宋体"/>
          <w:kern w:val="0"/>
          <w:sz w:val="24"/>
          <w:szCs w:val="24"/>
        </w:rPr>
        <w:t xml:space="preserve"> S, Arase Y, Ikeda K, </w:t>
      </w:r>
      <w:proofErr w:type="spellStart"/>
      <w:r w:rsidRPr="001A6A02">
        <w:rPr>
          <w:rFonts w:ascii="Book Antiqua" w:eastAsia="宋体" w:hAnsi="Book Antiqua" w:cs="宋体"/>
          <w:kern w:val="0"/>
          <w:sz w:val="24"/>
          <w:szCs w:val="24"/>
        </w:rPr>
        <w:t>Chayama</w:t>
      </w:r>
      <w:proofErr w:type="spellEnd"/>
      <w:r w:rsidRPr="001A6A02">
        <w:rPr>
          <w:rFonts w:ascii="Book Antiqua" w:eastAsia="宋体" w:hAnsi="Book Antiqua" w:cs="宋体"/>
          <w:kern w:val="0"/>
          <w:sz w:val="24"/>
          <w:szCs w:val="24"/>
        </w:rPr>
        <w:t xml:space="preserve"> K, Nakamura Y, </w:t>
      </w:r>
      <w:proofErr w:type="spellStart"/>
      <w:r w:rsidRPr="001A6A02">
        <w:rPr>
          <w:rFonts w:ascii="Book Antiqua" w:eastAsia="宋体" w:hAnsi="Book Antiqua" w:cs="宋体"/>
          <w:kern w:val="0"/>
          <w:sz w:val="24"/>
          <w:szCs w:val="24"/>
        </w:rPr>
        <w:t>Kumada</w:t>
      </w:r>
      <w:proofErr w:type="spellEnd"/>
      <w:r w:rsidRPr="001A6A02">
        <w:rPr>
          <w:rFonts w:ascii="Book Antiqua" w:eastAsia="宋体" w:hAnsi="Book Antiqua" w:cs="宋体"/>
          <w:kern w:val="0"/>
          <w:sz w:val="24"/>
          <w:szCs w:val="24"/>
        </w:rPr>
        <w:t xml:space="preserve"> H. Amino acid substitution in HCV core region and genetic variation near the IL28B gene affect viral dynamics during </w:t>
      </w:r>
      <w:proofErr w:type="spellStart"/>
      <w:r w:rsidRPr="001A6A02">
        <w:rPr>
          <w:rFonts w:ascii="Book Antiqua" w:eastAsia="宋体" w:hAnsi="Book Antiqua" w:cs="宋体"/>
          <w:kern w:val="0"/>
          <w:sz w:val="24"/>
          <w:szCs w:val="24"/>
        </w:rPr>
        <w:t>telaprevir</w:t>
      </w:r>
      <w:proofErr w:type="spellEnd"/>
      <w:r w:rsidRPr="001A6A02">
        <w:rPr>
          <w:rFonts w:ascii="Book Antiqua" w:eastAsia="宋体" w:hAnsi="Book Antiqua" w:cs="宋体"/>
          <w:kern w:val="0"/>
          <w:sz w:val="24"/>
          <w:szCs w:val="24"/>
        </w:rPr>
        <w:t xml:space="preserve">, </w:t>
      </w:r>
      <w:proofErr w:type="spellStart"/>
      <w:r w:rsidRPr="001A6A02">
        <w:rPr>
          <w:rFonts w:ascii="Book Antiqua" w:eastAsia="宋体" w:hAnsi="Book Antiqua" w:cs="宋体"/>
          <w:kern w:val="0"/>
          <w:sz w:val="24"/>
          <w:szCs w:val="24"/>
        </w:rPr>
        <w:t>peginterferon</w:t>
      </w:r>
      <w:proofErr w:type="spellEnd"/>
      <w:r w:rsidRPr="001A6A02">
        <w:rPr>
          <w:rFonts w:ascii="Book Antiqua" w:eastAsia="宋体" w:hAnsi="Book Antiqua" w:cs="宋体"/>
          <w:kern w:val="0"/>
          <w:sz w:val="24"/>
          <w:szCs w:val="24"/>
        </w:rPr>
        <w:t xml:space="preserve"> and ribavirin treatment. </w:t>
      </w:r>
      <w:proofErr w:type="spellStart"/>
      <w:r w:rsidRPr="001A6A02">
        <w:rPr>
          <w:rFonts w:ascii="Book Antiqua" w:eastAsia="宋体" w:hAnsi="Book Antiqua" w:cs="宋体"/>
          <w:i/>
          <w:iCs/>
          <w:kern w:val="0"/>
          <w:sz w:val="24"/>
          <w:szCs w:val="24"/>
        </w:rPr>
        <w:t>Intervirology</w:t>
      </w:r>
      <w:proofErr w:type="spellEnd"/>
      <w:r w:rsidRPr="001A6A02">
        <w:rPr>
          <w:rFonts w:ascii="Book Antiqua" w:eastAsia="宋体" w:hAnsi="Book Antiqua" w:cs="宋体"/>
          <w:kern w:val="0"/>
          <w:sz w:val="24"/>
          <w:szCs w:val="24"/>
        </w:rPr>
        <w:t> 2012; </w:t>
      </w:r>
      <w:r w:rsidRPr="001A6A02">
        <w:rPr>
          <w:rFonts w:ascii="Book Antiqua" w:eastAsia="宋体" w:hAnsi="Book Antiqua" w:cs="宋体"/>
          <w:b/>
          <w:bCs/>
          <w:kern w:val="0"/>
          <w:sz w:val="24"/>
          <w:szCs w:val="24"/>
        </w:rPr>
        <w:t>55</w:t>
      </w:r>
      <w:r w:rsidRPr="001A6A02">
        <w:rPr>
          <w:rFonts w:ascii="Book Antiqua" w:eastAsia="宋体" w:hAnsi="Book Antiqua" w:cs="宋体"/>
          <w:kern w:val="0"/>
          <w:sz w:val="24"/>
          <w:szCs w:val="24"/>
        </w:rPr>
        <w:t>: 417-425 [PMID: 21325786 DOI: 000323526]</w:t>
      </w:r>
    </w:p>
    <w:p w14:paraId="3ED64C7E"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24 </w:t>
      </w:r>
      <w:r w:rsidRPr="001A6A02">
        <w:rPr>
          <w:rFonts w:ascii="Book Antiqua" w:eastAsia="宋体" w:hAnsi="Book Antiqua" w:cs="宋体"/>
          <w:b/>
          <w:bCs/>
          <w:kern w:val="0"/>
          <w:sz w:val="24"/>
          <w:szCs w:val="24"/>
        </w:rPr>
        <w:t>Reddy KR</w:t>
      </w:r>
      <w:r w:rsidRPr="001A6A02">
        <w:rPr>
          <w:rFonts w:ascii="Book Antiqua" w:eastAsia="宋体" w:hAnsi="Book Antiqua" w:cs="宋体"/>
          <w:kern w:val="0"/>
          <w:sz w:val="24"/>
          <w:szCs w:val="24"/>
        </w:rPr>
        <w:t xml:space="preserve">, </w:t>
      </w:r>
      <w:proofErr w:type="spellStart"/>
      <w:r w:rsidRPr="001A6A02">
        <w:rPr>
          <w:rFonts w:ascii="Book Antiqua" w:eastAsia="宋体" w:hAnsi="Book Antiqua" w:cs="宋体"/>
          <w:kern w:val="0"/>
          <w:sz w:val="24"/>
          <w:szCs w:val="24"/>
        </w:rPr>
        <w:t>Zeuzem</w:t>
      </w:r>
      <w:proofErr w:type="spellEnd"/>
      <w:r w:rsidRPr="001A6A02">
        <w:rPr>
          <w:rFonts w:ascii="Book Antiqua" w:eastAsia="宋体" w:hAnsi="Book Antiqua" w:cs="宋体"/>
          <w:kern w:val="0"/>
          <w:sz w:val="24"/>
          <w:szCs w:val="24"/>
        </w:rPr>
        <w:t xml:space="preserve"> S, </w:t>
      </w:r>
      <w:proofErr w:type="spellStart"/>
      <w:r w:rsidRPr="001A6A02">
        <w:rPr>
          <w:rFonts w:ascii="Book Antiqua" w:eastAsia="宋体" w:hAnsi="Book Antiqua" w:cs="宋体"/>
          <w:kern w:val="0"/>
          <w:sz w:val="24"/>
          <w:szCs w:val="24"/>
        </w:rPr>
        <w:t>Zoulim</w:t>
      </w:r>
      <w:proofErr w:type="spellEnd"/>
      <w:r w:rsidRPr="001A6A02">
        <w:rPr>
          <w:rFonts w:ascii="Book Antiqua" w:eastAsia="宋体" w:hAnsi="Book Antiqua" w:cs="宋体"/>
          <w:kern w:val="0"/>
          <w:sz w:val="24"/>
          <w:szCs w:val="24"/>
        </w:rPr>
        <w:t xml:space="preserve"> F, Weiland O, </w:t>
      </w:r>
      <w:proofErr w:type="spellStart"/>
      <w:r w:rsidRPr="001A6A02">
        <w:rPr>
          <w:rFonts w:ascii="Book Antiqua" w:eastAsia="宋体" w:hAnsi="Book Antiqua" w:cs="宋体"/>
          <w:kern w:val="0"/>
          <w:sz w:val="24"/>
          <w:szCs w:val="24"/>
        </w:rPr>
        <w:t>Horban</w:t>
      </w:r>
      <w:proofErr w:type="spellEnd"/>
      <w:r w:rsidRPr="001A6A02">
        <w:rPr>
          <w:rFonts w:ascii="Book Antiqua" w:eastAsia="宋体" w:hAnsi="Book Antiqua" w:cs="宋体"/>
          <w:kern w:val="0"/>
          <w:sz w:val="24"/>
          <w:szCs w:val="24"/>
        </w:rPr>
        <w:t xml:space="preserve"> A, </w:t>
      </w:r>
      <w:proofErr w:type="spellStart"/>
      <w:r w:rsidRPr="001A6A02">
        <w:rPr>
          <w:rFonts w:ascii="Book Antiqua" w:eastAsia="宋体" w:hAnsi="Book Antiqua" w:cs="宋体"/>
          <w:kern w:val="0"/>
          <w:sz w:val="24"/>
          <w:szCs w:val="24"/>
        </w:rPr>
        <w:t>Stanciu</w:t>
      </w:r>
      <w:proofErr w:type="spellEnd"/>
      <w:r w:rsidRPr="001A6A02">
        <w:rPr>
          <w:rFonts w:ascii="Book Antiqua" w:eastAsia="宋体" w:hAnsi="Book Antiqua" w:cs="宋体"/>
          <w:kern w:val="0"/>
          <w:sz w:val="24"/>
          <w:szCs w:val="24"/>
        </w:rPr>
        <w:t xml:space="preserve"> C, </w:t>
      </w:r>
      <w:proofErr w:type="spellStart"/>
      <w:r w:rsidRPr="001A6A02">
        <w:rPr>
          <w:rFonts w:ascii="Book Antiqua" w:eastAsia="宋体" w:hAnsi="Book Antiqua" w:cs="宋体"/>
          <w:kern w:val="0"/>
          <w:sz w:val="24"/>
          <w:szCs w:val="24"/>
        </w:rPr>
        <w:t>Villamil</w:t>
      </w:r>
      <w:proofErr w:type="spellEnd"/>
      <w:r w:rsidRPr="001A6A02">
        <w:rPr>
          <w:rFonts w:ascii="Book Antiqua" w:eastAsia="宋体" w:hAnsi="Book Antiqua" w:cs="宋体"/>
          <w:kern w:val="0"/>
          <w:sz w:val="24"/>
          <w:szCs w:val="24"/>
        </w:rPr>
        <w:t xml:space="preserve"> FG, </w:t>
      </w:r>
      <w:proofErr w:type="spellStart"/>
      <w:r w:rsidRPr="001A6A02">
        <w:rPr>
          <w:rFonts w:ascii="Book Antiqua" w:eastAsia="宋体" w:hAnsi="Book Antiqua" w:cs="宋体"/>
          <w:kern w:val="0"/>
          <w:sz w:val="24"/>
          <w:szCs w:val="24"/>
        </w:rPr>
        <w:t>Andreone</w:t>
      </w:r>
      <w:proofErr w:type="spellEnd"/>
      <w:r w:rsidRPr="001A6A02">
        <w:rPr>
          <w:rFonts w:ascii="Book Antiqua" w:eastAsia="宋体" w:hAnsi="Book Antiqua" w:cs="宋体"/>
          <w:kern w:val="0"/>
          <w:sz w:val="24"/>
          <w:szCs w:val="24"/>
        </w:rPr>
        <w:t xml:space="preserve"> P, George J, </w:t>
      </w:r>
      <w:proofErr w:type="spellStart"/>
      <w:r w:rsidRPr="001A6A02">
        <w:rPr>
          <w:rFonts w:ascii="Book Antiqua" w:eastAsia="宋体" w:hAnsi="Book Antiqua" w:cs="宋体"/>
          <w:kern w:val="0"/>
          <w:sz w:val="24"/>
          <w:szCs w:val="24"/>
        </w:rPr>
        <w:t>Dammers</w:t>
      </w:r>
      <w:proofErr w:type="spellEnd"/>
      <w:r w:rsidRPr="001A6A02">
        <w:rPr>
          <w:rFonts w:ascii="Book Antiqua" w:eastAsia="宋体" w:hAnsi="Book Antiqua" w:cs="宋体"/>
          <w:kern w:val="0"/>
          <w:sz w:val="24"/>
          <w:szCs w:val="24"/>
        </w:rPr>
        <w:t xml:space="preserve"> E, Fu M, Kurland D, Lenz O, </w:t>
      </w:r>
      <w:proofErr w:type="spellStart"/>
      <w:r w:rsidRPr="001A6A02">
        <w:rPr>
          <w:rFonts w:ascii="Book Antiqua" w:eastAsia="宋体" w:hAnsi="Book Antiqua" w:cs="宋体"/>
          <w:kern w:val="0"/>
          <w:sz w:val="24"/>
          <w:szCs w:val="24"/>
        </w:rPr>
        <w:t>Ouwerkerk-Mahadevan</w:t>
      </w:r>
      <w:proofErr w:type="spellEnd"/>
      <w:r w:rsidRPr="001A6A02">
        <w:rPr>
          <w:rFonts w:ascii="Book Antiqua" w:eastAsia="宋体" w:hAnsi="Book Antiqua" w:cs="宋体"/>
          <w:kern w:val="0"/>
          <w:sz w:val="24"/>
          <w:szCs w:val="24"/>
        </w:rPr>
        <w:t xml:space="preserve"> S, </w:t>
      </w:r>
      <w:proofErr w:type="spellStart"/>
      <w:r w:rsidRPr="001A6A02">
        <w:rPr>
          <w:rFonts w:ascii="Book Antiqua" w:eastAsia="宋体" w:hAnsi="Book Antiqua" w:cs="宋体"/>
          <w:kern w:val="0"/>
          <w:sz w:val="24"/>
          <w:szCs w:val="24"/>
        </w:rPr>
        <w:t>Verbinnen</w:t>
      </w:r>
      <w:proofErr w:type="spellEnd"/>
      <w:r w:rsidRPr="001A6A02">
        <w:rPr>
          <w:rFonts w:ascii="Book Antiqua" w:eastAsia="宋体" w:hAnsi="Book Antiqua" w:cs="宋体"/>
          <w:kern w:val="0"/>
          <w:sz w:val="24"/>
          <w:szCs w:val="24"/>
        </w:rPr>
        <w:t xml:space="preserve"> T, Scott J, </w:t>
      </w:r>
      <w:proofErr w:type="spellStart"/>
      <w:r w:rsidRPr="001A6A02">
        <w:rPr>
          <w:rFonts w:ascii="Book Antiqua" w:eastAsia="宋体" w:hAnsi="Book Antiqua" w:cs="宋体"/>
          <w:kern w:val="0"/>
          <w:sz w:val="24"/>
          <w:szCs w:val="24"/>
        </w:rPr>
        <w:t>Jessner</w:t>
      </w:r>
      <w:proofErr w:type="spellEnd"/>
      <w:r w:rsidRPr="001A6A02">
        <w:rPr>
          <w:rFonts w:ascii="Book Antiqua" w:eastAsia="宋体" w:hAnsi="Book Antiqua" w:cs="宋体"/>
          <w:kern w:val="0"/>
          <w:sz w:val="24"/>
          <w:szCs w:val="24"/>
        </w:rPr>
        <w:t xml:space="preserve"> W. </w:t>
      </w:r>
      <w:proofErr w:type="spellStart"/>
      <w:r w:rsidRPr="001A6A02">
        <w:rPr>
          <w:rFonts w:ascii="Book Antiqua" w:eastAsia="宋体" w:hAnsi="Book Antiqua" w:cs="宋体"/>
          <w:kern w:val="0"/>
          <w:sz w:val="24"/>
          <w:szCs w:val="24"/>
        </w:rPr>
        <w:t>Simeprevir</w:t>
      </w:r>
      <w:proofErr w:type="spellEnd"/>
      <w:r w:rsidRPr="001A6A02">
        <w:rPr>
          <w:rFonts w:ascii="Book Antiqua" w:eastAsia="宋体" w:hAnsi="Book Antiqua" w:cs="宋体"/>
          <w:kern w:val="0"/>
          <w:sz w:val="24"/>
          <w:szCs w:val="24"/>
        </w:rPr>
        <w:t xml:space="preserve"> versus </w:t>
      </w:r>
      <w:proofErr w:type="spellStart"/>
      <w:r w:rsidRPr="001A6A02">
        <w:rPr>
          <w:rFonts w:ascii="Book Antiqua" w:eastAsia="宋体" w:hAnsi="Book Antiqua" w:cs="宋体"/>
          <w:kern w:val="0"/>
          <w:sz w:val="24"/>
          <w:szCs w:val="24"/>
        </w:rPr>
        <w:t>telaprevir</w:t>
      </w:r>
      <w:proofErr w:type="spellEnd"/>
      <w:r w:rsidRPr="001A6A02">
        <w:rPr>
          <w:rFonts w:ascii="Book Antiqua" w:eastAsia="宋体" w:hAnsi="Book Antiqua" w:cs="宋体"/>
          <w:kern w:val="0"/>
          <w:sz w:val="24"/>
          <w:szCs w:val="24"/>
        </w:rPr>
        <w:t xml:space="preserve"> with </w:t>
      </w:r>
      <w:proofErr w:type="spellStart"/>
      <w:r w:rsidRPr="001A6A02">
        <w:rPr>
          <w:rFonts w:ascii="Book Antiqua" w:eastAsia="宋体" w:hAnsi="Book Antiqua" w:cs="宋体"/>
          <w:kern w:val="0"/>
          <w:sz w:val="24"/>
          <w:szCs w:val="24"/>
        </w:rPr>
        <w:t>peginterferon</w:t>
      </w:r>
      <w:proofErr w:type="spellEnd"/>
      <w:r w:rsidRPr="001A6A02">
        <w:rPr>
          <w:rFonts w:ascii="Book Antiqua" w:eastAsia="宋体" w:hAnsi="Book Antiqua" w:cs="宋体"/>
          <w:kern w:val="0"/>
          <w:sz w:val="24"/>
          <w:szCs w:val="24"/>
        </w:rPr>
        <w:t xml:space="preserve"> and ribavirin in previous null or partial responders with chronic hepatitis C virus genotype 1 infection (ATTAIN): a </w:t>
      </w:r>
      <w:proofErr w:type="spellStart"/>
      <w:r w:rsidRPr="001A6A02">
        <w:rPr>
          <w:rFonts w:ascii="Book Antiqua" w:eastAsia="宋体" w:hAnsi="Book Antiqua" w:cs="宋体"/>
          <w:kern w:val="0"/>
          <w:sz w:val="24"/>
          <w:szCs w:val="24"/>
        </w:rPr>
        <w:t>randomised</w:t>
      </w:r>
      <w:proofErr w:type="spellEnd"/>
      <w:r w:rsidRPr="001A6A02">
        <w:rPr>
          <w:rFonts w:ascii="Book Antiqua" w:eastAsia="宋体" w:hAnsi="Book Antiqua" w:cs="宋体"/>
          <w:kern w:val="0"/>
          <w:sz w:val="24"/>
          <w:szCs w:val="24"/>
        </w:rPr>
        <w:t>, double-blind, non-inferiority phase 3 trial. </w:t>
      </w:r>
      <w:r w:rsidRPr="001A6A02">
        <w:rPr>
          <w:rFonts w:ascii="Book Antiqua" w:eastAsia="宋体" w:hAnsi="Book Antiqua" w:cs="宋体"/>
          <w:i/>
          <w:iCs/>
          <w:kern w:val="0"/>
          <w:sz w:val="24"/>
          <w:szCs w:val="24"/>
        </w:rPr>
        <w:t>Lancet Infect Dis</w:t>
      </w:r>
      <w:r w:rsidRPr="001A6A02">
        <w:rPr>
          <w:rFonts w:ascii="Book Antiqua" w:eastAsia="宋体" w:hAnsi="Book Antiqua" w:cs="宋体"/>
          <w:kern w:val="0"/>
          <w:sz w:val="24"/>
          <w:szCs w:val="24"/>
        </w:rPr>
        <w:t> 2015; </w:t>
      </w:r>
      <w:r w:rsidRPr="001A6A02">
        <w:rPr>
          <w:rFonts w:ascii="Book Antiqua" w:eastAsia="宋体" w:hAnsi="Book Antiqua" w:cs="宋体"/>
          <w:b/>
          <w:bCs/>
          <w:kern w:val="0"/>
          <w:sz w:val="24"/>
          <w:szCs w:val="24"/>
        </w:rPr>
        <w:t>15</w:t>
      </w:r>
      <w:r w:rsidRPr="001A6A02">
        <w:rPr>
          <w:rFonts w:ascii="Book Antiqua" w:eastAsia="宋体" w:hAnsi="Book Antiqua" w:cs="宋体"/>
          <w:kern w:val="0"/>
          <w:sz w:val="24"/>
          <w:szCs w:val="24"/>
        </w:rPr>
        <w:t>: 27-35 [PMID: 25482330 DOI: S1473-3099(14)71002-3]</w:t>
      </w:r>
    </w:p>
    <w:p w14:paraId="3E4140D6"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25 </w:t>
      </w:r>
      <w:proofErr w:type="spellStart"/>
      <w:r w:rsidRPr="001A6A02">
        <w:rPr>
          <w:rFonts w:ascii="Book Antiqua" w:eastAsia="宋体" w:hAnsi="Book Antiqua" w:cs="宋体"/>
          <w:b/>
          <w:bCs/>
          <w:kern w:val="0"/>
          <w:sz w:val="24"/>
          <w:szCs w:val="24"/>
        </w:rPr>
        <w:t>Enomoto</w:t>
      </w:r>
      <w:proofErr w:type="spellEnd"/>
      <w:r w:rsidRPr="001A6A02">
        <w:rPr>
          <w:rFonts w:ascii="Book Antiqua" w:eastAsia="宋体" w:hAnsi="Book Antiqua" w:cs="宋体"/>
          <w:b/>
          <w:bCs/>
          <w:kern w:val="0"/>
          <w:sz w:val="24"/>
          <w:szCs w:val="24"/>
        </w:rPr>
        <w:t xml:space="preserve"> N</w:t>
      </w:r>
      <w:r w:rsidRPr="001A6A02">
        <w:rPr>
          <w:rFonts w:ascii="Book Antiqua" w:eastAsia="宋体" w:hAnsi="Book Antiqua" w:cs="宋体"/>
          <w:kern w:val="0"/>
          <w:sz w:val="24"/>
          <w:szCs w:val="24"/>
        </w:rPr>
        <w:t xml:space="preserve">, Sakuma I, </w:t>
      </w:r>
      <w:proofErr w:type="spellStart"/>
      <w:r w:rsidRPr="001A6A02">
        <w:rPr>
          <w:rFonts w:ascii="Book Antiqua" w:eastAsia="宋体" w:hAnsi="Book Antiqua" w:cs="宋体"/>
          <w:kern w:val="0"/>
          <w:sz w:val="24"/>
          <w:szCs w:val="24"/>
        </w:rPr>
        <w:t>Asahina</w:t>
      </w:r>
      <w:proofErr w:type="spellEnd"/>
      <w:r w:rsidRPr="001A6A02">
        <w:rPr>
          <w:rFonts w:ascii="Book Antiqua" w:eastAsia="宋体" w:hAnsi="Book Antiqua" w:cs="宋体"/>
          <w:kern w:val="0"/>
          <w:sz w:val="24"/>
          <w:szCs w:val="24"/>
        </w:rPr>
        <w:t xml:space="preserve"> Y, Kurosaki M, Murakami T, Yamamoto C, Ogura Y, Izumi N, </w:t>
      </w:r>
      <w:proofErr w:type="spellStart"/>
      <w:r w:rsidRPr="001A6A02">
        <w:rPr>
          <w:rFonts w:ascii="Book Antiqua" w:eastAsia="宋体" w:hAnsi="Book Antiqua" w:cs="宋体"/>
          <w:kern w:val="0"/>
          <w:sz w:val="24"/>
          <w:szCs w:val="24"/>
        </w:rPr>
        <w:t>Marumo</w:t>
      </w:r>
      <w:proofErr w:type="spellEnd"/>
      <w:r w:rsidRPr="001A6A02">
        <w:rPr>
          <w:rFonts w:ascii="Book Antiqua" w:eastAsia="宋体" w:hAnsi="Book Antiqua" w:cs="宋体"/>
          <w:kern w:val="0"/>
          <w:sz w:val="24"/>
          <w:szCs w:val="24"/>
        </w:rPr>
        <w:t xml:space="preserve"> F, Sato C. Mutations in the nonstructural protein 5A gene and response to interferon in patients with chronic hepatitis C virus 1b infection. </w:t>
      </w:r>
      <w:r w:rsidRPr="001A6A02">
        <w:rPr>
          <w:rFonts w:ascii="Book Antiqua" w:eastAsia="宋体" w:hAnsi="Book Antiqua" w:cs="宋体"/>
          <w:i/>
          <w:iCs/>
          <w:kern w:val="0"/>
          <w:sz w:val="24"/>
          <w:szCs w:val="24"/>
        </w:rPr>
        <w:t xml:space="preserve">N </w:t>
      </w:r>
      <w:proofErr w:type="spellStart"/>
      <w:r w:rsidRPr="001A6A02">
        <w:rPr>
          <w:rFonts w:ascii="Book Antiqua" w:eastAsia="宋体" w:hAnsi="Book Antiqua" w:cs="宋体"/>
          <w:i/>
          <w:iCs/>
          <w:kern w:val="0"/>
          <w:sz w:val="24"/>
          <w:szCs w:val="24"/>
        </w:rPr>
        <w:t>Engl</w:t>
      </w:r>
      <w:proofErr w:type="spellEnd"/>
      <w:r w:rsidRPr="001A6A02">
        <w:rPr>
          <w:rFonts w:ascii="Book Antiqua" w:eastAsia="宋体" w:hAnsi="Book Antiqua" w:cs="宋体"/>
          <w:i/>
          <w:iCs/>
          <w:kern w:val="0"/>
          <w:sz w:val="24"/>
          <w:szCs w:val="24"/>
        </w:rPr>
        <w:t xml:space="preserve"> J Med</w:t>
      </w:r>
      <w:r w:rsidRPr="001A6A02">
        <w:rPr>
          <w:rFonts w:ascii="Book Antiqua" w:eastAsia="宋体" w:hAnsi="Book Antiqua" w:cs="宋体"/>
          <w:kern w:val="0"/>
          <w:sz w:val="24"/>
          <w:szCs w:val="24"/>
        </w:rPr>
        <w:t> 1996; </w:t>
      </w:r>
      <w:r w:rsidRPr="001A6A02">
        <w:rPr>
          <w:rFonts w:ascii="Book Antiqua" w:eastAsia="宋体" w:hAnsi="Book Antiqua" w:cs="宋体"/>
          <w:b/>
          <w:bCs/>
          <w:kern w:val="0"/>
          <w:sz w:val="24"/>
          <w:szCs w:val="24"/>
        </w:rPr>
        <w:t>334</w:t>
      </w:r>
      <w:r w:rsidRPr="001A6A02">
        <w:rPr>
          <w:rFonts w:ascii="Book Antiqua" w:eastAsia="宋体" w:hAnsi="Book Antiqua" w:cs="宋体"/>
          <w:kern w:val="0"/>
          <w:sz w:val="24"/>
          <w:szCs w:val="24"/>
        </w:rPr>
        <w:t>: 77-81 [PMID: 8531962 DOI: 10.1056/NEJM199601113340203]</w:t>
      </w:r>
    </w:p>
    <w:p w14:paraId="68611B05"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lastRenderedPageBreak/>
        <w:t>26 </w:t>
      </w:r>
      <w:r w:rsidRPr="001A6A02">
        <w:rPr>
          <w:rFonts w:ascii="Book Antiqua" w:eastAsia="宋体" w:hAnsi="Book Antiqua" w:cs="宋体"/>
          <w:b/>
          <w:bCs/>
          <w:kern w:val="0"/>
          <w:sz w:val="24"/>
          <w:szCs w:val="24"/>
        </w:rPr>
        <w:t>El-</w:t>
      </w:r>
      <w:proofErr w:type="spellStart"/>
      <w:r w:rsidRPr="001A6A02">
        <w:rPr>
          <w:rFonts w:ascii="Book Antiqua" w:eastAsia="宋体" w:hAnsi="Book Antiqua" w:cs="宋体"/>
          <w:b/>
          <w:bCs/>
          <w:kern w:val="0"/>
          <w:sz w:val="24"/>
          <w:szCs w:val="24"/>
        </w:rPr>
        <w:t>Shamy</w:t>
      </w:r>
      <w:proofErr w:type="spellEnd"/>
      <w:r w:rsidRPr="001A6A02">
        <w:rPr>
          <w:rFonts w:ascii="Book Antiqua" w:eastAsia="宋体" w:hAnsi="Book Antiqua" w:cs="宋体"/>
          <w:b/>
          <w:bCs/>
          <w:kern w:val="0"/>
          <w:sz w:val="24"/>
          <w:szCs w:val="24"/>
        </w:rPr>
        <w:t xml:space="preserve"> A</w:t>
      </w:r>
      <w:r w:rsidRPr="001A6A02">
        <w:rPr>
          <w:rFonts w:ascii="Book Antiqua" w:eastAsia="宋体" w:hAnsi="Book Antiqua" w:cs="宋体"/>
          <w:kern w:val="0"/>
          <w:sz w:val="24"/>
          <w:szCs w:val="24"/>
        </w:rPr>
        <w:t>, Nagano-</w:t>
      </w:r>
      <w:proofErr w:type="spellStart"/>
      <w:r w:rsidRPr="001A6A02">
        <w:rPr>
          <w:rFonts w:ascii="Book Antiqua" w:eastAsia="宋体" w:hAnsi="Book Antiqua" w:cs="宋体"/>
          <w:kern w:val="0"/>
          <w:sz w:val="24"/>
          <w:szCs w:val="24"/>
        </w:rPr>
        <w:t>Fujii</w:t>
      </w:r>
      <w:proofErr w:type="spellEnd"/>
      <w:r w:rsidRPr="001A6A02">
        <w:rPr>
          <w:rFonts w:ascii="Book Antiqua" w:eastAsia="宋体" w:hAnsi="Book Antiqua" w:cs="宋体"/>
          <w:kern w:val="0"/>
          <w:sz w:val="24"/>
          <w:szCs w:val="24"/>
        </w:rPr>
        <w:t xml:space="preserve"> M, Sasase N, </w:t>
      </w:r>
      <w:proofErr w:type="spellStart"/>
      <w:r w:rsidRPr="001A6A02">
        <w:rPr>
          <w:rFonts w:ascii="Book Antiqua" w:eastAsia="宋体" w:hAnsi="Book Antiqua" w:cs="宋体"/>
          <w:kern w:val="0"/>
          <w:sz w:val="24"/>
          <w:szCs w:val="24"/>
        </w:rPr>
        <w:t>Imoto</w:t>
      </w:r>
      <w:proofErr w:type="spellEnd"/>
      <w:r w:rsidRPr="001A6A02">
        <w:rPr>
          <w:rFonts w:ascii="Book Antiqua" w:eastAsia="宋体" w:hAnsi="Book Antiqua" w:cs="宋体"/>
          <w:kern w:val="0"/>
          <w:sz w:val="24"/>
          <w:szCs w:val="24"/>
        </w:rPr>
        <w:t xml:space="preserve"> S, Kim SR, </w:t>
      </w:r>
      <w:proofErr w:type="spellStart"/>
      <w:r w:rsidRPr="001A6A02">
        <w:rPr>
          <w:rFonts w:ascii="Book Antiqua" w:eastAsia="宋体" w:hAnsi="Book Antiqua" w:cs="宋体"/>
          <w:kern w:val="0"/>
          <w:sz w:val="24"/>
          <w:szCs w:val="24"/>
        </w:rPr>
        <w:t>Hotta</w:t>
      </w:r>
      <w:proofErr w:type="spellEnd"/>
      <w:r w:rsidRPr="001A6A02">
        <w:rPr>
          <w:rFonts w:ascii="Book Antiqua" w:eastAsia="宋体" w:hAnsi="Book Antiqua" w:cs="宋体"/>
          <w:kern w:val="0"/>
          <w:sz w:val="24"/>
          <w:szCs w:val="24"/>
        </w:rPr>
        <w:t xml:space="preserve"> H. Sequence variation in hepatitis C virus nonstructural protein 5A predicts clinical outcome of </w:t>
      </w:r>
      <w:proofErr w:type="spellStart"/>
      <w:r w:rsidRPr="001A6A02">
        <w:rPr>
          <w:rFonts w:ascii="Book Antiqua" w:eastAsia="宋体" w:hAnsi="Book Antiqua" w:cs="宋体"/>
          <w:kern w:val="0"/>
          <w:sz w:val="24"/>
          <w:szCs w:val="24"/>
        </w:rPr>
        <w:t>pegylated</w:t>
      </w:r>
      <w:proofErr w:type="spellEnd"/>
      <w:r w:rsidRPr="001A6A02">
        <w:rPr>
          <w:rFonts w:ascii="Book Antiqua" w:eastAsia="宋体" w:hAnsi="Book Antiqua" w:cs="宋体"/>
          <w:kern w:val="0"/>
          <w:sz w:val="24"/>
          <w:szCs w:val="24"/>
        </w:rPr>
        <w:t xml:space="preserve"> interferon/ribavirin combination therapy. </w:t>
      </w:r>
      <w:r w:rsidRPr="001A6A02">
        <w:rPr>
          <w:rFonts w:ascii="Book Antiqua" w:eastAsia="宋体" w:hAnsi="Book Antiqua" w:cs="宋体"/>
          <w:i/>
          <w:iCs/>
          <w:kern w:val="0"/>
          <w:sz w:val="24"/>
          <w:szCs w:val="24"/>
        </w:rPr>
        <w:t>Hepatology</w:t>
      </w:r>
      <w:r w:rsidRPr="001A6A02">
        <w:rPr>
          <w:rFonts w:ascii="Book Antiqua" w:eastAsia="宋体" w:hAnsi="Book Antiqua" w:cs="宋体"/>
          <w:kern w:val="0"/>
          <w:sz w:val="24"/>
          <w:szCs w:val="24"/>
        </w:rPr>
        <w:t> 2008; </w:t>
      </w:r>
      <w:r w:rsidRPr="001A6A02">
        <w:rPr>
          <w:rFonts w:ascii="Book Antiqua" w:eastAsia="宋体" w:hAnsi="Book Antiqua" w:cs="宋体"/>
          <w:b/>
          <w:bCs/>
          <w:kern w:val="0"/>
          <w:sz w:val="24"/>
          <w:szCs w:val="24"/>
        </w:rPr>
        <w:t>48</w:t>
      </w:r>
      <w:r w:rsidRPr="001A6A02">
        <w:rPr>
          <w:rFonts w:ascii="Book Antiqua" w:eastAsia="宋体" w:hAnsi="Book Antiqua" w:cs="宋体"/>
          <w:kern w:val="0"/>
          <w:sz w:val="24"/>
          <w:szCs w:val="24"/>
        </w:rPr>
        <w:t>: 38-47 [PMID: 18537193 DOI: 10.1002/hep.22339]</w:t>
      </w:r>
    </w:p>
    <w:p w14:paraId="70568161"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27 </w:t>
      </w:r>
      <w:r w:rsidRPr="001A6A02">
        <w:rPr>
          <w:rFonts w:ascii="Book Antiqua" w:eastAsia="宋体" w:hAnsi="Book Antiqua" w:cs="宋体"/>
          <w:b/>
          <w:bCs/>
          <w:kern w:val="0"/>
          <w:sz w:val="24"/>
          <w:szCs w:val="24"/>
        </w:rPr>
        <w:t>Lin C</w:t>
      </w:r>
      <w:r w:rsidRPr="001A6A02">
        <w:rPr>
          <w:rFonts w:ascii="Book Antiqua" w:eastAsia="宋体" w:hAnsi="Book Antiqua" w:cs="宋体"/>
          <w:kern w:val="0"/>
          <w:sz w:val="24"/>
          <w:szCs w:val="24"/>
        </w:rPr>
        <w:t xml:space="preserve">, Gates CA, Rao BG, Brennan DL, </w:t>
      </w:r>
      <w:proofErr w:type="spellStart"/>
      <w:r w:rsidRPr="001A6A02">
        <w:rPr>
          <w:rFonts w:ascii="Book Antiqua" w:eastAsia="宋体" w:hAnsi="Book Antiqua" w:cs="宋体"/>
          <w:kern w:val="0"/>
          <w:sz w:val="24"/>
          <w:szCs w:val="24"/>
        </w:rPr>
        <w:t>Fulghum</w:t>
      </w:r>
      <w:proofErr w:type="spellEnd"/>
      <w:r w:rsidRPr="001A6A02">
        <w:rPr>
          <w:rFonts w:ascii="Book Antiqua" w:eastAsia="宋体" w:hAnsi="Book Antiqua" w:cs="宋体"/>
          <w:kern w:val="0"/>
          <w:sz w:val="24"/>
          <w:szCs w:val="24"/>
        </w:rPr>
        <w:t xml:space="preserve"> JR, Luong YP, Frantz JD, Lin K, Ma S, Wei YY, </w:t>
      </w:r>
      <w:proofErr w:type="spellStart"/>
      <w:r w:rsidRPr="001A6A02">
        <w:rPr>
          <w:rFonts w:ascii="Book Antiqua" w:eastAsia="宋体" w:hAnsi="Book Antiqua" w:cs="宋体"/>
          <w:kern w:val="0"/>
          <w:sz w:val="24"/>
          <w:szCs w:val="24"/>
        </w:rPr>
        <w:t>Perni</w:t>
      </w:r>
      <w:proofErr w:type="spellEnd"/>
      <w:r w:rsidRPr="001A6A02">
        <w:rPr>
          <w:rFonts w:ascii="Book Antiqua" w:eastAsia="宋体" w:hAnsi="Book Antiqua" w:cs="宋体"/>
          <w:kern w:val="0"/>
          <w:sz w:val="24"/>
          <w:szCs w:val="24"/>
        </w:rPr>
        <w:t xml:space="preserve"> RB, </w:t>
      </w:r>
      <w:proofErr w:type="spellStart"/>
      <w:r w:rsidRPr="001A6A02">
        <w:rPr>
          <w:rFonts w:ascii="Book Antiqua" w:eastAsia="宋体" w:hAnsi="Book Antiqua" w:cs="宋体"/>
          <w:kern w:val="0"/>
          <w:sz w:val="24"/>
          <w:szCs w:val="24"/>
        </w:rPr>
        <w:t>Kwong</w:t>
      </w:r>
      <w:proofErr w:type="spellEnd"/>
      <w:r w:rsidRPr="001A6A02">
        <w:rPr>
          <w:rFonts w:ascii="Book Antiqua" w:eastAsia="宋体" w:hAnsi="Book Antiqua" w:cs="宋体"/>
          <w:kern w:val="0"/>
          <w:sz w:val="24"/>
          <w:szCs w:val="24"/>
        </w:rPr>
        <w:t xml:space="preserve"> AD. </w:t>
      </w:r>
      <w:proofErr w:type="gramStart"/>
      <w:r w:rsidRPr="001A6A02">
        <w:rPr>
          <w:rFonts w:ascii="Book Antiqua" w:eastAsia="宋体" w:hAnsi="Book Antiqua" w:cs="宋体"/>
          <w:kern w:val="0"/>
          <w:sz w:val="24"/>
          <w:szCs w:val="24"/>
        </w:rPr>
        <w:t>In vitro studies of cross-resistance mutations against two hepatitis C virus serine protease inhibitors, VX-950 and BILN 2061.</w:t>
      </w:r>
      <w:proofErr w:type="gramEnd"/>
      <w:r w:rsidRPr="001A6A02">
        <w:rPr>
          <w:rFonts w:ascii="Book Antiqua" w:eastAsia="宋体" w:hAnsi="Book Antiqua" w:cs="宋体"/>
          <w:kern w:val="0"/>
          <w:sz w:val="24"/>
          <w:szCs w:val="24"/>
        </w:rPr>
        <w:t> </w:t>
      </w:r>
      <w:r w:rsidRPr="001A6A02">
        <w:rPr>
          <w:rFonts w:ascii="Book Antiqua" w:eastAsia="宋体" w:hAnsi="Book Antiqua" w:cs="宋体"/>
          <w:i/>
          <w:iCs/>
          <w:kern w:val="0"/>
          <w:sz w:val="24"/>
          <w:szCs w:val="24"/>
        </w:rPr>
        <w:t xml:space="preserve">J </w:t>
      </w:r>
      <w:proofErr w:type="spellStart"/>
      <w:r w:rsidRPr="001A6A02">
        <w:rPr>
          <w:rFonts w:ascii="Book Antiqua" w:eastAsia="宋体" w:hAnsi="Book Antiqua" w:cs="宋体"/>
          <w:i/>
          <w:iCs/>
          <w:kern w:val="0"/>
          <w:sz w:val="24"/>
          <w:szCs w:val="24"/>
        </w:rPr>
        <w:t>Biol</w:t>
      </w:r>
      <w:proofErr w:type="spellEnd"/>
      <w:r w:rsidRPr="001A6A02">
        <w:rPr>
          <w:rFonts w:ascii="Book Antiqua" w:eastAsia="宋体" w:hAnsi="Book Antiqua" w:cs="宋体"/>
          <w:i/>
          <w:iCs/>
          <w:kern w:val="0"/>
          <w:sz w:val="24"/>
          <w:szCs w:val="24"/>
        </w:rPr>
        <w:t xml:space="preserve"> </w:t>
      </w:r>
      <w:proofErr w:type="spellStart"/>
      <w:r w:rsidRPr="001A6A02">
        <w:rPr>
          <w:rFonts w:ascii="Book Antiqua" w:eastAsia="宋体" w:hAnsi="Book Antiqua" w:cs="宋体"/>
          <w:i/>
          <w:iCs/>
          <w:kern w:val="0"/>
          <w:sz w:val="24"/>
          <w:szCs w:val="24"/>
        </w:rPr>
        <w:t>Chem</w:t>
      </w:r>
      <w:proofErr w:type="spellEnd"/>
      <w:r w:rsidRPr="001A6A02">
        <w:rPr>
          <w:rFonts w:ascii="Book Antiqua" w:eastAsia="宋体" w:hAnsi="Book Antiqua" w:cs="宋体"/>
          <w:kern w:val="0"/>
          <w:sz w:val="24"/>
          <w:szCs w:val="24"/>
        </w:rPr>
        <w:t> 2005; </w:t>
      </w:r>
      <w:r w:rsidRPr="001A6A02">
        <w:rPr>
          <w:rFonts w:ascii="Book Antiqua" w:eastAsia="宋体" w:hAnsi="Book Antiqua" w:cs="宋体"/>
          <w:b/>
          <w:bCs/>
          <w:kern w:val="0"/>
          <w:sz w:val="24"/>
          <w:szCs w:val="24"/>
        </w:rPr>
        <w:t>280</w:t>
      </w:r>
      <w:r w:rsidRPr="001A6A02">
        <w:rPr>
          <w:rFonts w:ascii="Book Antiqua" w:eastAsia="宋体" w:hAnsi="Book Antiqua" w:cs="宋体"/>
          <w:kern w:val="0"/>
          <w:sz w:val="24"/>
          <w:szCs w:val="24"/>
        </w:rPr>
        <w:t>: 36784-36791 [PMID: 16087668 DOI: M506462200]</w:t>
      </w:r>
    </w:p>
    <w:p w14:paraId="41AE5C07" w14:textId="77777777" w:rsidR="00C97DEC" w:rsidRPr="001A6A02" w:rsidRDefault="00C97DEC" w:rsidP="00C97DEC">
      <w:pPr>
        <w:widowControl/>
        <w:spacing w:line="360" w:lineRule="auto"/>
        <w:rPr>
          <w:rFonts w:ascii="Book Antiqua" w:eastAsia="宋体" w:hAnsi="Book Antiqua" w:cs="宋体"/>
          <w:kern w:val="0"/>
          <w:sz w:val="24"/>
          <w:szCs w:val="24"/>
        </w:rPr>
      </w:pPr>
      <w:proofErr w:type="gramStart"/>
      <w:r w:rsidRPr="001A6A02">
        <w:rPr>
          <w:rFonts w:ascii="Book Antiqua" w:eastAsia="宋体" w:hAnsi="Book Antiqua" w:cs="宋体"/>
          <w:kern w:val="0"/>
          <w:sz w:val="24"/>
          <w:szCs w:val="24"/>
        </w:rPr>
        <w:t>28 </w:t>
      </w:r>
      <w:proofErr w:type="spellStart"/>
      <w:r w:rsidRPr="001A6A02">
        <w:rPr>
          <w:rFonts w:ascii="Book Antiqua" w:eastAsia="宋体" w:hAnsi="Book Antiqua" w:cs="宋体"/>
          <w:b/>
          <w:bCs/>
          <w:kern w:val="0"/>
          <w:sz w:val="24"/>
          <w:szCs w:val="24"/>
        </w:rPr>
        <w:t>Halfon</w:t>
      </w:r>
      <w:proofErr w:type="spellEnd"/>
      <w:r w:rsidRPr="001A6A02">
        <w:rPr>
          <w:rFonts w:ascii="Book Antiqua" w:eastAsia="宋体" w:hAnsi="Book Antiqua" w:cs="宋体"/>
          <w:b/>
          <w:bCs/>
          <w:kern w:val="0"/>
          <w:sz w:val="24"/>
          <w:szCs w:val="24"/>
        </w:rPr>
        <w:t xml:space="preserve"> P</w:t>
      </w:r>
      <w:r w:rsidRPr="001A6A02">
        <w:rPr>
          <w:rFonts w:ascii="Book Antiqua" w:eastAsia="宋体" w:hAnsi="Book Antiqua" w:cs="宋体"/>
          <w:kern w:val="0"/>
          <w:sz w:val="24"/>
          <w:szCs w:val="24"/>
        </w:rPr>
        <w:t xml:space="preserve">, </w:t>
      </w:r>
      <w:proofErr w:type="spellStart"/>
      <w:r w:rsidRPr="001A6A02">
        <w:rPr>
          <w:rFonts w:ascii="Book Antiqua" w:eastAsia="宋体" w:hAnsi="Book Antiqua" w:cs="宋体"/>
          <w:kern w:val="0"/>
          <w:sz w:val="24"/>
          <w:szCs w:val="24"/>
        </w:rPr>
        <w:t>Locarnini</w:t>
      </w:r>
      <w:proofErr w:type="spellEnd"/>
      <w:r w:rsidRPr="001A6A02">
        <w:rPr>
          <w:rFonts w:ascii="Book Antiqua" w:eastAsia="宋体" w:hAnsi="Book Antiqua" w:cs="宋体"/>
          <w:kern w:val="0"/>
          <w:sz w:val="24"/>
          <w:szCs w:val="24"/>
        </w:rPr>
        <w:t xml:space="preserve"> S. Hepatitis C virus resistance to protease inhibitors.</w:t>
      </w:r>
      <w:proofErr w:type="gramEnd"/>
      <w:r w:rsidRPr="001A6A02">
        <w:rPr>
          <w:rFonts w:ascii="Book Antiqua" w:eastAsia="宋体" w:hAnsi="Book Antiqua" w:cs="宋体"/>
          <w:kern w:val="0"/>
          <w:sz w:val="24"/>
          <w:szCs w:val="24"/>
        </w:rPr>
        <w:t> </w:t>
      </w:r>
      <w:r w:rsidRPr="001A6A02">
        <w:rPr>
          <w:rFonts w:ascii="Book Antiqua" w:eastAsia="宋体" w:hAnsi="Book Antiqua" w:cs="宋体"/>
          <w:i/>
          <w:iCs/>
          <w:kern w:val="0"/>
          <w:sz w:val="24"/>
          <w:szCs w:val="24"/>
        </w:rPr>
        <w:t xml:space="preserve">J </w:t>
      </w:r>
      <w:proofErr w:type="spellStart"/>
      <w:r w:rsidRPr="001A6A02">
        <w:rPr>
          <w:rFonts w:ascii="Book Antiqua" w:eastAsia="宋体" w:hAnsi="Book Antiqua" w:cs="宋体"/>
          <w:i/>
          <w:iCs/>
          <w:kern w:val="0"/>
          <w:sz w:val="24"/>
          <w:szCs w:val="24"/>
        </w:rPr>
        <w:t>Hepatol</w:t>
      </w:r>
      <w:proofErr w:type="spellEnd"/>
      <w:r w:rsidRPr="001A6A02">
        <w:rPr>
          <w:rFonts w:ascii="Book Antiqua" w:eastAsia="宋体" w:hAnsi="Book Antiqua" w:cs="宋体"/>
          <w:kern w:val="0"/>
          <w:sz w:val="24"/>
          <w:szCs w:val="24"/>
        </w:rPr>
        <w:t> 2011; </w:t>
      </w:r>
      <w:r w:rsidRPr="001A6A02">
        <w:rPr>
          <w:rFonts w:ascii="Book Antiqua" w:eastAsia="宋体" w:hAnsi="Book Antiqua" w:cs="宋体"/>
          <w:b/>
          <w:bCs/>
          <w:kern w:val="0"/>
          <w:sz w:val="24"/>
          <w:szCs w:val="24"/>
        </w:rPr>
        <w:t>55</w:t>
      </w:r>
      <w:r w:rsidRPr="001A6A02">
        <w:rPr>
          <w:rFonts w:ascii="Book Antiqua" w:eastAsia="宋体" w:hAnsi="Book Antiqua" w:cs="宋体"/>
          <w:kern w:val="0"/>
          <w:sz w:val="24"/>
          <w:szCs w:val="24"/>
        </w:rPr>
        <w:t>: 192-206 [PMID: 21284949 DOI: S0168-8278(11)00079-1]</w:t>
      </w:r>
    </w:p>
    <w:p w14:paraId="590D40B3" w14:textId="77777777" w:rsidR="00C97DEC" w:rsidRPr="001A6A02" w:rsidRDefault="00C97DEC" w:rsidP="00C97DEC">
      <w:pPr>
        <w:widowControl/>
        <w:spacing w:line="360" w:lineRule="auto"/>
        <w:rPr>
          <w:rFonts w:ascii="Book Antiqua" w:eastAsia="宋体" w:hAnsi="Book Antiqua" w:cs="宋体"/>
          <w:kern w:val="0"/>
          <w:sz w:val="24"/>
          <w:szCs w:val="24"/>
        </w:rPr>
      </w:pPr>
      <w:proofErr w:type="gramStart"/>
      <w:r w:rsidRPr="001A6A02">
        <w:rPr>
          <w:rFonts w:ascii="Book Antiqua" w:eastAsia="宋体" w:hAnsi="Book Antiqua" w:cs="宋体"/>
          <w:kern w:val="0"/>
          <w:sz w:val="24"/>
          <w:szCs w:val="24"/>
        </w:rPr>
        <w:t>29 </w:t>
      </w:r>
      <w:proofErr w:type="spellStart"/>
      <w:r w:rsidRPr="001A6A02">
        <w:rPr>
          <w:rFonts w:ascii="Book Antiqua" w:eastAsia="宋体" w:hAnsi="Book Antiqua" w:cs="宋体"/>
          <w:b/>
          <w:bCs/>
          <w:kern w:val="0"/>
          <w:sz w:val="24"/>
          <w:szCs w:val="24"/>
        </w:rPr>
        <w:t>Sarrazin</w:t>
      </w:r>
      <w:proofErr w:type="spellEnd"/>
      <w:r w:rsidRPr="001A6A02">
        <w:rPr>
          <w:rFonts w:ascii="Book Antiqua" w:eastAsia="宋体" w:hAnsi="Book Antiqua" w:cs="宋体"/>
          <w:b/>
          <w:bCs/>
          <w:kern w:val="0"/>
          <w:sz w:val="24"/>
          <w:szCs w:val="24"/>
        </w:rPr>
        <w:t xml:space="preserve"> C</w:t>
      </w:r>
      <w:r w:rsidRPr="001A6A02">
        <w:rPr>
          <w:rFonts w:ascii="Book Antiqua" w:eastAsia="宋体" w:hAnsi="Book Antiqua" w:cs="宋体"/>
          <w:kern w:val="0"/>
          <w:sz w:val="24"/>
          <w:szCs w:val="24"/>
        </w:rPr>
        <w:t xml:space="preserve">, </w:t>
      </w:r>
      <w:proofErr w:type="spellStart"/>
      <w:r w:rsidRPr="001A6A02">
        <w:rPr>
          <w:rFonts w:ascii="Book Antiqua" w:eastAsia="宋体" w:hAnsi="Book Antiqua" w:cs="宋体"/>
          <w:kern w:val="0"/>
          <w:sz w:val="24"/>
          <w:szCs w:val="24"/>
        </w:rPr>
        <w:t>Zeuzem</w:t>
      </w:r>
      <w:proofErr w:type="spellEnd"/>
      <w:r w:rsidRPr="001A6A02">
        <w:rPr>
          <w:rFonts w:ascii="Book Antiqua" w:eastAsia="宋体" w:hAnsi="Book Antiqua" w:cs="宋体"/>
          <w:kern w:val="0"/>
          <w:sz w:val="24"/>
          <w:szCs w:val="24"/>
        </w:rPr>
        <w:t xml:space="preserve"> S. Resistance to direct antiviral agents in patients with hepatitis C virus infection.</w:t>
      </w:r>
      <w:proofErr w:type="gramEnd"/>
      <w:r w:rsidRPr="001A6A02">
        <w:rPr>
          <w:rFonts w:ascii="Book Antiqua" w:eastAsia="宋体" w:hAnsi="Book Antiqua" w:cs="宋体"/>
          <w:kern w:val="0"/>
          <w:sz w:val="24"/>
          <w:szCs w:val="24"/>
        </w:rPr>
        <w:t> </w:t>
      </w:r>
      <w:r w:rsidRPr="001A6A02">
        <w:rPr>
          <w:rFonts w:ascii="Book Antiqua" w:eastAsia="宋体" w:hAnsi="Book Antiqua" w:cs="宋体"/>
          <w:i/>
          <w:iCs/>
          <w:kern w:val="0"/>
          <w:sz w:val="24"/>
          <w:szCs w:val="24"/>
        </w:rPr>
        <w:t>Gastroenterology</w:t>
      </w:r>
      <w:r w:rsidRPr="001A6A02">
        <w:rPr>
          <w:rFonts w:ascii="Book Antiqua" w:eastAsia="宋体" w:hAnsi="Book Antiqua" w:cs="宋体"/>
          <w:kern w:val="0"/>
          <w:sz w:val="24"/>
          <w:szCs w:val="24"/>
        </w:rPr>
        <w:t> 2010; </w:t>
      </w:r>
      <w:r w:rsidRPr="001A6A02">
        <w:rPr>
          <w:rFonts w:ascii="Book Antiqua" w:eastAsia="宋体" w:hAnsi="Book Antiqua" w:cs="宋体"/>
          <w:b/>
          <w:bCs/>
          <w:kern w:val="0"/>
          <w:sz w:val="24"/>
          <w:szCs w:val="24"/>
        </w:rPr>
        <w:t>138</w:t>
      </w:r>
      <w:r w:rsidRPr="001A6A02">
        <w:rPr>
          <w:rFonts w:ascii="Book Antiqua" w:eastAsia="宋体" w:hAnsi="Book Antiqua" w:cs="宋体"/>
          <w:kern w:val="0"/>
          <w:sz w:val="24"/>
          <w:szCs w:val="24"/>
        </w:rPr>
        <w:t>: 447-462 [PMID: 20006612 DOI: S0016-5085(09)02113-1]</w:t>
      </w:r>
    </w:p>
    <w:p w14:paraId="6C77E9CB"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30 </w:t>
      </w:r>
      <w:proofErr w:type="spellStart"/>
      <w:r w:rsidRPr="001A6A02">
        <w:rPr>
          <w:rFonts w:ascii="Book Antiqua" w:eastAsia="宋体" w:hAnsi="Book Antiqua" w:cs="宋体"/>
          <w:b/>
          <w:bCs/>
          <w:kern w:val="0"/>
          <w:sz w:val="24"/>
          <w:szCs w:val="24"/>
        </w:rPr>
        <w:t>Scheel</w:t>
      </w:r>
      <w:proofErr w:type="spellEnd"/>
      <w:r w:rsidRPr="001A6A02">
        <w:rPr>
          <w:rFonts w:ascii="Book Antiqua" w:eastAsia="宋体" w:hAnsi="Book Antiqua" w:cs="宋体"/>
          <w:b/>
          <w:bCs/>
          <w:kern w:val="0"/>
          <w:sz w:val="24"/>
          <w:szCs w:val="24"/>
        </w:rPr>
        <w:t xml:space="preserve"> TK</w:t>
      </w:r>
      <w:r w:rsidRPr="001A6A02">
        <w:rPr>
          <w:rFonts w:ascii="Book Antiqua" w:eastAsia="宋体" w:hAnsi="Book Antiqua" w:cs="宋体"/>
          <w:kern w:val="0"/>
          <w:sz w:val="24"/>
          <w:szCs w:val="24"/>
        </w:rPr>
        <w:t>, Rice CM. Understanding the hepatitis C virus life cycle paves the way for highly effective therapies. </w:t>
      </w:r>
      <w:r w:rsidRPr="001A6A02">
        <w:rPr>
          <w:rFonts w:ascii="Book Antiqua" w:eastAsia="宋体" w:hAnsi="Book Antiqua" w:cs="宋体"/>
          <w:i/>
          <w:iCs/>
          <w:kern w:val="0"/>
          <w:sz w:val="24"/>
          <w:szCs w:val="24"/>
        </w:rPr>
        <w:t>Nat Med</w:t>
      </w:r>
      <w:r w:rsidRPr="001A6A02">
        <w:rPr>
          <w:rFonts w:ascii="Book Antiqua" w:eastAsia="宋体" w:hAnsi="Book Antiqua" w:cs="宋体"/>
          <w:kern w:val="0"/>
          <w:sz w:val="24"/>
          <w:szCs w:val="24"/>
        </w:rPr>
        <w:t> 2013; </w:t>
      </w:r>
      <w:r w:rsidRPr="001A6A02">
        <w:rPr>
          <w:rFonts w:ascii="Book Antiqua" w:eastAsia="宋体" w:hAnsi="Book Antiqua" w:cs="宋体"/>
          <w:b/>
          <w:bCs/>
          <w:kern w:val="0"/>
          <w:sz w:val="24"/>
          <w:szCs w:val="24"/>
        </w:rPr>
        <w:t>19</w:t>
      </w:r>
      <w:r w:rsidRPr="001A6A02">
        <w:rPr>
          <w:rFonts w:ascii="Book Antiqua" w:eastAsia="宋体" w:hAnsi="Book Antiqua" w:cs="宋体"/>
          <w:kern w:val="0"/>
          <w:sz w:val="24"/>
          <w:szCs w:val="24"/>
        </w:rPr>
        <w:t>: 837-849 [PMID: 23836234 DOI: nm.3248]</w:t>
      </w:r>
    </w:p>
    <w:p w14:paraId="4F50F79F"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31 </w:t>
      </w:r>
      <w:r w:rsidRPr="001A6A02">
        <w:rPr>
          <w:rFonts w:ascii="Book Antiqua" w:eastAsia="宋体" w:hAnsi="Book Antiqua" w:cs="宋体"/>
          <w:b/>
          <w:bCs/>
          <w:kern w:val="0"/>
          <w:sz w:val="24"/>
          <w:szCs w:val="24"/>
        </w:rPr>
        <w:t>Webster DP</w:t>
      </w:r>
      <w:r w:rsidRPr="001A6A02">
        <w:rPr>
          <w:rFonts w:ascii="Book Antiqua" w:eastAsia="宋体" w:hAnsi="Book Antiqua" w:cs="宋体"/>
          <w:kern w:val="0"/>
          <w:sz w:val="24"/>
          <w:szCs w:val="24"/>
        </w:rPr>
        <w:t xml:space="preserve">, </w:t>
      </w:r>
      <w:proofErr w:type="spellStart"/>
      <w:r w:rsidRPr="001A6A02">
        <w:rPr>
          <w:rFonts w:ascii="Book Antiqua" w:eastAsia="宋体" w:hAnsi="Book Antiqua" w:cs="宋体"/>
          <w:kern w:val="0"/>
          <w:sz w:val="24"/>
          <w:szCs w:val="24"/>
        </w:rPr>
        <w:t>Klenerman</w:t>
      </w:r>
      <w:proofErr w:type="spellEnd"/>
      <w:r w:rsidRPr="001A6A02">
        <w:rPr>
          <w:rFonts w:ascii="Book Antiqua" w:eastAsia="宋体" w:hAnsi="Book Antiqua" w:cs="宋体"/>
          <w:kern w:val="0"/>
          <w:sz w:val="24"/>
          <w:szCs w:val="24"/>
        </w:rPr>
        <w:t xml:space="preserve"> P, </w:t>
      </w:r>
      <w:proofErr w:type="spellStart"/>
      <w:r w:rsidRPr="001A6A02">
        <w:rPr>
          <w:rFonts w:ascii="Book Antiqua" w:eastAsia="宋体" w:hAnsi="Book Antiqua" w:cs="宋体"/>
          <w:kern w:val="0"/>
          <w:sz w:val="24"/>
          <w:szCs w:val="24"/>
        </w:rPr>
        <w:t>Dusheiko</w:t>
      </w:r>
      <w:proofErr w:type="spellEnd"/>
      <w:r w:rsidRPr="001A6A02">
        <w:rPr>
          <w:rFonts w:ascii="Book Antiqua" w:eastAsia="宋体" w:hAnsi="Book Antiqua" w:cs="宋体"/>
          <w:kern w:val="0"/>
          <w:sz w:val="24"/>
          <w:szCs w:val="24"/>
        </w:rPr>
        <w:t xml:space="preserve"> GM. Hepatitis C. </w:t>
      </w:r>
      <w:r w:rsidRPr="001A6A02">
        <w:rPr>
          <w:rFonts w:ascii="Book Antiqua" w:eastAsia="宋体" w:hAnsi="Book Antiqua" w:cs="宋体"/>
          <w:i/>
          <w:iCs/>
          <w:kern w:val="0"/>
          <w:sz w:val="24"/>
          <w:szCs w:val="24"/>
        </w:rPr>
        <w:t>Lancet</w:t>
      </w:r>
      <w:r w:rsidRPr="001A6A02">
        <w:rPr>
          <w:rFonts w:ascii="Book Antiqua" w:eastAsia="宋体" w:hAnsi="Book Antiqua" w:cs="宋体"/>
          <w:kern w:val="0"/>
          <w:sz w:val="24"/>
          <w:szCs w:val="24"/>
        </w:rPr>
        <w:t> 2015; </w:t>
      </w:r>
      <w:r w:rsidRPr="001A6A02">
        <w:rPr>
          <w:rFonts w:ascii="Book Antiqua" w:eastAsia="宋体" w:hAnsi="Book Antiqua" w:cs="宋体"/>
          <w:b/>
          <w:bCs/>
          <w:kern w:val="0"/>
          <w:sz w:val="24"/>
          <w:szCs w:val="24"/>
        </w:rPr>
        <w:t>385</w:t>
      </w:r>
      <w:r w:rsidRPr="001A6A02">
        <w:rPr>
          <w:rFonts w:ascii="Book Antiqua" w:eastAsia="宋体" w:hAnsi="Book Antiqua" w:cs="宋体"/>
          <w:kern w:val="0"/>
          <w:sz w:val="24"/>
          <w:szCs w:val="24"/>
        </w:rPr>
        <w:t>: 1124-1135 [PMID: 25687730 DOI: S0140-6736(14)62401-6]</w:t>
      </w:r>
    </w:p>
    <w:p w14:paraId="703877BC" w14:textId="77777777" w:rsidR="00C97DEC" w:rsidRPr="001A6A02" w:rsidRDefault="00C97DEC" w:rsidP="00C97DEC">
      <w:pPr>
        <w:widowControl/>
        <w:spacing w:line="360" w:lineRule="auto"/>
        <w:rPr>
          <w:rFonts w:ascii="Book Antiqua" w:eastAsia="宋体" w:hAnsi="Book Antiqua" w:cs="宋体"/>
          <w:kern w:val="0"/>
          <w:sz w:val="24"/>
          <w:szCs w:val="24"/>
        </w:rPr>
      </w:pPr>
      <w:r w:rsidRPr="001A6A02">
        <w:rPr>
          <w:rFonts w:ascii="Book Antiqua" w:eastAsia="宋体" w:hAnsi="Book Antiqua" w:cs="宋体"/>
          <w:kern w:val="0"/>
          <w:sz w:val="24"/>
          <w:szCs w:val="24"/>
        </w:rPr>
        <w:t>32 </w:t>
      </w:r>
      <w:proofErr w:type="spellStart"/>
      <w:r w:rsidRPr="001A6A02">
        <w:rPr>
          <w:rFonts w:ascii="Book Antiqua" w:eastAsia="宋体" w:hAnsi="Book Antiqua" w:cs="宋体"/>
          <w:b/>
          <w:bCs/>
          <w:kern w:val="0"/>
          <w:sz w:val="24"/>
          <w:szCs w:val="24"/>
        </w:rPr>
        <w:t>Kumada</w:t>
      </w:r>
      <w:proofErr w:type="spellEnd"/>
      <w:r w:rsidRPr="001A6A02">
        <w:rPr>
          <w:rFonts w:ascii="Book Antiqua" w:eastAsia="宋体" w:hAnsi="Book Antiqua" w:cs="宋体"/>
          <w:b/>
          <w:bCs/>
          <w:kern w:val="0"/>
          <w:sz w:val="24"/>
          <w:szCs w:val="24"/>
        </w:rPr>
        <w:t xml:space="preserve"> H</w:t>
      </w:r>
      <w:r w:rsidRPr="001A6A02">
        <w:rPr>
          <w:rFonts w:ascii="Book Antiqua" w:eastAsia="宋体" w:hAnsi="Book Antiqua" w:cs="宋体"/>
          <w:kern w:val="0"/>
          <w:sz w:val="24"/>
          <w:szCs w:val="24"/>
        </w:rPr>
        <w:t xml:space="preserve">, Suzuki Y, Ikeda K, Toyota J, </w:t>
      </w:r>
      <w:proofErr w:type="spellStart"/>
      <w:r w:rsidRPr="001A6A02">
        <w:rPr>
          <w:rFonts w:ascii="Book Antiqua" w:eastAsia="宋体" w:hAnsi="Book Antiqua" w:cs="宋体"/>
          <w:kern w:val="0"/>
          <w:sz w:val="24"/>
          <w:szCs w:val="24"/>
        </w:rPr>
        <w:t>Karino</w:t>
      </w:r>
      <w:proofErr w:type="spellEnd"/>
      <w:r w:rsidRPr="001A6A02">
        <w:rPr>
          <w:rFonts w:ascii="Book Antiqua" w:eastAsia="宋体" w:hAnsi="Book Antiqua" w:cs="宋体"/>
          <w:kern w:val="0"/>
          <w:sz w:val="24"/>
          <w:szCs w:val="24"/>
        </w:rPr>
        <w:t xml:space="preserve"> Y, </w:t>
      </w:r>
      <w:proofErr w:type="spellStart"/>
      <w:r w:rsidRPr="001A6A02">
        <w:rPr>
          <w:rFonts w:ascii="Book Antiqua" w:eastAsia="宋体" w:hAnsi="Book Antiqua" w:cs="宋体"/>
          <w:kern w:val="0"/>
          <w:sz w:val="24"/>
          <w:szCs w:val="24"/>
        </w:rPr>
        <w:t>Chayama</w:t>
      </w:r>
      <w:proofErr w:type="spellEnd"/>
      <w:r w:rsidRPr="001A6A02">
        <w:rPr>
          <w:rFonts w:ascii="Book Antiqua" w:eastAsia="宋体" w:hAnsi="Book Antiqua" w:cs="宋体"/>
          <w:kern w:val="0"/>
          <w:sz w:val="24"/>
          <w:szCs w:val="24"/>
        </w:rPr>
        <w:t xml:space="preserve"> K, Kawakami Y, </w:t>
      </w:r>
      <w:proofErr w:type="spellStart"/>
      <w:r w:rsidRPr="001A6A02">
        <w:rPr>
          <w:rFonts w:ascii="Book Antiqua" w:eastAsia="宋体" w:hAnsi="Book Antiqua" w:cs="宋体"/>
          <w:kern w:val="0"/>
          <w:sz w:val="24"/>
          <w:szCs w:val="24"/>
        </w:rPr>
        <w:t>Ido</w:t>
      </w:r>
      <w:proofErr w:type="spellEnd"/>
      <w:r w:rsidRPr="001A6A02">
        <w:rPr>
          <w:rFonts w:ascii="Book Antiqua" w:eastAsia="宋体" w:hAnsi="Book Antiqua" w:cs="宋体"/>
          <w:kern w:val="0"/>
          <w:sz w:val="24"/>
          <w:szCs w:val="24"/>
        </w:rPr>
        <w:t xml:space="preserve"> A, Yamamoto K, </w:t>
      </w:r>
      <w:proofErr w:type="spellStart"/>
      <w:r w:rsidRPr="001A6A02">
        <w:rPr>
          <w:rFonts w:ascii="Book Antiqua" w:eastAsia="宋体" w:hAnsi="Book Antiqua" w:cs="宋体"/>
          <w:kern w:val="0"/>
          <w:sz w:val="24"/>
          <w:szCs w:val="24"/>
        </w:rPr>
        <w:t>Takaguchi</w:t>
      </w:r>
      <w:proofErr w:type="spellEnd"/>
      <w:r w:rsidRPr="001A6A02">
        <w:rPr>
          <w:rFonts w:ascii="Book Antiqua" w:eastAsia="宋体" w:hAnsi="Book Antiqua" w:cs="宋体"/>
          <w:kern w:val="0"/>
          <w:sz w:val="24"/>
          <w:szCs w:val="24"/>
        </w:rPr>
        <w:t xml:space="preserve"> K, Izumi N, Koike K, </w:t>
      </w:r>
      <w:proofErr w:type="spellStart"/>
      <w:r w:rsidRPr="001A6A02">
        <w:rPr>
          <w:rFonts w:ascii="Book Antiqua" w:eastAsia="宋体" w:hAnsi="Book Antiqua" w:cs="宋体"/>
          <w:kern w:val="0"/>
          <w:sz w:val="24"/>
          <w:szCs w:val="24"/>
        </w:rPr>
        <w:t>Takehara</w:t>
      </w:r>
      <w:proofErr w:type="spellEnd"/>
      <w:r w:rsidRPr="001A6A02">
        <w:rPr>
          <w:rFonts w:ascii="Book Antiqua" w:eastAsia="宋体" w:hAnsi="Book Antiqua" w:cs="宋体"/>
          <w:kern w:val="0"/>
          <w:sz w:val="24"/>
          <w:szCs w:val="24"/>
        </w:rPr>
        <w:t xml:space="preserve"> T, Kawada N, </w:t>
      </w:r>
      <w:proofErr w:type="spellStart"/>
      <w:r w:rsidRPr="001A6A02">
        <w:rPr>
          <w:rFonts w:ascii="Book Antiqua" w:eastAsia="宋体" w:hAnsi="Book Antiqua" w:cs="宋体"/>
          <w:kern w:val="0"/>
          <w:sz w:val="24"/>
          <w:szCs w:val="24"/>
        </w:rPr>
        <w:t>Sata</w:t>
      </w:r>
      <w:proofErr w:type="spellEnd"/>
      <w:r w:rsidRPr="001A6A02">
        <w:rPr>
          <w:rFonts w:ascii="Book Antiqua" w:eastAsia="宋体" w:hAnsi="Book Antiqua" w:cs="宋体"/>
          <w:kern w:val="0"/>
          <w:sz w:val="24"/>
          <w:szCs w:val="24"/>
        </w:rPr>
        <w:t xml:space="preserve"> M, </w:t>
      </w:r>
      <w:proofErr w:type="spellStart"/>
      <w:r w:rsidRPr="001A6A02">
        <w:rPr>
          <w:rFonts w:ascii="Book Antiqua" w:eastAsia="宋体" w:hAnsi="Book Antiqua" w:cs="宋体"/>
          <w:kern w:val="0"/>
          <w:sz w:val="24"/>
          <w:szCs w:val="24"/>
        </w:rPr>
        <w:t>Miyagoshi</w:t>
      </w:r>
      <w:proofErr w:type="spellEnd"/>
      <w:r w:rsidRPr="001A6A02">
        <w:rPr>
          <w:rFonts w:ascii="Book Antiqua" w:eastAsia="宋体" w:hAnsi="Book Antiqua" w:cs="宋体"/>
          <w:kern w:val="0"/>
          <w:sz w:val="24"/>
          <w:szCs w:val="24"/>
        </w:rPr>
        <w:t xml:space="preserve"> H, </w:t>
      </w:r>
      <w:proofErr w:type="spellStart"/>
      <w:r w:rsidRPr="001A6A02">
        <w:rPr>
          <w:rFonts w:ascii="Book Antiqua" w:eastAsia="宋体" w:hAnsi="Book Antiqua" w:cs="宋体"/>
          <w:kern w:val="0"/>
          <w:sz w:val="24"/>
          <w:szCs w:val="24"/>
        </w:rPr>
        <w:t>Eley</w:t>
      </w:r>
      <w:proofErr w:type="spellEnd"/>
      <w:r w:rsidRPr="001A6A02">
        <w:rPr>
          <w:rFonts w:ascii="Book Antiqua" w:eastAsia="宋体" w:hAnsi="Book Antiqua" w:cs="宋体"/>
          <w:kern w:val="0"/>
          <w:sz w:val="24"/>
          <w:szCs w:val="24"/>
        </w:rPr>
        <w:t xml:space="preserve"> T, McPhee F, </w:t>
      </w:r>
      <w:proofErr w:type="spellStart"/>
      <w:r w:rsidRPr="001A6A02">
        <w:rPr>
          <w:rFonts w:ascii="Book Antiqua" w:eastAsia="宋体" w:hAnsi="Book Antiqua" w:cs="宋体"/>
          <w:kern w:val="0"/>
          <w:sz w:val="24"/>
          <w:szCs w:val="24"/>
        </w:rPr>
        <w:t>Damokosh</w:t>
      </w:r>
      <w:proofErr w:type="spellEnd"/>
      <w:r w:rsidRPr="001A6A02">
        <w:rPr>
          <w:rFonts w:ascii="Book Antiqua" w:eastAsia="宋体" w:hAnsi="Book Antiqua" w:cs="宋体"/>
          <w:kern w:val="0"/>
          <w:sz w:val="24"/>
          <w:szCs w:val="24"/>
        </w:rPr>
        <w:t xml:space="preserve"> A, Ishikawa H, Hughes E. </w:t>
      </w:r>
      <w:proofErr w:type="spellStart"/>
      <w:r w:rsidRPr="001A6A02">
        <w:rPr>
          <w:rFonts w:ascii="Book Antiqua" w:eastAsia="宋体" w:hAnsi="Book Antiqua" w:cs="宋体"/>
          <w:kern w:val="0"/>
          <w:sz w:val="24"/>
          <w:szCs w:val="24"/>
        </w:rPr>
        <w:t>Daclatasvir</w:t>
      </w:r>
      <w:proofErr w:type="spellEnd"/>
      <w:r w:rsidRPr="001A6A02">
        <w:rPr>
          <w:rFonts w:ascii="Book Antiqua" w:eastAsia="宋体" w:hAnsi="Book Antiqua" w:cs="宋体"/>
          <w:kern w:val="0"/>
          <w:sz w:val="24"/>
          <w:szCs w:val="24"/>
        </w:rPr>
        <w:t xml:space="preserve"> plus </w:t>
      </w:r>
      <w:proofErr w:type="spellStart"/>
      <w:r w:rsidRPr="001A6A02">
        <w:rPr>
          <w:rFonts w:ascii="Book Antiqua" w:eastAsia="宋体" w:hAnsi="Book Antiqua" w:cs="宋体"/>
          <w:kern w:val="0"/>
          <w:sz w:val="24"/>
          <w:szCs w:val="24"/>
        </w:rPr>
        <w:t>asunaprevir</w:t>
      </w:r>
      <w:proofErr w:type="spellEnd"/>
      <w:r w:rsidRPr="001A6A02">
        <w:rPr>
          <w:rFonts w:ascii="Book Antiqua" w:eastAsia="宋体" w:hAnsi="Book Antiqua" w:cs="宋体"/>
          <w:kern w:val="0"/>
          <w:sz w:val="24"/>
          <w:szCs w:val="24"/>
        </w:rPr>
        <w:t xml:space="preserve"> for chronic HCV genotype 1b </w:t>
      </w:r>
      <w:r w:rsidRPr="001A6A02">
        <w:rPr>
          <w:rFonts w:ascii="Book Antiqua" w:eastAsia="宋体" w:hAnsi="Book Antiqua" w:cs="宋体"/>
          <w:kern w:val="0"/>
          <w:sz w:val="24"/>
          <w:szCs w:val="24"/>
        </w:rPr>
        <w:lastRenderedPageBreak/>
        <w:t>infection. </w:t>
      </w:r>
      <w:r w:rsidRPr="001A6A02">
        <w:rPr>
          <w:rFonts w:ascii="Book Antiqua" w:eastAsia="宋体" w:hAnsi="Book Antiqua" w:cs="宋体"/>
          <w:i/>
          <w:iCs/>
          <w:kern w:val="0"/>
          <w:sz w:val="24"/>
          <w:szCs w:val="24"/>
        </w:rPr>
        <w:t>Hepatology</w:t>
      </w:r>
      <w:r w:rsidRPr="001A6A02">
        <w:rPr>
          <w:rFonts w:ascii="Book Antiqua" w:eastAsia="宋体" w:hAnsi="Book Antiqua" w:cs="宋体"/>
          <w:kern w:val="0"/>
          <w:sz w:val="24"/>
          <w:szCs w:val="24"/>
        </w:rPr>
        <w:t> 2014; </w:t>
      </w:r>
      <w:r w:rsidRPr="001A6A02">
        <w:rPr>
          <w:rFonts w:ascii="Book Antiqua" w:eastAsia="宋体" w:hAnsi="Book Antiqua" w:cs="宋体"/>
          <w:b/>
          <w:bCs/>
          <w:kern w:val="0"/>
          <w:sz w:val="24"/>
          <w:szCs w:val="24"/>
        </w:rPr>
        <w:t>59</w:t>
      </w:r>
      <w:r w:rsidRPr="001A6A02">
        <w:rPr>
          <w:rFonts w:ascii="Book Antiqua" w:eastAsia="宋体" w:hAnsi="Book Antiqua" w:cs="宋体"/>
          <w:kern w:val="0"/>
          <w:sz w:val="24"/>
          <w:szCs w:val="24"/>
        </w:rPr>
        <w:t>: 2083-2091 [PMID: 24604476 DOI: 10.1002/hep.27113]</w:t>
      </w:r>
    </w:p>
    <w:p w14:paraId="65C9F829" w14:textId="77777777" w:rsidR="004449A0" w:rsidRPr="00C97DEC" w:rsidRDefault="004449A0" w:rsidP="004449A0">
      <w:pPr>
        <w:pStyle w:val="1"/>
        <w:spacing w:line="360" w:lineRule="auto"/>
        <w:rPr>
          <w:rFonts w:ascii="Book Antiqua" w:eastAsia="宋体" w:hAnsi="Book Antiqua" w:cs="Times New Roman"/>
          <w:color w:val="000000" w:themeColor="text1"/>
          <w:sz w:val="24"/>
          <w:szCs w:val="24"/>
          <w:lang w:eastAsia="zh-CN"/>
        </w:rPr>
      </w:pPr>
    </w:p>
    <w:p w14:paraId="370D3ADD" w14:textId="203923B2" w:rsidR="00C97DEC" w:rsidRPr="00712F63" w:rsidRDefault="00C97DEC" w:rsidP="00C97DEC">
      <w:pPr>
        <w:pStyle w:val="ListParagraph"/>
        <w:wordWrap w:val="0"/>
        <w:spacing w:line="360" w:lineRule="auto"/>
        <w:ind w:left="360" w:right="120" w:firstLineChars="0" w:firstLine="0"/>
        <w:jc w:val="right"/>
        <w:rPr>
          <w:rFonts w:ascii="Book Antiqua" w:eastAsia="宋体" w:hAnsi="Book Antiqua"/>
          <w:b/>
          <w:bCs/>
          <w:color w:val="000000"/>
          <w:lang w:eastAsia="zh-CN"/>
        </w:rPr>
      </w:pPr>
      <w:bookmarkStart w:id="41" w:name="OLE_LINK427"/>
      <w:bookmarkStart w:id="42" w:name="OLE_LINK435"/>
      <w:bookmarkStart w:id="43" w:name="OLE_LINK516"/>
      <w:bookmarkStart w:id="44" w:name="OLE_LINK45"/>
      <w:bookmarkStart w:id="45" w:name="OLE_LINK132"/>
      <w:bookmarkStart w:id="46" w:name="OLE_LINK529"/>
      <w:bookmarkStart w:id="47" w:name="OLE_LINK541"/>
      <w:bookmarkStart w:id="48" w:name="OLE_LINK560"/>
      <w:bookmarkStart w:id="49" w:name="OLE_LINK558"/>
      <w:bookmarkStart w:id="50" w:name="OLE_LINK572"/>
      <w:bookmarkStart w:id="51" w:name="OLE_LINK634"/>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sidRPr="00C97DEC">
        <w:rPr>
          <w:rFonts w:ascii="Book Antiqua" w:hAnsi="Book Antiqua"/>
          <w:bCs/>
          <w:color w:val="000000"/>
        </w:rPr>
        <w:t>Conti</w:t>
      </w:r>
      <w:r>
        <w:rPr>
          <w:rFonts w:ascii="Book Antiqua" w:eastAsia="宋体" w:hAnsi="Book Antiqua" w:hint="eastAsia"/>
          <w:bCs/>
          <w:color w:val="000000"/>
          <w:lang w:eastAsia="zh-CN"/>
        </w:rPr>
        <w:t xml:space="preserve"> B</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41"/>
    <w:bookmarkEnd w:id="42"/>
    <w:bookmarkEnd w:id="43"/>
    <w:bookmarkEnd w:id="44"/>
    <w:bookmarkEnd w:id="45"/>
    <w:bookmarkEnd w:id="46"/>
    <w:bookmarkEnd w:id="47"/>
    <w:bookmarkEnd w:id="48"/>
    <w:bookmarkEnd w:id="49"/>
    <w:bookmarkEnd w:id="50"/>
    <w:bookmarkEnd w:id="51"/>
    <w:p w14:paraId="6CA7F0A6" w14:textId="77777777" w:rsidR="00544F31" w:rsidRPr="00C97DEC" w:rsidRDefault="00544F31" w:rsidP="004449A0">
      <w:pPr>
        <w:pStyle w:val="1"/>
        <w:spacing w:line="360" w:lineRule="auto"/>
        <w:rPr>
          <w:rFonts w:ascii="Book Antiqua" w:eastAsiaTheme="minorEastAsia" w:hAnsi="Book Antiqua" w:cs="Times New Roman"/>
          <w:color w:val="000000" w:themeColor="text1"/>
          <w:sz w:val="24"/>
          <w:szCs w:val="24"/>
          <w:lang w:val="it-IT"/>
        </w:rPr>
      </w:pPr>
    </w:p>
    <w:p w14:paraId="3F826E52" w14:textId="77777777" w:rsidR="006C05D0" w:rsidRPr="00C97DEC" w:rsidRDefault="006C05D0" w:rsidP="004449A0">
      <w:pPr>
        <w:pStyle w:val="1"/>
        <w:spacing w:line="360" w:lineRule="auto"/>
        <w:rPr>
          <w:rFonts w:ascii="Book Antiqua" w:eastAsiaTheme="minorEastAsia" w:hAnsi="Book Antiqua" w:cs="Times New Roman"/>
          <w:color w:val="000000" w:themeColor="text1"/>
          <w:sz w:val="24"/>
          <w:szCs w:val="24"/>
          <w:lang w:val="it-IT"/>
        </w:rPr>
      </w:pPr>
    </w:p>
    <w:p w14:paraId="09CF276B" w14:textId="77777777" w:rsidR="006C05D0" w:rsidRDefault="006C05D0" w:rsidP="004449A0">
      <w:pPr>
        <w:pStyle w:val="1"/>
        <w:spacing w:line="360" w:lineRule="auto"/>
        <w:rPr>
          <w:rFonts w:ascii="Book Antiqua" w:eastAsiaTheme="minorEastAsia" w:hAnsi="Book Antiqua" w:cs="Times New Roman"/>
          <w:color w:val="000000" w:themeColor="text1"/>
          <w:sz w:val="24"/>
          <w:szCs w:val="24"/>
        </w:rPr>
      </w:pPr>
    </w:p>
    <w:p w14:paraId="6B27EF5D" w14:textId="77777777" w:rsidR="006C05D0" w:rsidRPr="008D21B3" w:rsidRDefault="006C05D0" w:rsidP="004449A0">
      <w:pPr>
        <w:pStyle w:val="1"/>
        <w:spacing w:line="360" w:lineRule="auto"/>
        <w:rPr>
          <w:rFonts w:ascii="Book Antiqua" w:eastAsiaTheme="minorEastAsia" w:hAnsi="Book Antiqua" w:cs="Times New Roman"/>
          <w:color w:val="000000" w:themeColor="text1"/>
          <w:sz w:val="24"/>
          <w:szCs w:val="24"/>
        </w:rPr>
      </w:pPr>
    </w:p>
    <w:p w14:paraId="6B5B1A01" w14:textId="77777777" w:rsidR="00643681" w:rsidRPr="00643681" w:rsidRDefault="00643681" w:rsidP="00996EF8">
      <w:pPr>
        <w:pStyle w:val="1"/>
        <w:spacing w:line="360" w:lineRule="auto"/>
        <w:rPr>
          <w:rFonts w:ascii="Book Antiqua" w:eastAsiaTheme="minorEastAsia" w:hAnsi="Book Antiqua" w:cs="Times New Roman"/>
          <w:b/>
          <w:color w:val="000000" w:themeColor="text1"/>
          <w:sz w:val="24"/>
          <w:szCs w:val="24"/>
        </w:rPr>
      </w:pPr>
    </w:p>
    <w:p w14:paraId="3B30F41C" w14:textId="3F883A82" w:rsidR="00643681" w:rsidRDefault="00643681" w:rsidP="00996EF8">
      <w:pPr>
        <w:pStyle w:val="1"/>
        <w:spacing w:line="360" w:lineRule="auto"/>
        <w:rPr>
          <w:rFonts w:ascii="Book Antiqua" w:eastAsiaTheme="minorEastAsia" w:hAnsi="Book Antiqua" w:cs="Times New Roman"/>
          <w:b/>
          <w:color w:val="000000" w:themeColor="text1"/>
          <w:sz w:val="24"/>
          <w:szCs w:val="24"/>
        </w:rPr>
      </w:pPr>
    </w:p>
    <w:p w14:paraId="7068ECF1" w14:textId="77777777" w:rsidR="00643681" w:rsidRDefault="00643681" w:rsidP="00996EF8">
      <w:pPr>
        <w:pStyle w:val="1"/>
        <w:spacing w:line="360" w:lineRule="auto"/>
        <w:rPr>
          <w:rFonts w:ascii="Book Antiqua" w:eastAsiaTheme="minorEastAsia" w:hAnsi="Book Antiqua" w:cs="Times New Roman"/>
          <w:b/>
          <w:color w:val="000000" w:themeColor="text1"/>
          <w:sz w:val="24"/>
          <w:szCs w:val="24"/>
        </w:rPr>
      </w:pPr>
    </w:p>
    <w:p w14:paraId="16B073F1" w14:textId="0A5C9ACD" w:rsidR="00643681" w:rsidRDefault="00643681">
      <w:pPr>
        <w:widowControl/>
        <w:jc w:val="left"/>
        <w:rPr>
          <w:rFonts w:ascii="Book Antiqua" w:hAnsi="Book Antiqua" w:cs="Times New Roman"/>
          <w:b/>
          <w:color w:val="000000" w:themeColor="text1"/>
          <w:sz w:val="24"/>
          <w:szCs w:val="24"/>
          <w:u w:color="000000"/>
          <w:bdr w:val="nil"/>
        </w:rPr>
      </w:pPr>
      <w:r>
        <w:rPr>
          <w:rFonts w:ascii="Book Antiqua" w:hAnsi="Book Antiqua" w:cs="Times New Roman"/>
          <w:b/>
          <w:color w:val="000000" w:themeColor="text1"/>
          <w:sz w:val="24"/>
          <w:szCs w:val="24"/>
        </w:rPr>
        <w:br w:type="page"/>
      </w:r>
    </w:p>
    <w:p w14:paraId="2918AA9F" w14:textId="77777777" w:rsidR="00931B39" w:rsidRDefault="00931B39" w:rsidP="00996EF8">
      <w:pPr>
        <w:pStyle w:val="1"/>
        <w:spacing w:line="360" w:lineRule="auto"/>
        <w:rPr>
          <w:rFonts w:ascii="Book Antiqua" w:eastAsia="宋体" w:hAnsi="Book Antiqua" w:cs="Times New Roman"/>
          <w:b/>
          <w:color w:val="000000" w:themeColor="text1"/>
          <w:sz w:val="24"/>
          <w:szCs w:val="24"/>
          <w:lang w:eastAsia="zh-CN"/>
        </w:rPr>
      </w:pPr>
      <w:r>
        <w:rPr>
          <w:rFonts w:ascii="Book Antiqua" w:eastAsia="Times New Roman" w:hAnsi="Book Antiqua" w:cs="Times New Roman"/>
          <w:b/>
          <w:noProof/>
          <w:color w:val="000000" w:themeColor="text1"/>
          <w:sz w:val="24"/>
          <w:szCs w:val="24"/>
          <w:lang w:eastAsia="en-US"/>
        </w:rPr>
        <w:lastRenderedPageBreak/>
        <w:drawing>
          <wp:inline distT="0" distB="0" distL="0" distR="0" wp14:anchorId="7BA15AF3" wp14:editId="782B1D87">
            <wp:extent cx="4676775" cy="3905250"/>
            <wp:effectExtent l="0" t="0" r="9525" b="0"/>
            <wp:docPr id="1" name="図 1" descr="G:\Fからのバックアップ\Sドライブから研究関係\臨床データシメプレ関連\定期バックアップ20150805\チェックしたファイルとかWJG\投稿必要なもの\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からのバックアップ\Sドライブから研究関係\臨床データシメプレ関連\定期バックアップ20150805\チェックしたファイルとかWJG\投稿必要なもの\Figure 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6775" cy="3905250"/>
                    </a:xfrm>
                    <a:prstGeom prst="rect">
                      <a:avLst/>
                    </a:prstGeom>
                    <a:noFill/>
                    <a:ln>
                      <a:noFill/>
                    </a:ln>
                  </pic:spPr>
                </pic:pic>
              </a:graphicData>
            </a:graphic>
          </wp:inline>
        </w:drawing>
      </w:r>
    </w:p>
    <w:p w14:paraId="3435F767" w14:textId="1EB99A83" w:rsidR="004515E1" w:rsidRDefault="004449A0" w:rsidP="00996EF8">
      <w:pPr>
        <w:pStyle w:val="1"/>
        <w:spacing w:line="360" w:lineRule="auto"/>
        <w:rPr>
          <w:rFonts w:ascii="Book Antiqua" w:eastAsia="Times New Roman" w:hAnsi="Book Antiqua" w:cs="Times New Roman"/>
          <w:color w:val="000000" w:themeColor="text1"/>
          <w:sz w:val="24"/>
          <w:szCs w:val="24"/>
        </w:rPr>
      </w:pPr>
      <w:r w:rsidRPr="00627B4F">
        <w:rPr>
          <w:rFonts w:ascii="Book Antiqua" w:eastAsia="Times New Roman" w:hAnsi="Book Antiqua" w:cs="Times New Roman"/>
          <w:b/>
          <w:color w:val="000000" w:themeColor="text1"/>
          <w:sz w:val="24"/>
          <w:szCs w:val="24"/>
        </w:rPr>
        <w:t>Figure</w:t>
      </w:r>
      <w:r w:rsidR="00931B39">
        <w:rPr>
          <w:rFonts w:ascii="Book Antiqua" w:eastAsia="Times New Roman" w:hAnsi="Book Antiqua" w:cs="Times New Roman"/>
          <w:b/>
          <w:color w:val="000000" w:themeColor="text1"/>
          <w:sz w:val="24"/>
          <w:szCs w:val="24"/>
        </w:rPr>
        <w:t xml:space="preserve"> 1</w:t>
      </w:r>
      <w:r w:rsidR="00931B39">
        <w:rPr>
          <w:rFonts w:ascii="Book Antiqua" w:eastAsia="宋体" w:hAnsi="Book Antiqua" w:cs="Times New Roman" w:hint="eastAsia"/>
          <w:b/>
          <w:color w:val="000000" w:themeColor="text1"/>
          <w:sz w:val="24"/>
          <w:szCs w:val="24"/>
          <w:lang w:eastAsia="zh-CN"/>
        </w:rPr>
        <w:t xml:space="preserve"> </w:t>
      </w:r>
      <w:r w:rsidRPr="00BA1BBC">
        <w:rPr>
          <w:rFonts w:ascii="Book Antiqua" w:eastAsia="Times New Roman" w:hAnsi="Book Antiqua" w:cs="Times New Roman"/>
          <w:b/>
          <w:color w:val="000000" w:themeColor="text1"/>
          <w:sz w:val="24"/>
          <w:szCs w:val="24"/>
        </w:rPr>
        <w:t xml:space="preserve">Rates of </w:t>
      </w:r>
      <w:proofErr w:type="spellStart"/>
      <w:r w:rsidRPr="00BA1BBC">
        <w:rPr>
          <w:rFonts w:ascii="Book Antiqua" w:eastAsia="Times New Roman" w:hAnsi="Book Antiqua" w:cs="Times New Roman"/>
          <w:b/>
          <w:color w:val="000000" w:themeColor="text1"/>
          <w:sz w:val="24"/>
          <w:szCs w:val="24"/>
        </w:rPr>
        <w:t>vir</w:t>
      </w:r>
      <w:r w:rsidR="00931B39">
        <w:rPr>
          <w:rFonts w:ascii="Book Antiqua" w:eastAsia="Times New Roman" w:hAnsi="Book Antiqua" w:cs="Times New Roman"/>
          <w:b/>
          <w:color w:val="000000" w:themeColor="text1"/>
          <w:sz w:val="24"/>
          <w:szCs w:val="24"/>
        </w:rPr>
        <w:t>ological</w:t>
      </w:r>
      <w:proofErr w:type="spellEnd"/>
      <w:r w:rsidR="00931B39">
        <w:rPr>
          <w:rFonts w:ascii="Book Antiqua" w:eastAsia="Times New Roman" w:hAnsi="Book Antiqua" w:cs="Times New Roman"/>
          <w:b/>
          <w:color w:val="000000" w:themeColor="text1"/>
          <w:sz w:val="24"/>
          <w:szCs w:val="24"/>
        </w:rPr>
        <w:t xml:space="preserve"> response to </w:t>
      </w:r>
      <w:proofErr w:type="spellStart"/>
      <w:r w:rsidR="00931B39">
        <w:rPr>
          <w:rFonts w:ascii="Book Antiqua" w:eastAsia="Times New Roman" w:hAnsi="Book Antiqua" w:cs="Times New Roman"/>
          <w:b/>
          <w:color w:val="000000" w:themeColor="text1"/>
          <w:sz w:val="24"/>
          <w:szCs w:val="24"/>
        </w:rPr>
        <w:t>telaprevir</w:t>
      </w:r>
      <w:proofErr w:type="spellEnd"/>
      <w:r w:rsidRPr="00BA1BBC">
        <w:rPr>
          <w:rFonts w:ascii="Book Antiqua" w:eastAsia="Times New Roman" w:hAnsi="Book Antiqua" w:cs="Times New Roman"/>
          <w:b/>
          <w:color w:val="000000" w:themeColor="text1"/>
          <w:sz w:val="24"/>
          <w:szCs w:val="24"/>
        </w:rPr>
        <w:t xml:space="preserve"> and </w:t>
      </w:r>
      <w:proofErr w:type="spellStart"/>
      <w:r w:rsidRPr="00BA1BBC">
        <w:rPr>
          <w:rFonts w:ascii="Book Antiqua" w:eastAsia="Times New Roman" w:hAnsi="Book Antiqua" w:cs="Times New Roman"/>
          <w:b/>
          <w:color w:val="000000" w:themeColor="text1"/>
          <w:sz w:val="24"/>
          <w:szCs w:val="24"/>
        </w:rPr>
        <w:t>simeprevir</w:t>
      </w:r>
      <w:proofErr w:type="spellEnd"/>
      <w:r w:rsidR="00931B39">
        <w:rPr>
          <w:rFonts w:ascii="Book Antiqua" w:eastAsia="宋体" w:hAnsi="Book Antiqua" w:cs="Times New Roman" w:hint="eastAsia"/>
          <w:b/>
          <w:color w:val="000000" w:themeColor="text1"/>
          <w:sz w:val="24"/>
          <w:szCs w:val="24"/>
          <w:lang w:eastAsia="zh-CN"/>
        </w:rPr>
        <w:t xml:space="preserve"> </w:t>
      </w:r>
      <w:r w:rsidRPr="00BA1BBC">
        <w:rPr>
          <w:rFonts w:ascii="Book Antiqua" w:eastAsia="Times New Roman" w:hAnsi="Book Antiqua" w:cs="Times New Roman"/>
          <w:b/>
          <w:color w:val="000000" w:themeColor="text1"/>
          <w:sz w:val="24"/>
          <w:szCs w:val="24"/>
        </w:rPr>
        <w:t>according</w:t>
      </w:r>
      <w:r w:rsidRPr="00042FE3">
        <w:rPr>
          <w:rFonts w:ascii="Book Antiqua" w:eastAsia="Times New Roman" w:hAnsi="Book Antiqua" w:cs="Times New Roman"/>
          <w:b/>
          <w:color w:val="000000" w:themeColor="text1"/>
          <w:sz w:val="24"/>
          <w:szCs w:val="24"/>
        </w:rPr>
        <w:t xml:space="preserve"> to serum </w:t>
      </w:r>
      <w:r w:rsidR="00931B39" w:rsidRPr="00931B39">
        <w:rPr>
          <w:rFonts w:ascii="Book Antiqua" w:eastAsia="Times New Roman" w:hAnsi="Book Antiqua" w:cs="Times New Roman"/>
          <w:b/>
          <w:color w:val="000000" w:themeColor="text1"/>
          <w:sz w:val="24"/>
          <w:szCs w:val="24"/>
        </w:rPr>
        <w:t>hepatitis C virus</w:t>
      </w:r>
      <w:r w:rsidRPr="00042FE3">
        <w:rPr>
          <w:rFonts w:ascii="Book Antiqua" w:eastAsia="Times New Roman" w:hAnsi="Book Antiqua" w:cs="Times New Roman"/>
          <w:b/>
          <w:color w:val="000000" w:themeColor="text1"/>
          <w:sz w:val="24"/>
          <w:szCs w:val="24"/>
        </w:rPr>
        <w:t xml:space="preserve"> RNA levels before and after adjustment by propensity score matching.</w:t>
      </w:r>
      <w:r w:rsidRPr="00042FE3">
        <w:rPr>
          <w:rFonts w:ascii="Book Antiqua" w:eastAsia="Times New Roman" w:hAnsi="Book Antiqua" w:cs="Times New Roman"/>
          <w:color w:val="000000" w:themeColor="text1"/>
          <w:sz w:val="24"/>
          <w:szCs w:val="24"/>
        </w:rPr>
        <w:t xml:space="preserve"> Percentages represent the proportion of patients with undetectable serum HCV RNA levels. Patient numbers are shown in parentheses. </w:t>
      </w:r>
      <w:r w:rsidRPr="00931B39">
        <w:rPr>
          <w:rFonts w:ascii="Book Antiqua" w:eastAsia="Times New Roman" w:hAnsi="Book Antiqua" w:cs="Times New Roman"/>
          <w:i/>
          <w:color w:val="000000" w:themeColor="text1"/>
          <w:sz w:val="24"/>
          <w:szCs w:val="24"/>
        </w:rPr>
        <w:t>P</w:t>
      </w:r>
      <w:r w:rsidRPr="00042FE3">
        <w:rPr>
          <w:rFonts w:ascii="Book Antiqua" w:eastAsia="Times New Roman" w:hAnsi="Book Antiqua" w:cs="Times New Roman"/>
          <w:color w:val="000000" w:themeColor="text1"/>
          <w:sz w:val="24"/>
          <w:szCs w:val="24"/>
        </w:rPr>
        <w:t xml:space="preserve">-values were calculated using the </w:t>
      </w:r>
      <w:r w:rsidR="00931B39">
        <w:rPr>
          <w:rFonts w:ascii="Book Antiqua" w:eastAsia="Times New Roman" w:hAnsi="Book Antiqua" w:cs="Times New Roman"/>
          <w:color w:val="000000" w:themeColor="text1"/>
          <w:sz w:val="24"/>
          <w:szCs w:val="24"/>
        </w:rPr>
        <w:sym w:font="Symbol" w:char="F063"/>
      </w:r>
      <w:r w:rsidR="00931B39">
        <w:rPr>
          <w:rFonts w:ascii="Book Antiqua" w:eastAsia="宋体" w:hAnsi="Book Antiqua" w:cs="Times New Roman" w:hint="eastAsia"/>
          <w:color w:val="000000" w:themeColor="text1"/>
          <w:sz w:val="24"/>
          <w:szCs w:val="24"/>
          <w:vertAlign w:val="superscript"/>
          <w:lang w:eastAsia="zh-CN"/>
        </w:rPr>
        <w:t>2</w:t>
      </w:r>
      <w:r w:rsidRPr="00042FE3">
        <w:rPr>
          <w:rFonts w:ascii="Book Antiqua" w:eastAsia="Times New Roman" w:hAnsi="Book Antiqua" w:cs="Times New Roman"/>
          <w:color w:val="000000" w:themeColor="text1"/>
          <w:sz w:val="24"/>
          <w:szCs w:val="24"/>
        </w:rPr>
        <w:t xml:space="preserve"> test prior to matching and </w:t>
      </w:r>
      <w:proofErr w:type="spellStart"/>
      <w:r w:rsidRPr="00042FE3">
        <w:rPr>
          <w:rFonts w:ascii="Book Antiqua" w:eastAsia="Times New Roman" w:hAnsi="Book Antiqua" w:cs="Times New Roman"/>
          <w:color w:val="000000" w:themeColor="text1"/>
          <w:sz w:val="24"/>
          <w:szCs w:val="24"/>
        </w:rPr>
        <w:t>M</w:t>
      </w:r>
      <w:r w:rsidR="009E45AC" w:rsidRPr="00042FE3">
        <w:rPr>
          <w:rFonts w:ascii="Book Antiqua" w:eastAsia="Times New Roman" w:hAnsi="Book Antiqua" w:cs="Times New Roman"/>
          <w:color w:val="000000" w:themeColor="text1"/>
          <w:sz w:val="24"/>
          <w:szCs w:val="24"/>
        </w:rPr>
        <w:t>cNemarr’s</w:t>
      </w:r>
      <w:proofErr w:type="spellEnd"/>
      <w:r w:rsidR="009E45AC" w:rsidRPr="00042FE3">
        <w:rPr>
          <w:rFonts w:ascii="Book Antiqua" w:eastAsia="Times New Roman" w:hAnsi="Book Antiqua" w:cs="Times New Roman"/>
          <w:color w:val="000000" w:themeColor="text1"/>
          <w:sz w:val="24"/>
          <w:szCs w:val="24"/>
        </w:rPr>
        <w:t xml:space="preserve"> test after matching. A:</w:t>
      </w:r>
      <w:r w:rsidRPr="00042FE3">
        <w:rPr>
          <w:rFonts w:ascii="Book Antiqua" w:eastAsia="Times New Roman" w:hAnsi="Book Antiqua" w:cs="Times New Roman"/>
          <w:color w:val="000000" w:themeColor="text1"/>
          <w:sz w:val="24"/>
          <w:szCs w:val="24"/>
        </w:rPr>
        <w:t xml:space="preserve"> Before adjustment. Rates of </w:t>
      </w:r>
      <w:proofErr w:type="spellStart"/>
      <w:r w:rsidRPr="00042FE3">
        <w:rPr>
          <w:rFonts w:ascii="Book Antiqua" w:eastAsia="Times New Roman" w:hAnsi="Book Antiqua" w:cs="Times New Roman"/>
          <w:color w:val="000000" w:themeColor="text1"/>
          <w:sz w:val="24"/>
          <w:szCs w:val="24"/>
        </w:rPr>
        <w:t>virological</w:t>
      </w:r>
      <w:proofErr w:type="spellEnd"/>
      <w:r w:rsidRPr="00042FE3">
        <w:rPr>
          <w:rFonts w:ascii="Book Antiqua" w:eastAsia="Times New Roman" w:hAnsi="Book Antiqua" w:cs="Times New Roman"/>
          <w:color w:val="000000" w:themeColor="text1"/>
          <w:sz w:val="24"/>
          <w:szCs w:val="24"/>
        </w:rPr>
        <w:t xml:space="preserve"> response at 4 and 12 </w:t>
      </w:r>
      <w:proofErr w:type="spellStart"/>
      <w:r w:rsidR="00931B39">
        <w:rPr>
          <w:rFonts w:ascii="Book Antiqua" w:eastAsia="宋体" w:hAnsi="Book Antiqua" w:cs="Times New Roman" w:hint="eastAsia"/>
          <w:color w:val="000000" w:themeColor="text1"/>
          <w:sz w:val="24"/>
          <w:szCs w:val="24"/>
          <w:lang w:eastAsia="zh-CN"/>
        </w:rPr>
        <w:t>wk</w:t>
      </w:r>
      <w:proofErr w:type="spellEnd"/>
      <w:r w:rsidRPr="00042FE3">
        <w:rPr>
          <w:rFonts w:ascii="Book Antiqua" w:eastAsia="Times New Roman" w:hAnsi="Book Antiqua" w:cs="Times New Roman"/>
          <w:color w:val="000000" w:themeColor="text1"/>
          <w:sz w:val="24"/>
          <w:szCs w:val="24"/>
        </w:rPr>
        <w:t xml:space="preserve"> after treatment were significantly different betwee</w:t>
      </w:r>
      <w:r w:rsidR="009E45AC" w:rsidRPr="00042FE3">
        <w:rPr>
          <w:rFonts w:ascii="Book Antiqua" w:eastAsia="Times New Roman" w:hAnsi="Book Antiqua" w:cs="Times New Roman"/>
          <w:color w:val="000000" w:themeColor="text1"/>
          <w:sz w:val="24"/>
          <w:szCs w:val="24"/>
        </w:rPr>
        <w:t xml:space="preserve">n the </w:t>
      </w:r>
      <w:proofErr w:type="spellStart"/>
      <w:r w:rsidR="00931B39" w:rsidRPr="00931B39">
        <w:rPr>
          <w:rFonts w:ascii="Book Antiqua" w:eastAsia="Times New Roman" w:hAnsi="Book Antiqua" w:cs="Times New Roman"/>
          <w:color w:val="000000" w:themeColor="text1"/>
          <w:sz w:val="24"/>
          <w:szCs w:val="24"/>
        </w:rPr>
        <w:t>telaprevir</w:t>
      </w:r>
      <w:proofErr w:type="spellEnd"/>
      <w:r w:rsidR="00931B39" w:rsidRPr="00931B39">
        <w:rPr>
          <w:rFonts w:ascii="Book Antiqua" w:eastAsia="Times New Roman" w:hAnsi="Book Antiqua" w:cs="Times New Roman"/>
          <w:color w:val="000000" w:themeColor="text1"/>
          <w:sz w:val="24"/>
          <w:szCs w:val="24"/>
        </w:rPr>
        <w:t xml:space="preserve"> (TVR)</w:t>
      </w:r>
      <w:r w:rsidR="00931B39">
        <w:rPr>
          <w:rFonts w:ascii="Book Antiqua" w:eastAsia="宋体" w:hAnsi="Book Antiqua" w:cs="Times New Roman" w:hint="eastAsia"/>
          <w:color w:val="000000" w:themeColor="text1"/>
          <w:sz w:val="24"/>
          <w:szCs w:val="24"/>
          <w:lang w:eastAsia="zh-CN"/>
        </w:rPr>
        <w:t xml:space="preserve"> </w:t>
      </w:r>
      <w:r w:rsidR="009E45AC" w:rsidRPr="00042FE3">
        <w:rPr>
          <w:rFonts w:ascii="Book Antiqua" w:eastAsia="Times New Roman" w:hAnsi="Book Antiqua" w:cs="Times New Roman"/>
          <w:color w:val="000000" w:themeColor="text1"/>
          <w:sz w:val="24"/>
          <w:szCs w:val="24"/>
        </w:rPr>
        <w:t xml:space="preserve">group and </w:t>
      </w:r>
      <w:proofErr w:type="spellStart"/>
      <w:r w:rsidR="00931B39" w:rsidRPr="00931B39">
        <w:rPr>
          <w:rFonts w:ascii="Book Antiqua" w:eastAsia="Times New Roman" w:hAnsi="Book Antiqua" w:cs="Times New Roman"/>
          <w:color w:val="000000" w:themeColor="text1"/>
          <w:sz w:val="24"/>
          <w:szCs w:val="24"/>
        </w:rPr>
        <w:t>simeprevir</w:t>
      </w:r>
      <w:proofErr w:type="spellEnd"/>
      <w:r w:rsidR="00931B39" w:rsidRPr="00931B39">
        <w:rPr>
          <w:rFonts w:ascii="Book Antiqua" w:eastAsia="Times New Roman" w:hAnsi="Book Antiqua" w:cs="Times New Roman"/>
          <w:color w:val="000000" w:themeColor="text1"/>
          <w:sz w:val="24"/>
          <w:szCs w:val="24"/>
        </w:rPr>
        <w:t xml:space="preserve"> (SMV</w:t>
      </w:r>
      <w:r w:rsidR="00931B39">
        <w:rPr>
          <w:rFonts w:ascii="Book Antiqua" w:eastAsia="宋体" w:hAnsi="Book Antiqua" w:cs="Times New Roman" w:hint="eastAsia"/>
          <w:color w:val="000000" w:themeColor="text1"/>
          <w:sz w:val="24"/>
          <w:szCs w:val="24"/>
          <w:lang w:eastAsia="zh-CN"/>
        </w:rPr>
        <w:t xml:space="preserve">) </w:t>
      </w:r>
      <w:r w:rsidR="009E45AC" w:rsidRPr="00042FE3">
        <w:rPr>
          <w:rFonts w:ascii="Book Antiqua" w:eastAsia="Times New Roman" w:hAnsi="Book Antiqua" w:cs="Times New Roman"/>
          <w:color w:val="000000" w:themeColor="text1"/>
          <w:sz w:val="24"/>
          <w:szCs w:val="24"/>
        </w:rPr>
        <w:t>group. B:</w:t>
      </w:r>
      <w:r w:rsidRPr="00042FE3">
        <w:rPr>
          <w:rFonts w:ascii="Book Antiqua" w:eastAsia="Times New Roman" w:hAnsi="Book Antiqua" w:cs="Times New Roman"/>
          <w:color w:val="000000" w:themeColor="text1"/>
          <w:sz w:val="24"/>
          <w:szCs w:val="24"/>
        </w:rPr>
        <w:t xml:space="preserve"> After adjustment. No significant difference in the </w:t>
      </w:r>
      <w:proofErr w:type="spellStart"/>
      <w:r w:rsidRPr="00042FE3">
        <w:rPr>
          <w:rFonts w:ascii="Book Antiqua" w:eastAsia="Times New Roman" w:hAnsi="Book Antiqua" w:cs="Times New Roman"/>
          <w:color w:val="000000" w:themeColor="text1"/>
          <w:sz w:val="24"/>
          <w:szCs w:val="24"/>
        </w:rPr>
        <w:t>virological</w:t>
      </w:r>
      <w:proofErr w:type="spellEnd"/>
      <w:r w:rsidRPr="00042FE3">
        <w:rPr>
          <w:rFonts w:ascii="Book Antiqua" w:eastAsia="Times New Roman" w:hAnsi="Book Antiqua" w:cs="Times New Roman"/>
          <w:color w:val="000000" w:themeColor="text1"/>
          <w:sz w:val="24"/>
          <w:szCs w:val="24"/>
        </w:rPr>
        <w:t xml:space="preserve"> response was observed between the two groups.</w:t>
      </w:r>
    </w:p>
    <w:p w14:paraId="5CB7C0C9" w14:textId="77777777" w:rsidR="00C26FC3" w:rsidRDefault="00C26FC3">
      <w:pPr>
        <w:widowControl/>
        <w:jc w:val="left"/>
        <w:rPr>
          <w:rFonts w:ascii="Book Antiqua" w:eastAsia="Times New Roman" w:hAnsi="Book Antiqua" w:cs="Times New Roman"/>
          <w:color w:val="000000" w:themeColor="text1"/>
          <w:sz w:val="24"/>
          <w:szCs w:val="24"/>
          <w:u w:color="000000"/>
          <w:bdr w:val="nil"/>
        </w:rPr>
        <w:sectPr w:rsidR="00C26FC3">
          <w:pgSz w:w="11906" w:h="16838"/>
          <w:pgMar w:top="1985" w:right="1701" w:bottom="1701" w:left="1701" w:header="851" w:footer="992" w:gutter="0"/>
          <w:cols w:space="425"/>
          <w:docGrid w:type="lines" w:linePitch="360"/>
        </w:sectPr>
      </w:pPr>
    </w:p>
    <w:p w14:paraId="035FAB50" w14:textId="2A68C495" w:rsidR="004515E1" w:rsidRPr="00931B39" w:rsidRDefault="00931B39" w:rsidP="00C26FC3">
      <w:pPr>
        <w:tabs>
          <w:tab w:val="left" w:pos="2160"/>
        </w:tabs>
        <w:spacing w:line="360" w:lineRule="auto"/>
        <w:rPr>
          <w:rFonts w:ascii="Book Antiqua" w:eastAsia="宋体" w:hAnsi="Book Antiqua"/>
          <w:b/>
          <w:sz w:val="24"/>
          <w:szCs w:val="24"/>
          <w:lang w:eastAsia="zh-CN"/>
        </w:rPr>
      </w:pPr>
      <w:r>
        <w:rPr>
          <w:rFonts w:ascii="Book Antiqua" w:hAnsi="Book Antiqua"/>
          <w:b/>
          <w:sz w:val="24"/>
          <w:szCs w:val="24"/>
        </w:rPr>
        <w:lastRenderedPageBreak/>
        <w:t>Table 1</w:t>
      </w:r>
      <w:r>
        <w:rPr>
          <w:rFonts w:ascii="Book Antiqua" w:eastAsia="宋体" w:hAnsi="Book Antiqua" w:hint="eastAsia"/>
          <w:b/>
          <w:sz w:val="24"/>
          <w:szCs w:val="24"/>
          <w:lang w:eastAsia="zh-CN"/>
        </w:rPr>
        <w:t xml:space="preserve"> </w:t>
      </w:r>
      <w:r w:rsidR="004515E1">
        <w:rPr>
          <w:rFonts w:ascii="Book Antiqua" w:hAnsi="Book Antiqua"/>
          <w:b/>
          <w:sz w:val="24"/>
          <w:szCs w:val="24"/>
        </w:rPr>
        <w:t xml:space="preserve">Baseline characteristics of patients who received triple therapy with </w:t>
      </w:r>
      <w:proofErr w:type="spellStart"/>
      <w:r w:rsidR="004515E1">
        <w:rPr>
          <w:rFonts w:ascii="Book Antiqua" w:hAnsi="Book Antiqua"/>
          <w:b/>
          <w:sz w:val="24"/>
          <w:szCs w:val="24"/>
        </w:rPr>
        <w:t>pegylated</w:t>
      </w:r>
      <w:proofErr w:type="spellEnd"/>
      <w:r w:rsidR="004515E1">
        <w:rPr>
          <w:rFonts w:ascii="Book Antiqua" w:hAnsi="Book Antiqua"/>
          <w:b/>
          <w:sz w:val="24"/>
          <w:szCs w:val="24"/>
        </w:rPr>
        <w:t xml:space="preserve"> interferon, ribaviri</w:t>
      </w:r>
      <w:r>
        <w:rPr>
          <w:rFonts w:ascii="Book Antiqua" w:hAnsi="Book Antiqua"/>
          <w:b/>
          <w:sz w:val="24"/>
          <w:szCs w:val="24"/>
        </w:rPr>
        <w:t xml:space="preserve">n, and </w:t>
      </w:r>
      <w:proofErr w:type="spellStart"/>
      <w:r>
        <w:rPr>
          <w:rFonts w:ascii="Book Antiqua" w:hAnsi="Book Antiqua"/>
          <w:b/>
          <w:sz w:val="24"/>
          <w:szCs w:val="24"/>
        </w:rPr>
        <w:t>telaprevir</w:t>
      </w:r>
      <w:proofErr w:type="spellEnd"/>
      <w:r>
        <w:rPr>
          <w:rFonts w:ascii="Book Antiqua" w:hAnsi="Book Antiqua"/>
          <w:b/>
          <w:sz w:val="24"/>
          <w:szCs w:val="24"/>
        </w:rPr>
        <w:t xml:space="preserve"> or </w:t>
      </w:r>
      <w:proofErr w:type="spellStart"/>
      <w:r>
        <w:rPr>
          <w:rFonts w:ascii="Book Antiqua" w:hAnsi="Book Antiqua"/>
          <w:b/>
          <w:sz w:val="24"/>
          <w:szCs w:val="24"/>
        </w:rPr>
        <w:t>simeprevir</w:t>
      </w:r>
      <w:proofErr w:type="spellEnd"/>
    </w:p>
    <w:tbl>
      <w:tblPr>
        <w:tblW w:w="13855" w:type="dxa"/>
        <w:tblBorders>
          <w:top w:val="single" w:sz="4" w:space="0" w:color="auto"/>
          <w:bottom w:val="single" w:sz="4" w:space="0" w:color="auto"/>
        </w:tblBorders>
        <w:tblLook w:val="04A0" w:firstRow="1" w:lastRow="0" w:firstColumn="1" w:lastColumn="0" w:noHBand="0" w:noVBand="1"/>
      </w:tblPr>
      <w:tblGrid>
        <w:gridCol w:w="2532"/>
        <w:gridCol w:w="1312"/>
        <w:gridCol w:w="1323"/>
        <w:gridCol w:w="1234"/>
        <w:gridCol w:w="1499"/>
        <w:gridCol w:w="564"/>
        <w:gridCol w:w="1319"/>
        <w:gridCol w:w="1331"/>
        <w:gridCol w:w="1242"/>
        <w:gridCol w:w="1499"/>
      </w:tblGrid>
      <w:tr w:rsidR="004515E1" w:rsidRPr="00931B39" w14:paraId="703CC309" w14:textId="77777777" w:rsidTr="00931B39">
        <w:trPr>
          <w:trHeight w:val="700"/>
        </w:trPr>
        <w:tc>
          <w:tcPr>
            <w:tcW w:w="2549" w:type="dxa"/>
            <w:tcBorders>
              <w:top w:val="single" w:sz="4" w:space="0" w:color="auto"/>
              <w:bottom w:val="nil"/>
            </w:tcBorders>
          </w:tcPr>
          <w:p w14:paraId="5157E24B" w14:textId="77777777" w:rsidR="004515E1" w:rsidRPr="00931B39" w:rsidRDefault="004515E1" w:rsidP="00931B39">
            <w:pPr>
              <w:tabs>
                <w:tab w:val="left" w:pos="2160"/>
              </w:tabs>
              <w:spacing w:line="360" w:lineRule="auto"/>
              <w:rPr>
                <w:rFonts w:ascii="Book Antiqua" w:hAnsi="Book Antiqua"/>
                <w:b/>
                <w:szCs w:val="21"/>
              </w:rPr>
            </w:pPr>
          </w:p>
        </w:tc>
        <w:tc>
          <w:tcPr>
            <w:tcW w:w="3990" w:type="dxa"/>
            <w:gridSpan w:val="3"/>
            <w:tcBorders>
              <w:top w:val="single" w:sz="4" w:space="0" w:color="auto"/>
              <w:bottom w:val="nil"/>
            </w:tcBorders>
            <w:vAlign w:val="center"/>
            <w:hideMark/>
          </w:tcPr>
          <w:p w14:paraId="3391288B" w14:textId="77777777" w:rsidR="004515E1" w:rsidRPr="00931B39" w:rsidRDefault="004515E1" w:rsidP="00931B39">
            <w:pPr>
              <w:spacing w:line="360" w:lineRule="auto"/>
              <w:rPr>
                <w:rFonts w:ascii="Book Antiqua" w:hAnsi="Book Antiqua"/>
                <w:b/>
                <w:szCs w:val="21"/>
              </w:rPr>
            </w:pPr>
            <w:r w:rsidRPr="00931B39">
              <w:rPr>
                <w:rFonts w:ascii="Book Antiqua" w:hAnsi="Book Antiqua"/>
                <w:b/>
                <w:szCs w:val="21"/>
              </w:rPr>
              <w:t>Unmatched patients</w:t>
            </w:r>
          </w:p>
        </w:tc>
        <w:tc>
          <w:tcPr>
            <w:tcW w:w="1331" w:type="dxa"/>
            <w:tcBorders>
              <w:top w:val="single" w:sz="4" w:space="0" w:color="auto"/>
              <w:bottom w:val="nil"/>
            </w:tcBorders>
            <w:vAlign w:val="center"/>
          </w:tcPr>
          <w:p w14:paraId="62CD3968" w14:textId="77777777" w:rsidR="004515E1" w:rsidRPr="00931B39" w:rsidRDefault="004515E1" w:rsidP="00931B39">
            <w:pPr>
              <w:spacing w:line="360" w:lineRule="auto"/>
              <w:rPr>
                <w:rFonts w:ascii="Book Antiqua" w:hAnsi="Book Antiqua" w:cs="Arial"/>
                <w:b/>
                <w:szCs w:val="21"/>
              </w:rPr>
            </w:pPr>
          </w:p>
        </w:tc>
        <w:tc>
          <w:tcPr>
            <w:tcW w:w="630" w:type="dxa"/>
            <w:tcBorders>
              <w:top w:val="single" w:sz="4" w:space="0" w:color="auto"/>
              <w:bottom w:val="nil"/>
            </w:tcBorders>
          </w:tcPr>
          <w:p w14:paraId="76202D9C" w14:textId="77777777" w:rsidR="004515E1" w:rsidRPr="00931B39" w:rsidRDefault="004515E1" w:rsidP="00931B39">
            <w:pPr>
              <w:tabs>
                <w:tab w:val="left" w:pos="2160"/>
              </w:tabs>
              <w:spacing w:line="360" w:lineRule="auto"/>
              <w:rPr>
                <w:rFonts w:ascii="Book Antiqua" w:hAnsi="Book Antiqua"/>
                <w:b/>
                <w:szCs w:val="21"/>
              </w:rPr>
            </w:pPr>
          </w:p>
        </w:tc>
        <w:tc>
          <w:tcPr>
            <w:tcW w:w="4016" w:type="dxa"/>
            <w:gridSpan w:val="3"/>
            <w:tcBorders>
              <w:top w:val="single" w:sz="4" w:space="0" w:color="auto"/>
              <w:bottom w:val="nil"/>
            </w:tcBorders>
            <w:vAlign w:val="center"/>
            <w:hideMark/>
          </w:tcPr>
          <w:p w14:paraId="4B82A9EA" w14:textId="77777777" w:rsidR="004515E1" w:rsidRPr="00931B39" w:rsidRDefault="004515E1" w:rsidP="00931B39">
            <w:pPr>
              <w:spacing w:line="360" w:lineRule="auto"/>
              <w:rPr>
                <w:rFonts w:ascii="Book Antiqua" w:hAnsi="Book Antiqua"/>
                <w:b/>
                <w:szCs w:val="21"/>
              </w:rPr>
            </w:pPr>
            <w:r w:rsidRPr="00931B39">
              <w:rPr>
                <w:rFonts w:ascii="Book Antiqua" w:hAnsi="Book Antiqua"/>
                <w:b/>
                <w:szCs w:val="21"/>
              </w:rPr>
              <w:t>Propensity score matched patients</w:t>
            </w:r>
          </w:p>
        </w:tc>
        <w:tc>
          <w:tcPr>
            <w:tcW w:w="1339" w:type="dxa"/>
            <w:tcBorders>
              <w:top w:val="single" w:sz="4" w:space="0" w:color="auto"/>
              <w:bottom w:val="nil"/>
            </w:tcBorders>
            <w:vAlign w:val="center"/>
          </w:tcPr>
          <w:p w14:paraId="6EBD5397" w14:textId="77777777" w:rsidR="004515E1" w:rsidRPr="00931B39" w:rsidRDefault="004515E1" w:rsidP="00931B39">
            <w:pPr>
              <w:spacing w:line="360" w:lineRule="auto"/>
              <w:rPr>
                <w:rFonts w:ascii="Book Antiqua" w:hAnsi="Book Antiqua" w:cs="Arial"/>
                <w:b/>
                <w:szCs w:val="21"/>
              </w:rPr>
            </w:pPr>
          </w:p>
        </w:tc>
      </w:tr>
      <w:tr w:rsidR="004515E1" w:rsidRPr="00931B39" w14:paraId="58E8AED0" w14:textId="77777777" w:rsidTr="00931B39">
        <w:trPr>
          <w:trHeight w:val="700"/>
        </w:trPr>
        <w:tc>
          <w:tcPr>
            <w:tcW w:w="2549" w:type="dxa"/>
            <w:tcBorders>
              <w:top w:val="nil"/>
              <w:bottom w:val="single" w:sz="4" w:space="0" w:color="auto"/>
            </w:tcBorders>
          </w:tcPr>
          <w:p w14:paraId="661321C9" w14:textId="77777777" w:rsidR="004515E1" w:rsidRPr="00931B39" w:rsidRDefault="004515E1" w:rsidP="00931B39">
            <w:pPr>
              <w:tabs>
                <w:tab w:val="left" w:pos="2160"/>
              </w:tabs>
              <w:spacing w:line="360" w:lineRule="auto"/>
              <w:rPr>
                <w:rFonts w:ascii="Book Antiqua" w:hAnsi="Book Antiqua"/>
                <w:b/>
                <w:szCs w:val="21"/>
              </w:rPr>
            </w:pPr>
          </w:p>
        </w:tc>
        <w:tc>
          <w:tcPr>
            <w:tcW w:w="1330" w:type="dxa"/>
            <w:tcBorders>
              <w:top w:val="nil"/>
              <w:bottom w:val="single" w:sz="4" w:space="0" w:color="auto"/>
            </w:tcBorders>
            <w:vAlign w:val="center"/>
            <w:hideMark/>
          </w:tcPr>
          <w:p w14:paraId="0703FD0E" w14:textId="77777777" w:rsidR="004515E1" w:rsidRPr="00931B39" w:rsidRDefault="004515E1" w:rsidP="00931B39">
            <w:pPr>
              <w:spacing w:line="360" w:lineRule="auto"/>
              <w:rPr>
                <w:rFonts w:ascii="Book Antiqua" w:hAnsi="Book Antiqua" w:cs="Arial"/>
                <w:b/>
                <w:szCs w:val="21"/>
              </w:rPr>
            </w:pPr>
            <w:proofErr w:type="spellStart"/>
            <w:r w:rsidRPr="00931B39">
              <w:rPr>
                <w:rFonts w:ascii="Book Antiqua" w:hAnsi="Book Antiqua" w:cs="Arial"/>
                <w:b/>
                <w:szCs w:val="21"/>
              </w:rPr>
              <w:t>Telaprevir</w:t>
            </w:r>
            <w:proofErr w:type="spellEnd"/>
          </w:p>
        </w:tc>
        <w:tc>
          <w:tcPr>
            <w:tcW w:w="1330" w:type="dxa"/>
            <w:tcBorders>
              <w:top w:val="nil"/>
              <w:bottom w:val="single" w:sz="4" w:space="0" w:color="auto"/>
            </w:tcBorders>
            <w:vAlign w:val="center"/>
            <w:hideMark/>
          </w:tcPr>
          <w:p w14:paraId="3F0FBE2E" w14:textId="77777777" w:rsidR="004515E1" w:rsidRPr="00931B39" w:rsidRDefault="004515E1" w:rsidP="00931B39">
            <w:pPr>
              <w:spacing w:line="360" w:lineRule="auto"/>
              <w:rPr>
                <w:rFonts w:ascii="Book Antiqua" w:hAnsi="Book Antiqua" w:cs="Arial"/>
                <w:b/>
                <w:szCs w:val="21"/>
              </w:rPr>
            </w:pPr>
            <w:proofErr w:type="spellStart"/>
            <w:r w:rsidRPr="00931B39">
              <w:rPr>
                <w:rFonts w:ascii="Book Antiqua" w:hAnsi="Book Antiqua" w:cs="Arial"/>
                <w:b/>
                <w:szCs w:val="21"/>
              </w:rPr>
              <w:t>Simeprevir</w:t>
            </w:r>
            <w:proofErr w:type="spellEnd"/>
          </w:p>
        </w:tc>
        <w:tc>
          <w:tcPr>
            <w:tcW w:w="1330" w:type="dxa"/>
            <w:tcBorders>
              <w:top w:val="nil"/>
              <w:bottom w:val="single" w:sz="4" w:space="0" w:color="auto"/>
            </w:tcBorders>
            <w:vAlign w:val="center"/>
            <w:hideMark/>
          </w:tcPr>
          <w:p w14:paraId="59FFB81C" w14:textId="5496728E" w:rsidR="004515E1" w:rsidRPr="00931B39" w:rsidRDefault="004515E1" w:rsidP="00931B39">
            <w:pPr>
              <w:spacing w:line="360" w:lineRule="auto"/>
              <w:rPr>
                <w:rFonts w:ascii="Book Antiqua" w:hAnsi="Book Antiqua" w:cs="Arial"/>
                <w:b/>
                <w:szCs w:val="21"/>
              </w:rPr>
            </w:pPr>
            <w:r w:rsidRPr="00931B39">
              <w:rPr>
                <w:rFonts w:ascii="Book Antiqua" w:hAnsi="Book Antiqua" w:cs="Arial"/>
                <w:b/>
                <w:i/>
                <w:szCs w:val="21"/>
              </w:rPr>
              <w:t>P</w:t>
            </w:r>
            <w:r w:rsidR="00931B39">
              <w:rPr>
                <w:rFonts w:ascii="Book Antiqua" w:eastAsia="宋体" w:hAnsi="Book Antiqua" w:cs="Arial" w:hint="eastAsia"/>
                <w:b/>
                <w:szCs w:val="21"/>
                <w:lang w:eastAsia="zh-CN"/>
              </w:rPr>
              <w:t xml:space="preserve"> </w:t>
            </w:r>
            <w:r w:rsidRPr="00931B39">
              <w:rPr>
                <w:rFonts w:ascii="Book Antiqua" w:hAnsi="Book Antiqua" w:cs="Arial"/>
                <w:b/>
                <w:szCs w:val="21"/>
              </w:rPr>
              <w:t>value</w:t>
            </w:r>
          </w:p>
        </w:tc>
        <w:tc>
          <w:tcPr>
            <w:tcW w:w="1331" w:type="dxa"/>
            <w:tcBorders>
              <w:top w:val="nil"/>
              <w:bottom w:val="single" w:sz="4" w:space="0" w:color="auto"/>
            </w:tcBorders>
            <w:vAlign w:val="center"/>
            <w:hideMark/>
          </w:tcPr>
          <w:p w14:paraId="4246FC5D" w14:textId="77777777" w:rsidR="004515E1" w:rsidRPr="00931B39" w:rsidRDefault="004515E1" w:rsidP="00931B39">
            <w:pPr>
              <w:spacing w:line="360" w:lineRule="auto"/>
              <w:rPr>
                <w:rFonts w:ascii="Book Antiqua" w:hAnsi="Book Antiqua" w:cs="Arial"/>
                <w:b/>
                <w:szCs w:val="21"/>
              </w:rPr>
            </w:pPr>
            <w:r w:rsidRPr="00931B39">
              <w:rPr>
                <w:rFonts w:ascii="Book Antiqua" w:hAnsi="Book Antiqua" w:cs="Arial"/>
                <w:b/>
                <w:szCs w:val="21"/>
              </w:rPr>
              <w:t>Standardized Difference</w:t>
            </w:r>
          </w:p>
        </w:tc>
        <w:tc>
          <w:tcPr>
            <w:tcW w:w="630" w:type="dxa"/>
            <w:tcBorders>
              <w:top w:val="nil"/>
              <w:bottom w:val="single" w:sz="4" w:space="0" w:color="auto"/>
            </w:tcBorders>
          </w:tcPr>
          <w:p w14:paraId="384C4EBB" w14:textId="77777777" w:rsidR="004515E1" w:rsidRPr="00931B39" w:rsidRDefault="004515E1" w:rsidP="00931B39">
            <w:pPr>
              <w:tabs>
                <w:tab w:val="left" w:pos="2160"/>
              </w:tabs>
              <w:spacing w:line="360" w:lineRule="auto"/>
              <w:rPr>
                <w:rFonts w:ascii="Book Antiqua" w:hAnsi="Book Antiqua"/>
                <w:b/>
                <w:szCs w:val="21"/>
              </w:rPr>
            </w:pPr>
          </w:p>
        </w:tc>
        <w:tc>
          <w:tcPr>
            <w:tcW w:w="1338" w:type="dxa"/>
            <w:tcBorders>
              <w:top w:val="nil"/>
              <w:bottom w:val="single" w:sz="4" w:space="0" w:color="auto"/>
            </w:tcBorders>
            <w:vAlign w:val="center"/>
            <w:hideMark/>
          </w:tcPr>
          <w:p w14:paraId="627538B1" w14:textId="77777777" w:rsidR="004515E1" w:rsidRPr="00931B39" w:rsidRDefault="004515E1" w:rsidP="00931B39">
            <w:pPr>
              <w:spacing w:line="360" w:lineRule="auto"/>
              <w:rPr>
                <w:rFonts w:ascii="Book Antiqua" w:hAnsi="Book Antiqua" w:cs="Arial"/>
                <w:b/>
                <w:szCs w:val="21"/>
              </w:rPr>
            </w:pPr>
            <w:proofErr w:type="spellStart"/>
            <w:r w:rsidRPr="00931B39">
              <w:rPr>
                <w:rFonts w:ascii="Book Antiqua" w:hAnsi="Book Antiqua" w:cs="Arial"/>
                <w:b/>
                <w:szCs w:val="21"/>
              </w:rPr>
              <w:t>Telaprevir</w:t>
            </w:r>
            <w:proofErr w:type="spellEnd"/>
          </w:p>
        </w:tc>
        <w:tc>
          <w:tcPr>
            <w:tcW w:w="1339" w:type="dxa"/>
            <w:tcBorders>
              <w:top w:val="nil"/>
              <w:bottom w:val="single" w:sz="4" w:space="0" w:color="auto"/>
            </w:tcBorders>
            <w:vAlign w:val="center"/>
            <w:hideMark/>
          </w:tcPr>
          <w:p w14:paraId="460CD98F" w14:textId="77777777" w:rsidR="004515E1" w:rsidRPr="00931B39" w:rsidRDefault="004515E1" w:rsidP="00931B39">
            <w:pPr>
              <w:spacing w:line="360" w:lineRule="auto"/>
              <w:rPr>
                <w:rFonts w:ascii="Book Antiqua" w:hAnsi="Book Antiqua" w:cs="Arial"/>
                <w:b/>
                <w:szCs w:val="21"/>
              </w:rPr>
            </w:pPr>
            <w:proofErr w:type="spellStart"/>
            <w:r w:rsidRPr="00931B39">
              <w:rPr>
                <w:rFonts w:ascii="Book Antiqua" w:hAnsi="Book Antiqua" w:cs="Arial"/>
                <w:b/>
                <w:szCs w:val="21"/>
              </w:rPr>
              <w:t>Simeprevir</w:t>
            </w:r>
            <w:proofErr w:type="spellEnd"/>
          </w:p>
        </w:tc>
        <w:tc>
          <w:tcPr>
            <w:tcW w:w="1339" w:type="dxa"/>
            <w:tcBorders>
              <w:top w:val="nil"/>
              <w:bottom w:val="single" w:sz="4" w:space="0" w:color="auto"/>
            </w:tcBorders>
            <w:vAlign w:val="center"/>
            <w:hideMark/>
          </w:tcPr>
          <w:p w14:paraId="76031511" w14:textId="1398706B" w:rsidR="004515E1" w:rsidRPr="00931B39" w:rsidRDefault="004515E1" w:rsidP="00931B39">
            <w:pPr>
              <w:spacing w:line="360" w:lineRule="auto"/>
              <w:rPr>
                <w:rFonts w:ascii="Book Antiqua" w:hAnsi="Book Antiqua" w:cs="Arial"/>
                <w:b/>
                <w:szCs w:val="21"/>
              </w:rPr>
            </w:pPr>
            <w:r w:rsidRPr="00931B39">
              <w:rPr>
                <w:rFonts w:ascii="Book Antiqua" w:hAnsi="Book Antiqua" w:cs="Arial"/>
                <w:b/>
                <w:i/>
                <w:szCs w:val="21"/>
              </w:rPr>
              <w:t>P</w:t>
            </w:r>
            <w:r w:rsidR="00931B39">
              <w:rPr>
                <w:rFonts w:ascii="Book Antiqua" w:eastAsia="宋体" w:hAnsi="Book Antiqua" w:cs="Arial" w:hint="eastAsia"/>
                <w:b/>
                <w:szCs w:val="21"/>
                <w:lang w:eastAsia="zh-CN"/>
              </w:rPr>
              <w:t xml:space="preserve"> </w:t>
            </w:r>
            <w:r w:rsidRPr="00931B39">
              <w:rPr>
                <w:rFonts w:ascii="Book Antiqua" w:hAnsi="Book Antiqua" w:cs="Arial"/>
                <w:b/>
                <w:szCs w:val="21"/>
              </w:rPr>
              <w:t>value</w:t>
            </w:r>
          </w:p>
        </w:tc>
        <w:tc>
          <w:tcPr>
            <w:tcW w:w="1339" w:type="dxa"/>
            <w:tcBorders>
              <w:top w:val="nil"/>
              <w:bottom w:val="single" w:sz="4" w:space="0" w:color="auto"/>
            </w:tcBorders>
            <w:vAlign w:val="center"/>
            <w:hideMark/>
          </w:tcPr>
          <w:p w14:paraId="6F4C305F" w14:textId="77777777" w:rsidR="004515E1" w:rsidRPr="00931B39" w:rsidRDefault="004515E1" w:rsidP="00931B39">
            <w:pPr>
              <w:spacing w:line="360" w:lineRule="auto"/>
              <w:rPr>
                <w:rFonts w:ascii="Book Antiqua" w:hAnsi="Book Antiqua" w:cs="Arial"/>
                <w:b/>
                <w:szCs w:val="21"/>
              </w:rPr>
            </w:pPr>
            <w:r w:rsidRPr="00931B39">
              <w:rPr>
                <w:rFonts w:ascii="Book Antiqua" w:hAnsi="Book Antiqua" w:cs="Arial"/>
                <w:b/>
                <w:szCs w:val="21"/>
              </w:rPr>
              <w:t>Standardized Difference</w:t>
            </w:r>
          </w:p>
        </w:tc>
      </w:tr>
      <w:tr w:rsidR="004515E1" w:rsidRPr="00931B39" w14:paraId="2EDED99D" w14:textId="77777777" w:rsidTr="00931B39">
        <w:tc>
          <w:tcPr>
            <w:tcW w:w="2549" w:type="dxa"/>
            <w:tcBorders>
              <w:top w:val="single" w:sz="4" w:space="0" w:color="auto"/>
            </w:tcBorders>
            <w:vAlign w:val="center"/>
            <w:hideMark/>
          </w:tcPr>
          <w:p w14:paraId="7187369A"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Number of patients</w:t>
            </w:r>
          </w:p>
        </w:tc>
        <w:tc>
          <w:tcPr>
            <w:tcW w:w="1330" w:type="dxa"/>
            <w:tcBorders>
              <w:top w:val="single" w:sz="4" w:space="0" w:color="auto"/>
            </w:tcBorders>
            <w:vAlign w:val="center"/>
            <w:hideMark/>
          </w:tcPr>
          <w:p w14:paraId="6B46B85D" w14:textId="34DE0EFF" w:rsidR="004515E1" w:rsidRPr="00931B39" w:rsidRDefault="00931B39" w:rsidP="00931B39">
            <w:pPr>
              <w:spacing w:line="360" w:lineRule="auto"/>
              <w:rPr>
                <w:rFonts w:ascii="Book Antiqua" w:hAnsi="Book Antiqua" w:cs="Arial"/>
                <w:szCs w:val="21"/>
              </w:rPr>
            </w:pPr>
            <w:r w:rsidRPr="00931B39">
              <w:rPr>
                <w:rFonts w:ascii="Book Antiqua" w:hAnsi="Book Antiqua" w:cs="Arial"/>
                <w:i/>
                <w:color w:val="000000"/>
                <w:szCs w:val="21"/>
              </w:rPr>
              <w:t>n</w:t>
            </w:r>
            <w:r w:rsidR="004515E1" w:rsidRPr="00931B39">
              <w:rPr>
                <w:rFonts w:ascii="Book Antiqua" w:hAnsi="Book Antiqua" w:cs="Arial"/>
                <w:color w:val="000000"/>
                <w:szCs w:val="21"/>
              </w:rPr>
              <w:t xml:space="preserve"> = 159</w:t>
            </w:r>
          </w:p>
        </w:tc>
        <w:tc>
          <w:tcPr>
            <w:tcW w:w="1330" w:type="dxa"/>
            <w:tcBorders>
              <w:top w:val="single" w:sz="4" w:space="0" w:color="auto"/>
            </w:tcBorders>
            <w:vAlign w:val="center"/>
            <w:hideMark/>
          </w:tcPr>
          <w:p w14:paraId="131BC2BF" w14:textId="652A0FFE" w:rsidR="004515E1" w:rsidRPr="00931B39" w:rsidRDefault="00931B39" w:rsidP="00931B39">
            <w:pPr>
              <w:spacing w:line="360" w:lineRule="auto"/>
              <w:rPr>
                <w:rFonts w:ascii="Book Antiqua" w:hAnsi="Book Antiqua" w:cs="Arial"/>
                <w:szCs w:val="21"/>
              </w:rPr>
            </w:pPr>
            <w:r w:rsidRPr="00931B39">
              <w:rPr>
                <w:rFonts w:ascii="Book Antiqua" w:hAnsi="Book Antiqua" w:cs="Arial"/>
                <w:i/>
                <w:color w:val="000000"/>
                <w:szCs w:val="21"/>
              </w:rPr>
              <w:t>n</w:t>
            </w:r>
            <w:r w:rsidR="004515E1" w:rsidRPr="00931B39">
              <w:rPr>
                <w:rFonts w:ascii="Book Antiqua" w:hAnsi="Book Antiqua" w:cs="Arial"/>
                <w:szCs w:val="21"/>
              </w:rPr>
              <w:t xml:space="preserve"> = 147</w:t>
            </w:r>
          </w:p>
        </w:tc>
        <w:tc>
          <w:tcPr>
            <w:tcW w:w="1330" w:type="dxa"/>
            <w:tcBorders>
              <w:top w:val="single" w:sz="4" w:space="0" w:color="auto"/>
            </w:tcBorders>
            <w:vAlign w:val="center"/>
          </w:tcPr>
          <w:p w14:paraId="2B0ACFB6" w14:textId="77777777" w:rsidR="004515E1" w:rsidRPr="00931B39" w:rsidRDefault="004515E1" w:rsidP="00931B39">
            <w:pPr>
              <w:spacing w:line="360" w:lineRule="auto"/>
              <w:rPr>
                <w:rFonts w:ascii="Book Antiqua" w:hAnsi="Book Antiqua" w:cs="Arial"/>
                <w:szCs w:val="21"/>
              </w:rPr>
            </w:pPr>
          </w:p>
        </w:tc>
        <w:tc>
          <w:tcPr>
            <w:tcW w:w="1331" w:type="dxa"/>
            <w:tcBorders>
              <w:top w:val="single" w:sz="4" w:space="0" w:color="auto"/>
            </w:tcBorders>
            <w:vAlign w:val="center"/>
          </w:tcPr>
          <w:p w14:paraId="58CF470B" w14:textId="77777777" w:rsidR="004515E1" w:rsidRPr="00931B39" w:rsidRDefault="004515E1" w:rsidP="00931B39">
            <w:pPr>
              <w:spacing w:line="360" w:lineRule="auto"/>
              <w:rPr>
                <w:rFonts w:ascii="Book Antiqua" w:hAnsi="Book Antiqua" w:cs="Arial"/>
                <w:szCs w:val="21"/>
              </w:rPr>
            </w:pPr>
          </w:p>
        </w:tc>
        <w:tc>
          <w:tcPr>
            <w:tcW w:w="630" w:type="dxa"/>
            <w:tcBorders>
              <w:top w:val="single" w:sz="4" w:space="0" w:color="auto"/>
            </w:tcBorders>
          </w:tcPr>
          <w:p w14:paraId="22E5473E" w14:textId="77777777" w:rsidR="004515E1" w:rsidRPr="00931B39" w:rsidRDefault="004515E1" w:rsidP="00931B39">
            <w:pPr>
              <w:tabs>
                <w:tab w:val="left" w:pos="2160"/>
              </w:tabs>
              <w:spacing w:line="360" w:lineRule="auto"/>
              <w:rPr>
                <w:rFonts w:ascii="Book Antiqua" w:hAnsi="Book Antiqua"/>
                <w:szCs w:val="21"/>
              </w:rPr>
            </w:pPr>
          </w:p>
        </w:tc>
        <w:tc>
          <w:tcPr>
            <w:tcW w:w="1338" w:type="dxa"/>
            <w:tcBorders>
              <w:top w:val="single" w:sz="4" w:space="0" w:color="auto"/>
            </w:tcBorders>
            <w:vAlign w:val="center"/>
            <w:hideMark/>
          </w:tcPr>
          <w:p w14:paraId="50EACB9F" w14:textId="09A0C523" w:rsidR="004515E1" w:rsidRPr="00931B39" w:rsidRDefault="00504D26" w:rsidP="00931B39">
            <w:pPr>
              <w:spacing w:line="360" w:lineRule="auto"/>
              <w:rPr>
                <w:rFonts w:ascii="Book Antiqua" w:hAnsi="Book Antiqua" w:cs="Arial"/>
                <w:color w:val="FF0000"/>
                <w:szCs w:val="21"/>
              </w:rPr>
            </w:pPr>
            <w:r w:rsidRPr="00931B39">
              <w:rPr>
                <w:rFonts w:ascii="Book Antiqua" w:hAnsi="Book Antiqua" w:cs="Arial"/>
                <w:i/>
                <w:color w:val="000000"/>
                <w:szCs w:val="21"/>
              </w:rPr>
              <w:t>n</w:t>
            </w:r>
            <w:r w:rsidR="004515E1" w:rsidRPr="00931B39">
              <w:rPr>
                <w:rFonts w:ascii="Book Antiqua" w:hAnsi="Book Antiqua" w:cs="Arial"/>
                <w:color w:val="000000"/>
                <w:szCs w:val="21"/>
              </w:rPr>
              <w:t xml:space="preserve"> = 104</w:t>
            </w:r>
          </w:p>
        </w:tc>
        <w:tc>
          <w:tcPr>
            <w:tcW w:w="1339" w:type="dxa"/>
            <w:tcBorders>
              <w:top w:val="single" w:sz="4" w:space="0" w:color="auto"/>
            </w:tcBorders>
            <w:vAlign w:val="center"/>
            <w:hideMark/>
          </w:tcPr>
          <w:p w14:paraId="5A927225" w14:textId="557E887D" w:rsidR="004515E1" w:rsidRPr="00931B39" w:rsidRDefault="00504D26" w:rsidP="00931B39">
            <w:pPr>
              <w:spacing w:line="360" w:lineRule="auto"/>
              <w:rPr>
                <w:rFonts w:ascii="Book Antiqua" w:hAnsi="Book Antiqua" w:cs="Arial"/>
                <w:color w:val="000000"/>
                <w:szCs w:val="21"/>
              </w:rPr>
            </w:pPr>
            <w:r w:rsidRPr="00931B39">
              <w:rPr>
                <w:rFonts w:ascii="Book Antiqua" w:hAnsi="Book Antiqua" w:cs="Arial"/>
                <w:i/>
                <w:color w:val="000000"/>
                <w:szCs w:val="21"/>
              </w:rPr>
              <w:t>n</w:t>
            </w:r>
            <w:r w:rsidR="004515E1" w:rsidRPr="00931B39">
              <w:rPr>
                <w:rFonts w:ascii="Book Antiqua" w:hAnsi="Book Antiqua" w:cs="Arial"/>
                <w:color w:val="000000"/>
                <w:szCs w:val="21"/>
              </w:rPr>
              <w:t xml:space="preserve"> = 104</w:t>
            </w:r>
          </w:p>
        </w:tc>
        <w:tc>
          <w:tcPr>
            <w:tcW w:w="1339" w:type="dxa"/>
            <w:tcBorders>
              <w:top w:val="single" w:sz="4" w:space="0" w:color="auto"/>
            </w:tcBorders>
            <w:vAlign w:val="center"/>
          </w:tcPr>
          <w:p w14:paraId="3F31D80C" w14:textId="77777777" w:rsidR="004515E1" w:rsidRPr="00931B39" w:rsidRDefault="004515E1" w:rsidP="00931B39">
            <w:pPr>
              <w:spacing w:line="360" w:lineRule="auto"/>
              <w:rPr>
                <w:rFonts w:ascii="Book Antiqua" w:hAnsi="Book Antiqua" w:cs="Arial"/>
                <w:szCs w:val="21"/>
              </w:rPr>
            </w:pPr>
          </w:p>
        </w:tc>
        <w:tc>
          <w:tcPr>
            <w:tcW w:w="1339" w:type="dxa"/>
            <w:tcBorders>
              <w:top w:val="single" w:sz="4" w:space="0" w:color="auto"/>
            </w:tcBorders>
            <w:vAlign w:val="center"/>
          </w:tcPr>
          <w:p w14:paraId="763A1FB2" w14:textId="77777777" w:rsidR="004515E1" w:rsidRPr="00931B39" w:rsidRDefault="004515E1" w:rsidP="00931B39">
            <w:pPr>
              <w:spacing w:line="360" w:lineRule="auto"/>
              <w:rPr>
                <w:rFonts w:ascii="Book Antiqua" w:hAnsi="Book Antiqua" w:cs="Arial"/>
                <w:color w:val="FF0000"/>
                <w:szCs w:val="21"/>
              </w:rPr>
            </w:pPr>
          </w:p>
        </w:tc>
      </w:tr>
      <w:tr w:rsidR="004515E1" w:rsidRPr="00931B39" w14:paraId="63414B63" w14:textId="77777777" w:rsidTr="00931B39">
        <w:trPr>
          <w:trHeight w:val="343"/>
        </w:trPr>
        <w:tc>
          <w:tcPr>
            <w:tcW w:w="2549" w:type="dxa"/>
            <w:vAlign w:val="center"/>
            <w:hideMark/>
          </w:tcPr>
          <w:p w14:paraId="364F2FBB"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Age(years)</w:t>
            </w:r>
          </w:p>
        </w:tc>
        <w:tc>
          <w:tcPr>
            <w:tcW w:w="1330" w:type="dxa"/>
            <w:vAlign w:val="center"/>
            <w:hideMark/>
          </w:tcPr>
          <w:p w14:paraId="16E6EEA8"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 xml:space="preserve">60.0 </w:t>
            </w:r>
          </w:p>
          <w:p w14:paraId="345E4EB7" w14:textId="37606ED2"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(51.0–65.0)</w:t>
            </w:r>
          </w:p>
        </w:tc>
        <w:tc>
          <w:tcPr>
            <w:tcW w:w="1330" w:type="dxa"/>
            <w:vAlign w:val="center"/>
            <w:hideMark/>
          </w:tcPr>
          <w:p w14:paraId="20FE985A"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 xml:space="preserve">63.0 </w:t>
            </w:r>
          </w:p>
          <w:p w14:paraId="62276E50" w14:textId="09884AE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(54.5–70.0)</w:t>
            </w:r>
          </w:p>
        </w:tc>
        <w:tc>
          <w:tcPr>
            <w:tcW w:w="1330" w:type="dxa"/>
            <w:vAlign w:val="center"/>
            <w:hideMark/>
          </w:tcPr>
          <w:p w14:paraId="1DBFE70E"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0.002</w:t>
            </w:r>
          </w:p>
        </w:tc>
        <w:tc>
          <w:tcPr>
            <w:tcW w:w="1331" w:type="dxa"/>
            <w:vAlign w:val="center"/>
            <w:hideMark/>
          </w:tcPr>
          <w:p w14:paraId="660FBE74"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0.348</w:t>
            </w:r>
          </w:p>
        </w:tc>
        <w:tc>
          <w:tcPr>
            <w:tcW w:w="630" w:type="dxa"/>
          </w:tcPr>
          <w:p w14:paraId="050A5517" w14:textId="77777777" w:rsidR="004515E1" w:rsidRPr="00931B39" w:rsidRDefault="004515E1" w:rsidP="00931B39">
            <w:pPr>
              <w:tabs>
                <w:tab w:val="left" w:pos="2160"/>
              </w:tabs>
              <w:spacing w:line="360" w:lineRule="auto"/>
              <w:rPr>
                <w:rFonts w:ascii="Book Antiqua" w:hAnsi="Book Antiqua"/>
                <w:szCs w:val="21"/>
              </w:rPr>
            </w:pPr>
          </w:p>
        </w:tc>
        <w:tc>
          <w:tcPr>
            <w:tcW w:w="1338" w:type="dxa"/>
            <w:vAlign w:val="center"/>
            <w:hideMark/>
          </w:tcPr>
          <w:p w14:paraId="786F0AE0" w14:textId="77777777"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61.5</w:t>
            </w:r>
          </w:p>
          <w:p w14:paraId="57012411" w14:textId="4CAE46E0"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(53.0–65.8)</w:t>
            </w:r>
          </w:p>
        </w:tc>
        <w:tc>
          <w:tcPr>
            <w:tcW w:w="1339" w:type="dxa"/>
            <w:vAlign w:val="center"/>
            <w:hideMark/>
          </w:tcPr>
          <w:p w14:paraId="61D18135" w14:textId="77777777"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60.5</w:t>
            </w:r>
          </w:p>
          <w:p w14:paraId="3D56B0B6" w14:textId="54E1D9BD"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(52.0–67.0)</w:t>
            </w:r>
          </w:p>
        </w:tc>
        <w:tc>
          <w:tcPr>
            <w:tcW w:w="1339" w:type="dxa"/>
            <w:vAlign w:val="center"/>
            <w:hideMark/>
          </w:tcPr>
          <w:p w14:paraId="41C60385"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NS</w:t>
            </w:r>
          </w:p>
        </w:tc>
        <w:tc>
          <w:tcPr>
            <w:tcW w:w="1339" w:type="dxa"/>
            <w:vAlign w:val="center"/>
            <w:hideMark/>
          </w:tcPr>
          <w:p w14:paraId="6481D124" w14:textId="77777777"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0.0154</w:t>
            </w:r>
          </w:p>
        </w:tc>
      </w:tr>
      <w:tr w:rsidR="004515E1" w:rsidRPr="00931B39" w14:paraId="22525692" w14:textId="77777777" w:rsidTr="00931B39">
        <w:tc>
          <w:tcPr>
            <w:tcW w:w="2549" w:type="dxa"/>
            <w:vAlign w:val="center"/>
            <w:hideMark/>
          </w:tcPr>
          <w:p w14:paraId="5AF5F1BA"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Gender(male/female)</w:t>
            </w:r>
          </w:p>
        </w:tc>
        <w:tc>
          <w:tcPr>
            <w:tcW w:w="1330" w:type="dxa"/>
            <w:vAlign w:val="center"/>
            <w:hideMark/>
          </w:tcPr>
          <w:p w14:paraId="28474177"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77/82</w:t>
            </w:r>
          </w:p>
        </w:tc>
        <w:tc>
          <w:tcPr>
            <w:tcW w:w="1330" w:type="dxa"/>
            <w:vAlign w:val="center"/>
            <w:hideMark/>
          </w:tcPr>
          <w:p w14:paraId="50A7445A"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67/80</w:t>
            </w:r>
          </w:p>
        </w:tc>
        <w:tc>
          <w:tcPr>
            <w:tcW w:w="1330" w:type="dxa"/>
            <w:vAlign w:val="center"/>
            <w:hideMark/>
          </w:tcPr>
          <w:p w14:paraId="3BF60D88"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NS</w:t>
            </w:r>
          </w:p>
        </w:tc>
        <w:tc>
          <w:tcPr>
            <w:tcW w:w="1331" w:type="dxa"/>
            <w:vAlign w:val="center"/>
            <w:hideMark/>
          </w:tcPr>
          <w:p w14:paraId="6971F644"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0.057</w:t>
            </w:r>
          </w:p>
        </w:tc>
        <w:tc>
          <w:tcPr>
            <w:tcW w:w="630" w:type="dxa"/>
          </w:tcPr>
          <w:p w14:paraId="54018311" w14:textId="77777777" w:rsidR="004515E1" w:rsidRPr="00931B39" w:rsidRDefault="004515E1" w:rsidP="00931B39">
            <w:pPr>
              <w:tabs>
                <w:tab w:val="left" w:pos="2160"/>
              </w:tabs>
              <w:spacing w:line="360" w:lineRule="auto"/>
              <w:rPr>
                <w:rFonts w:ascii="Book Antiqua" w:hAnsi="Book Antiqua"/>
                <w:szCs w:val="21"/>
              </w:rPr>
            </w:pPr>
          </w:p>
        </w:tc>
        <w:tc>
          <w:tcPr>
            <w:tcW w:w="1338" w:type="dxa"/>
            <w:vAlign w:val="center"/>
            <w:hideMark/>
          </w:tcPr>
          <w:p w14:paraId="590E0063" w14:textId="77777777" w:rsidR="004515E1" w:rsidRPr="00931B39" w:rsidRDefault="004515E1" w:rsidP="00931B39">
            <w:pPr>
              <w:spacing w:line="360" w:lineRule="auto"/>
              <w:rPr>
                <w:rFonts w:ascii="Book Antiqua" w:hAnsi="Book Antiqua" w:cs="Arial"/>
                <w:color w:val="FF0000"/>
                <w:szCs w:val="21"/>
              </w:rPr>
            </w:pPr>
            <w:r w:rsidRPr="00931B39">
              <w:rPr>
                <w:rFonts w:ascii="Book Antiqua" w:hAnsi="Book Antiqua" w:cs="Arial"/>
                <w:color w:val="000000"/>
                <w:szCs w:val="21"/>
              </w:rPr>
              <w:t>45/59</w:t>
            </w:r>
          </w:p>
        </w:tc>
        <w:tc>
          <w:tcPr>
            <w:tcW w:w="1339" w:type="dxa"/>
            <w:vAlign w:val="center"/>
            <w:hideMark/>
          </w:tcPr>
          <w:p w14:paraId="0931AE4F" w14:textId="77777777"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49/55</w:t>
            </w:r>
          </w:p>
        </w:tc>
        <w:tc>
          <w:tcPr>
            <w:tcW w:w="1339" w:type="dxa"/>
            <w:vAlign w:val="center"/>
            <w:hideMark/>
          </w:tcPr>
          <w:p w14:paraId="51F8C618" w14:textId="77777777" w:rsidR="004515E1" w:rsidRPr="00931B39" w:rsidRDefault="004515E1" w:rsidP="00931B39">
            <w:pPr>
              <w:spacing w:line="360" w:lineRule="auto"/>
              <w:rPr>
                <w:rFonts w:ascii="Book Antiqua" w:hAnsi="Book Antiqua" w:cs="Arial"/>
                <w:color w:val="FF0000"/>
                <w:szCs w:val="21"/>
              </w:rPr>
            </w:pPr>
            <w:r w:rsidRPr="00931B39">
              <w:rPr>
                <w:rFonts w:ascii="Book Antiqua" w:hAnsi="Book Antiqua" w:cs="Arial"/>
                <w:color w:val="000000"/>
                <w:szCs w:val="21"/>
              </w:rPr>
              <w:t>NS</w:t>
            </w:r>
          </w:p>
        </w:tc>
        <w:tc>
          <w:tcPr>
            <w:tcW w:w="1339" w:type="dxa"/>
            <w:vAlign w:val="center"/>
            <w:hideMark/>
          </w:tcPr>
          <w:p w14:paraId="4FD465CD" w14:textId="77777777" w:rsidR="004515E1" w:rsidRPr="00931B39" w:rsidRDefault="004515E1" w:rsidP="00931B39">
            <w:pPr>
              <w:spacing w:line="360" w:lineRule="auto"/>
              <w:rPr>
                <w:rFonts w:ascii="Book Antiqua" w:hAnsi="Book Antiqua" w:cs="Arial"/>
                <w:color w:val="FF0000"/>
                <w:szCs w:val="21"/>
              </w:rPr>
            </w:pPr>
            <w:r w:rsidRPr="00931B39">
              <w:rPr>
                <w:rFonts w:ascii="Book Antiqua" w:hAnsi="Book Antiqua" w:cs="Arial"/>
                <w:color w:val="000000"/>
                <w:szCs w:val="21"/>
              </w:rPr>
              <w:t>0.0773</w:t>
            </w:r>
          </w:p>
        </w:tc>
      </w:tr>
      <w:tr w:rsidR="004515E1" w:rsidRPr="00931B39" w14:paraId="5772C44B" w14:textId="77777777" w:rsidTr="00931B39">
        <w:tc>
          <w:tcPr>
            <w:tcW w:w="2549" w:type="dxa"/>
            <w:vAlign w:val="center"/>
            <w:hideMark/>
          </w:tcPr>
          <w:p w14:paraId="4BCFE47F"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Body mass index (kg/m</w:t>
            </w:r>
            <w:r w:rsidRPr="00931B39">
              <w:rPr>
                <w:rFonts w:ascii="Book Antiqua" w:hAnsi="Book Antiqua" w:cs="Arial"/>
                <w:szCs w:val="21"/>
                <w:vertAlign w:val="superscript"/>
              </w:rPr>
              <w:t>2</w:t>
            </w:r>
            <w:r w:rsidRPr="00931B39">
              <w:rPr>
                <w:rFonts w:ascii="Book Antiqua" w:hAnsi="Book Antiqua" w:cs="Arial"/>
                <w:szCs w:val="21"/>
              </w:rPr>
              <w:t>)</w:t>
            </w:r>
          </w:p>
        </w:tc>
        <w:tc>
          <w:tcPr>
            <w:tcW w:w="1330" w:type="dxa"/>
            <w:vAlign w:val="center"/>
            <w:hideMark/>
          </w:tcPr>
          <w:p w14:paraId="017DC497"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23.9</w:t>
            </w:r>
          </w:p>
          <w:p w14:paraId="50EB9046" w14:textId="776B03BE"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(21.7–25.7)</w:t>
            </w:r>
          </w:p>
        </w:tc>
        <w:tc>
          <w:tcPr>
            <w:tcW w:w="1330" w:type="dxa"/>
            <w:vAlign w:val="center"/>
            <w:hideMark/>
          </w:tcPr>
          <w:p w14:paraId="780AA8D7"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23.2</w:t>
            </w:r>
          </w:p>
          <w:p w14:paraId="4BFC3C7C" w14:textId="5F7B994A"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(21.1–25.0</w:t>
            </w:r>
            <w:r w:rsidRPr="00931B39">
              <w:rPr>
                <w:rFonts w:ascii="Book Antiqua" w:hAnsi="Book Antiqua" w:cs="Arial"/>
                <w:szCs w:val="21"/>
              </w:rPr>
              <w:t>）</w:t>
            </w:r>
          </w:p>
        </w:tc>
        <w:tc>
          <w:tcPr>
            <w:tcW w:w="1330" w:type="dxa"/>
            <w:vAlign w:val="center"/>
            <w:hideMark/>
          </w:tcPr>
          <w:p w14:paraId="26A94EF8"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NS</w:t>
            </w:r>
          </w:p>
        </w:tc>
        <w:tc>
          <w:tcPr>
            <w:tcW w:w="1331" w:type="dxa"/>
            <w:vAlign w:val="center"/>
            <w:hideMark/>
          </w:tcPr>
          <w:p w14:paraId="4847457A"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0.202</w:t>
            </w:r>
          </w:p>
        </w:tc>
        <w:tc>
          <w:tcPr>
            <w:tcW w:w="630" w:type="dxa"/>
          </w:tcPr>
          <w:p w14:paraId="71413ACD" w14:textId="77777777" w:rsidR="004515E1" w:rsidRPr="00931B39" w:rsidRDefault="004515E1" w:rsidP="00931B39">
            <w:pPr>
              <w:tabs>
                <w:tab w:val="left" w:pos="2160"/>
              </w:tabs>
              <w:spacing w:line="360" w:lineRule="auto"/>
              <w:rPr>
                <w:rFonts w:ascii="Book Antiqua" w:hAnsi="Book Antiqua"/>
                <w:szCs w:val="21"/>
              </w:rPr>
            </w:pPr>
          </w:p>
        </w:tc>
        <w:tc>
          <w:tcPr>
            <w:tcW w:w="1338" w:type="dxa"/>
            <w:vAlign w:val="center"/>
            <w:hideMark/>
          </w:tcPr>
          <w:p w14:paraId="6E79B05F" w14:textId="77777777"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23.6</w:t>
            </w:r>
          </w:p>
          <w:p w14:paraId="4D702DEA" w14:textId="23B4A319" w:rsidR="004515E1" w:rsidRPr="00931B39" w:rsidRDefault="004515E1" w:rsidP="00931B39">
            <w:pPr>
              <w:spacing w:line="360" w:lineRule="auto"/>
              <w:rPr>
                <w:rFonts w:ascii="Book Antiqua" w:hAnsi="Book Antiqua" w:cs="Arial"/>
                <w:color w:val="FF0000"/>
                <w:szCs w:val="21"/>
              </w:rPr>
            </w:pPr>
            <w:r w:rsidRPr="00931B39">
              <w:rPr>
                <w:rFonts w:ascii="Book Antiqua" w:hAnsi="Book Antiqua" w:cs="Arial"/>
                <w:color w:val="000000"/>
                <w:szCs w:val="21"/>
              </w:rPr>
              <w:t>(21.1</w:t>
            </w:r>
            <w:r w:rsidRPr="00931B39">
              <w:rPr>
                <w:rFonts w:ascii="Book Antiqua" w:hAnsi="Book Antiqua" w:cs="Arial"/>
                <w:szCs w:val="21"/>
              </w:rPr>
              <w:t>–</w:t>
            </w:r>
            <w:r w:rsidRPr="00931B39">
              <w:rPr>
                <w:rFonts w:ascii="Book Antiqua" w:hAnsi="Book Antiqua" w:cs="Arial"/>
                <w:color w:val="000000"/>
                <w:szCs w:val="21"/>
              </w:rPr>
              <w:t>25.3)</w:t>
            </w:r>
          </w:p>
        </w:tc>
        <w:tc>
          <w:tcPr>
            <w:tcW w:w="1339" w:type="dxa"/>
            <w:vAlign w:val="center"/>
            <w:hideMark/>
          </w:tcPr>
          <w:p w14:paraId="639E3828" w14:textId="77777777"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23.4</w:t>
            </w:r>
          </w:p>
          <w:p w14:paraId="47DD41AE" w14:textId="63E1A92E"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(21.2–25.2)</w:t>
            </w:r>
          </w:p>
        </w:tc>
        <w:tc>
          <w:tcPr>
            <w:tcW w:w="1339" w:type="dxa"/>
            <w:vAlign w:val="center"/>
            <w:hideMark/>
          </w:tcPr>
          <w:p w14:paraId="0E2D8050"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NS</w:t>
            </w:r>
          </w:p>
        </w:tc>
        <w:tc>
          <w:tcPr>
            <w:tcW w:w="1339" w:type="dxa"/>
            <w:vAlign w:val="center"/>
            <w:hideMark/>
          </w:tcPr>
          <w:p w14:paraId="02A03736" w14:textId="77777777"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0.0747</w:t>
            </w:r>
          </w:p>
        </w:tc>
      </w:tr>
      <w:tr w:rsidR="004515E1" w:rsidRPr="00931B39" w14:paraId="08688169" w14:textId="77777777" w:rsidTr="00931B39">
        <w:tc>
          <w:tcPr>
            <w:tcW w:w="2549" w:type="dxa"/>
            <w:vAlign w:val="center"/>
            <w:hideMark/>
          </w:tcPr>
          <w:p w14:paraId="68E15B7F" w14:textId="3058A8D2" w:rsidR="004515E1" w:rsidRPr="00931B39" w:rsidRDefault="00931B39" w:rsidP="00931B39">
            <w:pPr>
              <w:spacing w:line="360" w:lineRule="auto"/>
              <w:rPr>
                <w:rFonts w:ascii="Book Antiqua" w:hAnsi="Book Antiqua" w:cs="Arial"/>
                <w:szCs w:val="21"/>
              </w:rPr>
            </w:pPr>
            <w:r>
              <w:rPr>
                <w:rFonts w:ascii="Book Antiqua" w:hAnsi="Book Antiqua" w:cs="Arial"/>
                <w:szCs w:val="21"/>
              </w:rPr>
              <w:sym w:font="Symbol" w:char="F03C"/>
            </w:r>
            <w:r>
              <w:rPr>
                <w:rFonts w:ascii="Book Antiqua" w:eastAsia="宋体" w:hAnsi="Book Antiqua" w:cs="Arial" w:hint="eastAsia"/>
                <w:szCs w:val="21"/>
                <w:lang w:eastAsia="zh-CN"/>
              </w:rPr>
              <w:t xml:space="preserve"> </w:t>
            </w:r>
            <w:r w:rsidR="004515E1" w:rsidRPr="00931B39">
              <w:rPr>
                <w:rFonts w:ascii="Book Antiqua" w:hAnsi="Book Antiqua" w:cs="Arial"/>
                <w:szCs w:val="21"/>
              </w:rPr>
              <w:t>Laboratory data</w:t>
            </w:r>
            <w:r>
              <w:rPr>
                <w:rFonts w:ascii="Book Antiqua" w:eastAsia="宋体" w:hAnsi="Book Antiqua" w:cs="Arial" w:hint="eastAsia"/>
                <w:szCs w:val="21"/>
                <w:lang w:eastAsia="zh-CN"/>
              </w:rPr>
              <w:t xml:space="preserve"> </w:t>
            </w:r>
            <w:r>
              <w:rPr>
                <w:rFonts w:ascii="Book Antiqua" w:hAnsi="Book Antiqua" w:cs="Arial"/>
                <w:szCs w:val="21"/>
              </w:rPr>
              <w:sym w:font="Symbol" w:char="F03E"/>
            </w:r>
          </w:p>
        </w:tc>
        <w:tc>
          <w:tcPr>
            <w:tcW w:w="1330" w:type="dxa"/>
            <w:vAlign w:val="center"/>
          </w:tcPr>
          <w:p w14:paraId="287FF759" w14:textId="77777777" w:rsidR="004515E1" w:rsidRPr="00931B39" w:rsidRDefault="004515E1" w:rsidP="00931B39">
            <w:pPr>
              <w:spacing w:line="360" w:lineRule="auto"/>
              <w:rPr>
                <w:rFonts w:ascii="Book Antiqua" w:hAnsi="Book Antiqua" w:cs="Arial"/>
                <w:szCs w:val="21"/>
              </w:rPr>
            </w:pPr>
          </w:p>
        </w:tc>
        <w:tc>
          <w:tcPr>
            <w:tcW w:w="1330" w:type="dxa"/>
            <w:vAlign w:val="center"/>
          </w:tcPr>
          <w:p w14:paraId="5040CD80" w14:textId="77777777" w:rsidR="004515E1" w:rsidRPr="00931B39" w:rsidRDefault="004515E1" w:rsidP="00931B39">
            <w:pPr>
              <w:spacing w:line="360" w:lineRule="auto"/>
              <w:rPr>
                <w:rFonts w:ascii="Book Antiqua" w:hAnsi="Book Antiqua" w:cs="Arial"/>
                <w:szCs w:val="21"/>
              </w:rPr>
            </w:pPr>
          </w:p>
        </w:tc>
        <w:tc>
          <w:tcPr>
            <w:tcW w:w="1330" w:type="dxa"/>
            <w:vAlign w:val="center"/>
          </w:tcPr>
          <w:p w14:paraId="61187BDE" w14:textId="77777777" w:rsidR="004515E1" w:rsidRPr="00931B39" w:rsidRDefault="004515E1" w:rsidP="00931B39">
            <w:pPr>
              <w:spacing w:line="360" w:lineRule="auto"/>
              <w:rPr>
                <w:rFonts w:ascii="Book Antiqua" w:hAnsi="Book Antiqua" w:cs="Arial"/>
                <w:szCs w:val="21"/>
              </w:rPr>
            </w:pPr>
          </w:p>
        </w:tc>
        <w:tc>
          <w:tcPr>
            <w:tcW w:w="1331" w:type="dxa"/>
            <w:vAlign w:val="center"/>
          </w:tcPr>
          <w:p w14:paraId="0354E1B9" w14:textId="77777777" w:rsidR="004515E1" w:rsidRPr="00931B39" w:rsidRDefault="004515E1" w:rsidP="00931B39">
            <w:pPr>
              <w:spacing w:line="360" w:lineRule="auto"/>
              <w:rPr>
                <w:rFonts w:ascii="Book Antiqua" w:hAnsi="Book Antiqua" w:cs="Arial"/>
                <w:szCs w:val="21"/>
              </w:rPr>
            </w:pPr>
          </w:p>
        </w:tc>
        <w:tc>
          <w:tcPr>
            <w:tcW w:w="630" w:type="dxa"/>
          </w:tcPr>
          <w:p w14:paraId="6A642329" w14:textId="77777777" w:rsidR="004515E1" w:rsidRPr="00931B39" w:rsidRDefault="004515E1" w:rsidP="00931B39">
            <w:pPr>
              <w:tabs>
                <w:tab w:val="left" w:pos="2160"/>
              </w:tabs>
              <w:spacing w:line="360" w:lineRule="auto"/>
              <w:rPr>
                <w:rFonts w:ascii="Book Antiqua" w:hAnsi="Book Antiqua"/>
                <w:szCs w:val="21"/>
              </w:rPr>
            </w:pPr>
          </w:p>
        </w:tc>
        <w:tc>
          <w:tcPr>
            <w:tcW w:w="1338" w:type="dxa"/>
            <w:vAlign w:val="center"/>
          </w:tcPr>
          <w:p w14:paraId="1EA5DB81" w14:textId="77777777" w:rsidR="004515E1" w:rsidRPr="00931B39" w:rsidRDefault="004515E1" w:rsidP="00931B39">
            <w:pPr>
              <w:spacing w:line="360" w:lineRule="auto"/>
              <w:rPr>
                <w:rFonts w:ascii="Book Antiqua" w:hAnsi="Book Antiqua" w:cs="Arial"/>
                <w:color w:val="000000"/>
                <w:szCs w:val="21"/>
              </w:rPr>
            </w:pPr>
          </w:p>
        </w:tc>
        <w:tc>
          <w:tcPr>
            <w:tcW w:w="1339" w:type="dxa"/>
            <w:vAlign w:val="center"/>
          </w:tcPr>
          <w:p w14:paraId="5BE294CA" w14:textId="77777777" w:rsidR="004515E1" w:rsidRPr="00931B39" w:rsidRDefault="004515E1" w:rsidP="00931B39">
            <w:pPr>
              <w:spacing w:line="360" w:lineRule="auto"/>
              <w:rPr>
                <w:rFonts w:ascii="Book Antiqua" w:hAnsi="Book Antiqua" w:cs="Arial"/>
                <w:color w:val="FF0000"/>
                <w:szCs w:val="21"/>
              </w:rPr>
            </w:pPr>
          </w:p>
        </w:tc>
        <w:tc>
          <w:tcPr>
            <w:tcW w:w="1339" w:type="dxa"/>
            <w:vAlign w:val="center"/>
          </w:tcPr>
          <w:p w14:paraId="1E72FAAD" w14:textId="77777777" w:rsidR="004515E1" w:rsidRPr="00931B39" w:rsidRDefault="004515E1" w:rsidP="00931B39">
            <w:pPr>
              <w:spacing w:line="360" w:lineRule="auto"/>
              <w:rPr>
                <w:rFonts w:ascii="Book Antiqua" w:hAnsi="Book Antiqua" w:cs="Arial"/>
                <w:szCs w:val="21"/>
              </w:rPr>
            </w:pPr>
          </w:p>
        </w:tc>
        <w:tc>
          <w:tcPr>
            <w:tcW w:w="1339" w:type="dxa"/>
            <w:vAlign w:val="center"/>
          </w:tcPr>
          <w:p w14:paraId="3C078AE7" w14:textId="77777777" w:rsidR="004515E1" w:rsidRPr="00931B39" w:rsidRDefault="004515E1" w:rsidP="00931B39">
            <w:pPr>
              <w:spacing w:line="360" w:lineRule="auto"/>
              <w:rPr>
                <w:rFonts w:ascii="Book Antiqua" w:hAnsi="Book Antiqua" w:cs="Arial"/>
                <w:color w:val="FF0000"/>
                <w:szCs w:val="21"/>
              </w:rPr>
            </w:pPr>
          </w:p>
        </w:tc>
      </w:tr>
      <w:tr w:rsidR="004515E1" w:rsidRPr="00931B39" w14:paraId="5EE5E8FC" w14:textId="77777777" w:rsidTr="00931B39">
        <w:tc>
          <w:tcPr>
            <w:tcW w:w="2549" w:type="dxa"/>
            <w:vAlign w:val="center"/>
            <w:hideMark/>
          </w:tcPr>
          <w:p w14:paraId="2C39432E" w14:textId="63244544"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Level of viremia (log IU/mL)</w:t>
            </w:r>
          </w:p>
        </w:tc>
        <w:tc>
          <w:tcPr>
            <w:tcW w:w="1330" w:type="dxa"/>
            <w:vAlign w:val="center"/>
            <w:hideMark/>
          </w:tcPr>
          <w:p w14:paraId="2BD311BB"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 xml:space="preserve">6.7 </w:t>
            </w:r>
          </w:p>
          <w:p w14:paraId="5B5BFA7D" w14:textId="01822FB4"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(6.3–7.0)</w:t>
            </w:r>
          </w:p>
        </w:tc>
        <w:tc>
          <w:tcPr>
            <w:tcW w:w="1330" w:type="dxa"/>
            <w:vAlign w:val="center"/>
            <w:hideMark/>
          </w:tcPr>
          <w:p w14:paraId="72A57927"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 xml:space="preserve">6.8 </w:t>
            </w:r>
          </w:p>
          <w:p w14:paraId="5125D503" w14:textId="7A6CB260"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(6.3–7.2)</w:t>
            </w:r>
          </w:p>
        </w:tc>
        <w:tc>
          <w:tcPr>
            <w:tcW w:w="1330" w:type="dxa"/>
            <w:vAlign w:val="center"/>
            <w:hideMark/>
          </w:tcPr>
          <w:p w14:paraId="3369BA11"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NS</w:t>
            </w:r>
          </w:p>
        </w:tc>
        <w:tc>
          <w:tcPr>
            <w:tcW w:w="1331" w:type="dxa"/>
            <w:vAlign w:val="center"/>
            <w:hideMark/>
          </w:tcPr>
          <w:p w14:paraId="7A14002E"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0.210</w:t>
            </w:r>
          </w:p>
        </w:tc>
        <w:tc>
          <w:tcPr>
            <w:tcW w:w="630" w:type="dxa"/>
          </w:tcPr>
          <w:p w14:paraId="6C57D507" w14:textId="77777777" w:rsidR="004515E1" w:rsidRPr="00931B39" w:rsidRDefault="004515E1" w:rsidP="00931B39">
            <w:pPr>
              <w:tabs>
                <w:tab w:val="left" w:pos="2160"/>
              </w:tabs>
              <w:spacing w:line="360" w:lineRule="auto"/>
              <w:rPr>
                <w:rFonts w:ascii="Book Antiqua" w:hAnsi="Book Antiqua"/>
                <w:szCs w:val="21"/>
              </w:rPr>
            </w:pPr>
          </w:p>
        </w:tc>
        <w:tc>
          <w:tcPr>
            <w:tcW w:w="1338" w:type="dxa"/>
            <w:vAlign w:val="center"/>
            <w:hideMark/>
          </w:tcPr>
          <w:p w14:paraId="0094522D" w14:textId="77777777"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6.7</w:t>
            </w:r>
          </w:p>
          <w:p w14:paraId="552139B9" w14:textId="3704109A"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(6.3</w:t>
            </w:r>
            <w:r w:rsidRPr="00931B39">
              <w:rPr>
                <w:rFonts w:ascii="Book Antiqua" w:hAnsi="Book Antiqua" w:cs="Arial"/>
                <w:szCs w:val="21"/>
              </w:rPr>
              <w:t>–</w:t>
            </w:r>
            <w:r w:rsidRPr="00931B39">
              <w:rPr>
                <w:rFonts w:ascii="Book Antiqua" w:hAnsi="Book Antiqua" w:cs="Arial"/>
                <w:color w:val="000000"/>
                <w:szCs w:val="21"/>
              </w:rPr>
              <w:t>7.0)</w:t>
            </w:r>
          </w:p>
        </w:tc>
        <w:tc>
          <w:tcPr>
            <w:tcW w:w="1339" w:type="dxa"/>
            <w:vAlign w:val="center"/>
            <w:hideMark/>
          </w:tcPr>
          <w:p w14:paraId="76B062F2" w14:textId="77777777"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6.6</w:t>
            </w:r>
          </w:p>
          <w:p w14:paraId="67D0C311" w14:textId="31FDAF66"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(6.2</w:t>
            </w:r>
            <w:r w:rsidRPr="00931B39">
              <w:rPr>
                <w:rFonts w:ascii="Book Antiqua" w:hAnsi="Book Antiqua" w:cs="Arial"/>
                <w:szCs w:val="21"/>
              </w:rPr>
              <w:t>–</w:t>
            </w:r>
            <w:r w:rsidRPr="00931B39">
              <w:rPr>
                <w:rFonts w:ascii="Book Antiqua" w:hAnsi="Book Antiqua" w:cs="Arial"/>
                <w:color w:val="000000"/>
                <w:szCs w:val="21"/>
              </w:rPr>
              <w:t>7.1)</w:t>
            </w:r>
          </w:p>
        </w:tc>
        <w:tc>
          <w:tcPr>
            <w:tcW w:w="1339" w:type="dxa"/>
            <w:vAlign w:val="center"/>
            <w:hideMark/>
          </w:tcPr>
          <w:p w14:paraId="4ED84542"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NS</w:t>
            </w:r>
          </w:p>
        </w:tc>
        <w:tc>
          <w:tcPr>
            <w:tcW w:w="1339" w:type="dxa"/>
            <w:vAlign w:val="center"/>
            <w:hideMark/>
          </w:tcPr>
          <w:p w14:paraId="59E5C5E6" w14:textId="77777777" w:rsidR="004515E1" w:rsidRPr="00931B39" w:rsidRDefault="004515E1" w:rsidP="00931B39">
            <w:pPr>
              <w:spacing w:line="360" w:lineRule="auto"/>
              <w:rPr>
                <w:rFonts w:ascii="Book Antiqua" w:hAnsi="Book Antiqua" w:cs="Arial"/>
                <w:color w:val="FF0000"/>
                <w:szCs w:val="21"/>
              </w:rPr>
            </w:pPr>
            <w:r w:rsidRPr="00931B39">
              <w:rPr>
                <w:rFonts w:ascii="Book Antiqua" w:hAnsi="Book Antiqua" w:cs="Arial"/>
                <w:color w:val="000000"/>
                <w:szCs w:val="21"/>
              </w:rPr>
              <w:t>0.0158</w:t>
            </w:r>
          </w:p>
        </w:tc>
      </w:tr>
      <w:tr w:rsidR="004515E1" w:rsidRPr="00931B39" w14:paraId="7C97C41D" w14:textId="77777777" w:rsidTr="00931B39">
        <w:tc>
          <w:tcPr>
            <w:tcW w:w="2549" w:type="dxa"/>
            <w:vAlign w:val="center"/>
            <w:hideMark/>
          </w:tcPr>
          <w:p w14:paraId="352802FC"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Leukocyte count (/mm</w:t>
            </w:r>
            <w:r w:rsidRPr="00931B39">
              <w:rPr>
                <w:rFonts w:ascii="Book Antiqua" w:hAnsi="Book Antiqua" w:cs="Arial"/>
                <w:szCs w:val="21"/>
                <w:vertAlign w:val="superscript"/>
              </w:rPr>
              <w:t>3)</w:t>
            </w:r>
          </w:p>
        </w:tc>
        <w:tc>
          <w:tcPr>
            <w:tcW w:w="1330" w:type="dxa"/>
            <w:vAlign w:val="center"/>
            <w:hideMark/>
          </w:tcPr>
          <w:p w14:paraId="5B07458D"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 xml:space="preserve">5060 </w:t>
            </w:r>
          </w:p>
          <w:p w14:paraId="4104216B" w14:textId="6C3EB285"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lastRenderedPageBreak/>
              <w:t>(4200–5800)</w:t>
            </w:r>
          </w:p>
        </w:tc>
        <w:tc>
          <w:tcPr>
            <w:tcW w:w="1330" w:type="dxa"/>
            <w:vAlign w:val="center"/>
            <w:hideMark/>
          </w:tcPr>
          <w:p w14:paraId="5682CEA0"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lastRenderedPageBreak/>
              <w:t xml:space="preserve">4920 </w:t>
            </w:r>
          </w:p>
          <w:p w14:paraId="733DB846" w14:textId="3C5389AF"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lastRenderedPageBreak/>
              <w:t>(4100–5800)</w:t>
            </w:r>
          </w:p>
        </w:tc>
        <w:tc>
          <w:tcPr>
            <w:tcW w:w="1330" w:type="dxa"/>
            <w:vAlign w:val="center"/>
            <w:hideMark/>
          </w:tcPr>
          <w:p w14:paraId="21D341B4"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lastRenderedPageBreak/>
              <w:t>NS</w:t>
            </w:r>
          </w:p>
        </w:tc>
        <w:tc>
          <w:tcPr>
            <w:tcW w:w="1331" w:type="dxa"/>
            <w:vAlign w:val="center"/>
            <w:hideMark/>
          </w:tcPr>
          <w:p w14:paraId="408C5C00"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0.094</w:t>
            </w:r>
          </w:p>
        </w:tc>
        <w:tc>
          <w:tcPr>
            <w:tcW w:w="630" w:type="dxa"/>
          </w:tcPr>
          <w:p w14:paraId="63B23C06" w14:textId="77777777" w:rsidR="004515E1" w:rsidRPr="00931B39" w:rsidRDefault="004515E1" w:rsidP="00931B39">
            <w:pPr>
              <w:tabs>
                <w:tab w:val="left" w:pos="2160"/>
              </w:tabs>
              <w:spacing w:line="360" w:lineRule="auto"/>
              <w:rPr>
                <w:rFonts w:ascii="Book Antiqua" w:hAnsi="Book Antiqua"/>
                <w:szCs w:val="21"/>
              </w:rPr>
            </w:pPr>
          </w:p>
        </w:tc>
        <w:tc>
          <w:tcPr>
            <w:tcW w:w="1338" w:type="dxa"/>
            <w:vAlign w:val="center"/>
            <w:hideMark/>
          </w:tcPr>
          <w:p w14:paraId="47B58BB8" w14:textId="77777777"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5000</w:t>
            </w:r>
          </w:p>
          <w:p w14:paraId="1ABDEE02" w14:textId="6BD5D1AB"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lastRenderedPageBreak/>
              <w:t>(4200</w:t>
            </w:r>
            <w:r w:rsidRPr="00931B39">
              <w:rPr>
                <w:rFonts w:ascii="Book Antiqua" w:hAnsi="Book Antiqua" w:cs="Arial"/>
                <w:szCs w:val="21"/>
              </w:rPr>
              <w:t>–</w:t>
            </w:r>
            <w:r w:rsidRPr="00931B39">
              <w:rPr>
                <w:rFonts w:ascii="Book Antiqua" w:hAnsi="Book Antiqua" w:cs="Arial"/>
                <w:color w:val="000000"/>
                <w:szCs w:val="21"/>
              </w:rPr>
              <w:t>5700)</w:t>
            </w:r>
          </w:p>
        </w:tc>
        <w:tc>
          <w:tcPr>
            <w:tcW w:w="1339" w:type="dxa"/>
            <w:vAlign w:val="center"/>
            <w:hideMark/>
          </w:tcPr>
          <w:p w14:paraId="0360863E" w14:textId="77777777"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lastRenderedPageBreak/>
              <w:t>5020</w:t>
            </w:r>
          </w:p>
          <w:p w14:paraId="290A9EE3" w14:textId="04D977D3"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lastRenderedPageBreak/>
              <w:t>(4150</w:t>
            </w:r>
            <w:r w:rsidRPr="00931B39">
              <w:rPr>
                <w:rFonts w:ascii="Book Antiqua" w:hAnsi="Book Antiqua" w:cs="Arial"/>
                <w:szCs w:val="21"/>
              </w:rPr>
              <w:t>–</w:t>
            </w:r>
            <w:r w:rsidRPr="00931B39">
              <w:rPr>
                <w:rFonts w:ascii="Book Antiqua" w:hAnsi="Book Antiqua" w:cs="Arial"/>
                <w:color w:val="000000"/>
                <w:szCs w:val="21"/>
              </w:rPr>
              <w:t>5800)</w:t>
            </w:r>
          </w:p>
        </w:tc>
        <w:tc>
          <w:tcPr>
            <w:tcW w:w="1339" w:type="dxa"/>
            <w:vAlign w:val="center"/>
            <w:hideMark/>
          </w:tcPr>
          <w:p w14:paraId="177E444F"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lastRenderedPageBreak/>
              <w:t>NS</w:t>
            </w:r>
          </w:p>
        </w:tc>
        <w:tc>
          <w:tcPr>
            <w:tcW w:w="1339" w:type="dxa"/>
            <w:vAlign w:val="center"/>
            <w:hideMark/>
          </w:tcPr>
          <w:p w14:paraId="620F3602" w14:textId="77777777" w:rsidR="004515E1" w:rsidRPr="00931B39" w:rsidRDefault="004515E1" w:rsidP="00931B39">
            <w:pPr>
              <w:spacing w:line="360" w:lineRule="auto"/>
              <w:rPr>
                <w:rFonts w:ascii="Book Antiqua" w:hAnsi="Book Antiqua" w:cs="Arial"/>
                <w:color w:val="FF0000"/>
                <w:szCs w:val="21"/>
              </w:rPr>
            </w:pPr>
            <w:r w:rsidRPr="00931B39">
              <w:rPr>
                <w:rFonts w:ascii="Book Antiqua" w:hAnsi="Book Antiqua" w:cs="Arial"/>
                <w:color w:val="000000"/>
                <w:szCs w:val="21"/>
              </w:rPr>
              <w:t>0.0272</w:t>
            </w:r>
          </w:p>
        </w:tc>
      </w:tr>
      <w:tr w:rsidR="004515E1" w:rsidRPr="00931B39" w14:paraId="2570A72D" w14:textId="77777777" w:rsidTr="00931B39">
        <w:tc>
          <w:tcPr>
            <w:tcW w:w="2549" w:type="dxa"/>
            <w:vAlign w:val="center"/>
            <w:hideMark/>
          </w:tcPr>
          <w:p w14:paraId="654B811F" w14:textId="25D67FF1"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lastRenderedPageBreak/>
              <w:t>Hemoglobin (g/</w:t>
            </w:r>
            <w:proofErr w:type="spellStart"/>
            <w:r w:rsidR="001D4ABE" w:rsidRPr="00931B39">
              <w:rPr>
                <w:rFonts w:ascii="Book Antiqua" w:hAnsi="Book Antiqua" w:cs="Arial"/>
                <w:szCs w:val="21"/>
              </w:rPr>
              <w:t>dL</w:t>
            </w:r>
            <w:proofErr w:type="spellEnd"/>
            <w:r w:rsidRPr="00931B39">
              <w:rPr>
                <w:rFonts w:ascii="Book Antiqua" w:hAnsi="Book Antiqua" w:cs="Arial"/>
                <w:szCs w:val="21"/>
              </w:rPr>
              <w:t>)</w:t>
            </w:r>
          </w:p>
        </w:tc>
        <w:tc>
          <w:tcPr>
            <w:tcW w:w="1330" w:type="dxa"/>
            <w:vAlign w:val="center"/>
            <w:hideMark/>
          </w:tcPr>
          <w:p w14:paraId="1CA57461"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 xml:space="preserve">14.1 </w:t>
            </w:r>
          </w:p>
          <w:p w14:paraId="126E7938" w14:textId="30F7136C"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(13.1–15.0)</w:t>
            </w:r>
          </w:p>
        </w:tc>
        <w:tc>
          <w:tcPr>
            <w:tcW w:w="1330" w:type="dxa"/>
            <w:vAlign w:val="center"/>
            <w:hideMark/>
          </w:tcPr>
          <w:p w14:paraId="332D13DD"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 xml:space="preserve">13.8 </w:t>
            </w:r>
          </w:p>
          <w:p w14:paraId="635FD9CD"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(12.9-14.7)</w:t>
            </w:r>
          </w:p>
        </w:tc>
        <w:tc>
          <w:tcPr>
            <w:tcW w:w="1330" w:type="dxa"/>
            <w:vAlign w:val="center"/>
            <w:hideMark/>
          </w:tcPr>
          <w:p w14:paraId="6F33897A"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NS</w:t>
            </w:r>
          </w:p>
        </w:tc>
        <w:tc>
          <w:tcPr>
            <w:tcW w:w="1331" w:type="dxa"/>
            <w:vAlign w:val="center"/>
            <w:hideMark/>
          </w:tcPr>
          <w:p w14:paraId="272DFEC3"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0.175</w:t>
            </w:r>
          </w:p>
        </w:tc>
        <w:tc>
          <w:tcPr>
            <w:tcW w:w="630" w:type="dxa"/>
          </w:tcPr>
          <w:p w14:paraId="2A9358D5" w14:textId="77777777" w:rsidR="004515E1" w:rsidRPr="00931B39" w:rsidRDefault="004515E1" w:rsidP="00931B39">
            <w:pPr>
              <w:tabs>
                <w:tab w:val="left" w:pos="2160"/>
              </w:tabs>
              <w:spacing w:line="360" w:lineRule="auto"/>
              <w:rPr>
                <w:rFonts w:ascii="Book Antiqua" w:hAnsi="Book Antiqua"/>
                <w:szCs w:val="21"/>
              </w:rPr>
            </w:pPr>
          </w:p>
        </w:tc>
        <w:tc>
          <w:tcPr>
            <w:tcW w:w="1338" w:type="dxa"/>
            <w:vAlign w:val="center"/>
            <w:hideMark/>
          </w:tcPr>
          <w:p w14:paraId="71C39C9F" w14:textId="77777777"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14.0</w:t>
            </w:r>
          </w:p>
          <w:p w14:paraId="785C7745" w14:textId="11B0EC08"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(13.0</w:t>
            </w:r>
            <w:r w:rsidRPr="00931B39">
              <w:rPr>
                <w:rFonts w:ascii="Book Antiqua" w:hAnsi="Book Antiqua" w:cs="Arial"/>
                <w:szCs w:val="21"/>
              </w:rPr>
              <w:t>–</w:t>
            </w:r>
            <w:r w:rsidRPr="00931B39">
              <w:rPr>
                <w:rFonts w:ascii="Book Antiqua" w:hAnsi="Book Antiqua" w:cs="Arial"/>
                <w:color w:val="000000"/>
                <w:szCs w:val="21"/>
              </w:rPr>
              <w:t>14.8)</w:t>
            </w:r>
          </w:p>
        </w:tc>
        <w:tc>
          <w:tcPr>
            <w:tcW w:w="1339" w:type="dxa"/>
            <w:vAlign w:val="center"/>
            <w:hideMark/>
          </w:tcPr>
          <w:p w14:paraId="0E58877B" w14:textId="77777777"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13.9</w:t>
            </w:r>
          </w:p>
          <w:p w14:paraId="7552456F" w14:textId="4B5BA18F"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(12.9</w:t>
            </w:r>
            <w:r w:rsidRPr="00931B39">
              <w:rPr>
                <w:rFonts w:ascii="Book Antiqua" w:hAnsi="Book Antiqua" w:cs="Arial"/>
                <w:szCs w:val="21"/>
              </w:rPr>
              <w:t>–</w:t>
            </w:r>
            <w:r w:rsidRPr="00931B39">
              <w:rPr>
                <w:rFonts w:ascii="Book Antiqua" w:hAnsi="Book Antiqua" w:cs="Arial"/>
                <w:color w:val="000000"/>
                <w:szCs w:val="21"/>
              </w:rPr>
              <w:t>15.0)</w:t>
            </w:r>
          </w:p>
        </w:tc>
        <w:tc>
          <w:tcPr>
            <w:tcW w:w="1339" w:type="dxa"/>
            <w:vAlign w:val="center"/>
            <w:hideMark/>
          </w:tcPr>
          <w:p w14:paraId="703EA5AA"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NS</w:t>
            </w:r>
          </w:p>
        </w:tc>
        <w:tc>
          <w:tcPr>
            <w:tcW w:w="1339" w:type="dxa"/>
            <w:vAlign w:val="center"/>
            <w:hideMark/>
          </w:tcPr>
          <w:p w14:paraId="2E664BA4" w14:textId="77777777"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0.0264</w:t>
            </w:r>
          </w:p>
        </w:tc>
      </w:tr>
      <w:tr w:rsidR="004515E1" w:rsidRPr="00931B39" w14:paraId="7236780E" w14:textId="77777777" w:rsidTr="00931B39">
        <w:tc>
          <w:tcPr>
            <w:tcW w:w="2549" w:type="dxa"/>
            <w:vAlign w:val="center"/>
            <w:hideMark/>
          </w:tcPr>
          <w:p w14:paraId="6DCA1F98" w14:textId="7247161F"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Platelet count (×</w:t>
            </w:r>
            <w:r w:rsidR="00504D26">
              <w:rPr>
                <w:rFonts w:ascii="Book Antiqua" w:eastAsia="宋体" w:hAnsi="Book Antiqua" w:cs="Arial" w:hint="eastAsia"/>
                <w:szCs w:val="21"/>
                <w:lang w:eastAsia="zh-CN"/>
              </w:rPr>
              <w:t xml:space="preserve"> </w:t>
            </w:r>
            <w:r w:rsidRPr="00931B39">
              <w:rPr>
                <w:rFonts w:ascii="Book Antiqua" w:hAnsi="Book Antiqua" w:cs="Arial"/>
                <w:szCs w:val="21"/>
              </w:rPr>
              <w:t>10</w:t>
            </w:r>
            <w:r w:rsidRPr="00931B39">
              <w:rPr>
                <w:rFonts w:ascii="Book Antiqua" w:hAnsi="Book Antiqua" w:cs="Arial"/>
                <w:szCs w:val="21"/>
                <w:vertAlign w:val="superscript"/>
              </w:rPr>
              <w:t>4</w:t>
            </w:r>
            <w:r w:rsidRPr="00931B39">
              <w:rPr>
                <w:rFonts w:ascii="Book Antiqua" w:hAnsi="Book Antiqua" w:cs="Arial"/>
                <w:szCs w:val="21"/>
              </w:rPr>
              <w:t>/mm</w:t>
            </w:r>
            <w:r w:rsidRPr="00931B39">
              <w:rPr>
                <w:rFonts w:ascii="Book Antiqua" w:hAnsi="Book Antiqua" w:cs="Arial"/>
                <w:szCs w:val="21"/>
                <w:vertAlign w:val="superscript"/>
              </w:rPr>
              <w:t>3</w:t>
            </w:r>
            <w:r w:rsidRPr="00931B39">
              <w:rPr>
                <w:rFonts w:ascii="Book Antiqua" w:hAnsi="Book Antiqua" w:cs="Arial"/>
                <w:szCs w:val="21"/>
              </w:rPr>
              <w:t>)</w:t>
            </w:r>
          </w:p>
        </w:tc>
        <w:tc>
          <w:tcPr>
            <w:tcW w:w="1330" w:type="dxa"/>
            <w:vAlign w:val="center"/>
            <w:hideMark/>
          </w:tcPr>
          <w:p w14:paraId="7E2AF789"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 xml:space="preserve">15.0 </w:t>
            </w:r>
          </w:p>
          <w:p w14:paraId="51674392" w14:textId="1551BCB3"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(12.5–19.8)</w:t>
            </w:r>
          </w:p>
        </w:tc>
        <w:tc>
          <w:tcPr>
            <w:tcW w:w="1330" w:type="dxa"/>
            <w:vAlign w:val="center"/>
            <w:hideMark/>
          </w:tcPr>
          <w:p w14:paraId="01981B2C"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 xml:space="preserve">15.1 </w:t>
            </w:r>
          </w:p>
          <w:p w14:paraId="43572660" w14:textId="7BC0D905"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(11.7–20.1)</w:t>
            </w:r>
          </w:p>
        </w:tc>
        <w:tc>
          <w:tcPr>
            <w:tcW w:w="1330" w:type="dxa"/>
            <w:vAlign w:val="center"/>
            <w:hideMark/>
          </w:tcPr>
          <w:p w14:paraId="0167FDFB"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NS</w:t>
            </w:r>
          </w:p>
        </w:tc>
        <w:tc>
          <w:tcPr>
            <w:tcW w:w="1331" w:type="dxa"/>
            <w:vAlign w:val="center"/>
            <w:hideMark/>
          </w:tcPr>
          <w:p w14:paraId="0D87419B"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0.053</w:t>
            </w:r>
          </w:p>
        </w:tc>
        <w:tc>
          <w:tcPr>
            <w:tcW w:w="630" w:type="dxa"/>
          </w:tcPr>
          <w:p w14:paraId="18EC8C5D" w14:textId="77777777" w:rsidR="004515E1" w:rsidRPr="00931B39" w:rsidRDefault="004515E1" w:rsidP="00931B39">
            <w:pPr>
              <w:tabs>
                <w:tab w:val="left" w:pos="2160"/>
              </w:tabs>
              <w:spacing w:line="360" w:lineRule="auto"/>
              <w:rPr>
                <w:rFonts w:ascii="Book Antiqua" w:hAnsi="Book Antiqua"/>
                <w:szCs w:val="21"/>
              </w:rPr>
            </w:pPr>
          </w:p>
        </w:tc>
        <w:tc>
          <w:tcPr>
            <w:tcW w:w="1338" w:type="dxa"/>
            <w:vAlign w:val="center"/>
            <w:hideMark/>
          </w:tcPr>
          <w:p w14:paraId="45D17B7A" w14:textId="77777777"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15.0</w:t>
            </w:r>
          </w:p>
          <w:p w14:paraId="107AD58C" w14:textId="30528549" w:rsidR="004515E1" w:rsidRPr="00931B39" w:rsidRDefault="004515E1" w:rsidP="00931B39">
            <w:pPr>
              <w:spacing w:line="360" w:lineRule="auto"/>
              <w:rPr>
                <w:rFonts w:ascii="Book Antiqua" w:hAnsi="Book Antiqua" w:cs="Arial"/>
                <w:color w:val="FF0000"/>
                <w:szCs w:val="21"/>
              </w:rPr>
            </w:pPr>
            <w:r w:rsidRPr="00931B39">
              <w:rPr>
                <w:rFonts w:ascii="Book Antiqua" w:hAnsi="Book Antiqua" w:cs="Arial"/>
                <w:color w:val="000000"/>
                <w:szCs w:val="21"/>
              </w:rPr>
              <w:t>(12.9</w:t>
            </w:r>
            <w:r w:rsidRPr="00931B39">
              <w:rPr>
                <w:rFonts w:ascii="Book Antiqua" w:hAnsi="Book Antiqua" w:cs="Arial"/>
                <w:szCs w:val="21"/>
              </w:rPr>
              <w:t>–</w:t>
            </w:r>
            <w:r w:rsidRPr="00931B39">
              <w:rPr>
                <w:rFonts w:ascii="Book Antiqua" w:hAnsi="Book Antiqua" w:cs="Arial"/>
                <w:color w:val="000000"/>
                <w:szCs w:val="21"/>
              </w:rPr>
              <w:t>20.0)</w:t>
            </w:r>
          </w:p>
        </w:tc>
        <w:tc>
          <w:tcPr>
            <w:tcW w:w="1339" w:type="dxa"/>
            <w:vAlign w:val="center"/>
            <w:hideMark/>
          </w:tcPr>
          <w:p w14:paraId="535F0C0A" w14:textId="77777777"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15.1</w:t>
            </w:r>
          </w:p>
          <w:p w14:paraId="005DAD9C" w14:textId="68D00DB8"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(11.8</w:t>
            </w:r>
            <w:r w:rsidRPr="00931B39">
              <w:rPr>
                <w:rFonts w:ascii="Book Antiqua" w:hAnsi="Book Antiqua" w:cs="Arial"/>
                <w:szCs w:val="21"/>
              </w:rPr>
              <w:t>–</w:t>
            </w:r>
            <w:r w:rsidRPr="00931B39">
              <w:rPr>
                <w:rFonts w:ascii="Book Antiqua" w:hAnsi="Book Antiqua" w:cs="Arial"/>
                <w:color w:val="000000"/>
                <w:szCs w:val="21"/>
              </w:rPr>
              <w:t>20.1)</w:t>
            </w:r>
          </w:p>
        </w:tc>
        <w:tc>
          <w:tcPr>
            <w:tcW w:w="1339" w:type="dxa"/>
            <w:vAlign w:val="center"/>
            <w:hideMark/>
          </w:tcPr>
          <w:p w14:paraId="24D9E236"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NS</w:t>
            </w:r>
          </w:p>
        </w:tc>
        <w:tc>
          <w:tcPr>
            <w:tcW w:w="1339" w:type="dxa"/>
            <w:vAlign w:val="center"/>
            <w:hideMark/>
          </w:tcPr>
          <w:p w14:paraId="55C7EF5C" w14:textId="77777777"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0.0032</w:t>
            </w:r>
          </w:p>
        </w:tc>
      </w:tr>
      <w:tr w:rsidR="004515E1" w:rsidRPr="00931B39" w14:paraId="319A340C" w14:textId="77777777" w:rsidTr="00931B39">
        <w:tc>
          <w:tcPr>
            <w:tcW w:w="2549" w:type="dxa"/>
            <w:vAlign w:val="center"/>
            <w:hideMark/>
          </w:tcPr>
          <w:p w14:paraId="2EA8B6E9"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 xml:space="preserve">SNP of IL28B  </w:t>
            </w:r>
          </w:p>
          <w:p w14:paraId="197DCBDC"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(TT/non-TT/unknown)</w:t>
            </w:r>
          </w:p>
        </w:tc>
        <w:tc>
          <w:tcPr>
            <w:tcW w:w="1330" w:type="dxa"/>
            <w:vAlign w:val="center"/>
            <w:hideMark/>
          </w:tcPr>
          <w:p w14:paraId="0A0267C7"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99/34/26</w:t>
            </w:r>
          </w:p>
        </w:tc>
        <w:tc>
          <w:tcPr>
            <w:tcW w:w="1330" w:type="dxa"/>
            <w:vAlign w:val="center"/>
            <w:hideMark/>
          </w:tcPr>
          <w:p w14:paraId="19540141"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89/43/15</w:t>
            </w:r>
          </w:p>
        </w:tc>
        <w:tc>
          <w:tcPr>
            <w:tcW w:w="1330" w:type="dxa"/>
            <w:vAlign w:val="center"/>
            <w:hideMark/>
          </w:tcPr>
          <w:p w14:paraId="46C0EAC9"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NS</w:t>
            </w:r>
          </w:p>
        </w:tc>
        <w:tc>
          <w:tcPr>
            <w:tcW w:w="1331" w:type="dxa"/>
            <w:vAlign w:val="center"/>
            <w:hideMark/>
          </w:tcPr>
          <w:p w14:paraId="71FC087E"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0.155</w:t>
            </w:r>
          </w:p>
        </w:tc>
        <w:tc>
          <w:tcPr>
            <w:tcW w:w="630" w:type="dxa"/>
            <w:vAlign w:val="center"/>
          </w:tcPr>
          <w:p w14:paraId="6CDEC40E" w14:textId="77777777" w:rsidR="004515E1" w:rsidRPr="00931B39" w:rsidRDefault="004515E1" w:rsidP="00931B39">
            <w:pPr>
              <w:tabs>
                <w:tab w:val="left" w:pos="2160"/>
              </w:tabs>
              <w:spacing w:line="360" w:lineRule="auto"/>
              <w:rPr>
                <w:rFonts w:ascii="Book Antiqua" w:hAnsi="Book Antiqua"/>
                <w:szCs w:val="21"/>
              </w:rPr>
            </w:pPr>
          </w:p>
        </w:tc>
        <w:tc>
          <w:tcPr>
            <w:tcW w:w="1338" w:type="dxa"/>
            <w:vAlign w:val="center"/>
            <w:hideMark/>
          </w:tcPr>
          <w:p w14:paraId="391437B6" w14:textId="77777777"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74/30</w:t>
            </w:r>
          </w:p>
        </w:tc>
        <w:tc>
          <w:tcPr>
            <w:tcW w:w="1339" w:type="dxa"/>
            <w:vAlign w:val="center"/>
            <w:hideMark/>
          </w:tcPr>
          <w:p w14:paraId="57AA06E0" w14:textId="77777777"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73/31</w:t>
            </w:r>
          </w:p>
        </w:tc>
        <w:tc>
          <w:tcPr>
            <w:tcW w:w="1339" w:type="dxa"/>
            <w:vAlign w:val="center"/>
            <w:hideMark/>
          </w:tcPr>
          <w:p w14:paraId="30D69D56" w14:textId="77777777" w:rsidR="004515E1" w:rsidRPr="00931B39" w:rsidRDefault="004515E1" w:rsidP="00931B39">
            <w:pPr>
              <w:spacing w:line="360" w:lineRule="auto"/>
              <w:rPr>
                <w:rFonts w:ascii="Book Antiqua" w:hAnsi="Book Antiqua" w:cs="Arial"/>
                <w:color w:val="000000"/>
                <w:szCs w:val="21"/>
              </w:rPr>
            </w:pPr>
            <w:r w:rsidRPr="00931B39">
              <w:rPr>
                <w:rFonts w:ascii="Book Antiqua" w:hAnsi="Book Antiqua" w:cs="Arial"/>
                <w:color w:val="000000"/>
                <w:szCs w:val="21"/>
              </w:rPr>
              <w:t>NS</w:t>
            </w:r>
          </w:p>
        </w:tc>
        <w:tc>
          <w:tcPr>
            <w:tcW w:w="1339" w:type="dxa"/>
            <w:vAlign w:val="center"/>
            <w:hideMark/>
          </w:tcPr>
          <w:p w14:paraId="345EBD8A" w14:textId="77777777" w:rsidR="004515E1" w:rsidRPr="00931B39" w:rsidRDefault="004515E1" w:rsidP="00931B39">
            <w:pPr>
              <w:spacing w:line="360" w:lineRule="auto"/>
              <w:rPr>
                <w:rFonts w:ascii="Book Antiqua" w:hAnsi="Book Antiqua" w:cs="Arial"/>
                <w:color w:val="FF0000"/>
                <w:szCs w:val="21"/>
              </w:rPr>
            </w:pPr>
            <w:r w:rsidRPr="00931B39">
              <w:rPr>
                <w:rFonts w:ascii="Book Antiqua" w:hAnsi="Book Antiqua" w:cs="Arial"/>
                <w:color w:val="000000"/>
                <w:szCs w:val="21"/>
              </w:rPr>
              <w:t>0.0211</w:t>
            </w:r>
          </w:p>
        </w:tc>
      </w:tr>
      <w:tr w:rsidR="004515E1" w:rsidRPr="00931B39" w14:paraId="1BF51859" w14:textId="77777777" w:rsidTr="00931B39">
        <w:tc>
          <w:tcPr>
            <w:tcW w:w="2549" w:type="dxa"/>
            <w:vAlign w:val="center"/>
            <w:hideMark/>
          </w:tcPr>
          <w:p w14:paraId="03CB6CD5" w14:textId="33AEF6C7" w:rsidR="004515E1" w:rsidRPr="00931B39" w:rsidRDefault="00504D26" w:rsidP="00504D26">
            <w:pPr>
              <w:spacing w:line="360" w:lineRule="auto"/>
              <w:rPr>
                <w:rFonts w:ascii="Book Antiqua" w:hAnsi="Book Antiqua" w:cs="Arial"/>
                <w:szCs w:val="21"/>
              </w:rPr>
            </w:pPr>
            <w:r>
              <w:rPr>
                <w:rFonts w:ascii="Book Antiqua" w:hAnsi="Book Antiqua" w:cs="Arial"/>
                <w:szCs w:val="21"/>
              </w:rPr>
              <w:sym w:font="Symbol" w:char="F03C"/>
            </w:r>
            <w:r>
              <w:rPr>
                <w:rFonts w:ascii="Book Antiqua" w:eastAsia="宋体" w:hAnsi="Book Antiqua" w:cs="Arial" w:hint="eastAsia"/>
                <w:szCs w:val="21"/>
                <w:lang w:eastAsia="zh-CN"/>
              </w:rPr>
              <w:t xml:space="preserve"> </w:t>
            </w:r>
            <w:r w:rsidR="004515E1" w:rsidRPr="00931B39">
              <w:rPr>
                <w:rFonts w:ascii="Book Antiqua" w:hAnsi="Book Antiqua" w:cs="Arial"/>
                <w:szCs w:val="21"/>
              </w:rPr>
              <w:t>Other Data</w:t>
            </w:r>
            <w:r>
              <w:rPr>
                <w:rFonts w:ascii="Book Antiqua" w:eastAsia="宋体" w:hAnsi="Book Antiqua" w:cs="Arial" w:hint="eastAsia"/>
                <w:szCs w:val="21"/>
                <w:lang w:eastAsia="zh-CN"/>
              </w:rPr>
              <w:t xml:space="preserve"> </w:t>
            </w:r>
            <w:r>
              <w:rPr>
                <w:rFonts w:ascii="Book Antiqua" w:hAnsi="Book Antiqua" w:cs="Arial"/>
                <w:szCs w:val="21"/>
              </w:rPr>
              <w:sym w:font="Symbol" w:char="F03E"/>
            </w:r>
          </w:p>
        </w:tc>
        <w:tc>
          <w:tcPr>
            <w:tcW w:w="1330" w:type="dxa"/>
            <w:vAlign w:val="center"/>
          </w:tcPr>
          <w:p w14:paraId="2E1ACAE5" w14:textId="77777777" w:rsidR="004515E1" w:rsidRPr="00931B39" w:rsidRDefault="004515E1" w:rsidP="00931B39">
            <w:pPr>
              <w:spacing w:line="360" w:lineRule="auto"/>
              <w:rPr>
                <w:rFonts w:ascii="Book Antiqua" w:hAnsi="Book Antiqua" w:cs="Arial"/>
                <w:szCs w:val="21"/>
              </w:rPr>
            </w:pPr>
          </w:p>
        </w:tc>
        <w:tc>
          <w:tcPr>
            <w:tcW w:w="1330" w:type="dxa"/>
            <w:vAlign w:val="center"/>
          </w:tcPr>
          <w:p w14:paraId="54E690C7" w14:textId="77777777" w:rsidR="004515E1" w:rsidRPr="00931B39" w:rsidRDefault="004515E1" w:rsidP="00931B39">
            <w:pPr>
              <w:spacing w:line="360" w:lineRule="auto"/>
              <w:rPr>
                <w:rFonts w:ascii="Book Antiqua" w:hAnsi="Book Antiqua" w:cs="Arial"/>
                <w:szCs w:val="21"/>
              </w:rPr>
            </w:pPr>
          </w:p>
        </w:tc>
        <w:tc>
          <w:tcPr>
            <w:tcW w:w="1330" w:type="dxa"/>
            <w:vAlign w:val="center"/>
          </w:tcPr>
          <w:p w14:paraId="2C4CF71D" w14:textId="77777777" w:rsidR="004515E1" w:rsidRPr="00931B39" w:rsidRDefault="004515E1" w:rsidP="00931B39">
            <w:pPr>
              <w:spacing w:line="360" w:lineRule="auto"/>
              <w:rPr>
                <w:rFonts w:ascii="Book Antiqua" w:hAnsi="Book Antiqua" w:cs="Arial"/>
                <w:szCs w:val="21"/>
              </w:rPr>
            </w:pPr>
          </w:p>
        </w:tc>
        <w:tc>
          <w:tcPr>
            <w:tcW w:w="1331" w:type="dxa"/>
            <w:vAlign w:val="center"/>
          </w:tcPr>
          <w:p w14:paraId="1FB0DEB1" w14:textId="77777777" w:rsidR="004515E1" w:rsidRPr="00931B39" w:rsidRDefault="004515E1" w:rsidP="00931B39">
            <w:pPr>
              <w:spacing w:line="360" w:lineRule="auto"/>
              <w:rPr>
                <w:rFonts w:ascii="Book Antiqua" w:hAnsi="Book Antiqua" w:cs="Arial"/>
                <w:szCs w:val="21"/>
              </w:rPr>
            </w:pPr>
          </w:p>
        </w:tc>
        <w:tc>
          <w:tcPr>
            <w:tcW w:w="630" w:type="dxa"/>
            <w:vAlign w:val="center"/>
          </w:tcPr>
          <w:p w14:paraId="5F5BE6E5" w14:textId="77777777" w:rsidR="004515E1" w:rsidRPr="00931B39" w:rsidRDefault="004515E1" w:rsidP="00931B39">
            <w:pPr>
              <w:tabs>
                <w:tab w:val="left" w:pos="2160"/>
              </w:tabs>
              <w:spacing w:line="360" w:lineRule="auto"/>
              <w:rPr>
                <w:rFonts w:ascii="Book Antiqua" w:hAnsi="Book Antiqua"/>
                <w:szCs w:val="21"/>
              </w:rPr>
            </w:pPr>
          </w:p>
        </w:tc>
        <w:tc>
          <w:tcPr>
            <w:tcW w:w="1338" w:type="dxa"/>
            <w:vAlign w:val="center"/>
          </w:tcPr>
          <w:p w14:paraId="63B5BAAD" w14:textId="77777777" w:rsidR="004515E1" w:rsidRPr="00931B39" w:rsidRDefault="004515E1" w:rsidP="00931B39">
            <w:pPr>
              <w:spacing w:line="360" w:lineRule="auto"/>
              <w:rPr>
                <w:rFonts w:ascii="Book Antiqua" w:hAnsi="Book Antiqua" w:cs="Arial"/>
                <w:color w:val="FF0000"/>
                <w:szCs w:val="21"/>
              </w:rPr>
            </w:pPr>
          </w:p>
        </w:tc>
        <w:tc>
          <w:tcPr>
            <w:tcW w:w="1339" w:type="dxa"/>
            <w:vAlign w:val="center"/>
          </w:tcPr>
          <w:p w14:paraId="4DC776BB" w14:textId="77777777" w:rsidR="004515E1" w:rsidRPr="00931B39" w:rsidRDefault="004515E1" w:rsidP="00931B39">
            <w:pPr>
              <w:spacing w:line="360" w:lineRule="auto"/>
              <w:rPr>
                <w:rFonts w:ascii="Book Antiqua" w:hAnsi="Book Antiqua" w:cs="Arial"/>
                <w:color w:val="FF0000"/>
                <w:szCs w:val="21"/>
              </w:rPr>
            </w:pPr>
          </w:p>
        </w:tc>
        <w:tc>
          <w:tcPr>
            <w:tcW w:w="1339" w:type="dxa"/>
            <w:vAlign w:val="center"/>
          </w:tcPr>
          <w:p w14:paraId="7822D5BF" w14:textId="77777777" w:rsidR="004515E1" w:rsidRPr="00931B39" w:rsidRDefault="004515E1" w:rsidP="00931B39">
            <w:pPr>
              <w:spacing w:line="360" w:lineRule="auto"/>
              <w:rPr>
                <w:rFonts w:ascii="Book Antiqua" w:hAnsi="Book Antiqua" w:cs="Arial"/>
                <w:color w:val="000000"/>
                <w:szCs w:val="21"/>
              </w:rPr>
            </w:pPr>
          </w:p>
        </w:tc>
        <w:tc>
          <w:tcPr>
            <w:tcW w:w="1339" w:type="dxa"/>
            <w:vAlign w:val="center"/>
          </w:tcPr>
          <w:p w14:paraId="6B6EFD37" w14:textId="77777777" w:rsidR="004515E1" w:rsidRPr="00931B39" w:rsidRDefault="004515E1" w:rsidP="00931B39">
            <w:pPr>
              <w:spacing w:line="360" w:lineRule="auto"/>
              <w:rPr>
                <w:rFonts w:ascii="Book Antiqua" w:hAnsi="Book Antiqua" w:cs="Arial"/>
                <w:color w:val="FF0000"/>
                <w:szCs w:val="21"/>
              </w:rPr>
            </w:pPr>
          </w:p>
        </w:tc>
      </w:tr>
      <w:tr w:rsidR="004515E1" w:rsidRPr="00931B39" w14:paraId="4087A686" w14:textId="77777777" w:rsidTr="00931B39">
        <w:tc>
          <w:tcPr>
            <w:tcW w:w="2549" w:type="dxa"/>
            <w:vAlign w:val="center"/>
            <w:hideMark/>
          </w:tcPr>
          <w:p w14:paraId="24B3E16E"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Prior treatment response</w:t>
            </w:r>
          </w:p>
          <w:p w14:paraId="23DBFD4C" w14:textId="77777777" w:rsidR="004515E1" w:rsidRPr="00931B39" w:rsidRDefault="004515E1" w:rsidP="00931B39">
            <w:pPr>
              <w:spacing w:line="360" w:lineRule="auto"/>
              <w:rPr>
                <w:rFonts w:ascii="Book Antiqua" w:hAnsi="Book Antiqua" w:cs="Arial"/>
                <w:szCs w:val="21"/>
              </w:rPr>
            </w:pPr>
            <w:r w:rsidRPr="00931B39">
              <w:rPr>
                <w:rFonts w:ascii="Book Antiqua" w:hAnsi="Book Antiqua" w:cs="Arial"/>
                <w:szCs w:val="21"/>
              </w:rPr>
              <w:t>Relapse/other</w:t>
            </w:r>
          </w:p>
        </w:tc>
        <w:tc>
          <w:tcPr>
            <w:tcW w:w="1330" w:type="dxa"/>
            <w:vAlign w:val="center"/>
            <w:hideMark/>
          </w:tcPr>
          <w:p w14:paraId="49911943" w14:textId="77777777" w:rsidR="004515E1" w:rsidRPr="00931B39" w:rsidRDefault="004515E1" w:rsidP="00931B39">
            <w:pPr>
              <w:pStyle w:val="NormalWeb"/>
              <w:spacing w:before="0" w:beforeAutospacing="0" w:after="0" w:afterAutospacing="0" w:line="360" w:lineRule="auto"/>
              <w:jc w:val="both"/>
              <w:textAlignment w:val="center"/>
              <w:rPr>
                <w:rFonts w:ascii="Book Antiqua" w:eastAsia="HGPGothicE" w:hAnsi="Book Antiqua" w:cs="Arial"/>
                <w:color w:val="000000"/>
                <w:kern w:val="24"/>
                <w:sz w:val="21"/>
                <w:szCs w:val="21"/>
              </w:rPr>
            </w:pPr>
            <w:r w:rsidRPr="00931B39">
              <w:rPr>
                <w:rFonts w:ascii="Book Antiqua" w:eastAsia="HGPGothicE" w:hAnsi="Book Antiqua" w:cs="Arial"/>
                <w:color w:val="000000"/>
                <w:kern w:val="24"/>
                <w:sz w:val="21"/>
                <w:szCs w:val="21"/>
              </w:rPr>
              <w:t>43/30</w:t>
            </w:r>
          </w:p>
        </w:tc>
        <w:tc>
          <w:tcPr>
            <w:tcW w:w="1330" w:type="dxa"/>
            <w:vAlign w:val="center"/>
            <w:hideMark/>
          </w:tcPr>
          <w:p w14:paraId="5E82F236" w14:textId="77777777" w:rsidR="004515E1" w:rsidRPr="00931B39" w:rsidRDefault="004515E1" w:rsidP="00931B39">
            <w:pPr>
              <w:pStyle w:val="NormalWeb"/>
              <w:spacing w:before="0" w:beforeAutospacing="0" w:after="0" w:afterAutospacing="0" w:line="360" w:lineRule="auto"/>
              <w:jc w:val="both"/>
              <w:textAlignment w:val="center"/>
              <w:rPr>
                <w:rFonts w:ascii="Book Antiqua" w:hAnsi="Book Antiqua" w:cs="Arial"/>
                <w:noProof/>
                <w:sz w:val="21"/>
                <w:szCs w:val="21"/>
              </w:rPr>
            </w:pPr>
            <w:r w:rsidRPr="00931B39">
              <w:rPr>
                <w:rFonts w:ascii="Book Antiqua" w:hAnsi="Book Antiqua" w:cs="Arial"/>
                <w:noProof/>
                <w:sz w:val="21"/>
                <w:szCs w:val="21"/>
              </w:rPr>
              <w:t>31/32</w:t>
            </w:r>
          </w:p>
        </w:tc>
        <w:tc>
          <w:tcPr>
            <w:tcW w:w="1330" w:type="dxa"/>
            <w:vAlign w:val="center"/>
            <w:hideMark/>
          </w:tcPr>
          <w:p w14:paraId="6092D769" w14:textId="77777777" w:rsidR="004515E1" w:rsidRPr="00931B39" w:rsidRDefault="004515E1" w:rsidP="00931B39">
            <w:pPr>
              <w:pStyle w:val="NormalWeb"/>
              <w:spacing w:before="0" w:beforeAutospacing="0" w:after="0" w:afterAutospacing="0" w:line="360" w:lineRule="auto"/>
              <w:textAlignment w:val="center"/>
              <w:rPr>
                <w:rFonts w:ascii="Book Antiqua" w:eastAsia="HGPGothicE" w:hAnsi="Book Antiqua" w:cs="Arial"/>
                <w:color w:val="000000"/>
                <w:kern w:val="24"/>
                <w:sz w:val="21"/>
                <w:szCs w:val="21"/>
              </w:rPr>
            </w:pPr>
            <w:r w:rsidRPr="00931B39">
              <w:rPr>
                <w:rFonts w:ascii="Book Antiqua" w:eastAsia="HGPGothicE" w:hAnsi="Book Antiqua" w:cs="Arial"/>
                <w:color w:val="000000"/>
                <w:kern w:val="24"/>
                <w:sz w:val="21"/>
                <w:szCs w:val="21"/>
              </w:rPr>
              <w:t>NS</w:t>
            </w:r>
          </w:p>
        </w:tc>
        <w:tc>
          <w:tcPr>
            <w:tcW w:w="1331" w:type="dxa"/>
            <w:vAlign w:val="center"/>
            <w:hideMark/>
          </w:tcPr>
          <w:p w14:paraId="7C5EB028" w14:textId="77777777" w:rsidR="004515E1" w:rsidRPr="00931B39" w:rsidRDefault="004515E1" w:rsidP="00931B39">
            <w:pPr>
              <w:pStyle w:val="NormalWeb"/>
              <w:spacing w:before="0" w:beforeAutospacing="0" w:after="0" w:afterAutospacing="0" w:line="360" w:lineRule="auto"/>
              <w:textAlignment w:val="center"/>
              <w:rPr>
                <w:rFonts w:ascii="Book Antiqua" w:hAnsi="Book Antiqua" w:cs="Arial"/>
                <w:color w:val="000000"/>
                <w:kern w:val="24"/>
                <w:sz w:val="21"/>
                <w:szCs w:val="21"/>
              </w:rPr>
            </w:pPr>
            <w:r w:rsidRPr="00931B39">
              <w:rPr>
                <w:rFonts w:ascii="Book Antiqua" w:hAnsi="Book Antiqua" w:cs="Arial"/>
                <w:color w:val="000000"/>
                <w:kern w:val="24"/>
                <w:sz w:val="21"/>
                <w:szCs w:val="21"/>
              </w:rPr>
              <w:t>0.196</w:t>
            </w:r>
          </w:p>
        </w:tc>
        <w:tc>
          <w:tcPr>
            <w:tcW w:w="630" w:type="dxa"/>
            <w:vAlign w:val="center"/>
          </w:tcPr>
          <w:p w14:paraId="5798E6A4" w14:textId="77777777" w:rsidR="004515E1" w:rsidRPr="00931B39" w:rsidRDefault="004515E1" w:rsidP="00931B39">
            <w:pPr>
              <w:tabs>
                <w:tab w:val="left" w:pos="2160"/>
              </w:tabs>
              <w:spacing w:line="360" w:lineRule="auto"/>
              <w:rPr>
                <w:rFonts w:ascii="Book Antiqua" w:hAnsi="Book Antiqua" w:cs="Arial"/>
                <w:szCs w:val="21"/>
              </w:rPr>
            </w:pPr>
          </w:p>
        </w:tc>
        <w:tc>
          <w:tcPr>
            <w:tcW w:w="1338" w:type="dxa"/>
            <w:vAlign w:val="center"/>
            <w:hideMark/>
          </w:tcPr>
          <w:p w14:paraId="1FD50203" w14:textId="77777777" w:rsidR="004515E1" w:rsidRPr="00931B39" w:rsidRDefault="004515E1" w:rsidP="00931B39">
            <w:pPr>
              <w:pStyle w:val="NormalWeb"/>
              <w:spacing w:before="0" w:beforeAutospacing="0" w:after="0" w:afterAutospacing="0" w:line="360" w:lineRule="auto"/>
              <w:textAlignment w:val="center"/>
              <w:rPr>
                <w:rFonts w:ascii="Book Antiqua" w:hAnsi="Book Antiqua" w:cs="Arial"/>
                <w:color w:val="000000"/>
                <w:kern w:val="24"/>
                <w:sz w:val="21"/>
                <w:szCs w:val="21"/>
              </w:rPr>
            </w:pPr>
            <w:r w:rsidRPr="00931B39">
              <w:rPr>
                <w:rFonts w:ascii="Book Antiqua" w:hAnsi="Book Antiqua" w:cs="Arial"/>
                <w:color w:val="000000"/>
                <w:kern w:val="24"/>
                <w:sz w:val="21"/>
                <w:szCs w:val="21"/>
              </w:rPr>
              <w:t>31/22</w:t>
            </w:r>
          </w:p>
        </w:tc>
        <w:tc>
          <w:tcPr>
            <w:tcW w:w="1339" w:type="dxa"/>
            <w:vAlign w:val="center"/>
            <w:hideMark/>
          </w:tcPr>
          <w:p w14:paraId="49BAFE29" w14:textId="77777777" w:rsidR="004515E1" w:rsidRPr="00931B39" w:rsidRDefault="004515E1" w:rsidP="00931B39">
            <w:pPr>
              <w:pStyle w:val="NormalWeb"/>
              <w:spacing w:before="0" w:beforeAutospacing="0" w:after="0" w:afterAutospacing="0" w:line="360" w:lineRule="auto"/>
              <w:textAlignment w:val="center"/>
              <w:rPr>
                <w:rFonts w:ascii="Book Antiqua" w:hAnsi="Book Antiqua" w:cs="Arial"/>
                <w:color w:val="000000"/>
                <w:kern w:val="24"/>
                <w:sz w:val="21"/>
                <w:szCs w:val="21"/>
              </w:rPr>
            </w:pPr>
            <w:r w:rsidRPr="00931B39">
              <w:rPr>
                <w:rFonts w:ascii="Book Antiqua" w:hAnsi="Book Antiqua" w:cs="Arial"/>
                <w:color w:val="000000"/>
                <w:kern w:val="24"/>
                <w:sz w:val="21"/>
                <w:szCs w:val="21"/>
              </w:rPr>
              <w:t>23/20</w:t>
            </w:r>
          </w:p>
        </w:tc>
        <w:tc>
          <w:tcPr>
            <w:tcW w:w="1339" w:type="dxa"/>
            <w:vAlign w:val="center"/>
            <w:hideMark/>
          </w:tcPr>
          <w:p w14:paraId="25B55944" w14:textId="77777777" w:rsidR="004515E1" w:rsidRPr="00931B39" w:rsidRDefault="004515E1" w:rsidP="00931B39">
            <w:pPr>
              <w:pStyle w:val="NormalWeb"/>
              <w:spacing w:before="0" w:beforeAutospacing="0" w:after="0" w:afterAutospacing="0" w:line="360" w:lineRule="auto"/>
              <w:textAlignment w:val="center"/>
              <w:rPr>
                <w:rFonts w:ascii="Book Antiqua" w:hAnsi="Book Antiqua" w:cs="Arial"/>
                <w:color w:val="000000"/>
                <w:kern w:val="24"/>
                <w:sz w:val="21"/>
                <w:szCs w:val="21"/>
              </w:rPr>
            </w:pPr>
            <w:r w:rsidRPr="00931B39">
              <w:rPr>
                <w:rFonts w:ascii="Book Antiqua" w:hAnsi="Book Antiqua" w:cs="Arial"/>
                <w:color w:val="000000"/>
                <w:kern w:val="24"/>
                <w:sz w:val="21"/>
                <w:szCs w:val="21"/>
              </w:rPr>
              <w:t>NS</w:t>
            </w:r>
          </w:p>
        </w:tc>
        <w:tc>
          <w:tcPr>
            <w:tcW w:w="1339" w:type="dxa"/>
            <w:vAlign w:val="center"/>
            <w:hideMark/>
          </w:tcPr>
          <w:p w14:paraId="392E4E89" w14:textId="77777777" w:rsidR="004515E1" w:rsidRPr="00931B39" w:rsidRDefault="004515E1" w:rsidP="00931B39">
            <w:pPr>
              <w:pStyle w:val="NormalWeb"/>
              <w:spacing w:before="0" w:beforeAutospacing="0" w:after="0" w:afterAutospacing="0" w:line="360" w:lineRule="auto"/>
              <w:textAlignment w:val="center"/>
              <w:rPr>
                <w:rFonts w:ascii="Book Antiqua" w:eastAsia="HGPGothicE" w:hAnsi="Book Antiqua" w:cs="Arial"/>
                <w:color w:val="000000"/>
                <w:kern w:val="24"/>
                <w:sz w:val="21"/>
                <w:szCs w:val="21"/>
              </w:rPr>
            </w:pPr>
            <w:r w:rsidRPr="00931B39">
              <w:rPr>
                <w:rFonts w:ascii="Book Antiqua" w:eastAsia="HGPGothicE" w:hAnsi="Book Antiqua" w:cs="Arial"/>
                <w:color w:val="000000"/>
                <w:kern w:val="24"/>
                <w:sz w:val="21"/>
                <w:szCs w:val="21"/>
              </w:rPr>
              <w:t>0.100</w:t>
            </w:r>
          </w:p>
        </w:tc>
      </w:tr>
    </w:tbl>
    <w:p w14:paraId="32637099" w14:textId="760C4F93" w:rsidR="00C26FC3" w:rsidRDefault="004515E1" w:rsidP="00504D26">
      <w:pPr>
        <w:pStyle w:val="1"/>
        <w:spacing w:line="480" w:lineRule="auto"/>
        <w:rPr>
          <w:rFonts w:ascii="Book Antiqua" w:hAnsi="Book Antiqua" w:cs="Times New Roman"/>
          <w:sz w:val="24"/>
          <w:szCs w:val="24"/>
          <w:lang w:eastAsia="zh-CN"/>
        </w:rPr>
      </w:pPr>
      <w:r>
        <w:rPr>
          <w:rFonts w:ascii="Book Antiqua" w:hAnsi="Book Antiqua"/>
          <w:sz w:val="24"/>
          <w:szCs w:val="24"/>
        </w:rPr>
        <w:t xml:space="preserve">“Unmatched patients” refer to values prior to propensity score matching and “Propensity score matched patients” refer to values after adjustment by propensity score matching. Data are </w:t>
      </w:r>
      <w:r>
        <w:rPr>
          <w:rFonts w:ascii="Book Antiqua" w:hAnsi="Book Antiqua" w:cs="Times New Roman"/>
          <w:sz w:val="24"/>
          <w:szCs w:val="24"/>
        </w:rPr>
        <w:t xml:space="preserve">presented as numbers or medians with interquartile ranges in parentheses. </w:t>
      </w:r>
      <w:r>
        <w:rPr>
          <w:rFonts w:ascii="Book Antiqua" w:hAnsi="Book Antiqua" w:cs="Times New Roman"/>
          <w:i/>
          <w:sz w:val="24"/>
          <w:szCs w:val="24"/>
        </w:rPr>
        <w:t>P</w:t>
      </w:r>
      <w:r>
        <w:rPr>
          <w:rFonts w:ascii="Book Antiqua" w:hAnsi="Book Antiqua" w:cs="Times New Roman"/>
          <w:sz w:val="24"/>
          <w:szCs w:val="24"/>
        </w:rPr>
        <w:t xml:space="preserve">-values were calculated using the </w:t>
      </w:r>
      <w:r w:rsidR="00504D26">
        <w:rPr>
          <w:rFonts w:ascii="Book Antiqua" w:hAnsi="Book Antiqua" w:cs="Times New Roman"/>
          <w:sz w:val="24"/>
          <w:szCs w:val="24"/>
        </w:rPr>
        <w:sym w:font="Symbol" w:char="F063"/>
      </w:r>
      <w:r w:rsidR="00504D26">
        <w:rPr>
          <w:rFonts w:ascii="Book Antiqua" w:hAnsi="Book Antiqua" w:cs="Times New Roman" w:hint="eastAsia"/>
          <w:sz w:val="24"/>
          <w:szCs w:val="24"/>
          <w:vertAlign w:val="superscript"/>
          <w:lang w:eastAsia="zh-CN"/>
        </w:rPr>
        <w:t>2</w:t>
      </w:r>
      <w:r>
        <w:rPr>
          <w:rFonts w:ascii="Book Antiqua" w:hAnsi="Book Antiqua" w:cs="Times New Roman"/>
          <w:sz w:val="24"/>
          <w:szCs w:val="24"/>
        </w:rPr>
        <w:t xml:space="preserve"> or Mann–Whitney </w:t>
      </w:r>
      <w:r w:rsidRPr="00504D26">
        <w:rPr>
          <w:rFonts w:ascii="Book Antiqua" w:hAnsi="Book Antiqua" w:cs="Times New Roman"/>
          <w:i/>
          <w:sz w:val="24"/>
          <w:szCs w:val="24"/>
        </w:rPr>
        <w:t>U</w:t>
      </w:r>
      <w:r>
        <w:rPr>
          <w:rFonts w:ascii="Book Antiqua" w:hAnsi="Book Antiqua" w:cs="Times New Roman"/>
          <w:sz w:val="24"/>
          <w:szCs w:val="24"/>
        </w:rPr>
        <w:t>-test for continuous variables. SNP</w:t>
      </w:r>
      <w:r w:rsidR="00504D26">
        <w:rPr>
          <w:rFonts w:ascii="Book Antiqua" w:hAnsi="Book Antiqua" w:cs="Times New Roman" w:hint="eastAsia"/>
          <w:sz w:val="24"/>
          <w:szCs w:val="24"/>
          <w:lang w:eastAsia="zh-CN"/>
        </w:rPr>
        <w:t xml:space="preserve">: </w:t>
      </w:r>
      <w:r w:rsidR="00504D26">
        <w:rPr>
          <w:rFonts w:ascii="Book Antiqua" w:hAnsi="Book Antiqua" w:cs="Times New Roman"/>
          <w:sz w:val="24"/>
          <w:szCs w:val="24"/>
        </w:rPr>
        <w:t>Single</w:t>
      </w:r>
      <w:r>
        <w:rPr>
          <w:rFonts w:ascii="Book Antiqua" w:hAnsi="Book Antiqua" w:cs="Times New Roman"/>
          <w:sz w:val="24"/>
          <w:szCs w:val="24"/>
        </w:rPr>
        <w:t>-nucleotide polymorphism; IL28</w:t>
      </w:r>
      <w:r w:rsidR="00504D26">
        <w:rPr>
          <w:rFonts w:ascii="Book Antiqua" w:hAnsi="Book Antiqua" w:cs="Times New Roman" w:hint="eastAsia"/>
          <w:sz w:val="24"/>
          <w:szCs w:val="24"/>
          <w:lang w:eastAsia="zh-CN"/>
        </w:rPr>
        <w:t>:</w:t>
      </w:r>
      <w:r>
        <w:rPr>
          <w:rFonts w:ascii="Book Antiqua" w:hAnsi="Book Antiqua" w:cs="Times New Roman"/>
          <w:sz w:val="24"/>
          <w:szCs w:val="24"/>
        </w:rPr>
        <w:t xml:space="preserve"> </w:t>
      </w:r>
      <w:r w:rsidR="00504D26">
        <w:rPr>
          <w:rFonts w:ascii="Book Antiqua" w:hAnsi="Book Antiqua" w:cs="Times New Roman"/>
          <w:sz w:val="24"/>
          <w:szCs w:val="24"/>
        </w:rPr>
        <w:t xml:space="preserve">Interleukin </w:t>
      </w:r>
      <w:r>
        <w:rPr>
          <w:rFonts w:ascii="Book Antiqua" w:hAnsi="Book Antiqua" w:cs="Times New Roman"/>
          <w:sz w:val="24"/>
          <w:szCs w:val="24"/>
        </w:rPr>
        <w:t>28B</w:t>
      </w:r>
      <w:r w:rsidR="00504D26">
        <w:rPr>
          <w:rFonts w:ascii="Book Antiqua" w:hAnsi="Book Antiqua" w:cs="Times New Roman" w:hint="eastAsia"/>
          <w:sz w:val="24"/>
          <w:szCs w:val="24"/>
          <w:lang w:eastAsia="zh-CN"/>
        </w:rPr>
        <w:t>.</w:t>
      </w:r>
      <w:r w:rsidR="00C26FC3">
        <w:rPr>
          <w:rFonts w:ascii="Book Antiqua" w:hAnsi="Book Antiqua" w:cs="Times New Roman"/>
          <w:sz w:val="24"/>
          <w:szCs w:val="24"/>
        </w:rPr>
        <w:br w:type="page"/>
      </w:r>
    </w:p>
    <w:p w14:paraId="6DA47CD3" w14:textId="77777777" w:rsidR="00504D26" w:rsidRDefault="00504D26" w:rsidP="00504D26">
      <w:pPr>
        <w:pStyle w:val="1"/>
        <w:tabs>
          <w:tab w:val="left" w:pos="2160"/>
        </w:tabs>
        <w:spacing w:line="480" w:lineRule="auto"/>
        <w:rPr>
          <w:rFonts w:ascii="Book Antiqua" w:hAnsi="Book Antiqua" w:cs="Times New Roman"/>
          <w:b/>
          <w:sz w:val="24"/>
          <w:szCs w:val="24"/>
          <w:lang w:eastAsia="zh-CN"/>
        </w:rPr>
      </w:pPr>
      <w:r>
        <w:rPr>
          <w:rFonts w:ascii="Book Antiqua" w:hAnsi="Book Antiqua" w:cs="Times New Roman"/>
          <w:b/>
          <w:sz w:val="24"/>
          <w:szCs w:val="24"/>
        </w:rPr>
        <w:lastRenderedPageBreak/>
        <w:t>Table 2</w:t>
      </w:r>
      <w:r w:rsidR="00AD0DB2">
        <w:rPr>
          <w:rFonts w:ascii="Book Antiqua" w:hAnsi="Book Antiqua" w:cs="Times New Roman"/>
          <w:b/>
          <w:sz w:val="24"/>
          <w:szCs w:val="24"/>
        </w:rPr>
        <w:t xml:space="preserve"> Univariate and multivariate analysis of factors associated with sustained </w:t>
      </w:r>
      <w:proofErr w:type="spellStart"/>
      <w:r w:rsidR="00AD0DB2">
        <w:rPr>
          <w:rFonts w:ascii="Book Antiqua" w:hAnsi="Book Antiqua" w:cs="Times New Roman"/>
          <w:b/>
          <w:sz w:val="24"/>
          <w:szCs w:val="24"/>
        </w:rPr>
        <w:t>virological</w:t>
      </w:r>
      <w:proofErr w:type="spellEnd"/>
      <w:r w:rsidR="00AD0DB2">
        <w:rPr>
          <w:rFonts w:ascii="Book Antiqua" w:hAnsi="Book Antiqua" w:cs="Times New Roman"/>
          <w:b/>
          <w:sz w:val="24"/>
          <w:szCs w:val="24"/>
        </w:rPr>
        <w:t xml:space="preserve"> response following </w:t>
      </w:r>
      <w:proofErr w:type="spellStart"/>
      <w:r w:rsidR="00AD0DB2">
        <w:rPr>
          <w:rFonts w:ascii="Book Antiqua" w:hAnsi="Book Antiqua" w:cs="Times New Roman"/>
          <w:b/>
          <w:sz w:val="24"/>
          <w:szCs w:val="24"/>
        </w:rPr>
        <w:t>pegylated</w:t>
      </w:r>
      <w:proofErr w:type="spellEnd"/>
      <w:r w:rsidR="00AD0DB2">
        <w:rPr>
          <w:rFonts w:ascii="Book Antiqua" w:hAnsi="Book Antiqua" w:cs="Times New Roman"/>
          <w:b/>
          <w:sz w:val="24"/>
          <w:szCs w:val="24"/>
        </w:rPr>
        <w:t xml:space="preserve"> interferon, ribavirin, and </w:t>
      </w:r>
      <w:proofErr w:type="spellStart"/>
      <w:r w:rsidR="00AD0DB2">
        <w:rPr>
          <w:rFonts w:ascii="Book Antiqua" w:hAnsi="Book Antiqua" w:cs="Times New Roman"/>
          <w:b/>
          <w:sz w:val="24"/>
          <w:szCs w:val="24"/>
        </w:rPr>
        <w:t>telaprev</w:t>
      </w:r>
      <w:r>
        <w:rPr>
          <w:rFonts w:ascii="Book Antiqua" w:hAnsi="Book Antiqua" w:cs="Times New Roman"/>
          <w:b/>
          <w:sz w:val="24"/>
          <w:szCs w:val="24"/>
        </w:rPr>
        <w:t>ir</w:t>
      </w:r>
      <w:proofErr w:type="spellEnd"/>
      <w:r>
        <w:rPr>
          <w:rFonts w:ascii="Book Antiqua" w:hAnsi="Book Antiqua" w:cs="Times New Roman"/>
          <w:b/>
          <w:sz w:val="24"/>
          <w:szCs w:val="24"/>
        </w:rPr>
        <w:t xml:space="preserve"> or </w:t>
      </w:r>
      <w:proofErr w:type="spellStart"/>
      <w:r>
        <w:rPr>
          <w:rFonts w:ascii="Book Antiqua" w:hAnsi="Book Antiqua" w:cs="Times New Roman"/>
          <w:b/>
          <w:sz w:val="24"/>
          <w:szCs w:val="24"/>
        </w:rPr>
        <w:t>simeprevir</w:t>
      </w:r>
      <w:proofErr w:type="spellEnd"/>
      <w:r>
        <w:rPr>
          <w:rFonts w:ascii="Book Antiqua" w:hAnsi="Book Antiqua" w:cs="Times New Roman"/>
          <w:b/>
          <w:sz w:val="24"/>
          <w:szCs w:val="24"/>
        </w:rPr>
        <w:t xml:space="preserve"> triple therapy</w:t>
      </w:r>
    </w:p>
    <w:tbl>
      <w:tblPr>
        <w:tblW w:w="9046" w:type="dxa"/>
        <w:tblInd w:w="93" w:type="dxa"/>
        <w:tblBorders>
          <w:top w:val="single" w:sz="4" w:space="0" w:color="auto"/>
          <w:bottom w:val="single" w:sz="4" w:space="0" w:color="auto"/>
        </w:tblBorders>
        <w:tblLook w:val="04A0" w:firstRow="1" w:lastRow="0" w:firstColumn="1" w:lastColumn="0" w:noHBand="0" w:noVBand="1"/>
      </w:tblPr>
      <w:tblGrid>
        <w:gridCol w:w="2253"/>
        <w:gridCol w:w="1231"/>
        <w:gridCol w:w="1231"/>
        <w:gridCol w:w="927"/>
        <w:gridCol w:w="1290"/>
        <w:gridCol w:w="1231"/>
        <w:gridCol w:w="927"/>
      </w:tblGrid>
      <w:tr w:rsidR="00504D26" w:rsidRPr="000A08DE" w14:paraId="666FCF6A" w14:textId="77777777" w:rsidTr="008C3461">
        <w:trPr>
          <w:trHeight w:val="285"/>
        </w:trPr>
        <w:tc>
          <w:tcPr>
            <w:tcW w:w="2253" w:type="dxa"/>
            <w:tcBorders>
              <w:top w:val="single" w:sz="4" w:space="0" w:color="auto"/>
              <w:bottom w:val="nil"/>
            </w:tcBorders>
            <w:shd w:val="clear" w:color="auto" w:fill="auto"/>
            <w:vAlign w:val="center"/>
            <w:hideMark/>
          </w:tcPr>
          <w:p w14:paraId="23D8E1B0" w14:textId="77777777" w:rsidR="00504D26" w:rsidRPr="000A08DE" w:rsidRDefault="00504D26" w:rsidP="008C3461">
            <w:pPr>
              <w:widowControl/>
              <w:rPr>
                <w:rFonts w:ascii="Book Antiqua" w:eastAsia="宋体" w:hAnsi="Book Antiqua" w:cs="宋体"/>
                <w:b/>
                <w:color w:val="000000"/>
                <w:kern w:val="0"/>
                <w:szCs w:val="21"/>
              </w:rPr>
            </w:pPr>
            <w:r w:rsidRPr="000A08DE">
              <w:rPr>
                <w:rFonts w:ascii="Book Antiqua" w:eastAsia="宋体" w:hAnsi="Book Antiqua" w:cs="宋体"/>
                <w:b/>
                <w:color w:val="000000"/>
                <w:kern w:val="0"/>
                <w:szCs w:val="21"/>
              </w:rPr>
              <w:t xml:space="preserve">　</w:t>
            </w:r>
          </w:p>
        </w:tc>
        <w:tc>
          <w:tcPr>
            <w:tcW w:w="1231" w:type="dxa"/>
            <w:tcBorders>
              <w:top w:val="single" w:sz="4" w:space="0" w:color="auto"/>
              <w:bottom w:val="nil"/>
            </w:tcBorders>
            <w:shd w:val="clear" w:color="auto" w:fill="auto"/>
            <w:vAlign w:val="center"/>
            <w:hideMark/>
          </w:tcPr>
          <w:p w14:paraId="5256D6A2" w14:textId="77777777" w:rsidR="00504D26" w:rsidRPr="000A08DE" w:rsidRDefault="00504D26" w:rsidP="008C3461">
            <w:pPr>
              <w:widowControl/>
              <w:jc w:val="left"/>
              <w:rPr>
                <w:rFonts w:ascii="Book Antiqua" w:eastAsia="宋体" w:hAnsi="Book Antiqua" w:cs="宋体"/>
                <w:b/>
                <w:color w:val="000000"/>
                <w:kern w:val="0"/>
                <w:szCs w:val="21"/>
              </w:rPr>
            </w:pPr>
            <w:proofErr w:type="spellStart"/>
            <w:r w:rsidRPr="000A08DE">
              <w:rPr>
                <w:rFonts w:ascii="Book Antiqua" w:eastAsia="宋体" w:hAnsi="Book Antiqua" w:cs="宋体"/>
                <w:b/>
                <w:color w:val="000000"/>
                <w:kern w:val="0"/>
                <w:szCs w:val="21"/>
              </w:rPr>
              <w:t>Telaprevir</w:t>
            </w:r>
            <w:proofErr w:type="spellEnd"/>
          </w:p>
        </w:tc>
        <w:tc>
          <w:tcPr>
            <w:tcW w:w="1231" w:type="dxa"/>
            <w:tcBorders>
              <w:top w:val="single" w:sz="4" w:space="0" w:color="auto"/>
              <w:bottom w:val="nil"/>
            </w:tcBorders>
            <w:shd w:val="clear" w:color="auto" w:fill="auto"/>
            <w:vAlign w:val="center"/>
            <w:hideMark/>
          </w:tcPr>
          <w:p w14:paraId="6874D972" w14:textId="77777777" w:rsidR="00504D26" w:rsidRPr="000A08DE" w:rsidRDefault="00504D26" w:rsidP="008C3461">
            <w:pPr>
              <w:widowControl/>
              <w:rPr>
                <w:rFonts w:ascii="Book Antiqua" w:eastAsia="宋体" w:hAnsi="Book Antiqua" w:cs="宋体"/>
                <w:b/>
                <w:color w:val="000000"/>
                <w:kern w:val="0"/>
                <w:szCs w:val="21"/>
              </w:rPr>
            </w:pPr>
            <w:r w:rsidRPr="000A08DE">
              <w:rPr>
                <w:rFonts w:ascii="Book Antiqua" w:eastAsia="宋体" w:hAnsi="Book Antiqua" w:cs="宋体"/>
                <w:b/>
                <w:color w:val="000000"/>
                <w:kern w:val="0"/>
                <w:szCs w:val="21"/>
              </w:rPr>
              <w:t xml:space="preserve">　</w:t>
            </w:r>
          </w:p>
        </w:tc>
        <w:tc>
          <w:tcPr>
            <w:tcW w:w="927" w:type="dxa"/>
            <w:tcBorders>
              <w:top w:val="single" w:sz="4" w:space="0" w:color="auto"/>
              <w:bottom w:val="nil"/>
            </w:tcBorders>
            <w:shd w:val="clear" w:color="auto" w:fill="auto"/>
            <w:vAlign w:val="center"/>
            <w:hideMark/>
          </w:tcPr>
          <w:p w14:paraId="65C6C706" w14:textId="77777777" w:rsidR="00504D26" w:rsidRPr="000A08DE" w:rsidRDefault="00504D26" w:rsidP="008C3461">
            <w:pPr>
              <w:widowControl/>
              <w:rPr>
                <w:rFonts w:ascii="Book Antiqua" w:eastAsia="宋体" w:hAnsi="Book Antiqua" w:cs="宋体"/>
                <w:b/>
                <w:color w:val="000000"/>
                <w:kern w:val="0"/>
                <w:szCs w:val="21"/>
              </w:rPr>
            </w:pPr>
            <w:r w:rsidRPr="000A08DE">
              <w:rPr>
                <w:rFonts w:ascii="Book Antiqua" w:eastAsia="宋体" w:hAnsi="Book Antiqua" w:cs="宋体"/>
                <w:b/>
                <w:color w:val="000000"/>
                <w:kern w:val="0"/>
                <w:szCs w:val="21"/>
              </w:rPr>
              <w:t xml:space="preserve">　</w:t>
            </w:r>
          </w:p>
        </w:tc>
        <w:tc>
          <w:tcPr>
            <w:tcW w:w="1246" w:type="dxa"/>
            <w:tcBorders>
              <w:top w:val="single" w:sz="4" w:space="0" w:color="auto"/>
              <w:bottom w:val="nil"/>
            </w:tcBorders>
            <w:shd w:val="clear" w:color="auto" w:fill="auto"/>
            <w:vAlign w:val="center"/>
            <w:hideMark/>
          </w:tcPr>
          <w:p w14:paraId="15CE1E81" w14:textId="77777777" w:rsidR="00504D26" w:rsidRPr="000A08DE" w:rsidRDefault="00504D26" w:rsidP="008C3461">
            <w:pPr>
              <w:widowControl/>
              <w:rPr>
                <w:rFonts w:ascii="Book Antiqua" w:eastAsia="宋体" w:hAnsi="Book Antiqua" w:cs="宋体"/>
                <w:b/>
                <w:color w:val="000000"/>
                <w:kern w:val="0"/>
                <w:szCs w:val="21"/>
              </w:rPr>
            </w:pPr>
            <w:proofErr w:type="spellStart"/>
            <w:r w:rsidRPr="000A08DE">
              <w:rPr>
                <w:rFonts w:ascii="Book Antiqua" w:eastAsia="宋体" w:hAnsi="Book Antiqua" w:cs="宋体"/>
                <w:b/>
                <w:color w:val="000000"/>
                <w:kern w:val="0"/>
                <w:szCs w:val="21"/>
              </w:rPr>
              <w:t>Simeprevir</w:t>
            </w:r>
            <w:proofErr w:type="spellEnd"/>
          </w:p>
        </w:tc>
        <w:tc>
          <w:tcPr>
            <w:tcW w:w="1231" w:type="dxa"/>
            <w:tcBorders>
              <w:top w:val="single" w:sz="4" w:space="0" w:color="auto"/>
              <w:bottom w:val="nil"/>
            </w:tcBorders>
            <w:shd w:val="clear" w:color="auto" w:fill="auto"/>
            <w:vAlign w:val="center"/>
            <w:hideMark/>
          </w:tcPr>
          <w:p w14:paraId="1F74EEDE" w14:textId="77777777" w:rsidR="00504D26" w:rsidRPr="000A08DE" w:rsidRDefault="00504D26" w:rsidP="008C3461">
            <w:pPr>
              <w:widowControl/>
              <w:rPr>
                <w:rFonts w:ascii="Book Antiqua" w:eastAsia="宋体" w:hAnsi="Book Antiqua" w:cs="宋体"/>
                <w:b/>
                <w:color w:val="000000"/>
                <w:kern w:val="0"/>
                <w:szCs w:val="21"/>
              </w:rPr>
            </w:pPr>
            <w:r w:rsidRPr="000A08DE">
              <w:rPr>
                <w:rFonts w:ascii="Book Antiqua" w:eastAsia="宋体" w:hAnsi="Book Antiqua" w:cs="宋体"/>
                <w:b/>
                <w:color w:val="000000"/>
                <w:kern w:val="0"/>
                <w:szCs w:val="21"/>
              </w:rPr>
              <w:t xml:space="preserve">　</w:t>
            </w:r>
          </w:p>
        </w:tc>
        <w:tc>
          <w:tcPr>
            <w:tcW w:w="927" w:type="dxa"/>
            <w:tcBorders>
              <w:top w:val="single" w:sz="4" w:space="0" w:color="auto"/>
              <w:bottom w:val="nil"/>
            </w:tcBorders>
            <w:shd w:val="clear" w:color="auto" w:fill="auto"/>
            <w:vAlign w:val="center"/>
            <w:hideMark/>
          </w:tcPr>
          <w:p w14:paraId="63FC705F" w14:textId="77777777" w:rsidR="00504D26" w:rsidRPr="000A08DE" w:rsidRDefault="00504D26" w:rsidP="008C3461">
            <w:pPr>
              <w:widowControl/>
              <w:rPr>
                <w:rFonts w:ascii="Book Antiqua" w:eastAsia="宋体" w:hAnsi="Book Antiqua" w:cs="宋体"/>
                <w:b/>
                <w:color w:val="000000"/>
                <w:kern w:val="0"/>
                <w:szCs w:val="21"/>
              </w:rPr>
            </w:pPr>
            <w:r w:rsidRPr="000A08DE">
              <w:rPr>
                <w:rFonts w:ascii="Book Antiqua" w:eastAsia="宋体" w:hAnsi="Book Antiqua" w:cs="宋体"/>
                <w:b/>
                <w:color w:val="000000"/>
                <w:kern w:val="0"/>
                <w:szCs w:val="21"/>
              </w:rPr>
              <w:t xml:space="preserve">　</w:t>
            </w:r>
          </w:p>
        </w:tc>
      </w:tr>
      <w:tr w:rsidR="00504D26" w:rsidRPr="000A08DE" w14:paraId="08E510A4" w14:textId="77777777" w:rsidTr="008C3461">
        <w:trPr>
          <w:trHeight w:val="300"/>
        </w:trPr>
        <w:tc>
          <w:tcPr>
            <w:tcW w:w="2253" w:type="dxa"/>
            <w:tcBorders>
              <w:top w:val="nil"/>
              <w:bottom w:val="single" w:sz="4" w:space="0" w:color="auto"/>
            </w:tcBorders>
            <w:shd w:val="clear" w:color="auto" w:fill="auto"/>
            <w:vAlign w:val="center"/>
            <w:hideMark/>
          </w:tcPr>
          <w:p w14:paraId="6A750CB7" w14:textId="3EE0276E" w:rsidR="00504D26" w:rsidRPr="000A08DE" w:rsidRDefault="00504D26" w:rsidP="008C3461">
            <w:pPr>
              <w:widowControl/>
              <w:jc w:val="left"/>
              <w:rPr>
                <w:rFonts w:ascii="Book Antiqua" w:eastAsia="宋体" w:hAnsi="Book Antiqua" w:cs="宋体"/>
                <w:b/>
                <w:color w:val="000000"/>
                <w:kern w:val="0"/>
                <w:szCs w:val="21"/>
              </w:rPr>
            </w:pPr>
            <w:r w:rsidRPr="000A08DE">
              <w:rPr>
                <w:rFonts w:ascii="Book Antiqua" w:eastAsia="宋体" w:hAnsi="Book Antiqua" w:cs="宋体"/>
                <w:b/>
                <w:color w:val="000000"/>
                <w:kern w:val="0"/>
                <w:szCs w:val="21"/>
              </w:rPr>
              <w:t>Parameters</w:t>
            </w:r>
          </w:p>
        </w:tc>
        <w:tc>
          <w:tcPr>
            <w:tcW w:w="1231" w:type="dxa"/>
            <w:tcBorders>
              <w:top w:val="nil"/>
              <w:bottom w:val="single" w:sz="4" w:space="0" w:color="auto"/>
            </w:tcBorders>
            <w:shd w:val="clear" w:color="auto" w:fill="auto"/>
            <w:vAlign w:val="center"/>
            <w:hideMark/>
          </w:tcPr>
          <w:p w14:paraId="2775C84F" w14:textId="77777777" w:rsidR="00504D26" w:rsidRPr="000A08DE" w:rsidRDefault="00504D26" w:rsidP="008C3461">
            <w:pPr>
              <w:widowControl/>
              <w:rPr>
                <w:rFonts w:ascii="Book Antiqua" w:eastAsia="宋体" w:hAnsi="Book Antiqua" w:cs="宋体"/>
                <w:b/>
                <w:color w:val="000000"/>
                <w:kern w:val="0"/>
                <w:szCs w:val="21"/>
              </w:rPr>
            </w:pPr>
            <w:r w:rsidRPr="000A08DE">
              <w:rPr>
                <w:rFonts w:ascii="Book Antiqua" w:eastAsia="宋体" w:hAnsi="Book Antiqua" w:cs="宋体"/>
                <w:b/>
                <w:color w:val="000000"/>
                <w:kern w:val="0"/>
                <w:szCs w:val="21"/>
              </w:rPr>
              <w:t>SVR</w:t>
            </w:r>
          </w:p>
        </w:tc>
        <w:tc>
          <w:tcPr>
            <w:tcW w:w="1231" w:type="dxa"/>
            <w:tcBorders>
              <w:top w:val="nil"/>
              <w:bottom w:val="single" w:sz="4" w:space="0" w:color="auto"/>
            </w:tcBorders>
            <w:shd w:val="clear" w:color="auto" w:fill="auto"/>
            <w:vAlign w:val="center"/>
            <w:hideMark/>
          </w:tcPr>
          <w:p w14:paraId="6C9253E4" w14:textId="77777777" w:rsidR="00504D26" w:rsidRPr="000A08DE" w:rsidRDefault="00504D26" w:rsidP="008C3461">
            <w:pPr>
              <w:widowControl/>
              <w:rPr>
                <w:rFonts w:ascii="Book Antiqua" w:eastAsia="宋体" w:hAnsi="Book Antiqua" w:cs="宋体"/>
                <w:b/>
                <w:color w:val="000000"/>
                <w:kern w:val="0"/>
                <w:szCs w:val="21"/>
              </w:rPr>
            </w:pPr>
            <w:proofErr w:type="spellStart"/>
            <w:r w:rsidRPr="000A08DE">
              <w:rPr>
                <w:rFonts w:ascii="Book Antiqua" w:eastAsia="宋体" w:hAnsi="Book Antiqua" w:cs="宋体"/>
                <w:b/>
                <w:color w:val="000000"/>
                <w:kern w:val="0"/>
                <w:szCs w:val="21"/>
              </w:rPr>
              <w:t>nonSVR</w:t>
            </w:r>
            <w:proofErr w:type="spellEnd"/>
          </w:p>
        </w:tc>
        <w:tc>
          <w:tcPr>
            <w:tcW w:w="927" w:type="dxa"/>
            <w:tcBorders>
              <w:top w:val="nil"/>
              <w:bottom w:val="single" w:sz="4" w:space="0" w:color="auto"/>
            </w:tcBorders>
            <w:shd w:val="clear" w:color="auto" w:fill="auto"/>
            <w:vAlign w:val="center"/>
            <w:hideMark/>
          </w:tcPr>
          <w:p w14:paraId="44A93FD3" w14:textId="77777777" w:rsidR="00504D26" w:rsidRPr="000A08DE" w:rsidRDefault="00504D26" w:rsidP="008C3461">
            <w:pPr>
              <w:widowControl/>
              <w:rPr>
                <w:rFonts w:ascii="Book Antiqua" w:eastAsia="宋体" w:hAnsi="Book Antiqua" w:cs="宋体"/>
                <w:b/>
                <w:i/>
                <w:iCs/>
                <w:color w:val="000000"/>
                <w:kern w:val="0"/>
                <w:szCs w:val="21"/>
              </w:rPr>
            </w:pPr>
            <w:r w:rsidRPr="000A08DE">
              <w:rPr>
                <w:rFonts w:ascii="Book Antiqua" w:eastAsia="宋体" w:hAnsi="Book Antiqua" w:cs="宋体"/>
                <w:b/>
                <w:i/>
                <w:iCs/>
                <w:color w:val="000000"/>
                <w:kern w:val="0"/>
                <w:szCs w:val="21"/>
              </w:rPr>
              <w:t>P</w:t>
            </w:r>
            <w:r w:rsidRPr="000A08DE">
              <w:rPr>
                <w:rFonts w:ascii="Book Antiqua" w:eastAsia="宋体" w:hAnsi="Book Antiqua" w:cs="宋体" w:hint="eastAsia"/>
                <w:b/>
                <w:i/>
                <w:iCs/>
                <w:color w:val="000000"/>
                <w:kern w:val="0"/>
                <w:szCs w:val="21"/>
              </w:rPr>
              <w:t xml:space="preserve"> </w:t>
            </w:r>
            <w:r w:rsidRPr="000A08DE">
              <w:rPr>
                <w:rFonts w:ascii="Book Antiqua" w:eastAsia="宋体" w:hAnsi="Book Antiqua" w:cs="宋体"/>
                <w:b/>
                <w:color w:val="000000"/>
                <w:kern w:val="0"/>
                <w:szCs w:val="21"/>
              </w:rPr>
              <w:t>value</w:t>
            </w:r>
          </w:p>
        </w:tc>
        <w:tc>
          <w:tcPr>
            <w:tcW w:w="1246" w:type="dxa"/>
            <w:tcBorders>
              <w:top w:val="nil"/>
              <w:bottom w:val="single" w:sz="4" w:space="0" w:color="auto"/>
            </w:tcBorders>
            <w:shd w:val="clear" w:color="auto" w:fill="auto"/>
            <w:vAlign w:val="center"/>
            <w:hideMark/>
          </w:tcPr>
          <w:p w14:paraId="2C024E01" w14:textId="77777777" w:rsidR="00504D26" w:rsidRPr="000A08DE" w:rsidRDefault="00504D26" w:rsidP="008C3461">
            <w:pPr>
              <w:widowControl/>
              <w:rPr>
                <w:rFonts w:ascii="Book Antiqua" w:eastAsia="宋体" w:hAnsi="Book Antiqua" w:cs="宋体"/>
                <w:b/>
                <w:color w:val="000000"/>
                <w:kern w:val="0"/>
                <w:szCs w:val="21"/>
              </w:rPr>
            </w:pPr>
            <w:r w:rsidRPr="000A08DE">
              <w:rPr>
                <w:rFonts w:ascii="Book Antiqua" w:eastAsia="宋体" w:hAnsi="Book Antiqua" w:cs="宋体"/>
                <w:b/>
                <w:color w:val="000000"/>
                <w:kern w:val="0"/>
                <w:szCs w:val="21"/>
              </w:rPr>
              <w:t>SVR</w:t>
            </w:r>
          </w:p>
        </w:tc>
        <w:tc>
          <w:tcPr>
            <w:tcW w:w="1231" w:type="dxa"/>
            <w:tcBorders>
              <w:top w:val="nil"/>
              <w:bottom w:val="single" w:sz="4" w:space="0" w:color="auto"/>
            </w:tcBorders>
            <w:shd w:val="clear" w:color="auto" w:fill="auto"/>
            <w:vAlign w:val="center"/>
            <w:hideMark/>
          </w:tcPr>
          <w:p w14:paraId="6F7759B9" w14:textId="77777777" w:rsidR="00504D26" w:rsidRPr="000A08DE" w:rsidRDefault="00504D26" w:rsidP="008C3461">
            <w:pPr>
              <w:widowControl/>
              <w:rPr>
                <w:rFonts w:ascii="Book Antiqua" w:eastAsia="宋体" w:hAnsi="Book Antiqua" w:cs="宋体"/>
                <w:b/>
                <w:color w:val="000000"/>
                <w:kern w:val="0"/>
                <w:szCs w:val="21"/>
              </w:rPr>
            </w:pPr>
            <w:proofErr w:type="spellStart"/>
            <w:r w:rsidRPr="000A08DE">
              <w:rPr>
                <w:rFonts w:ascii="Book Antiqua" w:eastAsia="宋体" w:hAnsi="Book Antiqua" w:cs="宋体"/>
                <w:b/>
                <w:color w:val="000000"/>
                <w:kern w:val="0"/>
                <w:szCs w:val="21"/>
              </w:rPr>
              <w:t>nonSVR</w:t>
            </w:r>
            <w:proofErr w:type="spellEnd"/>
          </w:p>
        </w:tc>
        <w:tc>
          <w:tcPr>
            <w:tcW w:w="927" w:type="dxa"/>
            <w:tcBorders>
              <w:top w:val="nil"/>
              <w:bottom w:val="single" w:sz="4" w:space="0" w:color="auto"/>
            </w:tcBorders>
            <w:shd w:val="clear" w:color="auto" w:fill="auto"/>
            <w:vAlign w:val="center"/>
            <w:hideMark/>
          </w:tcPr>
          <w:p w14:paraId="50B9F47C" w14:textId="77777777" w:rsidR="00504D26" w:rsidRPr="000A08DE" w:rsidRDefault="00504D26" w:rsidP="008C3461">
            <w:pPr>
              <w:widowControl/>
              <w:rPr>
                <w:rFonts w:ascii="Book Antiqua" w:eastAsia="宋体" w:hAnsi="Book Antiqua" w:cs="宋体"/>
                <w:b/>
                <w:i/>
                <w:iCs/>
                <w:color w:val="000000"/>
                <w:kern w:val="0"/>
                <w:szCs w:val="21"/>
              </w:rPr>
            </w:pPr>
            <w:r w:rsidRPr="000A08DE">
              <w:rPr>
                <w:rFonts w:ascii="Book Antiqua" w:eastAsia="宋体" w:hAnsi="Book Antiqua" w:cs="宋体"/>
                <w:b/>
                <w:i/>
                <w:iCs/>
                <w:color w:val="000000"/>
                <w:kern w:val="0"/>
                <w:szCs w:val="21"/>
              </w:rPr>
              <w:t>P</w:t>
            </w:r>
            <w:r w:rsidRPr="000A08DE">
              <w:rPr>
                <w:rFonts w:ascii="Book Antiqua" w:eastAsia="宋体" w:hAnsi="Book Antiqua" w:cs="宋体" w:hint="eastAsia"/>
                <w:b/>
                <w:i/>
                <w:iCs/>
                <w:color w:val="000000"/>
                <w:kern w:val="0"/>
                <w:szCs w:val="21"/>
              </w:rPr>
              <w:t xml:space="preserve"> </w:t>
            </w:r>
            <w:r w:rsidRPr="000A08DE">
              <w:rPr>
                <w:rFonts w:ascii="Book Antiqua" w:eastAsia="宋体" w:hAnsi="Book Antiqua" w:cs="宋体"/>
                <w:b/>
                <w:color w:val="000000"/>
                <w:kern w:val="0"/>
                <w:szCs w:val="21"/>
              </w:rPr>
              <w:t>value</w:t>
            </w:r>
          </w:p>
        </w:tc>
      </w:tr>
      <w:tr w:rsidR="00504D26" w:rsidRPr="000A08DE" w14:paraId="01133F41" w14:textId="77777777" w:rsidTr="008C3461">
        <w:trPr>
          <w:trHeight w:val="1020"/>
        </w:trPr>
        <w:tc>
          <w:tcPr>
            <w:tcW w:w="2253" w:type="dxa"/>
            <w:tcBorders>
              <w:top w:val="single" w:sz="4" w:space="0" w:color="auto"/>
            </w:tcBorders>
            <w:shd w:val="clear" w:color="auto" w:fill="auto"/>
            <w:vAlign w:val="center"/>
            <w:hideMark/>
          </w:tcPr>
          <w:p w14:paraId="56BC2404" w14:textId="77777777" w:rsidR="00504D26" w:rsidRPr="000A08DE" w:rsidRDefault="00504D26" w:rsidP="008C3461">
            <w:pPr>
              <w:widowControl/>
              <w:jc w:val="left"/>
              <w:rPr>
                <w:rFonts w:ascii="Book Antiqua" w:eastAsia="宋体" w:hAnsi="Book Antiqua" w:cs="宋体"/>
                <w:bCs/>
                <w:color w:val="000000"/>
                <w:kern w:val="0"/>
                <w:szCs w:val="21"/>
              </w:rPr>
            </w:pPr>
            <w:r w:rsidRPr="000A08DE">
              <w:rPr>
                <w:rFonts w:ascii="Book Antiqua" w:eastAsia="宋体" w:hAnsi="Book Antiqua" w:cs="宋体"/>
                <w:bCs/>
                <w:color w:val="000000"/>
                <w:kern w:val="0"/>
                <w:szCs w:val="21"/>
              </w:rPr>
              <w:t>Unmatched patients</w:t>
            </w:r>
          </w:p>
        </w:tc>
        <w:tc>
          <w:tcPr>
            <w:tcW w:w="1231" w:type="dxa"/>
            <w:tcBorders>
              <w:top w:val="single" w:sz="4" w:space="0" w:color="auto"/>
            </w:tcBorders>
            <w:shd w:val="clear" w:color="auto" w:fill="auto"/>
            <w:vAlign w:val="center"/>
            <w:hideMark/>
          </w:tcPr>
          <w:p w14:paraId="0ABE8F63" w14:textId="77777777" w:rsidR="00504D26" w:rsidRPr="000A08DE" w:rsidRDefault="00504D26" w:rsidP="008C3461">
            <w:pPr>
              <w:widowControl/>
              <w:rPr>
                <w:rFonts w:ascii="Book Antiqua" w:eastAsia="宋体" w:hAnsi="Book Antiqua" w:cs="宋体"/>
                <w:color w:val="000000"/>
                <w:kern w:val="0"/>
                <w:szCs w:val="21"/>
              </w:rPr>
            </w:pPr>
          </w:p>
        </w:tc>
        <w:tc>
          <w:tcPr>
            <w:tcW w:w="1231" w:type="dxa"/>
            <w:tcBorders>
              <w:top w:val="single" w:sz="4" w:space="0" w:color="auto"/>
            </w:tcBorders>
            <w:shd w:val="clear" w:color="auto" w:fill="auto"/>
            <w:vAlign w:val="center"/>
            <w:hideMark/>
          </w:tcPr>
          <w:p w14:paraId="4B8F8BF3" w14:textId="77777777" w:rsidR="00504D26" w:rsidRPr="000A08DE" w:rsidRDefault="00504D26" w:rsidP="008C3461">
            <w:pPr>
              <w:widowControl/>
              <w:rPr>
                <w:rFonts w:ascii="Book Antiqua" w:eastAsia="宋体" w:hAnsi="Book Antiqua" w:cs="宋体"/>
                <w:color w:val="000000"/>
                <w:kern w:val="0"/>
                <w:szCs w:val="21"/>
              </w:rPr>
            </w:pPr>
          </w:p>
        </w:tc>
        <w:tc>
          <w:tcPr>
            <w:tcW w:w="927" w:type="dxa"/>
            <w:tcBorders>
              <w:top w:val="single" w:sz="4" w:space="0" w:color="auto"/>
            </w:tcBorders>
            <w:shd w:val="clear" w:color="auto" w:fill="auto"/>
            <w:vAlign w:val="center"/>
            <w:hideMark/>
          </w:tcPr>
          <w:p w14:paraId="5CF8D1F3"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 xml:space="preserve">　</w:t>
            </w:r>
          </w:p>
        </w:tc>
        <w:tc>
          <w:tcPr>
            <w:tcW w:w="1246" w:type="dxa"/>
            <w:tcBorders>
              <w:top w:val="single" w:sz="4" w:space="0" w:color="auto"/>
            </w:tcBorders>
            <w:shd w:val="clear" w:color="auto" w:fill="auto"/>
            <w:vAlign w:val="center"/>
            <w:hideMark/>
          </w:tcPr>
          <w:p w14:paraId="509B4DF7" w14:textId="77777777" w:rsidR="00504D26" w:rsidRPr="000A08DE" w:rsidRDefault="00504D26" w:rsidP="008C3461">
            <w:pPr>
              <w:widowControl/>
              <w:rPr>
                <w:rFonts w:ascii="Book Antiqua" w:eastAsia="宋体" w:hAnsi="Book Antiqua" w:cs="宋体"/>
                <w:color w:val="000000"/>
                <w:kern w:val="0"/>
                <w:szCs w:val="21"/>
              </w:rPr>
            </w:pPr>
          </w:p>
        </w:tc>
        <w:tc>
          <w:tcPr>
            <w:tcW w:w="1231" w:type="dxa"/>
            <w:tcBorders>
              <w:top w:val="single" w:sz="4" w:space="0" w:color="auto"/>
            </w:tcBorders>
            <w:shd w:val="clear" w:color="auto" w:fill="auto"/>
            <w:vAlign w:val="center"/>
            <w:hideMark/>
          </w:tcPr>
          <w:p w14:paraId="710ACBC7" w14:textId="77777777" w:rsidR="00504D26" w:rsidRPr="000A08DE" w:rsidRDefault="00504D26" w:rsidP="008C3461">
            <w:pPr>
              <w:widowControl/>
              <w:rPr>
                <w:rFonts w:ascii="Book Antiqua" w:eastAsia="宋体" w:hAnsi="Book Antiqua" w:cs="宋体"/>
                <w:color w:val="000000"/>
                <w:kern w:val="0"/>
                <w:szCs w:val="21"/>
              </w:rPr>
            </w:pPr>
          </w:p>
        </w:tc>
        <w:tc>
          <w:tcPr>
            <w:tcW w:w="927" w:type="dxa"/>
            <w:tcBorders>
              <w:top w:val="single" w:sz="4" w:space="0" w:color="auto"/>
            </w:tcBorders>
            <w:shd w:val="clear" w:color="auto" w:fill="auto"/>
            <w:vAlign w:val="center"/>
            <w:hideMark/>
          </w:tcPr>
          <w:p w14:paraId="46388355" w14:textId="77777777" w:rsidR="00504D26" w:rsidRPr="000A08DE" w:rsidRDefault="00504D26" w:rsidP="008C3461">
            <w:pPr>
              <w:widowControl/>
              <w:rPr>
                <w:rFonts w:ascii="Book Antiqua" w:eastAsia="宋体" w:hAnsi="Book Antiqua" w:cs="宋体"/>
                <w:color w:val="000000"/>
                <w:kern w:val="0"/>
                <w:szCs w:val="21"/>
              </w:rPr>
            </w:pPr>
          </w:p>
        </w:tc>
      </w:tr>
      <w:tr w:rsidR="00504D26" w:rsidRPr="000A08DE" w14:paraId="00ADCE86" w14:textId="77777777" w:rsidTr="008C3461">
        <w:trPr>
          <w:trHeight w:val="555"/>
        </w:trPr>
        <w:tc>
          <w:tcPr>
            <w:tcW w:w="2253" w:type="dxa"/>
            <w:shd w:val="clear" w:color="auto" w:fill="auto"/>
            <w:vAlign w:val="center"/>
            <w:hideMark/>
          </w:tcPr>
          <w:p w14:paraId="5A6E5F41" w14:textId="77777777" w:rsidR="00504D26" w:rsidRPr="000A08DE" w:rsidRDefault="00504D26" w:rsidP="008C3461">
            <w:pPr>
              <w:widowControl/>
              <w:jc w:val="left"/>
              <w:rPr>
                <w:rFonts w:ascii="Book Antiqua" w:eastAsia="宋体" w:hAnsi="Book Antiqua" w:cs="宋体"/>
                <w:color w:val="000000"/>
                <w:kern w:val="0"/>
                <w:szCs w:val="21"/>
              </w:rPr>
            </w:pPr>
            <w:r>
              <w:rPr>
                <w:rFonts w:ascii="Book Antiqua" w:eastAsia="宋体" w:hAnsi="Book Antiqua" w:cs="宋体"/>
                <w:color w:val="000000"/>
                <w:kern w:val="0"/>
                <w:szCs w:val="21"/>
              </w:rPr>
              <w:t>Univariate analysis</w:t>
            </w:r>
          </w:p>
        </w:tc>
        <w:tc>
          <w:tcPr>
            <w:tcW w:w="1231" w:type="dxa"/>
            <w:shd w:val="clear" w:color="auto" w:fill="auto"/>
            <w:vAlign w:val="center"/>
            <w:hideMark/>
          </w:tcPr>
          <w:p w14:paraId="574914C2"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w:t>
            </w:r>
            <w:r w:rsidRPr="000A08DE">
              <w:rPr>
                <w:rFonts w:ascii="Book Antiqua" w:eastAsia="宋体" w:hAnsi="Book Antiqua" w:cs="宋体"/>
                <w:i/>
                <w:color w:val="000000"/>
                <w:kern w:val="0"/>
                <w:szCs w:val="21"/>
              </w:rPr>
              <w:t>n</w:t>
            </w:r>
            <w:r w:rsidRPr="000A08DE">
              <w:rPr>
                <w:rFonts w:ascii="Book Antiqua" w:eastAsia="宋体" w:hAnsi="Book Antiqua" w:cs="宋体"/>
                <w:color w:val="000000"/>
                <w:kern w:val="0"/>
                <w:szCs w:val="21"/>
              </w:rPr>
              <w:t xml:space="preserve"> = 126)</w:t>
            </w:r>
          </w:p>
        </w:tc>
        <w:tc>
          <w:tcPr>
            <w:tcW w:w="1231" w:type="dxa"/>
            <w:shd w:val="clear" w:color="auto" w:fill="auto"/>
            <w:vAlign w:val="center"/>
            <w:hideMark/>
          </w:tcPr>
          <w:p w14:paraId="29AE3B1B"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w:t>
            </w:r>
            <w:r w:rsidRPr="000A08DE">
              <w:rPr>
                <w:rFonts w:ascii="Book Antiqua" w:eastAsia="宋体" w:hAnsi="Book Antiqua" w:cs="宋体"/>
                <w:i/>
                <w:color w:val="000000"/>
                <w:kern w:val="0"/>
                <w:szCs w:val="21"/>
              </w:rPr>
              <w:t>n</w:t>
            </w:r>
            <w:r w:rsidRPr="000A08DE">
              <w:rPr>
                <w:rFonts w:ascii="Book Antiqua" w:eastAsia="宋体" w:hAnsi="Book Antiqua" w:cs="宋体"/>
                <w:color w:val="000000"/>
                <w:kern w:val="0"/>
                <w:szCs w:val="21"/>
              </w:rPr>
              <w:t xml:space="preserve"> = 33)</w:t>
            </w:r>
          </w:p>
        </w:tc>
        <w:tc>
          <w:tcPr>
            <w:tcW w:w="927" w:type="dxa"/>
            <w:shd w:val="clear" w:color="auto" w:fill="auto"/>
            <w:vAlign w:val="center"/>
            <w:hideMark/>
          </w:tcPr>
          <w:p w14:paraId="1C1E527A"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 xml:space="preserve">　</w:t>
            </w:r>
          </w:p>
        </w:tc>
        <w:tc>
          <w:tcPr>
            <w:tcW w:w="1246" w:type="dxa"/>
            <w:shd w:val="clear" w:color="auto" w:fill="auto"/>
            <w:vAlign w:val="center"/>
            <w:hideMark/>
          </w:tcPr>
          <w:p w14:paraId="524ED9BA"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w:t>
            </w:r>
            <w:r w:rsidRPr="000A08DE">
              <w:rPr>
                <w:rFonts w:ascii="Book Antiqua" w:eastAsia="宋体" w:hAnsi="Book Antiqua" w:cs="宋体"/>
                <w:i/>
                <w:color w:val="000000"/>
                <w:kern w:val="0"/>
                <w:szCs w:val="21"/>
              </w:rPr>
              <w:t>n</w:t>
            </w:r>
            <w:r w:rsidRPr="000A08DE">
              <w:rPr>
                <w:rFonts w:ascii="Book Antiqua" w:eastAsia="宋体" w:hAnsi="Book Antiqua" w:cs="宋体"/>
                <w:color w:val="000000"/>
                <w:kern w:val="0"/>
                <w:szCs w:val="21"/>
              </w:rPr>
              <w:t xml:space="preserve"> = 102)</w:t>
            </w:r>
          </w:p>
        </w:tc>
        <w:tc>
          <w:tcPr>
            <w:tcW w:w="1231" w:type="dxa"/>
            <w:shd w:val="clear" w:color="auto" w:fill="auto"/>
            <w:vAlign w:val="center"/>
            <w:hideMark/>
          </w:tcPr>
          <w:p w14:paraId="36039262"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w:t>
            </w:r>
            <w:r w:rsidRPr="000A08DE">
              <w:rPr>
                <w:rFonts w:ascii="Book Antiqua" w:eastAsia="宋体" w:hAnsi="Book Antiqua" w:cs="宋体"/>
                <w:i/>
                <w:color w:val="000000"/>
                <w:kern w:val="0"/>
                <w:szCs w:val="21"/>
              </w:rPr>
              <w:t>n</w:t>
            </w:r>
            <w:r w:rsidRPr="000A08DE">
              <w:rPr>
                <w:rFonts w:ascii="Book Antiqua" w:eastAsia="宋体" w:hAnsi="Book Antiqua" w:cs="宋体"/>
                <w:color w:val="000000"/>
                <w:kern w:val="0"/>
                <w:szCs w:val="21"/>
              </w:rPr>
              <w:t xml:space="preserve"> = 45)</w:t>
            </w:r>
          </w:p>
        </w:tc>
        <w:tc>
          <w:tcPr>
            <w:tcW w:w="927" w:type="dxa"/>
            <w:shd w:val="clear" w:color="auto" w:fill="auto"/>
            <w:vAlign w:val="center"/>
            <w:hideMark/>
          </w:tcPr>
          <w:p w14:paraId="42137CF6"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 xml:space="preserve">　</w:t>
            </w:r>
          </w:p>
        </w:tc>
      </w:tr>
      <w:tr w:rsidR="00504D26" w:rsidRPr="000A08DE" w14:paraId="7A27BFF0" w14:textId="77777777" w:rsidTr="008C3461">
        <w:trPr>
          <w:trHeight w:val="540"/>
        </w:trPr>
        <w:tc>
          <w:tcPr>
            <w:tcW w:w="2253" w:type="dxa"/>
            <w:shd w:val="clear" w:color="auto" w:fill="auto"/>
            <w:vAlign w:val="center"/>
            <w:hideMark/>
          </w:tcPr>
          <w:p w14:paraId="26D8A666" w14:textId="77777777" w:rsidR="00504D26" w:rsidRPr="000A08DE" w:rsidRDefault="00504D26" w:rsidP="008C3461">
            <w:pPr>
              <w:widowControl/>
              <w:jc w:val="left"/>
              <w:rPr>
                <w:rFonts w:ascii="Book Antiqua" w:eastAsia="宋体" w:hAnsi="Book Antiqua" w:cs="宋体"/>
                <w:color w:val="000000"/>
                <w:kern w:val="0"/>
                <w:szCs w:val="21"/>
              </w:rPr>
            </w:pPr>
            <w:r w:rsidRPr="000A08DE">
              <w:rPr>
                <w:rFonts w:ascii="Book Antiqua" w:eastAsia="宋体" w:hAnsi="Book Antiqua" w:cs="宋体"/>
                <w:color w:val="000000"/>
                <w:kern w:val="0"/>
                <w:szCs w:val="21"/>
              </w:rPr>
              <w:t>Age(years)</w:t>
            </w:r>
          </w:p>
        </w:tc>
        <w:tc>
          <w:tcPr>
            <w:tcW w:w="1231" w:type="dxa"/>
            <w:shd w:val="clear" w:color="auto" w:fill="auto"/>
            <w:vAlign w:val="center"/>
            <w:hideMark/>
          </w:tcPr>
          <w:p w14:paraId="607467FA"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58.0 (51.0–65.0)</w:t>
            </w:r>
          </w:p>
        </w:tc>
        <w:tc>
          <w:tcPr>
            <w:tcW w:w="1231" w:type="dxa"/>
            <w:shd w:val="clear" w:color="auto" w:fill="auto"/>
            <w:vAlign w:val="center"/>
            <w:hideMark/>
          </w:tcPr>
          <w:p w14:paraId="6CC5CDC1"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62.0(59.6–65.5)</w:t>
            </w:r>
          </w:p>
        </w:tc>
        <w:tc>
          <w:tcPr>
            <w:tcW w:w="927" w:type="dxa"/>
            <w:shd w:val="clear" w:color="auto" w:fill="auto"/>
            <w:vAlign w:val="center"/>
            <w:hideMark/>
          </w:tcPr>
          <w:p w14:paraId="7B7344DE"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c>
          <w:tcPr>
            <w:tcW w:w="1246" w:type="dxa"/>
            <w:shd w:val="clear" w:color="auto" w:fill="auto"/>
            <w:vAlign w:val="center"/>
            <w:hideMark/>
          </w:tcPr>
          <w:p w14:paraId="1025FE19"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61.0(52.8–67.3)</w:t>
            </w:r>
          </w:p>
        </w:tc>
        <w:tc>
          <w:tcPr>
            <w:tcW w:w="1231" w:type="dxa"/>
            <w:shd w:val="clear" w:color="auto" w:fill="auto"/>
            <w:vAlign w:val="center"/>
            <w:hideMark/>
          </w:tcPr>
          <w:p w14:paraId="1C91CBE4"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66.0(56.5–71.0)</w:t>
            </w:r>
          </w:p>
        </w:tc>
        <w:tc>
          <w:tcPr>
            <w:tcW w:w="927" w:type="dxa"/>
            <w:shd w:val="clear" w:color="auto" w:fill="auto"/>
            <w:vAlign w:val="center"/>
            <w:hideMark/>
          </w:tcPr>
          <w:p w14:paraId="2047B642"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0.016</w:t>
            </w:r>
          </w:p>
        </w:tc>
      </w:tr>
      <w:tr w:rsidR="00504D26" w:rsidRPr="000A08DE" w14:paraId="36424DF2" w14:textId="77777777" w:rsidTr="008C3461">
        <w:trPr>
          <w:trHeight w:val="540"/>
        </w:trPr>
        <w:tc>
          <w:tcPr>
            <w:tcW w:w="2253" w:type="dxa"/>
            <w:shd w:val="clear" w:color="auto" w:fill="auto"/>
            <w:vAlign w:val="center"/>
            <w:hideMark/>
          </w:tcPr>
          <w:p w14:paraId="61FB62B5" w14:textId="77777777" w:rsidR="00504D26" w:rsidRPr="000A08DE" w:rsidRDefault="00504D26" w:rsidP="008C3461">
            <w:pPr>
              <w:widowControl/>
              <w:jc w:val="left"/>
              <w:rPr>
                <w:rFonts w:ascii="Book Antiqua" w:eastAsia="宋体" w:hAnsi="Book Antiqua" w:cs="宋体"/>
                <w:color w:val="000000"/>
                <w:kern w:val="0"/>
                <w:szCs w:val="21"/>
              </w:rPr>
            </w:pPr>
            <w:r w:rsidRPr="000A08DE">
              <w:rPr>
                <w:rFonts w:ascii="Book Antiqua" w:eastAsia="宋体" w:hAnsi="Book Antiqua" w:cs="宋体"/>
                <w:color w:val="000000"/>
                <w:kern w:val="0"/>
                <w:szCs w:val="21"/>
              </w:rPr>
              <w:t>Gender(male/female)</w:t>
            </w:r>
          </w:p>
        </w:tc>
        <w:tc>
          <w:tcPr>
            <w:tcW w:w="1231" w:type="dxa"/>
            <w:shd w:val="clear" w:color="auto" w:fill="auto"/>
            <w:vAlign w:val="center"/>
            <w:hideMark/>
          </w:tcPr>
          <w:p w14:paraId="040691A6"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62/64</w:t>
            </w:r>
          </w:p>
        </w:tc>
        <w:tc>
          <w:tcPr>
            <w:tcW w:w="1231" w:type="dxa"/>
            <w:shd w:val="clear" w:color="auto" w:fill="auto"/>
            <w:vAlign w:val="center"/>
            <w:hideMark/>
          </w:tcPr>
          <w:p w14:paraId="0B0E4342"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15/18</w:t>
            </w:r>
          </w:p>
        </w:tc>
        <w:tc>
          <w:tcPr>
            <w:tcW w:w="927" w:type="dxa"/>
            <w:shd w:val="clear" w:color="auto" w:fill="auto"/>
            <w:vAlign w:val="center"/>
            <w:hideMark/>
          </w:tcPr>
          <w:p w14:paraId="3D36E610"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c>
          <w:tcPr>
            <w:tcW w:w="1246" w:type="dxa"/>
            <w:shd w:val="clear" w:color="auto" w:fill="auto"/>
            <w:vAlign w:val="center"/>
            <w:hideMark/>
          </w:tcPr>
          <w:p w14:paraId="7E24B84B"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48/54</w:t>
            </w:r>
          </w:p>
        </w:tc>
        <w:tc>
          <w:tcPr>
            <w:tcW w:w="1231" w:type="dxa"/>
            <w:shd w:val="clear" w:color="auto" w:fill="auto"/>
            <w:vAlign w:val="center"/>
            <w:hideMark/>
          </w:tcPr>
          <w:p w14:paraId="61BF1632"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19/26</w:t>
            </w:r>
          </w:p>
        </w:tc>
        <w:tc>
          <w:tcPr>
            <w:tcW w:w="927" w:type="dxa"/>
            <w:shd w:val="clear" w:color="auto" w:fill="auto"/>
            <w:vAlign w:val="center"/>
            <w:hideMark/>
          </w:tcPr>
          <w:p w14:paraId="7AC36D3A"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r>
      <w:tr w:rsidR="00504D26" w:rsidRPr="000A08DE" w14:paraId="7284868A" w14:textId="77777777" w:rsidTr="008C3461">
        <w:trPr>
          <w:trHeight w:val="855"/>
        </w:trPr>
        <w:tc>
          <w:tcPr>
            <w:tcW w:w="2253" w:type="dxa"/>
            <w:shd w:val="clear" w:color="auto" w:fill="auto"/>
            <w:vAlign w:val="center"/>
            <w:hideMark/>
          </w:tcPr>
          <w:p w14:paraId="28B50AC4" w14:textId="77777777" w:rsidR="00504D26" w:rsidRPr="000A08DE" w:rsidRDefault="00504D26" w:rsidP="008C3461">
            <w:pPr>
              <w:widowControl/>
              <w:jc w:val="left"/>
              <w:rPr>
                <w:rFonts w:ascii="Book Antiqua" w:eastAsia="宋体" w:hAnsi="Book Antiqua" w:cs="宋体"/>
                <w:color w:val="000000"/>
                <w:kern w:val="0"/>
                <w:szCs w:val="21"/>
              </w:rPr>
            </w:pPr>
            <w:r w:rsidRPr="000A08DE">
              <w:rPr>
                <w:rFonts w:ascii="Book Antiqua" w:eastAsia="宋体" w:hAnsi="Book Antiqua" w:cs="宋体"/>
                <w:color w:val="000000"/>
                <w:kern w:val="0"/>
                <w:szCs w:val="21"/>
              </w:rPr>
              <w:t>Body mass index (kg/m</w:t>
            </w:r>
            <w:r w:rsidRPr="000A08DE">
              <w:rPr>
                <w:rFonts w:ascii="Book Antiqua" w:eastAsia="宋体" w:hAnsi="Book Antiqua" w:cs="宋体"/>
                <w:color w:val="000000"/>
                <w:kern w:val="0"/>
                <w:szCs w:val="21"/>
                <w:vertAlign w:val="superscript"/>
              </w:rPr>
              <w:t>2</w:t>
            </w:r>
            <w:r w:rsidRPr="000A08DE">
              <w:rPr>
                <w:rFonts w:ascii="Book Antiqua" w:eastAsia="宋体" w:hAnsi="Book Antiqua" w:cs="宋体"/>
                <w:color w:val="000000"/>
                <w:kern w:val="0"/>
                <w:szCs w:val="21"/>
              </w:rPr>
              <w:t>)</w:t>
            </w:r>
          </w:p>
        </w:tc>
        <w:tc>
          <w:tcPr>
            <w:tcW w:w="1231" w:type="dxa"/>
            <w:shd w:val="clear" w:color="auto" w:fill="auto"/>
            <w:vAlign w:val="center"/>
            <w:hideMark/>
          </w:tcPr>
          <w:p w14:paraId="446AD07A"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23.8</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(21.7–25.7)</w:t>
            </w:r>
          </w:p>
        </w:tc>
        <w:tc>
          <w:tcPr>
            <w:tcW w:w="1231" w:type="dxa"/>
            <w:shd w:val="clear" w:color="auto" w:fill="auto"/>
            <w:vAlign w:val="center"/>
            <w:hideMark/>
          </w:tcPr>
          <w:p w14:paraId="50CCB8E7"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24.6(21.7–26.0)</w:t>
            </w:r>
          </w:p>
        </w:tc>
        <w:tc>
          <w:tcPr>
            <w:tcW w:w="927" w:type="dxa"/>
            <w:shd w:val="clear" w:color="auto" w:fill="auto"/>
            <w:vAlign w:val="center"/>
            <w:hideMark/>
          </w:tcPr>
          <w:p w14:paraId="58DE54ED"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c>
          <w:tcPr>
            <w:tcW w:w="1246" w:type="dxa"/>
            <w:shd w:val="clear" w:color="auto" w:fill="auto"/>
            <w:vAlign w:val="center"/>
            <w:hideMark/>
          </w:tcPr>
          <w:p w14:paraId="646CEE39"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23.2(21.0–25.1)</w:t>
            </w:r>
          </w:p>
        </w:tc>
        <w:tc>
          <w:tcPr>
            <w:tcW w:w="1231" w:type="dxa"/>
            <w:shd w:val="clear" w:color="auto" w:fill="auto"/>
            <w:vAlign w:val="center"/>
            <w:hideMark/>
          </w:tcPr>
          <w:p w14:paraId="41FBF0A6"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23.5(21.3–26.0)</w:t>
            </w:r>
          </w:p>
        </w:tc>
        <w:tc>
          <w:tcPr>
            <w:tcW w:w="927" w:type="dxa"/>
            <w:shd w:val="clear" w:color="auto" w:fill="auto"/>
            <w:vAlign w:val="center"/>
            <w:hideMark/>
          </w:tcPr>
          <w:p w14:paraId="794BF860"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r>
      <w:tr w:rsidR="00504D26" w:rsidRPr="000A08DE" w14:paraId="7F0F7380" w14:textId="77777777" w:rsidTr="008C3461">
        <w:trPr>
          <w:trHeight w:val="810"/>
        </w:trPr>
        <w:tc>
          <w:tcPr>
            <w:tcW w:w="2253" w:type="dxa"/>
            <w:shd w:val="clear" w:color="auto" w:fill="auto"/>
            <w:vAlign w:val="center"/>
            <w:hideMark/>
          </w:tcPr>
          <w:p w14:paraId="612A4C26" w14:textId="77777777" w:rsidR="00504D26" w:rsidRPr="000A08DE" w:rsidRDefault="00504D26" w:rsidP="008C3461">
            <w:pPr>
              <w:widowControl/>
              <w:jc w:val="left"/>
              <w:rPr>
                <w:rFonts w:ascii="Book Antiqua" w:eastAsia="宋体" w:hAnsi="Book Antiqua" w:cs="宋体"/>
                <w:color w:val="000000"/>
                <w:kern w:val="0"/>
                <w:szCs w:val="21"/>
              </w:rPr>
            </w:pPr>
            <w:r w:rsidRPr="000A08DE">
              <w:rPr>
                <w:rFonts w:ascii="Book Antiqua" w:eastAsia="宋体" w:hAnsi="Book Antiqua" w:cs="宋体"/>
                <w:color w:val="000000"/>
                <w:kern w:val="0"/>
                <w:szCs w:val="21"/>
              </w:rPr>
              <w:t>Level of viremia (log IU/mL)</w:t>
            </w:r>
          </w:p>
        </w:tc>
        <w:tc>
          <w:tcPr>
            <w:tcW w:w="1231" w:type="dxa"/>
            <w:shd w:val="clear" w:color="auto" w:fill="auto"/>
            <w:vAlign w:val="center"/>
            <w:hideMark/>
          </w:tcPr>
          <w:p w14:paraId="2EB83CED"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6.7</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(6.3–7.0)</w:t>
            </w:r>
          </w:p>
        </w:tc>
        <w:tc>
          <w:tcPr>
            <w:tcW w:w="1231" w:type="dxa"/>
            <w:shd w:val="clear" w:color="auto" w:fill="auto"/>
            <w:vAlign w:val="center"/>
            <w:hideMark/>
          </w:tcPr>
          <w:p w14:paraId="6D0611E2"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6.6(6.3–7.0)</w:t>
            </w:r>
          </w:p>
        </w:tc>
        <w:tc>
          <w:tcPr>
            <w:tcW w:w="927" w:type="dxa"/>
            <w:shd w:val="clear" w:color="auto" w:fill="auto"/>
            <w:vAlign w:val="center"/>
            <w:hideMark/>
          </w:tcPr>
          <w:p w14:paraId="1CE8F760"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c>
          <w:tcPr>
            <w:tcW w:w="1246" w:type="dxa"/>
            <w:shd w:val="clear" w:color="auto" w:fill="auto"/>
            <w:vAlign w:val="center"/>
            <w:hideMark/>
          </w:tcPr>
          <w:p w14:paraId="3066E37C"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6.8(6.2–7.1)</w:t>
            </w:r>
          </w:p>
        </w:tc>
        <w:tc>
          <w:tcPr>
            <w:tcW w:w="1231" w:type="dxa"/>
            <w:shd w:val="clear" w:color="auto" w:fill="auto"/>
            <w:vAlign w:val="center"/>
            <w:hideMark/>
          </w:tcPr>
          <w:p w14:paraId="7631DC11"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6.9(6.4–7.3)</w:t>
            </w:r>
          </w:p>
        </w:tc>
        <w:tc>
          <w:tcPr>
            <w:tcW w:w="927" w:type="dxa"/>
            <w:shd w:val="clear" w:color="auto" w:fill="auto"/>
            <w:vAlign w:val="center"/>
            <w:hideMark/>
          </w:tcPr>
          <w:p w14:paraId="71D47813"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r>
      <w:tr w:rsidR="00504D26" w:rsidRPr="000A08DE" w14:paraId="4753D503" w14:textId="77777777" w:rsidTr="008C3461">
        <w:trPr>
          <w:trHeight w:val="855"/>
        </w:trPr>
        <w:tc>
          <w:tcPr>
            <w:tcW w:w="2253" w:type="dxa"/>
            <w:shd w:val="clear" w:color="auto" w:fill="auto"/>
            <w:vAlign w:val="center"/>
            <w:hideMark/>
          </w:tcPr>
          <w:p w14:paraId="0ECEE66C" w14:textId="77777777" w:rsidR="00504D26" w:rsidRPr="000A08DE" w:rsidRDefault="00504D26" w:rsidP="008C3461">
            <w:pPr>
              <w:widowControl/>
              <w:jc w:val="left"/>
              <w:rPr>
                <w:rFonts w:ascii="Book Antiqua" w:eastAsia="宋体" w:hAnsi="Book Antiqua" w:cs="宋体"/>
                <w:color w:val="000000"/>
                <w:kern w:val="0"/>
                <w:szCs w:val="21"/>
              </w:rPr>
            </w:pPr>
            <w:r w:rsidRPr="000A08DE">
              <w:rPr>
                <w:rFonts w:ascii="Book Antiqua" w:eastAsia="宋体" w:hAnsi="Book Antiqua" w:cs="宋体"/>
                <w:color w:val="000000"/>
                <w:kern w:val="0"/>
                <w:szCs w:val="21"/>
              </w:rPr>
              <w:t>Leukocyte count (/mm</w:t>
            </w:r>
            <w:r w:rsidRPr="000A08DE">
              <w:rPr>
                <w:rFonts w:ascii="Book Antiqua" w:eastAsia="宋体" w:hAnsi="Book Antiqua" w:cs="宋体"/>
                <w:color w:val="000000"/>
                <w:kern w:val="0"/>
                <w:szCs w:val="21"/>
                <w:vertAlign w:val="superscript"/>
              </w:rPr>
              <w:t>3</w:t>
            </w:r>
            <w:r w:rsidRPr="000A08DE">
              <w:rPr>
                <w:rFonts w:ascii="Book Antiqua" w:eastAsia="宋体" w:hAnsi="Book Antiqua" w:cs="宋体"/>
                <w:color w:val="000000"/>
                <w:kern w:val="0"/>
                <w:szCs w:val="21"/>
              </w:rPr>
              <w:t>)</w:t>
            </w:r>
          </w:p>
        </w:tc>
        <w:tc>
          <w:tcPr>
            <w:tcW w:w="1231" w:type="dxa"/>
            <w:shd w:val="clear" w:color="auto" w:fill="auto"/>
            <w:vAlign w:val="center"/>
            <w:hideMark/>
          </w:tcPr>
          <w:p w14:paraId="326A6685"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5100</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(4200–5700)</w:t>
            </w:r>
          </w:p>
        </w:tc>
        <w:tc>
          <w:tcPr>
            <w:tcW w:w="1231" w:type="dxa"/>
            <w:shd w:val="clear" w:color="auto" w:fill="auto"/>
            <w:vAlign w:val="center"/>
            <w:hideMark/>
          </w:tcPr>
          <w:p w14:paraId="36EBD961"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5100(4400–6600)</w:t>
            </w:r>
          </w:p>
        </w:tc>
        <w:tc>
          <w:tcPr>
            <w:tcW w:w="927" w:type="dxa"/>
            <w:shd w:val="clear" w:color="auto" w:fill="auto"/>
            <w:vAlign w:val="center"/>
            <w:hideMark/>
          </w:tcPr>
          <w:p w14:paraId="10FF28A5"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c>
          <w:tcPr>
            <w:tcW w:w="1246" w:type="dxa"/>
            <w:shd w:val="clear" w:color="auto" w:fill="auto"/>
            <w:vAlign w:val="center"/>
            <w:hideMark/>
          </w:tcPr>
          <w:p w14:paraId="27C70395"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5000(4300–5800)</w:t>
            </w:r>
          </w:p>
        </w:tc>
        <w:tc>
          <w:tcPr>
            <w:tcW w:w="1231" w:type="dxa"/>
            <w:shd w:val="clear" w:color="auto" w:fill="auto"/>
            <w:vAlign w:val="center"/>
            <w:hideMark/>
          </w:tcPr>
          <w:p w14:paraId="18E1231A"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4800(3800–5800)</w:t>
            </w:r>
          </w:p>
        </w:tc>
        <w:tc>
          <w:tcPr>
            <w:tcW w:w="927" w:type="dxa"/>
            <w:shd w:val="clear" w:color="auto" w:fill="auto"/>
            <w:vAlign w:val="center"/>
            <w:hideMark/>
          </w:tcPr>
          <w:p w14:paraId="100C6A39"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r>
      <w:tr w:rsidR="00504D26" w:rsidRPr="000A08DE" w14:paraId="327D2FB1" w14:textId="77777777" w:rsidTr="008C3461">
        <w:trPr>
          <w:trHeight w:val="540"/>
        </w:trPr>
        <w:tc>
          <w:tcPr>
            <w:tcW w:w="2253" w:type="dxa"/>
            <w:shd w:val="clear" w:color="auto" w:fill="auto"/>
            <w:vAlign w:val="center"/>
            <w:hideMark/>
          </w:tcPr>
          <w:p w14:paraId="761FB8CA" w14:textId="77777777" w:rsidR="00504D26" w:rsidRPr="000A08DE" w:rsidRDefault="00504D26" w:rsidP="008C3461">
            <w:pPr>
              <w:widowControl/>
              <w:jc w:val="left"/>
              <w:rPr>
                <w:rFonts w:ascii="Book Antiqua" w:eastAsia="宋体" w:hAnsi="Book Antiqua" w:cs="宋体"/>
                <w:color w:val="000000"/>
                <w:kern w:val="0"/>
                <w:szCs w:val="21"/>
              </w:rPr>
            </w:pPr>
            <w:r w:rsidRPr="000A08DE">
              <w:rPr>
                <w:rFonts w:ascii="Book Antiqua" w:eastAsia="宋体" w:hAnsi="Book Antiqua" w:cs="宋体"/>
                <w:color w:val="000000"/>
                <w:kern w:val="0"/>
                <w:szCs w:val="21"/>
              </w:rPr>
              <w:lastRenderedPageBreak/>
              <w:t>Hemoglobin (g/</w:t>
            </w:r>
            <w:proofErr w:type="spellStart"/>
            <w:r w:rsidRPr="000A08DE">
              <w:rPr>
                <w:rFonts w:ascii="Book Antiqua" w:eastAsia="宋体" w:hAnsi="Book Antiqua" w:cs="宋体"/>
                <w:color w:val="000000"/>
                <w:kern w:val="0"/>
                <w:szCs w:val="21"/>
              </w:rPr>
              <w:t>dL</w:t>
            </w:r>
            <w:proofErr w:type="spellEnd"/>
            <w:r w:rsidRPr="000A08DE">
              <w:rPr>
                <w:rFonts w:ascii="Book Antiqua" w:eastAsia="宋体" w:hAnsi="Book Antiqua" w:cs="宋体"/>
                <w:color w:val="000000"/>
                <w:kern w:val="0"/>
                <w:szCs w:val="21"/>
              </w:rPr>
              <w:t>)</w:t>
            </w:r>
          </w:p>
        </w:tc>
        <w:tc>
          <w:tcPr>
            <w:tcW w:w="1231" w:type="dxa"/>
            <w:shd w:val="clear" w:color="auto" w:fill="auto"/>
            <w:vAlign w:val="center"/>
            <w:hideMark/>
          </w:tcPr>
          <w:p w14:paraId="3A012262"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14.1</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(13.2–15.1)</w:t>
            </w:r>
          </w:p>
        </w:tc>
        <w:tc>
          <w:tcPr>
            <w:tcW w:w="1231" w:type="dxa"/>
            <w:shd w:val="clear" w:color="auto" w:fill="auto"/>
            <w:vAlign w:val="center"/>
            <w:hideMark/>
          </w:tcPr>
          <w:p w14:paraId="5890CCF6"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14.1(12.8–14.8)</w:t>
            </w:r>
          </w:p>
        </w:tc>
        <w:tc>
          <w:tcPr>
            <w:tcW w:w="927" w:type="dxa"/>
            <w:shd w:val="clear" w:color="auto" w:fill="auto"/>
            <w:vAlign w:val="center"/>
            <w:hideMark/>
          </w:tcPr>
          <w:p w14:paraId="4613DE85"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c>
          <w:tcPr>
            <w:tcW w:w="1246" w:type="dxa"/>
            <w:shd w:val="clear" w:color="auto" w:fill="auto"/>
            <w:vAlign w:val="center"/>
            <w:hideMark/>
          </w:tcPr>
          <w:p w14:paraId="034C7667"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13.9(13.1–14.7)</w:t>
            </w:r>
          </w:p>
        </w:tc>
        <w:tc>
          <w:tcPr>
            <w:tcW w:w="1231" w:type="dxa"/>
            <w:shd w:val="clear" w:color="auto" w:fill="auto"/>
            <w:vAlign w:val="center"/>
            <w:hideMark/>
          </w:tcPr>
          <w:p w14:paraId="2766F7FB"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13.7(12.7–14.8)</w:t>
            </w:r>
          </w:p>
        </w:tc>
        <w:tc>
          <w:tcPr>
            <w:tcW w:w="927" w:type="dxa"/>
            <w:shd w:val="clear" w:color="auto" w:fill="auto"/>
            <w:vAlign w:val="center"/>
            <w:hideMark/>
          </w:tcPr>
          <w:p w14:paraId="34441242"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r>
      <w:tr w:rsidR="00504D26" w:rsidRPr="000A08DE" w14:paraId="05401BEA" w14:textId="77777777" w:rsidTr="008C3461">
        <w:trPr>
          <w:trHeight w:val="855"/>
        </w:trPr>
        <w:tc>
          <w:tcPr>
            <w:tcW w:w="2253" w:type="dxa"/>
            <w:shd w:val="clear" w:color="auto" w:fill="auto"/>
            <w:vAlign w:val="center"/>
            <w:hideMark/>
          </w:tcPr>
          <w:p w14:paraId="079B583F" w14:textId="77777777" w:rsidR="00504D26" w:rsidRPr="000A08DE" w:rsidRDefault="00504D26" w:rsidP="008C3461">
            <w:pPr>
              <w:widowControl/>
              <w:jc w:val="left"/>
              <w:rPr>
                <w:rFonts w:ascii="Book Antiqua" w:eastAsia="宋体" w:hAnsi="Book Antiqua" w:cs="宋体"/>
                <w:color w:val="000000"/>
                <w:kern w:val="0"/>
                <w:szCs w:val="21"/>
              </w:rPr>
            </w:pPr>
            <w:r w:rsidRPr="000A08DE">
              <w:rPr>
                <w:rFonts w:ascii="Book Antiqua" w:eastAsia="宋体" w:hAnsi="Book Antiqua" w:cs="宋体"/>
                <w:color w:val="000000"/>
                <w:kern w:val="0"/>
                <w:szCs w:val="21"/>
              </w:rPr>
              <w:t>Platelet count (×</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10</w:t>
            </w:r>
            <w:r w:rsidRPr="000A08DE">
              <w:rPr>
                <w:rFonts w:ascii="Book Antiqua" w:eastAsia="宋体" w:hAnsi="Book Antiqua" w:cs="宋体"/>
                <w:color w:val="000000"/>
                <w:kern w:val="0"/>
                <w:szCs w:val="21"/>
                <w:vertAlign w:val="superscript"/>
              </w:rPr>
              <w:t>4</w:t>
            </w:r>
            <w:r w:rsidRPr="000A08DE">
              <w:rPr>
                <w:rFonts w:ascii="Book Antiqua" w:eastAsia="宋体" w:hAnsi="Book Antiqua" w:cs="宋体"/>
                <w:color w:val="000000"/>
                <w:kern w:val="0"/>
                <w:szCs w:val="21"/>
              </w:rPr>
              <w:t>/mm</w:t>
            </w:r>
            <w:r w:rsidRPr="000A08DE">
              <w:rPr>
                <w:rFonts w:ascii="Book Antiqua" w:eastAsia="宋体" w:hAnsi="Book Antiqua" w:cs="宋体"/>
                <w:color w:val="000000"/>
                <w:kern w:val="0"/>
                <w:szCs w:val="21"/>
                <w:vertAlign w:val="superscript"/>
              </w:rPr>
              <w:t>3</w:t>
            </w:r>
            <w:r w:rsidRPr="000A08DE">
              <w:rPr>
                <w:rFonts w:ascii="Book Antiqua" w:eastAsia="宋体" w:hAnsi="Book Antiqua" w:cs="宋体"/>
                <w:color w:val="000000"/>
                <w:kern w:val="0"/>
                <w:szCs w:val="21"/>
              </w:rPr>
              <w:t>)</w:t>
            </w:r>
          </w:p>
        </w:tc>
        <w:tc>
          <w:tcPr>
            <w:tcW w:w="1231" w:type="dxa"/>
            <w:shd w:val="clear" w:color="auto" w:fill="auto"/>
            <w:vAlign w:val="center"/>
            <w:hideMark/>
          </w:tcPr>
          <w:p w14:paraId="6D950C2D"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15.0</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(12.8–19.8)</w:t>
            </w:r>
          </w:p>
        </w:tc>
        <w:tc>
          <w:tcPr>
            <w:tcW w:w="1231" w:type="dxa"/>
            <w:shd w:val="clear" w:color="auto" w:fill="auto"/>
            <w:vAlign w:val="center"/>
            <w:hideMark/>
          </w:tcPr>
          <w:p w14:paraId="0A010965"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15.0(12.5–20.1)</w:t>
            </w:r>
          </w:p>
        </w:tc>
        <w:tc>
          <w:tcPr>
            <w:tcW w:w="927" w:type="dxa"/>
            <w:shd w:val="clear" w:color="auto" w:fill="auto"/>
            <w:vAlign w:val="center"/>
            <w:hideMark/>
          </w:tcPr>
          <w:p w14:paraId="64D22282"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c>
          <w:tcPr>
            <w:tcW w:w="1246" w:type="dxa"/>
            <w:shd w:val="clear" w:color="auto" w:fill="auto"/>
            <w:vAlign w:val="center"/>
            <w:hideMark/>
          </w:tcPr>
          <w:p w14:paraId="6C82C59E"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15.3(11.9–20.5)</w:t>
            </w:r>
          </w:p>
        </w:tc>
        <w:tc>
          <w:tcPr>
            <w:tcW w:w="1231" w:type="dxa"/>
            <w:shd w:val="clear" w:color="auto" w:fill="auto"/>
            <w:vAlign w:val="center"/>
            <w:hideMark/>
          </w:tcPr>
          <w:p w14:paraId="6FE429EB"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15.0(11.1–18.3)</w:t>
            </w:r>
          </w:p>
        </w:tc>
        <w:tc>
          <w:tcPr>
            <w:tcW w:w="927" w:type="dxa"/>
            <w:shd w:val="clear" w:color="auto" w:fill="auto"/>
            <w:vAlign w:val="center"/>
            <w:hideMark/>
          </w:tcPr>
          <w:p w14:paraId="1F290F63"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r>
      <w:tr w:rsidR="00504D26" w:rsidRPr="000A08DE" w14:paraId="22F9E295" w14:textId="77777777" w:rsidTr="008C3461">
        <w:trPr>
          <w:trHeight w:val="1095"/>
        </w:trPr>
        <w:tc>
          <w:tcPr>
            <w:tcW w:w="2253" w:type="dxa"/>
            <w:shd w:val="clear" w:color="auto" w:fill="auto"/>
            <w:vAlign w:val="center"/>
            <w:hideMark/>
          </w:tcPr>
          <w:p w14:paraId="077B9669" w14:textId="77777777" w:rsidR="00504D26" w:rsidRPr="000A08DE" w:rsidRDefault="00504D26" w:rsidP="008C3461">
            <w:pPr>
              <w:widowControl/>
              <w:jc w:val="left"/>
              <w:rPr>
                <w:rFonts w:ascii="Book Antiqua" w:eastAsia="宋体" w:hAnsi="Book Antiqua" w:cs="宋体"/>
                <w:color w:val="000000"/>
                <w:kern w:val="0"/>
                <w:szCs w:val="21"/>
              </w:rPr>
            </w:pPr>
            <w:r w:rsidRPr="000A08DE">
              <w:rPr>
                <w:rFonts w:ascii="Book Antiqua" w:eastAsia="宋体" w:hAnsi="Book Antiqua" w:cs="宋体"/>
                <w:color w:val="000000"/>
                <w:kern w:val="0"/>
                <w:szCs w:val="21"/>
              </w:rPr>
              <w:t>SNP of IL28B (TT/non-TT)</w:t>
            </w:r>
          </w:p>
        </w:tc>
        <w:tc>
          <w:tcPr>
            <w:tcW w:w="1231" w:type="dxa"/>
            <w:shd w:val="clear" w:color="auto" w:fill="auto"/>
            <w:vAlign w:val="center"/>
            <w:hideMark/>
          </w:tcPr>
          <w:p w14:paraId="2B45E8AD"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84/19</w:t>
            </w:r>
          </w:p>
        </w:tc>
        <w:tc>
          <w:tcPr>
            <w:tcW w:w="1231" w:type="dxa"/>
            <w:shd w:val="clear" w:color="auto" w:fill="auto"/>
            <w:vAlign w:val="center"/>
            <w:hideMark/>
          </w:tcPr>
          <w:p w14:paraId="33FC06F8"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15/15</w:t>
            </w:r>
          </w:p>
        </w:tc>
        <w:tc>
          <w:tcPr>
            <w:tcW w:w="927" w:type="dxa"/>
            <w:shd w:val="clear" w:color="auto" w:fill="auto"/>
            <w:vAlign w:val="center"/>
            <w:hideMark/>
          </w:tcPr>
          <w:p w14:paraId="66A434EE"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&lt;0.001</w:t>
            </w:r>
          </w:p>
        </w:tc>
        <w:tc>
          <w:tcPr>
            <w:tcW w:w="1246" w:type="dxa"/>
            <w:shd w:val="clear" w:color="auto" w:fill="auto"/>
            <w:vAlign w:val="center"/>
            <w:hideMark/>
          </w:tcPr>
          <w:p w14:paraId="448F6A53"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72/19</w:t>
            </w:r>
          </w:p>
        </w:tc>
        <w:tc>
          <w:tcPr>
            <w:tcW w:w="1231" w:type="dxa"/>
            <w:shd w:val="clear" w:color="auto" w:fill="auto"/>
            <w:vAlign w:val="center"/>
            <w:hideMark/>
          </w:tcPr>
          <w:p w14:paraId="4CEEC027"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17/24</w:t>
            </w:r>
          </w:p>
        </w:tc>
        <w:tc>
          <w:tcPr>
            <w:tcW w:w="927" w:type="dxa"/>
            <w:shd w:val="clear" w:color="auto" w:fill="auto"/>
            <w:vAlign w:val="center"/>
            <w:hideMark/>
          </w:tcPr>
          <w:p w14:paraId="7E4E7560"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&lt;0.001</w:t>
            </w:r>
          </w:p>
        </w:tc>
      </w:tr>
      <w:tr w:rsidR="00504D26" w:rsidRPr="000A08DE" w14:paraId="38B5CE04" w14:textId="77777777" w:rsidTr="008C3461">
        <w:trPr>
          <w:trHeight w:val="555"/>
        </w:trPr>
        <w:tc>
          <w:tcPr>
            <w:tcW w:w="2253" w:type="dxa"/>
            <w:shd w:val="clear" w:color="auto" w:fill="auto"/>
            <w:vAlign w:val="center"/>
            <w:hideMark/>
          </w:tcPr>
          <w:p w14:paraId="67762799" w14:textId="77777777" w:rsidR="00504D26" w:rsidRPr="000A08DE" w:rsidRDefault="00504D26" w:rsidP="008C3461">
            <w:pPr>
              <w:widowControl/>
              <w:rPr>
                <w:rFonts w:ascii="Book Antiqua" w:eastAsia="宋体" w:hAnsi="Book Antiqua" w:cs="宋体"/>
                <w:color w:val="000000"/>
                <w:kern w:val="0"/>
                <w:szCs w:val="21"/>
              </w:rPr>
            </w:pPr>
            <w:r>
              <w:rPr>
                <w:rFonts w:ascii="Book Antiqua" w:eastAsia="宋体" w:hAnsi="Book Antiqua" w:cs="宋体"/>
                <w:color w:val="000000"/>
                <w:kern w:val="0"/>
                <w:szCs w:val="21"/>
              </w:rPr>
              <w:t>Multivariate analysis</w:t>
            </w:r>
          </w:p>
        </w:tc>
        <w:tc>
          <w:tcPr>
            <w:tcW w:w="2462" w:type="dxa"/>
            <w:gridSpan w:val="2"/>
            <w:shd w:val="clear" w:color="auto" w:fill="auto"/>
            <w:vAlign w:val="center"/>
            <w:hideMark/>
          </w:tcPr>
          <w:p w14:paraId="3AD9FEA3" w14:textId="77777777" w:rsidR="00504D26" w:rsidRPr="000A08DE" w:rsidRDefault="00504D26" w:rsidP="008C3461">
            <w:pPr>
              <w:widowControl/>
              <w:rPr>
                <w:rFonts w:ascii="Book Antiqua" w:eastAsia="宋体" w:hAnsi="Book Antiqua" w:cs="宋体"/>
                <w:color w:val="000000"/>
                <w:kern w:val="0"/>
                <w:szCs w:val="21"/>
              </w:rPr>
            </w:pPr>
            <w:r>
              <w:rPr>
                <w:rFonts w:ascii="Book Antiqua" w:eastAsia="宋体" w:hAnsi="Book Antiqua" w:cs="宋体"/>
                <w:color w:val="000000"/>
                <w:kern w:val="0"/>
                <w:szCs w:val="21"/>
              </w:rPr>
              <w:t>Odds ratio(95%</w:t>
            </w:r>
            <w:r w:rsidRPr="000A08DE">
              <w:rPr>
                <w:rFonts w:ascii="Book Antiqua" w:eastAsia="宋体" w:hAnsi="Book Antiqua" w:cs="宋体"/>
                <w:color w:val="000000"/>
                <w:kern w:val="0"/>
                <w:szCs w:val="21"/>
              </w:rPr>
              <w:t>CI)</w:t>
            </w:r>
          </w:p>
        </w:tc>
        <w:tc>
          <w:tcPr>
            <w:tcW w:w="927" w:type="dxa"/>
            <w:shd w:val="clear" w:color="auto" w:fill="auto"/>
            <w:vAlign w:val="center"/>
            <w:hideMark/>
          </w:tcPr>
          <w:p w14:paraId="580A75D3"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 xml:space="preserve">　</w:t>
            </w:r>
          </w:p>
        </w:tc>
        <w:tc>
          <w:tcPr>
            <w:tcW w:w="2477" w:type="dxa"/>
            <w:gridSpan w:val="2"/>
            <w:shd w:val="clear" w:color="auto" w:fill="auto"/>
            <w:vAlign w:val="center"/>
            <w:hideMark/>
          </w:tcPr>
          <w:p w14:paraId="24570BDA"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Odds ratio(95% CI)</w:t>
            </w:r>
          </w:p>
        </w:tc>
        <w:tc>
          <w:tcPr>
            <w:tcW w:w="927" w:type="dxa"/>
            <w:shd w:val="clear" w:color="auto" w:fill="auto"/>
            <w:vAlign w:val="center"/>
            <w:hideMark/>
          </w:tcPr>
          <w:p w14:paraId="3A6E68C3" w14:textId="77777777" w:rsidR="00504D26" w:rsidRPr="000A08DE" w:rsidRDefault="00504D26" w:rsidP="008C3461">
            <w:pPr>
              <w:widowControl/>
              <w:rPr>
                <w:rFonts w:ascii="Book Antiqua" w:eastAsia="宋体" w:hAnsi="Book Antiqua" w:cs="宋体"/>
                <w:color w:val="000000"/>
                <w:kern w:val="0"/>
                <w:szCs w:val="21"/>
              </w:rPr>
            </w:pPr>
          </w:p>
        </w:tc>
      </w:tr>
      <w:tr w:rsidR="00504D26" w:rsidRPr="000A08DE" w14:paraId="7AF5E922" w14:textId="77777777" w:rsidTr="008C3461">
        <w:trPr>
          <w:trHeight w:val="1080"/>
        </w:trPr>
        <w:tc>
          <w:tcPr>
            <w:tcW w:w="2253" w:type="dxa"/>
            <w:shd w:val="clear" w:color="auto" w:fill="auto"/>
            <w:vAlign w:val="center"/>
            <w:hideMark/>
          </w:tcPr>
          <w:p w14:paraId="31AD4CBD"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SNP of IL28B (TT/non-TT)</w:t>
            </w:r>
          </w:p>
        </w:tc>
        <w:tc>
          <w:tcPr>
            <w:tcW w:w="2462" w:type="dxa"/>
            <w:gridSpan w:val="2"/>
            <w:shd w:val="clear" w:color="auto" w:fill="auto"/>
            <w:vAlign w:val="center"/>
            <w:hideMark/>
          </w:tcPr>
          <w:p w14:paraId="6065CDF8"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4.316(1.804-10.327)</w:t>
            </w:r>
          </w:p>
        </w:tc>
        <w:tc>
          <w:tcPr>
            <w:tcW w:w="927" w:type="dxa"/>
            <w:shd w:val="clear" w:color="auto" w:fill="auto"/>
            <w:vAlign w:val="center"/>
            <w:hideMark/>
          </w:tcPr>
          <w:p w14:paraId="3C9B7EBB"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0.001</w:t>
            </w:r>
          </w:p>
        </w:tc>
        <w:tc>
          <w:tcPr>
            <w:tcW w:w="2477" w:type="dxa"/>
            <w:gridSpan w:val="2"/>
            <w:shd w:val="clear" w:color="auto" w:fill="auto"/>
            <w:vAlign w:val="center"/>
            <w:hideMark/>
          </w:tcPr>
          <w:p w14:paraId="3459AB65"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8.598(3.388–21.817)</w:t>
            </w:r>
          </w:p>
        </w:tc>
        <w:tc>
          <w:tcPr>
            <w:tcW w:w="927" w:type="dxa"/>
            <w:shd w:val="clear" w:color="auto" w:fill="auto"/>
            <w:vAlign w:val="center"/>
            <w:hideMark/>
          </w:tcPr>
          <w:p w14:paraId="6F1104E6"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&lt;</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0.001</w:t>
            </w:r>
          </w:p>
        </w:tc>
      </w:tr>
      <w:tr w:rsidR="00504D26" w:rsidRPr="000A08DE" w14:paraId="4C1F00EB" w14:textId="77777777" w:rsidTr="008C3461">
        <w:trPr>
          <w:trHeight w:val="270"/>
        </w:trPr>
        <w:tc>
          <w:tcPr>
            <w:tcW w:w="2253" w:type="dxa"/>
            <w:shd w:val="clear" w:color="auto" w:fill="auto"/>
            <w:vAlign w:val="center"/>
            <w:hideMark/>
          </w:tcPr>
          <w:p w14:paraId="46FDA7AD"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 xml:space="preserve">　</w:t>
            </w:r>
          </w:p>
        </w:tc>
        <w:tc>
          <w:tcPr>
            <w:tcW w:w="1231" w:type="dxa"/>
            <w:shd w:val="clear" w:color="auto" w:fill="auto"/>
            <w:vAlign w:val="center"/>
            <w:hideMark/>
          </w:tcPr>
          <w:p w14:paraId="0C166819" w14:textId="77777777" w:rsidR="00504D26" w:rsidRPr="000A08DE" w:rsidRDefault="00504D26" w:rsidP="008C3461">
            <w:pPr>
              <w:widowControl/>
              <w:rPr>
                <w:rFonts w:ascii="Book Antiqua" w:eastAsia="宋体" w:hAnsi="Book Antiqua" w:cs="宋体"/>
                <w:color w:val="000000"/>
                <w:kern w:val="0"/>
                <w:szCs w:val="21"/>
              </w:rPr>
            </w:pPr>
          </w:p>
        </w:tc>
        <w:tc>
          <w:tcPr>
            <w:tcW w:w="1231" w:type="dxa"/>
            <w:shd w:val="clear" w:color="auto" w:fill="auto"/>
            <w:vAlign w:val="center"/>
            <w:hideMark/>
          </w:tcPr>
          <w:p w14:paraId="52A44F2A" w14:textId="77777777" w:rsidR="00504D26" w:rsidRPr="000A08DE" w:rsidRDefault="00504D26" w:rsidP="008C3461">
            <w:pPr>
              <w:widowControl/>
              <w:rPr>
                <w:rFonts w:ascii="Book Antiqua" w:eastAsia="宋体" w:hAnsi="Book Antiqua" w:cs="宋体"/>
                <w:color w:val="000000"/>
                <w:kern w:val="0"/>
                <w:szCs w:val="21"/>
              </w:rPr>
            </w:pPr>
          </w:p>
        </w:tc>
        <w:tc>
          <w:tcPr>
            <w:tcW w:w="927" w:type="dxa"/>
            <w:shd w:val="clear" w:color="auto" w:fill="auto"/>
            <w:vAlign w:val="center"/>
            <w:hideMark/>
          </w:tcPr>
          <w:p w14:paraId="047DCE0F"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 xml:space="preserve">　</w:t>
            </w:r>
          </w:p>
        </w:tc>
        <w:tc>
          <w:tcPr>
            <w:tcW w:w="2477" w:type="dxa"/>
            <w:gridSpan w:val="2"/>
            <w:shd w:val="clear" w:color="auto" w:fill="auto"/>
            <w:vAlign w:val="center"/>
            <w:hideMark/>
          </w:tcPr>
          <w:p w14:paraId="6956DA15"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0.933 (0.889–0.980)</w:t>
            </w:r>
          </w:p>
        </w:tc>
        <w:tc>
          <w:tcPr>
            <w:tcW w:w="927" w:type="dxa"/>
            <w:shd w:val="clear" w:color="auto" w:fill="auto"/>
            <w:vAlign w:val="center"/>
            <w:hideMark/>
          </w:tcPr>
          <w:p w14:paraId="43F94027"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0.006</w:t>
            </w:r>
          </w:p>
        </w:tc>
      </w:tr>
      <w:tr w:rsidR="00504D26" w:rsidRPr="000A08DE" w14:paraId="51581144" w14:textId="77777777" w:rsidTr="008C3461">
        <w:trPr>
          <w:trHeight w:val="825"/>
        </w:trPr>
        <w:tc>
          <w:tcPr>
            <w:tcW w:w="2253" w:type="dxa"/>
            <w:shd w:val="clear" w:color="auto" w:fill="auto"/>
            <w:vAlign w:val="center"/>
            <w:hideMark/>
          </w:tcPr>
          <w:p w14:paraId="5C730EA9"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 xml:space="preserve">　</w:t>
            </w:r>
          </w:p>
        </w:tc>
        <w:tc>
          <w:tcPr>
            <w:tcW w:w="1231" w:type="dxa"/>
            <w:shd w:val="clear" w:color="auto" w:fill="auto"/>
            <w:vAlign w:val="center"/>
            <w:hideMark/>
          </w:tcPr>
          <w:p w14:paraId="45065AB0"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 xml:space="preserve">　</w:t>
            </w:r>
          </w:p>
        </w:tc>
        <w:tc>
          <w:tcPr>
            <w:tcW w:w="1231" w:type="dxa"/>
            <w:shd w:val="clear" w:color="auto" w:fill="auto"/>
            <w:vAlign w:val="center"/>
            <w:hideMark/>
          </w:tcPr>
          <w:p w14:paraId="1FD1DDFE"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 xml:space="preserve">　</w:t>
            </w:r>
          </w:p>
        </w:tc>
        <w:tc>
          <w:tcPr>
            <w:tcW w:w="927" w:type="dxa"/>
            <w:shd w:val="clear" w:color="auto" w:fill="auto"/>
            <w:vAlign w:val="center"/>
            <w:hideMark/>
          </w:tcPr>
          <w:p w14:paraId="513E1AC3"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 xml:space="preserve">　</w:t>
            </w:r>
          </w:p>
        </w:tc>
        <w:tc>
          <w:tcPr>
            <w:tcW w:w="2477" w:type="dxa"/>
            <w:gridSpan w:val="2"/>
            <w:shd w:val="clear" w:color="auto" w:fill="auto"/>
            <w:vAlign w:val="center"/>
            <w:hideMark/>
          </w:tcPr>
          <w:p w14:paraId="56957B3D"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0.335 (0.157–0.715)</w:t>
            </w:r>
          </w:p>
        </w:tc>
        <w:tc>
          <w:tcPr>
            <w:tcW w:w="927" w:type="dxa"/>
            <w:shd w:val="clear" w:color="auto" w:fill="auto"/>
            <w:vAlign w:val="center"/>
            <w:hideMark/>
          </w:tcPr>
          <w:p w14:paraId="3FA5A92E"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0.005</w:t>
            </w:r>
          </w:p>
        </w:tc>
      </w:tr>
      <w:tr w:rsidR="00504D26" w:rsidRPr="000A08DE" w14:paraId="2AF2116E" w14:textId="77777777" w:rsidTr="008C3461">
        <w:trPr>
          <w:trHeight w:val="1095"/>
        </w:trPr>
        <w:tc>
          <w:tcPr>
            <w:tcW w:w="2253" w:type="dxa"/>
            <w:shd w:val="clear" w:color="auto" w:fill="auto"/>
            <w:vAlign w:val="center"/>
            <w:hideMark/>
          </w:tcPr>
          <w:p w14:paraId="3A9B4973"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Propensity score matched patients</w:t>
            </w:r>
          </w:p>
        </w:tc>
        <w:tc>
          <w:tcPr>
            <w:tcW w:w="1231" w:type="dxa"/>
            <w:shd w:val="clear" w:color="auto" w:fill="auto"/>
            <w:noWrap/>
            <w:vAlign w:val="center"/>
            <w:hideMark/>
          </w:tcPr>
          <w:p w14:paraId="725DA242" w14:textId="77777777" w:rsidR="00504D26" w:rsidRPr="000A08DE" w:rsidRDefault="00504D26" w:rsidP="008C3461">
            <w:pPr>
              <w:widowControl/>
              <w:jc w:val="left"/>
              <w:rPr>
                <w:rFonts w:ascii="宋体" w:eastAsia="宋体" w:hAnsi="宋体" w:cs="宋体"/>
                <w:color w:val="000000"/>
                <w:kern w:val="0"/>
                <w:szCs w:val="21"/>
              </w:rPr>
            </w:pPr>
          </w:p>
        </w:tc>
        <w:tc>
          <w:tcPr>
            <w:tcW w:w="1231" w:type="dxa"/>
            <w:shd w:val="clear" w:color="auto" w:fill="auto"/>
            <w:noWrap/>
            <w:vAlign w:val="center"/>
            <w:hideMark/>
          </w:tcPr>
          <w:p w14:paraId="0D26A3E2" w14:textId="77777777" w:rsidR="00504D26" w:rsidRPr="000A08DE" w:rsidRDefault="00504D26" w:rsidP="008C3461">
            <w:pPr>
              <w:widowControl/>
              <w:jc w:val="left"/>
              <w:rPr>
                <w:rFonts w:ascii="宋体" w:eastAsia="宋体" w:hAnsi="宋体" w:cs="宋体"/>
                <w:color w:val="000000"/>
                <w:kern w:val="0"/>
                <w:szCs w:val="21"/>
              </w:rPr>
            </w:pPr>
          </w:p>
        </w:tc>
        <w:tc>
          <w:tcPr>
            <w:tcW w:w="927" w:type="dxa"/>
            <w:shd w:val="clear" w:color="auto" w:fill="auto"/>
            <w:noWrap/>
            <w:vAlign w:val="center"/>
            <w:hideMark/>
          </w:tcPr>
          <w:p w14:paraId="1E69C9C7" w14:textId="77777777" w:rsidR="00504D26" w:rsidRPr="000A08DE" w:rsidRDefault="00504D26" w:rsidP="008C3461">
            <w:pPr>
              <w:widowControl/>
              <w:jc w:val="left"/>
              <w:rPr>
                <w:rFonts w:ascii="宋体" w:eastAsia="宋体" w:hAnsi="宋体" w:cs="宋体"/>
                <w:color w:val="000000"/>
                <w:kern w:val="0"/>
                <w:szCs w:val="21"/>
              </w:rPr>
            </w:pPr>
          </w:p>
        </w:tc>
        <w:tc>
          <w:tcPr>
            <w:tcW w:w="1246" w:type="dxa"/>
            <w:shd w:val="clear" w:color="auto" w:fill="auto"/>
            <w:noWrap/>
            <w:vAlign w:val="center"/>
            <w:hideMark/>
          </w:tcPr>
          <w:p w14:paraId="5B6EA55E" w14:textId="77777777" w:rsidR="00504D26" w:rsidRPr="000A08DE" w:rsidRDefault="00504D26" w:rsidP="008C3461">
            <w:pPr>
              <w:widowControl/>
              <w:jc w:val="left"/>
              <w:rPr>
                <w:rFonts w:ascii="宋体" w:eastAsia="宋体" w:hAnsi="宋体" w:cs="宋体"/>
                <w:color w:val="000000"/>
                <w:kern w:val="0"/>
                <w:szCs w:val="21"/>
              </w:rPr>
            </w:pPr>
          </w:p>
        </w:tc>
        <w:tc>
          <w:tcPr>
            <w:tcW w:w="1231" w:type="dxa"/>
            <w:shd w:val="clear" w:color="auto" w:fill="auto"/>
            <w:noWrap/>
            <w:vAlign w:val="center"/>
            <w:hideMark/>
          </w:tcPr>
          <w:p w14:paraId="3ECAEB54" w14:textId="77777777" w:rsidR="00504D26" w:rsidRPr="000A08DE" w:rsidRDefault="00504D26" w:rsidP="008C3461">
            <w:pPr>
              <w:widowControl/>
              <w:jc w:val="left"/>
              <w:rPr>
                <w:rFonts w:ascii="宋体" w:eastAsia="宋体" w:hAnsi="宋体" w:cs="宋体"/>
                <w:color w:val="000000"/>
                <w:kern w:val="0"/>
                <w:szCs w:val="21"/>
              </w:rPr>
            </w:pPr>
          </w:p>
        </w:tc>
        <w:tc>
          <w:tcPr>
            <w:tcW w:w="927" w:type="dxa"/>
            <w:shd w:val="clear" w:color="auto" w:fill="auto"/>
            <w:noWrap/>
            <w:vAlign w:val="center"/>
            <w:hideMark/>
          </w:tcPr>
          <w:p w14:paraId="09B2C9BD" w14:textId="77777777" w:rsidR="00504D26" w:rsidRPr="000A08DE" w:rsidRDefault="00504D26" w:rsidP="008C3461">
            <w:pPr>
              <w:widowControl/>
              <w:jc w:val="left"/>
              <w:rPr>
                <w:rFonts w:ascii="宋体" w:eastAsia="宋体" w:hAnsi="宋体" w:cs="宋体"/>
                <w:color w:val="000000"/>
                <w:kern w:val="0"/>
                <w:szCs w:val="21"/>
              </w:rPr>
            </w:pPr>
          </w:p>
        </w:tc>
      </w:tr>
      <w:tr w:rsidR="00504D26" w:rsidRPr="000A08DE" w14:paraId="444FB474" w14:textId="77777777" w:rsidTr="008C3461">
        <w:trPr>
          <w:trHeight w:val="540"/>
        </w:trPr>
        <w:tc>
          <w:tcPr>
            <w:tcW w:w="2253" w:type="dxa"/>
            <w:shd w:val="clear" w:color="auto" w:fill="auto"/>
            <w:vAlign w:val="center"/>
            <w:hideMark/>
          </w:tcPr>
          <w:p w14:paraId="23938486" w14:textId="77777777" w:rsidR="00504D26" w:rsidRPr="000A08DE" w:rsidRDefault="00504D26" w:rsidP="008C3461">
            <w:pPr>
              <w:widowControl/>
              <w:jc w:val="left"/>
              <w:rPr>
                <w:rFonts w:ascii="Book Antiqua" w:eastAsia="宋体" w:hAnsi="Book Antiqua" w:cs="宋体"/>
                <w:color w:val="000000"/>
                <w:kern w:val="0"/>
                <w:szCs w:val="21"/>
              </w:rPr>
            </w:pPr>
            <w:r>
              <w:rPr>
                <w:rFonts w:ascii="Book Antiqua" w:eastAsia="宋体" w:hAnsi="Book Antiqua" w:cs="宋体"/>
                <w:color w:val="000000"/>
                <w:kern w:val="0"/>
                <w:szCs w:val="21"/>
              </w:rPr>
              <w:t>Univariate analysis</w:t>
            </w:r>
          </w:p>
        </w:tc>
        <w:tc>
          <w:tcPr>
            <w:tcW w:w="1231" w:type="dxa"/>
            <w:shd w:val="clear" w:color="auto" w:fill="auto"/>
            <w:vAlign w:val="center"/>
            <w:hideMark/>
          </w:tcPr>
          <w:p w14:paraId="6D4FE12B"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w:t>
            </w:r>
            <w:r w:rsidRPr="000A08DE">
              <w:rPr>
                <w:rFonts w:ascii="Book Antiqua" w:eastAsia="宋体" w:hAnsi="Book Antiqua" w:cs="宋体"/>
                <w:i/>
                <w:color w:val="000000"/>
                <w:kern w:val="0"/>
                <w:szCs w:val="21"/>
              </w:rPr>
              <w:t>n</w:t>
            </w:r>
            <w:r w:rsidRPr="000A08DE">
              <w:rPr>
                <w:rFonts w:ascii="Book Antiqua" w:eastAsia="宋体" w:hAnsi="Book Antiqua" w:cs="宋体"/>
                <w:color w:val="000000"/>
                <w:kern w:val="0"/>
                <w:szCs w:val="21"/>
              </w:rPr>
              <w:t xml:space="preserve"> = 77)</w:t>
            </w:r>
          </w:p>
        </w:tc>
        <w:tc>
          <w:tcPr>
            <w:tcW w:w="1231" w:type="dxa"/>
            <w:shd w:val="clear" w:color="auto" w:fill="auto"/>
            <w:vAlign w:val="center"/>
            <w:hideMark/>
          </w:tcPr>
          <w:p w14:paraId="2C7E1C51"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w:t>
            </w:r>
            <w:r w:rsidRPr="000A08DE">
              <w:rPr>
                <w:rFonts w:ascii="Book Antiqua" w:eastAsia="宋体" w:hAnsi="Book Antiqua" w:cs="宋体"/>
                <w:i/>
                <w:color w:val="000000"/>
                <w:kern w:val="0"/>
                <w:szCs w:val="21"/>
              </w:rPr>
              <w:t>n</w:t>
            </w:r>
            <w:r w:rsidRPr="000A08DE">
              <w:rPr>
                <w:rFonts w:ascii="Book Antiqua" w:eastAsia="宋体" w:hAnsi="Book Antiqua" w:cs="宋体"/>
                <w:color w:val="000000"/>
                <w:kern w:val="0"/>
                <w:szCs w:val="21"/>
              </w:rPr>
              <w:t xml:space="preserve"> = 27)</w:t>
            </w:r>
          </w:p>
        </w:tc>
        <w:tc>
          <w:tcPr>
            <w:tcW w:w="927" w:type="dxa"/>
            <w:shd w:val="clear" w:color="auto" w:fill="auto"/>
            <w:vAlign w:val="center"/>
            <w:hideMark/>
          </w:tcPr>
          <w:p w14:paraId="7D112644"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 xml:space="preserve">　</w:t>
            </w:r>
          </w:p>
        </w:tc>
        <w:tc>
          <w:tcPr>
            <w:tcW w:w="1246" w:type="dxa"/>
            <w:shd w:val="clear" w:color="auto" w:fill="auto"/>
            <w:vAlign w:val="center"/>
            <w:hideMark/>
          </w:tcPr>
          <w:p w14:paraId="15F5EC8D"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w:t>
            </w:r>
            <w:r w:rsidRPr="000A08DE">
              <w:rPr>
                <w:rFonts w:ascii="Book Antiqua" w:eastAsia="宋体" w:hAnsi="Book Antiqua" w:cs="宋体"/>
                <w:i/>
                <w:color w:val="000000"/>
                <w:kern w:val="0"/>
                <w:szCs w:val="21"/>
              </w:rPr>
              <w:t>n</w:t>
            </w:r>
            <w:r w:rsidRPr="000A08DE">
              <w:rPr>
                <w:rFonts w:ascii="Book Antiqua" w:eastAsia="宋体" w:hAnsi="Book Antiqua" w:cs="宋体"/>
                <w:color w:val="000000"/>
                <w:kern w:val="0"/>
                <w:szCs w:val="21"/>
              </w:rPr>
              <w:t xml:space="preserve"> = 76)</w:t>
            </w:r>
          </w:p>
        </w:tc>
        <w:tc>
          <w:tcPr>
            <w:tcW w:w="1231" w:type="dxa"/>
            <w:shd w:val="clear" w:color="auto" w:fill="auto"/>
            <w:vAlign w:val="center"/>
            <w:hideMark/>
          </w:tcPr>
          <w:p w14:paraId="16809BA4"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w:t>
            </w:r>
            <w:r w:rsidRPr="000A08DE">
              <w:rPr>
                <w:rFonts w:ascii="Book Antiqua" w:eastAsia="宋体" w:hAnsi="Book Antiqua" w:cs="宋体"/>
                <w:i/>
                <w:color w:val="000000"/>
                <w:kern w:val="0"/>
                <w:szCs w:val="21"/>
              </w:rPr>
              <w:t>n</w:t>
            </w:r>
            <w:r w:rsidRPr="000A08DE">
              <w:rPr>
                <w:rFonts w:ascii="Book Antiqua" w:eastAsia="宋体" w:hAnsi="Book Antiqua" w:cs="宋体"/>
                <w:color w:val="000000"/>
                <w:kern w:val="0"/>
                <w:szCs w:val="21"/>
              </w:rPr>
              <w:t xml:space="preserve"> = 28)</w:t>
            </w:r>
          </w:p>
        </w:tc>
        <w:tc>
          <w:tcPr>
            <w:tcW w:w="927" w:type="dxa"/>
            <w:shd w:val="clear" w:color="auto" w:fill="auto"/>
            <w:vAlign w:val="center"/>
            <w:hideMark/>
          </w:tcPr>
          <w:p w14:paraId="5EDFA1D1" w14:textId="77777777" w:rsidR="00504D26" w:rsidRPr="000A08DE" w:rsidRDefault="00504D26" w:rsidP="008C3461">
            <w:pPr>
              <w:widowControl/>
              <w:rPr>
                <w:rFonts w:ascii="Book Antiqua" w:eastAsia="宋体" w:hAnsi="Book Antiqua" w:cs="宋体"/>
                <w:color w:val="000000"/>
                <w:kern w:val="0"/>
                <w:szCs w:val="21"/>
              </w:rPr>
            </w:pPr>
          </w:p>
        </w:tc>
      </w:tr>
      <w:tr w:rsidR="00504D26" w:rsidRPr="000A08DE" w14:paraId="5B495026" w14:textId="77777777" w:rsidTr="008C3461">
        <w:trPr>
          <w:trHeight w:val="540"/>
        </w:trPr>
        <w:tc>
          <w:tcPr>
            <w:tcW w:w="2253" w:type="dxa"/>
            <w:shd w:val="clear" w:color="auto" w:fill="auto"/>
            <w:vAlign w:val="center"/>
            <w:hideMark/>
          </w:tcPr>
          <w:p w14:paraId="40CAA4B3" w14:textId="77777777" w:rsidR="00504D26" w:rsidRPr="000A08DE" w:rsidRDefault="00504D26" w:rsidP="008C3461">
            <w:pPr>
              <w:widowControl/>
              <w:jc w:val="left"/>
              <w:rPr>
                <w:rFonts w:ascii="Book Antiqua" w:eastAsia="宋体" w:hAnsi="Book Antiqua" w:cs="宋体"/>
                <w:color w:val="000000"/>
                <w:kern w:val="0"/>
                <w:szCs w:val="21"/>
              </w:rPr>
            </w:pPr>
            <w:r w:rsidRPr="000A08DE">
              <w:rPr>
                <w:rFonts w:ascii="Book Antiqua" w:eastAsia="宋体" w:hAnsi="Book Antiqua" w:cs="宋体"/>
                <w:color w:val="000000"/>
                <w:kern w:val="0"/>
                <w:szCs w:val="21"/>
              </w:rPr>
              <w:t>Age(years)</w:t>
            </w:r>
          </w:p>
        </w:tc>
        <w:tc>
          <w:tcPr>
            <w:tcW w:w="1231" w:type="dxa"/>
            <w:shd w:val="clear" w:color="auto" w:fill="auto"/>
            <w:vAlign w:val="center"/>
            <w:hideMark/>
          </w:tcPr>
          <w:p w14:paraId="391D49B5"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60.0</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(52.5–66.5)</w:t>
            </w:r>
          </w:p>
        </w:tc>
        <w:tc>
          <w:tcPr>
            <w:tcW w:w="1231" w:type="dxa"/>
            <w:shd w:val="clear" w:color="auto" w:fill="auto"/>
            <w:vAlign w:val="center"/>
            <w:hideMark/>
          </w:tcPr>
          <w:p w14:paraId="33A18710"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64.0</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(60.0–65.0)</w:t>
            </w:r>
          </w:p>
        </w:tc>
        <w:tc>
          <w:tcPr>
            <w:tcW w:w="927" w:type="dxa"/>
            <w:shd w:val="clear" w:color="auto" w:fill="auto"/>
            <w:vAlign w:val="center"/>
            <w:hideMark/>
          </w:tcPr>
          <w:p w14:paraId="56C73047"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c>
          <w:tcPr>
            <w:tcW w:w="1246" w:type="dxa"/>
            <w:shd w:val="clear" w:color="auto" w:fill="auto"/>
            <w:vAlign w:val="center"/>
            <w:hideMark/>
          </w:tcPr>
          <w:p w14:paraId="3293E7DD"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59.0</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(51.0–66.0)</w:t>
            </w:r>
          </w:p>
        </w:tc>
        <w:tc>
          <w:tcPr>
            <w:tcW w:w="1231" w:type="dxa"/>
            <w:shd w:val="clear" w:color="auto" w:fill="auto"/>
            <w:vAlign w:val="center"/>
            <w:hideMark/>
          </w:tcPr>
          <w:p w14:paraId="6F32DB7B"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65.0</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(56.0–71.0)</w:t>
            </w:r>
          </w:p>
        </w:tc>
        <w:tc>
          <w:tcPr>
            <w:tcW w:w="927" w:type="dxa"/>
            <w:shd w:val="clear" w:color="auto" w:fill="auto"/>
            <w:vAlign w:val="center"/>
            <w:hideMark/>
          </w:tcPr>
          <w:p w14:paraId="0D1AE17E"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0.021</w:t>
            </w:r>
          </w:p>
        </w:tc>
      </w:tr>
      <w:tr w:rsidR="00504D26" w:rsidRPr="000A08DE" w14:paraId="62A73C47" w14:textId="77777777" w:rsidTr="008C3461">
        <w:trPr>
          <w:trHeight w:val="540"/>
        </w:trPr>
        <w:tc>
          <w:tcPr>
            <w:tcW w:w="2253" w:type="dxa"/>
            <w:shd w:val="clear" w:color="auto" w:fill="auto"/>
            <w:vAlign w:val="center"/>
            <w:hideMark/>
          </w:tcPr>
          <w:p w14:paraId="2694B68B" w14:textId="77777777" w:rsidR="00504D26" w:rsidRPr="000A08DE" w:rsidRDefault="00504D26" w:rsidP="008C3461">
            <w:pPr>
              <w:widowControl/>
              <w:jc w:val="left"/>
              <w:rPr>
                <w:rFonts w:ascii="Book Antiqua" w:eastAsia="宋体" w:hAnsi="Book Antiqua" w:cs="宋体"/>
                <w:color w:val="000000"/>
                <w:kern w:val="0"/>
                <w:szCs w:val="21"/>
              </w:rPr>
            </w:pPr>
            <w:r w:rsidRPr="000A08DE">
              <w:rPr>
                <w:rFonts w:ascii="Book Antiqua" w:eastAsia="宋体" w:hAnsi="Book Antiqua" w:cs="宋体"/>
                <w:color w:val="000000"/>
                <w:kern w:val="0"/>
                <w:szCs w:val="21"/>
              </w:rPr>
              <w:t>Gender(male/female)</w:t>
            </w:r>
          </w:p>
        </w:tc>
        <w:tc>
          <w:tcPr>
            <w:tcW w:w="1231" w:type="dxa"/>
            <w:shd w:val="clear" w:color="auto" w:fill="auto"/>
            <w:vAlign w:val="center"/>
            <w:hideMark/>
          </w:tcPr>
          <w:p w14:paraId="322BCC30"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33/44</w:t>
            </w:r>
          </w:p>
        </w:tc>
        <w:tc>
          <w:tcPr>
            <w:tcW w:w="1231" w:type="dxa"/>
            <w:shd w:val="clear" w:color="auto" w:fill="auto"/>
            <w:vAlign w:val="center"/>
            <w:hideMark/>
          </w:tcPr>
          <w:p w14:paraId="5545112C"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12</w:t>
            </w:r>
            <w:r>
              <w:rPr>
                <w:rFonts w:ascii="Book Antiqua" w:eastAsia="宋体" w:hAnsi="Book Antiqua" w:cs="宋体" w:hint="eastAsia"/>
                <w:color w:val="000000"/>
                <w:kern w:val="0"/>
                <w:szCs w:val="21"/>
              </w:rPr>
              <w:t>-</w:t>
            </w:r>
            <w:r w:rsidRPr="000A08DE">
              <w:rPr>
                <w:rFonts w:ascii="Book Antiqua" w:eastAsia="宋体" w:hAnsi="Book Antiqua" w:cs="宋体"/>
                <w:color w:val="000000"/>
                <w:kern w:val="0"/>
                <w:szCs w:val="21"/>
              </w:rPr>
              <w:t>15</w:t>
            </w:r>
          </w:p>
        </w:tc>
        <w:tc>
          <w:tcPr>
            <w:tcW w:w="927" w:type="dxa"/>
            <w:shd w:val="clear" w:color="auto" w:fill="auto"/>
            <w:vAlign w:val="center"/>
            <w:hideMark/>
          </w:tcPr>
          <w:p w14:paraId="55B0A69D"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c>
          <w:tcPr>
            <w:tcW w:w="1246" w:type="dxa"/>
            <w:shd w:val="clear" w:color="auto" w:fill="auto"/>
            <w:vAlign w:val="center"/>
            <w:hideMark/>
          </w:tcPr>
          <w:p w14:paraId="74F4C8DF"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37/39</w:t>
            </w:r>
          </w:p>
        </w:tc>
        <w:tc>
          <w:tcPr>
            <w:tcW w:w="1231" w:type="dxa"/>
            <w:shd w:val="clear" w:color="auto" w:fill="auto"/>
            <w:vAlign w:val="center"/>
            <w:hideMark/>
          </w:tcPr>
          <w:p w14:paraId="6DCB0C2B"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12</w:t>
            </w:r>
            <w:r>
              <w:rPr>
                <w:rFonts w:ascii="Book Antiqua" w:eastAsia="宋体" w:hAnsi="Book Antiqua" w:cs="宋体" w:hint="eastAsia"/>
                <w:color w:val="000000"/>
                <w:kern w:val="0"/>
                <w:szCs w:val="21"/>
              </w:rPr>
              <w:t>-</w:t>
            </w:r>
            <w:r w:rsidRPr="000A08DE">
              <w:rPr>
                <w:rFonts w:ascii="Book Antiqua" w:eastAsia="宋体" w:hAnsi="Book Antiqua" w:cs="宋体"/>
                <w:color w:val="000000"/>
                <w:kern w:val="0"/>
                <w:szCs w:val="21"/>
              </w:rPr>
              <w:t>16</w:t>
            </w:r>
          </w:p>
        </w:tc>
        <w:tc>
          <w:tcPr>
            <w:tcW w:w="927" w:type="dxa"/>
            <w:shd w:val="clear" w:color="auto" w:fill="auto"/>
            <w:vAlign w:val="center"/>
            <w:hideMark/>
          </w:tcPr>
          <w:p w14:paraId="219EC2E3"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r>
      <w:tr w:rsidR="00504D26" w:rsidRPr="000A08DE" w14:paraId="39316517" w14:textId="77777777" w:rsidTr="008C3461">
        <w:trPr>
          <w:trHeight w:val="855"/>
        </w:trPr>
        <w:tc>
          <w:tcPr>
            <w:tcW w:w="2253" w:type="dxa"/>
            <w:shd w:val="clear" w:color="auto" w:fill="auto"/>
            <w:vAlign w:val="center"/>
            <w:hideMark/>
          </w:tcPr>
          <w:p w14:paraId="44C06A60" w14:textId="77777777" w:rsidR="00504D26" w:rsidRPr="000A08DE" w:rsidRDefault="00504D26" w:rsidP="008C3461">
            <w:pPr>
              <w:widowControl/>
              <w:jc w:val="left"/>
              <w:rPr>
                <w:rFonts w:ascii="Book Antiqua" w:eastAsia="宋体" w:hAnsi="Book Antiqua" w:cs="宋体"/>
                <w:color w:val="000000"/>
                <w:kern w:val="0"/>
                <w:szCs w:val="21"/>
              </w:rPr>
            </w:pPr>
            <w:r w:rsidRPr="000A08DE">
              <w:rPr>
                <w:rFonts w:ascii="Book Antiqua" w:eastAsia="宋体" w:hAnsi="Book Antiqua" w:cs="宋体"/>
                <w:color w:val="000000"/>
                <w:kern w:val="0"/>
                <w:szCs w:val="21"/>
              </w:rPr>
              <w:lastRenderedPageBreak/>
              <w:t>Body mass index (kg/m</w:t>
            </w:r>
            <w:r w:rsidRPr="000A08DE">
              <w:rPr>
                <w:rFonts w:ascii="Book Antiqua" w:eastAsia="宋体" w:hAnsi="Book Antiqua" w:cs="宋体"/>
                <w:color w:val="000000"/>
                <w:kern w:val="0"/>
                <w:szCs w:val="21"/>
                <w:vertAlign w:val="superscript"/>
              </w:rPr>
              <w:t>2</w:t>
            </w:r>
            <w:r w:rsidRPr="000A08DE">
              <w:rPr>
                <w:rFonts w:ascii="Book Antiqua" w:eastAsia="宋体" w:hAnsi="Book Antiqua" w:cs="宋体"/>
                <w:color w:val="000000"/>
                <w:kern w:val="0"/>
                <w:szCs w:val="21"/>
              </w:rPr>
              <w:t>)</w:t>
            </w:r>
          </w:p>
        </w:tc>
        <w:tc>
          <w:tcPr>
            <w:tcW w:w="1231" w:type="dxa"/>
            <w:shd w:val="clear" w:color="auto" w:fill="auto"/>
            <w:vAlign w:val="center"/>
            <w:hideMark/>
          </w:tcPr>
          <w:p w14:paraId="24BDC503"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23.1</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(20.6–25.0)</w:t>
            </w:r>
          </w:p>
        </w:tc>
        <w:tc>
          <w:tcPr>
            <w:tcW w:w="1231" w:type="dxa"/>
            <w:shd w:val="clear" w:color="auto" w:fill="auto"/>
            <w:vAlign w:val="center"/>
            <w:hideMark/>
          </w:tcPr>
          <w:p w14:paraId="1F3BB94B"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24.0</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(21.4–26.6)</w:t>
            </w:r>
          </w:p>
        </w:tc>
        <w:tc>
          <w:tcPr>
            <w:tcW w:w="927" w:type="dxa"/>
            <w:shd w:val="clear" w:color="auto" w:fill="auto"/>
            <w:vAlign w:val="center"/>
            <w:hideMark/>
          </w:tcPr>
          <w:p w14:paraId="5140245F"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c>
          <w:tcPr>
            <w:tcW w:w="1246" w:type="dxa"/>
            <w:shd w:val="clear" w:color="auto" w:fill="auto"/>
            <w:vAlign w:val="center"/>
            <w:hideMark/>
          </w:tcPr>
          <w:p w14:paraId="24C03E35"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23.2</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(21.3–25.1)</w:t>
            </w:r>
          </w:p>
        </w:tc>
        <w:tc>
          <w:tcPr>
            <w:tcW w:w="1231" w:type="dxa"/>
            <w:shd w:val="clear" w:color="auto" w:fill="auto"/>
            <w:vAlign w:val="center"/>
            <w:hideMark/>
          </w:tcPr>
          <w:p w14:paraId="7E1F4E18"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23.6</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(21.1–26.1)</w:t>
            </w:r>
          </w:p>
        </w:tc>
        <w:tc>
          <w:tcPr>
            <w:tcW w:w="927" w:type="dxa"/>
            <w:shd w:val="clear" w:color="auto" w:fill="auto"/>
            <w:vAlign w:val="center"/>
            <w:hideMark/>
          </w:tcPr>
          <w:p w14:paraId="1203DC91"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r>
      <w:tr w:rsidR="00504D26" w:rsidRPr="000A08DE" w14:paraId="7FAF6D6E" w14:textId="77777777" w:rsidTr="008C3461">
        <w:trPr>
          <w:trHeight w:val="810"/>
        </w:trPr>
        <w:tc>
          <w:tcPr>
            <w:tcW w:w="2253" w:type="dxa"/>
            <w:shd w:val="clear" w:color="auto" w:fill="auto"/>
            <w:vAlign w:val="center"/>
            <w:hideMark/>
          </w:tcPr>
          <w:p w14:paraId="370008F6" w14:textId="77777777" w:rsidR="00504D26" w:rsidRPr="000A08DE" w:rsidRDefault="00504D26" w:rsidP="008C3461">
            <w:pPr>
              <w:widowControl/>
              <w:jc w:val="left"/>
              <w:rPr>
                <w:rFonts w:ascii="Book Antiqua" w:eastAsia="宋体" w:hAnsi="Book Antiqua" w:cs="宋体"/>
                <w:color w:val="000000"/>
                <w:kern w:val="0"/>
                <w:szCs w:val="21"/>
              </w:rPr>
            </w:pPr>
            <w:r w:rsidRPr="000A08DE">
              <w:rPr>
                <w:rFonts w:ascii="Book Antiqua" w:eastAsia="宋体" w:hAnsi="Book Antiqua" w:cs="宋体"/>
                <w:color w:val="000000"/>
                <w:kern w:val="0"/>
                <w:szCs w:val="21"/>
              </w:rPr>
              <w:t>Level of viremia (log IU/mL)</w:t>
            </w:r>
          </w:p>
        </w:tc>
        <w:tc>
          <w:tcPr>
            <w:tcW w:w="1231" w:type="dxa"/>
            <w:shd w:val="clear" w:color="auto" w:fill="auto"/>
            <w:vAlign w:val="center"/>
            <w:hideMark/>
          </w:tcPr>
          <w:p w14:paraId="17648489"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6.7</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(6.3–7.0)</w:t>
            </w:r>
          </w:p>
        </w:tc>
        <w:tc>
          <w:tcPr>
            <w:tcW w:w="1231" w:type="dxa"/>
            <w:shd w:val="clear" w:color="auto" w:fill="auto"/>
            <w:vAlign w:val="center"/>
            <w:hideMark/>
          </w:tcPr>
          <w:p w14:paraId="063D33F8"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6.7</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(6.4–6.9)</w:t>
            </w:r>
          </w:p>
        </w:tc>
        <w:tc>
          <w:tcPr>
            <w:tcW w:w="927" w:type="dxa"/>
            <w:shd w:val="clear" w:color="auto" w:fill="auto"/>
            <w:vAlign w:val="center"/>
            <w:hideMark/>
          </w:tcPr>
          <w:p w14:paraId="74FF6D68"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c>
          <w:tcPr>
            <w:tcW w:w="1246" w:type="dxa"/>
            <w:shd w:val="clear" w:color="auto" w:fill="auto"/>
            <w:vAlign w:val="center"/>
            <w:hideMark/>
          </w:tcPr>
          <w:p w14:paraId="06153774"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6.7</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(6.1–7.0)</w:t>
            </w:r>
          </w:p>
        </w:tc>
        <w:tc>
          <w:tcPr>
            <w:tcW w:w="1231" w:type="dxa"/>
            <w:shd w:val="clear" w:color="auto" w:fill="auto"/>
            <w:vAlign w:val="center"/>
            <w:hideMark/>
          </w:tcPr>
          <w:p w14:paraId="76FD1C9A"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6.6</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(6.3–7.2)</w:t>
            </w:r>
          </w:p>
        </w:tc>
        <w:tc>
          <w:tcPr>
            <w:tcW w:w="927" w:type="dxa"/>
            <w:shd w:val="clear" w:color="auto" w:fill="auto"/>
            <w:vAlign w:val="center"/>
            <w:hideMark/>
          </w:tcPr>
          <w:p w14:paraId="673F3A60"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r>
      <w:tr w:rsidR="00504D26" w:rsidRPr="000A08DE" w14:paraId="311CB6A0" w14:textId="77777777" w:rsidTr="008C3461">
        <w:trPr>
          <w:trHeight w:val="855"/>
        </w:trPr>
        <w:tc>
          <w:tcPr>
            <w:tcW w:w="2253" w:type="dxa"/>
            <w:shd w:val="clear" w:color="auto" w:fill="auto"/>
            <w:vAlign w:val="center"/>
            <w:hideMark/>
          </w:tcPr>
          <w:p w14:paraId="08061F22" w14:textId="77777777" w:rsidR="00504D26" w:rsidRPr="000A08DE" w:rsidRDefault="00504D26" w:rsidP="008C3461">
            <w:pPr>
              <w:widowControl/>
              <w:jc w:val="left"/>
              <w:rPr>
                <w:rFonts w:ascii="Book Antiqua" w:eastAsia="宋体" w:hAnsi="Book Antiqua" w:cs="宋体"/>
                <w:color w:val="000000"/>
                <w:kern w:val="0"/>
                <w:szCs w:val="21"/>
              </w:rPr>
            </w:pPr>
            <w:r w:rsidRPr="000A08DE">
              <w:rPr>
                <w:rFonts w:ascii="Book Antiqua" w:eastAsia="宋体" w:hAnsi="Book Antiqua" w:cs="宋体"/>
                <w:color w:val="000000"/>
                <w:kern w:val="0"/>
                <w:szCs w:val="21"/>
              </w:rPr>
              <w:t>Leukocyte count (/mm</w:t>
            </w:r>
            <w:r w:rsidRPr="000A08DE">
              <w:rPr>
                <w:rFonts w:ascii="Book Antiqua" w:eastAsia="宋体" w:hAnsi="Book Antiqua" w:cs="宋体"/>
                <w:color w:val="000000"/>
                <w:kern w:val="0"/>
                <w:szCs w:val="21"/>
                <w:vertAlign w:val="superscript"/>
              </w:rPr>
              <w:t>3</w:t>
            </w:r>
            <w:r w:rsidRPr="000A08DE">
              <w:rPr>
                <w:rFonts w:ascii="Book Antiqua" w:eastAsia="宋体" w:hAnsi="Book Antiqua" w:cs="宋体"/>
                <w:color w:val="000000"/>
                <w:kern w:val="0"/>
                <w:szCs w:val="21"/>
              </w:rPr>
              <w:t>)</w:t>
            </w:r>
          </w:p>
        </w:tc>
        <w:tc>
          <w:tcPr>
            <w:tcW w:w="1231" w:type="dxa"/>
            <w:shd w:val="clear" w:color="auto" w:fill="auto"/>
            <w:vAlign w:val="center"/>
            <w:hideMark/>
          </w:tcPr>
          <w:p w14:paraId="6DE50CBA"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5000</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(4100–5700)</w:t>
            </w:r>
          </w:p>
        </w:tc>
        <w:tc>
          <w:tcPr>
            <w:tcW w:w="1231" w:type="dxa"/>
            <w:shd w:val="clear" w:color="auto" w:fill="auto"/>
            <w:vAlign w:val="center"/>
            <w:hideMark/>
          </w:tcPr>
          <w:p w14:paraId="07263050"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5100</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(4400–6700)</w:t>
            </w:r>
          </w:p>
        </w:tc>
        <w:tc>
          <w:tcPr>
            <w:tcW w:w="927" w:type="dxa"/>
            <w:shd w:val="clear" w:color="auto" w:fill="auto"/>
            <w:vAlign w:val="center"/>
            <w:hideMark/>
          </w:tcPr>
          <w:p w14:paraId="5F182063"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c>
          <w:tcPr>
            <w:tcW w:w="1246" w:type="dxa"/>
            <w:shd w:val="clear" w:color="auto" w:fill="auto"/>
            <w:vAlign w:val="center"/>
            <w:hideMark/>
          </w:tcPr>
          <w:p w14:paraId="3B9F6010"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5100</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(4400–5900)</w:t>
            </w:r>
          </w:p>
        </w:tc>
        <w:tc>
          <w:tcPr>
            <w:tcW w:w="1231" w:type="dxa"/>
            <w:shd w:val="clear" w:color="auto" w:fill="auto"/>
            <w:vAlign w:val="center"/>
            <w:hideMark/>
          </w:tcPr>
          <w:p w14:paraId="6C352771"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4600</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(3500–5700)</w:t>
            </w:r>
          </w:p>
        </w:tc>
        <w:tc>
          <w:tcPr>
            <w:tcW w:w="927" w:type="dxa"/>
            <w:shd w:val="clear" w:color="auto" w:fill="auto"/>
            <w:vAlign w:val="center"/>
            <w:hideMark/>
          </w:tcPr>
          <w:p w14:paraId="4E370DE4"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r>
      <w:tr w:rsidR="00504D26" w:rsidRPr="000A08DE" w14:paraId="447CF3F9" w14:textId="77777777" w:rsidTr="008C3461">
        <w:trPr>
          <w:trHeight w:val="540"/>
        </w:trPr>
        <w:tc>
          <w:tcPr>
            <w:tcW w:w="2253" w:type="dxa"/>
            <w:shd w:val="clear" w:color="auto" w:fill="auto"/>
            <w:vAlign w:val="center"/>
            <w:hideMark/>
          </w:tcPr>
          <w:p w14:paraId="3596E6F3" w14:textId="77777777" w:rsidR="00504D26" w:rsidRPr="000A08DE" w:rsidRDefault="00504D26" w:rsidP="008C3461">
            <w:pPr>
              <w:widowControl/>
              <w:jc w:val="left"/>
              <w:rPr>
                <w:rFonts w:ascii="Book Antiqua" w:eastAsia="宋体" w:hAnsi="Book Antiqua" w:cs="宋体"/>
                <w:color w:val="000000"/>
                <w:kern w:val="0"/>
                <w:szCs w:val="21"/>
              </w:rPr>
            </w:pPr>
            <w:r w:rsidRPr="000A08DE">
              <w:rPr>
                <w:rFonts w:ascii="Book Antiqua" w:eastAsia="宋体" w:hAnsi="Book Antiqua" w:cs="宋体"/>
                <w:color w:val="000000"/>
                <w:kern w:val="0"/>
                <w:szCs w:val="21"/>
              </w:rPr>
              <w:t>Hemoglobin (g/</w:t>
            </w:r>
            <w:proofErr w:type="spellStart"/>
            <w:r w:rsidRPr="000A08DE">
              <w:rPr>
                <w:rFonts w:ascii="Book Antiqua" w:eastAsia="宋体" w:hAnsi="Book Antiqua" w:cs="宋体"/>
                <w:color w:val="000000"/>
                <w:kern w:val="0"/>
                <w:szCs w:val="21"/>
              </w:rPr>
              <w:t>dL</w:t>
            </w:r>
            <w:proofErr w:type="spellEnd"/>
            <w:r w:rsidRPr="000A08DE">
              <w:rPr>
                <w:rFonts w:ascii="Book Antiqua" w:eastAsia="宋体" w:hAnsi="Book Antiqua" w:cs="宋体"/>
                <w:color w:val="000000"/>
                <w:kern w:val="0"/>
                <w:szCs w:val="21"/>
              </w:rPr>
              <w:t>)</w:t>
            </w:r>
          </w:p>
        </w:tc>
        <w:tc>
          <w:tcPr>
            <w:tcW w:w="1231" w:type="dxa"/>
            <w:shd w:val="clear" w:color="auto" w:fill="auto"/>
            <w:vAlign w:val="center"/>
            <w:hideMark/>
          </w:tcPr>
          <w:p w14:paraId="7926D569"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14.0</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(13.1–14.8)</w:t>
            </w:r>
          </w:p>
        </w:tc>
        <w:tc>
          <w:tcPr>
            <w:tcW w:w="1231" w:type="dxa"/>
            <w:shd w:val="clear" w:color="auto" w:fill="auto"/>
            <w:vAlign w:val="center"/>
            <w:hideMark/>
          </w:tcPr>
          <w:p w14:paraId="61D614E1"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13.9</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(13.0–14.9)</w:t>
            </w:r>
          </w:p>
        </w:tc>
        <w:tc>
          <w:tcPr>
            <w:tcW w:w="927" w:type="dxa"/>
            <w:shd w:val="clear" w:color="auto" w:fill="auto"/>
            <w:vAlign w:val="center"/>
            <w:hideMark/>
          </w:tcPr>
          <w:p w14:paraId="6CEBDF9E"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c>
          <w:tcPr>
            <w:tcW w:w="1246" w:type="dxa"/>
            <w:shd w:val="clear" w:color="auto" w:fill="auto"/>
            <w:vAlign w:val="center"/>
            <w:hideMark/>
          </w:tcPr>
          <w:p w14:paraId="2FEE8F1C"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14.0</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(12.9–15.0)</w:t>
            </w:r>
          </w:p>
        </w:tc>
        <w:tc>
          <w:tcPr>
            <w:tcW w:w="1231" w:type="dxa"/>
            <w:shd w:val="clear" w:color="auto" w:fill="auto"/>
            <w:vAlign w:val="center"/>
            <w:hideMark/>
          </w:tcPr>
          <w:p w14:paraId="6DF4EF6C"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13.8</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(12.9–14.7)</w:t>
            </w:r>
          </w:p>
        </w:tc>
        <w:tc>
          <w:tcPr>
            <w:tcW w:w="927" w:type="dxa"/>
            <w:shd w:val="clear" w:color="auto" w:fill="auto"/>
            <w:vAlign w:val="center"/>
            <w:hideMark/>
          </w:tcPr>
          <w:p w14:paraId="689202A9"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r>
      <w:tr w:rsidR="00504D26" w:rsidRPr="000A08DE" w14:paraId="39424AA9" w14:textId="77777777" w:rsidTr="008C3461">
        <w:trPr>
          <w:trHeight w:val="855"/>
        </w:trPr>
        <w:tc>
          <w:tcPr>
            <w:tcW w:w="2253" w:type="dxa"/>
            <w:shd w:val="clear" w:color="auto" w:fill="auto"/>
            <w:vAlign w:val="center"/>
            <w:hideMark/>
          </w:tcPr>
          <w:p w14:paraId="08A8647D" w14:textId="77777777" w:rsidR="00504D26" w:rsidRPr="000A08DE" w:rsidRDefault="00504D26" w:rsidP="008C3461">
            <w:pPr>
              <w:widowControl/>
              <w:jc w:val="left"/>
              <w:rPr>
                <w:rFonts w:ascii="Book Antiqua" w:eastAsia="宋体" w:hAnsi="Book Antiqua" w:cs="宋体"/>
                <w:color w:val="000000"/>
                <w:kern w:val="0"/>
                <w:szCs w:val="21"/>
              </w:rPr>
            </w:pPr>
            <w:r w:rsidRPr="000A08DE">
              <w:rPr>
                <w:rFonts w:ascii="Book Antiqua" w:eastAsia="宋体" w:hAnsi="Book Antiqua" w:cs="宋体"/>
                <w:color w:val="000000"/>
                <w:kern w:val="0"/>
                <w:szCs w:val="21"/>
              </w:rPr>
              <w:t>Platelet count (×10</w:t>
            </w:r>
            <w:r w:rsidRPr="000A08DE">
              <w:rPr>
                <w:rFonts w:ascii="Book Antiqua" w:eastAsia="宋体" w:hAnsi="Book Antiqua" w:cs="宋体"/>
                <w:color w:val="000000"/>
                <w:kern w:val="0"/>
                <w:szCs w:val="21"/>
                <w:vertAlign w:val="superscript"/>
              </w:rPr>
              <w:t>4</w:t>
            </w:r>
            <w:r w:rsidRPr="000A08DE">
              <w:rPr>
                <w:rFonts w:ascii="Book Antiqua" w:eastAsia="宋体" w:hAnsi="Book Antiqua" w:cs="宋体"/>
                <w:color w:val="000000"/>
                <w:kern w:val="0"/>
                <w:szCs w:val="21"/>
              </w:rPr>
              <w:t>/mm</w:t>
            </w:r>
            <w:r w:rsidRPr="000A08DE">
              <w:rPr>
                <w:rFonts w:ascii="Book Antiqua" w:eastAsia="宋体" w:hAnsi="Book Antiqua" w:cs="宋体"/>
                <w:color w:val="000000"/>
                <w:kern w:val="0"/>
                <w:szCs w:val="21"/>
                <w:vertAlign w:val="superscript"/>
              </w:rPr>
              <w:t>3</w:t>
            </w:r>
            <w:r w:rsidRPr="000A08DE">
              <w:rPr>
                <w:rFonts w:ascii="Book Antiqua" w:eastAsia="宋体" w:hAnsi="Book Antiqua" w:cs="宋体"/>
                <w:color w:val="000000"/>
                <w:kern w:val="0"/>
                <w:szCs w:val="21"/>
              </w:rPr>
              <w:t>)</w:t>
            </w:r>
          </w:p>
        </w:tc>
        <w:tc>
          <w:tcPr>
            <w:tcW w:w="1231" w:type="dxa"/>
            <w:shd w:val="clear" w:color="auto" w:fill="auto"/>
            <w:vAlign w:val="center"/>
            <w:hideMark/>
          </w:tcPr>
          <w:p w14:paraId="3F23B865"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15.0</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(12.3–19.7)</w:t>
            </w:r>
          </w:p>
        </w:tc>
        <w:tc>
          <w:tcPr>
            <w:tcW w:w="1231" w:type="dxa"/>
            <w:shd w:val="clear" w:color="auto" w:fill="auto"/>
            <w:vAlign w:val="center"/>
            <w:hideMark/>
          </w:tcPr>
          <w:p w14:paraId="5865E23E"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15.4</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(12.9–20.3)</w:t>
            </w:r>
          </w:p>
        </w:tc>
        <w:tc>
          <w:tcPr>
            <w:tcW w:w="927" w:type="dxa"/>
            <w:shd w:val="clear" w:color="auto" w:fill="auto"/>
            <w:vAlign w:val="center"/>
            <w:hideMark/>
          </w:tcPr>
          <w:p w14:paraId="57A53F69"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c>
          <w:tcPr>
            <w:tcW w:w="1246" w:type="dxa"/>
            <w:shd w:val="clear" w:color="auto" w:fill="auto"/>
            <w:vAlign w:val="center"/>
            <w:hideMark/>
          </w:tcPr>
          <w:p w14:paraId="797E85A5"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15.1</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(11.9–20.4)</w:t>
            </w:r>
          </w:p>
        </w:tc>
        <w:tc>
          <w:tcPr>
            <w:tcW w:w="1231" w:type="dxa"/>
            <w:shd w:val="clear" w:color="auto" w:fill="auto"/>
            <w:vAlign w:val="center"/>
            <w:hideMark/>
          </w:tcPr>
          <w:p w14:paraId="05D9F75E"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15.0</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(11.0–17.2)</w:t>
            </w:r>
          </w:p>
        </w:tc>
        <w:tc>
          <w:tcPr>
            <w:tcW w:w="927" w:type="dxa"/>
            <w:shd w:val="clear" w:color="auto" w:fill="auto"/>
            <w:vAlign w:val="center"/>
            <w:hideMark/>
          </w:tcPr>
          <w:p w14:paraId="15F37E55"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NS</w:t>
            </w:r>
          </w:p>
        </w:tc>
      </w:tr>
      <w:tr w:rsidR="00504D26" w:rsidRPr="000A08DE" w14:paraId="0385FEDF" w14:textId="77777777" w:rsidTr="008C3461">
        <w:trPr>
          <w:trHeight w:val="1095"/>
        </w:trPr>
        <w:tc>
          <w:tcPr>
            <w:tcW w:w="2253" w:type="dxa"/>
            <w:shd w:val="clear" w:color="auto" w:fill="auto"/>
            <w:vAlign w:val="center"/>
            <w:hideMark/>
          </w:tcPr>
          <w:p w14:paraId="3F370FAF" w14:textId="77777777" w:rsidR="00504D26" w:rsidRPr="000A08DE" w:rsidRDefault="00504D26" w:rsidP="008C3461">
            <w:pPr>
              <w:widowControl/>
              <w:jc w:val="left"/>
              <w:rPr>
                <w:rFonts w:ascii="Book Antiqua" w:eastAsia="宋体" w:hAnsi="Book Antiqua" w:cs="宋体"/>
                <w:color w:val="000000"/>
                <w:kern w:val="0"/>
                <w:szCs w:val="21"/>
              </w:rPr>
            </w:pPr>
            <w:r w:rsidRPr="000A08DE">
              <w:rPr>
                <w:rFonts w:ascii="Book Antiqua" w:eastAsia="宋体" w:hAnsi="Book Antiqua" w:cs="宋体"/>
                <w:color w:val="000000"/>
                <w:kern w:val="0"/>
                <w:szCs w:val="21"/>
              </w:rPr>
              <w:t>SNP of IL28B (TT/non-TT)</w:t>
            </w:r>
          </w:p>
        </w:tc>
        <w:tc>
          <w:tcPr>
            <w:tcW w:w="1231" w:type="dxa"/>
            <w:shd w:val="clear" w:color="auto" w:fill="auto"/>
            <w:vAlign w:val="center"/>
            <w:hideMark/>
          </w:tcPr>
          <w:p w14:paraId="3E6181B1"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61/16</w:t>
            </w:r>
          </w:p>
        </w:tc>
        <w:tc>
          <w:tcPr>
            <w:tcW w:w="1231" w:type="dxa"/>
            <w:shd w:val="clear" w:color="auto" w:fill="auto"/>
            <w:vAlign w:val="center"/>
            <w:hideMark/>
          </w:tcPr>
          <w:p w14:paraId="3DB94A54"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13/14</w:t>
            </w:r>
          </w:p>
        </w:tc>
        <w:tc>
          <w:tcPr>
            <w:tcW w:w="927" w:type="dxa"/>
            <w:shd w:val="clear" w:color="auto" w:fill="auto"/>
            <w:vAlign w:val="center"/>
            <w:hideMark/>
          </w:tcPr>
          <w:p w14:paraId="086548FE"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0.002</w:t>
            </w:r>
          </w:p>
        </w:tc>
        <w:tc>
          <w:tcPr>
            <w:tcW w:w="1246" w:type="dxa"/>
            <w:shd w:val="clear" w:color="auto" w:fill="auto"/>
            <w:vAlign w:val="center"/>
            <w:hideMark/>
          </w:tcPr>
          <w:p w14:paraId="30ADEEE6"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61/15</w:t>
            </w:r>
          </w:p>
        </w:tc>
        <w:tc>
          <w:tcPr>
            <w:tcW w:w="1231" w:type="dxa"/>
            <w:shd w:val="clear" w:color="auto" w:fill="auto"/>
            <w:vAlign w:val="center"/>
            <w:hideMark/>
          </w:tcPr>
          <w:p w14:paraId="1BB2B0FE"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12</w:t>
            </w:r>
            <w:r>
              <w:rPr>
                <w:rFonts w:ascii="Book Antiqua" w:eastAsia="宋体" w:hAnsi="Book Antiqua" w:cs="宋体" w:hint="eastAsia"/>
                <w:color w:val="000000"/>
                <w:kern w:val="0"/>
                <w:szCs w:val="21"/>
              </w:rPr>
              <w:t>-</w:t>
            </w:r>
            <w:r w:rsidRPr="000A08DE">
              <w:rPr>
                <w:rFonts w:ascii="Book Antiqua" w:eastAsia="宋体" w:hAnsi="Book Antiqua" w:cs="宋体"/>
                <w:color w:val="000000"/>
                <w:kern w:val="0"/>
                <w:szCs w:val="21"/>
              </w:rPr>
              <w:t>16</w:t>
            </w:r>
            <w:r>
              <w:rPr>
                <w:rFonts w:ascii="Book Antiqua" w:eastAsia="宋体" w:hAnsi="Book Antiqua" w:cs="宋体" w:hint="eastAsia"/>
                <w:color w:val="000000"/>
                <w:kern w:val="0"/>
                <w:szCs w:val="21"/>
              </w:rPr>
              <w:t xml:space="preserve"> </w:t>
            </w:r>
          </w:p>
        </w:tc>
        <w:tc>
          <w:tcPr>
            <w:tcW w:w="927" w:type="dxa"/>
            <w:shd w:val="clear" w:color="auto" w:fill="auto"/>
            <w:vAlign w:val="center"/>
            <w:hideMark/>
          </w:tcPr>
          <w:p w14:paraId="313CC608"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&lt;</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0.001</w:t>
            </w:r>
          </w:p>
        </w:tc>
      </w:tr>
      <w:tr w:rsidR="00504D26" w:rsidRPr="000A08DE" w14:paraId="4A53FD78" w14:textId="77777777" w:rsidTr="008C3461">
        <w:trPr>
          <w:trHeight w:val="555"/>
        </w:trPr>
        <w:tc>
          <w:tcPr>
            <w:tcW w:w="2253" w:type="dxa"/>
            <w:shd w:val="clear" w:color="auto" w:fill="auto"/>
            <w:vAlign w:val="center"/>
            <w:hideMark/>
          </w:tcPr>
          <w:p w14:paraId="468F5BF2" w14:textId="77777777" w:rsidR="00504D26" w:rsidRPr="000A08DE" w:rsidRDefault="00504D26" w:rsidP="008C3461">
            <w:pPr>
              <w:widowControl/>
              <w:rPr>
                <w:rFonts w:ascii="Book Antiqua" w:eastAsia="宋体" w:hAnsi="Book Antiqua" w:cs="宋体"/>
                <w:color w:val="000000"/>
                <w:kern w:val="0"/>
                <w:szCs w:val="21"/>
              </w:rPr>
            </w:pPr>
            <w:r>
              <w:rPr>
                <w:rFonts w:ascii="Book Antiqua" w:eastAsia="宋体" w:hAnsi="Book Antiqua" w:cs="宋体"/>
                <w:color w:val="000000"/>
                <w:kern w:val="0"/>
                <w:szCs w:val="21"/>
              </w:rPr>
              <w:t>Multivariate analysis</w:t>
            </w:r>
          </w:p>
        </w:tc>
        <w:tc>
          <w:tcPr>
            <w:tcW w:w="2462" w:type="dxa"/>
            <w:gridSpan w:val="2"/>
            <w:shd w:val="clear" w:color="auto" w:fill="auto"/>
            <w:vAlign w:val="center"/>
            <w:hideMark/>
          </w:tcPr>
          <w:p w14:paraId="04C72FD4"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Odds ratio</w:t>
            </w:r>
            <w:r>
              <w:rPr>
                <w:rFonts w:ascii="Book Antiqua" w:eastAsia="宋体" w:hAnsi="Book Antiqua" w:cs="宋体" w:hint="eastAsia"/>
                <w:color w:val="000000"/>
                <w:kern w:val="0"/>
                <w:szCs w:val="21"/>
              </w:rPr>
              <w:t xml:space="preserve"> </w:t>
            </w:r>
            <w:r>
              <w:rPr>
                <w:rFonts w:ascii="Book Antiqua" w:eastAsia="宋体" w:hAnsi="Book Antiqua" w:cs="宋体"/>
                <w:color w:val="000000"/>
                <w:kern w:val="0"/>
                <w:szCs w:val="21"/>
              </w:rPr>
              <w:t>(95%</w:t>
            </w:r>
            <w:r w:rsidRPr="000A08DE">
              <w:rPr>
                <w:rFonts w:ascii="Book Antiqua" w:eastAsia="宋体" w:hAnsi="Book Antiqua" w:cs="宋体"/>
                <w:color w:val="000000"/>
                <w:kern w:val="0"/>
                <w:szCs w:val="21"/>
              </w:rPr>
              <w:t>CI)</w:t>
            </w:r>
          </w:p>
        </w:tc>
        <w:tc>
          <w:tcPr>
            <w:tcW w:w="927" w:type="dxa"/>
            <w:shd w:val="clear" w:color="auto" w:fill="auto"/>
            <w:vAlign w:val="center"/>
            <w:hideMark/>
          </w:tcPr>
          <w:p w14:paraId="6882947B"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 xml:space="preserve">　</w:t>
            </w:r>
          </w:p>
        </w:tc>
        <w:tc>
          <w:tcPr>
            <w:tcW w:w="2477" w:type="dxa"/>
            <w:gridSpan w:val="2"/>
            <w:shd w:val="clear" w:color="auto" w:fill="auto"/>
            <w:vAlign w:val="center"/>
            <w:hideMark/>
          </w:tcPr>
          <w:p w14:paraId="748722EC"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Odds ratio</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(95% CI)</w:t>
            </w:r>
          </w:p>
        </w:tc>
        <w:tc>
          <w:tcPr>
            <w:tcW w:w="927" w:type="dxa"/>
            <w:shd w:val="clear" w:color="auto" w:fill="auto"/>
            <w:vAlign w:val="center"/>
            <w:hideMark/>
          </w:tcPr>
          <w:p w14:paraId="7F53BBAE" w14:textId="77777777" w:rsidR="00504D26" w:rsidRPr="000A08DE" w:rsidRDefault="00504D26" w:rsidP="008C3461">
            <w:pPr>
              <w:widowControl/>
              <w:rPr>
                <w:rFonts w:ascii="Book Antiqua" w:eastAsia="宋体" w:hAnsi="Book Antiqua" w:cs="宋体"/>
                <w:color w:val="000000"/>
                <w:kern w:val="0"/>
                <w:szCs w:val="21"/>
              </w:rPr>
            </w:pPr>
          </w:p>
        </w:tc>
      </w:tr>
      <w:tr w:rsidR="00504D26" w:rsidRPr="000A08DE" w14:paraId="761C1D4E" w14:textId="77777777" w:rsidTr="008C3461">
        <w:trPr>
          <w:trHeight w:val="1095"/>
        </w:trPr>
        <w:tc>
          <w:tcPr>
            <w:tcW w:w="2253" w:type="dxa"/>
            <w:shd w:val="clear" w:color="auto" w:fill="auto"/>
            <w:vAlign w:val="center"/>
            <w:hideMark/>
          </w:tcPr>
          <w:p w14:paraId="132FB6CB"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SNP of IL28B (TT/non-TT)</w:t>
            </w:r>
          </w:p>
        </w:tc>
        <w:tc>
          <w:tcPr>
            <w:tcW w:w="2462" w:type="dxa"/>
            <w:gridSpan w:val="2"/>
            <w:shd w:val="clear" w:color="auto" w:fill="auto"/>
            <w:vAlign w:val="center"/>
            <w:hideMark/>
          </w:tcPr>
          <w:p w14:paraId="28844730"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7.739</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(2.111-28.375)</w:t>
            </w:r>
          </w:p>
        </w:tc>
        <w:tc>
          <w:tcPr>
            <w:tcW w:w="927" w:type="dxa"/>
            <w:shd w:val="clear" w:color="auto" w:fill="auto"/>
            <w:vAlign w:val="center"/>
            <w:hideMark/>
          </w:tcPr>
          <w:p w14:paraId="75ABD42D"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0.002</w:t>
            </w:r>
          </w:p>
        </w:tc>
        <w:tc>
          <w:tcPr>
            <w:tcW w:w="2477" w:type="dxa"/>
            <w:gridSpan w:val="2"/>
            <w:shd w:val="clear" w:color="auto" w:fill="auto"/>
            <w:vAlign w:val="center"/>
            <w:hideMark/>
          </w:tcPr>
          <w:p w14:paraId="5BF7B716"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8.594</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(2.777–26.598)</w:t>
            </w:r>
          </w:p>
        </w:tc>
        <w:tc>
          <w:tcPr>
            <w:tcW w:w="927" w:type="dxa"/>
            <w:shd w:val="clear" w:color="auto" w:fill="auto"/>
            <w:vAlign w:val="center"/>
            <w:hideMark/>
          </w:tcPr>
          <w:p w14:paraId="4937A0AE" w14:textId="77777777" w:rsidR="00504D26" w:rsidRPr="000A08DE" w:rsidRDefault="00504D26" w:rsidP="008C3461">
            <w:pPr>
              <w:widowControl/>
              <w:rPr>
                <w:rFonts w:ascii="Book Antiqua" w:eastAsia="宋体" w:hAnsi="Book Antiqua" w:cs="宋体"/>
                <w:color w:val="000000"/>
                <w:kern w:val="0"/>
                <w:szCs w:val="21"/>
              </w:rPr>
            </w:pPr>
            <w:r w:rsidRPr="000A08DE">
              <w:rPr>
                <w:rFonts w:ascii="Book Antiqua" w:eastAsia="宋体" w:hAnsi="Book Antiqua" w:cs="宋体"/>
                <w:color w:val="000000"/>
                <w:kern w:val="0"/>
                <w:szCs w:val="21"/>
              </w:rPr>
              <w:t>&lt;</w:t>
            </w:r>
            <w:r>
              <w:rPr>
                <w:rFonts w:ascii="Book Antiqua" w:eastAsia="宋体" w:hAnsi="Book Antiqua" w:cs="宋体" w:hint="eastAsia"/>
                <w:color w:val="000000"/>
                <w:kern w:val="0"/>
                <w:szCs w:val="21"/>
              </w:rPr>
              <w:t xml:space="preserve"> </w:t>
            </w:r>
            <w:r w:rsidRPr="000A08DE">
              <w:rPr>
                <w:rFonts w:ascii="Book Antiqua" w:eastAsia="宋体" w:hAnsi="Book Antiqua" w:cs="宋体"/>
                <w:color w:val="000000"/>
                <w:kern w:val="0"/>
                <w:szCs w:val="21"/>
              </w:rPr>
              <w:t>0.001</w:t>
            </w:r>
          </w:p>
        </w:tc>
      </w:tr>
    </w:tbl>
    <w:p w14:paraId="627F561E" w14:textId="5A55ACF4" w:rsidR="00FE5EE6" w:rsidRPr="00F55200" w:rsidRDefault="00F55200" w:rsidP="00504D26">
      <w:pPr>
        <w:pStyle w:val="1"/>
        <w:tabs>
          <w:tab w:val="left" w:pos="2160"/>
        </w:tabs>
        <w:spacing w:line="480" w:lineRule="auto"/>
        <w:rPr>
          <w:rFonts w:ascii="Book Antiqua" w:eastAsia="Times New Roman" w:hAnsi="Book Antiqua" w:cs="Times New Roman"/>
          <w:b/>
          <w:bCs/>
          <w:sz w:val="22"/>
          <w:szCs w:val="22"/>
          <w:lang w:eastAsia="zh-CN"/>
        </w:rPr>
      </w:pPr>
      <w:r>
        <w:rPr>
          <w:rFonts w:ascii="Book Antiqua" w:hAnsi="Book Antiqua"/>
          <w:sz w:val="22"/>
          <w:szCs w:val="22"/>
        </w:rPr>
        <w:t xml:space="preserve">Values are presented as numbers or medians with interquartile ranges in parentheses. </w:t>
      </w:r>
      <w:r>
        <w:rPr>
          <w:rFonts w:ascii="Book Antiqua" w:hAnsi="Book Antiqua"/>
          <w:i/>
          <w:sz w:val="22"/>
        </w:rPr>
        <w:t>P</w:t>
      </w:r>
      <w:r>
        <w:rPr>
          <w:rFonts w:ascii="Book Antiqua" w:hAnsi="Book Antiqua"/>
          <w:sz w:val="22"/>
          <w:szCs w:val="22"/>
        </w:rPr>
        <w:t xml:space="preserve">-values were calculated using the chi-squared test or Mann–Whitney U-test for continuous variables. </w:t>
      </w:r>
      <w:r>
        <w:rPr>
          <w:rFonts w:ascii="Book Antiqua" w:hAnsi="Book Antiqua"/>
        </w:rPr>
        <w:t>SNP</w:t>
      </w:r>
      <w:r w:rsidR="00504D26">
        <w:rPr>
          <w:rFonts w:ascii="Book Antiqua" w:hAnsi="Book Antiqua" w:hint="eastAsia"/>
          <w:lang w:eastAsia="zh-CN"/>
        </w:rPr>
        <w:t>:</w:t>
      </w:r>
      <w:r>
        <w:rPr>
          <w:rFonts w:ascii="Book Antiqua" w:hAnsi="Book Antiqua"/>
        </w:rPr>
        <w:t xml:space="preserve"> </w:t>
      </w:r>
      <w:r w:rsidR="00504D26">
        <w:rPr>
          <w:rFonts w:ascii="Book Antiqua" w:hAnsi="Book Antiqua"/>
        </w:rPr>
        <w:t>Single</w:t>
      </w:r>
      <w:r>
        <w:rPr>
          <w:rFonts w:ascii="Book Antiqua" w:hAnsi="Book Antiqua"/>
        </w:rPr>
        <w:t>-nucleotide polymorphism; IL28</w:t>
      </w:r>
      <w:r w:rsidR="00504D26">
        <w:rPr>
          <w:rFonts w:ascii="Book Antiqua" w:hAnsi="Book Antiqua" w:hint="eastAsia"/>
          <w:lang w:eastAsia="zh-CN"/>
        </w:rPr>
        <w:t xml:space="preserve">: </w:t>
      </w:r>
      <w:r w:rsidR="00504D26">
        <w:rPr>
          <w:rFonts w:ascii="Book Antiqua" w:hAnsi="Book Antiqua"/>
        </w:rPr>
        <w:t xml:space="preserve">Interleukin </w:t>
      </w:r>
      <w:r>
        <w:rPr>
          <w:rFonts w:ascii="Book Antiqua" w:hAnsi="Book Antiqua"/>
        </w:rPr>
        <w:t>28B</w:t>
      </w:r>
      <w:r w:rsidR="00504D26">
        <w:rPr>
          <w:rFonts w:ascii="Book Antiqua" w:hAnsi="Book Antiqua" w:hint="eastAsia"/>
          <w:lang w:eastAsia="zh-CN"/>
        </w:rPr>
        <w:t>.</w:t>
      </w:r>
    </w:p>
    <w:sectPr w:rsidR="00FE5EE6" w:rsidRPr="00F55200" w:rsidSect="00C26FC3">
      <w:pgSz w:w="16838" w:h="11906" w:orient="landscape"/>
      <w:pgMar w:top="1701" w:right="1985"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1CB962" w15:done="0"/>
  <w15:commentEx w15:paraId="47FC4920" w15:done="0"/>
  <w15:commentEx w15:paraId="7AD4FCE5" w15:done="0"/>
  <w15:commentEx w15:paraId="7CB3FEEE" w15:done="0"/>
  <w15:commentEx w15:paraId="1824B188" w15:done="0"/>
  <w15:commentEx w15:paraId="6BD7760A" w15:done="0"/>
  <w15:commentEx w15:paraId="6418C7CB" w15:done="0"/>
  <w15:commentEx w15:paraId="0A69F9F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5DFA4" w14:textId="77777777" w:rsidR="00781C8A" w:rsidRDefault="00781C8A" w:rsidP="007D20E7">
      <w:r>
        <w:separator/>
      </w:r>
    </w:p>
  </w:endnote>
  <w:endnote w:type="continuationSeparator" w:id="0">
    <w:p w14:paraId="46FD0A21" w14:textId="77777777" w:rsidR="00781C8A" w:rsidRDefault="00781C8A" w:rsidP="007D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PGothic">
    <w:altName w:val="ＭＳ Ｐゴシック"/>
    <w:charset w:val="80"/>
    <w:family w:val="swiss"/>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GPGothicE">
    <w:altName w:val="ＭＳ ゴシック"/>
    <w:charset w:val="80"/>
    <w:family w:val="modern"/>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478C6" w14:textId="77777777" w:rsidR="00781C8A" w:rsidRDefault="00781C8A" w:rsidP="007D20E7">
      <w:r>
        <w:separator/>
      </w:r>
    </w:p>
  </w:footnote>
  <w:footnote w:type="continuationSeparator" w:id="0">
    <w:p w14:paraId="105B63C7" w14:textId="77777777" w:rsidR="00781C8A" w:rsidRDefault="00781C8A" w:rsidP="007D2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4D"/>
    <w:rsid w:val="00002787"/>
    <w:rsid w:val="000252EA"/>
    <w:rsid w:val="00026153"/>
    <w:rsid w:val="00042FE3"/>
    <w:rsid w:val="00053BD1"/>
    <w:rsid w:val="00054239"/>
    <w:rsid w:val="000554B7"/>
    <w:rsid w:val="0006375D"/>
    <w:rsid w:val="00083723"/>
    <w:rsid w:val="00090DDD"/>
    <w:rsid w:val="000A186C"/>
    <w:rsid w:val="000C06DE"/>
    <w:rsid w:val="000D1E70"/>
    <w:rsid w:val="000F6A49"/>
    <w:rsid w:val="00103F55"/>
    <w:rsid w:val="001058DF"/>
    <w:rsid w:val="00110477"/>
    <w:rsid w:val="00120D6E"/>
    <w:rsid w:val="0012168A"/>
    <w:rsid w:val="00145FED"/>
    <w:rsid w:val="00152C5C"/>
    <w:rsid w:val="001608E8"/>
    <w:rsid w:val="00172BC8"/>
    <w:rsid w:val="00174930"/>
    <w:rsid w:val="00194CA7"/>
    <w:rsid w:val="001A03A8"/>
    <w:rsid w:val="001C3E4A"/>
    <w:rsid w:val="001D4ABE"/>
    <w:rsid w:val="001E4197"/>
    <w:rsid w:val="00217B40"/>
    <w:rsid w:val="00231A45"/>
    <w:rsid w:val="00245370"/>
    <w:rsid w:val="00250061"/>
    <w:rsid w:val="002520CC"/>
    <w:rsid w:val="0026147F"/>
    <w:rsid w:val="0026297B"/>
    <w:rsid w:val="00275815"/>
    <w:rsid w:val="00287685"/>
    <w:rsid w:val="002B03EA"/>
    <w:rsid w:val="002C2FDC"/>
    <w:rsid w:val="002C5BAD"/>
    <w:rsid w:val="002E16F3"/>
    <w:rsid w:val="002F64C6"/>
    <w:rsid w:val="00347115"/>
    <w:rsid w:val="00356572"/>
    <w:rsid w:val="0039661F"/>
    <w:rsid w:val="003B1AE1"/>
    <w:rsid w:val="003B353C"/>
    <w:rsid w:val="003B4672"/>
    <w:rsid w:val="003E3401"/>
    <w:rsid w:val="003E77FD"/>
    <w:rsid w:val="003E7E19"/>
    <w:rsid w:val="003F3E75"/>
    <w:rsid w:val="003F4DDD"/>
    <w:rsid w:val="004449A0"/>
    <w:rsid w:val="004515E1"/>
    <w:rsid w:val="004A1C57"/>
    <w:rsid w:val="004A237A"/>
    <w:rsid w:val="004B22EE"/>
    <w:rsid w:val="004D37C9"/>
    <w:rsid w:val="004D77DA"/>
    <w:rsid w:val="004F3FBF"/>
    <w:rsid w:val="004F5A73"/>
    <w:rsid w:val="00504D26"/>
    <w:rsid w:val="005268F6"/>
    <w:rsid w:val="00544F31"/>
    <w:rsid w:val="00563948"/>
    <w:rsid w:val="005770B4"/>
    <w:rsid w:val="00593E51"/>
    <w:rsid w:val="005B1069"/>
    <w:rsid w:val="005B5695"/>
    <w:rsid w:val="005E7E09"/>
    <w:rsid w:val="005F0BA5"/>
    <w:rsid w:val="005F2D26"/>
    <w:rsid w:val="005F3D76"/>
    <w:rsid w:val="00627B4F"/>
    <w:rsid w:val="0063515A"/>
    <w:rsid w:val="00643681"/>
    <w:rsid w:val="006543AE"/>
    <w:rsid w:val="006B7A64"/>
    <w:rsid w:val="006C05D0"/>
    <w:rsid w:val="006F5411"/>
    <w:rsid w:val="00736E58"/>
    <w:rsid w:val="0075609C"/>
    <w:rsid w:val="00781C8A"/>
    <w:rsid w:val="00784C9A"/>
    <w:rsid w:val="0079724A"/>
    <w:rsid w:val="007A4DA3"/>
    <w:rsid w:val="007B238D"/>
    <w:rsid w:val="007C5BF8"/>
    <w:rsid w:val="007D20E7"/>
    <w:rsid w:val="007F25B7"/>
    <w:rsid w:val="00844366"/>
    <w:rsid w:val="008A4301"/>
    <w:rsid w:val="008B0A2F"/>
    <w:rsid w:val="008D079B"/>
    <w:rsid w:val="008D21B3"/>
    <w:rsid w:val="008D2F16"/>
    <w:rsid w:val="009110D4"/>
    <w:rsid w:val="009111A0"/>
    <w:rsid w:val="00931B39"/>
    <w:rsid w:val="0093704D"/>
    <w:rsid w:val="00954985"/>
    <w:rsid w:val="00996EF8"/>
    <w:rsid w:val="009A054F"/>
    <w:rsid w:val="009B62AB"/>
    <w:rsid w:val="009D265F"/>
    <w:rsid w:val="009D4FBD"/>
    <w:rsid w:val="009E337C"/>
    <w:rsid w:val="009E45AC"/>
    <w:rsid w:val="009E4FF8"/>
    <w:rsid w:val="00A038B0"/>
    <w:rsid w:val="00A04F9A"/>
    <w:rsid w:val="00A10C62"/>
    <w:rsid w:val="00A14B3C"/>
    <w:rsid w:val="00A15055"/>
    <w:rsid w:val="00A30B67"/>
    <w:rsid w:val="00A36D9B"/>
    <w:rsid w:val="00A40819"/>
    <w:rsid w:val="00A50A3C"/>
    <w:rsid w:val="00A62320"/>
    <w:rsid w:val="00A65371"/>
    <w:rsid w:val="00A65BCD"/>
    <w:rsid w:val="00A72A2C"/>
    <w:rsid w:val="00A775E0"/>
    <w:rsid w:val="00A84078"/>
    <w:rsid w:val="00AA5A47"/>
    <w:rsid w:val="00AB3914"/>
    <w:rsid w:val="00AB47AE"/>
    <w:rsid w:val="00AD0DB2"/>
    <w:rsid w:val="00AD493C"/>
    <w:rsid w:val="00AE1289"/>
    <w:rsid w:val="00AE6682"/>
    <w:rsid w:val="00B02117"/>
    <w:rsid w:val="00B17248"/>
    <w:rsid w:val="00B21EE6"/>
    <w:rsid w:val="00B32836"/>
    <w:rsid w:val="00B7338A"/>
    <w:rsid w:val="00B8213F"/>
    <w:rsid w:val="00BA1BBC"/>
    <w:rsid w:val="00BC68A1"/>
    <w:rsid w:val="00BC6F59"/>
    <w:rsid w:val="00BD518D"/>
    <w:rsid w:val="00BE0A16"/>
    <w:rsid w:val="00BF0C89"/>
    <w:rsid w:val="00C17F67"/>
    <w:rsid w:val="00C24D40"/>
    <w:rsid w:val="00C26FC3"/>
    <w:rsid w:val="00C3407C"/>
    <w:rsid w:val="00C36278"/>
    <w:rsid w:val="00C42D59"/>
    <w:rsid w:val="00C600EA"/>
    <w:rsid w:val="00C6366E"/>
    <w:rsid w:val="00C84E3B"/>
    <w:rsid w:val="00C97DEC"/>
    <w:rsid w:val="00CD3FF6"/>
    <w:rsid w:val="00D75154"/>
    <w:rsid w:val="00D80055"/>
    <w:rsid w:val="00D83046"/>
    <w:rsid w:val="00D92F8B"/>
    <w:rsid w:val="00DC5734"/>
    <w:rsid w:val="00DD493D"/>
    <w:rsid w:val="00DF260F"/>
    <w:rsid w:val="00E30683"/>
    <w:rsid w:val="00E31FE4"/>
    <w:rsid w:val="00E33B08"/>
    <w:rsid w:val="00E4569C"/>
    <w:rsid w:val="00E6184E"/>
    <w:rsid w:val="00E67AC7"/>
    <w:rsid w:val="00E7660E"/>
    <w:rsid w:val="00F07FC5"/>
    <w:rsid w:val="00F106EA"/>
    <w:rsid w:val="00F1084D"/>
    <w:rsid w:val="00F4341F"/>
    <w:rsid w:val="00F55200"/>
    <w:rsid w:val="00F615E6"/>
    <w:rsid w:val="00F63424"/>
    <w:rsid w:val="00F660AD"/>
    <w:rsid w:val="00F76BC7"/>
    <w:rsid w:val="00F861A2"/>
    <w:rsid w:val="00F94A2A"/>
    <w:rsid w:val="00FA5CC5"/>
    <w:rsid w:val="00FD22FB"/>
    <w:rsid w:val="00FE3D8B"/>
    <w:rsid w:val="00FE5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CCC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標準1"/>
    <w:uiPriority w:val="99"/>
    <w:rsid w:val="0093704D"/>
    <w:pPr>
      <w:widowControl w:val="0"/>
      <w:pBdr>
        <w:top w:val="nil"/>
        <w:left w:val="nil"/>
        <w:bottom w:val="nil"/>
        <w:right w:val="nil"/>
        <w:between w:val="nil"/>
        <w:bar w:val="nil"/>
      </w:pBdr>
      <w:jc w:val="both"/>
    </w:pPr>
    <w:rPr>
      <w:rFonts w:ascii="Century" w:eastAsia="Arial Unicode MS" w:hAnsi="Arial Unicode MS" w:cs="Arial Unicode MS"/>
      <w:color w:val="000000"/>
      <w:szCs w:val="21"/>
      <w:u w:color="000000"/>
      <w:bdr w:val="nil"/>
    </w:rPr>
  </w:style>
  <w:style w:type="paragraph" w:customStyle="1" w:styleId="2">
    <w:name w:val="標準2"/>
    <w:rsid w:val="002C2FDC"/>
    <w:pPr>
      <w:widowControl w:val="0"/>
      <w:pBdr>
        <w:top w:val="nil"/>
        <w:left w:val="nil"/>
        <w:bottom w:val="nil"/>
        <w:right w:val="nil"/>
        <w:between w:val="nil"/>
        <w:bar w:val="nil"/>
      </w:pBdr>
      <w:jc w:val="both"/>
    </w:pPr>
    <w:rPr>
      <w:rFonts w:ascii="Century" w:eastAsia="MS Mincho" w:hAnsi="Arial Unicode MS" w:cs="Arial Unicode MS"/>
      <w:color w:val="000000"/>
      <w:szCs w:val="21"/>
      <w:u w:color="000000"/>
      <w:bdr w:val="nil"/>
    </w:rPr>
  </w:style>
  <w:style w:type="character" w:styleId="Hyperlink">
    <w:name w:val="Hyperlink"/>
    <w:uiPriority w:val="99"/>
    <w:unhideWhenUsed/>
    <w:rsid w:val="007A4DA3"/>
    <w:rPr>
      <w:color w:val="0563C1"/>
      <w:u w:val="single"/>
    </w:rPr>
  </w:style>
  <w:style w:type="paragraph" w:styleId="Header">
    <w:name w:val="header"/>
    <w:basedOn w:val="Normal"/>
    <w:link w:val="HeaderChar"/>
    <w:uiPriority w:val="99"/>
    <w:unhideWhenUsed/>
    <w:rsid w:val="007D20E7"/>
    <w:pPr>
      <w:tabs>
        <w:tab w:val="center" w:pos="4252"/>
        <w:tab w:val="right" w:pos="8504"/>
      </w:tabs>
      <w:snapToGrid w:val="0"/>
    </w:pPr>
  </w:style>
  <w:style w:type="character" w:customStyle="1" w:styleId="HeaderChar">
    <w:name w:val="Header Char"/>
    <w:basedOn w:val="DefaultParagraphFont"/>
    <w:link w:val="Header"/>
    <w:uiPriority w:val="99"/>
    <w:rsid w:val="007D20E7"/>
  </w:style>
  <w:style w:type="paragraph" w:styleId="Footer">
    <w:name w:val="footer"/>
    <w:basedOn w:val="Normal"/>
    <w:link w:val="FooterChar"/>
    <w:uiPriority w:val="99"/>
    <w:unhideWhenUsed/>
    <w:rsid w:val="007D20E7"/>
    <w:pPr>
      <w:tabs>
        <w:tab w:val="center" w:pos="4252"/>
        <w:tab w:val="right" w:pos="8504"/>
      </w:tabs>
      <w:snapToGrid w:val="0"/>
    </w:pPr>
  </w:style>
  <w:style w:type="character" w:customStyle="1" w:styleId="FooterChar">
    <w:name w:val="Footer Char"/>
    <w:basedOn w:val="DefaultParagraphFont"/>
    <w:link w:val="Footer"/>
    <w:uiPriority w:val="99"/>
    <w:rsid w:val="007D20E7"/>
  </w:style>
  <w:style w:type="paragraph" w:styleId="BalloonText">
    <w:name w:val="Balloon Text"/>
    <w:basedOn w:val="Normal"/>
    <w:link w:val="BalloonTextChar"/>
    <w:uiPriority w:val="99"/>
    <w:semiHidden/>
    <w:unhideWhenUsed/>
    <w:rsid w:val="00C24D40"/>
    <w:rPr>
      <w:rFonts w:ascii="Tahoma" w:hAnsi="Tahoma" w:cs="Tahoma"/>
      <w:sz w:val="16"/>
      <w:szCs w:val="16"/>
    </w:rPr>
  </w:style>
  <w:style w:type="character" w:customStyle="1" w:styleId="BalloonTextChar">
    <w:name w:val="Balloon Text Char"/>
    <w:basedOn w:val="DefaultParagraphFont"/>
    <w:link w:val="BalloonText"/>
    <w:uiPriority w:val="99"/>
    <w:semiHidden/>
    <w:rsid w:val="00C24D40"/>
    <w:rPr>
      <w:rFonts w:ascii="Tahoma" w:hAnsi="Tahoma" w:cs="Tahoma"/>
      <w:sz w:val="16"/>
      <w:szCs w:val="16"/>
    </w:rPr>
  </w:style>
  <w:style w:type="character" w:styleId="CommentReference">
    <w:name w:val="annotation reference"/>
    <w:basedOn w:val="DefaultParagraphFont"/>
    <w:unhideWhenUsed/>
    <w:rsid w:val="005E7E09"/>
    <w:rPr>
      <w:sz w:val="16"/>
      <w:szCs w:val="16"/>
    </w:rPr>
  </w:style>
  <w:style w:type="paragraph" w:styleId="CommentText">
    <w:name w:val="annotation text"/>
    <w:basedOn w:val="Normal"/>
    <w:link w:val="CommentTextChar"/>
    <w:unhideWhenUsed/>
    <w:rsid w:val="005E7E09"/>
    <w:rPr>
      <w:sz w:val="20"/>
      <w:szCs w:val="20"/>
    </w:rPr>
  </w:style>
  <w:style w:type="character" w:customStyle="1" w:styleId="CommentTextChar">
    <w:name w:val="Comment Text Char"/>
    <w:basedOn w:val="DefaultParagraphFont"/>
    <w:link w:val="CommentText"/>
    <w:rsid w:val="005E7E09"/>
    <w:rPr>
      <w:sz w:val="20"/>
      <w:szCs w:val="20"/>
    </w:rPr>
  </w:style>
  <w:style w:type="paragraph" w:styleId="CommentSubject">
    <w:name w:val="annotation subject"/>
    <w:basedOn w:val="CommentText"/>
    <w:next w:val="CommentText"/>
    <w:link w:val="CommentSubjectChar"/>
    <w:uiPriority w:val="99"/>
    <w:semiHidden/>
    <w:unhideWhenUsed/>
    <w:rsid w:val="005E7E09"/>
    <w:rPr>
      <w:b/>
      <w:bCs/>
    </w:rPr>
  </w:style>
  <w:style w:type="character" w:customStyle="1" w:styleId="CommentSubjectChar">
    <w:name w:val="Comment Subject Char"/>
    <w:basedOn w:val="CommentTextChar"/>
    <w:link w:val="CommentSubject"/>
    <w:uiPriority w:val="99"/>
    <w:semiHidden/>
    <w:rsid w:val="005E7E09"/>
    <w:rPr>
      <w:b/>
      <w:bCs/>
      <w:sz w:val="20"/>
      <w:szCs w:val="20"/>
    </w:rPr>
  </w:style>
  <w:style w:type="paragraph" w:styleId="Revision">
    <w:name w:val="Revision"/>
    <w:hidden/>
    <w:uiPriority w:val="99"/>
    <w:semiHidden/>
    <w:rsid w:val="00FD22FB"/>
  </w:style>
  <w:style w:type="paragraph" w:styleId="NormalWeb">
    <w:name w:val="Normal (Web)"/>
    <w:basedOn w:val="Normal"/>
    <w:uiPriority w:val="99"/>
    <w:unhideWhenUsed/>
    <w:rsid w:val="004515E1"/>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0">
    <w:name w:val="p0"/>
    <w:basedOn w:val="Normal"/>
    <w:rsid w:val="00A84078"/>
    <w:pPr>
      <w:widowControl/>
      <w:spacing w:line="240" w:lineRule="atLeast"/>
      <w:jc w:val="left"/>
    </w:pPr>
    <w:rPr>
      <w:rFonts w:ascii="Century" w:eastAsia="宋体" w:hAnsi="Century" w:cs="宋体"/>
      <w:kern w:val="0"/>
      <w:szCs w:val="21"/>
      <w:lang w:eastAsia="zh-CN"/>
    </w:rPr>
  </w:style>
  <w:style w:type="character" w:customStyle="1" w:styleId="labellist1">
    <w:name w:val="label_list1"/>
    <w:rsid w:val="00A84078"/>
  </w:style>
  <w:style w:type="character" w:styleId="Strong">
    <w:name w:val="Strong"/>
    <w:uiPriority w:val="22"/>
    <w:qFormat/>
    <w:rsid w:val="00C97DEC"/>
    <w:rPr>
      <w:b/>
      <w:bCs/>
    </w:rPr>
  </w:style>
  <w:style w:type="paragraph" w:styleId="ListParagraph">
    <w:name w:val="List Paragraph"/>
    <w:basedOn w:val="Normal"/>
    <w:uiPriority w:val="34"/>
    <w:qFormat/>
    <w:rsid w:val="00C97DEC"/>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character" w:styleId="Emphasis">
    <w:name w:val="Emphasis"/>
    <w:qFormat/>
    <w:rsid w:val="00A50A3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標準1"/>
    <w:uiPriority w:val="99"/>
    <w:rsid w:val="0093704D"/>
    <w:pPr>
      <w:widowControl w:val="0"/>
      <w:pBdr>
        <w:top w:val="nil"/>
        <w:left w:val="nil"/>
        <w:bottom w:val="nil"/>
        <w:right w:val="nil"/>
        <w:between w:val="nil"/>
        <w:bar w:val="nil"/>
      </w:pBdr>
      <w:jc w:val="both"/>
    </w:pPr>
    <w:rPr>
      <w:rFonts w:ascii="Century" w:eastAsia="Arial Unicode MS" w:hAnsi="Arial Unicode MS" w:cs="Arial Unicode MS"/>
      <w:color w:val="000000"/>
      <w:szCs w:val="21"/>
      <w:u w:color="000000"/>
      <w:bdr w:val="nil"/>
    </w:rPr>
  </w:style>
  <w:style w:type="paragraph" w:customStyle="1" w:styleId="2">
    <w:name w:val="標準2"/>
    <w:rsid w:val="002C2FDC"/>
    <w:pPr>
      <w:widowControl w:val="0"/>
      <w:pBdr>
        <w:top w:val="nil"/>
        <w:left w:val="nil"/>
        <w:bottom w:val="nil"/>
        <w:right w:val="nil"/>
        <w:between w:val="nil"/>
        <w:bar w:val="nil"/>
      </w:pBdr>
      <w:jc w:val="both"/>
    </w:pPr>
    <w:rPr>
      <w:rFonts w:ascii="Century" w:eastAsia="MS Mincho" w:hAnsi="Arial Unicode MS" w:cs="Arial Unicode MS"/>
      <w:color w:val="000000"/>
      <w:szCs w:val="21"/>
      <w:u w:color="000000"/>
      <w:bdr w:val="nil"/>
    </w:rPr>
  </w:style>
  <w:style w:type="character" w:styleId="Hyperlink">
    <w:name w:val="Hyperlink"/>
    <w:uiPriority w:val="99"/>
    <w:unhideWhenUsed/>
    <w:rsid w:val="007A4DA3"/>
    <w:rPr>
      <w:color w:val="0563C1"/>
      <w:u w:val="single"/>
    </w:rPr>
  </w:style>
  <w:style w:type="paragraph" w:styleId="Header">
    <w:name w:val="header"/>
    <w:basedOn w:val="Normal"/>
    <w:link w:val="HeaderChar"/>
    <w:uiPriority w:val="99"/>
    <w:unhideWhenUsed/>
    <w:rsid w:val="007D20E7"/>
    <w:pPr>
      <w:tabs>
        <w:tab w:val="center" w:pos="4252"/>
        <w:tab w:val="right" w:pos="8504"/>
      </w:tabs>
      <w:snapToGrid w:val="0"/>
    </w:pPr>
  </w:style>
  <w:style w:type="character" w:customStyle="1" w:styleId="HeaderChar">
    <w:name w:val="Header Char"/>
    <w:basedOn w:val="DefaultParagraphFont"/>
    <w:link w:val="Header"/>
    <w:uiPriority w:val="99"/>
    <w:rsid w:val="007D20E7"/>
  </w:style>
  <w:style w:type="paragraph" w:styleId="Footer">
    <w:name w:val="footer"/>
    <w:basedOn w:val="Normal"/>
    <w:link w:val="FooterChar"/>
    <w:uiPriority w:val="99"/>
    <w:unhideWhenUsed/>
    <w:rsid w:val="007D20E7"/>
    <w:pPr>
      <w:tabs>
        <w:tab w:val="center" w:pos="4252"/>
        <w:tab w:val="right" w:pos="8504"/>
      </w:tabs>
      <w:snapToGrid w:val="0"/>
    </w:pPr>
  </w:style>
  <w:style w:type="character" w:customStyle="1" w:styleId="FooterChar">
    <w:name w:val="Footer Char"/>
    <w:basedOn w:val="DefaultParagraphFont"/>
    <w:link w:val="Footer"/>
    <w:uiPriority w:val="99"/>
    <w:rsid w:val="007D20E7"/>
  </w:style>
  <w:style w:type="paragraph" w:styleId="BalloonText">
    <w:name w:val="Balloon Text"/>
    <w:basedOn w:val="Normal"/>
    <w:link w:val="BalloonTextChar"/>
    <w:uiPriority w:val="99"/>
    <w:semiHidden/>
    <w:unhideWhenUsed/>
    <w:rsid w:val="00C24D40"/>
    <w:rPr>
      <w:rFonts w:ascii="Tahoma" w:hAnsi="Tahoma" w:cs="Tahoma"/>
      <w:sz w:val="16"/>
      <w:szCs w:val="16"/>
    </w:rPr>
  </w:style>
  <w:style w:type="character" w:customStyle="1" w:styleId="BalloonTextChar">
    <w:name w:val="Balloon Text Char"/>
    <w:basedOn w:val="DefaultParagraphFont"/>
    <w:link w:val="BalloonText"/>
    <w:uiPriority w:val="99"/>
    <w:semiHidden/>
    <w:rsid w:val="00C24D40"/>
    <w:rPr>
      <w:rFonts w:ascii="Tahoma" w:hAnsi="Tahoma" w:cs="Tahoma"/>
      <w:sz w:val="16"/>
      <w:szCs w:val="16"/>
    </w:rPr>
  </w:style>
  <w:style w:type="character" w:styleId="CommentReference">
    <w:name w:val="annotation reference"/>
    <w:basedOn w:val="DefaultParagraphFont"/>
    <w:unhideWhenUsed/>
    <w:rsid w:val="005E7E09"/>
    <w:rPr>
      <w:sz w:val="16"/>
      <w:szCs w:val="16"/>
    </w:rPr>
  </w:style>
  <w:style w:type="paragraph" w:styleId="CommentText">
    <w:name w:val="annotation text"/>
    <w:basedOn w:val="Normal"/>
    <w:link w:val="CommentTextChar"/>
    <w:unhideWhenUsed/>
    <w:rsid w:val="005E7E09"/>
    <w:rPr>
      <w:sz w:val="20"/>
      <w:szCs w:val="20"/>
    </w:rPr>
  </w:style>
  <w:style w:type="character" w:customStyle="1" w:styleId="CommentTextChar">
    <w:name w:val="Comment Text Char"/>
    <w:basedOn w:val="DefaultParagraphFont"/>
    <w:link w:val="CommentText"/>
    <w:rsid w:val="005E7E09"/>
    <w:rPr>
      <w:sz w:val="20"/>
      <w:szCs w:val="20"/>
    </w:rPr>
  </w:style>
  <w:style w:type="paragraph" w:styleId="CommentSubject">
    <w:name w:val="annotation subject"/>
    <w:basedOn w:val="CommentText"/>
    <w:next w:val="CommentText"/>
    <w:link w:val="CommentSubjectChar"/>
    <w:uiPriority w:val="99"/>
    <w:semiHidden/>
    <w:unhideWhenUsed/>
    <w:rsid w:val="005E7E09"/>
    <w:rPr>
      <w:b/>
      <w:bCs/>
    </w:rPr>
  </w:style>
  <w:style w:type="character" w:customStyle="1" w:styleId="CommentSubjectChar">
    <w:name w:val="Comment Subject Char"/>
    <w:basedOn w:val="CommentTextChar"/>
    <w:link w:val="CommentSubject"/>
    <w:uiPriority w:val="99"/>
    <w:semiHidden/>
    <w:rsid w:val="005E7E09"/>
    <w:rPr>
      <w:b/>
      <w:bCs/>
      <w:sz w:val="20"/>
      <w:szCs w:val="20"/>
    </w:rPr>
  </w:style>
  <w:style w:type="paragraph" w:styleId="Revision">
    <w:name w:val="Revision"/>
    <w:hidden/>
    <w:uiPriority w:val="99"/>
    <w:semiHidden/>
    <w:rsid w:val="00FD22FB"/>
  </w:style>
  <w:style w:type="paragraph" w:styleId="NormalWeb">
    <w:name w:val="Normal (Web)"/>
    <w:basedOn w:val="Normal"/>
    <w:uiPriority w:val="99"/>
    <w:unhideWhenUsed/>
    <w:rsid w:val="004515E1"/>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0">
    <w:name w:val="p0"/>
    <w:basedOn w:val="Normal"/>
    <w:rsid w:val="00A84078"/>
    <w:pPr>
      <w:widowControl/>
      <w:spacing w:line="240" w:lineRule="atLeast"/>
      <w:jc w:val="left"/>
    </w:pPr>
    <w:rPr>
      <w:rFonts w:ascii="Century" w:eastAsia="宋体" w:hAnsi="Century" w:cs="宋体"/>
      <w:kern w:val="0"/>
      <w:szCs w:val="21"/>
      <w:lang w:eastAsia="zh-CN"/>
    </w:rPr>
  </w:style>
  <w:style w:type="character" w:customStyle="1" w:styleId="labellist1">
    <w:name w:val="label_list1"/>
    <w:rsid w:val="00A84078"/>
  </w:style>
  <w:style w:type="character" w:styleId="Strong">
    <w:name w:val="Strong"/>
    <w:uiPriority w:val="22"/>
    <w:qFormat/>
    <w:rsid w:val="00C97DEC"/>
    <w:rPr>
      <w:b/>
      <w:bCs/>
    </w:rPr>
  </w:style>
  <w:style w:type="paragraph" w:styleId="ListParagraph">
    <w:name w:val="List Paragraph"/>
    <w:basedOn w:val="Normal"/>
    <w:uiPriority w:val="34"/>
    <w:qFormat/>
    <w:rsid w:val="00C97DEC"/>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character" w:styleId="Emphasis">
    <w:name w:val="Emphasis"/>
    <w:qFormat/>
    <w:rsid w:val="00A50A3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29110">
      <w:bodyDiv w:val="1"/>
      <w:marLeft w:val="0"/>
      <w:marRight w:val="0"/>
      <w:marTop w:val="0"/>
      <w:marBottom w:val="0"/>
      <w:divBdr>
        <w:top w:val="none" w:sz="0" w:space="0" w:color="auto"/>
        <w:left w:val="none" w:sz="0" w:space="0" w:color="auto"/>
        <w:bottom w:val="none" w:sz="0" w:space="0" w:color="auto"/>
        <w:right w:val="none" w:sz="0" w:space="0" w:color="auto"/>
      </w:divBdr>
    </w:div>
    <w:div w:id="20288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idekifuiii710810@yahoo.co.jp" TargetMode="External"/><Relationship Id="rId9" Type="http://schemas.openxmlformats.org/officeDocument/2006/relationships/image" Target="media/image1.tiff"/><Relationship Id="rId1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423ED-9415-1A45-B755-C4A68C9E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6150</Words>
  <Characters>35058</Characters>
  <Application>Microsoft Macintosh Word</Application>
  <DocSecurity>0</DocSecurity>
  <Lines>292</Lines>
  <Paragraphs>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2015-11-11T01:27:00Z</dcterms:created>
  <dcterms:modified xsi:type="dcterms:W3CDTF">2015-11-11T01:27:00Z</dcterms:modified>
</cp:coreProperties>
</file>