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49" w:rsidRPr="00993D9D" w:rsidRDefault="00423E49" w:rsidP="00AE309D">
      <w:pPr>
        <w:jc w:val="both"/>
        <w:rPr>
          <w:b/>
          <w:i/>
          <w:kern w:val="0"/>
          <w:szCs w:val="24"/>
          <w:lang w:eastAsia="zh-CN"/>
        </w:rPr>
      </w:pPr>
      <w:r w:rsidRPr="00993D9D">
        <w:rPr>
          <w:b/>
          <w:kern w:val="0"/>
          <w:szCs w:val="24"/>
          <w:lang w:eastAsia="pl-PL"/>
        </w:rPr>
        <w:t xml:space="preserve">Name of Journal: </w:t>
      </w:r>
      <w:r w:rsidRPr="00993D9D">
        <w:rPr>
          <w:b/>
          <w:i/>
          <w:kern w:val="0"/>
          <w:szCs w:val="24"/>
          <w:lang w:eastAsia="pl-PL"/>
        </w:rPr>
        <w:t>World Journal of Gastroenterology</w:t>
      </w:r>
    </w:p>
    <w:p w:rsidR="00423E49" w:rsidRPr="00993D9D" w:rsidRDefault="00423E49" w:rsidP="00AE309D">
      <w:pPr>
        <w:jc w:val="both"/>
        <w:rPr>
          <w:b/>
          <w:i/>
          <w:color w:val="auto"/>
          <w:kern w:val="0"/>
          <w:szCs w:val="24"/>
          <w:lang w:eastAsia="zh-CN"/>
        </w:rPr>
      </w:pPr>
      <w:r w:rsidRPr="00993D9D">
        <w:rPr>
          <w:rFonts w:cs="Times New Roman"/>
          <w:b/>
          <w:color w:val="auto"/>
          <w:kern w:val="0"/>
        </w:rPr>
        <w:t xml:space="preserve">ESPS Manuscript NO: </w:t>
      </w:r>
      <w:r w:rsidRPr="00993D9D">
        <w:rPr>
          <w:rFonts w:ascii="Times New Roman" w:hAnsi="Times New Roman" w:cs="Times New Roman"/>
          <w:b/>
          <w:color w:val="auto"/>
          <w:szCs w:val="24"/>
        </w:rPr>
        <w:t>22782</w:t>
      </w:r>
    </w:p>
    <w:p w:rsidR="00423E49" w:rsidRPr="00993D9D" w:rsidRDefault="00423E49" w:rsidP="00AE309D">
      <w:pPr>
        <w:jc w:val="both"/>
        <w:rPr>
          <w:b/>
          <w:szCs w:val="24"/>
        </w:rPr>
      </w:pPr>
      <w:r w:rsidRPr="00993D9D">
        <w:rPr>
          <w:rFonts w:cs="Book Antiqua"/>
          <w:b/>
          <w:color w:val="auto"/>
          <w:kern w:val="0"/>
          <w:szCs w:val="24"/>
          <w:lang w:eastAsia="pl-PL"/>
        </w:rPr>
        <w:t>Manuscript Type:</w:t>
      </w:r>
      <w:r w:rsidR="00993D9D">
        <w:rPr>
          <w:rFonts w:cs="Book Antiqua" w:hint="eastAsia"/>
          <w:b/>
          <w:color w:val="auto"/>
          <w:kern w:val="0"/>
          <w:szCs w:val="24"/>
          <w:lang w:eastAsia="zh-CN"/>
        </w:rPr>
        <w:t xml:space="preserve"> </w:t>
      </w:r>
      <w:r w:rsidRPr="00993D9D">
        <w:rPr>
          <w:rFonts w:cs="Book Antiqua"/>
          <w:b/>
          <w:color w:val="auto"/>
          <w:kern w:val="0"/>
          <w:szCs w:val="24"/>
          <w:lang w:eastAsia="pl-PL"/>
        </w:rPr>
        <w:t>REVIEW</w:t>
      </w:r>
    </w:p>
    <w:p w:rsidR="00423E49" w:rsidRPr="00DF64BD" w:rsidRDefault="00423E49" w:rsidP="00AE309D">
      <w:pPr>
        <w:pStyle w:val="CommentText"/>
        <w:jc w:val="both"/>
        <w:rPr>
          <w:rFonts w:ascii="Book Antiqua" w:hAnsi="Book Antiqua"/>
          <w:sz w:val="24"/>
          <w:szCs w:val="24"/>
          <w:lang w:eastAsia="zh-CN"/>
        </w:rPr>
      </w:pPr>
    </w:p>
    <w:p w:rsidR="00423E49" w:rsidRPr="00DF64BD" w:rsidRDefault="00423E49" w:rsidP="00AE309D">
      <w:pPr>
        <w:pStyle w:val="CommentText"/>
        <w:jc w:val="both"/>
        <w:rPr>
          <w:rFonts w:ascii="Book Antiqua" w:hAnsi="Book Antiqua"/>
          <w:sz w:val="24"/>
          <w:szCs w:val="24"/>
          <w:lang w:eastAsia="zh-CN"/>
        </w:rPr>
      </w:pPr>
      <w:bookmarkStart w:id="0" w:name="OLE_LINK71"/>
      <w:r w:rsidRPr="00DF64BD">
        <w:rPr>
          <w:rFonts w:ascii="Book Antiqua" w:hAnsi="Book Antiqua"/>
          <w:b/>
          <w:sz w:val="24"/>
          <w:szCs w:val="24"/>
        </w:rPr>
        <w:t>Molecular</w:t>
      </w:r>
      <w:r w:rsidR="00993D9D">
        <w:rPr>
          <w:rFonts w:ascii="Book Antiqua" w:hAnsi="Book Antiqua" w:hint="eastAsia"/>
          <w:b/>
          <w:sz w:val="24"/>
          <w:szCs w:val="24"/>
          <w:lang w:eastAsia="zh-CN"/>
        </w:rPr>
        <w:t xml:space="preserve"> </w:t>
      </w:r>
      <w:r w:rsidRPr="00DF64BD">
        <w:rPr>
          <w:rFonts w:ascii="Book Antiqua" w:hAnsi="Book Antiqua"/>
          <w:b/>
          <w:sz w:val="24"/>
          <w:szCs w:val="24"/>
        </w:rPr>
        <w:t>alterations in gastric cancer with special reference to the early-onset subtype</w:t>
      </w:r>
    </w:p>
    <w:bookmarkEnd w:id="0"/>
    <w:p w:rsidR="00423E49" w:rsidRPr="00993D9D" w:rsidRDefault="00423E49" w:rsidP="00AE309D">
      <w:pPr>
        <w:pStyle w:val="Bezodstpw1"/>
        <w:spacing w:line="360" w:lineRule="auto"/>
        <w:jc w:val="both"/>
        <w:rPr>
          <w:rFonts w:ascii="Book Antiqua" w:hAnsi="Book Antiqua" w:cs="Times New Roman"/>
          <w:b/>
          <w:bCs/>
          <w:sz w:val="24"/>
          <w:szCs w:val="24"/>
        </w:rPr>
      </w:pPr>
    </w:p>
    <w:p w:rsidR="00423E49" w:rsidRPr="00DF64BD" w:rsidRDefault="00423E49" w:rsidP="00AE309D">
      <w:pPr>
        <w:pStyle w:val="Bezodstpw1"/>
        <w:spacing w:line="360" w:lineRule="auto"/>
        <w:jc w:val="both"/>
        <w:rPr>
          <w:rFonts w:ascii="Book Antiqua" w:hAnsi="Book Antiqua" w:cs="Times New Roman"/>
          <w:sz w:val="24"/>
          <w:szCs w:val="24"/>
        </w:rPr>
      </w:pPr>
      <w:r w:rsidRPr="00DF64BD">
        <w:rPr>
          <w:rFonts w:ascii="Book Antiqua" w:hAnsi="Book Antiqua" w:cs="Times New Roman"/>
          <w:sz w:val="24"/>
          <w:szCs w:val="24"/>
        </w:rPr>
        <w:t xml:space="preserve">Skierucha M </w:t>
      </w:r>
      <w:r w:rsidRPr="00DF64BD">
        <w:rPr>
          <w:rFonts w:ascii="Book Antiqua" w:hAnsi="Book Antiqua" w:cs="Times New Roman"/>
          <w:i/>
          <w:sz w:val="24"/>
          <w:szCs w:val="24"/>
        </w:rPr>
        <w:t>et al</w:t>
      </w:r>
      <w:r w:rsidRPr="00DF64BD">
        <w:rPr>
          <w:rFonts w:ascii="Book Antiqua" w:hAnsi="Book Antiqua" w:cs="Times New Roman"/>
          <w:sz w:val="24"/>
          <w:szCs w:val="24"/>
        </w:rPr>
        <w:t>.</w:t>
      </w:r>
      <w:r w:rsidR="00AE309D">
        <w:rPr>
          <w:rFonts w:ascii="Book Antiqua" w:hAnsi="Book Antiqua" w:cs="Times New Roman" w:hint="eastAsia"/>
          <w:sz w:val="24"/>
          <w:szCs w:val="24"/>
          <w:lang w:eastAsia="zh-CN"/>
        </w:rPr>
        <w:t xml:space="preserve"> </w:t>
      </w:r>
      <w:r w:rsidRPr="00DF64BD">
        <w:rPr>
          <w:rFonts w:ascii="Book Antiqua" w:hAnsi="Book Antiqua"/>
          <w:color w:val="auto"/>
          <w:sz w:val="24"/>
          <w:szCs w:val="24"/>
        </w:rPr>
        <w:t>Molecular alterations in gastric cancer</w:t>
      </w:r>
    </w:p>
    <w:p w:rsidR="00423E49" w:rsidRPr="00AE309D" w:rsidRDefault="00423E49" w:rsidP="00AE309D">
      <w:pPr>
        <w:pStyle w:val="Bezodstpw1"/>
        <w:spacing w:line="360" w:lineRule="auto"/>
        <w:jc w:val="both"/>
        <w:rPr>
          <w:rFonts w:ascii="Book Antiqua" w:hAnsi="Book Antiqua" w:cs="Times New Roman"/>
          <w:b/>
          <w:bCs/>
          <w:sz w:val="24"/>
          <w:szCs w:val="24"/>
        </w:rPr>
      </w:pPr>
    </w:p>
    <w:p w:rsidR="00423E49" w:rsidRPr="00BF4797" w:rsidRDefault="00423E49" w:rsidP="00AE309D">
      <w:pPr>
        <w:pStyle w:val="Bezodstpw1"/>
        <w:spacing w:line="360" w:lineRule="auto"/>
        <w:jc w:val="both"/>
        <w:rPr>
          <w:rFonts w:ascii="Book Antiqua" w:hAnsi="Book Antiqua" w:cs="Times New Roman"/>
          <w:b/>
          <w:bCs/>
          <w:sz w:val="24"/>
          <w:szCs w:val="24"/>
          <w:lang w:val="pl-PL"/>
        </w:rPr>
      </w:pPr>
      <w:r w:rsidRPr="00BF4797">
        <w:rPr>
          <w:rFonts w:ascii="Book Antiqua" w:hAnsi="Book Antiqua" w:cs="Times New Roman"/>
          <w:b/>
          <w:sz w:val="24"/>
          <w:szCs w:val="24"/>
          <w:lang w:val="pl-PL"/>
        </w:rPr>
        <w:t>Małgorzata</w:t>
      </w:r>
      <w:r w:rsidR="00993D9D">
        <w:rPr>
          <w:rFonts w:ascii="Book Antiqua" w:hAnsi="Book Antiqua" w:cs="Times New Roman" w:hint="eastAsia"/>
          <w:b/>
          <w:sz w:val="24"/>
          <w:szCs w:val="24"/>
          <w:lang w:val="pl-PL" w:eastAsia="zh-CN"/>
        </w:rPr>
        <w:t xml:space="preserve"> </w:t>
      </w:r>
      <w:r w:rsidRPr="00BF4797">
        <w:rPr>
          <w:rFonts w:ascii="Book Antiqua" w:hAnsi="Book Antiqua" w:cs="Times New Roman"/>
          <w:b/>
          <w:sz w:val="24"/>
          <w:szCs w:val="24"/>
          <w:lang w:val="pl-PL"/>
        </w:rPr>
        <w:t>Skierucha,</w:t>
      </w:r>
      <w:r w:rsidR="00993D9D">
        <w:rPr>
          <w:rFonts w:ascii="Book Antiqua" w:hAnsi="Book Antiqua" w:cs="Times New Roman" w:hint="eastAsia"/>
          <w:b/>
          <w:sz w:val="24"/>
          <w:szCs w:val="24"/>
          <w:lang w:val="pl-PL" w:eastAsia="zh-CN"/>
        </w:rPr>
        <w:t xml:space="preserve"> </w:t>
      </w:r>
      <w:r w:rsidRPr="00BF4797">
        <w:rPr>
          <w:rFonts w:ascii="Book Antiqua" w:hAnsi="Book Antiqua" w:cs="Times New Roman"/>
          <w:b/>
          <w:sz w:val="24"/>
          <w:szCs w:val="24"/>
          <w:lang w:val="pl-PL"/>
        </w:rPr>
        <w:t>Anya NA Milne, G Johan A Offerhaus, Wojciech P Polkowski, Ryszard Maciejewski, Robert Sitarz</w:t>
      </w:r>
    </w:p>
    <w:p w:rsidR="00423E49" w:rsidRPr="00BF4797" w:rsidRDefault="00423E49" w:rsidP="00AE309D">
      <w:pPr>
        <w:jc w:val="both"/>
        <w:rPr>
          <w:rFonts w:cs="Times New Roman"/>
          <w:szCs w:val="24"/>
          <w:lang w:val="pl-PL"/>
        </w:rPr>
      </w:pPr>
    </w:p>
    <w:p w:rsidR="00423E49" w:rsidRPr="00DF64BD" w:rsidRDefault="00423E49" w:rsidP="00AE309D">
      <w:pPr>
        <w:jc w:val="both"/>
        <w:rPr>
          <w:rFonts w:cs="Times New Roman"/>
          <w:b/>
          <w:szCs w:val="24"/>
        </w:rPr>
      </w:pPr>
      <w:r w:rsidRPr="00DF64BD">
        <w:rPr>
          <w:rFonts w:cs="Times New Roman"/>
          <w:b/>
          <w:szCs w:val="24"/>
        </w:rPr>
        <w:t>Małgorzata Skierucha, Ryszard Maciejewski,</w:t>
      </w:r>
      <w:r w:rsidR="00993D9D">
        <w:rPr>
          <w:rFonts w:cs="Times New Roman" w:hint="eastAsia"/>
          <w:b/>
          <w:szCs w:val="24"/>
          <w:lang w:eastAsia="zh-CN"/>
        </w:rPr>
        <w:t xml:space="preserve"> </w:t>
      </w:r>
      <w:r w:rsidR="00993D9D" w:rsidRPr="00DF64BD">
        <w:rPr>
          <w:rFonts w:cs="Times New Roman"/>
          <w:b/>
          <w:szCs w:val="24"/>
        </w:rPr>
        <w:t>Robert Sitarz,</w:t>
      </w:r>
      <w:r w:rsidR="00993D9D">
        <w:rPr>
          <w:rFonts w:cs="Times New Roman" w:hint="eastAsia"/>
          <w:szCs w:val="24"/>
          <w:lang w:eastAsia="zh-CN"/>
        </w:rPr>
        <w:t xml:space="preserve"> </w:t>
      </w:r>
      <w:r w:rsidRPr="00DF64BD">
        <w:rPr>
          <w:rFonts w:cs="Times New Roman"/>
          <w:szCs w:val="24"/>
        </w:rPr>
        <w:t>Department of Human Anatomy, Medical University of Lublin,</w:t>
      </w:r>
      <w:r w:rsidR="00993D9D">
        <w:rPr>
          <w:rFonts w:cs="Times New Roman" w:hint="eastAsia"/>
          <w:szCs w:val="24"/>
          <w:lang w:eastAsia="zh-CN"/>
        </w:rPr>
        <w:t xml:space="preserve"> </w:t>
      </w:r>
      <w:r w:rsidRPr="00DF64BD">
        <w:rPr>
          <w:rFonts w:cs="Times New Roman"/>
          <w:szCs w:val="24"/>
        </w:rPr>
        <w:t>20-950 Lublin, Poland</w:t>
      </w:r>
    </w:p>
    <w:p w:rsidR="00423E49" w:rsidRPr="00993D9D" w:rsidRDefault="00423E49" w:rsidP="00AE309D">
      <w:pPr>
        <w:jc w:val="both"/>
        <w:rPr>
          <w:rFonts w:cs="Times New Roman"/>
          <w:b/>
          <w:szCs w:val="24"/>
        </w:rPr>
      </w:pPr>
    </w:p>
    <w:p w:rsidR="00423E49" w:rsidRPr="00DF64BD" w:rsidRDefault="00423E49" w:rsidP="00AE309D">
      <w:pPr>
        <w:jc w:val="both"/>
        <w:rPr>
          <w:b/>
          <w:szCs w:val="24"/>
        </w:rPr>
      </w:pPr>
      <w:r w:rsidRPr="00993D9D">
        <w:rPr>
          <w:b/>
          <w:szCs w:val="24"/>
        </w:rPr>
        <w:t>Anya NA Milne,</w:t>
      </w:r>
      <w:r w:rsidR="00993D9D">
        <w:rPr>
          <w:rFonts w:hint="eastAsia"/>
          <w:szCs w:val="24"/>
          <w:lang w:eastAsia="zh-CN"/>
        </w:rPr>
        <w:t xml:space="preserve"> </w:t>
      </w:r>
      <w:r w:rsidRPr="00993D9D">
        <w:rPr>
          <w:szCs w:val="24"/>
        </w:rPr>
        <w:t xml:space="preserve">Department of Pathology, </w:t>
      </w:r>
      <w:r w:rsidRPr="00993D9D">
        <w:rPr>
          <w:rFonts w:cs="Courier New"/>
          <w:color w:val="333333"/>
          <w:szCs w:val="24"/>
          <w:shd w:val="clear" w:color="auto" w:fill="FDFDFD"/>
        </w:rPr>
        <w:t>Diakonessenhuis</w:t>
      </w:r>
      <w:r w:rsidR="000A3534" w:rsidRPr="00993D9D">
        <w:rPr>
          <w:rFonts w:cs="Courier New"/>
          <w:color w:val="333333"/>
          <w:szCs w:val="24"/>
          <w:shd w:val="clear" w:color="auto" w:fill="FDFDFD"/>
        </w:rPr>
        <w:t>,</w:t>
      </w:r>
      <w:r w:rsidR="00993D9D">
        <w:rPr>
          <w:rFonts w:cs="Courier New" w:hint="eastAsia"/>
          <w:color w:val="333333"/>
          <w:szCs w:val="24"/>
          <w:shd w:val="clear" w:color="auto" w:fill="FDFDFD"/>
          <w:lang w:eastAsia="zh-CN"/>
        </w:rPr>
        <w:t xml:space="preserve"> </w:t>
      </w:r>
      <w:r w:rsidRPr="00993D9D">
        <w:rPr>
          <w:rFonts w:cs="Courier New"/>
          <w:color w:val="333333"/>
          <w:szCs w:val="24"/>
          <w:shd w:val="clear" w:color="auto" w:fill="FDFDFD"/>
        </w:rPr>
        <w:t>3582 KE</w:t>
      </w:r>
      <w:r w:rsidR="00993D9D">
        <w:rPr>
          <w:rFonts w:cs="Courier New" w:hint="eastAsia"/>
          <w:color w:val="333333"/>
          <w:szCs w:val="24"/>
          <w:shd w:val="clear" w:color="auto" w:fill="FDFDFD"/>
          <w:lang w:eastAsia="zh-CN"/>
        </w:rPr>
        <w:t xml:space="preserve"> </w:t>
      </w:r>
      <w:r w:rsidRPr="00993D9D">
        <w:rPr>
          <w:rFonts w:cs="Courier New"/>
          <w:color w:val="333333"/>
          <w:szCs w:val="24"/>
          <w:shd w:val="clear" w:color="auto" w:fill="FDFDFD"/>
        </w:rPr>
        <w:t>Utrecht,</w:t>
      </w:r>
      <w:r w:rsidR="00993D9D">
        <w:rPr>
          <w:rFonts w:cs="Courier New" w:hint="eastAsia"/>
          <w:color w:val="333333"/>
          <w:szCs w:val="24"/>
          <w:shd w:val="clear" w:color="auto" w:fill="FDFDFD"/>
          <w:lang w:eastAsia="zh-CN"/>
        </w:rPr>
        <w:t xml:space="preserve"> </w:t>
      </w:r>
      <w:r w:rsidRPr="00993D9D">
        <w:rPr>
          <w:rFonts w:cs="Courier New"/>
          <w:color w:val="333333"/>
          <w:szCs w:val="24"/>
          <w:shd w:val="clear" w:color="auto" w:fill="FDFDFD"/>
        </w:rPr>
        <w:t>The Netherlands</w:t>
      </w:r>
    </w:p>
    <w:p w:rsidR="00423E49" w:rsidRPr="00993D9D" w:rsidRDefault="00423E49" w:rsidP="00AE309D">
      <w:pPr>
        <w:jc w:val="both"/>
        <w:rPr>
          <w:b/>
          <w:szCs w:val="24"/>
        </w:rPr>
      </w:pPr>
    </w:p>
    <w:p w:rsidR="00423E49" w:rsidRPr="00DF64BD" w:rsidRDefault="00423E49" w:rsidP="00AE309D">
      <w:pPr>
        <w:jc w:val="both"/>
        <w:rPr>
          <w:color w:val="C00000"/>
          <w:szCs w:val="24"/>
          <w:lang w:eastAsia="zh-CN"/>
        </w:rPr>
      </w:pPr>
      <w:r w:rsidRPr="00DF64BD">
        <w:rPr>
          <w:rFonts w:cs="Times New Roman"/>
          <w:b/>
          <w:szCs w:val="24"/>
        </w:rPr>
        <w:t>G Johan A Offerhaus,</w:t>
      </w:r>
      <w:r w:rsidRPr="00DF64BD">
        <w:rPr>
          <w:szCs w:val="24"/>
        </w:rPr>
        <w:t xml:space="preserve"> Department of Pathology, </w:t>
      </w:r>
      <w:r w:rsidRPr="00DF64BD">
        <w:rPr>
          <w:rFonts w:cs="Arial"/>
          <w:szCs w:val="24"/>
          <w:shd w:val="clear" w:color="auto" w:fill="FFFFFF"/>
        </w:rPr>
        <w:t>H04-312, University Medical Centre Utrecht, Post box 85500, 3508 GA Utrecht, The Netherlands</w:t>
      </w:r>
    </w:p>
    <w:p w:rsidR="00423E49" w:rsidRPr="00DF64BD" w:rsidRDefault="00423E49" w:rsidP="00AE309D">
      <w:pPr>
        <w:jc w:val="both"/>
        <w:rPr>
          <w:szCs w:val="24"/>
          <w:vertAlign w:val="superscript"/>
        </w:rPr>
      </w:pPr>
    </w:p>
    <w:p w:rsidR="00423E49" w:rsidRPr="00DF64BD" w:rsidRDefault="00423E49" w:rsidP="00AE309D">
      <w:pPr>
        <w:jc w:val="both"/>
        <w:rPr>
          <w:rFonts w:cs="Times New Roman"/>
          <w:szCs w:val="24"/>
        </w:rPr>
      </w:pPr>
      <w:r w:rsidRPr="00DF64BD">
        <w:rPr>
          <w:rFonts w:cs="Times New Roman"/>
          <w:b/>
          <w:szCs w:val="24"/>
        </w:rPr>
        <w:t xml:space="preserve">Wojciech P Polkowski, </w:t>
      </w:r>
      <w:r w:rsidRPr="00DF64BD">
        <w:rPr>
          <w:rFonts w:cs="Times New Roman"/>
          <w:szCs w:val="24"/>
        </w:rPr>
        <w:t>Department of Surgical Oncology, Medical University of Lublin,</w:t>
      </w:r>
      <w:r w:rsidR="00993D9D">
        <w:rPr>
          <w:rFonts w:cs="Times New Roman" w:hint="eastAsia"/>
          <w:szCs w:val="24"/>
          <w:lang w:eastAsia="zh-CN"/>
        </w:rPr>
        <w:t xml:space="preserve"> </w:t>
      </w:r>
      <w:r w:rsidRPr="00DF64BD">
        <w:rPr>
          <w:rFonts w:cs="Times New Roman"/>
          <w:szCs w:val="24"/>
        </w:rPr>
        <w:t>20-081 Lublin, Poland</w:t>
      </w:r>
    </w:p>
    <w:p w:rsidR="00423E49" w:rsidRPr="00993D9D" w:rsidRDefault="00423E49" w:rsidP="00AE309D">
      <w:pPr>
        <w:jc w:val="both"/>
        <w:rPr>
          <w:rFonts w:cs="Times New Roman"/>
          <w:szCs w:val="24"/>
        </w:rPr>
      </w:pPr>
    </w:p>
    <w:p w:rsidR="00993D9D" w:rsidRDefault="00423E49" w:rsidP="00AE309D">
      <w:pPr>
        <w:jc w:val="both"/>
        <w:rPr>
          <w:rFonts w:cs="Times New Roman"/>
          <w:szCs w:val="24"/>
          <w:lang w:eastAsia="zh-CN"/>
        </w:rPr>
      </w:pPr>
      <w:r w:rsidRPr="00DF64BD">
        <w:rPr>
          <w:rFonts w:cs="Times New Roman"/>
          <w:b/>
          <w:szCs w:val="24"/>
        </w:rPr>
        <w:t>Robert Sitarz,</w:t>
      </w:r>
      <w:r w:rsidRPr="00DF64BD">
        <w:rPr>
          <w:rFonts w:cs="Times New Roman"/>
          <w:szCs w:val="24"/>
        </w:rPr>
        <w:t xml:space="preserve"> Department of Surgical Oncology, Medical University of Lublin,</w:t>
      </w:r>
      <w:r w:rsidR="00993D9D">
        <w:rPr>
          <w:rFonts w:cs="Times New Roman" w:hint="eastAsia"/>
          <w:szCs w:val="24"/>
          <w:lang w:eastAsia="zh-CN"/>
        </w:rPr>
        <w:t xml:space="preserve"> </w:t>
      </w:r>
      <w:r w:rsidRPr="00DF64BD">
        <w:rPr>
          <w:rFonts w:cs="Times New Roman"/>
          <w:szCs w:val="24"/>
        </w:rPr>
        <w:t>20-081 Lublin, Poland</w:t>
      </w:r>
    </w:p>
    <w:p w:rsidR="00993D9D" w:rsidRPr="00993D9D" w:rsidRDefault="00993D9D" w:rsidP="00AE309D">
      <w:pPr>
        <w:jc w:val="both"/>
        <w:rPr>
          <w:szCs w:val="24"/>
          <w:lang w:eastAsia="zh-CN"/>
        </w:rPr>
      </w:pPr>
    </w:p>
    <w:p w:rsidR="00423E49" w:rsidRPr="00DF64BD" w:rsidRDefault="00993D9D" w:rsidP="00AE309D">
      <w:pPr>
        <w:jc w:val="both"/>
        <w:rPr>
          <w:color w:val="C00000"/>
          <w:szCs w:val="24"/>
          <w:lang w:eastAsia="zh-CN"/>
        </w:rPr>
      </w:pPr>
      <w:r w:rsidRPr="00DF64BD">
        <w:rPr>
          <w:rFonts w:cs="Times New Roman"/>
          <w:b/>
          <w:szCs w:val="24"/>
        </w:rPr>
        <w:t>Robert Sitarz,</w:t>
      </w:r>
      <w:r>
        <w:rPr>
          <w:rFonts w:cs="Times New Roman" w:hint="eastAsia"/>
          <w:b/>
          <w:szCs w:val="24"/>
          <w:lang w:eastAsia="zh-CN"/>
        </w:rPr>
        <w:t xml:space="preserve"> </w:t>
      </w:r>
      <w:r w:rsidR="00423E49" w:rsidRPr="00DF64BD">
        <w:rPr>
          <w:szCs w:val="24"/>
        </w:rPr>
        <w:t xml:space="preserve">Department of Pathology, </w:t>
      </w:r>
      <w:r w:rsidR="00423E49" w:rsidRPr="00DF64BD">
        <w:rPr>
          <w:rFonts w:cs="Arial"/>
          <w:szCs w:val="24"/>
          <w:shd w:val="clear" w:color="auto" w:fill="FFFFFF"/>
        </w:rPr>
        <w:t>H04-312, University Medical Centre Utrecht, Post box 85500,</w:t>
      </w:r>
      <w:r>
        <w:rPr>
          <w:rFonts w:cs="Arial" w:hint="eastAsia"/>
          <w:szCs w:val="24"/>
          <w:shd w:val="clear" w:color="auto" w:fill="FFFFFF"/>
          <w:lang w:eastAsia="zh-CN"/>
        </w:rPr>
        <w:t xml:space="preserve"> </w:t>
      </w:r>
      <w:r w:rsidR="00423E49" w:rsidRPr="00DF64BD">
        <w:rPr>
          <w:rFonts w:cs="Arial"/>
          <w:szCs w:val="24"/>
          <w:shd w:val="clear" w:color="auto" w:fill="FFFFFF"/>
        </w:rPr>
        <w:t>3508 GA Utrecht, The Netherlands</w:t>
      </w:r>
    </w:p>
    <w:p w:rsidR="00423E49" w:rsidRPr="00DF64BD" w:rsidRDefault="00423E49" w:rsidP="00AE309D">
      <w:pPr>
        <w:jc w:val="both"/>
        <w:rPr>
          <w:rFonts w:cs="Book Antiqua"/>
          <w:b/>
          <w:color w:val="auto"/>
          <w:kern w:val="0"/>
          <w:szCs w:val="24"/>
          <w:lang w:eastAsia="zh-CN"/>
        </w:rPr>
      </w:pPr>
    </w:p>
    <w:p w:rsidR="00423E49" w:rsidRPr="00DF64BD" w:rsidRDefault="00423E49" w:rsidP="00AE309D">
      <w:pPr>
        <w:jc w:val="both"/>
        <w:rPr>
          <w:rFonts w:cs="Book Antiqua"/>
          <w:color w:val="auto"/>
          <w:kern w:val="0"/>
          <w:szCs w:val="24"/>
          <w:lang w:eastAsia="pl-PL"/>
        </w:rPr>
      </w:pPr>
      <w:r w:rsidRPr="00DF64BD">
        <w:rPr>
          <w:rFonts w:cs="Book Antiqua"/>
          <w:b/>
          <w:color w:val="auto"/>
          <w:kern w:val="0"/>
          <w:szCs w:val="24"/>
          <w:lang w:eastAsia="pl-PL"/>
        </w:rPr>
        <w:lastRenderedPageBreak/>
        <w:t>Author contributions:</w:t>
      </w:r>
      <w:r w:rsidR="00993D9D">
        <w:rPr>
          <w:rFonts w:cs="Book Antiqua" w:hint="eastAsia"/>
          <w:b/>
          <w:color w:val="auto"/>
          <w:kern w:val="0"/>
          <w:szCs w:val="24"/>
          <w:lang w:eastAsia="zh-CN"/>
        </w:rPr>
        <w:t xml:space="preserve"> </w:t>
      </w:r>
      <w:r w:rsidRPr="00DF64BD">
        <w:rPr>
          <w:rFonts w:cs="Book Antiqua"/>
          <w:color w:val="auto"/>
          <w:kern w:val="0"/>
          <w:szCs w:val="24"/>
          <w:lang w:eastAsia="pl-PL"/>
        </w:rPr>
        <w:t>Skierucha M</w:t>
      </w:r>
      <w:r w:rsidR="00AE309D">
        <w:rPr>
          <w:rFonts w:cs="Book Antiqua" w:hint="eastAsia"/>
          <w:color w:val="auto"/>
          <w:kern w:val="0"/>
          <w:szCs w:val="24"/>
          <w:lang w:eastAsia="zh-CN"/>
        </w:rPr>
        <w:t xml:space="preserve"> </w:t>
      </w:r>
      <w:r w:rsidR="00AE309D" w:rsidRPr="00DF64BD">
        <w:rPr>
          <w:rFonts w:cs="Book Antiqua"/>
          <w:color w:val="auto"/>
          <w:kern w:val="0"/>
          <w:szCs w:val="24"/>
          <w:lang w:eastAsia="pl-PL"/>
        </w:rPr>
        <w:t>and Sitarz R</w:t>
      </w:r>
      <w:r w:rsidR="00AE309D">
        <w:rPr>
          <w:rFonts w:cs="Book Antiqua" w:hint="eastAsia"/>
          <w:color w:val="auto"/>
          <w:kern w:val="0"/>
          <w:szCs w:val="24"/>
          <w:lang w:eastAsia="zh-CN"/>
        </w:rPr>
        <w:t xml:space="preserve"> </w:t>
      </w:r>
      <w:r w:rsidRPr="00DF64BD">
        <w:rPr>
          <w:rFonts w:cs="Book Antiqua"/>
          <w:color w:val="auto"/>
          <w:kern w:val="0"/>
          <w:szCs w:val="24"/>
          <w:lang w:eastAsia="pl-PL"/>
        </w:rPr>
        <w:t>developed the concept of the research, collected the research data and wrote the paper;</w:t>
      </w:r>
      <w:r w:rsidR="00AE309D">
        <w:rPr>
          <w:rFonts w:cs="Times New Roman" w:hint="eastAsia"/>
          <w:szCs w:val="24"/>
          <w:lang w:eastAsia="zh-CN"/>
        </w:rPr>
        <w:t xml:space="preserve"> </w:t>
      </w:r>
      <w:r w:rsidRPr="00DF64BD">
        <w:rPr>
          <w:rFonts w:cs="Times New Roman"/>
          <w:szCs w:val="24"/>
        </w:rPr>
        <w:t>Offerhaus</w:t>
      </w:r>
      <w:r w:rsidRPr="00DF64BD">
        <w:rPr>
          <w:rFonts w:cs="Book Antiqua"/>
          <w:color w:val="auto"/>
          <w:kern w:val="0"/>
          <w:szCs w:val="24"/>
          <w:lang w:eastAsia="pl-PL"/>
        </w:rPr>
        <w:t xml:space="preserve"> </w:t>
      </w:r>
      <w:r w:rsidRPr="00DF64BD">
        <w:rPr>
          <w:rFonts w:cs="Times New Roman"/>
          <w:szCs w:val="24"/>
        </w:rPr>
        <w:t xml:space="preserve">GJA, </w:t>
      </w:r>
      <w:r w:rsidRPr="00DF64BD">
        <w:rPr>
          <w:rFonts w:cs="Book Antiqua"/>
          <w:color w:val="auto"/>
          <w:kern w:val="0"/>
          <w:szCs w:val="24"/>
          <w:lang w:eastAsia="pl-PL"/>
        </w:rPr>
        <w:t>Milne ANA, Polkowski WP and Maciejewski R provided significant content and critically revised the manuscript.</w:t>
      </w:r>
    </w:p>
    <w:p w:rsidR="00423E49" w:rsidRPr="00AE309D" w:rsidRDefault="00423E49" w:rsidP="00AE309D">
      <w:pPr>
        <w:jc w:val="both"/>
        <w:rPr>
          <w:rFonts w:cs="Book Antiqua"/>
          <w:color w:val="auto"/>
          <w:kern w:val="0"/>
          <w:szCs w:val="24"/>
          <w:lang w:eastAsia="pl-PL"/>
        </w:rPr>
      </w:pPr>
    </w:p>
    <w:p w:rsidR="00423E49" w:rsidRPr="00DF64BD" w:rsidRDefault="00423E49" w:rsidP="00AE309D">
      <w:pPr>
        <w:suppressAutoHyphens w:val="0"/>
        <w:autoSpaceDE w:val="0"/>
        <w:autoSpaceDN w:val="0"/>
        <w:adjustRightInd w:val="0"/>
        <w:jc w:val="both"/>
        <w:rPr>
          <w:rFonts w:cs="Times New Roman"/>
          <w:color w:val="auto"/>
          <w:kern w:val="0"/>
          <w:szCs w:val="24"/>
          <w:lang w:eastAsia="zh-CN"/>
        </w:rPr>
      </w:pPr>
      <w:r w:rsidRPr="00DF64BD">
        <w:rPr>
          <w:rFonts w:cs="Book Antiqua"/>
          <w:b/>
          <w:color w:val="auto"/>
          <w:kern w:val="0"/>
          <w:szCs w:val="24"/>
          <w:lang w:eastAsia="pl-PL"/>
        </w:rPr>
        <w:t>Supported by</w:t>
      </w:r>
      <w:r w:rsidR="00993D9D">
        <w:rPr>
          <w:rFonts w:cs="Book Antiqua" w:hint="eastAsia"/>
          <w:b/>
          <w:color w:val="auto"/>
          <w:kern w:val="0"/>
          <w:szCs w:val="24"/>
          <w:lang w:eastAsia="zh-CN"/>
        </w:rPr>
        <w:t xml:space="preserve"> </w:t>
      </w:r>
      <w:r w:rsidR="006408D3" w:rsidRPr="006408D3">
        <w:rPr>
          <w:rFonts w:cs="Book Antiqua"/>
          <w:color w:val="auto"/>
          <w:kern w:val="0"/>
          <w:szCs w:val="24"/>
          <w:lang w:eastAsia="pl-PL"/>
        </w:rPr>
        <w:t>A g</w:t>
      </w:r>
      <w:r w:rsidRPr="00DF64BD">
        <w:rPr>
          <w:rFonts w:cs="Times New Roman"/>
          <w:kern w:val="0"/>
          <w:szCs w:val="24"/>
          <w:lang w:eastAsia="pl-PL"/>
        </w:rPr>
        <w:t xml:space="preserve">rant </w:t>
      </w:r>
      <w:r w:rsidRPr="00DF64BD">
        <w:rPr>
          <w:rFonts w:cs="Times New Roman"/>
          <w:color w:val="auto"/>
          <w:kern w:val="0"/>
          <w:szCs w:val="24"/>
          <w:lang w:eastAsia="pl-PL"/>
        </w:rPr>
        <w:t>from the Polish Ministry of Science and Higher Education,</w:t>
      </w:r>
      <w:r w:rsidR="00993D9D">
        <w:rPr>
          <w:rFonts w:cs="Times New Roman" w:hint="eastAsia"/>
          <w:color w:val="auto"/>
          <w:kern w:val="0"/>
          <w:szCs w:val="24"/>
          <w:lang w:eastAsia="zh-CN"/>
        </w:rPr>
        <w:t xml:space="preserve"> </w:t>
      </w:r>
      <w:r w:rsidRPr="00DF64BD">
        <w:rPr>
          <w:rFonts w:cs="Times New Roman"/>
          <w:color w:val="auto"/>
          <w:kern w:val="0"/>
          <w:szCs w:val="24"/>
          <w:lang w:eastAsia="pl-PL"/>
        </w:rPr>
        <w:t>No. N N402</w:t>
      </w:r>
      <w:r w:rsidR="00993D9D">
        <w:rPr>
          <w:rFonts w:cs="Times New Roman" w:hint="eastAsia"/>
          <w:color w:val="auto"/>
          <w:kern w:val="0"/>
          <w:szCs w:val="24"/>
          <w:lang w:eastAsia="zh-CN"/>
        </w:rPr>
        <w:t xml:space="preserve"> </w:t>
      </w:r>
      <w:r w:rsidRPr="00DF64BD">
        <w:rPr>
          <w:rFonts w:cs="Times New Roman"/>
          <w:color w:val="auto"/>
          <w:kern w:val="0"/>
          <w:szCs w:val="24"/>
          <w:lang w:eastAsia="pl-PL"/>
        </w:rPr>
        <w:t>423838</w:t>
      </w:r>
      <w:r w:rsidRPr="00DF64BD">
        <w:rPr>
          <w:rFonts w:cs="Times New Roman"/>
          <w:color w:val="auto"/>
          <w:kern w:val="0"/>
          <w:szCs w:val="24"/>
          <w:lang w:eastAsia="zh-CN"/>
        </w:rPr>
        <w:t>.</w:t>
      </w:r>
    </w:p>
    <w:p w:rsidR="00423E49" w:rsidRPr="00DF64BD" w:rsidRDefault="00423E49" w:rsidP="00AE309D">
      <w:pPr>
        <w:jc w:val="both"/>
        <w:rPr>
          <w:rFonts w:cs="Times New Roman"/>
          <w:szCs w:val="24"/>
          <w:vertAlign w:val="superscript"/>
        </w:rPr>
      </w:pPr>
    </w:p>
    <w:p w:rsidR="00423E49" w:rsidRDefault="00423E49" w:rsidP="00AE309D">
      <w:pPr>
        <w:suppressAutoHyphens w:val="0"/>
        <w:jc w:val="both"/>
        <w:rPr>
          <w:rFonts w:cs="Times New Roman"/>
          <w:color w:val="auto"/>
          <w:kern w:val="0"/>
          <w:szCs w:val="24"/>
          <w:lang w:eastAsia="nl-NL"/>
        </w:rPr>
      </w:pPr>
      <w:r w:rsidRPr="00DF64BD">
        <w:rPr>
          <w:b/>
          <w:kern w:val="0"/>
          <w:szCs w:val="24"/>
          <w:lang w:eastAsia="pl-PL"/>
        </w:rPr>
        <w:t>Conflict-of-interest statement:</w:t>
      </w:r>
      <w:r w:rsidR="00993D9D">
        <w:rPr>
          <w:rFonts w:hint="eastAsia"/>
          <w:b/>
          <w:kern w:val="0"/>
          <w:szCs w:val="24"/>
          <w:lang w:eastAsia="zh-CN"/>
        </w:rPr>
        <w:t xml:space="preserve"> </w:t>
      </w:r>
      <w:r w:rsidRPr="00DF64BD">
        <w:rPr>
          <w:rFonts w:cs="Times New Roman"/>
          <w:color w:val="auto"/>
          <w:kern w:val="0"/>
          <w:szCs w:val="24"/>
          <w:lang w:eastAsia="nl-NL"/>
        </w:rPr>
        <w:t>The authors declare that they have no conflict of interest.</w:t>
      </w:r>
    </w:p>
    <w:p w:rsidR="00093CD8" w:rsidRDefault="00093CD8" w:rsidP="00AE309D">
      <w:pPr>
        <w:suppressAutoHyphens w:val="0"/>
        <w:jc w:val="both"/>
        <w:rPr>
          <w:rFonts w:cs="Times New Roman"/>
          <w:color w:val="auto"/>
          <w:kern w:val="0"/>
          <w:szCs w:val="24"/>
          <w:lang w:eastAsia="nl-NL"/>
        </w:rPr>
      </w:pPr>
    </w:p>
    <w:p w:rsidR="00093CD8" w:rsidRPr="00DF64BD" w:rsidRDefault="00093CD8" w:rsidP="00AE309D">
      <w:pPr>
        <w:suppressAutoHyphens w:val="0"/>
        <w:jc w:val="both"/>
        <w:rPr>
          <w:rFonts w:cs="Times New Roman"/>
          <w:color w:val="auto"/>
          <w:kern w:val="0"/>
          <w:szCs w:val="24"/>
          <w:lang w:eastAsia="nl-NL"/>
        </w:rPr>
      </w:pPr>
      <w:r w:rsidRPr="00093CD8">
        <w:rPr>
          <w:b/>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 licenses/by-nc/4.0/</w:t>
      </w:r>
    </w:p>
    <w:p w:rsidR="00423E49" w:rsidRPr="00DF64BD" w:rsidRDefault="00423E49" w:rsidP="00AE309D">
      <w:pPr>
        <w:pStyle w:val="Bezodstpw1"/>
        <w:spacing w:line="360" w:lineRule="auto"/>
        <w:jc w:val="both"/>
        <w:rPr>
          <w:rFonts w:ascii="Book Antiqua" w:hAnsi="Book Antiqua"/>
          <w:kern w:val="0"/>
          <w:sz w:val="24"/>
          <w:szCs w:val="24"/>
          <w:lang w:eastAsia="pl-PL"/>
        </w:rPr>
      </w:pPr>
    </w:p>
    <w:p w:rsidR="00423E49" w:rsidRPr="00DF64BD" w:rsidRDefault="00423E49" w:rsidP="00AE309D">
      <w:pPr>
        <w:jc w:val="both"/>
        <w:rPr>
          <w:rFonts w:cs="Times New Roman"/>
          <w:szCs w:val="24"/>
        </w:rPr>
      </w:pPr>
      <w:r w:rsidRPr="00DF64BD">
        <w:rPr>
          <w:b/>
          <w:kern w:val="0"/>
          <w:szCs w:val="24"/>
          <w:lang w:eastAsia="pl-PL"/>
        </w:rPr>
        <w:t xml:space="preserve">Correspondence to: </w:t>
      </w:r>
      <w:r w:rsidRPr="00DF64BD">
        <w:rPr>
          <w:rFonts w:cs="Times New Roman"/>
          <w:b/>
          <w:szCs w:val="24"/>
        </w:rPr>
        <w:t>Robert Sitarz,</w:t>
      </w:r>
      <w:r w:rsidR="002D57AB">
        <w:rPr>
          <w:rFonts w:cs="Times New Roman"/>
          <w:b/>
          <w:szCs w:val="24"/>
        </w:rPr>
        <w:t xml:space="preserve"> </w:t>
      </w:r>
      <w:r w:rsidR="002D57AB" w:rsidRPr="00993D9D">
        <w:rPr>
          <w:rFonts w:cs="Times New Roman"/>
          <w:b/>
          <w:szCs w:val="24"/>
        </w:rPr>
        <w:t>MD, PhD,</w:t>
      </w:r>
      <w:r w:rsidR="002D57AB">
        <w:rPr>
          <w:rFonts w:cs="Times New Roman"/>
          <w:b/>
          <w:szCs w:val="24"/>
        </w:rPr>
        <w:t xml:space="preserve"> </w:t>
      </w:r>
      <w:r w:rsidRPr="00DF64BD">
        <w:rPr>
          <w:rFonts w:cs="Times New Roman"/>
          <w:szCs w:val="24"/>
        </w:rPr>
        <w:t xml:space="preserve">Department of Surgical Oncology, Medical University of Lublin, </w:t>
      </w:r>
      <w:r w:rsidR="00993D9D" w:rsidRPr="00993D9D">
        <w:rPr>
          <w:rFonts w:cs="Times New Roman"/>
          <w:szCs w:val="24"/>
        </w:rPr>
        <w:t>S. Staszica 11</w:t>
      </w:r>
      <w:r w:rsidR="00993D9D">
        <w:rPr>
          <w:rFonts w:cs="Times New Roman" w:hint="eastAsia"/>
          <w:szCs w:val="24"/>
          <w:lang w:eastAsia="zh-CN"/>
        </w:rPr>
        <w:t xml:space="preserve">, </w:t>
      </w:r>
      <w:r w:rsidRPr="00DF64BD">
        <w:rPr>
          <w:rFonts w:cs="Times New Roman"/>
          <w:szCs w:val="24"/>
        </w:rPr>
        <w:t>20-081 Lublin, Poland</w:t>
      </w:r>
      <w:r w:rsidR="00993D9D">
        <w:rPr>
          <w:rFonts w:cs="Times New Roman" w:hint="eastAsia"/>
          <w:szCs w:val="24"/>
          <w:lang w:eastAsia="zh-CN"/>
        </w:rPr>
        <w:t>.</w:t>
      </w:r>
      <w:r w:rsidR="00993D9D">
        <w:rPr>
          <w:rFonts w:cs="Times New Roman" w:hint="eastAsia"/>
          <w:color w:val="auto"/>
          <w:szCs w:val="24"/>
          <w:lang w:eastAsia="zh-CN"/>
        </w:rPr>
        <w:t xml:space="preserve"> </w:t>
      </w:r>
      <w:hyperlink r:id="rId8" w:history="1">
        <w:r w:rsidRPr="00993D9D">
          <w:rPr>
            <w:rStyle w:val="Hyperlink"/>
            <w:color w:val="auto"/>
            <w:szCs w:val="24"/>
            <w:u w:val="none"/>
          </w:rPr>
          <w:t>r.sitarz@umlub.pl</w:t>
        </w:r>
      </w:hyperlink>
    </w:p>
    <w:p w:rsidR="00423E49" w:rsidRPr="00DF64BD" w:rsidRDefault="00423E49" w:rsidP="00AE309D">
      <w:pPr>
        <w:jc w:val="both"/>
        <w:rPr>
          <w:rFonts w:cs="Times New Roman"/>
          <w:szCs w:val="24"/>
        </w:rPr>
      </w:pPr>
      <w:r w:rsidRPr="00DF64BD">
        <w:rPr>
          <w:rFonts w:cs="Times New Roman"/>
          <w:b/>
          <w:szCs w:val="24"/>
        </w:rPr>
        <w:t>Telephone:</w:t>
      </w:r>
      <w:r w:rsidRPr="00DF64BD">
        <w:rPr>
          <w:rFonts w:cs="Times New Roman"/>
          <w:szCs w:val="24"/>
        </w:rPr>
        <w:t xml:space="preserve"> +48</w:t>
      </w:r>
      <w:r w:rsidR="00993D9D">
        <w:rPr>
          <w:rFonts w:cs="Times New Roman" w:hint="eastAsia"/>
          <w:szCs w:val="24"/>
          <w:lang w:eastAsia="zh-CN"/>
        </w:rPr>
        <w:t>-</w:t>
      </w:r>
      <w:r w:rsidRPr="00DF64BD">
        <w:rPr>
          <w:rFonts w:cs="Times New Roman"/>
          <w:szCs w:val="24"/>
        </w:rPr>
        <w:t>661012882</w:t>
      </w:r>
    </w:p>
    <w:p w:rsidR="00423E49" w:rsidRPr="00DF64BD" w:rsidRDefault="00423E49" w:rsidP="00AE309D">
      <w:pPr>
        <w:jc w:val="both"/>
        <w:rPr>
          <w:rFonts w:cs="Times New Roman"/>
          <w:b/>
          <w:bCs/>
          <w:szCs w:val="24"/>
        </w:rPr>
      </w:pPr>
      <w:r w:rsidRPr="00DF64BD">
        <w:rPr>
          <w:rFonts w:cs="Times New Roman"/>
          <w:b/>
          <w:szCs w:val="24"/>
        </w:rPr>
        <w:t>Fax:</w:t>
      </w:r>
      <w:r w:rsidRPr="00DF64BD">
        <w:rPr>
          <w:rFonts w:cs="Times New Roman"/>
          <w:szCs w:val="24"/>
        </w:rPr>
        <w:t xml:space="preserve"> +48</w:t>
      </w:r>
      <w:r w:rsidR="00993D9D">
        <w:rPr>
          <w:rFonts w:cs="Times New Roman" w:hint="eastAsia"/>
          <w:szCs w:val="24"/>
          <w:lang w:eastAsia="zh-CN"/>
        </w:rPr>
        <w:t>-</w:t>
      </w:r>
      <w:r w:rsidR="00993D9D">
        <w:rPr>
          <w:rFonts w:cs="Times New Roman"/>
          <w:szCs w:val="24"/>
        </w:rPr>
        <w:t>81</w:t>
      </w:r>
      <w:r w:rsidR="00DC64F3">
        <w:rPr>
          <w:rFonts w:cs="Times New Roman"/>
          <w:szCs w:val="24"/>
        </w:rPr>
        <w:t>-</w:t>
      </w:r>
      <w:r w:rsidR="00993D9D">
        <w:rPr>
          <w:rFonts w:cs="Times New Roman"/>
          <w:szCs w:val="24"/>
        </w:rPr>
        <w:t>74061</w:t>
      </w:r>
      <w:r w:rsidRPr="00DF64BD">
        <w:rPr>
          <w:rFonts w:cs="Times New Roman"/>
          <w:szCs w:val="24"/>
        </w:rPr>
        <w:t>49</w:t>
      </w:r>
    </w:p>
    <w:p w:rsidR="00423E49" w:rsidRPr="00DF64BD" w:rsidRDefault="00423E49" w:rsidP="00AE309D">
      <w:pPr>
        <w:pStyle w:val="Bezodstpw1"/>
        <w:spacing w:line="360" w:lineRule="auto"/>
        <w:jc w:val="both"/>
        <w:rPr>
          <w:rFonts w:ascii="Book Antiqua" w:hAnsi="Book Antiqua" w:cs="Times New Roman"/>
          <w:b/>
          <w:bCs/>
          <w:sz w:val="24"/>
          <w:szCs w:val="24"/>
        </w:rPr>
      </w:pPr>
    </w:p>
    <w:p w:rsidR="00423E49" w:rsidRPr="00DF64BD" w:rsidRDefault="00423E49" w:rsidP="00AE309D">
      <w:pPr>
        <w:jc w:val="both"/>
        <w:rPr>
          <w:b/>
          <w:color w:val="auto"/>
          <w:szCs w:val="24"/>
          <w:lang w:eastAsia="zh-CN"/>
        </w:rPr>
      </w:pPr>
      <w:bookmarkStart w:id="1" w:name="OLE_LINK238"/>
      <w:bookmarkStart w:id="2" w:name="OLE_LINK237"/>
      <w:r w:rsidRPr="00DF64BD">
        <w:rPr>
          <w:b/>
          <w:color w:val="auto"/>
          <w:szCs w:val="24"/>
        </w:rPr>
        <w:t xml:space="preserve">Received: </w:t>
      </w:r>
      <w:r w:rsidR="00993D9D">
        <w:rPr>
          <w:rFonts w:hint="eastAsia"/>
          <w:color w:val="auto"/>
          <w:szCs w:val="24"/>
          <w:lang w:eastAsia="zh-CN"/>
        </w:rPr>
        <w:t>September 22, 2015</w:t>
      </w:r>
    </w:p>
    <w:p w:rsidR="00423E49" w:rsidRPr="00DF64BD" w:rsidRDefault="00423E49" w:rsidP="00AE309D">
      <w:pPr>
        <w:jc w:val="both"/>
        <w:rPr>
          <w:b/>
          <w:color w:val="auto"/>
          <w:szCs w:val="24"/>
        </w:rPr>
      </w:pPr>
      <w:r w:rsidRPr="00DF64BD">
        <w:rPr>
          <w:b/>
          <w:color w:val="auto"/>
          <w:szCs w:val="24"/>
        </w:rPr>
        <w:t>Peer-review started:</w:t>
      </w:r>
      <w:r w:rsidR="00AE309D">
        <w:rPr>
          <w:rFonts w:hint="eastAsia"/>
          <w:color w:val="auto"/>
          <w:szCs w:val="24"/>
          <w:lang w:eastAsia="zh-CN"/>
        </w:rPr>
        <w:t xml:space="preserve"> </w:t>
      </w:r>
      <w:r w:rsidR="00993D9D">
        <w:rPr>
          <w:rFonts w:hint="eastAsia"/>
          <w:color w:val="auto"/>
          <w:szCs w:val="24"/>
          <w:lang w:eastAsia="zh-CN"/>
        </w:rPr>
        <w:t>September 25, 2015</w:t>
      </w:r>
    </w:p>
    <w:p w:rsidR="00423E49" w:rsidRPr="00DF64BD" w:rsidRDefault="00423E49" w:rsidP="00AE309D">
      <w:pPr>
        <w:jc w:val="both"/>
        <w:rPr>
          <w:b/>
          <w:color w:val="auto"/>
          <w:szCs w:val="24"/>
          <w:lang w:eastAsia="zh-CN"/>
        </w:rPr>
      </w:pPr>
      <w:r w:rsidRPr="00DF64BD">
        <w:rPr>
          <w:b/>
          <w:color w:val="auto"/>
          <w:szCs w:val="24"/>
        </w:rPr>
        <w:t xml:space="preserve">First decision: </w:t>
      </w:r>
      <w:r w:rsidR="00993D9D">
        <w:rPr>
          <w:rFonts w:hint="eastAsia"/>
          <w:color w:val="auto"/>
          <w:szCs w:val="24"/>
          <w:lang w:eastAsia="zh-CN"/>
        </w:rPr>
        <w:t>October 14, 2015</w:t>
      </w:r>
    </w:p>
    <w:p w:rsidR="00423E49" w:rsidRPr="00DF64BD" w:rsidRDefault="00993D9D" w:rsidP="00AE309D">
      <w:pPr>
        <w:jc w:val="both"/>
        <w:rPr>
          <w:b/>
          <w:color w:val="auto"/>
          <w:szCs w:val="24"/>
          <w:lang w:eastAsia="zh-CN"/>
        </w:rPr>
      </w:pPr>
      <w:r>
        <w:rPr>
          <w:b/>
          <w:color w:val="auto"/>
          <w:szCs w:val="24"/>
        </w:rPr>
        <w:t>Revised:</w:t>
      </w:r>
      <w:r>
        <w:rPr>
          <w:rFonts w:hint="eastAsia"/>
          <w:color w:val="auto"/>
          <w:szCs w:val="24"/>
          <w:lang w:eastAsia="zh-CN"/>
        </w:rPr>
        <w:t xml:space="preserve"> </w:t>
      </w:r>
      <w:r w:rsidRPr="00993D9D">
        <w:rPr>
          <w:rFonts w:hint="eastAsia"/>
          <w:color w:val="auto"/>
          <w:szCs w:val="24"/>
          <w:lang w:eastAsia="zh-CN"/>
        </w:rPr>
        <w:t>November 6, 2015</w:t>
      </w:r>
    </w:p>
    <w:p w:rsidR="00423E49" w:rsidRPr="00D17910" w:rsidRDefault="00423E49" w:rsidP="00D17910">
      <w:r w:rsidRPr="00DF64BD">
        <w:rPr>
          <w:b/>
          <w:color w:val="auto"/>
          <w:szCs w:val="24"/>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1"/>
      <w:bookmarkStart w:id="14" w:name="OLE_LINK122"/>
      <w:bookmarkStart w:id="15" w:name="OLE_LINK125"/>
      <w:bookmarkStart w:id="16" w:name="OLE_LINK126"/>
      <w:bookmarkStart w:id="17" w:name="OLE_LINK127"/>
      <w:bookmarkStart w:id="18" w:name="OLE_LINK129"/>
      <w:bookmarkStart w:id="19" w:name="OLE_LINK132"/>
      <w:bookmarkStart w:id="20" w:name="OLE_LINK134"/>
      <w:bookmarkStart w:id="21" w:name="OLE_LINK135"/>
      <w:bookmarkStart w:id="22" w:name="OLE_LINK136"/>
      <w:bookmarkStart w:id="23" w:name="OLE_LINK137"/>
      <w:bookmarkStart w:id="24" w:name="OLE_LINK138"/>
      <w:bookmarkStart w:id="25" w:name="OLE_LINK139"/>
      <w:bookmarkStart w:id="26" w:name="OLE_LINK141"/>
      <w:bookmarkStart w:id="27" w:name="OLE_LINK142"/>
      <w:bookmarkStart w:id="28" w:name="OLE_LINK143"/>
      <w:bookmarkStart w:id="29" w:name="OLE_LINK144"/>
      <w:bookmarkStart w:id="30" w:name="OLE_LINK145"/>
      <w:bookmarkStart w:id="31" w:name="OLE_LINK146"/>
      <w:bookmarkStart w:id="32" w:name="OLE_LINK147"/>
      <w:r w:rsidR="00D17910" w:rsidRPr="00D17910">
        <w:t xml:space="preserve"> </w:t>
      </w:r>
      <w:r w:rsidR="00D17910">
        <w:t>December 30</w:t>
      </w:r>
      <w:r w:rsidR="00D17910" w:rsidRPr="002A2EC8">
        <w:t>, 2015</w:t>
      </w:r>
      <w:bookmarkStart w:id="33" w:name="_GoBac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423E49" w:rsidRPr="00DF64BD" w:rsidRDefault="00423E49" w:rsidP="00AE309D">
      <w:pPr>
        <w:jc w:val="both"/>
        <w:rPr>
          <w:b/>
          <w:color w:val="auto"/>
          <w:szCs w:val="24"/>
        </w:rPr>
      </w:pPr>
      <w:r w:rsidRPr="00DF64BD">
        <w:rPr>
          <w:b/>
          <w:color w:val="auto"/>
          <w:szCs w:val="24"/>
        </w:rPr>
        <w:t>Article in press:</w:t>
      </w:r>
    </w:p>
    <w:p w:rsidR="00423E49" w:rsidRPr="00DF64BD" w:rsidRDefault="00423E49" w:rsidP="00B93E40">
      <w:pPr>
        <w:pStyle w:val="1"/>
        <w:spacing w:line="360" w:lineRule="auto"/>
        <w:jc w:val="both"/>
        <w:rPr>
          <w:rFonts w:cs="Times New Roman"/>
          <w:szCs w:val="24"/>
        </w:rPr>
      </w:pPr>
      <w:r w:rsidRPr="00DF64BD">
        <w:rPr>
          <w:rFonts w:ascii="Book Antiqua" w:hAnsi="Book Antiqua"/>
          <w:b/>
          <w:color w:val="auto"/>
          <w:sz w:val="24"/>
          <w:szCs w:val="24"/>
          <w:lang w:val="en-US"/>
        </w:rPr>
        <w:t>Published online:</w:t>
      </w:r>
      <w:bookmarkEnd w:id="1"/>
      <w:bookmarkEnd w:id="2"/>
    </w:p>
    <w:p w:rsidR="00423E49" w:rsidRPr="00DF64BD" w:rsidRDefault="00423E49" w:rsidP="00AE309D">
      <w:pPr>
        <w:pStyle w:val="Bezodstpw1"/>
        <w:spacing w:line="360" w:lineRule="auto"/>
        <w:jc w:val="both"/>
        <w:rPr>
          <w:rFonts w:ascii="Book Antiqua" w:hAnsi="Book Antiqua" w:cs="Times New Roman"/>
          <w:sz w:val="24"/>
          <w:szCs w:val="24"/>
        </w:rPr>
      </w:pPr>
      <w:r w:rsidRPr="00DF64BD">
        <w:rPr>
          <w:rFonts w:ascii="Book Antiqua" w:hAnsi="Book Antiqua" w:cs="Times New Roman"/>
          <w:b/>
          <w:bCs/>
          <w:sz w:val="24"/>
          <w:szCs w:val="24"/>
        </w:rPr>
        <w:br w:type="page"/>
      </w:r>
      <w:r w:rsidRPr="00DF64BD">
        <w:rPr>
          <w:rFonts w:ascii="Book Antiqua" w:hAnsi="Book Antiqua" w:cs="Times New Roman"/>
          <w:b/>
          <w:bCs/>
          <w:sz w:val="24"/>
          <w:szCs w:val="24"/>
        </w:rPr>
        <w:lastRenderedPageBreak/>
        <w:t>Abstract</w:t>
      </w:r>
    </w:p>
    <w:p w:rsidR="00423E49" w:rsidRPr="00DF64BD" w:rsidRDefault="00423E49" w:rsidP="00534E36">
      <w:pPr>
        <w:jc w:val="both"/>
        <w:rPr>
          <w:szCs w:val="24"/>
        </w:rPr>
      </w:pPr>
      <w:r w:rsidRPr="00DF64BD">
        <w:rPr>
          <w:szCs w:val="24"/>
        </w:rPr>
        <w:t>Currently,</w:t>
      </w:r>
      <w:r w:rsidR="00AE309D">
        <w:rPr>
          <w:rFonts w:hint="eastAsia"/>
          <w:szCs w:val="24"/>
          <w:lang w:eastAsia="zh-CN"/>
        </w:rPr>
        <w:t xml:space="preserve"> </w:t>
      </w:r>
      <w:r w:rsidRPr="00DF64BD">
        <w:rPr>
          <w:szCs w:val="24"/>
        </w:rPr>
        <w:t xml:space="preserve">gastric cancer (GC) is one of the most frequently diagnosed neoplasms, with a global burden of </w:t>
      </w:r>
      <w:r w:rsidR="001540A8">
        <w:rPr>
          <w:szCs w:val="24"/>
        </w:rPr>
        <w:t>723</w:t>
      </w:r>
      <w:r w:rsidRPr="00DF64BD">
        <w:rPr>
          <w:szCs w:val="24"/>
        </w:rPr>
        <w:t>000 deaths in 2012. It is the third leading cause of cancer-related death worldwide.</w:t>
      </w:r>
      <w:r w:rsidR="00534E36">
        <w:rPr>
          <w:rFonts w:hint="eastAsia"/>
          <w:szCs w:val="24"/>
          <w:lang w:eastAsia="zh-CN"/>
        </w:rPr>
        <w:t xml:space="preserve"> </w:t>
      </w:r>
      <w:r w:rsidRPr="00DF64BD">
        <w:rPr>
          <w:rFonts w:cs="Times New Roman"/>
          <w:szCs w:val="24"/>
        </w:rPr>
        <w:t>There are numerous possible factors that stimulate the pro-carcinogenic activity of important genes. These factors include genetic susceptibility expressed in a single-nucleotide polymorphism, various acquired mutations (chromosomal instability, microsatellite instability,</w:t>
      </w:r>
      <w:r w:rsidR="00AE309D">
        <w:rPr>
          <w:rFonts w:cs="Times New Roman" w:hint="eastAsia"/>
          <w:szCs w:val="24"/>
          <w:lang w:eastAsia="zh-CN"/>
        </w:rPr>
        <w:t xml:space="preserve"> </w:t>
      </w:r>
      <w:r w:rsidRPr="00DF64BD">
        <w:rPr>
          <w:rFonts w:cs="Times New Roman"/>
          <w:szCs w:val="24"/>
        </w:rPr>
        <w:t>somatic gene mutations, epigenetic alterations) and environmental circumstances (</w:t>
      </w:r>
      <w:r w:rsidRPr="00AE309D">
        <w:rPr>
          <w:rFonts w:cs="Times New Roman"/>
          <w:i/>
          <w:szCs w:val="24"/>
        </w:rPr>
        <w:t>e.g.</w:t>
      </w:r>
      <w:r w:rsidRPr="00DF64BD">
        <w:rPr>
          <w:rFonts w:cs="Times New Roman"/>
          <w:szCs w:val="24"/>
        </w:rPr>
        <w:t xml:space="preserve">, </w:t>
      </w:r>
      <w:r w:rsidR="00AE309D" w:rsidRPr="00AE309D">
        <w:rPr>
          <w:rFonts w:cs="Times New Roman"/>
          <w:i/>
          <w:iCs/>
          <w:caps/>
          <w:szCs w:val="24"/>
        </w:rPr>
        <w:t>h</w:t>
      </w:r>
      <w:r w:rsidR="00AE309D" w:rsidRPr="00AE309D">
        <w:rPr>
          <w:rFonts w:cs="Times New Roman"/>
          <w:i/>
          <w:iCs/>
          <w:szCs w:val="24"/>
        </w:rPr>
        <w:t>elicobcter pylori</w:t>
      </w:r>
      <w:r w:rsidR="00AE309D">
        <w:rPr>
          <w:rFonts w:cs="Times New Roman" w:hint="eastAsia"/>
          <w:i/>
          <w:iCs/>
          <w:szCs w:val="24"/>
          <w:lang w:eastAsia="zh-CN"/>
        </w:rPr>
        <w:t xml:space="preserve"> </w:t>
      </w:r>
      <w:r w:rsidRPr="00DF64BD">
        <w:rPr>
          <w:rFonts w:cs="Times New Roman"/>
          <w:iCs/>
          <w:szCs w:val="24"/>
        </w:rPr>
        <w:t>infection</w:t>
      </w:r>
      <w:r w:rsidRPr="00DF64BD">
        <w:rPr>
          <w:rFonts w:cs="Times New Roman"/>
          <w:szCs w:val="24"/>
        </w:rPr>
        <w:t>, EBV infection, diet, and smoking). Most of the aforementioned pathways overlap</w:t>
      </w:r>
      <w:r w:rsidR="00B22FE3">
        <w:rPr>
          <w:rFonts w:cs="Times New Roman"/>
          <w:szCs w:val="24"/>
        </w:rPr>
        <w:t>,</w:t>
      </w:r>
      <w:r w:rsidRPr="00DF64BD">
        <w:rPr>
          <w:rFonts w:cs="Times New Roman"/>
          <w:szCs w:val="24"/>
        </w:rPr>
        <w:t xml:space="preserve"> and authors agree that a clear-cut pathway for GC may not exist. Thus, the categorization of carcinogenic events is complicated. Lately, it has been claimed t</w:t>
      </w:r>
      <w:r w:rsidR="00AE309D">
        <w:rPr>
          <w:rFonts w:cs="Times New Roman"/>
          <w:szCs w:val="24"/>
        </w:rPr>
        <w:t>hat research on early-</w:t>
      </w:r>
      <w:r w:rsidRPr="00DF64BD">
        <w:rPr>
          <w:rFonts w:cs="Times New Roman"/>
          <w:szCs w:val="24"/>
        </w:rPr>
        <w:t>onset gastric carcinoma (EOGC) and hereditary GC may contribute towards unravelling some part of the mystery of the GC molecular pattern because young patients are less exposed to environmental carcinogens and because carcinogenesis in this setting may be more dependent on genetic factors.</w:t>
      </w:r>
      <w:r w:rsidR="00AE309D">
        <w:rPr>
          <w:rFonts w:cs="Times New Roman" w:hint="eastAsia"/>
          <w:szCs w:val="24"/>
          <w:lang w:eastAsia="zh-CN"/>
        </w:rPr>
        <w:t xml:space="preserve"> </w:t>
      </w:r>
      <w:r w:rsidRPr="00AE309D">
        <w:rPr>
          <w:rFonts w:cs="Times New Roman"/>
          <w:szCs w:val="24"/>
        </w:rPr>
        <w:t>The comparison of various aspects that differ and coexist in EOGCs and conventional GCs might enable scientists to: distinguish which features in the pathway of gastric carcinogenesis are modifiable, discover specific GC markers and identify a specific target.</w:t>
      </w:r>
      <w:r w:rsidRPr="00DF64BD">
        <w:rPr>
          <w:szCs w:val="24"/>
        </w:rPr>
        <w:t xml:space="preserve"> This review provides a summary of the data</w:t>
      </w:r>
      <w:r w:rsidRPr="00DF64BD" w:rsidDel="00C25EEB">
        <w:rPr>
          <w:szCs w:val="24"/>
        </w:rPr>
        <w:t xml:space="preserve"> </w:t>
      </w:r>
      <w:r w:rsidRPr="00DF64BD">
        <w:rPr>
          <w:szCs w:val="24"/>
        </w:rPr>
        <w:t xml:space="preserve">published thus far concerning the molecular characteristics of GC and highlights the outstanding features of EOGC. </w:t>
      </w:r>
    </w:p>
    <w:p w:rsidR="00423E49" w:rsidRPr="00DF64BD" w:rsidRDefault="00423E49" w:rsidP="00AE309D">
      <w:pPr>
        <w:jc w:val="both"/>
        <w:rPr>
          <w:szCs w:val="24"/>
        </w:rPr>
      </w:pPr>
    </w:p>
    <w:p w:rsidR="00423E49" w:rsidRDefault="008A7B32" w:rsidP="00AE309D">
      <w:pPr>
        <w:jc w:val="both"/>
        <w:rPr>
          <w:rFonts w:cs="Times New Roman"/>
          <w:szCs w:val="24"/>
        </w:rPr>
      </w:pPr>
      <w:r>
        <w:rPr>
          <w:rFonts w:cs="Book Antiqua"/>
          <w:b/>
          <w:color w:val="auto"/>
          <w:kern w:val="0"/>
          <w:szCs w:val="24"/>
          <w:lang w:eastAsia="pl-PL"/>
        </w:rPr>
        <w:t>Key</w:t>
      </w:r>
      <w:r w:rsidR="00347DC5">
        <w:rPr>
          <w:rFonts w:cs="Book Antiqua"/>
          <w:b/>
          <w:color w:val="auto"/>
          <w:kern w:val="0"/>
          <w:szCs w:val="24"/>
          <w:lang w:eastAsia="pl-PL"/>
        </w:rPr>
        <w:t xml:space="preserve"> </w:t>
      </w:r>
      <w:r w:rsidR="00423E49" w:rsidRPr="00DF64BD">
        <w:rPr>
          <w:rFonts w:cs="Book Antiqua"/>
          <w:b/>
          <w:color w:val="auto"/>
          <w:kern w:val="0"/>
          <w:szCs w:val="24"/>
          <w:lang w:eastAsia="pl-PL"/>
        </w:rPr>
        <w:t>words:</w:t>
      </w:r>
      <w:r w:rsidR="00AE309D">
        <w:rPr>
          <w:rFonts w:cs="Book Antiqua" w:hint="eastAsia"/>
          <w:b/>
          <w:color w:val="auto"/>
          <w:kern w:val="0"/>
          <w:szCs w:val="24"/>
          <w:lang w:eastAsia="zh-CN"/>
        </w:rPr>
        <w:t xml:space="preserve"> </w:t>
      </w:r>
      <w:r w:rsidR="00423E49" w:rsidRPr="00DF64BD">
        <w:rPr>
          <w:rFonts w:cs="Book Antiqua"/>
          <w:color w:val="auto"/>
          <w:kern w:val="0"/>
          <w:szCs w:val="24"/>
          <w:lang w:eastAsia="pl-PL"/>
        </w:rPr>
        <w:t>Gastric cancer; Early-onset gastric cancer</w:t>
      </w:r>
      <w:r w:rsidR="00B22FE3">
        <w:rPr>
          <w:rFonts w:cs="Book Antiqua"/>
          <w:color w:val="auto"/>
          <w:kern w:val="0"/>
          <w:szCs w:val="24"/>
          <w:lang w:eastAsia="pl-PL"/>
        </w:rPr>
        <w:t>;</w:t>
      </w:r>
      <w:r w:rsidR="00423E49" w:rsidRPr="00DF64BD">
        <w:rPr>
          <w:rFonts w:cs="Book Antiqua"/>
          <w:color w:val="auto"/>
          <w:kern w:val="0"/>
          <w:szCs w:val="24"/>
          <w:lang w:eastAsia="pl-PL"/>
        </w:rPr>
        <w:t xml:space="preserve"> Molecular alterations</w:t>
      </w:r>
      <w:r w:rsidR="00B22FE3">
        <w:rPr>
          <w:rFonts w:cs="Book Antiqua"/>
          <w:color w:val="auto"/>
          <w:kern w:val="0"/>
          <w:szCs w:val="24"/>
          <w:lang w:eastAsia="pl-PL"/>
        </w:rPr>
        <w:t>;</w:t>
      </w:r>
      <w:r w:rsidR="00423E49" w:rsidRPr="00DF64BD">
        <w:rPr>
          <w:rFonts w:cs="Book Antiqua"/>
          <w:color w:val="auto"/>
          <w:kern w:val="0"/>
          <w:szCs w:val="24"/>
          <w:lang w:eastAsia="pl-PL"/>
        </w:rPr>
        <w:t xml:space="preserve"> Chromosomal instability; </w:t>
      </w:r>
      <w:r w:rsidR="00423E49" w:rsidRPr="00DF64BD">
        <w:rPr>
          <w:rFonts w:cs="Times New Roman"/>
          <w:szCs w:val="24"/>
        </w:rPr>
        <w:t>Single-nucleotide polymorphism; Microsatellite instability; Epigenetic alterations; Loss of</w:t>
      </w:r>
      <w:r w:rsidR="00AE309D">
        <w:rPr>
          <w:rFonts w:cs="Times New Roman" w:hint="eastAsia"/>
          <w:szCs w:val="24"/>
          <w:lang w:eastAsia="zh-CN"/>
        </w:rPr>
        <w:t xml:space="preserve"> </w:t>
      </w:r>
      <w:r w:rsidR="00423E49" w:rsidRPr="00DF64BD">
        <w:rPr>
          <w:rFonts w:cs="Times New Roman"/>
          <w:szCs w:val="24"/>
        </w:rPr>
        <w:t>heterozygosity</w:t>
      </w:r>
    </w:p>
    <w:p w:rsidR="007C55F8" w:rsidRDefault="007C55F8" w:rsidP="00AE309D">
      <w:pPr>
        <w:jc w:val="both"/>
        <w:rPr>
          <w:rFonts w:cs="Times New Roman"/>
          <w:szCs w:val="24"/>
        </w:rPr>
      </w:pPr>
    </w:p>
    <w:p w:rsidR="007C55F8" w:rsidRDefault="007C55F8" w:rsidP="00AE309D">
      <w:pPr>
        <w:jc w:val="both"/>
        <w:rPr>
          <w:rFonts w:cs="Times New Roman"/>
          <w:szCs w:val="24"/>
        </w:rPr>
      </w:pPr>
      <w:r>
        <w:t xml:space="preserve">© </w:t>
      </w:r>
      <w:r w:rsidRPr="000C08BA">
        <w:rPr>
          <w:b/>
        </w:rPr>
        <w:t>The Author(s) 2015.</w:t>
      </w:r>
      <w:r>
        <w:t xml:space="preserve"> Published by Baishideng Publishing Group Inc. All rights reserved.</w:t>
      </w:r>
    </w:p>
    <w:p w:rsidR="00423E49" w:rsidRPr="00DF64BD" w:rsidRDefault="00423E49" w:rsidP="00AE309D">
      <w:pPr>
        <w:jc w:val="both"/>
        <w:rPr>
          <w:rFonts w:cs="Book Antiqua"/>
          <w:color w:val="C00000"/>
          <w:kern w:val="0"/>
          <w:szCs w:val="24"/>
          <w:lang w:eastAsia="pl-PL"/>
        </w:rPr>
      </w:pPr>
    </w:p>
    <w:p w:rsidR="00423E49" w:rsidRPr="00DF64BD" w:rsidRDefault="00423E49" w:rsidP="00AE309D">
      <w:pPr>
        <w:jc w:val="both"/>
      </w:pPr>
      <w:r w:rsidRPr="00DF64BD">
        <w:rPr>
          <w:rFonts w:cs="Book Antiqua"/>
          <w:b/>
          <w:color w:val="auto"/>
          <w:kern w:val="0"/>
          <w:szCs w:val="24"/>
          <w:lang w:eastAsia="pl-PL"/>
        </w:rPr>
        <w:t xml:space="preserve">Core tip: </w:t>
      </w:r>
      <w:r w:rsidRPr="00DF64BD">
        <w:t xml:space="preserve">There are numerous factors that may trigger gastric carcinogenesis. They include genetic susceptibility, acquired mutations and favourable environmental circumstances, which combine and multiply within the lifetime. Therefore, the </w:t>
      </w:r>
      <w:r w:rsidRPr="00DF64BD">
        <w:lastRenderedPageBreak/>
        <w:t xml:space="preserve">incidence of gastric cancer is the highest among the elderly. Conversely, young patients are exposed to environmental carcinogens for a short period, so they are a reliable subgroup in which to study primary genetic alterations. This review provides a summary of the data published </w:t>
      </w:r>
      <w:r w:rsidR="00B22FE3">
        <w:t>thus</w:t>
      </w:r>
      <w:r w:rsidRPr="00DF64BD">
        <w:t xml:space="preserve"> far concerning the molecular characteristics of gastric cancer and highlights the outstanding features of early-onset gastric cancer. </w:t>
      </w:r>
    </w:p>
    <w:p w:rsidR="00423E49" w:rsidRPr="00DF64BD" w:rsidRDefault="00423E49" w:rsidP="00AE309D">
      <w:pPr>
        <w:jc w:val="both"/>
        <w:rPr>
          <w:rFonts w:cs="Book Antiqua"/>
          <w:color w:val="C00000"/>
          <w:kern w:val="0"/>
          <w:szCs w:val="24"/>
          <w:lang w:eastAsia="pl-PL"/>
        </w:rPr>
      </w:pPr>
    </w:p>
    <w:p w:rsidR="00AE309D" w:rsidRDefault="00423E49" w:rsidP="00AE309D">
      <w:pPr>
        <w:pStyle w:val="1"/>
        <w:spacing w:line="360" w:lineRule="auto"/>
        <w:jc w:val="both"/>
        <w:rPr>
          <w:rFonts w:ascii="Book Antiqua" w:hAnsi="Book Antiqua" w:cs="Times New Roman"/>
          <w:color w:val="auto"/>
          <w:sz w:val="24"/>
          <w:szCs w:val="24"/>
          <w:lang w:val="en-US" w:eastAsia="zh-CN"/>
        </w:rPr>
      </w:pPr>
      <w:r w:rsidRPr="00AE309D">
        <w:rPr>
          <w:rFonts w:ascii="Book Antiqua" w:hAnsi="Book Antiqua" w:cs="Book Antiqua"/>
          <w:color w:val="auto"/>
          <w:sz w:val="24"/>
          <w:szCs w:val="24"/>
          <w:lang w:val="en-US"/>
        </w:rPr>
        <w:t>Skierucha M</w:t>
      </w:r>
      <w:r w:rsidRPr="00DF64BD">
        <w:rPr>
          <w:rFonts w:ascii="Book Antiqua" w:hAnsi="Book Antiqua" w:cs="Book Antiqua"/>
          <w:color w:val="auto"/>
          <w:sz w:val="24"/>
          <w:szCs w:val="24"/>
          <w:lang w:val="en-US"/>
        </w:rPr>
        <w:t>,</w:t>
      </w:r>
      <w:r w:rsidR="00AE309D">
        <w:rPr>
          <w:rFonts w:ascii="Book Antiqua" w:hAnsi="Book Antiqua" w:cs="Book Antiqua" w:hint="eastAsia"/>
          <w:color w:val="auto"/>
          <w:sz w:val="24"/>
          <w:szCs w:val="24"/>
          <w:lang w:val="en-US" w:eastAsia="zh-CN"/>
        </w:rPr>
        <w:t xml:space="preserve"> </w:t>
      </w:r>
      <w:r w:rsidRPr="00DF64BD">
        <w:rPr>
          <w:rFonts w:ascii="Book Antiqua" w:hAnsi="Book Antiqua" w:cs="Book Antiqua"/>
          <w:color w:val="auto"/>
          <w:sz w:val="24"/>
          <w:szCs w:val="24"/>
          <w:lang w:val="en-US"/>
        </w:rPr>
        <w:t xml:space="preserve">Milne ANA, Offerhaus GJA, Polkowski WP, Maciejewski R, Sitarz R. </w:t>
      </w:r>
      <w:r w:rsidRPr="00DF64BD">
        <w:rPr>
          <w:rFonts w:ascii="Book Antiqua" w:hAnsi="Book Antiqua"/>
          <w:sz w:val="24"/>
          <w:szCs w:val="24"/>
          <w:lang w:val="en-US"/>
        </w:rPr>
        <w:t>Molecular alterations in gastric cancer with speci</w:t>
      </w:r>
      <w:r w:rsidR="00AE309D">
        <w:rPr>
          <w:rFonts w:ascii="Book Antiqua" w:hAnsi="Book Antiqua"/>
          <w:sz w:val="24"/>
          <w:szCs w:val="24"/>
          <w:lang w:val="en-US"/>
        </w:rPr>
        <w:t>al reference to the early-onset</w:t>
      </w:r>
      <w:r w:rsidR="00AE309D">
        <w:rPr>
          <w:rFonts w:ascii="Book Antiqua" w:hAnsi="Book Antiqua" w:hint="eastAsia"/>
          <w:sz w:val="24"/>
          <w:szCs w:val="24"/>
          <w:lang w:val="en-US" w:eastAsia="zh-CN"/>
        </w:rPr>
        <w:t xml:space="preserve"> </w:t>
      </w:r>
      <w:r w:rsidRPr="00DF64BD">
        <w:rPr>
          <w:rFonts w:ascii="Book Antiqua" w:hAnsi="Book Antiqua"/>
          <w:sz w:val="24"/>
          <w:szCs w:val="24"/>
          <w:lang w:val="en-US"/>
        </w:rPr>
        <w:t>subtype.</w:t>
      </w:r>
      <w:r w:rsidR="00AE309D">
        <w:rPr>
          <w:rFonts w:ascii="Book Antiqua" w:hAnsi="Book Antiqua" w:cs="Book Antiqua" w:hint="eastAsia"/>
          <w:color w:val="C00000"/>
          <w:sz w:val="24"/>
          <w:szCs w:val="24"/>
          <w:lang w:val="en-US" w:eastAsia="zh-CN"/>
        </w:rPr>
        <w:t xml:space="preserve"> </w:t>
      </w:r>
      <w:r w:rsidRPr="00DF64BD">
        <w:rPr>
          <w:rFonts w:ascii="Book Antiqua" w:hAnsi="Book Antiqua" w:cs="Times New Roman"/>
          <w:i/>
          <w:color w:val="auto"/>
          <w:sz w:val="24"/>
          <w:szCs w:val="24"/>
          <w:lang w:val="en-US"/>
        </w:rPr>
        <w:t xml:space="preserve">World J Gastroenterol </w:t>
      </w:r>
      <w:r w:rsidRPr="00DF64BD">
        <w:rPr>
          <w:rFonts w:ascii="Book Antiqua" w:hAnsi="Book Antiqua" w:cs="Times New Roman"/>
          <w:color w:val="auto"/>
          <w:sz w:val="24"/>
          <w:szCs w:val="24"/>
          <w:lang w:val="en-US"/>
        </w:rPr>
        <w:t>2015; In press</w:t>
      </w:r>
    </w:p>
    <w:p w:rsidR="00423E49" w:rsidRPr="00AE309D" w:rsidRDefault="00423E49" w:rsidP="00AE309D">
      <w:pPr>
        <w:pStyle w:val="1"/>
        <w:spacing w:line="360" w:lineRule="auto"/>
        <w:jc w:val="both"/>
        <w:rPr>
          <w:rFonts w:cs="Times New Roman"/>
          <w:b/>
          <w:bCs/>
          <w:color w:val="FF0000"/>
          <w:sz w:val="24"/>
          <w:szCs w:val="24"/>
          <w:lang w:val="en-US" w:eastAsia="zh-CN"/>
        </w:rPr>
      </w:pPr>
    </w:p>
    <w:p w:rsidR="00AE309D" w:rsidRDefault="00AE309D">
      <w:pPr>
        <w:suppressAutoHyphens w:val="0"/>
        <w:spacing w:line="240" w:lineRule="auto"/>
        <w:rPr>
          <w:rFonts w:cs="Times New Roman"/>
          <w:b/>
          <w:bCs/>
          <w:szCs w:val="24"/>
        </w:rPr>
      </w:pPr>
      <w:r>
        <w:rPr>
          <w:rFonts w:cs="Times New Roman"/>
          <w:b/>
          <w:bCs/>
          <w:szCs w:val="24"/>
        </w:rPr>
        <w:br w:type="page"/>
      </w:r>
    </w:p>
    <w:p w:rsidR="00423E49" w:rsidRPr="00DF64BD" w:rsidRDefault="00423E49" w:rsidP="00AE309D">
      <w:pPr>
        <w:pStyle w:val="Bezodstpw1"/>
        <w:spacing w:line="360" w:lineRule="auto"/>
        <w:jc w:val="both"/>
        <w:rPr>
          <w:rFonts w:ascii="Book Antiqua" w:hAnsi="Book Antiqua" w:cs="Times New Roman"/>
          <w:sz w:val="24"/>
          <w:szCs w:val="24"/>
        </w:rPr>
      </w:pPr>
      <w:r w:rsidRPr="00DF64BD">
        <w:rPr>
          <w:rFonts w:ascii="Book Antiqua" w:hAnsi="Book Antiqua" w:cs="Times New Roman"/>
          <w:b/>
          <w:bCs/>
          <w:sz w:val="24"/>
          <w:szCs w:val="24"/>
        </w:rPr>
        <w:lastRenderedPageBreak/>
        <w:t>INTRODUCTION</w:t>
      </w:r>
    </w:p>
    <w:p w:rsidR="00423E49" w:rsidRPr="00DF64BD" w:rsidRDefault="00423E49" w:rsidP="00AE309D">
      <w:pPr>
        <w:pStyle w:val="Bezodstpw1"/>
        <w:spacing w:line="360" w:lineRule="auto"/>
        <w:jc w:val="both"/>
        <w:rPr>
          <w:rFonts w:ascii="Book Antiqua" w:hAnsi="Book Antiqua" w:cs="Times New Roman"/>
          <w:sz w:val="24"/>
          <w:szCs w:val="24"/>
        </w:rPr>
      </w:pPr>
      <w:r w:rsidRPr="00DF64BD">
        <w:rPr>
          <w:rFonts w:ascii="Book Antiqua" w:hAnsi="Book Antiqua" w:cs="Times New Roman"/>
          <w:sz w:val="24"/>
          <w:szCs w:val="24"/>
        </w:rPr>
        <w:t>Currently, gastric cancer (GC) is one of the most frequently diagnosed neoplasms worldwide.</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Its incidence rate in 2012 reached </w:t>
      </w:r>
      <w:r w:rsidR="00AE309D" w:rsidRPr="00AE309D">
        <w:rPr>
          <w:rFonts w:ascii="Book Antiqua" w:hAnsi="Book Antiqua" w:cs="Times New Roman"/>
          <w:sz w:val="24"/>
          <w:szCs w:val="24"/>
        </w:rPr>
        <w:t>approximately</w:t>
      </w:r>
      <w:r w:rsidR="00AE309D">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 xml:space="preserve">140000 new cases in Europe and </w:t>
      </w:r>
      <w:r w:rsidR="007124A5" w:rsidRPr="00AE309D">
        <w:rPr>
          <w:rFonts w:ascii="Book Antiqua" w:hAnsi="Book Antiqua" w:cs="Times New Roman"/>
          <w:sz w:val="24"/>
          <w:szCs w:val="24"/>
        </w:rPr>
        <w:t>approximately</w:t>
      </w:r>
      <w:r w:rsidR="007124A5">
        <w:rPr>
          <w:rFonts w:ascii="Book Antiqua" w:hAnsi="Book Antiqua" w:cs="Times New Roman" w:hint="eastAsia"/>
          <w:sz w:val="24"/>
          <w:szCs w:val="24"/>
          <w:lang w:eastAsia="zh-CN"/>
        </w:rPr>
        <w:t xml:space="preserve"> </w:t>
      </w:r>
      <w:r w:rsidR="00C13829">
        <w:rPr>
          <w:rFonts w:ascii="Book Antiqua" w:hAnsi="Book Antiqua" w:cs="Times New Roman"/>
          <w:sz w:val="24"/>
          <w:szCs w:val="24"/>
        </w:rPr>
        <w:t>952</w:t>
      </w:r>
      <w:r w:rsidRPr="00DF64BD">
        <w:rPr>
          <w:rFonts w:ascii="Book Antiqua" w:hAnsi="Book Antiqua" w:cs="Times New Roman"/>
          <w:sz w:val="24"/>
          <w:szCs w:val="24"/>
        </w:rPr>
        <w:t xml:space="preserve">000 worldwide. In Europe, GC is responsible for </w:t>
      </w:r>
      <w:r w:rsidR="00AE309D" w:rsidRPr="00AE309D">
        <w:rPr>
          <w:rFonts w:ascii="Book Antiqua" w:hAnsi="Book Antiqua" w:cs="Times New Roman"/>
          <w:sz w:val="24"/>
          <w:szCs w:val="24"/>
        </w:rPr>
        <w:t>approximately</w:t>
      </w:r>
      <w:r w:rsidR="00AE309D">
        <w:rPr>
          <w:rFonts w:ascii="Book Antiqua" w:hAnsi="Book Antiqua" w:cs="Times New Roman" w:hint="eastAsia"/>
          <w:sz w:val="24"/>
          <w:szCs w:val="24"/>
          <w:lang w:eastAsia="zh-CN"/>
        </w:rPr>
        <w:t xml:space="preserve"> </w:t>
      </w:r>
      <w:r w:rsidR="00C13829">
        <w:rPr>
          <w:rFonts w:ascii="Book Antiqua" w:hAnsi="Book Antiqua" w:cs="Times New Roman"/>
          <w:sz w:val="24"/>
          <w:szCs w:val="24"/>
        </w:rPr>
        <w:t>107</w:t>
      </w:r>
      <w:r w:rsidRPr="00DF64BD">
        <w:rPr>
          <w:rFonts w:ascii="Book Antiqua" w:hAnsi="Book Antiqua" w:cs="Times New Roman"/>
          <w:sz w:val="24"/>
          <w:szCs w:val="24"/>
        </w:rPr>
        <w:t xml:space="preserve">000 deaths annually, placing it as the fourth most common cause of cancer-related death. Globally, GC caused </w:t>
      </w:r>
      <w:r w:rsidR="00C13829">
        <w:rPr>
          <w:rFonts w:ascii="Book Antiqua" w:hAnsi="Book Antiqua" w:cs="Times New Roman"/>
          <w:sz w:val="24"/>
          <w:szCs w:val="24"/>
        </w:rPr>
        <w:t>723</w:t>
      </w:r>
      <w:r w:rsidRPr="00DF64BD">
        <w:rPr>
          <w:rFonts w:ascii="Book Antiqua" w:hAnsi="Book Antiqua" w:cs="Times New Roman"/>
          <w:sz w:val="24"/>
          <w:szCs w:val="24"/>
        </w:rPr>
        <w:t>000 deaths in 2012, making it the third leading cause of cancer-related death worldwide</w:t>
      </w:r>
      <w:r w:rsidRPr="00DF64BD">
        <w:rPr>
          <w:rFonts w:ascii="Book Antiqua" w:hAnsi="Book Antiqua" w:cs="Times New Roman"/>
          <w:sz w:val="24"/>
          <w:szCs w:val="24"/>
          <w:vertAlign w:val="superscript"/>
        </w:rPr>
        <w:t>[1,2]</w:t>
      </w:r>
      <w:r w:rsidRPr="00DF64BD">
        <w:rPr>
          <w:rFonts w:ascii="Book Antiqua" w:hAnsi="Book Antiqua" w:cs="Times New Roman"/>
          <w:sz w:val="24"/>
          <w:szCs w:val="24"/>
        </w:rPr>
        <w:t>. Fortunately, the global incidence of GC has been decreasing since the Second World War</w:t>
      </w:r>
      <w:r w:rsidRPr="00DF64BD">
        <w:rPr>
          <w:rFonts w:ascii="Book Antiqua" w:hAnsi="Book Antiqua" w:cs="Times New Roman"/>
          <w:sz w:val="24"/>
          <w:szCs w:val="24"/>
          <w:vertAlign w:val="superscript"/>
        </w:rPr>
        <w:t>[3]</w:t>
      </w:r>
      <w:r w:rsidR="00AE309D">
        <w:rPr>
          <w:rFonts w:ascii="Book Antiqua" w:hAnsi="Book Antiqua" w:cs="Times New Roman"/>
          <w:sz w:val="24"/>
          <w:szCs w:val="24"/>
        </w:rPr>
        <w:t>.</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The most common classification used, the Lauren classification, differentiates between intestinal and diffuse types of GCs</w:t>
      </w:r>
      <w:r w:rsidRPr="00DF64BD">
        <w:rPr>
          <w:rFonts w:ascii="Book Antiqua" w:hAnsi="Book Antiqua" w:cs="Times New Roman"/>
          <w:sz w:val="24"/>
          <w:szCs w:val="24"/>
          <w:vertAlign w:val="superscript"/>
        </w:rPr>
        <w:t>[4]</w:t>
      </w:r>
      <w:r w:rsidRPr="00DF64BD">
        <w:rPr>
          <w:rFonts w:ascii="Book Antiqua" w:hAnsi="Book Antiqua" w:cs="Times New Roman"/>
          <w:sz w:val="24"/>
          <w:szCs w:val="24"/>
        </w:rPr>
        <w:t>. These two types of GCs vary not only in morphology but also in epidemiology, progression pattern, genetics and clinical picture. Recently, it has been suggested that tumour location also matters because there appears to be a difference between proximal and distal non-diffuse GCs due to their distinct gene expression levels</w:t>
      </w:r>
      <w:r w:rsidRPr="00DF64BD">
        <w:rPr>
          <w:rFonts w:ascii="Book Antiqua" w:hAnsi="Book Antiqua" w:cs="Times New Roman"/>
          <w:sz w:val="24"/>
          <w:szCs w:val="24"/>
          <w:vertAlign w:val="superscript"/>
        </w:rPr>
        <w:t>[5,6]</w:t>
      </w:r>
      <w:r w:rsidRPr="00DF64BD">
        <w:rPr>
          <w:rFonts w:ascii="Book Antiqua" w:hAnsi="Book Antiqua" w:cs="Times New Roman"/>
          <w:sz w:val="24"/>
          <w:szCs w:val="24"/>
        </w:rPr>
        <w:t xml:space="preserve">. </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Despite the scientific tendency to consider the intestinal and diffuse GC types as separate entities, clinically, all of them are treated similarly. For the time being, slow but satisfactory effects</w:t>
      </w:r>
      <w:r w:rsidRPr="00DF64BD">
        <w:rPr>
          <w:rFonts w:ascii="Book Antiqua" w:hAnsi="Book Antiqua" w:cs="Times New Roman"/>
          <w:sz w:val="24"/>
          <w:szCs w:val="24"/>
          <w:vertAlign w:val="superscript"/>
        </w:rPr>
        <w:t>[7-9]</w:t>
      </w:r>
      <w:r w:rsidRPr="00DF64BD">
        <w:rPr>
          <w:rFonts w:ascii="Book Antiqua" w:hAnsi="Book Antiqua" w:cs="Times New Roman"/>
          <w:sz w:val="24"/>
          <w:szCs w:val="24"/>
        </w:rPr>
        <w:t xml:space="preserve"> have resulted in decreasing the overall incidence of GC. However, there are supporters of the theory that more individualized treatment would be more beneficial</w:t>
      </w:r>
      <w:r w:rsidRPr="00DF64BD">
        <w:rPr>
          <w:rFonts w:ascii="Book Antiqua" w:hAnsi="Book Antiqua" w:cs="Times New Roman"/>
          <w:sz w:val="24"/>
          <w:szCs w:val="24"/>
          <w:vertAlign w:val="superscript"/>
        </w:rPr>
        <w:t>[5]</w:t>
      </w:r>
      <w:r w:rsidRPr="00DF64BD">
        <w:rPr>
          <w:rFonts w:ascii="Book Antiqua" w:hAnsi="Book Antiqua" w:cs="Times New Roman"/>
          <w:sz w:val="24"/>
          <w:szCs w:val="24"/>
        </w:rPr>
        <w:t xml:space="preserve">. </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Alternatively, GCs can be divided into early-onset gastric carcinoma (EOGC)—occurring in patients at the age of 45 years or younger</w:t>
      </w:r>
      <w:r w:rsidRPr="00DF64BD">
        <w:rPr>
          <w:rFonts w:ascii="Book Antiqua" w:hAnsi="Book Antiqua" w:cs="Times New Roman"/>
          <w:sz w:val="24"/>
          <w:szCs w:val="24"/>
          <w:vertAlign w:val="superscript"/>
        </w:rPr>
        <w:t>[10]</w:t>
      </w:r>
      <w:r w:rsidRPr="00DF64BD">
        <w:rPr>
          <w:rFonts w:ascii="Book Antiqua" w:hAnsi="Book Antiqua" w:cs="Times New Roman"/>
          <w:sz w:val="24"/>
          <w:szCs w:val="24"/>
        </w:rPr>
        <w:t xml:space="preserve">—and conventional </w:t>
      </w:r>
      <w:r w:rsidR="00D50A12">
        <w:rPr>
          <w:rFonts w:ascii="Book Antiqua" w:hAnsi="Book Antiqua" w:cs="Times New Roman"/>
          <w:sz w:val="24"/>
          <w:szCs w:val="24"/>
        </w:rPr>
        <w:t>GCs, which liberally encompass</w:t>
      </w:r>
      <w:r w:rsidRPr="00DF64BD">
        <w:rPr>
          <w:rFonts w:ascii="Book Antiqua" w:hAnsi="Book Antiqua" w:cs="Times New Roman"/>
          <w:sz w:val="24"/>
          <w:szCs w:val="24"/>
        </w:rPr>
        <w:t xml:space="preserve"> the remaining group of patients. Sometimes, there are also special subgroups that are distinguished: patients with hereditary diffuse GC and patients with gastric stump cancer; however, these two types can overlap with both EOGC and conventional gastric cancer</w:t>
      </w:r>
      <w:r w:rsidR="00AE309D" w:rsidRPr="00AE309D">
        <w:rPr>
          <w:rFonts w:ascii="Book Antiqua" w:hAnsi="Book Antiqua" w:cs="Times New Roman" w:hint="eastAsia"/>
          <w:sz w:val="24"/>
          <w:szCs w:val="24"/>
          <w:vertAlign w:val="superscript"/>
          <w:lang w:eastAsia="zh-CN"/>
        </w:rPr>
        <w:t>[</w:t>
      </w:r>
      <w:r w:rsidR="004F38BA" w:rsidRPr="00AE309D">
        <w:rPr>
          <w:rFonts w:ascii="Book Antiqua" w:hAnsi="Book Antiqua" w:cs="Times New Roman"/>
          <w:sz w:val="24"/>
          <w:szCs w:val="24"/>
          <w:vertAlign w:val="superscript"/>
        </w:rPr>
        <w:t>11</w:t>
      </w:r>
      <w:r w:rsidR="00AE309D" w:rsidRPr="00AE309D">
        <w:rPr>
          <w:rFonts w:ascii="Book Antiqua" w:hAnsi="Book Antiqua" w:cs="Times New Roman" w:hint="eastAsia"/>
          <w:sz w:val="24"/>
          <w:szCs w:val="24"/>
          <w:vertAlign w:val="superscript"/>
          <w:lang w:eastAsia="zh-CN"/>
        </w:rPr>
        <w:t>]</w:t>
      </w:r>
      <w:r w:rsidR="00AE309D" w:rsidRPr="00AE309D">
        <w:rPr>
          <w:rFonts w:ascii="Book Antiqua" w:hAnsi="Book Antiqua" w:cs="Times New Roman" w:hint="eastAsia"/>
          <w:sz w:val="24"/>
          <w:szCs w:val="24"/>
        </w:rPr>
        <w:t xml:space="preserve"> </w:t>
      </w:r>
      <w:r w:rsidRPr="00AE309D">
        <w:rPr>
          <w:rFonts w:ascii="Book Antiqua" w:hAnsi="Book Antiqua" w:cs="Times New Roman"/>
          <w:sz w:val="24"/>
          <w:szCs w:val="24"/>
        </w:rPr>
        <w:t>(Figure 1)</w:t>
      </w:r>
      <w:r w:rsidR="004F38BA" w:rsidRPr="00AE309D">
        <w:rPr>
          <w:rFonts w:ascii="Book Antiqua" w:hAnsi="Book Antiqua" w:cs="Times New Roman"/>
          <w:sz w:val="24"/>
          <w:szCs w:val="24"/>
        </w:rPr>
        <w:t>.</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There are many possible alterations that eventually stimulate the pro-carcinogen</w:t>
      </w:r>
      <w:r w:rsidR="002056A0">
        <w:rPr>
          <w:rFonts w:ascii="Book Antiqua" w:hAnsi="Book Antiqua" w:cs="Times New Roman"/>
          <w:sz w:val="24"/>
          <w:szCs w:val="24"/>
        </w:rPr>
        <w:t>ic</w:t>
      </w:r>
      <w:r w:rsidRPr="00DF64BD">
        <w:rPr>
          <w:rFonts w:ascii="Book Antiqua" w:hAnsi="Book Antiqua" w:cs="Times New Roman"/>
          <w:sz w:val="24"/>
          <w:szCs w:val="24"/>
        </w:rPr>
        <w:t xml:space="preserve"> activity of genes. Most of these pathways overlap, and authors agree that a clear-cut pattern of mutations in GCs does not exist</w:t>
      </w:r>
      <w:r w:rsidRPr="00DF64BD">
        <w:rPr>
          <w:rFonts w:ascii="Book Antiqua" w:hAnsi="Book Antiqua" w:cs="Times New Roman"/>
          <w:sz w:val="24"/>
          <w:szCs w:val="24"/>
          <w:vertAlign w:val="superscript"/>
        </w:rPr>
        <w:t>[10]</w:t>
      </w:r>
      <w:r w:rsidRPr="00DF64BD">
        <w:rPr>
          <w:rFonts w:ascii="Book Antiqua" w:hAnsi="Book Antiqua" w:cs="Times New Roman"/>
          <w:sz w:val="24"/>
          <w:szCs w:val="24"/>
        </w:rPr>
        <w:t xml:space="preserve">; thus, the categorization of carcinogenic events is highly complicated. The current scientific challenge is to recognize which </w:t>
      </w:r>
      <w:r w:rsidRPr="00DF64BD">
        <w:rPr>
          <w:rFonts w:ascii="Book Antiqua" w:hAnsi="Book Antiqua" w:cs="Times New Roman"/>
          <w:sz w:val="24"/>
          <w:szCs w:val="24"/>
        </w:rPr>
        <w:lastRenderedPageBreak/>
        <w:t>alterations of GC are crucial, what are the relationships between these alterations and how to prevent their incidence.</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Recently, it has been claimed that research on EOGC and hereditary GCs may contribute towards unravelling some part of the mystery of the GC molecular pattern because younger patients are less exposed to environmental carcinogens, and their neoplasms rely more on genetic and molecular factors</w:t>
      </w:r>
      <w:r w:rsidRPr="00DF64BD">
        <w:rPr>
          <w:rFonts w:ascii="Book Antiqua" w:hAnsi="Book Antiqua" w:cs="Times New Roman"/>
          <w:sz w:val="24"/>
          <w:szCs w:val="24"/>
          <w:vertAlign w:val="superscript"/>
        </w:rPr>
        <w:t>[10]</w:t>
      </w:r>
      <w:r w:rsidRPr="00DF64BD">
        <w:rPr>
          <w:rFonts w:ascii="Book Antiqua" w:hAnsi="Book Antiqua" w:cs="Times New Roman"/>
          <w:sz w:val="24"/>
          <w:szCs w:val="24"/>
        </w:rPr>
        <w:t xml:space="preserve">. </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The comparison of various aspects that differ and coexist in EOGCs and conventional GCs might enable scientists to distinguish which features in the pathway of the gastric carcinogenesis are modifiable, discover specific GC markers and identify a target for specifically directed treatment. </w:t>
      </w:r>
    </w:p>
    <w:p w:rsidR="00423E49"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This review summarizes the</w:t>
      </w:r>
      <w:r w:rsidRPr="00DF64BD">
        <w:rPr>
          <w:rFonts w:ascii="Book Antiqua" w:hAnsi="Book Antiqua" w:cs="Times New Roman"/>
          <w:i/>
          <w:sz w:val="24"/>
          <w:szCs w:val="24"/>
        </w:rPr>
        <w:t xml:space="preserve"> </w:t>
      </w:r>
      <w:r w:rsidRPr="00DF64BD">
        <w:rPr>
          <w:rFonts w:ascii="Book Antiqua" w:hAnsi="Book Antiqua" w:cs="Times New Roman"/>
          <w:sz w:val="24"/>
          <w:szCs w:val="24"/>
        </w:rPr>
        <w:t>data published thus far regarding the molecular characteristics of GC and highlights the outstanding features of EOGC.</w:t>
      </w:r>
    </w:p>
    <w:p w:rsidR="00AE309D" w:rsidRDefault="00AE309D" w:rsidP="00AE309D">
      <w:pPr>
        <w:pStyle w:val="Bezodstpw1"/>
        <w:spacing w:line="360" w:lineRule="auto"/>
        <w:jc w:val="both"/>
        <w:rPr>
          <w:rFonts w:ascii="Book Antiqua" w:hAnsi="Book Antiqua"/>
          <w:b/>
          <w:sz w:val="24"/>
          <w:szCs w:val="24"/>
          <w:lang w:eastAsia="zh-CN"/>
        </w:rPr>
      </w:pPr>
    </w:p>
    <w:p w:rsidR="00423E49" w:rsidRPr="00F81443" w:rsidRDefault="00F81443" w:rsidP="00AE309D">
      <w:pPr>
        <w:pStyle w:val="Bezodstpw1"/>
        <w:spacing w:line="360" w:lineRule="auto"/>
        <w:jc w:val="both"/>
        <w:rPr>
          <w:rFonts w:ascii="Book Antiqua" w:hAnsi="Book Antiqua" w:cs="Times New Roman"/>
          <w:b/>
          <w:sz w:val="24"/>
          <w:szCs w:val="24"/>
        </w:rPr>
      </w:pPr>
      <w:r w:rsidRPr="00F81443">
        <w:rPr>
          <w:rFonts w:ascii="Book Antiqua" w:hAnsi="Book Antiqua" w:cs="Times New Roman"/>
          <w:b/>
          <w:sz w:val="24"/>
          <w:szCs w:val="24"/>
        </w:rPr>
        <w:t>EOGC</w:t>
      </w:r>
    </w:p>
    <w:p w:rsidR="00423E49" w:rsidRPr="00E11E2E" w:rsidRDefault="00423E49" w:rsidP="00AE309D">
      <w:pPr>
        <w:pStyle w:val="Bezodstpw1"/>
        <w:spacing w:line="360" w:lineRule="auto"/>
        <w:jc w:val="both"/>
        <w:rPr>
          <w:rFonts w:ascii="Book Antiqua" w:hAnsi="Book Antiqua" w:cs="Times New Roman"/>
          <w:sz w:val="24"/>
          <w:szCs w:val="24"/>
        </w:rPr>
      </w:pPr>
      <w:r w:rsidRPr="00E11E2E">
        <w:rPr>
          <w:rFonts w:ascii="Book Antiqua" w:hAnsi="Book Antiqua" w:cs="Times New Roman"/>
          <w:sz w:val="24"/>
          <w:szCs w:val="24"/>
        </w:rPr>
        <w:t>EOGC,</w:t>
      </w:r>
      <w:r w:rsidR="00F81443">
        <w:rPr>
          <w:rFonts w:ascii="Book Antiqua" w:hAnsi="Book Antiqua" w:cs="Times New Roman" w:hint="eastAsia"/>
          <w:sz w:val="24"/>
          <w:szCs w:val="24"/>
          <w:lang w:eastAsia="zh-CN"/>
        </w:rPr>
        <w:t xml:space="preserve"> </w:t>
      </w:r>
      <w:r w:rsidRPr="00E11E2E">
        <w:rPr>
          <w:rFonts w:ascii="Book Antiqua" w:hAnsi="Book Antiqua" w:cs="Times New Roman"/>
          <w:sz w:val="24"/>
          <w:szCs w:val="24"/>
        </w:rPr>
        <w:t>as mentioned earlier, may pave the way for elucidating the primary alterations that initiate the gastric malignant process. The occurrence of gastric cancer in young patients could be explained in at least a few ways. Younger patients are</w:t>
      </w:r>
      <w:r w:rsidR="005C5CCC" w:rsidRPr="00E11E2E">
        <w:rPr>
          <w:rFonts w:ascii="Book Antiqua" w:hAnsi="Book Antiqua" w:cs="Times New Roman"/>
          <w:sz w:val="24"/>
          <w:szCs w:val="24"/>
        </w:rPr>
        <w:t xml:space="preserve"> </w:t>
      </w:r>
      <w:r w:rsidRPr="00E11E2E">
        <w:rPr>
          <w:rFonts w:ascii="Book Antiqua" w:hAnsi="Book Antiqua" w:cs="Times New Roman"/>
          <w:sz w:val="24"/>
          <w:szCs w:val="24"/>
        </w:rPr>
        <w:t>exposed to the same environmental factors as the rest of the population; however</w:t>
      </w:r>
      <w:r w:rsidR="00DF64BD" w:rsidRPr="00E11E2E">
        <w:rPr>
          <w:rFonts w:ascii="Book Antiqua" w:hAnsi="Book Antiqua" w:cs="Times New Roman"/>
          <w:sz w:val="24"/>
          <w:szCs w:val="24"/>
        </w:rPr>
        <w:t xml:space="preserve"> because</w:t>
      </w:r>
      <w:r w:rsidRPr="00E11E2E">
        <w:rPr>
          <w:rFonts w:ascii="Book Antiqua" w:hAnsi="Book Antiqua" w:cs="Times New Roman"/>
          <w:sz w:val="24"/>
          <w:szCs w:val="24"/>
        </w:rPr>
        <w:t xml:space="preserve"> of some unknown reasons, they are more prone to develop gastric tumours at an earlier age. First, their molecular susceptibility to gastric carcinogenesis is to blame</w:t>
      </w:r>
      <w:r w:rsidRPr="00E11E2E">
        <w:rPr>
          <w:rFonts w:ascii="Book Antiqua" w:hAnsi="Book Antiqua" w:cs="Times New Roman"/>
          <w:kern w:val="24"/>
          <w:sz w:val="24"/>
          <w:szCs w:val="24"/>
          <w:vertAlign w:val="superscript"/>
        </w:rPr>
        <w:t>[12]</w:t>
      </w:r>
      <w:r w:rsidRPr="00E11E2E">
        <w:rPr>
          <w:rFonts w:ascii="Book Antiqua" w:hAnsi="Book Antiqua" w:cs="Times New Roman"/>
          <w:sz w:val="24"/>
          <w:szCs w:val="24"/>
        </w:rPr>
        <w:t>, probably with a hereditary component</w:t>
      </w:r>
      <w:r w:rsidR="004E1C45" w:rsidRPr="00E11E2E">
        <w:rPr>
          <w:rFonts w:ascii="Book Antiqua" w:hAnsi="Book Antiqua" w:cs="Times New Roman"/>
          <w:kern w:val="24"/>
          <w:sz w:val="24"/>
          <w:szCs w:val="24"/>
          <w:vertAlign w:val="superscript"/>
        </w:rPr>
        <w:fldChar w:fldCharType="begin" w:fldLock="1"/>
      </w:r>
      <w:r w:rsidRPr="00E11E2E">
        <w:rPr>
          <w:rFonts w:ascii="Book Antiqua" w:hAnsi="Book Antiqua" w:cs="Times New Roman"/>
          <w:kern w:val="24"/>
          <w:sz w:val="24"/>
          <w:szCs w:val="24"/>
          <w:vertAlign w:val="superscript"/>
        </w:rPr>
        <w:instrText>ADDIN CSL_CITATION { "citationItems" : [ { "id" : "ITEM-1", "itemData" : { "DOI" : "10.1111/j.1751-2980.2009.00380.x", "ISSN" : "1751-2980 (Electronic)", "PMID" : "19659782", "abstract" : "Helicobacter pylori infects half the world's population and is responsible for a  considerable global health burden, including peptic ulcer disease and gastric cancer. The infection causes a chronic gastritis, the severity and distribution of which determine the clinical outcome. Bacterial, environmental and host genetic factors combine to define the degree of gastric damage. Most patients have a limited mild pan-gastritis with no significant clinical consequences. Antral-predominant gastritis is associated with high gastric acid output and an increased risk of duodenal ulcers. Corpus-predominant gastritis is associated with a reduction in gastric acid, multifocal gastric atrophy and an increased risk of gastric cancer. Host genetic factors are particularly important in defining the severity and extent of Helicobacter-induced gastritis. The most relevant and consistent genetic factors uncovered thus far are in the interleukin-1 and tumor necrosis factor-A gene clusters. These cytokines appear to play a key role in the pathophysiology of gastric cancer and their roles have been confirmed in animal models that mimic human gastric neoplasia. More genetic factors have also been uncovered and, with advancing technology, there is every prospect of defining a full genetic risk profile in the next decade. This will aid in targeting the testing and treatment of Helicobacter pylori, which offers a true opportunity to prevent and defeat this global killer.", "author" : [ { "dropping-particle" : "", "family" : "Shanks", "given" : "Anne-Marie", "non-dropping-particle" : "", "parse-names" : false, "suffix" : "" }, { "dropping-particle" : "", "family" : "El-Omar", "given" : "Emad M", "non-dropping-particle" : "", "parse-names" : false, "suffix" : "" } ], "container-title" : "Journal of digestive diseases", "id" : "ITEM-1", "issue" : "3", "issued" : { "date-parts" : [ [ "2009", "8" ] ] }, "language" : "eng", "page" : "157-164", "publisher-place" : "Australia", "title" : "Helicobacter pylori infection, host genetics and gastric cancer.", "type" : "article-journal", "volume" : "10" }, "uris" : [ "http://www.mendeley.com/documents/?uuid=89287260-5a81-4482-83e7-59f99e5f5383" ] } ], "mendeley" : { "formattedCitation" : "(1)", "manualFormatting" : "[1", "plainTextFormattedCitation" : "(1)", "previouslyFormattedCitation" : "(1)" }, "properties" : { "noteIndex" : 0 }, "schema" : "https://github.com/citation-style-language/schema/raw/master/csl-citation.json" }</w:instrText>
      </w:r>
      <w:r w:rsidR="004E1C45" w:rsidRPr="00E11E2E">
        <w:rPr>
          <w:rFonts w:ascii="Book Antiqua" w:hAnsi="Book Antiqua" w:cs="Times New Roman"/>
          <w:kern w:val="24"/>
          <w:sz w:val="24"/>
          <w:szCs w:val="24"/>
          <w:vertAlign w:val="superscript"/>
        </w:rPr>
        <w:fldChar w:fldCharType="separate"/>
      </w:r>
      <w:r w:rsidRPr="00E11E2E">
        <w:rPr>
          <w:rFonts w:ascii="Book Antiqua" w:hAnsi="Book Antiqua" w:cs="Times New Roman"/>
          <w:kern w:val="24"/>
          <w:sz w:val="24"/>
          <w:szCs w:val="24"/>
          <w:vertAlign w:val="superscript"/>
        </w:rPr>
        <w:t>[1</w:t>
      </w:r>
      <w:r w:rsidR="004E1C45" w:rsidRPr="00E11E2E">
        <w:rPr>
          <w:rFonts w:ascii="Book Antiqua" w:hAnsi="Book Antiqua" w:cs="Times New Roman"/>
          <w:kern w:val="24"/>
          <w:sz w:val="24"/>
          <w:szCs w:val="24"/>
          <w:vertAlign w:val="superscript"/>
        </w:rPr>
        <w:fldChar w:fldCharType="end"/>
      </w:r>
      <w:r w:rsidRPr="00E11E2E">
        <w:rPr>
          <w:rFonts w:ascii="Book Antiqua" w:hAnsi="Book Antiqua" w:cs="Times New Roman"/>
          <w:kern w:val="24"/>
          <w:sz w:val="24"/>
          <w:szCs w:val="24"/>
          <w:vertAlign w:val="superscript"/>
        </w:rPr>
        <w:t>3]</w:t>
      </w:r>
      <w:r w:rsidRPr="00E11E2E">
        <w:rPr>
          <w:rFonts w:ascii="Book Antiqua" w:hAnsi="Book Antiqua" w:cs="Times New Roman"/>
          <w:sz w:val="24"/>
          <w:szCs w:val="24"/>
        </w:rPr>
        <w:t>. There are reports that an early diagnosis is associated with a higher GC risk for other family members</w:t>
      </w:r>
      <w:r w:rsidR="004E1C45" w:rsidRPr="00E11E2E">
        <w:rPr>
          <w:rFonts w:ascii="Book Antiqua" w:hAnsi="Book Antiqua" w:cs="Times New Roman"/>
          <w:kern w:val="24"/>
          <w:sz w:val="24"/>
          <w:szCs w:val="24"/>
          <w:vertAlign w:val="superscript"/>
        </w:rPr>
        <w:fldChar w:fldCharType="begin" w:fldLock="1"/>
      </w:r>
      <w:r w:rsidRPr="00E11E2E">
        <w:rPr>
          <w:rFonts w:ascii="Book Antiqua" w:hAnsi="Book Antiqua" w:cs="Times New Roman"/>
          <w:kern w:val="24"/>
          <w:sz w:val="24"/>
          <w:szCs w:val="24"/>
          <w:vertAlign w:val="superscript"/>
        </w:rPr>
        <w:instrText>ADDIN CSL_CITATION { "citationItems" : [ { "id" : "ITEM-1", "itemData" : { "DOI" : "10.1111/j.1751-2980.2009.00380.x", "ISSN" : "1751-2980 (Electronic)", "PMID" : "19659782", "abstract" : "Helicobacter pylori infects half the world's population and is responsible for a  considerable global health burden, including peptic ulcer disease and gastric cancer. The infection causes a chronic gastritis, the severity and distribution of which determine the clinical outcome. Bacterial, environmental and host genetic factors combine to define the degree of gastric damage. Most patients have a limited mild pan-gastritis with no significant clinical consequences. Antral-predominant gastritis is associated with high gastric acid output and an increased risk of duodenal ulcers. Corpus-predominant gastritis is associated with a reduction in gastric acid, multifocal gastric atrophy and an increased risk of gastric cancer. Host genetic factors are particularly important in defining the severity and extent of Helicobacter-induced gastritis. The most relevant and consistent genetic factors uncovered thus far are in the interleukin-1 and tumor necrosis factor-A gene clusters. These cytokines appear to play a key role in the pathophysiology of gastric cancer and their roles have been confirmed in animal models that mimic human gastric neoplasia. More genetic factors have also been uncovered and, with advancing technology, there is every prospect of defining a full genetic risk profile in the next decade. This will aid in targeting the testing and treatment of Helicobacter pylori, which offers a true opportunity to prevent and defeat this global killer.", "author" : [ { "dropping-particle" : "", "family" : "Shanks", "given" : "Anne-Marie", "non-dropping-particle" : "", "parse-names" : false, "suffix" : "" }, { "dropping-particle" : "", "family" : "El-Omar", "given" : "Emad M", "non-dropping-particle" : "", "parse-names" : false, "suffix" : "" } ], "container-title" : "Journal of digestive diseases", "id" : "ITEM-1", "issue" : "3", "issued" : { "date-parts" : [ [ "2009", "8" ] ] }, "language" : "eng", "page" : "157-164", "publisher-place" : "Australia", "title" : "Helicobacter pylori infection, host genetics and gastric cancer.", "type" : "article-journal", "volume" : "10" }, "uris" : [ "http://www.mendeley.com/documents/?uuid=89287260-5a81-4482-83e7-59f99e5f5383" ] } ], "mendeley" : { "formattedCitation" : "(1)", "manualFormatting" : "[1", "plainTextFormattedCitation" : "(1)", "previouslyFormattedCitation" : "(1)" }, "properties" : { "noteIndex" : 0 }, "schema" : "https://github.com/citation-style-language/schema/raw/master/csl-citation.json" }</w:instrText>
      </w:r>
      <w:r w:rsidR="004E1C45" w:rsidRPr="00E11E2E">
        <w:rPr>
          <w:rFonts w:ascii="Book Antiqua" w:hAnsi="Book Antiqua" w:cs="Times New Roman"/>
          <w:kern w:val="24"/>
          <w:sz w:val="24"/>
          <w:szCs w:val="24"/>
          <w:vertAlign w:val="superscript"/>
        </w:rPr>
        <w:fldChar w:fldCharType="separate"/>
      </w:r>
      <w:r w:rsidRPr="00E11E2E">
        <w:rPr>
          <w:rFonts w:ascii="Book Antiqua" w:hAnsi="Book Antiqua" w:cs="Times New Roman"/>
          <w:kern w:val="24"/>
          <w:sz w:val="24"/>
          <w:szCs w:val="24"/>
          <w:vertAlign w:val="superscript"/>
        </w:rPr>
        <w:t>[1</w:t>
      </w:r>
      <w:r w:rsidR="004E1C45" w:rsidRPr="00E11E2E">
        <w:rPr>
          <w:rFonts w:ascii="Book Antiqua" w:hAnsi="Book Antiqua" w:cs="Times New Roman"/>
          <w:kern w:val="24"/>
          <w:sz w:val="24"/>
          <w:szCs w:val="24"/>
          <w:vertAlign w:val="superscript"/>
        </w:rPr>
        <w:fldChar w:fldCharType="end"/>
      </w:r>
      <w:r w:rsidRPr="00E11E2E">
        <w:rPr>
          <w:rFonts w:ascii="Book Antiqua" w:hAnsi="Book Antiqua" w:cs="Times New Roman"/>
          <w:kern w:val="24"/>
          <w:sz w:val="24"/>
          <w:szCs w:val="24"/>
          <w:vertAlign w:val="superscript"/>
        </w:rPr>
        <w:t>4]</w:t>
      </w:r>
      <w:r w:rsidRPr="00E11E2E">
        <w:rPr>
          <w:rFonts w:ascii="Book Antiqua" w:hAnsi="Book Antiqua" w:cs="Times New Roman"/>
          <w:sz w:val="24"/>
          <w:szCs w:val="24"/>
        </w:rPr>
        <w:t xml:space="preserve"> and that a paternal history of GC correlates with an earlier diagnosis than in the general population</w:t>
      </w:r>
      <w:r w:rsidR="004E1C45" w:rsidRPr="00E11E2E">
        <w:rPr>
          <w:rFonts w:ascii="Book Antiqua" w:hAnsi="Book Antiqua" w:cs="Times New Roman"/>
          <w:kern w:val="24"/>
          <w:sz w:val="24"/>
          <w:szCs w:val="24"/>
          <w:vertAlign w:val="superscript"/>
        </w:rPr>
        <w:fldChar w:fldCharType="begin" w:fldLock="1"/>
      </w:r>
      <w:r w:rsidRPr="00E11E2E">
        <w:rPr>
          <w:rFonts w:ascii="Book Antiqua" w:hAnsi="Book Antiqua" w:cs="Times New Roman"/>
          <w:kern w:val="24"/>
          <w:sz w:val="24"/>
          <w:szCs w:val="24"/>
          <w:vertAlign w:val="superscript"/>
        </w:rPr>
        <w:instrText>ADDIN CSL_CITATION { "citationItems" : [ { "id" : "ITEM-1", "itemData" : { "DOI" : "10.1111/j.1751-2980.2009.00380.x", "ISSN" : "1751-2980 (Electronic)", "PMID" : "19659782", "abstract" : "Helicobacter pylori infects half the world's population and is responsible for a  considerable global health burden, including peptic ulcer disease and gastric cancer. The infection causes a chronic gastritis, the severity and distribution of which determine the clinical outcome. Bacterial, environmental and host genetic factors combine to define the degree of gastric damage. Most patients have a limited mild pan-gastritis with no significant clinical consequences. Antral-predominant gastritis is associated with high gastric acid output and an increased risk of duodenal ulcers. Corpus-predominant gastritis is associated with a reduction in gastric acid, multifocal gastric atrophy and an increased risk of gastric cancer. Host genetic factors are particularly important in defining the severity and extent of Helicobacter-induced gastritis. The most relevant and consistent genetic factors uncovered thus far are in the interleukin-1 and tumor necrosis factor-A gene clusters. These cytokines appear to play a key role in the pathophysiology of gastric cancer and their roles have been confirmed in animal models that mimic human gastric neoplasia. More genetic factors have also been uncovered and, with advancing technology, there is every prospect of defining a full genetic risk profile in the next decade. This will aid in targeting the testing and treatment of Helicobacter pylori, which offers a true opportunity to prevent and defeat this global killer.", "author" : [ { "dropping-particle" : "", "family" : "Shanks", "given" : "Anne-Marie", "non-dropping-particle" : "", "parse-names" : false, "suffix" : "" }, { "dropping-particle" : "", "family" : "El-Omar", "given" : "Emad M", "non-dropping-particle" : "", "parse-names" : false, "suffix" : "" } ], "container-title" : "Journal of digestive diseases", "id" : "ITEM-1", "issue" : "3", "issued" : { "date-parts" : [ [ "2009", "8" ] ] }, "language" : "eng", "page" : "157-164", "publisher-place" : "Australia", "title" : "Helicobacter pylori infection, host genetics and gastric cancer.", "type" : "article-journal", "volume" : "10" }, "uris" : [ "http://www.mendeley.com/documents/?uuid=89287260-5a81-4482-83e7-59f99e5f5383" ] } ], "mendeley" : { "formattedCitation" : "(1)", "manualFormatting" : "[1", "plainTextFormattedCitation" : "(1)", "previouslyFormattedCitation" : "(1)" }, "properties" : { "noteIndex" : 0 }, "schema" : "https://github.com/citation-style-language/schema/raw/master/csl-citation.json" }</w:instrText>
      </w:r>
      <w:r w:rsidR="004E1C45" w:rsidRPr="00E11E2E">
        <w:rPr>
          <w:rFonts w:ascii="Book Antiqua" w:hAnsi="Book Antiqua" w:cs="Times New Roman"/>
          <w:kern w:val="24"/>
          <w:sz w:val="24"/>
          <w:szCs w:val="24"/>
          <w:vertAlign w:val="superscript"/>
        </w:rPr>
        <w:fldChar w:fldCharType="separate"/>
      </w:r>
      <w:r w:rsidRPr="00E11E2E">
        <w:rPr>
          <w:rFonts w:ascii="Book Antiqua" w:hAnsi="Book Antiqua" w:cs="Times New Roman"/>
          <w:kern w:val="24"/>
          <w:sz w:val="24"/>
          <w:szCs w:val="24"/>
          <w:vertAlign w:val="superscript"/>
        </w:rPr>
        <w:t>[1</w:t>
      </w:r>
      <w:r w:rsidR="004E1C45" w:rsidRPr="00E11E2E">
        <w:rPr>
          <w:rFonts w:ascii="Book Antiqua" w:hAnsi="Book Antiqua" w:cs="Times New Roman"/>
          <w:kern w:val="24"/>
          <w:sz w:val="24"/>
          <w:szCs w:val="24"/>
          <w:vertAlign w:val="superscript"/>
        </w:rPr>
        <w:fldChar w:fldCharType="end"/>
      </w:r>
      <w:r w:rsidRPr="00E11E2E">
        <w:rPr>
          <w:rFonts w:ascii="Book Antiqua" w:hAnsi="Book Antiqua" w:cs="Times New Roman"/>
          <w:kern w:val="24"/>
          <w:sz w:val="24"/>
          <w:szCs w:val="24"/>
          <w:vertAlign w:val="superscript"/>
        </w:rPr>
        <w:t>5]</w:t>
      </w:r>
      <w:r w:rsidRPr="00E11E2E">
        <w:rPr>
          <w:rFonts w:ascii="Book Antiqua" w:hAnsi="Book Antiqua" w:cs="Times New Roman"/>
          <w:sz w:val="24"/>
          <w:szCs w:val="24"/>
        </w:rPr>
        <w:t>. The limitations of the hypothesis concerning the EOGC hereditary background are environmental risk factors shared by members of one family</w:t>
      </w:r>
      <w:r w:rsidR="004E1C45" w:rsidRPr="00E11E2E">
        <w:rPr>
          <w:rFonts w:ascii="Book Antiqua" w:hAnsi="Book Antiqua" w:cs="Times New Roman"/>
          <w:kern w:val="24"/>
          <w:sz w:val="24"/>
          <w:szCs w:val="24"/>
          <w:vertAlign w:val="superscript"/>
        </w:rPr>
        <w:fldChar w:fldCharType="begin" w:fldLock="1"/>
      </w:r>
      <w:r w:rsidRPr="00E11E2E">
        <w:rPr>
          <w:rFonts w:ascii="Book Antiqua" w:hAnsi="Book Antiqua" w:cs="Times New Roman"/>
          <w:kern w:val="24"/>
          <w:sz w:val="24"/>
          <w:szCs w:val="24"/>
          <w:vertAlign w:val="superscript"/>
        </w:rPr>
        <w:instrText>ADDIN CSL_CITATION { "citationItems" : [ { "id" : "ITEM-1", "itemData" : { "DOI" : "10.1111/j.1751-2980.2009.00380.x", "ISSN" : "1751-2980 (Electronic)", "PMID" : "19659782", "abstract" : "Helicobacter pylori infects half the world's population and is responsible for a  considerable global health burden, including peptic ulcer disease and gastric cancer. The infection causes a chronic gastritis, the severity and distribution of which determine the clinical outcome. Bacterial, environmental and host genetic factors combine to define the degree of gastric damage. Most patients have a limited mild pan-gastritis with no significant clinical consequences. Antral-predominant gastritis is associated with high gastric acid output and an increased risk of duodenal ulcers. Corpus-predominant gastritis is associated with a reduction in gastric acid, multifocal gastric atrophy and an increased risk of gastric cancer. Host genetic factors are particularly important in defining the severity and extent of Helicobacter-induced gastritis. The most relevant and consistent genetic factors uncovered thus far are in the interleukin-1 and tumor necrosis factor-A gene clusters. These cytokines appear to play a key role in the pathophysiology of gastric cancer and their roles have been confirmed in animal models that mimic human gastric neoplasia. More genetic factors have also been uncovered and, with advancing technology, there is every prospect of defining a full genetic risk profile in the next decade. This will aid in targeting the testing and treatment of Helicobacter pylori, which offers a true opportunity to prevent and defeat this global killer.", "author" : [ { "dropping-particle" : "", "family" : "Shanks", "given" : "Anne-Marie", "non-dropping-particle" : "", "parse-names" : false, "suffix" : "" }, { "dropping-particle" : "", "family" : "El-Omar", "given" : "Emad M", "non-dropping-particle" : "", "parse-names" : false, "suffix" : "" } ], "container-title" : "Journal of digestive diseases", "id" : "ITEM-1", "issue" : "3", "issued" : { "date-parts" : [ [ "2009", "8" ] ] }, "language" : "eng", "page" : "157-164", "publisher-place" : "Australia", "title" : "Helicobacter pylori infection, host genetics and gastric cancer.", "type" : "article-journal", "volume" : "10" }, "uris" : [ "http://www.mendeley.com/documents/?uuid=89287260-5a81-4482-83e7-59f99e5f5383" ] } ], "mendeley" : { "formattedCitation" : "(1)", "manualFormatting" : "[1", "plainTextFormattedCitation" : "(1)", "previouslyFormattedCitation" : "(1)" }, "properties" : { "noteIndex" : 0 }, "schema" : "https://github.com/citation-style-language/schema/raw/master/csl-citation.json" }</w:instrText>
      </w:r>
      <w:r w:rsidR="004E1C45" w:rsidRPr="00E11E2E">
        <w:rPr>
          <w:rFonts w:ascii="Book Antiqua" w:hAnsi="Book Antiqua" w:cs="Times New Roman"/>
          <w:kern w:val="24"/>
          <w:sz w:val="24"/>
          <w:szCs w:val="24"/>
          <w:vertAlign w:val="superscript"/>
        </w:rPr>
        <w:fldChar w:fldCharType="separate"/>
      </w:r>
      <w:r w:rsidRPr="00E11E2E">
        <w:rPr>
          <w:rFonts w:ascii="Book Antiqua" w:hAnsi="Book Antiqua" w:cs="Times New Roman"/>
          <w:kern w:val="24"/>
          <w:sz w:val="24"/>
          <w:szCs w:val="24"/>
          <w:vertAlign w:val="superscript"/>
        </w:rPr>
        <w:t>[1</w:t>
      </w:r>
      <w:r w:rsidR="004E1C45" w:rsidRPr="00E11E2E">
        <w:rPr>
          <w:rFonts w:ascii="Book Antiqua" w:hAnsi="Book Antiqua" w:cs="Times New Roman"/>
          <w:kern w:val="24"/>
          <w:sz w:val="24"/>
          <w:szCs w:val="24"/>
          <w:vertAlign w:val="superscript"/>
        </w:rPr>
        <w:fldChar w:fldCharType="end"/>
      </w:r>
      <w:r w:rsidRPr="00E11E2E">
        <w:rPr>
          <w:rFonts w:ascii="Book Antiqua" w:hAnsi="Book Antiqua" w:cs="Times New Roman"/>
          <w:kern w:val="24"/>
          <w:sz w:val="24"/>
          <w:szCs w:val="24"/>
          <w:vertAlign w:val="superscript"/>
        </w:rPr>
        <w:t>6]</w:t>
      </w:r>
      <w:r w:rsidRPr="00E11E2E">
        <w:rPr>
          <w:rFonts w:ascii="Book Antiqua" w:hAnsi="Book Antiqua" w:cs="Times New Roman"/>
          <w:sz w:val="24"/>
          <w:szCs w:val="24"/>
        </w:rPr>
        <w:t>.</w:t>
      </w:r>
    </w:p>
    <w:p w:rsidR="00423E49" w:rsidRPr="00E11E2E" w:rsidRDefault="00423E49" w:rsidP="00AE309D">
      <w:pPr>
        <w:pStyle w:val="Bezodstpw1"/>
        <w:spacing w:line="360" w:lineRule="auto"/>
        <w:ind w:firstLineChars="100" w:firstLine="240"/>
        <w:jc w:val="both"/>
        <w:rPr>
          <w:rFonts w:ascii="Book Antiqua" w:hAnsi="Book Antiqua" w:cs="Times New Roman"/>
          <w:sz w:val="24"/>
          <w:szCs w:val="24"/>
        </w:rPr>
      </w:pPr>
      <w:r w:rsidRPr="00E11E2E">
        <w:rPr>
          <w:rFonts w:ascii="Book Antiqua" w:hAnsi="Book Antiqua" w:cs="Times New Roman"/>
          <w:sz w:val="24"/>
          <w:szCs w:val="24"/>
        </w:rPr>
        <w:t>From another point of view, the early occurrence of GC may not be a fault of the host but of a specific tumour that is very aggressive, skips the consecutive steps of traditional neoplastic development and does not stay latent for years but, instead, progresses rapidly after the first alterations.</w:t>
      </w:r>
      <w:r w:rsidR="00F81443">
        <w:rPr>
          <w:rFonts w:ascii="Book Antiqua" w:hAnsi="Book Antiqua" w:cs="Times New Roman" w:hint="eastAsia"/>
          <w:sz w:val="24"/>
          <w:szCs w:val="24"/>
          <w:lang w:eastAsia="zh-CN"/>
        </w:rPr>
        <w:t xml:space="preserve"> </w:t>
      </w:r>
      <w:r w:rsidRPr="00E11E2E">
        <w:rPr>
          <w:rFonts w:ascii="Book Antiqua" w:hAnsi="Book Antiqua" w:cs="Times New Roman"/>
          <w:sz w:val="24"/>
          <w:szCs w:val="24"/>
        </w:rPr>
        <w:t>The latter hypothesis would be supported by a poorer prognosis in younger patients</w:t>
      </w:r>
      <w:r w:rsidRPr="00E11E2E">
        <w:rPr>
          <w:rFonts w:ascii="Book Antiqua" w:hAnsi="Book Antiqua" w:cs="Times New Roman"/>
          <w:sz w:val="24"/>
          <w:szCs w:val="24"/>
          <w:vertAlign w:val="superscript"/>
        </w:rPr>
        <w:t>[17]</w:t>
      </w:r>
      <w:r w:rsidRPr="00E11E2E">
        <w:rPr>
          <w:rFonts w:ascii="Book Antiqua" w:hAnsi="Book Antiqua" w:cs="Times New Roman"/>
          <w:sz w:val="24"/>
          <w:szCs w:val="24"/>
        </w:rPr>
        <w:t xml:space="preserve">. However, others have </w:t>
      </w:r>
      <w:r w:rsidRPr="00E11E2E">
        <w:rPr>
          <w:rFonts w:ascii="Book Antiqua" w:hAnsi="Book Antiqua" w:cs="Times New Roman"/>
          <w:sz w:val="24"/>
          <w:szCs w:val="24"/>
        </w:rPr>
        <w:lastRenderedPageBreak/>
        <w:t>claimed that prognosis, similar to that in older patients, depends on an early diagnosis and curative resection</w:t>
      </w:r>
      <w:r w:rsidR="00F81443">
        <w:rPr>
          <w:rFonts w:ascii="Book Antiqua" w:hAnsi="Book Antiqua" w:cs="Times New Roman"/>
          <w:sz w:val="24"/>
          <w:szCs w:val="24"/>
          <w:vertAlign w:val="superscript"/>
        </w:rPr>
        <w:t>[18,</w:t>
      </w:r>
      <w:r w:rsidRPr="00E11E2E">
        <w:rPr>
          <w:rFonts w:ascii="Book Antiqua" w:hAnsi="Book Antiqua" w:cs="Times New Roman"/>
          <w:sz w:val="24"/>
          <w:szCs w:val="24"/>
          <w:vertAlign w:val="superscript"/>
        </w:rPr>
        <w:t>19]</w:t>
      </w:r>
      <w:r w:rsidRPr="00E11E2E">
        <w:rPr>
          <w:rFonts w:ascii="Book Antiqua" w:hAnsi="Book Antiqua" w:cs="Times New Roman"/>
          <w:sz w:val="24"/>
          <w:szCs w:val="24"/>
        </w:rPr>
        <w:t>.</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r w:rsidRPr="00E11E2E">
        <w:rPr>
          <w:rFonts w:ascii="Book Antiqua" w:hAnsi="Book Antiqua" w:cs="Times New Roman"/>
          <w:sz w:val="24"/>
          <w:szCs w:val="24"/>
        </w:rPr>
        <w:t xml:space="preserve">Nevertheless, Kwak </w:t>
      </w:r>
      <w:r w:rsidRPr="00E11E2E">
        <w:rPr>
          <w:rFonts w:ascii="Book Antiqua" w:hAnsi="Book Antiqua" w:cs="Times New Roman"/>
          <w:i/>
          <w:sz w:val="24"/>
          <w:szCs w:val="24"/>
        </w:rPr>
        <w:t>et al</w:t>
      </w:r>
      <w:r w:rsidR="004E1C45" w:rsidRPr="00E11E2E">
        <w:rPr>
          <w:rFonts w:ascii="Book Antiqua" w:hAnsi="Book Antiqua" w:cs="Times New Roman"/>
          <w:kern w:val="24"/>
          <w:sz w:val="24"/>
          <w:szCs w:val="24"/>
          <w:vertAlign w:val="superscript"/>
        </w:rPr>
        <w:fldChar w:fldCharType="begin" w:fldLock="1"/>
      </w:r>
      <w:r w:rsidRPr="00E11E2E">
        <w:rPr>
          <w:rFonts w:ascii="Book Antiqua" w:hAnsi="Book Antiqua" w:cs="Times New Roman"/>
          <w:kern w:val="24"/>
          <w:sz w:val="24"/>
          <w:szCs w:val="24"/>
          <w:vertAlign w:val="superscript"/>
        </w:rPr>
        <w:instrText>ADDIN CSL_CITATION { "citationItems" : [ { "id" : "ITEM-1", "itemData" : { "DOI" : "10.1111/j.1751-2980.2009.00380.x", "ISSN" : "1751-2980 (Electronic)", "PMID" : "19659782", "abstract" : "Helicobacter pylori infects half the world's population and is responsible for a  considerable global health burden, including peptic ulcer disease and gastric cancer. The infection causes a chronic gastritis, the severity and distribution of which determine the clinical outcome. Bacterial, environmental and host genetic factors combine to define the degree of gastric damage. Most patients have a limited mild pan-gastritis with no significant clinical consequences. Antral-predominant gastritis is associated with high gastric acid output and an increased risk of duodenal ulcers. Corpus-predominant gastritis is associated with a reduction in gastric acid, multifocal gastric atrophy and an increased risk of gastric cancer. Host genetic factors are particularly important in defining the severity and extent of Helicobacter-induced gastritis. The most relevant and consistent genetic factors uncovered thus far are in the interleukin-1 and tumor necrosis factor-A gene clusters. These cytokines appear to play a key role in the pathophysiology of gastric cancer and their roles have been confirmed in animal models that mimic human gastric neoplasia. More genetic factors have also been uncovered and, with advancing technology, there is every prospect of defining a full genetic risk profile in the next decade. This will aid in targeting the testing and treatment of Helicobacter pylori, which offers a true opportunity to prevent and defeat this global killer.", "author" : [ { "dropping-particle" : "", "family" : "Shanks", "given" : "Anne-Marie", "non-dropping-particle" : "", "parse-names" : false, "suffix" : "" }, { "dropping-particle" : "", "family" : "El-Omar", "given" : "Emad M", "non-dropping-particle" : "", "parse-names" : false, "suffix" : "" } ], "container-title" : "Journal of digestive diseases", "id" : "ITEM-1", "issue" : "3", "issued" : { "date-parts" : [ [ "2009", "8" ] ] }, "language" : "eng", "page" : "157-164", "publisher-place" : "Australia", "title" : "Helicobacter pylori infection, host genetics and gastric cancer.", "type" : "article-journal", "volume" : "10" }, "uris" : [ "http://www.mendeley.com/documents/?uuid=89287260-5a81-4482-83e7-59f99e5f5383" ] } ], "mendeley" : { "formattedCitation" : "(1)", "manualFormatting" : "[1", "plainTextFormattedCitation" : "(1)", "previouslyFormattedCitation" : "(1)" }, "properties" : { "noteIndex" : 0 }, "schema" : "https://github.com/citation-style-language/schema/raw/master/csl-citation.json" }</w:instrText>
      </w:r>
      <w:r w:rsidR="004E1C45" w:rsidRPr="00E11E2E">
        <w:rPr>
          <w:rFonts w:ascii="Book Antiqua" w:hAnsi="Book Antiqua" w:cs="Times New Roman"/>
          <w:kern w:val="24"/>
          <w:sz w:val="24"/>
          <w:szCs w:val="24"/>
          <w:vertAlign w:val="superscript"/>
        </w:rPr>
        <w:fldChar w:fldCharType="separate"/>
      </w:r>
      <w:r w:rsidRPr="00E11E2E">
        <w:rPr>
          <w:rFonts w:ascii="Book Antiqua" w:hAnsi="Book Antiqua" w:cs="Times New Roman"/>
          <w:kern w:val="24"/>
          <w:sz w:val="24"/>
          <w:szCs w:val="24"/>
          <w:vertAlign w:val="superscript"/>
        </w:rPr>
        <w:t>[1</w:t>
      </w:r>
      <w:r w:rsidR="004E1C45" w:rsidRPr="00E11E2E">
        <w:rPr>
          <w:rFonts w:ascii="Book Antiqua" w:hAnsi="Book Antiqua" w:cs="Times New Roman"/>
          <w:kern w:val="24"/>
          <w:sz w:val="24"/>
          <w:szCs w:val="24"/>
          <w:vertAlign w:val="superscript"/>
        </w:rPr>
        <w:fldChar w:fldCharType="end"/>
      </w:r>
      <w:r w:rsidRPr="00E11E2E">
        <w:rPr>
          <w:rFonts w:ascii="Book Antiqua" w:hAnsi="Book Antiqua" w:cs="Times New Roman"/>
          <w:kern w:val="24"/>
          <w:sz w:val="24"/>
          <w:szCs w:val="24"/>
          <w:vertAlign w:val="superscript"/>
        </w:rPr>
        <w:t xml:space="preserve">5] </w:t>
      </w:r>
      <w:r w:rsidRPr="00E11E2E">
        <w:rPr>
          <w:rFonts w:ascii="Book Antiqua" w:hAnsi="Book Antiqua" w:cs="Times New Roman"/>
          <w:sz w:val="24"/>
          <w:szCs w:val="24"/>
        </w:rPr>
        <w:t>suggested that there is a third, pragmatic reason for the diagnosis of EOGC likely concerning patients with a family history of GC. These patients undergo screening earlier, or, unlike the general population</w:t>
      </w:r>
      <w:r w:rsidR="00C90A40" w:rsidRPr="00E11E2E">
        <w:rPr>
          <w:rFonts w:ascii="Book Antiqua" w:hAnsi="Book Antiqua" w:cs="Times New Roman"/>
          <w:sz w:val="24"/>
          <w:szCs w:val="24"/>
        </w:rPr>
        <w:t xml:space="preserve"> (</w:t>
      </w:r>
      <w:r w:rsidRPr="00E11E2E">
        <w:rPr>
          <w:rFonts w:ascii="Book Antiqua" w:hAnsi="Book Antiqua" w:cs="Times New Roman"/>
          <w:sz w:val="24"/>
          <w:szCs w:val="24"/>
        </w:rPr>
        <w:t>screening standards depend on the country</w:t>
      </w:r>
      <w:r w:rsidR="00C90A40" w:rsidRPr="00E11E2E">
        <w:rPr>
          <w:rFonts w:ascii="Book Antiqua" w:hAnsi="Book Antiqua" w:cs="Times New Roman"/>
          <w:sz w:val="24"/>
          <w:szCs w:val="24"/>
        </w:rPr>
        <w:t>)</w:t>
      </w:r>
      <w:r w:rsidRPr="00E11E2E">
        <w:rPr>
          <w:rFonts w:ascii="Book Antiqua" w:hAnsi="Book Antiqua" w:cs="Times New Roman"/>
          <w:sz w:val="24"/>
          <w:szCs w:val="24"/>
        </w:rPr>
        <w:t>.</w:t>
      </w:r>
      <w:r w:rsidR="00F81443">
        <w:rPr>
          <w:rFonts w:ascii="Book Antiqua" w:hAnsi="Book Antiqua" w:cs="Times New Roman" w:hint="eastAsia"/>
          <w:sz w:val="24"/>
          <w:szCs w:val="24"/>
          <w:lang w:eastAsia="zh-CN"/>
        </w:rPr>
        <w:t xml:space="preserve"> </w:t>
      </w:r>
      <w:r w:rsidRPr="00E11E2E">
        <w:rPr>
          <w:rFonts w:ascii="Book Antiqua" w:hAnsi="Book Antiqua" w:cs="Times New Roman"/>
          <w:sz w:val="24"/>
          <w:szCs w:val="24"/>
        </w:rPr>
        <w:t xml:space="preserve">Consequently, their tumours are recognized at an early stage; however, under common circumstances, these tumours would </w:t>
      </w:r>
      <w:r w:rsidR="005C5CCC" w:rsidRPr="00E11E2E">
        <w:rPr>
          <w:rFonts w:ascii="Book Antiqua" w:hAnsi="Book Antiqua" w:cs="Times New Roman"/>
          <w:sz w:val="24"/>
          <w:szCs w:val="24"/>
        </w:rPr>
        <w:t>be found</w:t>
      </w:r>
      <w:r w:rsidRPr="00E11E2E">
        <w:rPr>
          <w:rFonts w:ascii="Book Antiqua" w:hAnsi="Book Antiqua" w:cs="Times New Roman"/>
          <w:sz w:val="24"/>
          <w:szCs w:val="24"/>
        </w:rPr>
        <w:t xml:space="preserve"> later, at an older age, when the cancer has caused symptoms.</w:t>
      </w:r>
    </w:p>
    <w:p w:rsidR="00423E49" w:rsidRPr="00DF64BD" w:rsidRDefault="00423E49" w:rsidP="00AE309D">
      <w:pPr>
        <w:pStyle w:val="Bezodstpw1"/>
        <w:spacing w:line="360" w:lineRule="auto"/>
        <w:ind w:firstLineChars="100" w:firstLine="240"/>
        <w:jc w:val="both"/>
        <w:rPr>
          <w:rFonts w:ascii="Book Antiqua" w:hAnsi="Book Antiqua" w:cs="Times New Roman"/>
          <w:sz w:val="24"/>
          <w:szCs w:val="24"/>
        </w:rPr>
      </w:pPr>
    </w:p>
    <w:p w:rsidR="00423E49" w:rsidRPr="00DF64BD" w:rsidRDefault="00423E49" w:rsidP="00AE309D">
      <w:pPr>
        <w:pStyle w:val="Bezodstpw1"/>
        <w:spacing w:line="360" w:lineRule="auto"/>
        <w:jc w:val="both"/>
        <w:rPr>
          <w:rFonts w:ascii="Book Antiqua" w:hAnsi="Book Antiqua" w:cs="Times New Roman"/>
          <w:sz w:val="24"/>
          <w:szCs w:val="24"/>
        </w:rPr>
      </w:pPr>
      <w:r w:rsidRPr="00DF64BD">
        <w:rPr>
          <w:rFonts w:ascii="Book Antiqua" w:hAnsi="Book Antiqua" w:cs="Times New Roman"/>
          <w:b/>
          <w:bCs/>
          <w:sz w:val="24"/>
          <w:szCs w:val="24"/>
        </w:rPr>
        <w:t>HEREDITARY GASTRIC CANCER</w:t>
      </w:r>
    </w:p>
    <w:p w:rsidR="00423E49" w:rsidRPr="00DF64BD" w:rsidRDefault="00423E49" w:rsidP="00AE309D">
      <w:pPr>
        <w:pStyle w:val="Bezodstpw1"/>
        <w:spacing w:line="360" w:lineRule="auto"/>
        <w:jc w:val="both"/>
        <w:rPr>
          <w:rFonts w:ascii="Book Antiqua" w:hAnsi="Book Antiqua" w:cs="Times New Roman"/>
          <w:sz w:val="24"/>
          <w:szCs w:val="24"/>
          <w:lang w:eastAsia="zh-CN"/>
        </w:rPr>
      </w:pPr>
      <w:r w:rsidRPr="00DF64BD">
        <w:rPr>
          <w:rFonts w:ascii="Book Antiqua" w:hAnsi="Book Antiqua" w:cs="Times New Roman"/>
          <w:sz w:val="24"/>
          <w:szCs w:val="24"/>
        </w:rPr>
        <w:t>In approximately 30</w:t>
      </w:r>
      <w:r w:rsidR="00F81443" w:rsidRPr="00DF64BD">
        <w:rPr>
          <w:rFonts w:ascii="Book Antiqua" w:hAnsi="Book Antiqua" w:cs="Times New Roman"/>
          <w:sz w:val="24"/>
          <w:szCs w:val="24"/>
        </w:rPr>
        <w:t>%</w:t>
      </w:r>
      <w:r w:rsidRPr="00DF64BD">
        <w:rPr>
          <w:rFonts w:ascii="Book Antiqua" w:hAnsi="Book Antiqua" w:cs="Times New Roman"/>
          <w:sz w:val="24"/>
          <w:szCs w:val="24"/>
        </w:rPr>
        <w:t>-40% of cases of hereditary diffuse gastric cancer (HDGC), an E-cadherin (</w:t>
      </w:r>
      <w:r w:rsidRPr="00DF64BD">
        <w:rPr>
          <w:rFonts w:ascii="Book Antiqua" w:hAnsi="Book Antiqua" w:cs="Times New Roman"/>
          <w:i/>
          <w:sz w:val="24"/>
          <w:szCs w:val="24"/>
        </w:rPr>
        <w:t>CDH1</w:t>
      </w:r>
      <w:r w:rsidRPr="00DF64BD">
        <w:rPr>
          <w:rFonts w:ascii="Book Antiqua" w:hAnsi="Book Antiqua" w:cs="Times New Roman"/>
          <w:sz w:val="24"/>
          <w:szCs w:val="24"/>
        </w:rPr>
        <w:t>) germline mutation is detectable</w:t>
      </w:r>
      <w:r w:rsidRPr="00DF64BD">
        <w:rPr>
          <w:rFonts w:ascii="Book Antiqua" w:hAnsi="Book Antiqua" w:cs="Times New Roman"/>
          <w:sz w:val="24"/>
          <w:szCs w:val="24"/>
          <w:vertAlign w:val="superscript"/>
        </w:rPr>
        <w:t>[20]</w:t>
      </w:r>
      <w:r w:rsidRPr="00DF64BD">
        <w:rPr>
          <w:rFonts w:ascii="Book Antiqua" w:hAnsi="Book Antiqua" w:cs="Times New Roman"/>
          <w:sz w:val="24"/>
          <w:szCs w:val="24"/>
        </w:rPr>
        <w:t xml:space="preserve">.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is the gene that encodes E-cadherin, the protein that is essential in cell-cell adhesion</w:t>
      </w:r>
      <w:r w:rsidRPr="00DF64BD">
        <w:rPr>
          <w:rFonts w:ascii="Book Antiqua" w:hAnsi="Book Antiqua" w:cs="Times New Roman"/>
          <w:sz w:val="24"/>
          <w:szCs w:val="24"/>
          <w:vertAlign w:val="superscript"/>
        </w:rPr>
        <w:t>[21]</w:t>
      </w:r>
      <w:r w:rsidRPr="00DF64BD">
        <w:rPr>
          <w:rFonts w:ascii="Book Antiqua" w:hAnsi="Book Antiqua" w:cs="Times New Roman"/>
          <w:sz w:val="24"/>
          <w:szCs w:val="24"/>
        </w:rPr>
        <w:t xml:space="preserve">. A high percentage (approximately 80%) of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mutation carriers generate premature termination codons, which induce nonsense-mediated decay (NMD), resulting in impaired transcript loss. This predisposition can then be the cause of the early onset of GC in </w:t>
      </w:r>
      <w:r w:rsidRPr="00DF64BD">
        <w:rPr>
          <w:rFonts w:ascii="Book Antiqua" w:hAnsi="Book Antiqua" w:cs="Times New Roman"/>
          <w:i/>
          <w:sz w:val="24"/>
          <w:szCs w:val="24"/>
        </w:rPr>
        <w:t>CDH1</w:t>
      </w:r>
      <w:r w:rsidRPr="00DF64BD">
        <w:rPr>
          <w:rFonts w:ascii="Book Antiqua" w:hAnsi="Book Antiqua" w:cs="Times New Roman"/>
          <w:sz w:val="24"/>
          <w:szCs w:val="24"/>
        </w:rPr>
        <w:t>-mutation carriers</w:t>
      </w:r>
      <w:r w:rsidRPr="00DF64BD">
        <w:rPr>
          <w:rFonts w:ascii="Book Antiqua" w:hAnsi="Book Antiqua" w:cs="Times New Roman"/>
          <w:sz w:val="24"/>
          <w:szCs w:val="24"/>
          <w:vertAlign w:val="superscript"/>
        </w:rPr>
        <w:t>[22]</w:t>
      </w:r>
      <w:r w:rsidRPr="00DF64BD">
        <w:rPr>
          <w:rFonts w:ascii="Book Antiqua" w:hAnsi="Book Antiqua" w:cs="Times New Roman"/>
          <w:sz w:val="24"/>
          <w:szCs w:val="24"/>
        </w:rPr>
        <w:t xml:space="preserve">. It has been proven that heterozygous germline mutations of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causes an autosomal dominant condition that is associated with HDGC</w:t>
      </w:r>
      <w:r w:rsidRPr="00DF64BD">
        <w:rPr>
          <w:rFonts w:ascii="Book Antiqua" w:hAnsi="Book Antiqua" w:cs="Times New Roman"/>
          <w:sz w:val="24"/>
          <w:szCs w:val="24"/>
          <w:vertAlign w:val="superscript"/>
        </w:rPr>
        <w:t>[23-25]</w:t>
      </w:r>
      <w:r w:rsidRPr="00DF64BD">
        <w:rPr>
          <w:rFonts w:ascii="Book Antiqua" w:hAnsi="Book Antiqua" w:cs="Times New Roman"/>
          <w:sz w:val="24"/>
          <w:szCs w:val="24"/>
        </w:rPr>
        <w:t xml:space="preserve">. The mutation may be caused by several mechanisms, including deletion, frameshift mutation, missense mutation and splice-site mutation. Moreover, the mutation in HDGC may affect any part of the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gene length</w:t>
      </w:r>
      <w:r w:rsidRPr="00DF64BD">
        <w:rPr>
          <w:rFonts w:ascii="Book Antiqua" w:hAnsi="Book Antiqua" w:cs="Times New Roman"/>
          <w:sz w:val="24"/>
          <w:szCs w:val="24"/>
          <w:vertAlign w:val="superscript"/>
        </w:rPr>
        <w:t>[26]</w:t>
      </w:r>
      <w:r w:rsidRPr="00DF64BD">
        <w:rPr>
          <w:rFonts w:ascii="Book Antiqua" w:hAnsi="Book Antiqua" w:cs="Times New Roman"/>
          <w:sz w:val="24"/>
          <w:szCs w:val="24"/>
        </w:rPr>
        <w:t>, including the untranslated regions</w:t>
      </w:r>
      <w:r w:rsidRPr="00DF64BD">
        <w:rPr>
          <w:rFonts w:ascii="Book Antiqua" w:hAnsi="Book Antiqua" w:cs="Times New Roman"/>
          <w:sz w:val="24"/>
          <w:szCs w:val="24"/>
          <w:vertAlign w:val="superscript"/>
        </w:rPr>
        <w:t>[24]</w:t>
      </w:r>
      <w:r w:rsidRPr="00DF64BD">
        <w:rPr>
          <w:rFonts w:ascii="Book Antiqua" w:hAnsi="Book Antiqua" w:cs="Times New Roman"/>
          <w:sz w:val="24"/>
          <w:szCs w:val="24"/>
        </w:rPr>
        <w:t>, which distinguish HDGC from sporadic diffuse GC where mutations are observed in exons 7-9 of the E-cadherin gene</w:t>
      </w:r>
      <w:r w:rsidRPr="00DF64BD">
        <w:rPr>
          <w:rFonts w:ascii="Book Antiqua" w:hAnsi="Book Antiqua" w:cs="Times New Roman"/>
          <w:sz w:val="24"/>
          <w:szCs w:val="24"/>
          <w:vertAlign w:val="superscript"/>
        </w:rPr>
        <w:t>[26]</w:t>
      </w:r>
      <w:r w:rsidR="00F81443">
        <w:rPr>
          <w:rFonts w:ascii="Book Antiqua" w:hAnsi="Book Antiqua" w:cs="Times New Roman"/>
          <w:sz w:val="24"/>
          <w:szCs w:val="24"/>
        </w:rPr>
        <w:t>.</w:t>
      </w:r>
    </w:p>
    <w:p w:rsidR="00423E49" w:rsidRPr="00DF64BD" w:rsidRDefault="00423E49" w:rsidP="00F81443">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It has been observed that the penetration of mutations is high, between 70</w:t>
      </w:r>
      <w:r w:rsidR="00F81443" w:rsidRPr="00DF64BD">
        <w:rPr>
          <w:rFonts w:ascii="Book Antiqua" w:hAnsi="Book Antiqua" w:cs="Times New Roman"/>
          <w:sz w:val="24"/>
          <w:szCs w:val="24"/>
        </w:rPr>
        <w:t>%</w:t>
      </w:r>
      <w:r w:rsidRPr="00DF64BD">
        <w:rPr>
          <w:rFonts w:ascii="Book Antiqua" w:hAnsi="Book Antiqua" w:cs="Times New Roman"/>
          <w:sz w:val="24"/>
          <w:szCs w:val="24"/>
        </w:rPr>
        <w:t>-80%</w:t>
      </w:r>
      <w:r w:rsidRPr="00DF64BD">
        <w:rPr>
          <w:rFonts w:ascii="Book Antiqua" w:hAnsi="Book Antiqua" w:cs="Times New Roman"/>
          <w:sz w:val="24"/>
          <w:szCs w:val="24"/>
          <w:vertAlign w:val="superscript"/>
        </w:rPr>
        <w:t>[27]</w:t>
      </w:r>
      <w:r w:rsidRPr="00DF64BD">
        <w:rPr>
          <w:rFonts w:ascii="Book Antiqua" w:hAnsi="Book Antiqua" w:cs="Times New Roman"/>
          <w:sz w:val="24"/>
          <w:szCs w:val="24"/>
        </w:rPr>
        <w:t>. The remaining allele is deactivated by mutation and loss of function by various mechanisms. The most frequent method is methylation</w:t>
      </w:r>
      <w:r w:rsidRPr="00DF64BD">
        <w:rPr>
          <w:rFonts w:ascii="Book Antiqua" w:hAnsi="Book Antiqua" w:cs="Times New Roman"/>
          <w:sz w:val="24"/>
          <w:szCs w:val="24"/>
          <w:vertAlign w:val="superscript"/>
        </w:rPr>
        <w:t>[28-31]</w:t>
      </w:r>
      <w:r w:rsidRPr="00DF64BD">
        <w:rPr>
          <w:rFonts w:ascii="Book Antiqua" w:hAnsi="Book Antiqua" w:cs="Times New Roman"/>
          <w:sz w:val="24"/>
          <w:szCs w:val="24"/>
        </w:rPr>
        <w:t>. However, as long as the remaining allele works properly, the gastric mucosa remains normal. Arguably, the second hit could occur simultaneously in multiple cells in cooperation with micro-environmental cofactors</w:t>
      </w:r>
      <w:r w:rsidR="00084DC5">
        <w:rPr>
          <w:rFonts w:ascii="Book Antiqua" w:hAnsi="Book Antiqua" w:cs="Times New Roman"/>
          <w:sz w:val="24"/>
          <w:szCs w:val="24"/>
          <w:vertAlign w:val="superscript"/>
        </w:rPr>
        <w:t>[32,</w:t>
      </w:r>
      <w:r w:rsidRPr="00DF64BD">
        <w:rPr>
          <w:rFonts w:ascii="Book Antiqua" w:hAnsi="Book Antiqua" w:cs="Times New Roman"/>
          <w:sz w:val="24"/>
          <w:szCs w:val="24"/>
          <w:vertAlign w:val="superscript"/>
        </w:rPr>
        <w:t>33]</w:t>
      </w:r>
      <w:r w:rsidRPr="00DF64BD">
        <w:rPr>
          <w:rFonts w:ascii="Book Antiqua" w:hAnsi="Book Antiqua" w:cs="Times New Roman"/>
          <w:sz w:val="24"/>
          <w:szCs w:val="24"/>
        </w:rPr>
        <w:t>, possibly explaining the multifocal growth pattern</w:t>
      </w:r>
      <w:r w:rsidR="00390191">
        <w:rPr>
          <w:rFonts w:ascii="Book Antiqua" w:hAnsi="Book Antiqua" w:cs="Times New Roman"/>
          <w:sz w:val="24"/>
          <w:szCs w:val="24"/>
        </w:rPr>
        <w:t xml:space="preserve"> of the tumour</w:t>
      </w:r>
      <w:r w:rsidRPr="00DF64BD">
        <w:rPr>
          <w:rFonts w:ascii="Book Antiqua" w:hAnsi="Book Antiqua" w:cs="Times New Roman"/>
          <w:sz w:val="24"/>
          <w:szCs w:val="24"/>
          <w:vertAlign w:val="superscript"/>
        </w:rPr>
        <w:t>[34]</w:t>
      </w:r>
      <w:r w:rsidRPr="00DF64BD">
        <w:rPr>
          <w:rFonts w:ascii="Book Antiqua" w:hAnsi="Book Antiqua" w:cs="Times New Roman"/>
          <w:sz w:val="24"/>
          <w:szCs w:val="24"/>
        </w:rPr>
        <w:t>.</w:t>
      </w:r>
    </w:p>
    <w:p w:rsidR="00423E49" w:rsidRPr="00DF64BD" w:rsidRDefault="00423E49" w:rsidP="00F81443">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lastRenderedPageBreak/>
        <w:t>The loss of E-cadherin function together with overexpression of epidermal growth factor receptor (</w:t>
      </w:r>
      <w:r w:rsidR="00805B25">
        <w:rPr>
          <w:rFonts w:ascii="Book Antiqua" w:hAnsi="Book Antiqua" w:cs="Times New Roman"/>
          <w:sz w:val="24"/>
          <w:szCs w:val="24"/>
        </w:rPr>
        <w:t>EGFR</w:t>
      </w:r>
      <w:r w:rsidRPr="00DF64BD">
        <w:rPr>
          <w:rFonts w:ascii="Book Antiqua" w:hAnsi="Book Antiqua" w:cs="Times New Roman"/>
          <w:sz w:val="24"/>
          <w:szCs w:val="24"/>
        </w:rPr>
        <w:t>) is the most common alteration in diffuse-type GC. Mutant E-cadherin binds EGFR poorly, or the bound complex is less stable. This may enhance EGFR surface motility and facilitate its activation</w:t>
      </w:r>
      <w:r w:rsidRPr="00DF64BD">
        <w:rPr>
          <w:rFonts w:ascii="Book Antiqua" w:hAnsi="Book Antiqua" w:cs="Times New Roman"/>
          <w:sz w:val="24"/>
          <w:szCs w:val="24"/>
          <w:vertAlign w:val="superscript"/>
        </w:rPr>
        <w:t>[35]</w:t>
      </w:r>
      <w:r w:rsidRPr="00DF64BD">
        <w:rPr>
          <w:rFonts w:ascii="Book Antiqua" w:hAnsi="Book Antiqua" w:cs="Times New Roman"/>
          <w:sz w:val="24"/>
          <w:szCs w:val="24"/>
        </w:rPr>
        <w:t>.</w:t>
      </w:r>
    </w:p>
    <w:p w:rsidR="00423E49" w:rsidRPr="00DF64BD" w:rsidRDefault="00423E49" w:rsidP="00F81443">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Two-thirds of the families susceptible to HGC lack the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mutation, and their predisposition remains genetically unexplained. It is </w:t>
      </w:r>
      <w:r w:rsidR="00903316">
        <w:rPr>
          <w:rFonts w:ascii="Book Antiqua" w:hAnsi="Book Antiqua" w:cs="Times New Roman"/>
          <w:sz w:val="24"/>
          <w:szCs w:val="24"/>
        </w:rPr>
        <w:t xml:space="preserve">likely </w:t>
      </w:r>
      <w:r w:rsidRPr="00DF64BD">
        <w:rPr>
          <w:rFonts w:ascii="Book Antiqua" w:hAnsi="Book Antiqua" w:cs="Times New Roman"/>
          <w:sz w:val="24"/>
          <w:szCs w:val="24"/>
        </w:rPr>
        <w:t xml:space="preserve">caused by alterations in other genes. Oliviera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[36]</w:t>
      </w:r>
      <w:r w:rsidRPr="00DF64BD">
        <w:rPr>
          <w:rFonts w:ascii="Book Antiqua" w:hAnsi="Book Antiqua" w:cs="Times New Roman"/>
          <w:sz w:val="24"/>
          <w:szCs w:val="24"/>
        </w:rPr>
        <w:t xml:space="preserve"> suggested that there may be a need to screen these families for</w:t>
      </w:r>
      <w:r w:rsidR="00903316">
        <w:rPr>
          <w:rFonts w:ascii="Book Antiqua" w:hAnsi="Book Antiqua" w:cs="Times New Roman"/>
          <w:sz w:val="24"/>
          <w:szCs w:val="24"/>
        </w:rPr>
        <w:t xml:space="preserve"> a</w:t>
      </w:r>
      <w:r w:rsidRPr="00DF64BD">
        <w:rPr>
          <w:rFonts w:ascii="Book Antiqua" w:hAnsi="Book Antiqua" w:cs="Times New Roman"/>
          <w:sz w:val="24"/>
          <w:szCs w:val="24"/>
        </w:rPr>
        <w:t xml:space="preserve"> </w:t>
      </w:r>
      <w:r w:rsidRPr="00DF64BD">
        <w:rPr>
          <w:rFonts w:ascii="Book Antiqua" w:hAnsi="Book Antiqua" w:cs="Times New Roman"/>
          <w:i/>
          <w:sz w:val="24"/>
          <w:szCs w:val="24"/>
        </w:rPr>
        <w:t>TP53</w:t>
      </w:r>
      <w:r w:rsidRPr="00DF64BD">
        <w:rPr>
          <w:rFonts w:ascii="Book Antiqua" w:hAnsi="Book Antiqua" w:cs="Times New Roman"/>
          <w:sz w:val="24"/>
          <w:szCs w:val="24"/>
        </w:rPr>
        <w:t xml:space="preserve"> mutation. Majewski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[37]</w:t>
      </w:r>
      <w:r w:rsidRPr="00DF64BD">
        <w:rPr>
          <w:rFonts w:ascii="Book Antiqua" w:hAnsi="Book Antiqua" w:cs="Times New Roman"/>
          <w:sz w:val="24"/>
          <w:szCs w:val="24"/>
        </w:rPr>
        <w:t xml:space="preserve"> identified a mutation in the </w:t>
      </w:r>
      <w:r w:rsidRPr="00DF64BD">
        <w:rPr>
          <w:rFonts w:ascii="Book Antiqua" w:hAnsi="Book Antiqua" w:cs="Times New Roman"/>
          <w:i/>
          <w:sz w:val="24"/>
          <w:szCs w:val="24"/>
        </w:rPr>
        <w:t>CTNNA1</w:t>
      </w:r>
      <w:r w:rsidRPr="00DF64BD">
        <w:rPr>
          <w:rFonts w:ascii="Book Antiqua" w:hAnsi="Book Antiqua" w:cs="Times New Roman"/>
          <w:sz w:val="24"/>
          <w:szCs w:val="24"/>
        </w:rPr>
        <w:t xml:space="preserve"> gene encoding the α-E-catenin protein, which functions in the same complex as E-cadherin.</w:t>
      </w:r>
      <w:r w:rsidR="00F81443">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However, this alternative mutation has not reoccurred in other studies, likely because of the founder effect or other unrecognized factors, such as geographical influences</w:t>
      </w:r>
      <w:r w:rsidRPr="00DF64BD">
        <w:rPr>
          <w:rFonts w:ascii="Book Antiqua" w:hAnsi="Book Antiqua" w:cs="Times New Roman"/>
          <w:sz w:val="24"/>
          <w:szCs w:val="24"/>
          <w:vertAlign w:val="superscript"/>
        </w:rPr>
        <w:t>[38]</w:t>
      </w:r>
      <w:r w:rsidR="00F81443">
        <w:rPr>
          <w:rFonts w:ascii="Book Antiqua" w:hAnsi="Book Antiqua" w:cs="Times New Roman"/>
          <w:sz w:val="24"/>
          <w:szCs w:val="24"/>
        </w:rPr>
        <w:t>.</w:t>
      </w:r>
    </w:p>
    <w:p w:rsidR="00423E49" w:rsidRPr="00DF64BD" w:rsidRDefault="00423E49" w:rsidP="00F81443">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The role of </w:t>
      </w:r>
      <w:r w:rsidRPr="00DF64BD">
        <w:rPr>
          <w:rFonts w:ascii="Book Antiqua" w:hAnsi="Book Antiqua" w:cs="Times New Roman"/>
          <w:i/>
          <w:iCs/>
          <w:sz w:val="24"/>
          <w:szCs w:val="24"/>
        </w:rPr>
        <w:t>CDH1</w:t>
      </w:r>
      <w:r w:rsidRPr="00DF64BD">
        <w:rPr>
          <w:rFonts w:ascii="Book Antiqua" w:hAnsi="Book Antiqua" w:cs="Times New Roman"/>
          <w:sz w:val="24"/>
          <w:szCs w:val="24"/>
        </w:rPr>
        <w:t xml:space="preserve"> mutation needs further investigation. It was reported that the absence of E-cadherin in a transgenic mouse model did not cause gastric malignancy. The authors suggested that the loss of E-cadherin induces possible pre-cancerous lesions in the gastric mucosa but may not be sufficient for its malignant conversion</w:t>
      </w:r>
      <w:r w:rsidRPr="00DF64BD">
        <w:rPr>
          <w:rFonts w:ascii="Book Antiqua" w:hAnsi="Book Antiqua" w:cs="Times New Roman"/>
          <w:kern w:val="24"/>
          <w:sz w:val="24"/>
          <w:szCs w:val="24"/>
          <w:vertAlign w:val="superscript"/>
        </w:rPr>
        <w:t>[39]</w:t>
      </w:r>
      <w:r w:rsidRPr="00DF64BD">
        <w:rPr>
          <w:rFonts w:ascii="Book Antiqua" w:hAnsi="Book Antiqua" w:cs="Times New Roman"/>
          <w:sz w:val="24"/>
          <w:szCs w:val="24"/>
        </w:rPr>
        <w:t>. It is possible that environmental influences modify the disease risk in susceptible individuals</w:t>
      </w:r>
      <w:r w:rsidRPr="00DF64BD">
        <w:rPr>
          <w:rFonts w:ascii="Book Antiqua" w:hAnsi="Book Antiqua" w:cs="Times New Roman"/>
          <w:sz w:val="24"/>
          <w:szCs w:val="24"/>
          <w:vertAlign w:val="superscript"/>
        </w:rPr>
        <w:t>[33]</w:t>
      </w:r>
      <w:r w:rsidRPr="00DF64BD">
        <w:rPr>
          <w:rFonts w:ascii="Book Antiqua" w:hAnsi="Book Antiqua" w:cs="Times New Roman"/>
          <w:sz w:val="24"/>
          <w:szCs w:val="24"/>
        </w:rPr>
        <w:t>.</w:t>
      </w:r>
    </w:p>
    <w:p w:rsidR="00423E49" w:rsidRPr="00DF64BD" w:rsidRDefault="00423E49" w:rsidP="00F81443">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Another example of HGC occurs in Lynch syndrome (hereditary nonpolyposis colon cancer, HNPCC). The essence of this disease is a mutation within mismatch repair genes (</w:t>
      </w:r>
      <w:r w:rsidRPr="00DF64BD">
        <w:rPr>
          <w:rFonts w:ascii="Book Antiqua" w:hAnsi="Book Antiqua" w:cs="Times New Roman"/>
          <w:i/>
          <w:iCs/>
          <w:sz w:val="24"/>
          <w:szCs w:val="24"/>
        </w:rPr>
        <w:t>MSH2, MSH6, PMS2</w:t>
      </w:r>
      <w:r w:rsidRPr="00DF64BD">
        <w:rPr>
          <w:rFonts w:ascii="Book Antiqua" w:hAnsi="Book Antiqua" w:cs="Times New Roman"/>
          <w:sz w:val="24"/>
          <w:szCs w:val="24"/>
        </w:rPr>
        <w:t xml:space="preserve"> or </w:t>
      </w:r>
      <w:r w:rsidRPr="00DF64BD">
        <w:rPr>
          <w:rFonts w:ascii="Book Antiqua" w:hAnsi="Book Antiqua" w:cs="Times New Roman"/>
          <w:i/>
          <w:iCs/>
          <w:sz w:val="24"/>
          <w:szCs w:val="24"/>
        </w:rPr>
        <w:t>MLH1</w:t>
      </w:r>
      <w:r w:rsidRPr="00DF64BD">
        <w:rPr>
          <w:rFonts w:ascii="Book Antiqua" w:hAnsi="Book Antiqua" w:cs="Times New Roman"/>
          <w:sz w:val="24"/>
          <w:szCs w:val="24"/>
        </w:rPr>
        <w:t>), leading to an increased mutation rate in oncogenes and tumour suppressor genes and the development of a neoplasm. Frequent extracolonic locations of tumours in HNPCC are the stomach and uterus</w:t>
      </w:r>
      <w:r w:rsidRPr="00DF64BD">
        <w:rPr>
          <w:rFonts w:ascii="Book Antiqua" w:hAnsi="Book Antiqua" w:cs="Times New Roman"/>
          <w:sz w:val="24"/>
          <w:szCs w:val="24"/>
          <w:vertAlign w:val="superscript"/>
        </w:rPr>
        <w:t>[40]</w:t>
      </w:r>
      <w:r w:rsidRPr="00DF64BD">
        <w:rPr>
          <w:rFonts w:ascii="Book Antiqua" w:hAnsi="Book Antiqua" w:cs="Times New Roman"/>
          <w:sz w:val="24"/>
          <w:szCs w:val="24"/>
        </w:rPr>
        <w:t>. According to some reports, HNPCC increases the lifetime risk of gastric cancer up to 7%</w:t>
      </w:r>
      <w:r w:rsidRPr="00DF64BD">
        <w:rPr>
          <w:rFonts w:ascii="Book Antiqua" w:hAnsi="Book Antiqua" w:cs="Times New Roman"/>
          <w:sz w:val="24"/>
          <w:szCs w:val="24"/>
          <w:vertAlign w:val="superscript"/>
        </w:rPr>
        <w:t>[41]</w:t>
      </w:r>
      <w:r w:rsidRPr="00DF64BD">
        <w:rPr>
          <w:rFonts w:ascii="Book Antiqua" w:hAnsi="Book Antiqua" w:cs="Times New Roman"/>
          <w:sz w:val="24"/>
          <w:szCs w:val="24"/>
        </w:rPr>
        <w:t>.</w:t>
      </w:r>
    </w:p>
    <w:p w:rsidR="00423E49" w:rsidRPr="00DF64BD" w:rsidRDefault="00423E49" w:rsidP="00F81443">
      <w:pPr>
        <w:pStyle w:val="Bezodstpw1"/>
        <w:spacing w:line="360" w:lineRule="auto"/>
        <w:ind w:firstLineChars="100" w:firstLine="240"/>
        <w:jc w:val="both"/>
        <w:rPr>
          <w:rFonts w:ascii="Book Antiqua" w:hAnsi="Book Antiqua" w:cs="Times New Roman"/>
          <w:color w:val="C0504D"/>
          <w:sz w:val="24"/>
          <w:szCs w:val="24"/>
        </w:rPr>
      </w:pPr>
      <w:r w:rsidRPr="00DF64BD">
        <w:rPr>
          <w:rFonts w:ascii="Book Antiqua" w:hAnsi="Book Antiqua" w:cs="Times New Roman"/>
          <w:sz w:val="24"/>
          <w:szCs w:val="24"/>
        </w:rPr>
        <w:t>Other rarely occurring mutations connected with HGC are:</w:t>
      </w:r>
      <w:r w:rsidR="00F81443">
        <w:rPr>
          <w:rFonts w:ascii="Book Antiqua" w:hAnsi="Book Antiqua" w:cs="Times New Roman" w:hint="eastAsia"/>
          <w:sz w:val="24"/>
          <w:szCs w:val="24"/>
          <w:lang w:eastAsia="zh-CN"/>
        </w:rPr>
        <w:t xml:space="preserve"> </w:t>
      </w:r>
      <w:r w:rsidRPr="00DF64BD">
        <w:rPr>
          <w:rFonts w:ascii="Book Antiqua" w:hAnsi="Book Antiqua" w:cs="Times New Roman"/>
          <w:i/>
          <w:iCs/>
          <w:sz w:val="24"/>
          <w:szCs w:val="24"/>
        </w:rPr>
        <w:t>TP53</w:t>
      </w:r>
      <w:r w:rsidRPr="00DF64BD">
        <w:rPr>
          <w:rFonts w:ascii="Book Antiqua" w:hAnsi="Book Antiqua" w:cs="Times New Roman"/>
          <w:sz w:val="24"/>
          <w:szCs w:val="24"/>
        </w:rPr>
        <w:t xml:space="preserve"> mutation in Li-Fraumeni syndrome</w:t>
      </w:r>
      <w:r w:rsidR="00F81443">
        <w:rPr>
          <w:rFonts w:ascii="Book Antiqua" w:hAnsi="Book Antiqua" w:cs="Times New Roman"/>
          <w:sz w:val="24"/>
          <w:szCs w:val="24"/>
          <w:vertAlign w:val="superscript"/>
        </w:rPr>
        <w:t>[42,</w:t>
      </w:r>
      <w:r w:rsidRPr="00DF64BD">
        <w:rPr>
          <w:rFonts w:ascii="Book Antiqua" w:hAnsi="Book Antiqua" w:cs="Times New Roman"/>
          <w:sz w:val="24"/>
          <w:szCs w:val="24"/>
          <w:vertAlign w:val="superscript"/>
        </w:rPr>
        <w:t>43]</w:t>
      </w:r>
      <w:r w:rsidRPr="00DF64BD">
        <w:rPr>
          <w:rFonts w:ascii="Book Antiqua" w:hAnsi="Book Antiqua" w:cs="Times New Roman"/>
          <w:sz w:val="24"/>
          <w:szCs w:val="24"/>
        </w:rPr>
        <w:t xml:space="preserve">, </w:t>
      </w:r>
      <w:r w:rsidRPr="00DF64BD">
        <w:rPr>
          <w:rFonts w:ascii="Book Antiqua" w:hAnsi="Book Antiqua" w:cs="Times New Roman"/>
          <w:i/>
          <w:sz w:val="24"/>
          <w:szCs w:val="24"/>
        </w:rPr>
        <w:t>STK11</w:t>
      </w:r>
      <w:r w:rsidRPr="00DF64BD">
        <w:rPr>
          <w:rFonts w:ascii="Book Antiqua" w:hAnsi="Book Antiqua" w:cs="Times New Roman"/>
          <w:sz w:val="24"/>
          <w:szCs w:val="24"/>
        </w:rPr>
        <w:t xml:space="preserve"> mutation in Peutz-Jeghers syndrome</w:t>
      </w:r>
      <w:r w:rsidR="00F81443">
        <w:rPr>
          <w:rFonts w:ascii="Book Antiqua" w:hAnsi="Book Antiqua" w:cs="Times New Roman"/>
          <w:sz w:val="24"/>
          <w:szCs w:val="24"/>
          <w:vertAlign w:val="superscript"/>
        </w:rPr>
        <w:t>[44,</w:t>
      </w:r>
      <w:r w:rsidRPr="00DF64BD">
        <w:rPr>
          <w:rFonts w:ascii="Book Antiqua" w:hAnsi="Book Antiqua" w:cs="Times New Roman"/>
          <w:sz w:val="24"/>
          <w:szCs w:val="24"/>
          <w:vertAlign w:val="superscript"/>
        </w:rPr>
        <w:t>45]</w:t>
      </w:r>
      <w:r w:rsidRPr="00DF64BD">
        <w:rPr>
          <w:rFonts w:ascii="Book Antiqua" w:hAnsi="Book Antiqua" w:cs="Times New Roman"/>
          <w:sz w:val="24"/>
          <w:szCs w:val="24"/>
        </w:rPr>
        <w:t xml:space="preserve">, </w:t>
      </w:r>
      <w:r w:rsidRPr="00DF64BD">
        <w:rPr>
          <w:rFonts w:ascii="Book Antiqua" w:hAnsi="Book Antiqua" w:cs="Times New Roman"/>
          <w:i/>
          <w:sz w:val="24"/>
          <w:szCs w:val="24"/>
        </w:rPr>
        <w:t>APC</w:t>
      </w:r>
      <w:r w:rsidRPr="00DF64BD">
        <w:rPr>
          <w:rFonts w:ascii="Book Antiqua" w:hAnsi="Book Antiqua" w:cs="Times New Roman"/>
          <w:sz w:val="24"/>
          <w:szCs w:val="24"/>
        </w:rPr>
        <w:t xml:space="preserve"> mutation in familial adenomatous polyposis</w:t>
      </w:r>
      <w:r w:rsidRPr="00DF64BD">
        <w:rPr>
          <w:rFonts w:ascii="Book Antiqua" w:hAnsi="Book Antiqua" w:cs="Times New Roman"/>
          <w:sz w:val="24"/>
          <w:szCs w:val="24"/>
          <w:vertAlign w:val="superscript"/>
        </w:rPr>
        <w:t>[46, 47]</w:t>
      </w:r>
      <w:r w:rsidRPr="00DF64BD">
        <w:rPr>
          <w:rFonts w:ascii="Book Antiqua" w:hAnsi="Book Antiqua" w:cs="Times New Roman"/>
          <w:sz w:val="24"/>
          <w:szCs w:val="24"/>
        </w:rPr>
        <w:t xml:space="preserve"> and </w:t>
      </w:r>
      <w:r w:rsidRPr="00DF64BD">
        <w:rPr>
          <w:rFonts w:ascii="Book Antiqua" w:hAnsi="Book Antiqua" w:cs="Times New Roman"/>
          <w:i/>
          <w:sz w:val="24"/>
          <w:szCs w:val="24"/>
        </w:rPr>
        <w:t>BRCA2</w:t>
      </w:r>
      <w:r w:rsidRPr="00DF64BD">
        <w:rPr>
          <w:rFonts w:ascii="Book Antiqua" w:hAnsi="Book Antiqua" w:cs="Times New Roman"/>
          <w:sz w:val="24"/>
          <w:szCs w:val="24"/>
        </w:rPr>
        <w:t xml:space="preserve"> mutation</w:t>
      </w:r>
      <w:r w:rsidRPr="00DF64BD">
        <w:rPr>
          <w:rFonts w:ascii="Book Antiqua" w:hAnsi="Book Antiqua" w:cs="Times New Roman"/>
          <w:sz w:val="24"/>
          <w:szCs w:val="24"/>
          <w:vertAlign w:val="superscript"/>
        </w:rPr>
        <w:t>[48]</w:t>
      </w:r>
      <w:r w:rsidRPr="00DF64BD">
        <w:rPr>
          <w:rFonts w:ascii="Book Antiqua" w:hAnsi="Book Antiqua" w:cs="Times New Roman"/>
          <w:sz w:val="24"/>
          <w:szCs w:val="24"/>
        </w:rPr>
        <w:t>.</w:t>
      </w:r>
    </w:p>
    <w:p w:rsidR="00423E49" w:rsidRPr="00F81443" w:rsidRDefault="00423E49" w:rsidP="00AE309D">
      <w:pPr>
        <w:pStyle w:val="Bezodstpw1"/>
        <w:spacing w:line="360" w:lineRule="auto"/>
        <w:jc w:val="both"/>
        <w:rPr>
          <w:rFonts w:ascii="Book Antiqua" w:hAnsi="Book Antiqua" w:cs="Times New Roman"/>
          <w:color w:val="C0504D"/>
          <w:sz w:val="24"/>
          <w:szCs w:val="24"/>
        </w:rPr>
      </w:pPr>
    </w:p>
    <w:p w:rsidR="00423E49" w:rsidRPr="00DF64BD" w:rsidRDefault="00423E49" w:rsidP="00AE309D">
      <w:pPr>
        <w:pStyle w:val="Bezodstpw1"/>
        <w:spacing w:line="360" w:lineRule="auto"/>
        <w:jc w:val="both"/>
        <w:rPr>
          <w:rFonts w:ascii="Book Antiqua" w:hAnsi="Book Antiqua" w:cs="Times New Roman"/>
          <w:sz w:val="24"/>
          <w:szCs w:val="24"/>
        </w:rPr>
      </w:pPr>
      <w:r w:rsidRPr="00DF64BD">
        <w:rPr>
          <w:rFonts w:ascii="Book Antiqua" w:hAnsi="Book Antiqua" w:cs="Times New Roman"/>
          <w:b/>
          <w:bCs/>
          <w:sz w:val="24"/>
          <w:szCs w:val="24"/>
        </w:rPr>
        <w:t>SPORADIC GASTRIC CANCER</w:t>
      </w:r>
    </w:p>
    <w:p w:rsidR="00423E49" w:rsidRPr="00DF64BD" w:rsidRDefault="00423E49" w:rsidP="00F81443">
      <w:pPr>
        <w:pStyle w:val="Bezodstpw1"/>
        <w:spacing w:line="360" w:lineRule="auto"/>
        <w:jc w:val="both"/>
        <w:rPr>
          <w:rFonts w:ascii="Book Antiqua" w:hAnsi="Book Antiqua" w:cs="Times New Roman"/>
          <w:sz w:val="24"/>
          <w:szCs w:val="24"/>
          <w:lang w:eastAsia="zh-CN"/>
        </w:rPr>
      </w:pPr>
      <w:r w:rsidRPr="00DF64BD">
        <w:rPr>
          <w:rFonts w:ascii="Book Antiqua" w:hAnsi="Book Antiqua" w:cs="Times New Roman"/>
          <w:sz w:val="24"/>
          <w:szCs w:val="24"/>
        </w:rPr>
        <w:lastRenderedPageBreak/>
        <w:t xml:space="preserve">The cause of GC </w:t>
      </w:r>
      <w:r w:rsidR="00F81443">
        <w:rPr>
          <w:rFonts w:ascii="Book Antiqua" w:hAnsi="Book Antiqua" w:cs="Times New Roman"/>
          <w:sz w:val="24"/>
          <w:szCs w:val="24"/>
        </w:rPr>
        <w:t>is multifactorial and includes:</w:t>
      </w:r>
      <w:r w:rsidR="00F81443">
        <w:rPr>
          <w:rFonts w:ascii="Book Antiqua" w:hAnsi="Book Antiqua" w:cs="Times New Roman" w:hint="eastAsia"/>
          <w:sz w:val="24"/>
          <w:szCs w:val="24"/>
          <w:lang w:eastAsia="zh-CN"/>
        </w:rPr>
        <w:t xml:space="preserve"> (1) </w:t>
      </w:r>
      <w:r w:rsidRPr="00DF64BD">
        <w:rPr>
          <w:rFonts w:ascii="Book Antiqua" w:hAnsi="Book Antiqua" w:cs="Times New Roman"/>
          <w:sz w:val="24"/>
          <w:szCs w:val="24"/>
        </w:rPr>
        <w:t>genetic susceptibility expressed in a single-nucleotide polymorphism (SNP)</w:t>
      </w:r>
      <w:r w:rsidR="00F81443">
        <w:rPr>
          <w:rFonts w:ascii="Book Antiqua" w:hAnsi="Book Antiqua" w:cs="Times New Roman" w:hint="eastAsia"/>
          <w:sz w:val="24"/>
          <w:szCs w:val="24"/>
          <w:lang w:eastAsia="zh-CN"/>
        </w:rPr>
        <w:t xml:space="preserve">; (2) </w:t>
      </w:r>
      <w:r w:rsidRPr="00DF64BD">
        <w:rPr>
          <w:rFonts w:ascii="Book Antiqua" w:hAnsi="Book Antiqua" w:cs="Times New Roman"/>
          <w:sz w:val="24"/>
          <w:szCs w:val="24"/>
        </w:rPr>
        <w:t xml:space="preserve">various acquired mutations </w:t>
      </w:r>
      <w:r w:rsidR="00F81443">
        <w:rPr>
          <w:rFonts w:ascii="Book Antiqua" w:hAnsi="Book Antiqua" w:cs="Times New Roman" w:hint="eastAsia"/>
          <w:sz w:val="24"/>
          <w:szCs w:val="24"/>
          <w:lang w:eastAsia="zh-CN"/>
        </w:rPr>
        <w:t>[</w:t>
      </w:r>
      <w:r w:rsidR="00E7579E" w:rsidRPr="00F81443">
        <w:rPr>
          <w:rFonts w:ascii="Book Antiqua" w:hAnsi="Book Antiqua" w:cs="Times New Roman"/>
          <w:i/>
          <w:sz w:val="24"/>
          <w:szCs w:val="24"/>
        </w:rPr>
        <w:t>e.g.</w:t>
      </w:r>
      <w:r w:rsidRPr="00F81443">
        <w:rPr>
          <w:rFonts w:ascii="Book Antiqua" w:hAnsi="Book Antiqua" w:cs="Times New Roman"/>
          <w:i/>
          <w:sz w:val="24"/>
          <w:szCs w:val="24"/>
        </w:rPr>
        <w:t xml:space="preserve"> </w:t>
      </w:r>
      <w:r w:rsidRPr="00DF64BD">
        <w:rPr>
          <w:rFonts w:ascii="Book Antiqua" w:hAnsi="Book Antiqua" w:cs="Times New Roman"/>
          <w:sz w:val="24"/>
          <w:szCs w:val="24"/>
        </w:rPr>
        <w:t>chromosomal instability (CIN), microsatellite instability (MSI), somatic gene mutations, epigenetic alterations</w:t>
      </w:r>
      <w:r w:rsidR="00F81443">
        <w:rPr>
          <w:rFonts w:ascii="Book Antiqua" w:hAnsi="Book Antiqua" w:cs="Times New Roman" w:hint="eastAsia"/>
          <w:sz w:val="24"/>
          <w:szCs w:val="24"/>
          <w:lang w:eastAsia="zh-CN"/>
        </w:rPr>
        <w:t>]</w:t>
      </w:r>
      <w:r w:rsidRPr="00DF64BD">
        <w:rPr>
          <w:rFonts w:ascii="Book Antiqua" w:hAnsi="Book Antiqua" w:cs="Times New Roman"/>
          <w:sz w:val="24"/>
          <w:szCs w:val="24"/>
        </w:rPr>
        <w:t xml:space="preserve"> that are heterogeneous intra- and interpatient</w:t>
      </w:r>
      <w:r w:rsidRPr="00DF64BD">
        <w:rPr>
          <w:rFonts w:ascii="Book Antiqua" w:hAnsi="Book Antiqua" w:cs="Times New Roman"/>
          <w:sz w:val="24"/>
          <w:szCs w:val="24"/>
          <w:vertAlign w:val="superscript"/>
        </w:rPr>
        <w:t>[38]</w:t>
      </w:r>
      <w:r w:rsidR="00F81443">
        <w:rPr>
          <w:rFonts w:ascii="Book Antiqua" w:hAnsi="Book Antiqua" w:cs="Times New Roman" w:hint="eastAsia"/>
          <w:sz w:val="24"/>
          <w:szCs w:val="24"/>
          <w:lang w:eastAsia="zh-CN"/>
        </w:rPr>
        <w:t>;</w:t>
      </w:r>
      <w:r w:rsidRPr="00DF64BD">
        <w:rPr>
          <w:rFonts w:ascii="Book Antiqua" w:hAnsi="Book Antiqua" w:cs="Times New Roman"/>
          <w:sz w:val="24"/>
          <w:szCs w:val="24"/>
        </w:rPr>
        <w:t xml:space="preserve"> </w:t>
      </w:r>
      <w:r w:rsidR="00F81443">
        <w:rPr>
          <w:rFonts w:ascii="Book Antiqua" w:hAnsi="Book Antiqua" w:cs="Times New Roman" w:hint="eastAsia"/>
          <w:sz w:val="24"/>
          <w:szCs w:val="24"/>
          <w:lang w:eastAsia="zh-CN"/>
        </w:rPr>
        <w:t xml:space="preserve">and (3) </w:t>
      </w:r>
      <w:r w:rsidRPr="00DF64BD">
        <w:rPr>
          <w:rFonts w:ascii="Book Antiqua" w:hAnsi="Book Antiqua" w:cs="Times New Roman"/>
          <w:sz w:val="24"/>
          <w:szCs w:val="24"/>
        </w:rPr>
        <w:t xml:space="preserve">favourable environmental circumstances </w:t>
      </w:r>
      <w:r w:rsidR="00F81443">
        <w:rPr>
          <w:rFonts w:ascii="Book Antiqua" w:hAnsi="Book Antiqua" w:cs="Times New Roman" w:hint="eastAsia"/>
          <w:sz w:val="24"/>
          <w:szCs w:val="24"/>
          <w:lang w:eastAsia="zh-CN"/>
        </w:rPr>
        <w:t>[</w:t>
      </w:r>
      <w:r w:rsidRPr="00F81443">
        <w:rPr>
          <w:rFonts w:ascii="Book Antiqua" w:hAnsi="Book Antiqua" w:cs="Times New Roman"/>
          <w:i/>
          <w:sz w:val="24"/>
          <w:szCs w:val="24"/>
        </w:rPr>
        <w:t>e.g.</w:t>
      </w:r>
      <w:r w:rsidRPr="00DF64BD">
        <w:rPr>
          <w:rFonts w:ascii="Book Antiqua" w:hAnsi="Book Antiqua" w:cs="Times New Roman"/>
          <w:sz w:val="24"/>
          <w:szCs w:val="24"/>
        </w:rPr>
        <w:t xml:space="preserve">, diet, </w:t>
      </w:r>
      <w:r w:rsidR="00F81443" w:rsidRPr="00F81443">
        <w:rPr>
          <w:rFonts w:ascii="Book Antiqua" w:hAnsi="Book Antiqua" w:cs="Times New Roman"/>
          <w:bCs/>
          <w:i/>
          <w:sz w:val="24"/>
          <w:szCs w:val="24"/>
        </w:rPr>
        <w:t>Helicobacter pylori</w:t>
      </w:r>
      <w:r w:rsidR="00F81443">
        <w:rPr>
          <w:rFonts w:ascii="Book Antiqua" w:hAnsi="Book Antiqua" w:cs="Times New Roman" w:hint="eastAsia"/>
          <w:b/>
          <w:bCs/>
          <w:sz w:val="24"/>
          <w:szCs w:val="24"/>
          <w:lang w:eastAsia="zh-CN"/>
        </w:rPr>
        <w:t xml:space="preserve"> </w:t>
      </w:r>
      <w:r w:rsidR="00F81443" w:rsidRPr="00F81443">
        <w:rPr>
          <w:rFonts w:ascii="Book Antiqua" w:hAnsi="Book Antiqua" w:cs="Times New Roman" w:hint="eastAsia"/>
          <w:bCs/>
          <w:sz w:val="24"/>
          <w:szCs w:val="24"/>
          <w:lang w:eastAsia="zh-CN"/>
        </w:rPr>
        <w:t>(</w:t>
      </w:r>
      <w:r w:rsidRPr="00DF64BD">
        <w:rPr>
          <w:rFonts w:ascii="Book Antiqua" w:hAnsi="Book Antiqua" w:cs="Times New Roman"/>
          <w:i/>
          <w:iCs/>
          <w:sz w:val="24"/>
          <w:szCs w:val="24"/>
        </w:rPr>
        <w:t>H. pylori</w:t>
      </w:r>
      <w:r w:rsidR="00F81443" w:rsidRPr="00F81443">
        <w:rPr>
          <w:rFonts w:ascii="Book Antiqua" w:hAnsi="Book Antiqua" w:cs="Times New Roman" w:hint="eastAsia"/>
          <w:iCs/>
          <w:sz w:val="24"/>
          <w:szCs w:val="24"/>
          <w:lang w:eastAsia="zh-CN"/>
        </w:rPr>
        <w:t>)</w:t>
      </w:r>
      <w:r w:rsidRPr="00DF64BD">
        <w:rPr>
          <w:rFonts w:ascii="Book Antiqua" w:hAnsi="Book Antiqua" w:cs="Times New Roman"/>
          <w:iCs/>
          <w:sz w:val="24"/>
          <w:szCs w:val="24"/>
        </w:rPr>
        <w:t xml:space="preserve"> infection</w:t>
      </w:r>
      <w:r w:rsidRPr="00DF64BD">
        <w:rPr>
          <w:rFonts w:ascii="Book Antiqua" w:hAnsi="Book Antiqua" w:cs="Times New Roman"/>
          <w:sz w:val="24"/>
          <w:szCs w:val="24"/>
        </w:rPr>
        <w:t>, EBV infection, and smoking</w:t>
      </w:r>
      <w:r w:rsidR="00F81443">
        <w:rPr>
          <w:rFonts w:ascii="Book Antiqua" w:hAnsi="Book Antiqua" w:cs="Times New Roman" w:hint="eastAsia"/>
          <w:sz w:val="24"/>
          <w:szCs w:val="24"/>
          <w:lang w:eastAsia="zh-CN"/>
        </w:rPr>
        <w:t>]</w:t>
      </w:r>
      <w:r w:rsidR="00F81443">
        <w:rPr>
          <w:rFonts w:ascii="Book Antiqua" w:hAnsi="Book Antiqua" w:cs="Times New Roman"/>
          <w:sz w:val="24"/>
          <w:szCs w:val="24"/>
          <w:vertAlign w:val="superscript"/>
        </w:rPr>
        <w:t>[49,</w:t>
      </w:r>
      <w:r w:rsidRPr="00DF64BD">
        <w:rPr>
          <w:rFonts w:ascii="Book Antiqua" w:hAnsi="Book Antiqua" w:cs="Times New Roman"/>
          <w:sz w:val="24"/>
          <w:szCs w:val="24"/>
          <w:vertAlign w:val="superscript"/>
        </w:rPr>
        <w:t>50]</w:t>
      </w:r>
      <w:r w:rsidRPr="00DF64BD">
        <w:rPr>
          <w:rFonts w:ascii="Book Antiqua" w:hAnsi="Book Antiqua" w:cs="Times New Roman"/>
          <w:sz w:val="24"/>
          <w:szCs w:val="24"/>
        </w:rPr>
        <w:t>.</w:t>
      </w:r>
    </w:p>
    <w:p w:rsidR="00423E49" w:rsidRPr="00DF64BD" w:rsidRDefault="00423E49" w:rsidP="00F81443">
      <w:pPr>
        <w:pStyle w:val="Bezodstpw1"/>
        <w:spacing w:line="360" w:lineRule="auto"/>
        <w:ind w:firstLineChars="100" w:firstLine="240"/>
        <w:jc w:val="both"/>
        <w:rPr>
          <w:rFonts w:ascii="Book Antiqua" w:hAnsi="Book Antiqua" w:cs="Times New Roman"/>
          <w:color w:val="C0504D"/>
          <w:sz w:val="24"/>
          <w:szCs w:val="24"/>
        </w:rPr>
      </w:pPr>
      <w:r w:rsidRPr="00DF64BD">
        <w:rPr>
          <w:rFonts w:ascii="Book Antiqua" w:hAnsi="Book Antiqua" w:cs="Times New Roman"/>
          <w:sz w:val="24"/>
          <w:szCs w:val="24"/>
        </w:rPr>
        <w:t>Nishimura</w:t>
      </w:r>
      <w:r w:rsidRPr="00DF64BD">
        <w:rPr>
          <w:rFonts w:ascii="Book Antiqua" w:hAnsi="Book Antiqua" w:cs="Times New Roman"/>
          <w:sz w:val="24"/>
          <w:szCs w:val="24"/>
          <w:vertAlign w:val="superscript"/>
        </w:rPr>
        <w:t>[51]</w:t>
      </w:r>
      <w:r w:rsidRPr="00DF64BD">
        <w:rPr>
          <w:rFonts w:ascii="Book Antiqua" w:hAnsi="Book Antiqua" w:cs="Times New Roman"/>
          <w:sz w:val="24"/>
          <w:szCs w:val="24"/>
        </w:rPr>
        <w:t xml:space="preserve"> assessed the number of genomic alterations that can start</w:t>
      </w:r>
      <w:r w:rsidRPr="00DF64BD">
        <w:rPr>
          <w:rFonts w:ascii="Book Antiqua" w:hAnsi="Book Antiqua" w:cs="Times New Roman"/>
          <w:i/>
          <w:sz w:val="24"/>
          <w:szCs w:val="24"/>
        </w:rPr>
        <w:t xml:space="preserve"> </w:t>
      </w:r>
      <w:r w:rsidRPr="00DF64BD">
        <w:rPr>
          <w:rFonts w:ascii="Book Antiqua" w:hAnsi="Book Antiqua" w:cs="Times New Roman"/>
          <w:sz w:val="24"/>
          <w:szCs w:val="24"/>
        </w:rPr>
        <w:t xml:space="preserve">malignant gastric processes to be 4.18, based on the frequencies of the major genome alterations, which represent the expected value of the occurrence. </w:t>
      </w:r>
    </w:p>
    <w:p w:rsidR="00423E49" w:rsidRPr="00DF64BD" w:rsidRDefault="00423E49" w:rsidP="00AE309D">
      <w:pPr>
        <w:pStyle w:val="Bezodstpw1"/>
        <w:spacing w:line="360" w:lineRule="auto"/>
        <w:jc w:val="both"/>
        <w:rPr>
          <w:rFonts w:ascii="Book Antiqua" w:hAnsi="Book Antiqua" w:cs="Times New Roman"/>
          <w:color w:val="C0504D"/>
          <w:sz w:val="24"/>
          <w:szCs w:val="24"/>
        </w:rPr>
      </w:pPr>
    </w:p>
    <w:p w:rsidR="00423E49" w:rsidRPr="00F81443" w:rsidRDefault="00F81443" w:rsidP="00AE309D">
      <w:pPr>
        <w:pStyle w:val="Bezodstpw1"/>
        <w:spacing w:line="360" w:lineRule="auto"/>
        <w:jc w:val="both"/>
        <w:rPr>
          <w:rFonts w:ascii="Book Antiqua" w:hAnsi="Book Antiqua" w:cs="Times New Roman"/>
          <w:b/>
          <w:i/>
          <w:sz w:val="24"/>
          <w:szCs w:val="24"/>
          <w:u w:val="single"/>
          <w:lang w:eastAsia="zh-CN"/>
        </w:rPr>
      </w:pPr>
      <w:r>
        <w:rPr>
          <w:rFonts w:ascii="Book Antiqua" w:hAnsi="Book Antiqua" w:cs="Times New Roman"/>
          <w:b/>
          <w:bCs/>
          <w:i/>
          <w:sz w:val="24"/>
          <w:szCs w:val="24"/>
        </w:rPr>
        <w:t>Genetic susceptibility</w:t>
      </w:r>
    </w:p>
    <w:p w:rsidR="00423E49" w:rsidRPr="00F81443" w:rsidRDefault="00423E49" w:rsidP="00AE309D">
      <w:pPr>
        <w:pStyle w:val="Bezodstpw1"/>
        <w:spacing w:line="360" w:lineRule="auto"/>
        <w:jc w:val="both"/>
        <w:rPr>
          <w:rFonts w:ascii="Book Antiqua" w:hAnsi="Book Antiqua" w:cs="Times New Roman"/>
          <w:b/>
          <w:sz w:val="24"/>
          <w:szCs w:val="24"/>
          <w:lang w:eastAsia="zh-CN"/>
        </w:rPr>
      </w:pPr>
      <w:r w:rsidRPr="00F81443">
        <w:rPr>
          <w:rFonts w:ascii="Book Antiqua" w:hAnsi="Book Antiqua" w:cs="Times New Roman"/>
          <w:b/>
          <w:sz w:val="24"/>
          <w:szCs w:val="24"/>
        </w:rPr>
        <w:t>Single-nucleotide polymorphism</w:t>
      </w:r>
      <w:r w:rsidR="00F81443">
        <w:rPr>
          <w:rFonts w:ascii="Book Antiqua" w:hAnsi="Book Antiqua" w:cs="Times New Roman" w:hint="eastAsia"/>
          <w:b/>
          <w:sz w:val="24"/>
          <w:szCs w:val="24"/>
          <w:lang w:eastAsia="zh-CN"/>
        </w:rPr>
        <w:t xml:space="preserve">: </w:t>
      </w:r>
      <w:r w:rsidRPr="00DF64BD">
        <w:rPr>
          <w:rFonts w:ascii="Book Antiqua" w:hAnsi="Book Antiqua" w:cs="Times New Roman"/>
          <w:sz w:val="24"/>
          <w:szCs w:val="24"/>
        </w:rPr>
        <w:t>One in 100-300 nucleotides in the human genome varies. These widely known polymorphisms, known as SNPs, are responsible for 90% of genetic variability</w:t>
      </w:r>
      <w:r w:rsidRPr="00DF64BD">
        <w:rPr>
          <w:rFonts w:ascii="Book Antiqua" w:hAnsi="Book Antiqua" w:cs="Times New Roman"/>
          <w:sz w:val="24"/>
          <w:szCs w:val="24"/>
          <w:vertAlign w:val="superscript"/>
        </w:rPr>
        <w:t>[52]</w:t>
      </w:r>
      <w:r w:rsidRPr="00DF64BD">
        <w:rPr>
          <w:rFonts w:ascii="Book Antiqua" w:hAnsi="Book Antiqua" w:cs="Times New Roman"/>
          <w:sz w:val="24"/>
          <w:szCs w:val="24"/>
        </w:rPr>
        <w:t>.</w:t>
      </w:r>
      <w:r w:rsidRPr="00DF64BD">
        <w:rPr>
          <w:rFonts w:ascii="Book Antiqua" w:hAnsi="Book Antiqua" w:cs="Times New Roman"/>
          <w:color w:val="C0504D"/>
          <w:sz w:val="24"/>
          <w:szCs w:val="24"/>
        </w:rPr>
        <w:t xml:space="preserve"> </w:t>
      </w:r>
      <w:r w:rsidRPr="00DF64BD">
        <w:rPr>
          <w:rFonts w:ascii="Book Antiqua" w:hAnsi="Book Antiqua" w:cs="Times New Roman"/>
          <w:sz w:val="24"/>
          <w:szCs w:val="24"/>
        </w:rPr>
        <w:t>Genetic resemblance suggests ethnic kinship. Some variations, together with environmental triggers, make the carrier more prone to develop a range of diseases, including GC. Moreover, the coexistence of some SNPs even accumulates the risk of GC</w:t>
      </w:r>
      <w:r w:rsidR="00F81443">
        <w:rPr>
          <w:rFonts w:ascii="Book Antiqua" w:hAnsi="Book Antiqua" w:cs="Times New Roman"/>
          <w:sz w:val="24"/>
          <w:szCs w:val="24"/>
          <w:vertAlign w:val="superscript"/>
        </w:rPr>
        <w:t>[50,</w:t>
      </w:r>
      <w:r w:rsidRPr="00DF64BD">
        <w:rPr>
          <w:rFonts w:ascii="Book Antiqua" w:hAnsi="Book Antiqua" w:cs="Times New Roman"/>
          <w:sz w:val="24"/>
          <w:szCs w:val="24"/>
          <w:vertAlign w:val="superscript"/>
        </w:rPr>
        <w:t>53]</w:t>
      </w:r>
      <w:r w:rsidRPr="00DF64BD">
        <w:rPr>
          <w:rFonts w:ascii="Book Antiqua" w:hAnsi="Book Antiqua" w:cs="Times New Roman"/>
          <w:sz w:val="24"/>
          <w:szCs w:val="24"/>
        </w:rPr>
        <w:t xml:space="preserve">. This is a reasonable explanation of the high incidence of GC in the Japanese population, which, unlike the European population, has a low incidence of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colonization</w:t>
      </w:r>
      <w:r w:rsidR="008F61C4">
        <w:rPr>
          <w:rFonts w:ascii="Book Antiqua" w:hAnsi="Book Antiqua" w:cs="Times New Roman"/>
          <w:sz w:val="24"/>
          <w:szCs w:val="24"/>
        </w:rPr>
        <w:t>.</w:t>
      </w:r>
      <w:r w:rsidRPr="00DF64BD">
        <w:rPr>
          <w:rFonts w:ascii="Book Antiqua" w:hAnsi="Book Antiqua" w:cs="Times New Roman"/>
          <w:sz w:val="24"/>
          <w:szCs w:val="24"/>
        </w:rPr>
        <w:t xml:space="preserve"> </w:t>
      </w:r>
      <w:r w:rsidR="008F61C4">
        <w:rPr>
          <w:rFonts w:ascii="Book Antiqua" w:hAnsi="Book Antiqua" w:cs="Times New Roman"/>
          <w:sz w:val="24"/>
          <w:szCs w:val="24"/>
        </w:rPr>
        <w:t>H</w:t>
      </w:r>
      <w:r w:rsidRPr="00DF64BD">
        <w:rPr>
          <w:rFonts w:ascii="Book Antiqua" w:hAnsi="Book Antiqua" w:cs="Times New Roman"/>
          <w:sz w:val="24"/>
          <w:szCs w:val="24"/>
        </w:rPr>
        <w:t>owever, &gt;</w:t>
      </w:r>
      <w:r w:rsidR="00F81443">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60% of the Japanese population carry at least one high-risk GC-associated SNP</w:t>
      </w:r>
      <w:r w:rsidRPr="00DF64BD" w:rsidDel="00E35174">
        <w:rPr>
          <w:rFonts w:ascii="Book Antiqua" w:hAnsi="Book Antiqua" w:cs="Times New Roman"/>
          <w:sz w:val="24"/>
          <w:szCs w:val="24"/>
        </w:rPr>
        <w:t xml:space="preserve"> </w:t>
      </w:r>
      <w:r w:rsidRPr="00DF64BD">
        <w:rPr>
          <w:rFonts w:ascii="Book Antiqua" w:hAnsi="Book Antiqua" w:cs="Times New Roman"/>
          <w:sz w:val="24"/>
          <w:szCs w:val="24"/>
          <w:vertAlign w:val="superscript"/>
        </w:rPr>
        <w:t>[54]</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The candidate SNPs in GC concern genes involved in: </w:t>
      </w:r>
      <w:r w:rsidR="00F81443">
        <w:rPr>
          <w:rFonts w:ascii="Book Antiqua" w:hAnsi="Book Antiqua" w:cs="Times New Roman" w:hint="eastAsia"/>
          <w:sz w:val="24"/>
          <w:szCs w:val="24"/>
          <w:lang w:eastAsia="zh-CN"/>
        </w:rPr>
        <w:t>(1)</w:t>
      </w:r>
      <w:r w:rsidR="00C847BF">
        <w:rPr>
          <w:rFonts w:ascii="Book Antiqua" w:hAnsi="Book Antiqua" w:cs="Times New Roman" w:hint="eastAsia"/>
          <w:sz w:val="24"/>
          <w:szCs w:val="24"/>
          <w:lang w:eastAsia="zh-CN"/>
        </w:rPr>
        <w:t xml:space="preserve"> </w:t>
      </w:r>
      <w:r w:rsidR="00F81443">
        <w:rPr>
          <w:rFonts w:ascii="Book Antiqua" w:hAnsi="Book Antiqua" w:cs="Times New Roman"/>
          <w:sz w:val="24"/>
          <w:szCs w:val="24"/>
        </w:rPr>
        <w:t xml:space="preserve">the inflammatory response </w:t>
      </w:r>
      <w:r w:rsidR="00F81443">
        <w:rPr>
          <w:rFonts w:ascii="Book Antiqua" w:hAnsi="Book Antiqua" w:cs="Times New Roman" w:hint="eastAsia"/>
          <w:sz w:val="24"/>
          <w:szCs w:val="24"/>
          <w:lang w:eastAsia="zh-CN"/>
        </w:rPr>
        <w:t>[</w:t>
      </w:r>
      <w:r w:rsidR="00F81443" w:rsidRPr="00F81443">
        <w:rPr>
          <w:rFonts w:ascii="Book Antiqua" w:hAnsi="Book Antiqua" w:cs="Times New Roman"/>
          <w:sz w:val="24"/>
          <w:szCs w:val="24"/>
        </w:rPr>
        <w:t xml:space="preserve">interleukin </w:t>
      </w:r>
      <w:r w:rsidR="00F81443">
        <w:rPr>
          <w:rFonts w:ascii="Book Antiqua" w:hAnsi="Book Antiqua" w:cs="Times New Roman" w:hint="eastAsia"/>
          <w:sz w:val="24"/>
          <w:szCs w:val="24"/>
          <w:lang w:eastAsia="zh-CN"/>
        </w:rPr>
        <w:t>(</w:t>
      </w:r>
      <w:r w:rsidRPr="00DF64BD">
        <w:rPr>
          <w:rFonts w:ascii="Book Antiqua" w:hAnsi="Book Antiqua" w:cs="Times New Roman"/>
          <w:sz w:val="24"/>
          <w:szCs w:val="24"/>
        </w:rPr>
        <w:t>IL</w:t>
      </w:r>
      <w:r w:rsidR="00F81443">
        <w:rPr>
          <w:rFonts w:ascii="Book Antiqua" w:hAnsi="Book Antiqua" w:cs="Times New Roman" w:hint="eastAsia"/>
          <w:sz w:val="24"/>
          <w:szCs w:val="24"/>
          <w:lang w:eastAsia="zh-CN"/>
        </w:rPr>
        <w:t>)</w:t>
      </w:r>
      <w:r w:rsidR="00A84EA4">
        <w:rPr>
          <w:rFonts w:ascii="Book Antiqua" w:hAnsi="Book Antiqua" w:cs="Times New Roman"/>
          <w:sz w:val="24"/>
          <w:szCs w:val="24"/>
        </w:rPr>
        <w:t>-</w:t>
      </w:r>
      <w:r w:rsidRPr="00DF64BD">
        <w:rPr>
          <w:rFonts w:ascii="Book Antiqua" w:hAnsi="Book Antiqua" w:cs="Times New Roman"/>
          <w:sz w:val="24"/>
          <w:szCs w:val="24"/>
        </w:rPr>
        <w:t>1</w:t>
      </w:r>
      <w:r w:rsidRPr="00DF64BD">
        <w:rPr>
          <w:rFonts w:ascii="Book Antiqua" w:hAnsi="Book Antiqua" w:cs="Times New Roman"/>
          <w:sz w:val="24"/>
          <w:szCs w:val="24"/>
          <w:vertAlign w:val="superscript"/>
        </w:rPr>
        <w:t>[55-60]</w:t>
      </w:r>
      <w:r w:rsidRPr="00DF64BD">
        <w:rPr>
          <w:rFonts w:ascii="Book Antiqua" w:hAnsi="Book Antiqua" w:cs="Times New Roman"/>
          <w:color w:val="C0504D"/>
          <w:sz w:val="24"/>
          <w:szCs w:val="24"/>
        </w:rPr>
        <w:t>,</w:t>
      </w:r>
      <w:r w:rsidRPr="00DF64BD">
        <w:rPr>
          <w:rFonts w:ascii="Book Antiqua" w:hAnsi="Book Antiqua" w:cs="Times New Roman"/>
          <w:sz w:val="24"/>
          <w:szCs w:val="24"/>
        </w:rPr>
        <w:t xml:space="preserve"> IL</w:t>
      </w:r>
      <w:r w:rsidR="00A84EA4">
        <w:rPr>
          <w:rFonts w:ascii="Book Antiqua" w:hAnsi="Book Antiqua" w:cs="Times New Roman"/>
          <w:sz w:val="24"/>
          <w:szCs w:val="24"/>
        </w:rPr>
        <w:t>-</w:t>
      </w:r>
      <w:r w:rsidRPr="00DF64BD">
        <w:rPr>
          <w:rFonts w:ascii="Book Antiqua" w:hAnsi="Book Antiqua" w:cs="Times New Roman"/>
          <w:sz w:val="24"/>
          <w:szCs w:val="24"/>
        </w:rPr>
        <w:t>17</w:t>
      </w:r>
      <w:r w:rsidRPr="00DF64BD">
        <w:rPr>
          <w:rFonts w:ascii="Book Antiqua" w:hAnsi="Book Antiqua" w:cs="Times New Roman"/>
          <w:sz w:val="24"/>
          <w:szCs w:val="24"/>
          <w:vertAlign w:val="superscript"/>
        </w:rPr>
        <w:t>[61-64]</w:t>
      </w:r>
      <w:r w:rsidRPr="00DF64BD">
        <w:rPr>
          <w:rFonts w:ascii="Book Antiqua" w:hAnsi="Book Antiqua" w:cs="Times New Roman"/>
          <w:sz w:val="24"/>
          <w:szCs w:val="24"/>
        </w:rPr>
        <w:t xml:space="preserve">, </w:t>
      </w:r>
      <w:r w:rsidR="00F81443" w:rsidRPr="00F81443">
        <w:rPr>
          <w:rFonts w:ascii="Book Antiqua" w:hAnsi="Book Antiqua" w:cs="Times New Roman"/>
          <w:sz w:val="24"/>
          <w:szCs w:val="24"/>
        </w:rPr>
        <w:t xml:space="preserve">tumor necrosis factor </w:t>
      </w:r>
      <w:r w:rsidR="00F81443">
        <w:rPr>
          <w:rFonts w:ascii="Book Antiqua" w:hAnsi="Book Antiqua" w:cs="Times New Roman" w:hint="eastAsia"/>
          <w:sz w:val="24"/>
          <w:szCs w:val="24"/>
          <w:lang w:eastAsia="zh-CN"/>
        </w:rPr>
        <w:t>(</w:t>
      </w:r>
      <w:r w:rsidRPr="00DF64BD">
        <w:rPr>
          <w:rFonts w:ascii="Book Antiqua" w:hAnsi="Book Antiqua" w:cs="Times New Roman"/>
          <w:sz w:val="24"/>
          <w:szCs w:val="24"/>
        </w:rPr>
        <w:t>TNF</w:t>
      </w:r>
      <w:r w:rsidR="00F81443">
        <w:rPr>
          <w:rFonts w:ascii="Book Antiqua" w:hAnsi="Book Antiqua" w:cs="Times New Roman" w:hint="eastAsia"/>
          <w:sz w:val="24"/>
          <w:szCs w:val="24"/>
          <w:lang w:eastAsia="zh-CN"/>
        </w:rPr>
        <w:t>)</w:t>
      </w:r>
      <w:r w:rsidRPr="00DF64BD">
        <w:rPr>
          <w:rFonts w:ascii="Book Antiqua" w:hAnsi="Book Antiqua" w:cs="Times New Roman"/>
          <w:sz w:val="24"/>
          <w:szCs w:val="24"/>
        </w:rPr>
        <w:t>α</w:t>
      </w:r>
      <w:r w:rsidR="00F81443">
        <w:rPr>
          <w:rFonts w:ascii="Book Antiqua" w:hAnsi="Book Antiqua" w:cs="Times New Roman"/>
          <w:sz w:val="24"/>
          <w:szCs w:val="24"/>
          <w:vertAlign w:val="superscript"/>
        </w:rPr>
        <w:t>[65,</w:t>
      </w:r>
      <w:r w:rsidRPr="00DF64BD">
        <w:rPr>
          <w:rFonts w:ascii="Book Antiqua" w:hAnsi="Book Antiqua" w:cs="Times New Roman"/>
          <w:sz w:val="24"/>
          <w:szCs w:val="24"/>
          <w:vertAlign w:val="superscript"/>
        </w:rPr>
        <w:t>66]</w:t>
      </w:r>
      <w:r w:rsidRPr="00DF64BD">
        <w:rPr>
          <w:rFonts w:ascii="Book Antiqua" w:hAnsi="Book Antiqua" w:cs="Times New Roman"/>
          <w:sz w:val="24"/>
          <w:szCs w:val="24"/>
        </w:rPr>
        <w:t>, toll-like receptors (TLRs)</w:t>
      </w:r>
      <w:r w:rsidR="00084DC5">
        <w:rPr>
          <w:rFonts w:ascii="Book Antiqua" w:hAnsi="Book Antiqua" w:cs="Times New Roman"/>
          <w:sz w:val="24"/>
          <w:szCs w:val="24"/>
          <w:vertAlign w:val="superscript"/>
        </w:rPr>
        <w:t>[67,</w:t>
      </w:r>
      <w:r w:rsidRPr="00DF64BD">
        <w:rPr>
          <w:rFonts w:ascii="Book Antiqua" w:hAnsi="Book Antiqua" w:cs="Times New Roman"/>
          <w:sz w:val="24"/>
          <w:szCs w:val="24"/>
          <w:vertAlign w:val="superscript"/>
        </w:rPr>
        <w:t>68]</w:t>
      </w:r>
      <w:r w:rsidR="00F81443">
        <w:rPr>
          <w:rFonts w:ascii="Book Antiqua" w:hAnsi="Book Antiqua" w:cs="Times New Roman" w:hint="eastAsia"/>
          <w:sz w:val="24"/>
          <w:szCs w:val="24"/>
          <w:lang w:eastAsia="zh-CN"/>
        </w:rPr>
        <w:t xml:space="preserve">]; (2) </w:t>
      </w:r>
      <w:r w:rsidRPr="00DF64BD">
        <w:rPr>
          <w:rFonts w:ascii="Book Antiqua" w:hAnsi="Book Antiqua" w:cs="Times New Roman"/>
          <w:sz w:val="24"/>
          <w:szCs w:val="24"/>
        </w:rPr>
        <w:t>protection against invading pathogens (MUC1)</w:t>
      </w:r>
      <w:r w:rsidR="00C847BF">
        <w:rPr>
          <w:rFonts w:ascii="Book Antiqua" w:hAnsi="Book Antiqua" w:cs="Times New Roman"/>
          <w:sz w:val="24"/>
          <w:szCs w:val="24"/>
          <w:vertAlign w:val="superscript"/>
        </w:rPr>
        <w:t>[69,</w:t>
      </w:r>
      <w:r w:rsidRPr="00DF64BD">
        <w:rPr>
          <w:rFonts w:ascii="Book Antiqua" w:hAnsi="Book Antiqua" w:cs="Times New Roman"/>
          <w:sz w:val="24"/>
          <w:szCs w:val="24"/>
          <w:vertAlign w:val="superscript"/>
        </w:rPr>
        <w:t>70]</w:t>
      </w:r>
      <w:r w:rsidR="00F81443">
        <w:rPr>
          <w:rFonts w:ascii="Book Antiqua" w:hAnsi="Book Antiqua" w:cs="Times New Roman" w:hint="eastAsia"/>
          <w:sz w:val="24"/>
          <w:szCs w:val="24"/>
          <w:lang w:eastAsia="zh-CN"/>
        </w:rPr>
        <w:t xml:space="preserve">; (3) </w:t>
      </w:r>
      <w:r w:rsidRPr="00DF64BD">
        <w:rPr>
          <w:rFonts w:ascii="Book Antiqua" w:hAnsi="Book Antiqua" w:cs="Times New Roman"/>
          <w:sz w:val="24"/>
          <w:szCs w:val="24"/>
        </w:rPr>
        <w:t>cell-to-cell adhesion (</w:t>
      </w:r>
      <w:r w:rsidRPr="00DF64BD">
        <w:rPr>
          <w:rFonts w:ascii="Book Antiqua" w:hAnsi="Book Antiqua" w:cs="Times New Roman"/>
          <w:i/>
          <w:sz w:val="24"/>
          <w:szCs w:val="24"/>
        </w:rPr>
        <w:t>CDH1</w:t>
      </w:r>
      <w:r w:rsidRPr="00DF64BD">
        <w:rPr>
          <w:rFonts w:ascii="Book Antiqua" w:hAnsi="Book Antiqua" w:cs="Times New Roman"/>
          <w:sz w:val="24"/>
          <w:szCs w:val="24"/>
        </w:rPr>
        <w:t>)</w:t>
      </w:r>
      <w:r w:rsidRPr="00DF64BD">
        <w:rPr>
          <w:rFonts w:ascii="Book Antiqua" w:hAnsi="Book Antiqua" w:cs="Times New Roman"/>
          <w:sz w:val="24"/>
          <w:szCs w:val="24"/>
          <w:vertAlign w:val="superscript"/>
        </w:rPr>
        <w:t>[71-73]</w:t>
      </w:r>
      <w:r w:rsidR="00F81443">
        <w:rPr>
          <w:rFonts w:ascii="Book Antiqua" w:hAnsi="Book Antiqua" w:cs="Times New Roman" w:hint="eastAsia"/>
          <w:sz w:val="24"/>
          <w:szCs w:val="24"/>
          <w:lang w:eastAsia="zh-CN"/>
        </w:rPr>
        <w:t xml:space="preserve">; (4) </w:t>
      </w:r>
      <w:r w:rsidRPr="00DF64BD">
        <w:rPr>
          <w:rFonts w:ascii="Book Antiqua" w:hAnsi="Book Antiqua" w:cs="Times New Roman"/>
          <w:sz w:val="24"/>
          <w:szCs w:val="24"/>
        </w:rPr>
        <w:t xml:space="preserve">the repair of DNA damage related to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w:t>
      </w:r>
      <w:r w:rsidRPr="00DF64BD">
        <w:rPr>
          <w:rFonts w:ascii="Book Antiqua" w:hAnsi="Book Antiqua" w:cs="Times New Roman"/>
          <w:i/>
          <w:sz w:val="24"/>
          <w:szCs w:val="24"/>
        </w:rPr>
        <w:t>XPA, XPC, ERCC2</w:t>
      </w:r>
      <w:r w:rsidRPr="00DF64BD">
        <w:rPr>
          <w:rFonts w:ascii="Book Antiqua" w:hAnsi="Book Antiqua" w:cs="Times New Roman"/>
          <w:sz w:val="24"/>
          <w:szCs w:val="24"/>
        </w:rPr>
        <w:t>)</w:t>
      </w:r>
      <w:r w:rsidR="00F81443">
        <w:rPr>
          <w:rFonts w:ascii="Book Antiqua" w:hAnsi="Book Antiqua" w:cs="Times New Roman"/>
          <w:sz w:val="24"/>
          <w:szCs w:val="24"/>
          <w:vertAlign w:val="superscript"/>
        </w:rPr>
        <w:t>[32,</w:t>
      </w:r>
      <w:r w:rsidRPr="00DF64BD">
        <w:rPr>
          <w:rFonts w:ascii="Book Antiqua" w:hAnsi="Book Antiqua" w:cs="Times New Roman"/>
          <w:sz w:val="24"/>
          <w:szCs w:val="24"/>
          <w:vertAlign w:val="superscript"/>
        </w:rPr>
        <w:t>74-76]</w:t>
      </w:r>
      <w:r w:rsidR="00F81443">
        <w:rPr>
          <w:rFonts w:ascii="Book Antiqua" w:hAnsi="Book Antiqua" w:cs="Times New Roman" w:hint="eastAsia"/>
          <w:sz w:val="24"/>
          <w:szCs w:val="24"/>
          <w:lang w:eastAsia="zh-CN"/>
        </w:rPr>
        <w:t xml:space="preserve">; (5) </w:t>
      </w:r>
      <w:r w:rsidRPr="00DF64BD">
        <w:rPr>
          <w:rFonts w:ascii="Book Antiqua" w:hAnsi="Book Antiqua" w:cs="Times New Roman"/>
          <w:sz w:val="24"/>
          <w:szCs w:val="24"/>
        </w:rPr>
        <w:t>the metabolism of foliate (methylenetetrahydrofolate reductase)</w:t>
      </w:r>
      <w:r w:rsidR="00F81443">
        <w:rPr>
          <w:rFonts w:ascii="Book Antiqua" w:hAnsi="Book Antiqua" w:cs="Times New Roman"/>
          <w:sz w:val="24"/>
          <w:szCs w:val="24"/>
          <w:vertAlign w:val="superscript"/>
        </w:rPr>
        <w:t>[77,</w:t>
      </w:r>
      <w:r w:rsidRPr="00DF64BD">
        <w:rPr>
          <w:rFonts w:ascii="Book Antiqua" w:hAnsi="Book Antiqua" w:cs="Times New Roman"/>
          <w:sz w:val="24"/>
          <w:szCs w:val="24"/>
          <w:vertAlign w:val="superscript"/>
        </w:rPr>
        <w:t>78]</w:t>
      </w:r>
      <w:r w:rsidR="00F81443">
        <w:rPr>
          <w:rFonts w:ascii="Book Antiqua" w:hAnsi="Book Antiqua" w:cs="Times New Roman" w:hint="eastAsia"/>
          <w:sz w:val="24"/>
          <w:szCs w:val="24"/>
          <w:lang w:eastAsia="zh-CN"/>
        </w:rPr>
        <w:t xml:space="preserve">; (6) </w:t>
      </w:r>
      <w:r w:rsidRPr="00DF64BD">
        <w:rPr>
          <w:rFonts w:ascii="Book Antiqua" w:hAnsi="Book Antiqua" w:cs="Times New Roman"/>
          <w:sz w:val="24"/>
          <w:szCs w:val="24"/>
        </w:rPr>
        <w:t>the metabolism of polycyclic aromatic hydrocarbons (</w:t>
      </w:r>
      <w:r w:rsidRPr="00DF64BD">
        <w:rPr>
          <w:rFonts w:ascii="Book Antiqua" w:hAnsi="Book Antiqua" w:cs="Times New Roman"/>
          <w:i/>
          <w:sz w:val="24"/>
          <w:szCs w:val="24"/>
        </w:rPr>
        <w:t>GSTT1, SULT1A1, NAT2, EPHX1</w:t>
      </w:r>
      <w:r w:rsidRPr="00DF64BD">
        <w:rPr>
          <w:rFonts w:ascii="Book Antiqua" w:hAnsi="Book Antiqua" w:cs="Times New Roman"/>
          <w:sz w:val="24"/>
          <w:szCs w:val="24"/>
        </w:rPr>
        <w:t>)</w:t>
      </w:r>
      <w:r w:rsidR="00084DC5">
        <w:rPr>
          <w:rFonts w:ascii="Book Antiqua" w:hAnsi="Book Antiqua" w:cs="Times New Roman"/>
          <w:sz w:val="24"/>
          <w:szCs w:val="24"/>
          <w:vertAlign w:val="superscript"/>
        </w:rPr>
        <w:t>[79,</w:t>
      </w:r>
      <w:r w:rsidRPr="00DF64BD">
        <w:rPr>
          <w:rFonts w:ascii="Book Antiqua" w:hAnsi="Book Antiqua" w:cs="Times New Roman"/>
          <w:sz w:val="24"/>
          <w:szCs w:val="24"/>
          <w:vertAlign w:val="superscript"/>
        </w:rPr>
        <w:t>80]</w:t>
      </w:r>
      <w:r w:rsidR="00F81443">
        <w:rPr>
          <w:rFonts w:ascii="Book Antiqua" w:hAnsi="Book Antiqua" w:cs="Times New Roman" w:hint="eastAsia"/>
          <w:sz w:val="24"/>
          <w:szCs w:val="24"/>
          <w:lang w:eastAsia="zh-CN"/>
        </w:rPr>
        <w:t xml:space="preserve">; </w:t>
      </w:r>
      <w:r w:rsidR="00C847BF">
        <w:rPr>
          <w:rFonts w:ascii="Book Antiqua" w:hAnsi="Book Antiqua" w:cs="Times New Roman" w:hint="eastAsia"/>
          <w:sz w:val="24"/>
          <w:szCs w:val="24"/>
          <w:lang w:eastAsia="zh-CN"/>
        </w:rPr>
        <w:t xml:space="preserve">(7) </w:t>
      </w:r>
      <w:r w:rsidRPr="00DF64BD">
        <w:rPr>
          <w:rFonts w:ascii="Book Antiqua" w:hAnsi="Book Antiqua" w:cs="Times New Roman"/>
          <w:sz w:val="24"/>
          <w:szCs w:val="24"/>
        </w:rPr>
        <w:t>the metabolism of oestrogen and androgen</w:t>
      </w:r>
      <w:r w:rsidRPr="00DF64BD">
        <w:rPr>
          <w:rFonts w:ascii="Book Antiqua" w:hAnsi="Book Antiqua" w:cs="Times New Roman"/>
          <w:sz w:val="24"/>
          <w:szCs w:val="24"/>
          <w:vertAlign w:val="superscript"/>
        </w:rPr>
        <w:t>[81]</w:t>
      </w:r>
      <w:r w:rsidR="00C847BF">
        <w:rPr>
          <w:rFonts w:ascii="Book Antiqua" w:hAnsi="Book Antiqua" w:cs="Times New Roman" w:hint="eastAsia"/>
          <w:sz w:val="24"/>
          <w:szCs w:val="24"/>
          <w:lang w:eastAsia="zh-CN"/>
        </w:rPr>
        <w:t xml:space="preserve">; (8) </w:t>
      </w:r>
      <w:r w:rsidRPr="00DF64BD">
        <w:rPr>
          <w:rFonts w:ascii="Book Antiqua" w:hAnsi="Book Antiqua" w:cs="Times New Roman"/>
          <w:sz w:val="24"/>
          <w:szCs w:val="24"/>
        </w:rPr>
        <w:t>the metabolism of xenobiotics (Cyp2e1)</w:t>
      </w:r>
      <w:r w:rsidRPr="00DF64BD">
        <w:rPr>
          <w:rFonts w:ascii="Book Antiqua" w:hAnsi="Book Antiqua" w:cs="Times New Roman"/>
          <w:sz w:val="24"/>
          <w:szCs w:val="24"/>
          <w:vertAlign w:val="superscript"/>
        </w:rPr>
        <w:t>[82]</w:t>
      </w:r>
      <w:r w:rsidR="00C847BF">
        <w:rPr>
          <w:rFonts w:ascii="Book Antiqua" w:hAnsi="Book Antiqua" w:cs="Times New Roman" w:hint="eastAsia"/>
          <w:sz w:val="24"/>
          <w:szCs w:val="24"/>
          <w:lang w:eastAsia="zh-CN"/>
        </w:rPr>
        <w:t xml:space="preserve">; and (9) </w:t>
      </w:r>
      <w:r w:rsidRPr="00DF64BD">
        <w:rPr>
          <w:rFonts w:ascii="Book Antiqua" w:hAnsi="Book Antiqua" w:cs="Times New Roman"/>
          <w:sz w:val="24"/>
          <w:szCs w:val="24"/>
        </w:rPr>
        <w:t>other functions that are not</w:t>
      </w:r>
      <w:r w:rsidRPr="00DF64BD">
        <w:rPr>
          <w:rFonts w:ascii="Book Antiqua" w:hAnsi="Book Antiqua" w:cs="Times New Roman"/>
          <w:i/>
          <w:sz w:val="24"/>
          <w:szCs w:val="24"/>
        </w:rPr>
        <w:t xml:space="preserve"> </w:t>
      </w:r>
      <w:r w:rsidRPr="00DF64BD">
        <w:rPr>
          <w:rFonts w:ascii="Book Antiqua" w:hAnsi="Book Antiqua" w:cs="Times New Roman"/>
          <w:sz w:val="24"/>
          <w:szCs w:val="24"/>
        </w:rPr>
        <w:t xml:space="preserve">fully understood, for example </w:t>
      </w:r>
      <w:r w:rsidRPr="00DF64BD">
        <w:rPr>
          <w:rFonts w:ascii="Book Antiqua" w:hAnsi="Book Antiqua" w:cs="Times New Roman"/>
          <w:i/>
          <w:sz w:val="24"/>
          <w:szCs w:val="24"/>
        </w:rPr>
        <w:t>PSCA</w:t>
      </w:r>
      <w:r w:rsidRPr="00DF64BD">
        <w:rPr>
          <w:rFonts w:ascii="Book Antiqua" w:hAnsi="Book Antiqua" w:cs="Times New Roman"/>
          <w:sz w:val="24"/>
          <w:szCs w:val="24"/>
          <w:vertAlign w:val="superscript"/>
        </w:rPr>
        <w:t>[83]</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It has been reported that </w:t>
      </w:r>
      <w:r w:rsidRPr="00DF64BD">
        <w:rPr>
          <w:rFonts w:ascii="Book Antiqua" w:hAnsi="Book Antiqua" w:cs="Times New Roman"/>
          <w:i/>
          <w:sz w:val="24"/>
          <w:szCs w:val="24"/>
        </w:rPr>
        <w:t>IL</w:t>
      </w:r>
      <w:r w:rsidR="00655731">
        <w:rPr>
          <w:rFonts w:ascii="Book Antiqua" w:hAnsi="Book Antiqua" w:cs="Times New Roman"/>
          <w:i/>
          <w:sz w:val="24"/>
          <w:szCs w:val="24"/>
        </w:rPr>
        <w:t>-</w:t>
      </w:r>
      <w:r w:rsidRPr="00DF64BD">
        <w:rPr>
          <w:rFonts w:ascii="Book Antiqua" w:hAnsi="Book Antiqua" w:cs="Times New Roman"/>
          <w:i/>
          <w:sz w:val="24"/>
          <w:szCs w:val="24"/>
        </w:rPr>
        <w:t>1β</w:t>
      </w:r>
      <w:r w:rsidRPr="00DF64BD">
        <w:rPr>
          <w:rFonts w:ascii="Book Antiqua" w:hAnsi="Book Antiqua" w:cs="Times New Roman"/>
          <w:sz w:val="24"/>
          <w:szCs w:val="24"/>
        </w:rPr>
        <w:t xml:space="preserve">-31*C, </w:t>
      </w:r>
      <w:r w:rsidRPr="00DF64BD">
        <w:rPr>
          <w:rFonts w:ascii="Book Antiqua" w:hAnsi="Book Antiqua" w:cs="Times New Roman"/>
          <w:i/>
          <w:sz w:val="24"/>
          <w:szCs w:val="24"/>
        </w:rPr>
        <w:t>IL</w:t>
      </w:r>
      <w:r w:rsidR="00655731">
        <w:rPr>
          <w:rFonts w:ascii="Book Antiqua" w:hAnsi="Book Antiqua" w:cs="Times New Roman"/>
          <w:i/>
          <w:sz w:val="24"/>
          <w:szCs w:val="24"/>
        </w:rPr>
        <w:t>-</w:t>
      </w:r>
      <w:r w:rsidRPr="00DF64BD">
        <w:rPr>
          <w:rFonts w:ascii="Book Antiqua" w:hAnsi="Book Antiqua" w:cs="Times New Roman"/>
          <w:i/>
          <w:sz w:val="24"/>
          <w:szCs w:val="24"/>
        </w:rPr>
        <w:t>1β-</w:t>
      </w:r>
      <w:r w:rsidRPr="00DF64BD">
        <w:rPr>
          <w:rFonts w:ascii="Book Antiqua" w:hAnsi="Book Antiqua" w:cs="Times New Roman"/>
          <w:sz w:val="24"/>
          <w:szCs w:val="24"/>
        </w:rPr>
        <w:t xml:space="preserve">511*T and </w:t>
      </w:r>
      <w:r w:rsidRPr="00DF64BD">
        <w:rPr>
          <w:rFonts w:ascii="Book Antiqua" w:hAnsi="Book Antiqua" w:cs="Times New Roman"/>
          <w:i/>
          <w:sz w:val="24"/>
          <w:szCs w:val="24"/>
        </w:rPr>
        <w:t>IL</w:t>
      </w:r>
      <w:r w:rsidR="00655731">
        <w:rPr>
          <w:rFonts w:ascii="Book Antiqua" w:hAnsi="Book Antiqua" w:cs="Times New Roman"/>
          <w:i/>
          <w:sz w:val="24"/>
          <w:szCs w:val="24"/>
        </w:rPr>
        <w:t>-</w:t>
      </w:r>
      <w:r w:rsidRPr="00DF64BD">
        <w:rPr>
          <w:rFonts w:ascii="Book Antiqua" w:hAnsi="Book Antiqua" w:cs="Times New Roman"/>
          <w:i/>
          <w:sz w:val="24"/>
          <w:szCs w:val="24"/>
        </w:rPr>
        <w:t>1</w:t>
      </w:r>
      <w:r w:rsidRPr="00DF64BD">
        <w:rPr>
          <w:rFonts w:ascii="Book Antiqua" w:hAnsi="Book Antiqua" w:cs="Times New Roman"/>
          <w:sz w:val="24"/>
          <w:szCs w:val="24"/>
        </w:rPr>
        <w:t xml:space="preserve">RN*2/*2 are variations of the </w:t>
      </w:r>
      <w:r w:rsidRPr="00DF64BD">
        <w:rPr>
          <w:rFonts w:ascii="Book Antiqua" w:hAnsi="Book Antiqua" w:cs="Times New Roman"/>
          <w:i/>
          <w:iCs/>
          <w:sz w:val="24"/>
          <w:szCs w:val="24"/>
        </w:rPr>
        <w:t>IL</w:t>
      </w:r>
      <w:r w:rsidR="00655731">
        <w:rPr>
          <w:rFonts w:ascii="Book Antiqua" w:hAnsi="Book Antiqua" w:cs="Times New Roman"/>
          <w:i/>
          <w:iCs/>
          <w:sz w:val="24"/>
          <w:szCs w:val="24"/>
        </w:rPr>
        <w:t>-</w:t>
      </w:r>
      <w:r w:rsidRPr="00DF64BD">
        <w:rPr>
          <w:rFonts w:ascii="Book Antiqua" w:hAnsi="Book Antiqua" w:cs="Times New Roman"/>
          <w:i/>
          <w:iCs/>
          <w:sz w:val="24"/>
          <w:szCs w:val="24"/>
        </w:rPr>
        <w:t>1</w:t>
      </w:r>
      <w:r w:rsidRPr="00DF64BD">
        <w:rPr>
          <w:rFonts w:ascii="Book Antiqua" w:hAnsi="Book Antiqua" w:cs="Times New Roman"/>
          <w:sz w:val="24"/>
          <w:szCs w:val="24"/>
        </w:rPr>
        <w:t xml:space="preserve"> gene cluster that have the greatest importance in GC susceptibility in various </w:t>
      </w:r>
      <w:r w:rsidRPr="00DF64BD">
        <w:rPr>
          <w:rFonts w:ascii="Book Antiqua" w:hAnsi="Book Antiqua" w:cs="Times New Roman"/>
          <w:sz w:val="24"/>
          <w:szCs w:val="24"/>
        </w:rPr>
        <w:lastRenderedPageBreak/>
        <w:t>ethnic populations</w:t>
      </w:r>
      <w:r w:rsidR="00C847BF">
        <w:rPr>
          <w:rFonts w:ascii="Book Antiqua" w:hAnsi="Book Antiqua" w:cs="Times New Roman"/>
          <w:sz w:val="24"/>
          <w:szCs w:val="24"/>
          <w:vertAlign w:val="superscript"/>
        </w:rPr>
        <w:t>[55,</w:t>
      </w:r>
      <w:r w:rsidRPr="00DF64BD">
        <w:rPr>
          <w:rFonts w:ascii="Book Antiqua" w:hAnsi="Book Antiqua" w:cs="Times New Roman"/>
          <w:sz w:val="24"/>
          <w:szCs w:val="24"/>
          <w:vertAlign w:val="superscript"/>
        </w:rPr>
        <w:t>56]</w:t>
      </w:r>
      <w:r w:rsidRPr="00DF64BD">
        <w:rPr>
          <w:rFonts w:ascii="Book Antiqua" w:hAnsi="Book Antiqua" w:cs="Times New Roman"/>
          <w:sz w:val="24"/>
          <w:szCs w:val="24"/>
        </w:rPr>
        <w:t>, particularly among the Caucasian population</w:t>
      </w:r>
      <w:r w:rsidRPr="00DF64BD">
        <w:rPr>
          <w:rFonts w:ascii="Book Antiqua" w:hAnsi="Book Antiqua" w:cs="Times New Roman"/>
          <w:sz w:val="24"/>
          <w:szCs w:val="24"/>
          <w:vertAlign w:val="superscript"/>
        </w:rPr>
        <w:t>[57-60]</w:t>
      </w:r>
      <w:r w:rsidRPr="00DF64BD">
        <w:rPr>
          <w:rFonts w:ascii="Book Antiqua" w:hAnsi="Book Antiqua" w:cs="Times New Roman"/>
          <w:sz w:val="24"/>
          <w:szCs w:val="24"/>
        </w:rPr>
        <w:t>. However, there are also studies that undermine the role of these variations in GC development</w:t>
      </w:r>
      <w:r w:rsidRPr="00DF64BD">
        <w:rPr>
          <w:rFonts w:ascii="Book Antiqua" w:hAnsi="Book Antiqua" w:cs="Times New Roman"/>
          <w:sz w:val="24"/>
          <w:szCs w:val="24"/>
          <w:vertAlign w:val="superscript"/>
        </w:rPr>
        <w:t>[84-86]</w:t>
      </w:r>
      <w:r w:rsidRPr="00DF64BD">
        <w:rPr>
          <w:rFonts w:ascii="Book Antiqua" w:hAnsi="Book Antiqua" w:cs="Times New Roman"/>
          <w:sz w:val="24"/>
          <w:szCs w:val="24"/>
        </w:rPr>
        <w:t xml:space="preserve"> and </w:t>
      </w:r>
      <w:r w:rsidRPr="00C847BF">
        <w:rPr>
          <w:rFonts w:ascii="Book Antiqua" w:hAnsi="Book Antiqua" w:cs="Times New Roman"/>
          <w:sz w:val="24"/>
          <w:szCs w:val="24"/>
        </w:rPr>
        <w:t>pertain to Irish</w:t>
      </w:r>
      <w:r w:rsidRPr="00C847BF">
        <w:rPr>
          <w:rFonts w:ascii="Book Antiqua" w:hAnsi="Book Antiqua" w:cs="Times New Roman"/>
          <w:sz w:val="24"/>
          <w:szCs w:val="24"/>
          <w:vertAlign w:val="superscript"/>
        </w:rPr>
        <w:t>[87]</w:t>
      </w:r>
      <w:r w:rsidRPr="00C847BF">
        <w:rPr>
          <w:rFonts w:ascii="Book Antiqua" w:hAnsi="Book Antiqua" w:cs="Times New Roman"/>
          <w:sz w:val="24"/>
          <w:szCs w:val="24"/>
        </w:rPr>
        <w:t>, Swedish</w:t>
      </w:r>
      <w:r w:rsidRPr="00C847BF">
        <w:rPr>
          <w:rFonts w:ascii="Book Antiqua" w:hAnsi="Book Antiqua" w:cs="Times New Roman"/>
          <w:sz w:val="24"/>
          <w:szCs w:val="24"/>
          <w:vertAlign w:val="superscript"/>
        </w:rPr>
        <w:t>[88]</w:t>
      </w:r>
      <w:r w:rsidRPr="00C847BF">
        <w:rPr>
          <w:rFonts w:ascii="Book Antiqua" w:hAnsi="Book Antiqua" w:cs="Times New Roman"/>
          <w:sz w:val="24"/>
          <w:szCs w:val="24"/>
        </w:rPr>
        <w:t>, German</w:t>
      </w:r>
      <w:r w:rsidRPr="00C847BF">
        <w:rPr>
          <w:rFonts w:ascii="Book Antiqua" w:hAnsi="Book Antiqua" w:cs="Times New Roman"/>
          <w:sz w:val="24"/>
          <w:szCs w:val="24"/>
          <w:vertAlign w:val="superscript"/>
        </w:rPr>
        <w:t xml:space="preserve">[89] </w:t>
      </w:r>
      <w:r w:rsidRPr="00C847BF">
        <w:rPr>
          <w:rFonts w:ascii="Book Antiqua" w:hAnsi="Book Antiqua" w:cs="Times New Roman"/>
          <w:sz w:val="24"/>
          <w:szCs w:val="24"/>
        </w:rPr>
        <w:t>and Japanese populations</w:t>
      </w:r>
      <w:r w:rsidRPr="00C847BF">
        <w:rPr>
          <w:rFonts w:ascii="Book Antiqua" w:hAnsi="Book Antiqua" w:cs="Times New Roman"/>
          <w:sz w:val="24"/>
          <w:szCs w:val="24"/>
          <w:vertAlign w:val="superscript"/>
        </w:rPr>
        <w:t>[90]</w:t>
      </w:r>
      <w:r w:rsidRPr="00C847BF">
        <w:rPr>
          <w:rFonts w:ascii="Book Antiqua" w:hAnsi="Book Antiqua" w:cs="Times New Roman"/>
          <w:sz w:val="24"/>
          <w:szCs w:val="24"/>
        </w:rPr>
        <w:t>.</w:t>
      </w:r>
      <w:r w:rsidRPr="00DF64BD">
        <w:rPr>
          <w:rFonts w:ascii="Book Antiqua" w:hAnsi="Book Antiqua" w:cs="Times New Roman"/>
          <w:sz w:val="24"/>
          <w:szCs w:val="24"/>
        </w:rPr>
        <w:t xml:space="preserve"> On the other hand, Sitarz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[91]</w:t>
      </w:r>
      <w:r w:rsidRPr="00DF64BD">
        <w:rPr>
          <w:rFonts w:ascii="Book Antiqua" w:hAnsi="Book Antiqua" w:cs="Times New Roman"/>
          <w:sz w:val="24"/>
          <w:szCs w:val="24"/>
        </w:rPr>
        <w:t xml:space="preserve"> showed that the </w:t>
      </w:r>
      <w:r w:rsidRPr="00DF64BD">
        <w:rPr>
          <w:rFonts w:ascii="Book Antiqua" w:hAnsi="Book Antiqua" w:cs="Times New Roman"/>
          <w:i/>
          <w:sz w:val="24"/>
          <w:szCs w:val="24"/>
        </w:rPr>
        <w:t>IL</w:t>
      </w:r>
      <w:r w:rsidR="00655731">
        <w:rPr>
          <w:rFonts w:ascii="Book Antiqua" w:hAnsi="Book Antiqua" w:cs="Times New Roman"/>
          <w:i/>
          <w:sz w:val="24"/>
          <w:szCs w:val="24"/>
        </w:rPr>
        <w:t>-</w:t>
      </w:r>
      <w:r w:rsidRPr="00DF64BD">
        <w:rPr>
          <w:rFonts w:ascii="Book Antiqua" w:hAnsi="Book Antiqua" w:cs="Times New Roman"/>
          <w:i/>
          <w:sz w:val="24"/>
          <w:szCs w:val="24"/>
        </w:rPr>
        <w:t>1β</w:t>
      </w:r>
      <w:r w:rsidRPr="00DF64BD">
        <w:rPr>
          <w:rFonts w:ascii="Book Antiqua" w:hAnsi="Book Antiqua" w:cs="Times New Roman"/>
          <w:sz w:val="24"/>
          <w:szCs w:val="24"/>
        </w:rPr>
        <w:t>-31*C allele promoter polymorphism is significantly associated with gastric stump cancer, whereas it does not influence the occurrence of any type of sporadic GC.</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The authors emphasize that the differences between the studies may be due to many factors, such as heterogeneous patient groups, different populations, sample sizes, different clinical characteristics, controls drawn from high-risk areas for chronic gastritis, confounding factors from other environmental cofactors, interactions with other genes regulating inflammatory responses and others</w:t>
      </w:r>
      <w:r w:rsidRPr="00DF64BD">
        <w:rPr>
          <w:rFonts w:ascii="Book Antiqua" w:hAnsi="Book Antiqua" w:cs="Times New Roman"/>
          <w:sz w:val="24"/>
          <w:szCs w:val="24"/>
          <w:vertAlign w:val="superscript"/>
        </w:rPr>
        <w:t>[87]</w:t>
      </w:r>
      <w:r w:rsidRPr="00DF64BD">
        <w:rPr>
          <w:rFonts w:ascii="Book Antiqua" w:hAnsi="Book Antiqua" w:cs="Times New Roman"/>
          <w:sz w:val="24"/>
          <w:szCs w:val="24"/>
        </w:rPr>
        <w:t>. Therefore, the issue needs further investigation a</w:t>
      </w:r>
      <w:r w:rsidR="00C847BF">
        <w:rPr>
          <w:rFonts w:ascii="Book Antiqua" w:hAnsi="Book Antiqua" w:cs="Times New Roman"/>
          <w:sz w:val="24"/>
          <w:szCs w:val="24"/>
        </w:rPr>
        <w:t>nd a wider comparable analysis.</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The </w:t>
      </w:r>
      <w:r w:rsidRPr="00DF64BD">
        <w:rPr>
          <w:rFonts w:ascii="Book Antiqua" w:hAnsi="Book Antiqua" w:cs="Times New Roman"/>
          <w:i/>
          <w:sz w:val="24"/>
          <w:szCs w:val="24"/>
        </w:rPr>
        <w:t xml:space="preserve">IL-17 </w:t>
      </w:r>
      <w:r w:rsidRPr="00DF64BD">
        <w:rPr>
          <w:rFonts w:ascii="Book Antiqua" w:hAnsi="Book Antiqua" w:cs="Times New Roman"/>
          <w:sz w:val="24"/>
          <w:szCs w:val="24"/>
        </w:rPr>
        <w:t xml:space="preserve">187G&gt;A polymorphism is associated with a higher risk of developing GC based on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colonization</w:t>
      </w:r>
      <w:r w:rsidRPr="00DF64BD">
        <w:rPr>
          <w:rFonts w:ascii="Book Antiqua" w:hAnsi="Book Antiqua" w:cs="Times New Roman"/>
          <w:sz w:val="24"/>
          <w:szCs w:val="24"/>
          <w:vertAlign w:val="superscript"/>
        </w:rPr>
        <w:t>[61-64]</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Gorouhi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[65]</w:t>
      </w:r>
      <w:r w:rsidRPr="00DF64BD">
        <w:rPr>
          <w:rFonts w:ascii="Book Antiqua" w:hAnsi="Book Antiqua" w:cs="Times New Roman"/>
          <w:sz w:val="24"/>
          <w:szCs w:val="24"/>
        </w:rPr>
        <w:t xml:space="preserve"> reported that the </w:t>
      </w:r>
      <w:r w:rsidRPr="00DF64BD">
        <w:rPr>
          <w:rFonts w:ascii="Book Antiqua" w:hAnsi="Book Antiqua" w:cs="Times New Roman"/>
          <w:i/>
          <w:sz w:val="24"/>
          <w:szCs w:val="24"/>
        </w:rPr>
        <w:t>TNFα</w:t>
      </w:r>
      <w:r w:rsidRPr="00DF64BD">
        <w:rPr>
          <w:rFonts w:ascii="Book Antiqua" w:hAnsi="Book Antiqua" w:cs="Times New Roman"/>
          <w:sz w:val="24"/>
          <w:szCs w:val="24"/>
        </w:rPr>
        <w:t xml:space="preserve">-308AA genotype was associated with a statistically significant increased risk of GC, whereas </w:t>
      </w:r>
      <w:r w:rsidRPr="00DF64BD">
        <w:rPr>
          <w:rFonts w:ascii="Book Antiqua" w:hAnsi="Book Antiqua" w:cs="Times New Roman"/>
          <w:i/>
          <w:sz w:val="24"/>
          <w:szCs w:val="24"/>
        </w:rPr>
        <w:t>TNFa</w:t>
      </w:r>
      <w:r w:rsidRPr="00DF64BD">
        <w:rPr>
          <w:rFonts w:ascii="Book Antiqua" w:hAnsi="Book Antiqua" w:cs="Times New Roman"/>
          <w:sz w:val="24"/>
          <w:szCs w:val="24"/>
        </w:rPr>
        <w:t xml:space="preserve">-857TT raised attention and required more studies. These results were supported by the parallel meta-analysis of Zhang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[66]</w:t>
      </w:r>
      <w:r w:rsidRPr="00DF64BD">
        <w:rPr>
          <w:rFonts w:ascii="Book Antiqua" w:hAnsi="Book Antiqua" w:cs="Times New Roman"/>
          <w:sz w:val="24"/>
          <w:szCs w:val="24"/>
        </w:rPr>
        <w:t xml:space="preserve"> and seemed to concern the Caucasian population in particular.</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i/>
          <w:sz w:val="24"/>
          <w:szCs w:val="24"/>
        </w:rPr>
        <w:t>TLR</w:t>
      </w:r>
      <w:r w:rsidRPr="00DF64BD">
        <w:rPr>
          <w:rFonts w:ascii="Book Antiqua" w:hAnsi="Book Antiqua" w:cs="Times New Roman"/>
          <w:sz w:val="24"/>
          <w:szCs w:val="24"/>
        </w:rPr>
        <w:t xml:space="preserve"> polymorphisms are linked to gastrointestinal malignancies</w:t>
      </w:r>
      <w:r w:rsidRPr="00DF64BD">
        <w:rPr>
          <w:rFonts w:ascii="Book Antiqua" w:hAnsi="Book Antiqua" w:cs="Times New Roman"/>
          <w:sz w:val="24"/>
          <w:szCs w:val="24"/>
          <w:vertAlign w:val="superscript"/>
        </w:rPr>
        <w:t>[67]</w:t>
      </w:r>
      <w:r w:rsidRPr="00DF64BD">
        <w:rPr>
          <w:rFonts w:ascii="Book Antiqua" w:hAnsi="Book Antiqua" w:cs="Times New Roman"/>
          <w:sz w:val="24"/>
          <w:szCs w:val="24"/>
        </w:rPr>
        <w:t xml:space="preserve">. </w:t>
      </w:r>
      <w:r w:rsidRPr="00DF64BD">
        <w:rPr>
          <w:rFonts w:ascii="Book Antiqua" w:hAnsi="Book Antiqua" w:cs="Times New Roman"/>
          <w:i/>
          <w:sz w:val="24"/>
          <w:szCs w:val="24"/>
        </w:rPr>
        <w:t>TLR4</w:t>
      </w:r>
      <w:r w:rsidRPr="00DF64BD">
        <w:rPr>
          <w:rFonts w:ascii="Book Antiqua" w:hAnsi="Book Antiqua" w:cs="Times New Roman"/>
          <w:sz w:val="24"/>
          <w:szCs w:val="24"/>
        </w:rPr>
        <w:t xml:space="preserve"> may increase the risk of non-cardia cancer</w:t>
      </w:r>
      <w:r w:rsidRPr="00DF64BD">
        <w:rPr>
          <w:rFonts w:ascii="Book Antiqua" w:hAnsi="Book Antiqua" w:cs="Times New Roman"/>
          <w:sz w:val="24"/>
          <w:szCs w:val="24"/>
          <w:vertAlign w:val="superscript"/>
        </w:rPr>
        <w:t>[68]</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Mucins are a family of proteins that maintain the integrity of the mucus layer and protect it from environmental invaders. Due to their vast role in regulating cell homeostasis and their role in several cancers, they have been categorized as oncoproteins</w:t>
      </w:r>
      <w:r w:rsidRPr="00DF64BD">
        <w:rPr>
          <w:rFonts w:ascii="Book Antiqua" w:hAnsi="Book Antiqua" w:cs="Times New Roman"/>
          <w:sz w:val="24"/>
          <w:szCs w:val="24"/>
          <w:vertAlign w:val="superscript"/>
        </w:rPr>
        <w:t>[92-95]</w:t>
      </w:r>
      <w:r w:rsidRPr="00DF64BD">
        <w:rPr>
          <w:rFonts w:ascii="Book Antiqua" w:hAnsi="Book Antiqua" w:cs="Times New Roman"/>
          <w:sz w:val="24"/>
          <w:szCs w:val="24"/>
        </w:rPr>
        <w:t xml:space="preserve">. The </w:t>
      </w:r>
      <w:r w:rsidRPr="00DF64BD">
        <w:rPr>
          <w:rFonts w:ascii="Book Antiqua" w:hAnsi="Book Antiqua" w:cs="Times New Roman"/>
          <w:i/>
          <w:sz w:val="24"/>
          <w:szCs w:val="24"/>
        </w:rPr>
        <w:t>rs4072037</w:t>
      </w:r>
      <w:r w:rsidRPr="00DF64BD">
        <w:rPr>
          <w:rFonts w:ascii="Book Antiqua" w:hAnsi="Book Antiqua" w:cs="Times New Roman"/>
          <w:sz w:val="24"/>
          <w:szCs w:val="24"/>
        </w:rPr>
        <w:t>(G&gt;A) polymorphism plays a role in increasing the risk of gastric malignancy. The G allele version seems to be protective,</w:t>
      </w:r>
      <w:r w:rsidR="00C847BF" w:rsidRP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It causes MUC1 under-expression</w:t>
      </w:r>
      <w:r w:rsidRPr="00DF64BD">
        <w:rPr>
          <w:rFonts w:ascii="Book Antiqua" w:hAnsi="Book Antiqua" w:cs="Times New Roman"/>
          <w:sz w:val="24"/>
          <w:szCs w:val="24"/>
          <w:vertAlign w:val="superscript"/>
        </w:rPr>
        <w:t>[70]</w:t>
      </w:r>
      <w:r w:rsidRPr="00DF64BD">
        <w:rPr>
          <w:rFonts w:ascii="Book Antiqua" w:hAnsi="Book Antiqua" w:cs="Times New Roman"/>
          <w:sz w:val="24"/>
          <w:szCs w:val="24"/>
        </w:rPr>
        <w:t xml:space="preserve">, resulting in better conditions for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to invade and cause extensive inflammation. However, it seems that alterations of MUC regions do not cause clinical progression in patients with</w:t>
      </w:r>
      <w:r w:rsidRPr="00DF64BD">
        <w:rPr>
          <w:rFonts w:ascii="Book Antiqua" w:hAnsi="Book Antiqua" w:cs="Times New Roman"/>
          <w:i/>
          <w:sz w:val="24"/>
          <w:szCs w:val="24"/>
        </w:rPr>
        <w:t xml:space="preserve"> </w:t>
      </w:r>
      <w:r w:rsidRPr="00DF64BD">
        <w:rPr>
          <w:rFonts w:ascii="Book Antiqua" w:hAnsi="Book Antiqua" w:cs="Times New Roman"/>
          <w:sz w:val="24"/>
          <w:szCs w:val="24"/>
        </w:rPr>
        <w:t>a premalignant phenotype</w:t>
      </w:r>
      <w:r w:rsidRPr="00DF64BD">
        <w:rPr>
          <w:rFonts w:ascii="Book Antiqua" w:hAnsi="Book Antiqua" w:cs="Times New Roman"/>
          <w:sz w:val="24"/>
          <w:szCs w:val="24"/>
          <w:vertAlign w:val="superscript"/>
        </w:rPr>
        <w:t>[96]</w:t>
      </w:r>
      <w:r w:rsidR="00C847BF">
        <w:rPr>
          <w:rFonts w:ascii="Book Antiqua" w:hAnsi="Book Antiqua" w:cs="Times New Roman"/>
          <w:sz w:val="24"/>
          <w:szCs w:val="24"/>
        </w:rPr>
        <w:t>.</w:t>
      </w:r>
    </w:p>
    <w:p w:rsidR="00423E49" w:rsidRDefault="00423E49" w:rsidP="00C847BF">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Autosomal-dominant mutations of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are the cause of HDGC. However, it seems that the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polymorphism is also significant in sporadic GC. It has been </w:t>
      </w:r>
      <w:r w:rsidRPr="00DF64BD">
        <w:rPr>
          <w:rFonts w:ascii="Book Antiqua" w:hAnsi="Book Antiqua" w:cs="Times New Roman"/>
          <w:sz w:val="24"/>
          <w:szCs w:val="24"/>
        </w:rPr>
        <w:lastRenderedPageBreak/>
        <w:t xml:space="preserve">reported that the promoter polymorphism at position -160 C/A of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importantly increases the risk of GC in Europeans, whereas Asians seem to be tolerant</w:t>
      </w:r>
      <w:r w:rsidRPr="00DF64BD">
        <w:rPr>
          <w:rFonts w:ascii="Book Antiqua" w:hAnsi="Book Antiqua" w:cs="Times New Roman"/>
          <w:i/>
          <w:sz w:val="24"/>
          <w:szCs w:val="24"/>
        </w:rPr>
        <w:t xml:space="preserve"> </w:t>
      </w:r>
      <w:r w:rsidRPr="00DF64BD">
        <w:rPr>
          <w:rFonts w:ascii="Book Antiqua" w:hAnsi="Book Antiqua" w:cs="Times New Roman"/>
          <w:sz w:val="24"/>
          <w:szCs w:val="24"/>
        </w:rPr>
        <w:t xml:space="preserve">to </w:t>
      </w:r>
      <w:r w:rsidR="00FB6177">
        <w:rPr>
          <w:rFonts w:ascii="Book Antiqua" w:hAnsi="Book Antiqua" w:cs="Times New Roman"/>
          <w:sz w:val="24"/>
          <w:szCs w:val="24"/>
        </w:rPr>
        <w:t>this polymorphism</w:t>
      </w:r>
      <w:r w:rsidRPr="00DF64BD">
        <w:rPr>
          <w:rFonts w:ascii="Book Antiqua" w:hAnsi="Book Antiqua" w:cs="Times New Roman"/>
          <w:sz w:val="24"/>
          <w:szCs w:val="24"/>
          <w:vertAlign w:val="superscript"/>
        </w:rPr>
        <w:t>[71]</w:t>
      </w:r>
      <w:r w:rsidRPr="00DF64BD">
        <w:rPr>
          <w:rFonts w:ascii="Book Antiqua" w:hAnsi="Book Antiqua" w:cs="Times New Roman"/>
          <w:sz w:val="24"/>
          <w:szCs w:val="24"/>
        </w:rPr>
        <w:t xml:space="preserve">. Jenab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[72]</w:t>
      </w:r>
      <w:r w:rsidRPr="00DF64BD">
        <w:rPr>
          <w:rFonts w:ascii="Book Antiqua" w:hAnsi="Book Antiqua" w:cs="Times New Roman"/>
          <w:sz w:val="24"/>
          <w:szCs w:val="24"/>
        </w:rPr>
        <w:t xml:space="preserve"> showed that three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polymorphisms within the </w:t>
      </w:r>
      <w:r w:rsidRPr="00DF64BD">
        <w:rPr>
          <w:rFonts w:ascii="Book Antiqua" w:hAnsi="Book Antiqua" w:cs="Times New Roman"/>
          <w:i/>
          <w:sz w:val="24"/>
          <w:szCs w:val="24"/>
        </w:rPr>
        <w:t>CDH1</w:t>
      </w:r>
      <w:r w:rsidRPr="00DF64BD">
        <w:rPr>
          <w:rFonts w:ascii="Book Antiqua" w:hAnsi="Book Antiqua" w:cs="Times New Roman"/>
          <w:sz w:val="24"/>
          <w:szCs w:val="24"/>
        </w:rPr>
        <w:t>-160C/A haplotype block the increased risk of GC in sm</w:t>
      </w:r>
      <w:r w:rsidR="00C847BF">
        <w:rPr>
          <w:rFonts w:ascii="Book Antiqua" w:hAnsi="Book Antiqua" w:cs="Times New Roman"/>
          <w:sz w:val="24"/>
          <w:szCs w:val="24"/>
        </w:rPr>
        <w:t>okers but not in never-smokers.</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Other SNPs concern those of methylenetetrahydrofolate reductase, which has demonstrated 281 polymorphic variants. </w:t>
      </w:r>
      <w:r w:rsidRPr="00DF64BD">
        <w:rPr>
          <w:rFonts w:ascii="Book Antiqua" w:hAnsi="Book Antiqua" w:cs="Times New Roman"/>
          <w:i/>
          <w:sz w:val="24"/>
          <w:szCs w:val="24"/>
        </w:rPr>
        <w:t>MTHFR</w:t>
      </w:r>
      <w:r w:rsidRPr="00DF64BD">
        <w:rPr>
          <w:rFonts w:ascii="Book Antiqua" w:hAnsi="Book Antiqua" w:cs="Times New Roman"/>
          <w:sz w:val="24"/>
          <w:szCs w:val="24"/>
        </w:rPr>
        <w:t xml:space="preserve"> 677C&gt;T and </w:t>
      </w:r>
      <w:r w:rsidRPr="00DF64BD">
        <w:rPr>
          <w:rFonts w:ascii="Book Antiqua" w:hAnsi="Book Antiqua" w:cs="Times New Roman"/>
          <w:i/>
          <w:sz w:val="24"/>
          <w:szCs w:val="24"/>
        </w:rPr>
        <w:t>MTHFR</w:t>
      </w:r>
      <w:r w:rsidRPr="00DF64BD">
        <w:rPr>
          <w:rFonts w:ascii="Book Antiqua" w:hAnsi="Book Antiqua" w:cs="Times New Roman"/>
          <w:sz w:val="24"/>
          <w:szCs w:val="24"/>
        </w:rPr>
        <w:t xml:space="preserve"> 1298A&gt;C were shown to be associated with GCs in East Asians</w:t>
      </w:r>
      <w:r w:rsidR="00C847BF">
        <w:rPr>
          <w:rFonts w:ascii="Book Antiqua" w:hAnsi="Book Antiqua" w:cs="Times New Roman"/>
          <w:sz w:val="24"/>
          <w:szCs w:val="24"/>
          <w:vertAlign w:val="superscript"/>
        </w:rPr>
        <w:t>[77,</w:t>
      </w:r>
      <w:r w:rsidRPr="00DF64BD">
        <w:rPr>
          <w:rFonts w:ascii="Book Antiqua" w:hAnsi="Book Antiqua" w:cs="Times New Roman"/>
          <w:sz w:val="24"/>
          <w:szCs w:val="24"/>
          <w:vertAlign w:val="superscript"/>
        </w:rPr>
        <w:t>78]</w:t>
      </w:r>
      <w:r w:rsidRPr="00DF64BD">
        <w:rPr>
          <w:rFonts w:ascii="Book Antiqua" w:hAnsi="Book Antiqua" w:cs="Times New Roman"/>
          <w:sz w:val="24"/>
          <w:szCs w:val="24"/>
        </w:rPr>
        <w:t xml:space="preserve">. Another SNP, </w:t>
      </w:r>
      <w:r w:rsidRPr="00DF64BD">
        <w:rPr>
          <w:rFonts w:ascii="Book Antiqua" w:hAnsi="Book Antiqua" w:cs="Times New Roman"/>
          <w:i/>
          <w:sz w:val="24"/>
          <w:szCs w:val="24"/>
        </w:rPr>
        <w:t>CYP2</w:t>
      </w:r>
      <w:r w:rsidRPr="00DF64BD">
        <w:rPr>
          <w:rFonts w:ascii="Book Antiqua" w:hAnsi="Book Antiqua" w:cs="Times New Roman"/>
          <w:sz w:val="24"/>
          <w:szCs w:val="24"/>
        </w:rPr>
        <w:t>E1*2 (C2), was reported to enhance the GC risk in the Asian population</w:t>
      </w:r>
      <w:r w:rsidRPr="00DF64BD">
        <w:rPr>
          <w:rFonts w:ascii="Book Antiqua" w:hAnsi="Book Antiqua" w:cs="Times New Roman"/>
          <w:sz w:val="24"/>
          <w:szCs w:val="24"/>
          <w:vertAlign w:val="superscript"/>
        </w:rPr>
        <w:t>[82]</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Similarly, a polymorphism in exon 1 of </w:t>
      </w:r>
      <w:r w:rsidRPr="00DF64BD">
        <w:rPr>
          <w:rFonts w:ascii="Book Antiqua" w:hAnsi="Book Antiqua" w:cs="Times New Roman"/>
          <w:i/>
          <w:sz w:val="24"/>
          <w:szCs w:val="24"/>
        </w:rPr>
        <w:t>PSCA</w:t>
      </w:r>
      <w:r w:rsidRPr="00DF64BD">
        <w:rPr>
          <w:rFonts w:ascii="Book Antiqua" w:hAnsi="Book Antiqua" w:cs="Times New Roman"/>
          <w:sz w:val="24"/>
          <w:szCs w:val="24"/>
        </w:rPr>
        <w:t xml:space="preserve"> was shown to increase the risk of diffuse GC and to distinguish it from the intestinal subtype</w:t>
      </w:r>
      <w:r w:rsidRPr="00DF64BD">
        <w:rPr>
          <w:rFonts w:ascii="Book Antiqua" w:hAnsi="Book Antiqua" w:cs="Times New Roman"/>
          <w:sz w:val="24"/>
          <w:szCs w:val="24"/>
          <w:vertAlign w:val="superscript"/>
        </w:rPr>
        <w:t>[83</w:t>
      </w:r>
      <w:r w:rsidR="00C847BF">
        <w:rPr>
          <w:rFonts w:ascii="Book Antiqua" w:hAnsi="Book Antiqua" w:cs="Times New Roman" w:hint="eastAsia"/>
          <w:sz w:val="24"/>
          <w:szCs w:val="24"/>
          <w:vertAlign w:val="superscript"/>
          <w:lang w:eastAsia="zh-CN"/>
        </w:rPr>
        <w:t>,</w:t>
      </w:r>
      <w:r w:rsidRPr="00DF64BD">
        <w:rPr>
          <w:rFonts w:ascii="Book Antiqua" w:hAnsi="Book Antiqua" w:cs="Times New Roman"/>
          <w:sz w:val="24"/>
          <w:szCs w:val="24"/>
          <w:vertAlign w:val="superscript"/>
        </w:rPr>
        <w:t>97-101]</w:t>
      </w:r>
      <w:r w:rsidRPr="00DF64BD">
        <w:rPr>
          <w:rFonts w:ascii="Book Antiqua" w:hAnsi="Book Antiqua" w:cs="Times New Roman"/>
          <w:sz w:val="24"/>
          <w:szCs w:val="24"/>
        </w:rPr>
        <w:t>. It is likely that PSCA protein regulates gastric epithelial cell proliferation; therefore, the down-regulation of PSCA may lead to pathological cell division. The SNPs concern the alleles rs2976392 and rs2294008</w:t>
      </w:r>
      <w:r w:rsidRPr="00DF64BD">
        <w:rPr>
          <w:rFonts w:ascii="Book Antiqua" w:hAnsi="Book Antiqua" w:cs="Times New Roman"/>
          <w:sz w:val="24"/>
          <w:szCs w:val="24"/>
          <w:vertAlign w:val="superscript"/>
        </w:rPr>
        <w:t>[83]</w:t>
      </w:r>
      <w:r w:rsidRPr="00DF64BD">
        <w:rPr>
          <w:rFonts w:ascii="Book Antiqua" w:hAnsi="Book Antiqua" w:cs="Times New Roman"/>
          <w:sz w:val="24"/>
          <w:szCs w:val="24"/>
        </w:rPr>
        <w:t>. However, other studies</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have reported conflicting data,</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hindering the interpretation.</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The issue remains open to further research.</w:t>
      </w:r>
    </w:p>
    <w:p w:rsidR="00423E49" w:rsidRPr="00DF64BD" w:rsidRDefault="00423E49" w:rsidP="00AE309D">
      <w:pPr>
        <w:pStyle w:val="Bezodstpw1"/>
        <w:spacing w:line="360" w:lineRule="auto"/>
        <w:ind w:firstLine="426"/>
        <w:jc w:val="both"/>
        <w:rPr>
          <w:rFonts w:ascii="Book Antiqua" w:hAnsi="Book Antiqua" w:cs="Times New Roman"/>
          <w:sz w:val="24"/>
          <w:szCs w:val="24"/>
        </w:rPr>
      </w:pPr>
    </w:p>
    <w:p w:rsidR="00423E49" w:rsidRPr="00C847BF" w:rsidRDefault="00423E49" w:rsidP="00AE309D">
      <w:pPr>
        <w:pStyle w:val="Bezodstpw1"/>
        <w:tabs>
          <w:tab w:val="left" w:pos="426"/>
        </w:tabs>
        <w:spacing w:line="360" w:lineRule="auto"/>
        <w:jc w:val="both"/>
        <w:rPr>
          <w:rFonts w:ascii="Book Antiqua" w:hAnsi="Book Antiqua" w:cs="Times New Roman"/>
          <w:i/>
          <w:sz w:val="24"/>
          <w:szCs w:val="24"/>
          <w:u w:val="single"/>
        </w:rPr>
      </w:pPr>
      <w:r w:rsidRPr="00C847BF">
        <w:rPr>
          <w:rFonts w:ascii="Book Antiqua" w:hAnsi="Book Antiqua" w:cs="Times New Roman"/>
          <w:b/>
          <w:bCs/>
          <w:i/>
          <w:sz w:val="24"/>
          <w:szCs w:val="24"/>
        </w:rPr>
        <w:t>Various acquired mutations</w:t>
      </w:r>
    </w:p>
    <w:p w:rsidR="00423E49" w:rsidRPr="00C847BF" w:rsidRDefault="00423E49" w:rsidP="00C847BF">
      <w:pPr>
        <w:pStyle w:val="Bezodstpw1"/>
        <w:tabs>
          <w:tab w:val="left" w:pos="5403"/>
        </w:tabs>
        <w:spacing w:line="360" w:lineRule="auto"/>
        <w:jc w:val="both"/>
        <w:rPr>
          <w:rFonts w:ascii="Book Antiqua" w:hAnsi="Book Antiqua" w:cs="Times New Roman"/>
          <w:b/>
          <w:sz w:val="24"/>
          <w:szCs w:val="24"/>
          <w:lang w:eastAsia="zh-CN"/>
        </w:rPr>
      </w:pPr>
      <w:r w:rsidRPr="00C847BF">
        <w:rPr>
          <w:rFonts w:ascii="Book Antiqua" w:hAnsi="Book Antiqua" w:cs="Times New Roman"/>
          <w:b/>
          <w:sz w:val="24"/>
          <w:szCs w:val="24"/>
        </w:rPr>
        <w:t>Chromosomal instability</w:t>
      </w:r>
      <w:r w:rsidR="00C847BF">
        <w:rPr>
          <w:rFonts w:ascii="Book Antiqua" w:hAnsi="Book Antiqua" w:cs="Times New Roman" w:hint="eastAsia"/>
          <w:b/>
          <w:sz w:val="24"/>
          <w:szCs w:val="24"/>
          <w:lang w:eastAsia="zh-CN"/>
        </w:rPr>
        <w:t xml:space="preserve">: </w:t>
      </w:r>
      <w:r w:rsidRPr="00DF64BD">
        <w:rPr>
          <w:rFonts w:ascii="Book Antiqua" w:hAnsi="Book Antiqua" w:cs="Times New Roman"/>
          <w:sz w:val="24"/>
          <w:szCs w:val="24"/>
        </w:rPr>
        <w:t>The term chromosomal instability comprises altered DNA copy number (aneuploidy) and various changes in chromosome regions, such as translocation, amplification, deletion or the loss of one allele in a pair (loss of heterozygosity (LOH)</w:t>
      </w:r>
      <w:r w:rsidRPr="00DF64BD">
        <w:rPr>
          <w:rFonts w:ascii="Book Antiqua" w:hAnsi="Book Antiqua" w:cs="Times New Roman"/>
          <w:i/>
          <w:iCs/>
          <w:sz w:val="24"/>
          <w:szCs w:val="24"/>
        </w:rPr>
        <w:t>)</w:t>
      </w:r>
      <w:r w:rsidR="00C847BF">
        <w:rPr>
          <w:rFonts w:ascii="Book Antiqua" w:hAnsi="Book Antiqua" w:cs="Times New Roman"/>
          <w:sz w:val="24"/>
          <w:szCs w:val="24"/>
          <w:vertAlign w:val="superscript"/>
        </w:rPr>
        <w:t>[102,</w:t>
      </w:r>
      <w:r w:rsidRPr="00DF64BD">
        <w:rPr>
          <w:rFonts w:ascii="Book Antiqua" w:hAnsi="Book Antiqua" w:cs="Times New Roman"/>
          <w:sz w:val="24"/>
          <w:szCs w:val="24"/>
          <w:vertAlign w:val="superscript"/>
        </w:rPr>
        <w:t>103]</w:t>
      </w:r>
      <w:r w:rsidRPr="00DF64BD">
        <w:rPr>
          <w:rFonts w:ascii="Book Antiqua" w:hAnsi="Book Antiqua" w:cs="Times New Roman"/>
          <w:i/>
          <w:iCs/>
          <w:sz w:val="24"/>
          <w:szCs w:val="24"/>
        </w:rPr>
        <w:t xml:space="preserve">. </w:t>
      </w:r>
      <w:r w:rsidRPr="00DF64BD">
        <w:rPr>
          <w:rFonts w:ascii="Book Antiqua" w:hAnsi="Book Antiqua" w:cs="Times New Roman"/>
          <w:sz w:val="24"/>
          <w:szCs w:val="24"/>
        </w:rPr>
        <w:t>Altogether, CIN results in the loss or gain of function of some genes, including oncogenes and tumour suppressor genes.</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CIN is an inherent part of carcinogenesis that occurs at each stage of the oncologic diseases</w:t>
      </w:r>
      <w:r w:rsidRPr="00DF64BD">
        <w:rPr>
          <w:rFonts w:ascii="Book Antiqua" w:hAnsi="Book Antiqua" w:cs="Times New Roman"/>
          <w:sz w:val="24"/>
          <w:szCs w:val="24"/>
          <w:vertAlign w:val="superscript"/>
        </w:rPr>
        <w:t>[103]</w:t>
      </w:r>
      <w:r w:rsidRPr="00DF64BD">
        <w:rPr>
          <w:rFonts w:ascii="Book Antiqua" w:hAnsi="Book Antiqua" w:cs="Times New Roman"/>
          <w:sz w:val="24"/>
          <w:szCs w:val="24"/>
        </w:rPr>
        <w:t>. It is not permanent, differs within geographical regions</w:t>
      </w:r>
      <w:r w:rsidRPr="00DF64BD">
        <w:rPr>
          <w:rFonts w:ascii="Book Antiqua" w:hAnsi="Book Antiqua" w:cs="Times New Roman"/>
          <w:sz w:val="24"/>
          <w:szCs w:val="24"/>
          <w:vertAlign w:val="superscript"/>
        </w:rPr>
        <w:t>[104]</w:t>
      </w:r>
      <w:r w:rsidRPr="00DF64BD">
        <w:rPr>
          <w:rFonts w:ascii="Book Antiqua" w:hAnsi="Book Antiqua" w:cs="Times New Roman"/>
          <w:sz w:val="24"/>
          <w:szCs w:val="24"/>
        </w:rPr>
        <w:t xml:space="preserve"> and increases with disease progression</w:t>
      </w:r>
      <w:r w:rsidR="00C847BF">
        <w:rPr>
          <w:rFonts w:ascii="Book Antiqua" w:hAnsi="Book Antiqua" w:cs="Times New Roman"/>
          <w:sz w:val="24"/>
          <w:szCs w:val="24"/>
          <w:vertAlign w:val="superscript"/>
        </w:rPr>
        <w:t>[102,</w:t>
      </w:r>
      <w:r w:rsidRPr="00DF64BD">
        <w:rPr>
          <w:rFonts w:ascii="Book Antiqua" w:hAnsi="Book Antiqua" w:cs="Times New Roman"/>
          <w:sz w:val="24"/>
          <w:szCs w:val="24"/>
          <w:vertAlign w:val="superscript"/>
        </w:rPr>
        <w:t>105]</w:t>
      </w:r>
      <w:r w:rsidRPr="00DF64BD">
        <w:rPr>
          <w:rFonts w:ascii="Book Antiqua" w:hAnsi="Book Antiqua" w:cs="Times New Roman"/>
          <w:sz w:val="24"/>
          <w:szCs w:val="24"/>
        </w:rPr>
        <w:t>.</w:t>
      </w:r>
      <w:r w:rsidRPr="00DF64BD">
        <w:rPr>
          <w:rFonts w:ascii="Book Antiqua" w:hAnsi="Book Antiqua" w:cs="Times New Roman"/>
          <w:color w:val="F79646"/>
          <w:sz w:val="24"/>
          <w:szCs w:val="24"/>
        </w:rPr>
        <w:t xml:space="preserve"> </w:t>
      </w:r>
      <w:r w:rsidRPr="00DF64BD">
        <w:rPr>
          <w:rFonts w:ascii="Book Antiqua" w:hAnsi="Book Antiqua" w:cs="Times New Roman"/>
          <w:sz w:val="24"/>
          <w:szCs w:val="24"/>
        </w:rPr>
        <w:t>Therefore, recognizing frequent CIN patterns in GC can result in improving early di</w:t>
      </w:r>
      <w:r w:rsidR="00C847BF">
        <w:rPr>
          <w:rFonts w:ascii="Book Antiqua" w:hAnsi="Book Antiqua" w:cs="Times New Roman"/>
          <w:sz w:val="24"/>
          <w:szCs w:val="24"/>
        </w:rPr>
        <w:t>agnosis, staging and treatment.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It was reported that intestinal GC correlates with the gain of copy number at 8q, 17q and 20q</w:t>
      </w:r>
      <w:r w:rsidRPr="00DF64BD">
        <w:rPr>
          <w:rFonts w:ascii="Book Antiqua" w:hAnsi="Book Antiqua" w:cs="Times New Roman"/>
          <w:sz w:val="24"/>
          <w:szCs w:val="24"/>
          <w:vertAlign w:val="superscript"/>
        </w:rPr>
        <w:t>[105-109]</w:t>
      </w:r>
      <w:r w:rsidRPr="00DF64BD">
        <w:rPr>
          <w:rFonts w:ascii="Book Antiqua" w:hAnsi="Book Antiqua" w:cs="Times New Roman"/>
          <w:sz w:val="24"/>
          <w:szCs w:val="24"/>
        </w:rPr>
        <w:t xml:space="preserve"> and with amplification and overexpression of EGF and c-</w:t>
      </w:r>
      <w:r w:rsidR="00805B25">
        <w:rPr>
          <w:rFonts w:ascii="Book Antiqua" w:hAnsi="Book Antiqua" w:cs="Times New Roman"/>
          <w:sz w:val="24"/>
          <w:szCs w:val="24"/>
        </w:rPr>
        <w:t>E</w:t>
      </w:r>
      <w:r w:rsidRPr="00DF64BD">
        <w:rPr>
          <w:rFonts w:ascii="Book Antiqua" w:hAnsi="Book Antiqua" w:cs="Times New Roman"/>
          <w:sz w:val="24"/>
          <w:szCs w:val="24"/>
        </w:rPr>
        <w:t>rbB2, which are the molecules involved in self-sufficient growth</w:t>
      </w:r>
      <w:r w:rsidRPr="00DF64BD">
        <w:rPr>
          <w:rFonts w:ascii="Book Antiqua" w:hAnsi="Book Antiqua" w:cs="Times New Roman"/>
          <w:sz w:val="24"/>
          <w:szCs w:val="24"/>
          <w:vertAlign w:val="superscript"/>
        </w:rPr>
        <w:t>[110,111]</w:t>
      </w:r>
      <w:r w:rsidRPr="00DF64BD">
        <w:rPr>
          <w:rFonts w:ascii="Book Antiqua" w:hAnsi="Book Antiqua" w:cs="Times New Roman"/>
          <w:sz w:val="24"/>
          <w:szCs w:val="24"/>
        </w:rPr>
        <w:t>. Diffuse GC is characterized by a gain of copy number at 12q and 13q</w:t>
      </w:r>
      <w:r w:rsidRPr="00DF64BD">
        <w:rPr>
          <w:rFonts w:ascii="Book Antiqua" w:hAnsi="Book Antiqua" w:cs="Times New Roman"/>
          <w:sz w:val="24"/>
          <w:szCs w:val="24"/>
          <w:vertAlign w:val="superscript"/>
        </w:rPr>
        <w:t>[105-109]</w:t>
      </w:r>
      <w:r w:rsidRPr="00DF64BD">
        <w:rPr>
          <w:rFonts w:ascii="Book Antiqua" w:hAnsi="Book Antiqua" w:cs="Times New Roman"/>
          <w:sz w:val="24"/>
          <w:szCs w:val="24"/>
        </w:rPr>
        <w:t xml:space="preserve"> and with amplification of FGFR</w:t>
      </w:r>
      <w:r w:rsidR="00084DC5">
        <w:rPr>
          <w:rFonts w:ascii="Book Antiqua" w:hAnsi="Book Antiqua" w:cs="Times New Roman"/>
          <w:sz w:val="24"/>
          <w:szCs w:val="24"/>
          <w:vertAlign w:val="superscript"/>
        </w:rPr>
        <w:t>[112,</w:t>
      </w:r>
      <w:r w:rsidRPr="00DF64BD">
        <w:rPr>
          <w:rFonts w:ascii="Book Antiqua" w:hAnsi="Book Antiqua" w:cs="Times New Roman"/>
          <w:sz w:val="24"/>
          <w:szCs w:val="24"/>
          <w:vertAlign w:val="superscript"/>
        </w:rPr>
        <w:t>113]</w:t>
      </w:r>
      <w:r w:rsidRPr="00DF64BD">
        <w:rPr>
          <w:rFonts w:ascii="Book Antiqua" w:hAnsi="Book Antiqua" w:cs="Times New Roman"/>
          <w:sz w:val="24"/>
          <w:szCs w:val="24"/>
        </w:rPr>
        <w:t>. Both subtypes display overexpression of HGF and c-myc</w:t>
      </w:r>
      <w:r w:rsidR="00C847BF">
        <w:rPr>
          <w:rFonts w:ascii="Book Antiqua" w:hAnsi="Book Antiqua" w:cs="Times New Roman"/>
          <w:sz w:val="24"/>
          <w:szCs w:val="24"/>
          <w:vertAlign w:val="superscript"/>
        </w:rPr>
        <w:t>[112,114,</w:t>
      </w:r>
      <w:r w:rsidRPr="00DF64BD">
        <w:rPr>
          <w:rFonts w:ascii="Book Antiqua" w:hAnsi="Book Antiqua" w:cs="Times New Roman"/>
          <w:sz w:val="24"/>
          <w:szCs w:val="24"/>
          <w:vertAlign w:val="superscript"/>
        </w:rPr>
        <w:t>115]</w:t>
      </w:r>
      <w:r w:rsidRPr="00DF64BD">
        <w:rPr>
          <w:rFonts w:ascii="Book Antiqua" w:hAnsi="Book Antiqua" w:cs="Times New Roman"/>
          <w:sz w:val="24"/>
          <w:szCs w:val="24"/>
        </w:rPr>
        <w:t xml:space="preserve"> and </w:t>
      </w:r>
      <w:r w:rsidRPr="00DF64BD">
        <w:rPr>
          <w:rFonts w:ascii="Book Antiqua" w:hAnsi="Book Antiqua" w:cs="Times New Roman"/>
          <w:sz w:val="24"/>
          <w:szCs w:val="24"/>
        </w:rPr>
        <w:lastRenderedPageBreak/>
        <w:t>amplification of the HER2 gene (</w:t>
      </w:r>
      <w:r w:rsidRPr="00DF64BD">
        <w:rPr>
          <w:rFonts w:ascii="Book Antiqua" w:hAnsi="Book Antiqua" w:cs="Times New Roman"/>
          <w:i/>
          <w:sz w:val="24"/>
          <w:szCs w:val="24"/>
        </w:rPr>
        <w:t>ERBB2</w:t>
      </w:r>
      <w:r w:rsidRPr="00DF64BD">
        <w:rPr>
          <w:rFonts w:ascii="Book Antiqua" w:hAnsi="Book Antiqua" w:cs="Times New Roman"/>
          <w:sz w:val="24"/>
          <w:szCs w:val="24"/>
        </w:rPr>
        <w:t>). The latter feature is of particular clinical interest because HER2 can be therapeutically blocked by monoclonal antibodies</w:t>
      </w:r>
      <w:r w:rsidR="00C847BF">
        <w:rPr>
          <w:rFonts w:ascii="Book Antiqua" w:hAnsi="Book Antiqua" w:cs="Times New Roman"/>
          <w:sz w:val="24"/>
          <w:szCs w:val="24"/>
          <w:vertAlign w:val="superscript"/>
        </w:rPr>
        <w:t>[116,</w:t>
      </w:r>
      <w:r w:rsidRPr="00DF64BD">
        <w:rPr>
          <w:rFonts w:ascii="Book Antiqua" w:hAnsi="Book Antiqua" w:cs="Times New Roman"/>
          <w:sz w:val="24"/>
          <w:szCs w:val="24"/>
          <w:vertAlign w:val="superscript"/>
        </w:rPr>
        <w:t>117]</w:t>
      </w:r>
      <w:r w:rsidRPr="00DF64BD">
        <w:rPr>
          <w:rFonts w:ascii="Book Antiqua" w:hAnsi="Book Antiqua" w:cs="Times New Roman"/>
          <w:sz w:val="24"/>
          <w:szCs w:val="24"/>
        </w:rPr>
        <w:t>. GC patients treated with a humanized antibody against HER2 (trastuzumab) benefit with a 2.5-mo</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longer survival than the group treated with standard chemotherapy</w:t>
      </w:r>
      <w:r w:rsidRPr="00DF64BD">
        <w:rPr>
          <w:rFonts w:ascii="Book Antiqua" w:hAnsi="Book Antiqua" w:cs="Times New Roman"/>
          <w:sz w:val="24"/>
          <w:szCs w:val="24"/>
          <w:vertAlign w:val="superscript"/>
        </w:rPr>
        <w:t>[118]</w:t>
      </w:r>
      <w:r w:rsidRPr="00DF64BD">
        <w:rPr>
          <w:rFonts w:ascii="Book Antiqua" w:hAnsi="Book Antiqua" w:cs="Times New Roman"/>
          <w:sz w:val="24"/>
          <w:szCs w:val="24"/>
        </w:rPr>
        <w:t>. However, thereafter, the disease progresses, and resistance develops, raising doubt about the usefulness of this agent</w:t>
      </w:r>
      <w:r w:rsidRPr="00DF64BD">
        <w:rPr>
          <w:rFonts w:ascii="Book Antiqua" w:hAnsi="Book Antiqua" w:cs="Times New Roman"/>
          <w:sz w:val="24"/>
          <w:szCs w:val="24"/>
          <w:vertAlign w:val="superscript"/>
        </w:rPr>
        <w:t>[50]</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Other changes that promote uncontrolled cell growth are inversions causing the generation of the </w:t>
      </w:r>
      <w:r w:rsidRPr="00DF64BD">
        <w:rPr>
          <w:rFonts w:ascii="Book Antiqua" w:hAnsi="Book Antiqua" w:cs="Times New Roman"/>
          <w:i/>
          <w:sz w:val="24"/>
          <w:szCs w:val="24"/>
        </w:rPr>
        <w:t>SLC1A2-CD44</w:t>
      </w:r>
      <w:r w:rsidRPr="00DF64BD">
        <w:rPr>
          <w:rFonts w:ascii="Book Antiqua" w:hAnsi="Book Antiqua" w:cs="Times New Roman"/>
          <w:sz w:val="24"/>
          <w:szCs w:val="24"/>
        </w:rPr>
        <w:t xml:space="preserve"> fusion protein</w:t>
      </w:r>
      <w:r w:rsidRPr="00DF64BD">
        <w:rPr>
          <w:rFonts w:ascii="Book Antiqua" w:hAnsi="Book Antiqua" w:cs="Times New Roman"/>
          <w:sz w:val="24"/>
          <w:szCs w:val="24"/>
          <w:vertAlign w:val="superscript"/>
        </w:rPr>
        <w:t>[119]</w:t>
      </w:r>
      <w:r w:rsidRPr="00DF64BD">
        <w:rPr>
          <w:rFonts w:ascii="Book Antiqua" w:hAnsi="Book Antiqua" w:cs="Times New Roman"/>
          <w:sz w:val="24"/>
          <w:szCs w:val="24"/>
        </w:rPr>
        <w:t xml:space="preserve"> and the </w:t>
      </w:r>
      <w:r w:rsidRPr="00DF64BD">
        <w:rPr>
          <w:rFonts w:ascii="Book Antiqua" w:hAnsi="Book Antiqua" w:cs="Times New Roman"/>
          <w:i/>
          <w:sz w:val="24"/>
          <w:szCs w:val="24"/>
        </w:rPr>
        <w:t>ROS1</w:t>
      </w:r>
      <w:r w:rsidRPr="00DF64BD">
        <w:rPr>
          <w:rFonts w:ascii="Book Antiqua" w:hAnsi="Book Antiqua" w:cs="Times New Roman"/>
          <w:sz w:val="24"/>
          <w:szCs w:val="24"/>
        </w:rPr>
        <w:t xml:space="preserve"> gene rearrangement. However, the latter alteration rarely occurs in GCs (&lt;</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1%) and differentiates the subgroup of patients who hypothetically may be treated with kinase inhibitors</w:t>
      </w:r>
      <w:r w:rsidR="00C847BF">
        <w:rPr>
          <w:rFonts w:ascii="Book Antiqua" w:hAnsi="Book Antiqua" w:cs="Times New Roman"/>
          <w:sz w:val="24"/>
          <w:szCs w:val="24"/>
          <w:vertAlign w:val="superscript"/>
        </w:rPr>
        <w:t>[119,</w:t>
      </w:r>
      <w:r w:rsidRPr="00DF64BD">
        <w:rPr>
          <w:rFonts w:ascii="Book Antiqua" w:hAnsi="Book Antiqua" w:cs="Times New Roman"/>
          <w:sz w:val="24"/>
          <w:szCs w:val="24"/>
          <w:vertAlign w:val="superscript"/>
        </w:rPr>
        <w:t>120]</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Loss of heterozygosity (LOH) is a common event in GC. The frequently occurring LOH in the genes </w:t>
      </w:r>
      <w:r w:rsidRPr="00DF64BD">
        <w:rPr>
          <w:rFonts w:ascii="Book Antiqua" w:hAnsi="Book Antiqua" w:cs="Times New Roman"/>
          <w:i/>
          <w:sz w:val="24"/>
          <w:szCs w:val="24"/>
        </w:rPr>
        <w:t>APC</w:t>
      </w:r>
      <w:r w:rsidRPr="00DF64BD">
        <w:rPr>
          <w:rFonts w:ascii="Book Antiqua" w:hAnsi="Book Antiqua" w:cs="Times New Roman"/>
          <w:sz w:val="24"/>
          <w:szCs w:val="24"/>
        </w:rPr>
        <w:t xml:space="preserve">, </w:t>
      </w:r>
      <w:r w:rsidRPr="00DF64BD">
        <w:rPr>
          <w:rFonts w:ascii="Book Antiqua" w:hAnsi="Book Antiqua" w:cs="Times New Roman"/>
          <w:i/>
          <w:sz w:val="24"/>
          <w:szCs w:val="24"/>
        </w:rPr>
        <w:t>TP53</w:t>
      </w:r>
      <w:r w:rsidRPr="00DF64BD">
        <w:rPr>
          <w:rFonts w:ascii="Book Antiqua" w:hAnsi="Book Antiqua" w:cs="Times New Roman"/>
          <w:sz w:val="24"/>
          <w:szCs w:val="24"/>
        </w:rPr>
        <w:t xml:space="preserve"> and </w:t>
      </w:r>
      <w:r w:rsidRPr="00DF64BD">
        <w:rPr>
          <w:rFonts w:ascii="Book Antiqua" w:hAnsi="Book Antiqua" w:cs="Times New Roman"/>
          <w:i/>
          <w:sz w:val="24"/>
          <w:szCs w:val="24"/>
        </w:rPr>
        <w:t>NME1</w:t>
      </w:r>
      <w:r w:rsidRPr="00DF64BD">
        <w:rPr>
          <w:rFonts w:ascii="Book Antiqua" w:hAnsi="Book Antiqua" w:cs="Times New Roman"/>
          <w:sz w:val="24"/>
          <w:szCs w:val="24"/>
        </w:rPr>
        <w:t xml:space="preserve"> play a possible role in evaluation of a patient’s clinical status</w:t>
      </w:r>
      <w:r w:rsidR="00C847BF">
        <w:rPr>
          <w:rFonts w:ascii="Book Antiqua" w:hAnsi="Book Antiqua" w:cs="Times New Roman"/>
          <w:sz w:val="24"/>
          <w:szCs w:val="24"/>
          <w:vertAlign w:val="superscript"/>
        </w:rPr>
        <w:t>[121,</w:t>
      </w:r>
      <w:r w:rsidRPr="00DF64BD">
        <w:rPr>
          <w:rFonts w:ascii="Book Antiqua" w:hAnsi="Book Antiqua" w:cs="Times New Roman"/>
          <w:sz w:val="24"/>
          <w:szCs w:val="24"/>
          <w:vertAlign w:val="superscript"/>
        </w:rPr>
        <w:t>122]</w:t>
      </w:r>
      <w:r w:rsidRPr="00DF64BD">
        <w:rPr>
          <w:rFonts w:ascii="Book Antiqua" w:hAnsi="Book Antiqua" w:cs="Times New Roman"/>
          <w:sz w:val="24"/>
          <w:szCs w:val="24"/>
        </w:rPr>
        <w:t>. Gains at chromosomes 17q, 19q and 20q are distinctive for GCs in young</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patients</w:t>
      </w:r>
      <w:r w:rsidR="00C847BF">
        <w:rPr>
          <w:rFonts w:ascii="Book Antiqua" w:hAnsi="Book Antiqua" w:cs="Times New Roman"/>
          <w:sz w:val="24"/>
          <w:szCs w:val="24"/>
          <w:vertAlign w:val="superscript"/>
        </w:rPr>
        <w:t>[10,</w:t>
      </w:r>
      <w:r w:rsidRPr="00DF64BD">
        <w:rPr>
          <w:rFonts w:ascii="Book Antiqua" w:hAnsi="Book Antiqua" w:cs="Times New Roman"/>
          <w:sz w:val="24"/>
          <w:szCs w:val="24"/>
          <w:vertAlign w:val="superscript"/>
        </w:rPr>
        <w:t>123]</w:t>
      </w:r>
      <w:r w:rsidRPr="00DF64BD">
        <w:rPr>
          <w:rFonts w:ascii="Book Antiqua" w:hAnsi="Book Antiqua" w:cs="Times New Roman"/>
          <w:sz w:val="24"/>
          <w:szCs w:val="24"/>
        </w:rPr>
        <w:t>.</w:t>
      </w:r>
    </w:p>
    <w:p w:rsidR="00423E49" w:rsidRPr="00C847BF" w:rsidRDefault="00423E49" w:rsidP="00C847BF">
      <w:pPr>
        <w:pStyle w:val="Bezodstpw1"/>
        <w:tabs>
          <w:tab w:val="left" w:pos="5403"/>
        </w:tabs>
        <w:spacing w:line="360" w:lineRule="auto"/>
        <w:jc w:val="both"/>
        <w:rPr>
          <w:rFonts w:ascii="Book Antiqua" w:hAnsi="Book Antiqua" w:cs="Times New Roman"/>
          <w:sz w:val="24"/>
          <w:szCs w:val="24"/>
          <w:lang w:eastAsia="zh-CN"/>
        </w:rPr>
      </w:pPr>
    </w:p>
    <w:p w:rsidR="00423E49" w:rsidRPr="00C847BF" w:rsidRDefault="00423E49" w:rsidP="00C847BF">
      <w:pPr>
        <w:pStyle w:val="Bezodstpw1"/>
        <w:tabs>
          <w:tab w:val="left" w:pos="5403"/>
        </w:tabs>
        <w:spacing w:line="360" w:lineRule="auto"/>
        <w:jc w:val="both"/>
        <w:rPr>
          <w:rFonts w:ascii="Book Antiqua" w:hAnsi="Book Antiqua" w:cs="Times New Roman"/>
          <w:b/>
          <w:sz w:val="24"/>
          <w:szCs w:val="24"/>
          <w:lang w:eastAsia="zh-CN"/>
        </w:rPr>
      </w:pPr>
      <w:r w:rsidRPr="00C847BF">
        <w:rPr>
          <w:rFonts w:ascii="Book Antiqua" w:hAnsi="Book Antiqua" w:cs="Times New Roman"/>
          <w:b/>
          <w:sz w:val="24"/>
          <w:szCs w:val="24"/>
        </w:rPr>
        <w:t>Microsatellite instability</w:t>
      </w:r>
      <w:r w:rsidR="00C847BF">
        <w:rPr>
          <w:rFonts w:ascii="Book Antiqua" w:hAnsi="Book Antiqua" w:cs="Times New Roman" w:hint="eastAsia"/>
          <w:b/>
          <w:sz w:val="24"/>
          <w:szCs w:val="24"/>
          <w:lang w:eastAsia="zh-CN"/>
        </w:rPr>
        <w:t xml:space="preserve">: </w:t>
      </w:r>
      <w:r w:rsidRPr="00DF64BD">
        <w:rPr>
          <w:rFonts w:ascii="Book Antiqua" w:hAnsi="Book Antiqua" w:cs="Times New Roman"/>
          <w:sz w:val="24"/>
          <w:szCs w:val="24"/>
        </w:rPr>
        <w:t>MSI is defined as the presence of small deletions or expansions in a tumour’s DNA within short tandem repeats (microsatellite regions) and do not match normal DNA.</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MSI is not only present in HNPCC but occurs in up to every second sporadic GC</w:t>
      </w:r>
      <w:r w:rsidR="00C847BF">
        <w:rPr>
          <w:rFonts w:ascii="Book Antiqua" w:hAnsi="Book Antiqua" w:cs="Times New Roman"/>
          <w:sz w:val="24"/>
          <w:szCs w:val="24"/>
          <w:vertAlign w:val="superscript"/>
        </w:rPr>
        <w:t>[50,</w:t>
      </w:r>
      <w:r w:rsidRPr="00DF64BD">
        <w:rPr>
          <w:rFonts w:ascii="Book Antiqua" w:hAnsi="Book Antiqua" w:cs="Times New Roman"/>
          <w:sz w:val="24"/>
          <w:szCs w:val="24"/>
          <w:vertAlign w:val="superscript"/>
        </w:rPr>
        <w:t>124]</w:t>
      </w:r>
      <w:r w:rsidRPr="00DF64BD">
        <w:rPr>
          <w:rFonts w:ascii="Book Antiqua" w:hAnsi="Book Antiqua" w:cs="Times New Roman"/>
          <w:sz w:val="24"/>
          <w:szCs w:val="24"/>
        </w:rPr>
        <w:t>. In GCs, MSI is mostly caused by the epigenetic alterations in the mismatch repair genes (MMRs)</w:t>
      </w:r>
      <w:r w:rsidR="00C847BF">
        <w:rPr>
          <w:rFonts w:ascii="Book Antiqua" w:hAnsi="Book Antiqua" w:cs="Times New Roman"/>
          <w:sz w:val="24"/>
          <w:szCs w:val="24"/>
          <w:vertAlign w:val="superscript"/>
        </w:rPr>
        <w:t>[125,</w:t>
      </w:r>
      <w:r w:rsidRPr="00DF64BD">
        <w:rPr>
          <w:rFonts w:ascii="Book Antiqua" w:hAnsi="Book Antiqua" w:cs="Times New Roman"/>
          <w:sz w:val="24"/>
          <w:szCs w:val="24"/>
          <w:vertAlign w:val="superscript"/>
        </w:rPr>
        <w:t>126]</w:t>
      </w:r>
      <w:r w:rsidRPr="00DF64BD">
        <w:rPr>
          <w:rFonts w:ascii="Book Antiqua" w:hAnsi="Book Antiqua" w:cs="Times New Roman"/>
          <w:sz w:val="24"/>
          <w:szCs w:val="24"/>
        </w:rPr>
        <w:t>. Consequently, the impaired mismatch repair system fails to fulfil its task, resulting in multiple mutations within cell growth-regulating genes (</w:t>
      </w:r>
      <w:r w:rsidRPr="00DF64BD">
        <w:rPr>
          <w:rFonts w:ascii="Book Antiqua" w:hAnsi="Book Antiqua" w:cs="Times New Roman"/>
          <w:i/>
          <w:sz w:val="24"/>
          <w:szCs w:val="24"/>
        </w:rPr>
        <w:t>TGF</w:t>
      </w:r>
      <w:r w:rsidR="00514D1C">
        <w:rPr>
          <w:rFonts w:ascii="Book Antiqua" w:hAnsi="Book Antiqua" w:cs="Times New Roman"/>
          <w:i/>
          <w:sz w:val="24"/>
          <w:szCs w:val="24"/>
        </w:rPr>
        <w:t>-</w:t>
      </w:r>
      <w:r w:rsidRPr="00DF64BD">
        <w:rPr>
          <w:rFonts w:ascii="Book Antiqua" w:hAnsi="Book Antiqua" w:cs="Times New Roman"/>
          <w:i/>
          <w:sz w:val="24"/>
          <w:szCs w:val="24"/>
        </w:rPr>
        <w:t>βRII, IGFIIR,RIZ, TCF4, DP2</w:t>
      </w:r>
      <w:r w:rsidRPr="00DF64BD">
        <w:rPr>
          <w:rFonts w:ascii="Book Antiqua" w:hAnsi="Book Antiqua" w:cs="Times New Roman"/>
          <w:sz w:val="24"/>
          <w:szCs w:val="24"/>
        </w:rPr>
        <w:t>), apoptosis genes (</w:t>
      </w:r>
      <w:r w:rsidRPr="00DF64BD">
        <w:rPr>
          <w:rFonts w:ascii="Book Antiqua" w:hAnsi="Book Antiqua" w:cs="Times New Roman"/>
          <w:i/>
          <w:sz w:val="24"/>
          <w:szCs w:val="24"/>
        </w:rPr>
        <w:t>BAX, BCL10, FAS, CASPASE5, APAF1</w:t>
      </w:r>
      <w:r w:rsidRPr="00DF64BD">
        <w:rPr>
          <w:rFonts w:ascii="Book Antiqua" w:hAnsi="Book Antiqua" w:cs="Times New Roman"/>
          <w:sz w:val="24"/>
          <w:szCs w:val="24"/>
        </w:rPr>
        <w:t>) and DNA repair genes (</w:t>
      </w:r>
      <w:r w:rsidRPr="00DF64BD">
        <w:rPr>
          <w:rFonts w:ascii="Book Antiqua" w:hAnsi="Book Antiqua" w:cs="Times New Roman"/>
          <w:i/>
          <w:sz w:val="24"/>
          <w:szCs w:val="24"/>
        </w:rPr>
        <w:t>hMSH6, hMSH3, MED1, RAD50, BLM, ATR, MRE11</w:t>
      </w:r>
      <w:r w:rsidRPr="00DF64BD">
        <w:rPr>
          <w:rFonts w:ascii="Book Antiqua" w:hAnsi="Book Antiqua" w:cs="Times New Roman"/>
          <w:sz w:val="24"/>
          <w:szCs w:val="24"/>
        </w:rPr>
        <w:t>)</w:t>
      </w:r>
      <w:r w:rsidR="00C847BF">
        <w:rPr>
          <w:rFonts w:ascii="Book Antiqua" w:hAnsi="Book Antiqua" w:cs="Times New Roman"/>
          <w:sz w:val="24"/>
          <w:szCs w:val="24"/>
          <w:vertAlign w:val="superscript"/>
        </w:rPr>
        <w:t>[125,</w:t>
      </w:r>
      <w:r w:rsidRPr="00DF64BD">
        <w:rPr>
          <w:rFonts w:ascii="Book Antiqua" w:hAnsi="Book Antiqua" w:cs="Times New Roman"/>
          <w:sz w:val="24"/>
          <w:szCs w:val="24"/>
          <w:vertAlign w:val="superscript"/>
        </w:rPr>
        <w:t>127-130]</w:t>
      </w:r>
      <w:r w:rsidRPr="00DF64BD">
        <w:rPr>
          <w:rFonts w:ascii="Book Antiqua" w:hAnsi="Book Antiqua" w:cs="Times New Roman"/>
          <w:sz w:val="24"/>
          <w:szCs w:val="24"/>
        </w:rPr>
        <w:t>. However, the inactivation of mismatch repair genes, by itself, is thought to be insufficient to induce carcinogenesis but might be a coexistent factor</w:t>
      </w:r>
      <w:r w:rsidRPr="00DF64BD">
        <w:rPr>
          <w:rFonts w:ascii="Book Antiqua" w:hAnsi="Book Antiqua" w:cs="Times New Roman"/>
          <w:sz w:val="24"/>
          <w:szCs w:val="24"/>
          <w:vertAlign w:val="superscript"/>
        </w:rPr>
        <w:t>[126]</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The high incidence of microsatellite instability in GCs (MSI-H GC) is more likely to occur at an antral location, in the intestinal type, in the expanding type, and with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seropositivity, and correlates with a lower prevalence of lymph-node metastases</w:t>
      </w:r>
      <w:r w:rsidRPr="00DF64BD">
        <w:rPr>
          <w:rFonts w:ascii="Book Antiqua" w:hAnsi="Book Antiqua" w:cs="Times New Roman"/>
          <w:sz w:val="24"/>
          <w:szCs w:val="24"/>
          <w:vertAlign w:val="superscript"/>
        </w:rPr>
        <w:t>[131-133]</w:t>
      </w:r>
      <w:r w:rsidRPr="00DF64BD">
        <w:rPr>
          <w:rFonts w:ascii="Book Antiqua" w:hAnsi="Book Antiqua" w:cs="Times New Roman"/>
          <w:sz w:val="24"/>
          <w:szCs w:val="24"/>
        </w:rPr>
        <w:t xml:space="preserve">. Moreover, MSI correlates with a lower incidence of </w:t>
      </w:r>
      <w:r w:rsidRPr="00DF64BD">
        <w:rPr>
          <w:rFonts w:ascii="Book Antiqua" w:hAnsi="Book Antiqua" w:cs="Times New Roman"/>
          <w:i/>
          <w:iCs/>
          <w:sz w:val="24"/>
          <w:szCs w:val="24"/>
        </w:rPr>
        <w:t xml:space="preserve">TP53 </w:t>
      </w:r>
      <w:r w:rsidRPr="00DF64BD">
        <w:rPr>
          <w:rFonts w:ascii="Book Antiqua" w:hAnsi="Book Antiqua" w:cs="Times New Roman"/>
          <w:sz w:val="24"/>
          <w:szCs w:val="24"/>
        </w:rPr>
        <w:lastRenderedPageBreak/>
        <w:t>mutations</w:t>
      </w:r>
      <w:r w:rsidRPr="00DF64BD">
        <w:rPr>
          <w:rFonts w:ascii="Book Antiqua" w:hAnsi="Book Antiqua" w:cs="Times New Roman"/>
          <w:sz w:val="24"/>
          <w:szCs w:val="24"/>
          <w:vertAlign w:val="superscript"/>
        </w:rPr>
        <w:t>[133]</w:t>
      </w:r>
      <w:r w:rsidRPr="00DF64BD">
        <w:rPr>
          <w:rFonts w:ascii="Book Antiqua" w:hAnsi="Book Antiqua" w:cs="Times New Roman"/>
          <w:sz w:val="24"/>
          <w:szCs w:val="24"/>
        </w:rPr>
        <w:t xml:space="preserve"> and is characterized by a better survival</w:t>
      </w:r>
      <w:r w:rsidR="00514D1C">
        <w:rPr>
          <w:rFonts w:ascii="Book Antiqua" w:hAnsi="Book Antiqua" w:cs="Times New Roman"/>
          <w:sz w:val="24"/>
          <w:szCs w:val="24"/>
        </w:rPr>
        <w:t xml:space="preserve"> rate</w:t>
      </w:r>
      <w:r w:rsidRPr="00DF64BD">
        <w:rPr>
          <w:rFonts w:ascii="Book Antiqua" w:hAnsi="Book Antiqua" w:cs="Times New Roman"/>
          <w:sz w:val="24"/>
          <w:szCs w:val="24"/>
        </w:rPr>
        <w:t xml:space="preserve"> than </w:t>
      </w:r>
      <w:r w:rsidR="00514D1C">
        <w:rPr>
          <w:rFonts w:ascii="Book Antiqua" w:hAnsi="Book Antiqua" w:cs="Times New Roman"/>
          <w:sz w:val="24"/>
          <w:szCs w:val="24"/>
        </w:rPr>
        <w:t>with</w:t>
      </w:r>
      <w:r w:rsidRPr="00DF64BD">
        <w:rPr>
          <w:rFonts w:ascii="Book Antiqua" w:hAnsi="Book Antiqua" w:cs="Times New Roman"/>
          <w:sz w:val="24"/>
          <w:szCs w:val="24"/>
        </w:rPr>
        <w:t xml:space="preserve"> tumours with low levels of MSI</w:t>
      </w:r>
      <w:r w:rsidR="00C847BF">
        <w:rPr>
          <w:rFonts w:ascii="Book Antiqua" w:hAnsi="Book Antiqua" w:cs="Times New Roman"/>
          <w:sz w:val="24"/>
          <w:szCs w:val="24"/>
          <w:vertAlign w:val="superscript"/>
        </w:rPr>
        <w:t>[134,</w:t>
      </w:r>
      <w:r w:rsidRPr="00DF64BD">
        <w:rPr>
          <w:rFonts w:ascii="Book Antiqua" w:hAnsi="Book Antiqua" w:cs="Times New Roman"/>
          <w:sz w:val="24"/>
          <w:szCs w:val="24"/>
          <w:vertAlign w:val="superscript"/>
        </w:rPr>
        <w:t>135]</w:t>
      </w:r>
      <w:r w:rsidRPr="00DF64BD">
        <w:rPr>
          <w:rFonts w:ascii="Book Antiqua" w:hAnsi="Book Antiqua" w:cs="Times New Roman"/>
          <w:sz w:val="24"/>
          <w:szCs w:val="24"/>
        </w:rPr>
        <w:t>. It is possible that high levels of MSI indirectly cause nonspecific immunological reactions in the hosts, resulting in tumour cell elimination</w:t>
      </w:r>
      <w:r w:rsidRPr="00DF64BD">
        <w:rPr>
          <w:rFonts w:ascii="Book Antiqua" w:hAnsi="Book Antiqua" w:cs="Times New Roman"/>
          <w:sz w:val="24"/>
          <w:szCs w:val="24"/>
          <w:vertAlign w:val="superscript"/>
        </w:rPr>
        <w:t>[136]</w:t>
      </w:r>
      <w:r w:rsidRPr="00DF64BD">
        <w:rPr>
          <w:rFonts w:ascii="Book Antiqua" w:hAnsi="Book Antiqua" w:cs="Times New Roman"/>
          <w:sz w:val="24"/>
          <w:szCs w:val="24"/>
        </w:rPr>
        <w:t>.</w:t>
      </w:r>
    </w:p>
    <w:p w:rsidR="00423E49" w:rsidRPr="00DF64BD" w:rsidRDefault="00423E49" w:rsidP="00C847BF">
      <w:pPr>
        <w:pStyle w:val="Bezodstpw1"/>
        <w:tabs>
          <w:tab w:val="left" w:pos="567"/>
        </w:tabs>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MSI seems to be a promising tool to identify patients with genetic instability and patients with precancerous lesions because it occurs in both gastric adenoma and intestinal metaplasia</w:t>
      </w:r>
      <w:r w:rsidRPr="00DF64BD">
        <w:rPr>
          <w:rFonts w:ascii="Book Antiqua" w:hAnsi="Book Antiqua" w:cs="Times New Roman"/>
          <w:sz w:val="24"/>
          <w:szCs w:val="24"/>
          <w:vertAlign w:val="superscript"/>
        </w:rPr>
        <w:t>[126]</w:t>
      </w:r>
      <w:r w:rsidRPr="00DF64BD">
        <w:rPr>
          <w:rFonts w:ascii="Book Antiqua" w:hAnsi="Book Antiqua" w:cs="Times New Roman"/>
          <w:sz w:val="24"/>
          <w:szCs w:val="24"/>
        </w:rPr>
        <w:t>.</w:t>
      </w:r>
    </w:p>
    <w:p w:rsidR="00423E49" w:rsidRPr="00DF64BD" w:rsidRDefault="00423E49" w:rsidP="00AE309D">
      <w:pPr>
        <w:pStyle w:val="Bezodstpw1"/>
        <w:tabs>
          <w:tab w:val="left" w:pos="5403"/>
        </w:tabs>
        <w:spacing w:line="360" w:lineRule="auto"/>
        <w:jc w:val="both"/>
        <w:rPr>
          <w:rFonts w:ascii="Book Antiqua" w:hAnsi="Book Antiqua" w:cs="Times New Roman"/>
          <w:sz w:val="24"/>
          <w:szCs w:val="24"/>
        </w:rPr>
      </w:pPr>
    </w:p>
    <w:p w:rsidR="00423E49" w:rsidRPr="00C847BF" w:rsidRDefault="79D336C5" w:rsidP="00C847BF">
      <w:pPr>
        <w:pStyle w:val="Bezodstpw1"/>
        <w:tabs>
          <w:tab w:val="left" w:pos="5403"/>
        </w:tabs>
        <w:spacing w:line="360" w:lineRule="auto"/>
        <w:jc w:val="both"/>
        <w:rPr>
          <w:rFonts w:ascii="Book Antiqua" w:eastAsiaTheme="minorEastAsia" w:hAnsi="Book Antiqua" w:cs="Times New Roman"/>
          <w:b/>
          <w:sz w:val="24"/>
          <w:szCs w:val="24"/>
          <w:lang w:eastAsia="zh-CN"/>
        </w:rPr>
      </w:pPr>
      <w:r w:rsidRPr="00C847BF">
        <w:rPr>
          <w:rFonts w:ascii="Book Antiqua,Times New Roman" w:eastAsia="Book Antiqua,Times New Roman" w:hAnsi="Book Antiqua,Times New Roman" w:cs="Book Antiqua,Times New Roman"/>
          <w:b/>
          <w:bCs/>
          <w:sz w:val="24"/>
          <w:szCs w:val="24"/>
        </w:rPr>
        <w:t>Epigenetic alterations</w:t>
      </w:r>
      <w:r w:rsidR="00C847BF">
        <w:rPr>
          <w:rFonts w:ascii="Book Antiqua,Times New Roman" w:eastAsiaTheme="minorEastAsia" w:hAnsi="Book Antiqua,Times New Roman" w:cs="Book Antiqua,Times New Roman" w:hint="eastAsia"/>
          <w:b/>
          <w:bCs/>
          <w:sz w:val="24"/>
          <w:szCs w:val="24"/>
          <w:lang w:eastAsia="zh-CN"/>
        </w:rPr>
        <w:t xml:space="preserve">: </w:t>
      </w:r>
      <w:r w:rsidR="00423E49" w:rsidRPr="00DF64BD">
        <w:rPr>
          <w:rFonts w:ascii="Book Antiqua" w:hAnsi="Book Antiqua" w:cs="Times New Roman"/>
          <w:sz w:val="24"/>
          <w:szCs w:val="24"/>
        </w:rPr>
        <w:t xml:space="preserve">Epigenetic alterations are responsible for the diversity in the expression of a gene and </w:t>
      </w:r>
      <w:r w:rsidR="00514D1C">
        <w:rPr>
          <w:rFonts w:ascii="Book Antiqua" w:hAnsi="Book Antiqua" w:cs="Times New Roman"/>
          <w:sz w:val="24"/>
          <w:szCs w:val="24"/>
        </w:rPr>
        <w:t>are</w:t>
      </w:r>
      <w:r w:rsidR="00423E49" w:rsidRPr="00DF64BD">
        <w:rPr>
          <w:rFonts w:ascii="Book Antiqua" w:hAnsi="Book Antiqua" w:cs="Times New Roman"/>
          <w:sz w:val="24"/>
          <w:szCs w:val="24"/>
        </w:rPr>
        <w:t xml:space="preserve"> not caused by changes in DNA sequences but by modifications outside DNA, such as DNA CpG island hypermethylation </w:t>
      </w:r>
      <w:r w:rsidR="00C847BF">
        <w:rPr>
          <w:rFonts w:ascii="Book Antiqua" w:hAnsi="Book Antiqua" w:cs="Times New Roman" w:hint="eastAsia"/>
          <w:sz w:val="24"/>
          <w:szCs w:val="24"/>
          <w:lang w:eastAsia="zh-CN"/>
        </w:rPr>
        <w:t>[</w:t>
      </w:r>
      <w:r w:rsidR="00423E49" w:rsidRPr="00DF64BD">
        <w:rPr>
          <w:rFonts w:ascii="Book Antiqua" w:hAnsi="Book Antiqua" w:cs="Times New Roman"/>
          <w:sz w:val="24"/>
          <w:szCs w:val="24"/>
        </w:rPr>
        <w:t>CpG island methylator phenotype, (CIMP)</w:t>
      </w:r>
      <w:r w:rsidR="00C847BF">
        <w:rPr>
          <w:rFonts w:ascii="Book Antiqua" w:hAnsi="Book Antiqua" w:cs="Times New Roman" w:hint="eastAsia"/>
          <w:sz w:val="24"/>
          <w:szCs w:val="24"/>
          <w:lang w:eastAsia="zh-CN"/>
        </w:rPr>
        <w:t>]</w:t>
      </w:r>
      <w:r w:rsidR="00423E49" w:rsidRPr="00DF64BD">
        <w:rPr>
          <w:rFonts w:ascii="Book Antiqua" w:hAnsi="Book Antiqua" w:cs="Times New Roman"/>
          <w:sz w:val="24"/>
          <w:szCs w:val="24"/>
        </w:rPr>
        <w:t>, hypomethylation, histone modification, chromatin remodelling or miRNA changes. The literature dedicated to GC highlights the role of CpG island methylation and miRNA.</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In GCs, CpG island methylation involves primarily the promoters of the </w:t>
      </w:r>
      <w:r w:rsidRPr="00DF64BD">
        <w:rPr>
          <w:rFonts w:ascii="Book Antiqua" w:hAnsi="Book Antiqua" w:cs="Times New Roman"/>
          <w:i/>
          <w:sz w:val="24"/>
          <w:szCs w:val="24"/>
        </w:rPr>
        <w:t>CDH1</w:t>
      </w:r>
      <w:r w:rsidRPr="00DF64BD">
        <w:rPr>
          <w:rFonts w:ascii="Book Antiqua" w:hAnsi="Book Antiqua" w:cs="Times New Roman"/>
          <w:sz w:val="24"/>
          <w:szCs w:val="24"/>
        </w:rPr>
        <w:t xml:space="preserve">, </w:t>
      </w:r>
      <w:r w:rsidRPr="00DF64BD">
        <w:rPr>
          <w:rFonts w:ascii="Book Antiqua" w:hAnsi="Book Antiqua" w:cs="Times New Roman"/>
          <w:i/>
          <w:sz w:val="24"/>
          <w:szCs w:val="24"/>
        </w:rPr>
        <w:t>CDKN2A</w:t>
      </w:r>
      <w:r w:rsidRPr="00DF64BD">
        <w:rPr>
          <w:rFonts w:ascii="Book Antiqua" w:hAnsi="Book Antiqua" w:cs="Times New Roman"/>
          <w:sz w:val="24"/>
          <w:szCs w:val="24"/>
        </w:rPr>
        <w:t xml:space="preserve">, </w:t>
      </w:r>
      <w:r w:rsidRPr="00DF64BD">
        <w:rPr>
          <w:rFonts w:ascii="Book Antiqua" w:hAnsi="Book Antiqua" w:cs="Times New Roman"/>
          <w:i/>
          <w:sz w:val="24"/>
          <w:szCs w:val="24"/>
        </w:rPr>
        <w:t>CDKN2B</w:t>
      </w:r>
      <w:r w:rsidRPr="00DF64BD">
        <w:rPr>
          <w:rFonts w:ascii="Book Antiqua" w:hAnsi="Book Antiqua" w:cs="Times New Roman"/>
          <w:sz w:val="24"/>
          <w:szCs w:val="24"/>
        </w:rPr>
        <w:t xml:space="preserve"> and </w:t>
      </w:r>
      <w:r w:rsidRPr="00DF64BD">
        <w:rPr>
          <w:rFonts w:ascii="Book Antiqua" w:hAnsi="Book Antiqua" w:cs="Times New Roman"/>
          <w:i/>
          <w:sz w:val="24"/>
          <w:szCs w:val="24"/>
        </w:rPr>
        <w:t>hMLH1</w:t>
      </w:r>
      <w:r w:rsidRPr="00DF64BD">
        <w:rPr>
          <w:rFonts w:ascii="Book Antiqua" w:hAnsi="Book Antiqua" w:cs="Times New Roman"/>
          <w:sz w:val="24"/>
          <w:szCs w:val="24"/>
        </w:rPr>
        <w:t xml:space="preserve"> genes and results in the down-expression of their products (E-cadherin, p16, p15, MLH1)</w:t>
      </w:r>
      <w:r w:rsidR="00C847BF">
        <w:rPr>
          <w:rFonts w:ascii="Book Antiqua" w:hAnsi="Book Antiqua" w:cs="Times New Roman"/>
          <w:sz w:val="24"/>
          <w:szCs w:val="24"/>
          <w:vertAlign w:val="superscript"/>
        </w:rPr>
        <w:t>[137,</w:t>
      </w:r>
      <w:r w:rsidRPr="00DF64BD">
        <w:rPr>
          <w:rFonts w:ascii="Book Antiqua" w:hAnsi="Book Antiqua" w:cs="Times New Roman"/>
          <w:sz w:val="24"/>
          <w:szCs w:val="24"/>
          <w:vertAlign w:val="superscript"/>
        </w:rPr>
        <w:t>138]</w:t>
      </w:r>
      <w:r w:rsidRPr="00DF64BD">
        <w:rPr>
          <w:rFonts w:ascii="Book Antiqua" w:hAnsi="Book Antiqua" w:cs="Times New Roman"/>
          <w:sz w:val="24"/>
          <w:szCs w:val="24"/>
        </w:rPr>
        <w:t>. CpG island methylation seems to frequently occur in GC cells, regardless of their stem cell origin and independent of one another. Possibly, CpG island methylation carries the carcinogenic process a step further. This hypothesis would be consistent with the observation that promoter hypermethylation is accelerated with histopathological progression of malignancy, from chronic gastritis, intestinal metaplasia and adenoma to carcinoma</w:t>
      </w:r>
      <w:r w:rsidRPr="00DF64BD">
        <w:rPr>
          <w:rFonts w:ascii="Book Antiqua" w:hAnsi="Book Antiqua" w:cs="Times New Roman"/>
          <w:sz w:val="24"/>
          <w:szCs w:val="24"/>
          <w:vertAlign w:val="superscript"/>
        </w:rPr>
        <w:t>[138-140]</w:t>
      </w:r>
      <w:r w:rsidRPr="00DF64BD">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miRNAs are short stable RNA segments that, despite noncoding characteristics, play a vast role in the regulation of gene expression. They attain this goal by binding to DNA or by inhibiting or degrading mRNA that is ready for translation. Altogether, they regulate </w:t>
      </w:r>
      <w:r w:rsidR="00C847BF" w:rsidRPr="00C847BF">
        <w:rPr>
          <w:rFonts w:ascii="Book Antiqua" w:hAnsi="Book Antiqua" w:cs="Times New Roman"/>
          <w:sz w:val="24"/>
          <w:szCs w:val="24"/>
        </w:rPr>
        <w:t>approximately</w:t>
      </w:r>
      <w:r w:rsidR="00C847BF">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60% of the coding genes; therefore, their role in GC seems to be significant</w:t>
      </w:r>
      <w:r w:rsidRPr="00DF64BD">
        <w:rPr>
          <w:rFonts w:ascii="Book Antiqua" w:hAnsi="Book Antiqua" w:cs="Times New Roman"/>
          <w:sz w:val="24"/>
          <w:szCs w:val="24"/>
          <w:vertAlign w:val="superscript"/>
        </w:rPr>
        <w:t>[141]</w:t>
      </w:r>
      <w:r w:rsidR="00C847BF">
        <w:rPr>
          <w:rFonts w:ascii="Book Antiqua" w:hAnsi="Book Antiqua" w:cs="Times New Roman"/>
          <w:sz w:val="24"/>
          <w:szCs w:val="24"/>
        </w:rPr>
        <w:t>.</w:t>
      </w:r>
    </w:p>
    <w:p w:rsidR="00423E49" w:rsidRPr="00DF64BD" w:rsidRDefault="00423E49" w:rsidP="00C847BF">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miRNAs can act as oncogenes (oncomiRNAs), tumour suppressors (tsmiRNAs) or cellular pathway modulators, such as metastasis regulators (metastamiRNAs). Research over the last decade has identified numerous miRNAs that have varied roles in GC development.</w:t>
      </w:r>
    </w:p>
    <w:p w:rsidR="00423E49" w:rsidRPr="00DF64BD" w:rsidRDefault="00423E49" w:rsidP="00C847BF">
      <w:pPr>
        <w:pStyle w:val="Bezodstpw1"/>
        <w:spacing w:line="360" w:lineRule="auto"/>
        <w:ind w:firstLineChars="100" w:firstLine="240"/>
        <w:jc w:val="both"/>
        <w:rPr>
          <w:rFonts w:ascii="Book Antiqua" w:hAnsi="Book Antiqua" w:cs="Times New Roman"/>
          <w:color w:val="C0504D"/>
          <w:sz w:val="24"/>
          <w:szCs w:val="24"/>
        </w:rPr>
      </w:pPr>
      <w:r w:rsidRPr="00DF64BD">
        <w:rPr>
          <w:rFonts w:ascii="Book Antiqua" w:hAnsi="Book Antiqua" w:cs="Times New Roman"/>
          <w:sz w:val="24"/>
          <w:szCs w:val="24"/>
        </w:rPr>
        <w:lastRenderedPageBreak/>
        <w:t>Questions for the future include the following: are miRNA alterations necessary for tumour progression, can they be used as diagnostic and/or prognostic markers</w:t>
      </w:r>
      <w:r w:rsidRPr="00DF64BD">
        <w:rPr>
          <w:rFonts w:ascii="Book Antiqua" w:hAnsi="Book Antiqua" w:cs="Times New Roman"/>
          <w:sz w:val="24"/>
          <w:szCs w:val="24"/>
          <w:vertAlign w:val="superscript"/>
        </w:rPr>
        <w:t>[141-145]</w:t>
      </w:r>
      <w:r w:rsidRPr="00DF64BD">
        <w:rPr>
          <w:rFonts w:ascii="Book Antiqua" w:hAnsi="Book Antiqua" w:cs="Times New Roman"/>
          <w:sz w:val="24"/>
          <w:szCs w:val="24"/>
        </w:rPr>
        <w:t>, can they be targeted pharmacologically</w:t>
      </w:r>
      <w:r w:rsidRPr="00DF64BD">
        <w:rPr>
          <w:rFonts w:ascii="Book Antiqua" w:hAnsi="Book Antiqua" w:cs="Times New Roman"/>
          <w:sz w:val="24"/>
          <w:szCs w:val="24"/>
          <w:vertAlign w:val="superscript"/>
        </w:rPr>
        <w:t>[146]</w:t>
      </w:r>
      <w:r w:rsidRPr="00DF64BD">
        <w:rPr>
          <w:rFonts w:ascii="Book Antiqua" w:hAnsi="Book Antiqua" w:cs="Times New Roman"/>
          <w:sz w:val="24"/>
          <w:szCs w:val="24"/>
        </w:rPr>
        <w:t xml:space="preserve"> and can they influence the individual response to chemotherapy</w:t>
      </w:r>
      <w:r w:rsidRPr="00DF64BD">
        <w:rPr>
          <w:rFonts w:ascii="Book Antiqua" w:hAnsi="Book Antiqua" w:cs="Times New Roman"/>
          <w:sz w:val="24"/>
          <w:szCs w:val="24"/>
          <w:vertAlign w:val="superscript"/>
        </w:rPr>
        <w:t>[147-149]</w:t>
      </w:r>
      <w:r w:rsidRPr="00DF64BD">
        <w:rPr>
          <w:rFonts w:ascii="Book Antiqua" w:hAnsi="Book Antiqua" w:cs="Times New Roman"/>
          <w:sz w:val="24"/>
          <w:szCs w:val="24"/>
        </w:rPr>
        <w:t>?</w:t>
      </w:r>
    </w:p>
    <w:p w:rsidR="00423E49" w:rsidRPr="00DF64BD" w:rsidRDefault="00423E49" w:rsidP="00AE309D">
      <w:pPr>
        <w:pStyle w:val="Bezodstpw1"/>
        <w:tabs>
          <w:tab w:val="left" w:pos="426"/>
        </w:tabs>
        <w:spacing w:line="360" w:lineRule="auto"/>
        <w:jc w:val="both"/>
        <w:rPr>
          <w:rFonts w:ascii="Book Antiqua" w:hAnsi="Book Antiqua" w:cs="Times New Roman"/>
          <w:color w:val="C0504D"/>
          <w:sz w:val="24"/>
          <w:szCs w:val="24"/>
        </w:rPr>
      </w:pPr>
    </w:p>
    <w:p w:rsidR="00423E49" w:rsidRPr="00C847BF" w:rsidRDefault="00423E49" w:rsidP="00C847BF">
      <w:pPr>
        <w:pStyle w:val="Bezodstpw1"/>
        <w:tabs>
          <w:tab w:val="left" w:pos="5403"/>
        </w:tabs>
        <w:spacing w:line="360" w:lineRule="auto"/>
        <w:jc w:val="both"/>
        <w:rPr>
          <w:rFonts w:ascii="Book Antiqua" w:hAnsi="Book Antiqua" w:cs="Times New Roman"/>
          <w:b/>
          <w:sz w:val="24"/>
          <w:szCs w:val="24"/>
          <w:lang w:eastAsia="zh-CN"/>
        </w:rPr>
      </w:pPr>
      <w:r w:rsidRPr="00C847BF">
        <w:rPr>
          <w:rFonts w:ascii="Book Antiqua" w:hAnsi="Book Antiqua" w:cs="Times New Roman"/>
          <w:b/>
          <w:sz w:val="24"/>
          <w:szCs w:val="24"/>
        </w:rPr>
        <w:t>Somatic gene mutations</w:t>
      </w:r>
      <w:r w:rsidR="00C847BF">
        <w:rPr>
          <w:rFonts w:ascii="Book Antiqua" w:hAnsi="Book Antiqua" w:cs="Times New Roman" w:hint="eastAsia"/>
          <w:b/>
          <w:sz w:val="24"/>
          <w:szCs w:val="24"/>
          <w:lang w:eastAsia="zh-CN"/>
        </w:rPr>
        <w:t xml:space="preserve">: </w:t>
      </w:r>
      <w:r w:rsidRPr="00DF64BD">
        <w:rPr>
          <w:rFonts w:ascii="Book Antiqua" w:hAnsi="Book Antiqua" w:cs="Times New Roman"/>
          <w:sz w:val="24"/>
          <w:szCs w:val="24"/>
        </w:rPr>
        <w:t>In recent research</w:t>
      </w:r>
      <w:r w:rsidRPr="00DF64BD">
        <w:rPr>
          <w:rFonts w:ascii="Book Antiqua" w:hAnsi="Book Antiqua" w:cs="Times New Roman"/>
          <w:sz w:val="24"/>
          <w:szCs w:val="24"/>
          <w:vertAlign w:val="superscript"/>
        </w:rPr>
        <w:t>[150]</w:t>
      </w:r>
      <w:r w:rsidRPr="00DF64BD">
        <w:rPr>
          <w:rFonts w:ascii="Book Antiqua" w:hAnsi="Book Antiqua" w:cs="Times New Roman"/>
          <w:sz w:val="24"/>
          <w:szCs w:val="24"/>
        </w:rPr>
        <w:t xml:space="preserve">, which is a part of The Cancer Genome Atlas Project, the authors suggested that both the rate of somatic mutations and their singularity should not be disregarded in the GC classification. In fact, they provided a roadmap for patient stratification and trials of targeted therapies. The authors of the study identified many mutations that are repeated in each subtype of GC but with different frequencies. Examples of the most common mutations occur in the genes </w:t>
      </w:r>
      <w:r w:rsidRPr="00DF64BD">
        <w:rPr>
          <w:rFonts w:ascii="Book Antiqua" w:hAnsi="Book Antiqua" w:cs="Times New Roman"/>
          <w:i/>
          <w:iCs/>
          <w:sz w:val="24"/>
          <w:szCs w:val="24"/>
        </w:rPr>
        <w:t>TP53, CDH1, SMAD4, PIK3CA, RHOA, ARID1A, KRAS, MUC3, APC, ERBB1, PTEN, HLAB,</w:t>
      </w:r>
      <w:r w:rsidRPr="00DF64BD">
        <w:rPr>
          <w:rFonts w:ascii="Book Antiqua" w:hAnsi="Book Antiqua" w:cs="Times New Roman"/>
          <w:iCs/>
          <w:sz w:val="24"/>
          <w:szCs w:val="24"/>
        </w:rPr>
        <w:t xml:space="preserve"> and</w:t>
      </w:r>
      <w:r w:rsidRPr="00DF64BD">
        <w:rPr>
          <w:rFonts w:ascii="Book Antiqua" w:hAnsi="Book Antiqua" w:cs="Times New Roman"/>
          <w:i/>
          <w:iCs/>
          <w:sz w:val="24"/>
          <w:szCs w:val="24"/>
        </w:rPr>
        <w:t xml:space="preserve"> B2M.</w:t>
      </w:r>
    </w:p>
    <w:p w:rsidR="00423E49" w:rsidRPr="00DF64BD" w:rsidRDefault="00423E49" w:rsidP="00C847BF">
      <w:pPr>
        <w:pStyle w:val="Bezodstpw1"/>
        <w:tabs>
          <w:tab w:val="left" w:pos="60"/>
        </w:tabs>
        <w:spacing w:line="360" w:lineRule="auto"/>
        <w:ind w:firstLineChars="100" w:firstLine="240"/>
        <w:jc w:val="both"/>
        <w:rPr>
          <w:rFonts w:ascii="Book Antiqua" w:hAnsi="Book Antiqua" w:cs="Times New Roman"/>
          <w:color w:val="0070C0"/>
          <w:sz w:val="24"/>
          <w:szCs w:val="24"/>
        </w:rPr>
      </w:pPr>
      <w:r w:rsidRPr="00DF64BD">
        <w:rPr>
          <w:rFonts w:ascii="Book Antiqua" w:hAnsi="Book Antiqua" w:cs="Times New Roman"/>
          <w:sz w:val="24"/>
          <w:szCs w:val="24"/>
        </w:rPr>
        <w:t xml:space="preserve">Some of these alterations were investigated separately in earlier studies. Zang </w:t>
      </w:r>
      <w:r w:rsidRPr="00DF64BD">
        <w:rPr>
          <w:rFonts w:ascii="Book Antiqua" w:hAnsi="Book Antiqua" w:cs="Times New Roman"/>
          <w:i/>
          <w:sz w:val="24"/>
          <w:szCs w:val="24"/>
        </w:rPr>
        <w:t>et al</w:t>
      </w:r>
      <w:r w:rsidRPr="00DF64BD">
        <w:rPr>
          <w:rFonts w:ascii="Book Antiqua" w:hAnsi="Book Antiqua" w:cs="Times New Roman"/>
          <w:kern w:val="24"/>
          <w:sz w:val="24"/>
          <w:szCs w:val="24"/>
          <w:vertAlign w:val="superscript"/>
        </w:rPr>
        <w:t>[151]</w:t>
      </w:r>
      <w:r w:rsidRPr="00DF64BD">
        <w:rPr>
          <w:rFonts w:ascii="Book Antiqua" w:hAnsi="Book Antiqua" w:cs="Times New Roman"/>
          <w:sz w:val="24"/>
          <w:szCs w:val="24"/>
        </w:rPr>
        <w:t xml:space="preserve"> reported that somatic inactivation of </w:t>
      </w:r>
      <w:r w:rsidRPr="00DF64BD">
        <w:rPr>
          <w:rFonts w:ascii="Book Antiqua" w:hAnsi="Book Antiqua" w:cs="Times New Roman"/>
          <w:i/>
          <w:sz w:val="24"/>
          <w:szCs w:val="24"/>
        </w:rPr>
        <w:t>FAT4</w:t>
      </w:r>
      <w:r w:rsidRPr="00DF64BD">
        <w:rPr>
          <w:rFonts w:ascii="Book Antiqua" w:hAnsi="Book Antiqua" w:cs="Times New Roman"/>
          <w:sz w:val="24"/>
          <w:szCs w:val="24"/>
        </w:rPr>
        <w:t xml:space="preserve"> and </w:t>
      </w:r>
      <w:r w:rsidRPr="00DF64BD">
        <w:rPr>
          <w:rFonts w:ascii="Book Antiqua" w:hAnsi="Book Antiqua" w:cs="Times New Roman"/>
          <w:i/>
          <w:sz w:val="24"/>
          <w:szCs w:val="24"/>
        </w:rPr>
        <w:t>ARID1A</w:t>
      </w:r>
      <w:r w:rsidRPr="00DF64BD">
        <w:rPr>
          <w:rFonts w:ascii="Book Antiqua" w:hAnsi="Book Antiqua" w:cs="Times New Roman"/>
          <w:sz w:val="24"/>
          <w:szCs w:val="24"/>
        </w:rPr>
        <w:t xml:space="preserve"> may be the key to malignant events in GCs. Wang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[152]</w:t>
      </w:r>
      <w:r w:rsidRPr="00DF64BD">
        <w:rPr>
          <w:rFonts w:ascii="Book Antiqua" w:hAnsi="Book Antiqua" w:cs="Times New Roman"/>
          <w:sz w:val="24"/>
          <w:szCs w:val="24"/>
        </w:rPr>
        <w:t xml:space="preserve"> suggested that </w:t>
      </w:r>
      <w:r w:rsidRPr="00DF64BD">
        <w:rPr>
          <w:rFonts w:ascii="Book Antiqua" w:hAnsi="Book Antiqua" w:cs="Times New Roman"/>
          <w:i/>
          <w:sz w:val="24"/>
          <w:szCs w:val="24"/>
        </w:rPr>
        <w:t>ARID1A</w:t>
      </w:r>
      <w:r w:rsidRPr="00DF64BD">
        <w:rPr>
          <w:rFonts w:ascii="Book Antiqua" w:hAnsi="Book Antiqua" w:cs="Times New Roman"/>
          <w:sz w:val="24"/>
          <w:szCs w:val="24"/>
        </w:rPr>
        <w:t xml:space="preserve"> seems to be a good prognostic indicator because its alterations were clinically associated with better prognosis in a stage-in</w:t>
      </w:r>
      <w:r w:rsidR="000167DE">
        <w:rPr>
          <w:rFonts w:ascii="Book Antiqua" w:hAnsi="Book Antiqua" w:cs="Times New Roman"/>
          <w:sz w:val="24"/>
          <w:szCs w:val="24"/>
        </w:rPr>
        <w:t>dependent manner. Other studies</w:t>
      </w:r>
      <w:r w:rsidRPr="00DF64BD">
        <w:rPr>
          <w:rFonts w:ascii="Book Antiqua" w:hAnsi="Book Antiqua" w:cs="Times New Roman"/>
          <w:sz w:val="24"/>
          <w:szCs w:val="24"/>
          <w:vertAlign w:val="superscript"/>
        </w:rPr>
        <w:t>[153]</w:t>
      </w:r>
      <w:r w:rsidRPr="00DF64BD">
        <w:rPr>
          <w:rFonts w:ascii="Book Antiqua" w:hAnsi="Book Antiqua" w:cs="Times New Roman"/>
          <w:sz w:val="24"/>
          <w:szCs w:val="24"/>
        </w:rPr>
        <w:t xml:space="preserve"> proved that </w:t>
      </w:r>
      <w:r w:rsidRPr="00DF64BD">
        <w:rPr>
          <w:rFonts w:ascii="Book Antiqua" w:hAnsi="Book Antiqua" w:cs="Times New Roman"/>
          <w:i/>
          <w:color w:val="00000A"/>
          <w:sz w:val="24"/>
          <w:szCs w:val="24"/>
        </w:rPr>
        <w:t>RHOA</w:t>
      </w:r>
      <w:r w:rsidRPr="00DF64BD">
        <w:rPr>
          <w:rFonts w:ascii="Book Antiqua" w:hAnsi="Book Antiqua" w:cs="Times New Roman"/>
          <w:color w:val="00000A"/>
          <w:sz w:val="24"/>
          <w:szCs w:val="24"/>
        </w:rPr>
        <w:t xml:space="preserve"> mutations occur specifically in diffuse GCs, so they are a potential therapeutic target for this poor-prognosis subtype of GC.</w:t>
      </w:r>
    </w:p>
    <w:p w:rsidR="00423E49" w:rsidRPr="000167DE" w:rsidRDefault="00423E49" w:rsidP="00AE309D">
      <w:pPr>
        <w:pStyle w:val="Bezodstpw1"/>
        <w:tabs>
          <w:tab w:val="left" w:pos="5403"/>
        </w:tabs>
        <w:spacing w:line="360" w:lineRule="auto"/>
        <w:jc w:val="both"/>
        <w:rPr>
          <w:rFonts w:ascii="Book Antiqua" w:hAnsi="Book Antiqua" w:cs="Times New Roman"/>
          <w:color w:val="0070C0"/>
          <w:sz w:val="24"/>
          <w:szCs w:val="24"/>
        </w:rPr>
      </w:pPr>
    </w:p>
    <w:p w:rsidR="00423E49" w:rsidRPr="00DF64BD" w:rsidRDefault="00423E49" w:rsidP="00AE309D">
      <w:pPr>
        <w:pStyle w:val="Bezodstpw1"/>
        <w:tabs>
          <w:tab w:val="left" w:pos="5403"/>
        </w:tabs>
        <w:spacing w:line="360" w:lineRule="auto"/>
        <w:jc w:val="both"/>
        <w:rPr>
          <w:rFonts w:ascii="Book Antiqua" w:hAnsi="Book Antiqua" w:cs="Times New Roman"/>
          <w:i/>
          <w:sz w:val="24"/>
          <w:szCs w:val="24"/>
          <w:lang w:eastAsia="zh-CN"/>
        </w:rPr>
      </w:pPr>
      <w:r w:rsidRPr="000167DE">
        <w:rPr>
          <w:rFonts w:ascii="Book Antiqua" w:hAnsi="Book Antiqua" w:cs="Times New Roman"/>
          <w:b/>
          <w:bCs/>
          <w:i/>
          <w:sz w:val="24"/>
          <w:szCs w:val="24"/>
        </w:rPr>
        <w:t>Favourable environmental circumstances</w:t>
      </w:r>
    </w:p>
    <w:p w:rsidR="00423E49" w:rsidRPr="00DF64BD" w:rsidRDefault="00423E49" w:rsidP="00AE309D">
      <w:pPr>
        <w:pStyle w:val="Bezodstpw1"/>
        <w:tabs>
          <w:tab w:val="left" w:pos="426"/>
        </w:tabs>
        <w:spacing w:line="360" w:lineRule="auto"/>
        <w:jc w:val="both"/>
        <w:rPr>
          <w:rFonts w:ascii="Book Antiqua" w:hAnsi="Book Antiqua" w:cs="Times New Roman"/>
          <w:color w:val="0070C0"/>
          <w:sz w:val="24"/>
          <w:szCs w:val="24"/>
        </w:rPr>
      </w:pPr>
      <w:r w:rsidRPr="00DF64BD">
        <w:rPr>
          <w:rFonts w:ascii="Book Antiqua" w:hAnsi="Book Antiqua" w:cs="Times New Roman"/>
          <w:sz w:val="24"/>
          <w:szCs w:val="24"/>
        </w:rPr>
        <w:t>EBV is an infectious agent that occurs in epithelial cells of 9% of GCs</w:t>
      </w:r>
      <w:r w:rsidRPr="00DF64BD">
        <w:rPr>
          <w:rFonts w:ascii="Book Antiqua" w:hAnsi="Book Antiqua" w:cs="Times New Roman"/>
          <w:sz w:val="24"/>
          <w:szCs w:val="24"/>
          <w:vertAlign w:val="superscript"/>
        </w:rPr>
        <w:t>[154]</w:t>
      </w:r>
      <w:r w:rsidRPr="00DF64BD">
        <w:rPr>
          <w:rFonts w:ascii="Book Antiqua" w:hAnsi="Book Antiqua" w:cs="Times New Roman"/>
          <w:sz w:val="24"/>
          <w:szCs w:val="24"/>
        </w:rPr>
        <w:t>. However, the distribution of EBV-positive GCs varies globally</w:t>
      </w:r>
      <w:r w:rsidRPr="00DF64BD">
        <w:rPr>
          <w:rFonts w:ascii="Book Antiqua" w:hAnsi="Book Antiqua" w:cs="Times New Roman"/>
          <w:sz w:val="24"/>
          <w:szCs w:val="24"/>
          <w:vertAlign w:val="superscript"/>
        </w:rPr>
        <w:t>[3]</w:t>
      </w:r>
      <w:r w:rsidRPr="00DF64BD">
        <w:rPr>
          <w:rFonts w:ascii="Book Antiqua" w:hAnsi="Book Antiqua" w:cs="Times New Roman"/>
          <w:sz w:val="24"/>
          <w:szCs w:val="24"/>
        </w:rPr>
        <w:t>. EBV-positive tumours are associated with an extreme CpG island methylator phenotype (CIMP)</w:t>
      </w:r>
      <w:r w:rsidR="000167DE">
        <w:rPr>
          <w:rFonts w:ascii="Book Antiqua" w:hAnsi="Book Antiqua" w:cs="Times New Roman"/>
          <w:sz w:val="24"/>
          <w:szCs w:val="24"/>
          <w:vertAlign w:val="superscript"/>
        </w:rPr>
        <w:t>[150,</w:t>
      </w:r>
      <w:r w:rsidRPr="00DF64BD">
        <w:rPr>
          <w:rFonts w:ascii="Book Antiqua" w:hAnsi="Book Antiqua" w:cs="Times New Roman"/>
          <w:sz w:val="24"/>
          <w:szCs w:val="24"/>
          <w:vertAlign w:val="superscript"/>
        </w:rPr>
        <w:t>155]</w:t>
      </w:r>
      <w:r w:rsidRPr="00DF64BD">
        <w:rPr>
          <w:rFonts w:ascii="Book Antiqua" w:hAnsi="Book Antiqua" w:cs="Times New Roman"/>
          <w:sz w:val="24"/>
          <w:szCs w:val="24"/>
        </w:rPr>
        <w:t>, and differ from the MSI subtype</w:t>
      </w:r>
      <w:r w:rsidRPr="00B97AA1">
        <w:rPr>
          <w:rFonts w:ascii="Book Antiqua" w:hAnsi="Book Antiqua" w:cs="Times New Roman"/>
          <w:sz w:val="24"/>
          <w:szCs w:val="24"/>
          <w:vertAlign w:val="superscript"/>
        </w:rPr>
        <w:t>[156]</w:t>
      </w:r>
      <w:r w:rsidRPr="00B97AA1">
        <w:rPr>
          <w:rFonts w:ascii="Book Antiqua" w:hAnsi="Book Antiqua" w:cs="Times New Roman"/>
          <w:sz w:val="24"/>
          <w:szCs w:val="24"/>
        </w:rPr>
        <w:t>.</w:t>
      </w:r>
      <w:r w:rsidRPr="00DF64BD">
        <w:rPr>
          <w:rFonts w:ascii="Book Antiqua" w:hAnsi="Book Antiqua" w:cs="Times New Roman"/>
          <w:sz w:val="24"/>
          <w:szCs w:val="24"/>
        </w:rPr>
        <w:t xml:space="preserve"> In Bass </w:t>
      </w:r>
      <w:r w:rsidRPr="00DF64BD">
        <w:rPr>
          <w:rFonts w:ascii="Book Antiqua" w:hAnsi="Book Antiqua" w:cs="Times New Roman"/>
          <w:i/>
          <w:sz w:val="24"/>
          <w:szCs w:val="24"/>
        </w:rPr>
        <w:t>et al</w:t>
      </w:r>
      <w:r w:rsidRPr="00DF64BD">
        <w:rPr>
          <w:rFonts w:ascii="Book Antiqua" w:hAnsi="Book Antiqua" w:cs="Times New Roman"/>
          <w:sz w:val="24"/>
          <w:szCs w:val="24"/>
          <w:vertAlign w:val="superscript"/>
        </w:rPr>
        <w:t>[150]</w:t>
      </w:r>
      <w:r w:rsidRPr="00DF64BD">
        <w:rPr>
          <w:rFonts w:ascii="Book Antiqua" w:hAnsi="Book Antiqua" w:cs="Times New Roman"/>
          <w:sz w:val="24"/>
          <w:szCs w:val="24"/>
        </w:rPr>
        <w:t xml:space="preserve">, all EBV-positive tumours lacked </w:t>
      </w:r>
      <w:r w:rsidRPr="00DF64BD">
        <w:rPr>
          <w:rFonts w:ascii="Book Antiqua" w:hAnsi="Book Antiqua" w:cs="Times New Roman"/>
          <w:i/>
          <w:sz w:val="24"/>
          <w:szCs w:val="24"/>
        </w:rPr>
        <w:t>MLH1</w:t>
      </w:r>
      <w:r w:rsidRPr="00DF64BD">
        <w:rPr>
          <w:rFonts w:ascii="Book Antiqua" w:hAnsi="Book Antiqua" w:cs="Times New Roman"/>
          <w:sz w:val="24"/>
          <w:szCs w:val="24"/>
        </w:rPr>
        <w:t xml:space="preserve"> alterations, characteristic of MSI</w:t>
      </w:r>
      <w:r w:rsidR="00BE1CB0" w:rsidRPr="00BE1CB0">
        <w:rPr>
          <w:rFonts w:ascii="Book Antiqua" w:hAnsi="Book Antiqua" w:cs="Times New Roman"/>
          <w:kern w:val="24"/>
          <w:sz w:val="24"/>
          <w:szCs w:val="24"/>
          <w:vertAlign w:val="superscript"/>
        </w:rPr>
        <w:t>[157]</w:t>
      </w:r>
      <w:r w:rsidRPr="00DF64BD">
        <w:rPr>
          <w:rFonts w:ascii="Book Antiqua" w:hAnsi="Book Antiqua" w:cs="Times New Roman"/>
          <w:sz w:val="24"/>
          <w:szCs w:val="24"/>
        </w:rPr>
        <w:t xml:space="preserve">; however, they displayed promoter hypermethylation within the </w:t>
      </w:r>
      <w:r w:rsidRPr="00DF64BD">
        <w:rPr>
          <w:rFonts w:ascii="Book Antiqua" w:hAnsi="Book Antiqua" w:cs="Times New Roman"/>
          <w:i/>
          <w:sz w:val="24"/>
          <w:szCs w:val="24"/>
        </w:rPr>
        <w:t>CDKN2A</w:t>
      </w:r>
      <w:r w:rsidRPr="00DF64BD">
        <w:rPr>
          <w:rFonts w:ascii="Book Antiqua" w:hAnsi="Book Antiqua" w:cs="Times New Roman"/>
          <w:sz w:val="24"/>
          <w:szCs w:val="24"/>
        </w:rPr>
        <w:t xml:space="preserve"> (p16</w:t>
      </w:r>
      <w:r w:rsidRPr="00DF64BD">
        <w:rPr>
          <w:rFonts w:ascii="Book Antiqua" w:hAnsi="Book Antiqua" w:cs="Times New Roman"/>
          <w:sz w:val="24"/>
          <w:szCs w:val="24"/>
          <w:vertAlign w:val="superscript"/>
        </w:rPr>
        <w:t>INK4A</w:t>
      </w:r>
      <w:r w:rsidRPr="00DF64BD">
        <w:rPr>
          <w:rFonts w:ascii="Book Antiqua" w:hAnsi="Book Antiqua" w:cs="Times New Roman"/>
          <w:sz w:val="24"/>
          <w:szCs w:val="24"/>
        </w:rPr>
        <w:t xml:space="preserve">) region, and most of them had mutations in diverse locations within the </w:t>
      </w:r>
      <w:r w:rsidRPr="00DF64BD">
        <w:rPr>
          <w:rFonts w:ascii="Book Antiqua" w:hAnsi="Book Antiqua" w:cs="Times New Roman"/>
          <w:i/>
          <w:sz w:val="24"/>
          <w:szCs w:val="24"/>
        </w:rPr>
        <w:t>PIK3C1</w:t>
      </w:r>
      <w:r w:rsidRPr="00DF64BD">
        <w:rPr>
          <w:rFonts w:ascii="Book Antiqua" w:hAnsi="Book Antiqua" w:cs="Times New Roman"/>
          <w:sz w:val="24"/>
          <w:szCs w:val="24"/>
        </w:rPr>
        <w:t xml:space="preserve"> gene, confirming previous </w:t>
      </w:r>
      <w:r w:rsidRPr="00B97AA1">
        <w:rPr>
          <w:rFonts w:ascii="Book Antiqua" w:hAnsi="Book Antiqua" w:cs="Times New Roman"/>
          <w:sz w:val="24"/>
          <w:szCs w:val="24"/>
        </w:rPr>
        <w:t>reports</w:t>
      </w:r>
      <w:r w:rsidR="000167DE" w:rsidRPr="00B97AA1">
        <w:rPr>
          <w:rFonts w:ascii="Book Antiqua" w:hAnsi="Book Antiqua" w:cs="Times New Roman"/>
          <w:sz w:val="24"/>
          <w:szCs w:val="24"/>
          <w:vertAlign w:val="superscript"/>
        </w:rPr>
        <w:t>[158,</w:t>
      </w:r>
      <w:r w:rsidRPr="00B97AA1">
        <w:rPr>
          <w:rFonts w:ascii="Book Antiqua" w:hAnsi="Book Antiqua" w:cs="Times New Roman"/>
          <w:sz w:val="24"/>
          <w:szCs w:val="24"/>
          <w:vertAlign w:val="superscript"/>
        </w:rPr>
        <w:t>159]</w:t>
      </w:r>
      <w:r w:rsidRPr="00B97AA1">
        <w:rPr>
          <w:rFonts w:ascii="Book Antiqua" w:hAnsi="Book Antiqua" w:cs="Times New Roman"/>
          <w:sz w:val="24"/>
          <w:szCs w:val="24"/>
        </w:rPr>
        <w:t>.</w:t>
      </w:r>
      <w:r w:rsidRPr="00DF64BD">
        <w:rPr>
          <w:rFonts w:ascii="Book Antiqua" w:hAnsi="Book Antiqua" w:cs="Times New Roman"/>
          <w:sz w:val="24"/>
          <w:szCs w:val="24"/>
        </w:rPr>
        <w:t xml:space="preserve"> This particular feature separates EBV-positive tumours from other GCs </w:t>
      </w:r>
      <w:r w:rsidRPr="00DF64BD">
        <w:rPr>
          <w:rFonts w:ascii="Book Antiqua" w:hAnsi="Book Antiqua" w:cs="Times New Roman"/>
          <w:sz w:val="24"/>
          <w:szCs w:val="24"/>
        </w:rPr>
        <w:lastRenderedPageBreak/>
        <w:t xml:space="preserve">that display </w:t>
      </w:r>
      <w:r w:rsidRPr="00DF64BD">
        <w:rPr>
          <w:rFonts w:ascii="Book Antiqua" w:hAnsi="Book Antiqua" w:cs="Times New Roman"/>
          <w:i/>
          <w:sz w:val="24"/>
          <w:szCs w:val="24"/>
        </w:rPr>
        <w:t>PIK3C1</w:t>
      </w:r>
      <w:r w:rsidRPr="00DF64BD">
        <w:rPr>
          <w:rFonts w:ascii="Book Antiqua" w:hAnsi="Book Antiqua" w:cs="Times New Roman"/>
          <w:sz w:val="24"/>
          <w:szCs w:val="24"/>
        </w:rPr>
        <w:t xml:space="preserve"> mutations in 3</w:t>
      </w:r>
      <w:r w:rsidR="000167DE" w:rsidRPr="00DF64BD">
        <w:rPr>
          <w:rFonts w:ascii="Book Antiqua" w:hAnsi="Book Antiqua" w:cs="Times New Roman"/>
          <w:sz w:val="24"/>
          <w:szCs w:val="24"/>
        </w:rPr>
        <w:t>%</w:t>
      </w:r>
      <w:r w:rsidRPr="00DF64BD">
        <w:rPr>
          <w:rFonts w:ascii="Book Antiqua" w:hAnsi="Book Antiqua" w:cs="Times New Roman"/>
          <w:sz w:val="24"/>
          <w:szCs w:val="24"/>
        </w:rPr>
        <w:t>-42% but are localized in the kinase domain, exon 20</w:t>
      </w:r>
      <w:r w:rsidRPr="00DF64BD">
        <w:rPr>
          <w:rFonts w:ascii="Book Antiqua" w:hAnsi="Book Antiqua" w:cs="Times New Roman"/>
          <w:sz w:val="24"/>
          <w:szCs w:val="24"/>
          <w:vertAlign w:val="superscript"/>
        </w:rPr>
        <w:t>[150]</w:t>
      </w:r>
      <w:r w:rsidRPr="00DF64BD">
        <w:rPr>
          <w:rFonts w:ascii="Book Antiqua" w:hAnsi="Book Antiqua" w:cs="Times New Roman"/>
          <w:sz w:val="24"/>
          <w:szCs w:val="24"/>
        </w:rPr>
        <w:t>.</w:t>
      </w:r>
    </w:p>
    <w:p w:rsidR="00423E49" w:rsidRPr="00EF4A18" w:rsidRDefault="00423E49" w:rsidP="000167DE">
      <w:pPr>
        <w:pStyle w:val="Bezodstpw1"/>
        <w:spacing w:line="360" w:lineRule="auto"/>
        <w:ind w:firstLineChars="100" w:firstLine="240"/>
        <w:jc w:val="both"/>
        <w:rPr>
          <w:rFonts w:ascii="Book Antiqua" w:eastAsia="Book Antiqua" w:hAnsi="Book Antiqua" w:cs="Times New Roman"/>
          <w:strike/>
          <w:sz w:val="24"/>
          <w:szCs w:val="24"/>
          <w:lang w:eastAsia="zh-CN"/>
        </w:rPr>
      </w:pPr>
      <w:r w:rsidRPr="00DF64BD">
        <w:rPr>
          <w:rFonts w:ascii="Book Antiqua" w:hAnsi="Book Antiqua" w:cs="Times New Roman"/>
          <w:sz w:val="24"/>
          <w:szCs w:val="24"/>
        </w:rPr>
        <w:t xml:space="preserve">Gastritis is the single most common cause of GC, and </w:t>
      </w:r>
      <w:r w:rsidRPr="00DF64BD">
        <w:rPr>
          <w:rFonts w:ascii="Book Antiqua" w:hAnsi="Book Antiqua" w:cs="Times New Roman"/>
          <w:i/>
          <w:iCs/>
          <w:sz w:val="24"/>
          <w:szCs w:val="24"/>
        </w:rPr>
        <w:t>H. pylori</w:t>
      </w:r>
      <w:r w:rsidRPr="00DF64BD">
        <w:rPr>
          <w:rFonts w:ascii="Book Antiqua" w:hAnsi="Book Antiqua" w:cs="Times New Roman"/>
          <w:sz w:val="24"/>
          <w:szCs w:val="24"/>
        </w:rPr>
        <w:t>, a class I carcinogen according to WHO classification</w:t>
      </w:r>
      <w:r w:rsidRPr="00DF64BD">
        <w:rPr>
          <w:rFonts w:ascii="Book Antiqua" w:hAnsi="Book Antiqua" w:cs="Times New Roman"/>
          <w:sz w:val="24"/>
          <w:szCs w:val="24"/>
          <w:vertAlign w:val="superscript"/>
        </w:rPr>
        <w:t>[160]</w:t>
      </w:r>
      <w:r w:rsidRPr="00DF64BD">
        <w:rPr>
          <w:rFonts w:ascii="Book Antiqua" w:hAnsi="Book Antiqua" w:cs="Times New Roman"/>
          <w:sz w:val="24"/>
          <w:szCs w:val="24"/>
        </w:rPr>
        <w:t>, is the most common cause of gastritis</w:t>
      </w:r>
      <w:r w:rsidR="000167DE">
        <w:rPr>
          <w:rFonts w:ascii="Book Antiqua" w:hAnsi="Book Antiqua" w:cs="Times New Roman"/>
          <w:sz w:val="24"/>
          <w:szCs w:val="24"/>
          <w:vertAlign w:val="superscript"/>
        </w:rPr>
        <w:t>[161,</w:t>
      </w:r>
      <w:r w:rsidRPr="00DF64BD">
        <w:rPr>
          <w:rFonts w:ascii="Book Antiqua" w:hAnsi="Book Antiqua" w:cs="Times New Roman"/>
          <w:sz w:val="24"/>
          <w:szCs w:val="24"/>
          <w:vertAlign w:val="superscript"/>
        </w:rPr>
        <w:t>162]</w:t>
      </w:r>
      <w:r w:rsidRPr="00DF64BD">
        <w:rPr>
          <w:rFonts w:ascii="Book Antiqua" w:hAnsi="Book Antiqua" w:cs="Times New Roman"/>
          <w:sz w:val="24"/>
          <w:szCs w:val="24"/>
        </w:rPr>
        <w:t>.</w:t>
      </w:r>
      <w:r w:rsidRPr="00DF64BD">
        <w:rPr>
          <w:rFonts w:ascii="Book Antiqua" w:hAnsi="Book Antiqua" w:cs="Times New Roman"/>
          <w:color w:val="0070C0"/>
          <w:sz w:val="24"/>
          <w:szCs w:val="24"/>
        </w:rPr>
        <w:t xml:space="preserve"> </w:t>
      </w:r>
      <w:r w:rsidRPr="00DF64BD">
        <w:rPr>
          <w:rFonts w:ascii="Book Antiqua" w:hAnsi="Book Antiqua" w:cs="Times New Roman"/>
          <w:sz w:val="24"/>
          <w:szCs w:val="24"/>
        </w:rPr>
        <w:t xml:space="preserve">Therefore,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plays a role in the environmental trigger that creates a favourable background for GC through several mechanisms. One of them is depleting the mucosa’s antioxidant competences</w:t>
      </w:r>
      <w:r w:rsidRPr="00DF64BD">
        <w:rPr>
          <w:rFonts w:ascii="Book Antiqua" w:hAnsi="Book Antiqua" w:cs="Times New Roman"/>
          <w:sz w:val="24"/>
          <w:szCs w:val="24"/>
          <w:vertAlign w:val="superscript"/>
        </w:rPr>
        <w:t>[163]</w:t>
      </w:r>
      <w:r w:rsidRPr="00DF64BD">
        <w:rPr>
          <w:rFonts w:ascii="Book Antiqua" w:hAnsi="Book Antiqua" w:cs="Times New Roman"/>
          <w:sz w:val="24"/>
          <w:szCs w:val="24"/>
        </w:rPr>
        <w:t>, as shown in mouse models</w:t>
      </w:r>
      <w:r w:rsidRPr="00DF64BD">
        <w:rPr>
          <w:rFonts w:ascii="Book Antiqua" w:hAnsi="Book Antiqua" w:cs="Times New Roman"/>
          <w:sz w:val="24"/>
          <w:szCs w:val="24"/>
          <w:vertAlign w:val="superscript"/>
        </w:rPr>
        <w:t>[164]</w:t>
      </w:r>
      <w:r w:rsidRPr="00DF64BD">
        <w:rPr>
          <w:rFonts w:ascii="Book Antiqua" w:hAnsi="Book Antiqua" w:cs="Times New Roman"/>
          <w:sz w:val="24"/>
          <w:szCs w:val="24"/>
        </w:rPr>
        <w:t xml:space="preserve">.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was also reported to initiate the down</w:t>
      </w:r>
      <w:r w:rsidR="00DF486C">
        <w:rPr>
          <w:rFonts w:ascii="Book Antiqua" w:hAnsi="Book Antiqua" w:cs="Times New Roman"/>
          <w:sz w:val="24"/>
          <w:szCs w:val="24"/>
        </w:rPr>
        <w:t>-</w:t>
      </w:r>
      <w:r w:rsidRPr="00DF64BD">
        <w:rPr>
          <w:rFonts w:ascii="Book Antiqua" w:hAnsi="Book Antiqua" w:cs="Times New Roman"/>
          <w:sz w:val="24"/>
          <w:szCs w:val="24"/>
        </w:rPr>
        <w:t>regulation of sonic hedgehog (Shh) expression, paving the way for early premalignant changes</w:t>
      </w:r>
      <w:r w:rsidRPr="00DF64BD">
        <w:rPr>
          <w:rFonts w:ascii="Book Antiqua" w:hAnsi="Book Antiqua" w:cs="Times New Roman"/>
          <w:sz w:val="24"/>
          <w:szCs w:val="24"/>
          <w:vertAlign w:val="superscript"/>
        </w:rPr>
        <w:t>[165]</w:t>
      </w:r>
      <w:r w:rsidRPr="00DF64BD">
        <w:rPr>
          <w:rFonts w:ascii="Book Antiqua" w:hAnsi="Book Antiqua" w:cs="Times New Roman"/>
          <w:sz w:val="24"/>
          <w:szCs w:val="24"/>
        </w:rPr>
        <w:t xml:space="preserve">. Shh is a protein that plays a role in cellular differentiation in gastric mucosa. Under expression of Shh promotes an intestinal phenotype by the upregulation of </w:t>
      </w:r>
      <w:r w:rsidRPr="00DF64BD">
        <w:rPr>
          <w:rFonts w:ascii="Book Antiqua" w:hAnsi="Book Antiqua" w:cs="Times New Roman"/>
          <w:i/>
          <w:sz w:val="24"/>
          <w:szCs w:val="24"/>
        </w:rPr>
        <w:t>Cdx2</w:t>
      </w:r>
      <w:r w:rsidRPr="00DF64BD">
        <w:rPr>
          <w:rFonts w:ascii="Book Antiqua" w:hAnsi="Book Antiqua" w:cs="Times New Roman"/>
          <w:sz w:val="24"/>
          <w:szCs w:val="24"/>
        </w:rPr>
        <w:t xml:space="preserve">, </w:t>
      </w:r>
      <w:r w:rsidRPr="00DF64BD">
        <w:rPr>
          <w:rFonts w:ascii="Book Antiqua" w:hAnsi="Book Antiqua" w:cs="Times New Roman"/>
          <w:i/>
          <w:sz w:val="24"/>
          <w:szCs w:val="24"/>
        </w:rPr>
        <w:t>MUC2</w:t>
      </w:r>
      <w:r w:rsidRPr="00DF64BD">
        <w:rPr>
          <w:rFonts w:ascii="Book Antiqua" w:hAnsi="Book Antiqua" w:cs="Times New Roman"/>
          <w:sz w:val="24"/>
          <w:szCs w:val="24"/>
        </w:rPr>
        <w:t xml:space="preserve"> and </w:t>
      </w:r>
      <w:r w:rsidRPr="00DF64BD">
        <w:rPr>
          <w:rFonts w:ascii="Book Antiqua" w:hAnsi="Book Antiqua" w:cs="Times New Roman"/>
          <w:i/>
          <w:sz w:val="24"/>
          <w:szCs w:val="24"/>
        </w:rPr>
        <w:t>villin</w:t>
      </w:r>
      <w:r w:rsidRPr="00DF64BD">
        <w:rPr>
          <w:rFonts w:ascii="Book Antiqua" w:hAnsi="Book Antiqua" w:cs="Times New Roman"/>
          <w:sz w:val="24"/>
          <w:szCs w:val="24"/>
        </w:rPr>
        <w:t>, which are intestine-related genes</w:t>
      </w:r>
      <w:r w:rsidR="000167DE">
        <w:rPr>
          <w:rFonts w:ascii="Book Antiqua" w:hAnsi="Book Antiqua" w:cs="Times New Roman"/>
          <w:sz w:val="24"/>
          <w:szCs w:val="24"/>
          <w:vertAlign w:val="superscript"/>
        </w:rPr>
        <w:t>[32,</w:t>
      </w:r>
      <w:r w:rsidRPr="00DF64BD">
        <w:rPr>
          <w:rFonts w:ascii="Book Antiqua" w:hAnsi="Book Antiqua" w:cs="Times New Roman"/>
          <w:sz w:val="24"/>
          <w:szCs w:val="24"/>
          <w:vertAlign w:val="superscript"/>
        </w:rPr>
        <w:t>166]</w:t>
      </w:r>
      <w:r w:rsidRPr="00DF64BD">
        <w:rPr>
          <w:rFonts w:ascii="Book Antiqua" w:hAnsi="Book Antiqua" w:cs="Times New Roman"/>
          <w:sz w:val="24"/>
          <w:szCs w:val="24"/>
        </w:rPr>
        <w:t>. It seems that the levels of Shh expression fluctuate during the beginning of metaplasia to advanced cancer,</w:t>
      </w:r>
      <w:r w:rsidR="000167DE">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and it is associated with tumour stage</w:t>
      </w:r>
      <w:r w:rsidRPr="00DF64BD">
        <w:rPr>
          <w:rFonts w:ascii="Book Antiqua" w:hAnsi="Book Antiqua" w:cs="Times New Roman"/>
          <w:sz w:val="24"/>
          <w:szCs w:val="24"/>
          <w:vertAlign w:val="superscript"/>
        </w:rPr>
        <w:t>[167]</w:t>
      </w:r>
      <w:r w:rsidR="000167DE">
        <w:rPr>
          <w:rFonts w:ascii="Book Antiqua" w:hAnsi="Book Antiqua" w:cs="Times New Roman"/>
          <w:sz w:val="24"/>
          <w:szCs w:val="24"/>
        </w:rPr>
        <w:t>.</w:t>
      </w:r>
    </w:p>
    <w:p w:rsidR="000167DE" w:rsidRDefault="00423E49" w:rsidP="000167DE">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Moreover,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can promote intestinal transformation by the interaction of CagA (bacterial virulence factor) with E-cadherin</w:t>
      </w:r>
      <w:r w:rsidRPr="00DF64BD">
        <w:rPr>
          <w:rFonts w:ascii="Book Antiqua" w:hAnsi="Book Antiqua" w:cs="Times New Roman"/>
          <w:sz w:val="24"/>
          <w:szCs w:val="24"/>
          <w:vertAlign w:val="superscript"/>
        </w:rPr>
        <w:t>[168]</w:t>
      </w:r>
      <w:r w:rsidRPr="00DF64BD">
        <w:rPr>
          <w:rFonts w:ascii="Book Antiqua" w:hAnsi="Book Antiqua" w:cs="Times New Roman"/>
          <w:sz w:val="24"/>
          <w:szCs w:val="24"/>
        </w:rPr>
        <w:t xml:space="preserve">. It was also reported that decreased levels of E-cadherin may occur in relation to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infection</w:t>
      </w:r>
      <w:r w:rsidRPr="00DF64BD">
        <w:rPr>
          <w:rFonts w:ascii="Book Antiqua" w:hAnsi="Book Antiqua" w:cs="Times New Roman"/>
          <w:sz w:val="24"/>
          <w:szCs w:val="24"/>
          <w:vertAlign w:val="superscript"/>
        </w:rPr>
        <w:t>[169]</w:t>
      </w:r>
      <w:r w:rsidRPr="00DF64BD">
        <w:rPr>
          <w:rFonts w:ascii="Book Antiqua" w:hAnsi="Book Antiqua" w:cs="Times New Roman"/>
          <w:sz w:val="24"/>
          <w:szCs w:val="24"/>
        </w:rPr>
        <w:t>.</w:t>
      </w:r>
    </w:p>
    <w:p w:rsidR="00423E49" w:rsidRPr="00DF64BD" w:rsidRDefault="00423E49" w:rsidP="000167DE">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According to the currently accepted hypothesis, GC develops from cancer stem cells (CSCs)</w:t>
      </w:r>
      <w:r w:rsidRPr="00DF64BD">
        <w:rPr>
          <w:rFonts w:ascii="Book Antiqua" w:hAnsi="Book Antiqua" w:cs="Times New Roman"/>
          <w:sz w:val="24"/>
          <w:szCs w:val="24"/>
          <w:vertAlign w:val="superscript"/>
        </w:rPr>
        <w:t>[32]</w:t>
      </w:r>
      <w:r w:rsidRPr="00DF64BD">
        <w:rPr>
          <w:rFonts w:ascii="Book Antiqua" w:hAnsi="Book Antiqua" w:cs="Times New Roman"/>
          <w:sz w:val="24"/>
          <w:szCs w:val="24"/>
        </w:rPr>
        <w:t>. However, under chronic inflammation, this role might be carried out by bone marrow-derived cells (BMDCs)</w:t>
      </w:r>
      <w:r w:rsidRPr="00DF64BD">
        <w:rPr>
          <w:rFonts w:ascii="Book Antiqua" w:hAnsi="Book Antiqua" w:cs="Times New Roman"/>
          <w:sz w:val="24"/>
          <w:szCs w:val="24"/>
          <w:vertAlign w:val="superscript"/>
        </w:rPr>
        <w:t>[170-172]</w:t>
      </w:r>
      <w:r w:rsidRPr="00DF64BD">
        <w:rPr>
          <w:rFonts w:ascii="Book Antiqua" w:hAnsi="Book Antiqua" w:cs="Times New Roman"/>
          <w:sz w:val="24"/>
          <w:szCs w:val="24"/>
        </w:rPr>
        <w:t>.</w:t>
      </w:r>
    </w:p>
    <w:p w:rsidR="00423E49" w:rsidRPr="00DF64BD" w:rsidRDefault="00423E49" w:rsidP="000167DE">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Chronic inflammation alters the secretion of gastrin in gastric mucosa. Hypergastrinaemia and hypogastrinaemia are both suspected of being involved in the development of GC</w:t>
      </w:r>
      <w:r w:rsidR="000167DE">
        <w:rPr>
          <w:rFonts w:ascii="Book Antiqua" w:hAnsi="Book Antiqua" w:cs="Times New Roman"/>
          <w:sz w:val="24"/>
          <w:szCs w:val="24"/>
          <w:vertAlign w:val="superscript"/>
        </w:rPr>
        <w:t>[168,173,</w:t>
      </w:r>
      <w:r w:rsidRPr="00DF64BD">
        <w:rPr>
          <w:rFonts w:ascii="Book Antiqua" w:hAnsi="Book Antiqua" w:cs="Times New Roman"/>
          <w:sz w:val="24"/>
          <w:szCs w:val="24"/>
          <w:vertAlign w:val="superscript"/>
        </w:rPr>
        <w:t>174]</w:t>
      </w:r>
      <w:r w:rsidRPr="00DF64BD">
        <w:rPr>
          <w:rFonts w:ascii="Book Antiqua" w:hAnsi="Book Antiqua" w:cs="Times New Roman"/>
          <w:sz w:val="24"/>
          <w:szCs w:val="24"/>
        </w:rPr>
        <w:t>.</w:t>
      </w:r>
    </w:p>
    <w:p w:rsidR="00423E49" w:rsidRPr="00DF64BD" w:rsidRDefault="00423E49" w:rsidP="000167DE">
      <w:pPr>
        <w:pStyle w:val="Bezodstpw1"/>
        <w:spacing w:line="360" w:lineRule="auto"/>
        <w:ind w:firstLineChars="100" w:firstLine="240"/>
        <w:jc w:val="both"/>
        <w:rPr>
          <w:rFonts w:ascii="Book Antiqua" w:hAnsi="Book Antiqua" w:cs="Times New Roman"/>
          <w:sz w:val="24"/>
          <w:szCs w:val="24"/>
          <w:lang w:eastAsia="zh-CN"/>
        </w:rPr>
      </w:pPr>
      <w:r w:rsidRPr="00DF64BD">
        <w:rPr>
          <w:rFonts w:ascii="Book Antiqua" w:hAnsi="Book Antiqua" w:cs="Times New Roman"/>
          <w:sz w:val="24"/>
          <w:szCs w:val="24"/>
        </w:rPr>
        <w:t xml:space="preserve">A proper inflammatory response is highly dependent on the condition of the immune system, which is also involved in GC. For example, it was reported that the </w:t>
      </w:r>
      <w:r w:rsidRPr="00DF64BD">
        <w:rPr>
          <w:rFonts w:ascii="Book Antiqua" w:hAnsi="Book Antiqua" w:cs="Times New Roman"/>
          <w:i/>
          <w:sz w:val="24"/>
          <w:szCs w:val="24"/>
        </w:rPr>
        <w:t>CTLA-4</w:t>
      </w:r>
      <w:r w:rsidRPr="00DF64BD">
        <w:rPr>
          <w:rFonts w:ascii="Book Antiqua" w:hAnsi="Book Antiqua" w:cs="Times New Roman"/>
          <w:sz w:val="24"/>
          <w:szCs w:val="24"/>
        </w:rPr>
        <w:t xml:space="preserve"> polymorphism attenuates the T-cell response and increases the risk of gastric cardia cancer</w:t>
      </w:r>
      <w:r w:rsidRPr="00DF64BD">
        <w:rPr>
          <w:rFonts w:ascii="Book Antiqua" w:hAnsi="Book Antiqua" w:cs="Times New Roman"/>
          <w:sz w:val="24"/>
          <w:szCs w:val="24"/>
          <w:vertAlign w:val="superscript"/>
        </w:rPr>
        <w:t>[175]</w:t>
      </w:r>
      <w:r w:rsidRPr="00DF64BD">
        <w:rPr>
          <w:rFonts w:ascii="Book Antiqua" w:hAnsi="Book Antiqua" w:cs="Times New Roman"/>
          <w:sz w:val="24"/>
          <w:szCs w:val="24"/>
        </w:rPr>
        <w:t>.</w:t>
      </w:r>
      <w:r w:rsidR="000167DE">
        <w:rPr>
          <w:rFonts w:ascii="Book Antiqua" w:hAnsi="Book Antiqua" w:cs="Times New Roman" w:hint="eastAsia"/>
          <w:sz w:val="24"/>
          <w:szCs w:val="24"/>
          <w:lang w:eastAsia="zh-CN"/>
        </w:rPr>
        <w:t xml:space="preserve"> </w:t>
      </w:r>
      <w:r w:rsidRPr="00DF64BD">
        <w:rPr>
          <w:rFonts w:ascii="Book Antiqua" w:hAnsi="Book Antiqua" w:cs="Times New Roman"/>
          <w:sz w:val="24"/>
          <w:szCs w:val="24"/>
        </w:rPr>
        <w:t>The accumulation of regulatory T cells (Tregs), which are associated with CCL17 and CCL22 chemokines</w:t>
      </w:r>
      <w:r w:rsidRPr="00DF64BD">
        <w:rPr>
          <w:rFonts w:ascii="Book Antiqua" w:hAnsi="Book Antiqua" w:cs="Times New Roman"/>
          <w:sz w:val="24"/>
          <w:szCs w:val="24"/>
          <w:vertAlign w:val="superscript"/>
        </w:rPr>
        <w:t>[176]</w:t>
      </w:r>
      <w:r w:rsidR="006408D3" w:rsidRPr="006408D3">
        <w:rPr>
          <w:rFonts w:ascii="Book Antiqua" w:hAnsi="Book Antiqua" w:cs="Times New Roman"/>
          <w:sz w:val="24"/>
          <w:szCs w:val="24"/>
        </w:rPr>
        <w:t>,</w:t>
      </w:r>
      <w:r w:rsidRPr="00DF64BD">
        <w:rPr>
          <w:rFonts w:ascii="Book Antiqua" w:hAnsi="Book Antiqua" w:cs="Times New Roman"/>
          <w:sz w:val="24"/>
          <w:szCs w:val="24"/>
        </w:rPr>
        <w:t xml:space="preserve"> reflects the clinical status because it correlates with regional lymph node metastasis and patient survival</w:t>
      </w:r>
      <w:r w:rsidRPr="00DF64BD">
        <w:rPr>
          <w:rFonts w:ascii="Book Antiqua" w:hAnsi="Book Antiqua" w:cs="Times New Roman"/>
          <w:sz w:val="24"/>
          <w:szCs w:val="24"/>
          <w:vertAlign w:val="superscript"/>
        </w:rPr>
        <w:t>[177]</w:t>
      </w:r>
      <w:r w:rsidR="000167DE">
        <w:rPr>
          <w:rFonts w:ascii="Book Antiqua" w:hAnsi="Book Antiqua" w:cs="Times New Roman"/>
          <w:sz w:val="24"/>
          <w:szCs w:val="24"/>
        </w:rPr>
        <w:t>.</w:t>
      </w:r>
    </w:p>
    <w:p w:rsidR="00423E49" w:rsidRPr="00DF64BD" w:rsidRDefault="00423E49" w:rsidP="000167DE">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The role of elevated eosinophil levels remains uncertain. In low-risk areas, eosinophils are recruited by Th2 lymphocytes and act to prevent GC; however, in </w:t>
      </w:r>
      <w:r w:rsidRPr="00DF64BD">
        <w:rPr>
          <w:rFonts w:ascii="Book Antiqua" w:hAnsi="Book Antiqua" w:cs="Times New Roman"/>
          <w:sz w:val="24"/>
          <w:szCs w:val="24"/>
        </w:rPr>
        <w:lastRenderedPageBreak/>
        <w:t>high-risk areas, they are attracted by Th1 lymphocytes and favour the spread of the lesions</w:t>
      </w:r>
      <w:r w:rsidRPr="00DF64BD">
        <w:rPr>
          <w:rFonts w:ascii="Book Antiqua" w:hAnsi="Book Antiqua" w:cs="Times New Roman"/>
          <w:sz w:val="24"/>
          <w:szCs w:val="24"/>
          <w:vertAlign w:val="superscript"/>
        </w:rPr>
        <w:t>[178]</w:t>
      </w:r>
      <w:r w:rsidRPr="00DF64BD">
        <w:rPr>
          <w:rFonts w:ascii="Book Antiqua" w:hAnsi="Book Antiqua" w:cs="Times New Roman"/>
          <w:sz w:val="24"/>
          <w:szCs w:val="24"/>
        </w:rPr>
        <w:t>.</w:t>
      </w:r>
    </w:p>
    <w:p w:rsidR="00423E49" w:rsidRDefault="00423E49" w:rsidP="000167DE">
      <w:pPr>
        <w:pStyle w:val="Bezodstpw1"/>
        <w:tabs>
          <w:tab w:val="left" w:pos="180"/>
        </w:tabs>
        <w:spacing w:line="360" w:lineRule="auto"/>
        <w:ind w:firstLineChars="100" w:firstLine="240"/>
        <w:jc w:val="both"/>
        <w:rPr>
          <w:rFonts w:ascii="Book Antiqua" w:hAnsi="Book Antiqua" w:cs="Times New Roman"/>
          <w:sz w:val="24"/>
          <w:szCs w:val="24"/>
        </w:rPr>
      </w:pPr>
      <w:r w:rsidRPr="00084DC5">
        <w:rPr>
          <w:rFonts w:ascii="Book Antiqua" w:hAnsi="Book Antiqua" w:cs="Times New Roman"/>
          <w:i/>
          <w:sz w:val="24"/>
          <w:szCs w:val="24"/>
        </w:rPr>
        <w:t>COX-2</w:t>
      </w:r>
      <w:r w:rsidRPr="00084DC5">
        <w:rPr>
          <w:rFonts w:ascii="Book Antiqua" w:hAnsi="Book Antiqua" w:cs="Times New Roman"/>
          <w:sz w:val="24"/>
          <w:szCs w:val="24"/>
        </w:rPr>
        <w:t xml:space="preserve"> overexpression is known to be an important mechanism in GC development. It occurs commonly, but remains uncertain why</w:t>
      </w:r>
      <w:r w:rsidR="00EE10ED" w:rsidRPr="00084DC5">
        <w:rPr>
          <w:rFonts w:ascii="Book Antiqua" w:hAnsi="Book Antiqua" w:cs="Times New Roman"/>
          <w:sz w:val="24"/>
          <w:szCs w:val="24"/>
        </w:rPr>
        <w:t>.</w:t>
      </w:r>
      <w:r w:rsidRPr="00084DC5">
        <w:rPr>
          <w:rFonts w:ascii="Book Antiqua" w:hAnsi="Book Antiqua" w:cs="Times New Roman"/>
          <w:sz w:val="24"/>
          <w:szCs w:val="24"/>
        </w:rPr>
        <w:t xml:space="preserve"> </w:t>
      </w:r>
      <w:r w:rsidR="00EE10ED" w:rsidRPr="00084DC5">
        <w:rPr>
          <w:rFonts w:ascii="Book Antiqua" w:hAnsi="Book Antiqua" w:cs="Times New Roman"/>
          <w:sz w:val="24"/>
          <w:szCs w:val="24"/>
        </w:rPr>
        <w:t>S</w:t>
      </w:r>
      <w:r w:rsidRPr="00084DC5">
        <w:rPr>
          <w:rFonts w:ascii="Book Antiqua" w:hAnsi="Book Antiqua" w:cs="Times New Roman"/>
          <w:sz w:val="24"/>
          <w:szCs w:val="24"/>
        </w:rPr>
        <w:t>uggested mediators include the C/EBP-β transcription factor</w:t>
      </w:r>
      <w:r w:rsidR="000167DE" w:rsidRPr="00084DC5">
        <w:rPr>
          <w:rFonts w:ascii="Book Antiqua" w:hAnsi="Book Antiqua" w:cs="Times New Roman"/>
          <w:sz w:val="24"/>
          <w:szCs w:val="24"/>
          <w:vertAlign w:val="superscript"/>
        </w:rPr>
        <w:t>[115,179,</w:t>
      </w:r>
      <w:r w:rsidRPr="00084DC5">
        <w:rPr>
          <w:rFonts w:ascii="Book Antiqua" w:hAnsi="Book Antiqua" w:cs="Times New Roman"/>
          <w:sz w:val="24"/>
          <w:szCs w:val="24"/>
          <w:vertAlign w:val="superscript"/>
        </w:rPr>
        <w:t>180]</w:t>
      </w:r>
      <w:r w:rsidRPr="00084DC5">
        <w:rPr>
          <w:rFonts w:ascii="Book Antiqua" w:hAnsi="Book Antiqua" w:cs="Times New Roman"/>
          <w:sz w:val="24"/>
          <w:szCs w:val="24"/>
        </w:rPr>
        <w:t xml:space="preserve"> and Wnt/β-catenin signalling pathway</w:t>
      </w:r>
      <w:r w:rsidRPr="00084DC5">
        <w:rPr>
          <w:rFonts w:ascii="Book Antiqua" w:hAnsi="Book Antiqua" w:cs="Times New Roman"/>
          <w:sz w:val="24"/>
          <w:szCs w:val="24"/>
          <w:vertAlign w:val="superscript"/>
        </w:rPr>
        <w:t>[181]</w:t>
      </w:r>
      <w:r w:rsidRPr="00084DC5">
        <w:rPr>
          <w:rFonts w:ascii="Book Antiqua" w:hAnsi="Book Antiqua" w:cs="Times New Roman"/>
          <w:sz w:val="24"/>
          <w:szCs w:val="24"/>
        </w:rPr>
        <w:t>.</w:t>
      </w:r>
      <w:r w:rsidR="000167DE" w:rsidRPr="00084DC5">
        <w:rPr>
          <w:rFonts w:ascii="Book Antiqua" w:hAnsi="Book Antiqua" w:cs="Times New Roman" w:hint="eastAsia"/>
          <w:sz w:val="24"/>
          <w:szCs w:val="24"/>
          <w:lang w:eastAsia="zh-CN"/>
        </w:rPr>
        <w:t xml:space="preserve"> </w:t>
      </w:r>
      <w:r w:rsidRPr="00084DC5">
        <w:rPr>
          <w:rFonts w:ascii="Book Antiqua" w:hAnsi="Book Antiqua" w:cs="Times New Roman"/>
          <w:i/>
          <w:sz w:val="24"/>
          <w:szCs w:val="24"/>
        </w:rPr>
        <w:t>COX-2</w:t>
      </w:r>
      <w:r w:rsidRPr="00084DC5">
        <w:rPr>
          <w:rFonts w:ascii="Book Antiqua" w:hAnsi="Book Antiqua" w:cs="Times New Roman"/>
          <w:sz w:val="24"/>
          <w:szCs w:val="24"/>
        </w:rPr>
        <w:t xml:space="preserve"> overexpression particularly concerns adenocarcinomas</w:t>
      </w:r>
      <w:r w:rsidRPr="00084DC5">
        <w:rPr>
          <w:rFonts w:ascii="Book Antiqua" w:hAnsi="Book Antiqua" w:cs="Times New Roman"/>
          <w:sz w:val="24"/>
          <w:szCs w:val="24"/>
          <w:vertAlign w:val="superscript"/>
        </w:rPr>
        <w:t>[182]</w:t>
      </w:r>
      <w:r w:rsidRPr="00084DC5">
        <w:rPr>
          <w:rFonts w:ascii="Book Antiqua" w:hAnsi="Book Antiqua" w:cs="Times New Roman"/>
          <w:sz w:val="24"/>
          <w:szCs w:val="24"/>
        </w:rPr>
        <w:t>, appears at early stage of carcinogenesis</w:t>
      </w:r>
      <w:r w:rsidRPr="00084DC5">
        <w:rPr>
          <w:rFonts w:ascii="Book Antiqua" w:hAnsi="Book Antiqua" w:cs="Times New Roman"/>
          <w:i/>
          <w:sz w:val="24"/>
          <w:szCs w:val="24"/>
        </w:rPr>
        <w:t xml:space="preserve"> </w:t>
      </w:r>
      <w:r w:rsidRPr="00084DC5">
        <w:rPr>
          <w:rFonts w:ascii="Book Antiqua" w:hAnsi="Book Antiqua" w:cs="Times New Roman"/>
          <w:sz w:val="24"/>
          <w:szCs w:val="24"/>
        </w:rPr>
        <w:t>and is detected even in precursor lesions</w:t>
      </w:r>
      <w:r w:rsidR="00084DC5">
        <w:rPr>
          <w:rFonts w:ascii="Book Antiqua" w:hAnsi="Book Antiqua" w:cs="Times New Roman"/>
          <w:sz w:val="24"/>
          <w:szCs w:val="24"/>
          <w:vertAlign w:val="superscript"/>
        </w:rPr>
        <w:t>[115,183,</w:t>
      </w:r>
      <w:r w:rsidRPr="00084DC5">
        <w:rPr>
          <w:rFonts w:ascii="Book Antiqua" w:hAnsi="Book Antiqua" w:cs="Times New Roman"/>
          <w:sz w:val="24"/>
          <w:szCs w:val="24"/>
          <w:vertAlign w:val="superscript"/>
        </w:rPr>
        <w:t>184]</w:t>
      </w:r>
      <w:r w:rsidRPr="00084DC5">
        <w:rPr>
          <w:rFonts w:ascii="Book Antiqua" w:hAnsi="Book Antiqua" w:cs="Times New Roman"/>
          <w:sz w:val="24"/>
          <w:szCs w:val="24"/>
        </w:rPr>
        <w:t xml:space="preserve">. Silencing </w:t>
      </w:r>
      <w:r w:rsidRPr="00084DC5">
        <w:rPr>
          <w:rFonts w:ascii="Book Antiqua" w:hAnsi="Book Antiqua" w:cs="Times New Roman"/>
          <w:i/>
          <w:sz w:val="24"/>
          <w:szCs w:val="24"/>
        </w:rPr>
        <w:t>COX-2</w:t>
      </w:r>
      <w:r w:rsidRPr="00084DC5">
        <w:rPr>
          <w:rFonts w:ascii="Book Antiqua" w:hAnsi="Book Antiqua" w:cs="Times New Roman"/>
          <w:sz w:val="24"/>
          <w:szCs w:val="24"/>
        </w:rPr>
        <w:t xml:space="preserve"> by promoter hypermethylation or FOXP3</w:t>
      </w:r>
      <w:r w:rsidRPr="00084DC5">
        <w:rPr>
          <w:rFonts w:ascii="Book Antiqua" w:hAnsi="Book Antiqua" w:cs="Times New Roman"/>
          <w:sz w:val="24"/>
          <w:szCs w:val="24"/>
          <w:vertAlign w:val="superscript"/>
        </w:rPr>
        <w:t xml:space="preserve">[185] </w:t>
      </w:r>
      <w:r w:rsidRPr="00084DC5">
        <w:rPr>
          <w:rFonts w:ascii="Book Antiqua" w:hAnsi="Book Antiqua" w:cs="Times New Roman"/>
          <w:sz w:val="24"/>
          <w:szCs w:val="24"/>
        </w:rPr>
        <w:t>seems to protect against GC progression because it is correlated with longer remission and improved survival</w:t>
      </w:r>
      <w:r w:rsidRPr="00084DC5">
        <w:rPr>
          <w:rFonts w:ascii="Book Antiqua" w:hAnsi="Book Antiqua" w:cs="Times New Roman"/>
          <w:sz w:val="24"/>
          <w:szCs w:val="24"/>
          <w:vertAlign w:val="superscript"/>
        </w:rPr>
        <w:t>[18</w:t>
      </w:r>
      <w:r w:rsidR="000022A4">
        <w:rPr>
          <w:rFonts w:ascii="Book Antiqua" w:hAnsi="Book Antiqua" w:cs="Times New Roman"/>
          <w:sz w:val="24"/>
          <w:szCs w:val="24"/>
          <w:vertAlign w:val="superscript"/>
        </w:rPr>
        <w:t>6</w:t>
      </w:r>
      <w:r w:rsidRPr="00084DC5">
        <w:rPr>
          <w:rFonts w:ascii="Book Antiqua" w:hAnsi="Book Antiqua" w:cs="Times New Roman"/>
          <w:sz w:val="24"/>
          <w:szCs w:val="24"/>
          <w:vertAlign w:val="superscript"/>
        </w:rPr>
        <w:t>]</w:t>
      </w:r>
      <w:r w:rsidRPr="00084DC5">
        <w:rPr>
          <w:rFonts w:ascii="Book Antiqua" w:hAnsi="Book Antiqua" w:cs="Times New Roman"/>
          <w:sz w:val="24"/>
          <w:szCs w:val="24"/>
        </w:rPr>
        <w:t>. Therefore, COX-2 could be used as a prognostic indica</w:t>
      </w:r>
      <w:r w:rsidRPr="0053216F">
        <w:rPr>
          <w:rFonts w:ascii="Book Antiqua" w:hAnsi="Book Antiqua" w:cs="Times New Roman"/>
          <w:sz w:val="24"/>
          <w:szCs w:val="24"/>
        </w:rPr>
        <w:t>tor</w:t>
      </w:r>
      <w:r w:rsidR="000167DE" w:rsidRPr="0053216F">
        <w:rPr>
          <w:rFonts w:ascii="Book Antiqua" w:hAnsi="Book Antiqua" w:cs="Times New Roman"/>
          <w:sz w:val="24"/>
          <w:szCs w:val="24"/>
          <w:vertAlign w:val="superscript"/>
        </w:rPr>
        <w:t>[</w:t>
      </w:r>
      <w:r w:rsidR="0053216F" w:rsidRPr="0053216F">
        <w:rPr>
          <w:rFonts w:ascii="Book Antiqua" w:hAnsi="Book Antiqua" w:cs="Times New Roman"/>
          <w:sz w:val="24"/>
          <w:szCs w:val="24"/>
          <w:vertAlign w:val="superscript"/>
        </w:rPr>
        <w:t>187</w:t>
      </w:r>
      <w:r w:rsidR="000167DE" w:rsidRPr="0053216F">
        <w:rPr>
          <w:rFonts w:ascii="Book Antiqua" w:hAnsi="Book Antiqua" w:cs="Times New Roman"/>
          <w:sz w:val="24"/>
          <w:szCs w:val="24"/>
          <w:vertAlign w:val="superscript"/>
        </w:rPr>
        <w:t>,</w:t>
      </w:r>
      <w:r w:rsidRPr="0053216F">
        <w:rPr>
          <w:rFonts w:ascii="Book Antiqua" w:hAnsi="Book Antiqua" w:cs="Times New Roman"/>
          <w:sz w:val="24"/>
          <w:szCs w:val="24"/>
          <w:vertAlign w:val="superscript"/>
        </w:rPr>
        <w:t>18</w:t>
      </w:r>
      <w:r w:rsidR="0053216F" w:rsidRPr="0053216F">
        <w:rPr>
          <w:rFonts w:ascii="Book Antiqua" w:hAnsi="Book Antiqua" w:cs="Times New Roman"/>
          <w:sz w:val="24"/>
          <w:szCs w:val="24"/>
          <w:vertAlign w:val="superscript"/>
        </w:rPr>
        <w:t>8</w:t>
      </w:r>
      <w:r w:rsidRPr="0053216F">
        <w:rPr>
          <w:rFonts w:ascii="Book Antiqua" w:hAnsi="Book Antiqua" w:cs="Times New Roman"/>
          <w:sz w:val="24"/>
          <w:szCs w:val="24"/>
          <w:vertAlign w:val="superscript"/>
        </w:rPr>
        <w:t>]</w:t>
      </w:r>
      <w:r w:rsidRPr="0053216F">
        <w:rPr>
          <w:rFonts w:ascii="Book Antiqua" w:hAnsi="Book Antiqua" w:cs="Times New Roman"/>
          <w:sz w:val="24"/>
          <w:szCs w:val="24"/>
        </w:rPr>
        <w:t>.</w:t>
      </w:r>
    </w:p>
    <w:p w:rsidR="00423E49" w:rsidRPr="00DF64BD" w:rsidRDefault="00423E49" w:rsidP="000167DE">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 xml:space="preserve">The </w:t>
      </w:r>
      <w:r w:rsidRPr="00DF64BD">
        <w:rPr>
          <w:rFonts w:ascii="Book Antiqua" w:hAnsi="Book Antiqua" w:cs="Times New Roman"/>
          <w:i/>
          <w:sz w:val="24"/>
          <w:szCs w:val="24"/>
        </w:rPr>
        <w:t>COX-2</w:t>
      </w:r>
      <w:r w:rsidRPr="00DF64BD">
        <w:rPr>
          <w:rFonts w:ascii="Book Antiqua" w:hAnsi="Book Antiqua" w:cs="Times New Roman"/>
          <w:sz w:val="24"/>
          <w:szCs w:val="24"/>
        </w:rPr>
        <w:t xml:space="preserve"> genotype also matters because the </w:t>
      </w:r>
      <w:r w:rsidRPr="00DF64BD">
        <w:rPr>
          <w:rFonts w:ascii="Book Antiqua" w:hAnsi="Book Antiqua" w:cs="Times New Roman"/>
          <w:i/>
          <w:sz w:val="24"/>
          <w:szCs w:val="24"/>
        </w:rPr>
        <w:t>1195AA COX-2</w:t>
      </w:r>
      <w:r w:rsidRPr="00DF64BD">
        <w:rPr>
          <w:rFonts w:ascii="Book Antiqua" w:hAnsi="Book Antiqua" w:cs="Times New Roman"/>
          <w:sz w:val="24"/>
          <w:szCs w:val="24"/>
        </w:rPr>
        <w:t xml:space="preserve"> genotype was reported to increase the risk of GC more than twice, and, with coexistent </w:t>
      </w:r>
      <w:r w:rsidRPr="00DF64BD">
        <w:rPr>
          <w:rFonts w:ascii="Book Antiqua" w:hAnsi="Book Antiqua" w:cs="Times New Roman"/>
          <w:i/>
          <w:iCs/>
          <w:sz w:val="24"/>
          <w:szCs w:val="24"/>
        </w:rPr>
        <w:t>H. pylori</w:t>
      </w:r>
      <w:r w:rsidRPr="00DF64BD">
        <w:rPr>
          <w:rFonts w:ascii="Book Antiqua" w:hAnsi="Book Antiqua" w:cs="Times New Roman"/>
          <w:sz w:val="24"/>
          <w:szCs w:val="24"/>
        </w:rPr>
        <w:t xml:space="preserve"> infection or smoking, even enhances malignant </w:t>
      </w:r>
      <w:r w:rsidRPr="00982099">
        <w:rPr>
          <w:rFonts w:ascii="Book Antiqua" w:hAnsi="Book Antiqua" w:cs="Times New Roman"/>
          <w:sz w:val="24"/>
          <w:szCs w:val="24"/>
        </w:rPr>
        <w:t>progression</w:t>
      </w:r>
      <w:r w:rsidRPr="00982099">
        <w:rPr>
          <w:rFonts w:ascii="Book Antiqua" w:hAnsi="Book Antiqua" w:cs="Times New Roman"/>
          <w:sz w:val="24"/>
          <w:szCs w:val="24"/>
          <w:vertAlign w:val="superscript"/>
        </w:rPr>
        <w:t>[189]</w:t>
      </w:r>
      <w:r w:rsidRPr="00982099">
        <w:rPr>
          <w:rFonts w:ascii="Book Antiqua" w:hAnsi="Book Antiqua" w:cs="Times New Roman"/>
          <w:sz w:val="24"/>
          <w:szCs w:val="24"/>
        </w:rPr>
        <w:t>.</w:t>
      </w:r>
    </w:p>
    <w:p w:rsidR="00423E49" w:rsidRPr="006E43D6" w:rsidRDefault="00423E49" w:rsidP="000167DE">
      <w:pPr>
        <w:pStyle w:val="Bezodstpw1"/>
        <w:spacing w:line="360" w:lineRule="auto"/>
        <w:ind w:firstLineChars="100" w:firstLine="240"/>
        <w:jc w:val="both"/>
        <w:rPr>
          <w:rFonts w:ascii="Book Antiqua" w:eastAsia="Book Antiqua,Times New Roman" w:hAnsi="Book Antiqua" w:cs="Book Antiqua,Times New Roman"/>
          <w:sz w:val="24"/>
          <w:szCs w:val="24"/>
        </w:rPr>
      </w:pPr>
      <w:r w:rsidRPr="006E43D6">
        <w:rPr>
          <w:rFonts w:ascii="Book Antiqua" w:eastAsia="Book Antiqua,Times New Roman" w:hAnsi="Book Antiqua" w:cs="Book Antiqua,Times New Roman"/>
          <w:sz w:val="24"/>
          <w:szCs w:val="24"/>
        </w:rPr>
        <w:t>Non-steroidal anti-inflammatory drugs may</w:t>
      </w:r>
      <w:r w:rsidRPr="006E43D6">
        <w:rPr>
          <w:rFonts w:ascii="Book Antiqua" w:eastAsia="Book Antiqua,Times New Roman" w:hAnsi="Book Antiqua" w:cs="Book Antiqua,Times New Roman"/>
          <w:i/>
          <w:iCs/>
          <w:sz w:val="24"/>
          <w:szCs w:val="24"/>
        </w:rPr>
        <w:t xml:space="preserve"> </w:t>
      </w:r>
      <w:r w:rsidRPr="006E43D6">
        <w:rPr>
          <w:rFonts w:ascii="Book Antiqua" w:eastAsia="Book Antiqua,Times New Roman" w:hAnsi="Book Antiqua" w:cs="Book Antiqua,Times New Roman"/>
          <w:sz w:val="24"/>
          <w:szCs w:val="24"/>
        </w:rPr>
        <w:t xml:space="preserve">disrupt the pathway of carcinogenesis dependent on </w:t>
      </w:r>
      <w:r w:rsidRPr="006E43D6">
        <w:rPr>
          <w:rFonts w:ascii="Book Antiqua" w:eastAsia="Book Antiqua,Times New Roman" w:hAnsi="Book Antiqua" w:cs="Book Antiqua,Times New Roman"/>
          <w:i/>
          <w:iCs/>
          <w:sz w:val="24"/>
          <w:szCs w:val="24"/>
        </w:rPr>
        <w:t>COX-2</w:t>
      </w:r>
      <w:r w:rsidRPr="006E43D6">
        <w:rPr>
          <w:rFonts w:ascii="Book Antiqua" w:eastAsia="Book Antiqua,Times New Roman" w:hAnsi="Book Antiqua" w:cs="Book Antiqua,Times New Roman"/>
          <w:sz w:val="24"/>
          <w:szCs w:val="24"/>
        </w:rPr>
        <w:t xml:space="preserve"> related processes. Their long-term use turns out to show a reduced risk of GC</w:t>
      </w:r>
      <w:r w:rsidRPr="006E43D6">
        <w:rPr>
          <w:rFonts w:ascii="Book Antiqua" w:eastAsia="Book Antiqua,Times New Roman" w:hAnsi="Book Antiqua" w:cs="Book Antiqua,Times New Roman"/>
          <w:sz w:val="24"/>
          <w:szCs w:val="24"/>
          <w:vertAlign w:val="superscript"/>
        </w:rPr>
        <w:t>[190-192]</w:t>
      </w:r>
      <w:r w:rsidRPr="006E43D6">
        <w:rPr>
          <w:rFonts w:ascii="Book Antiqua" w:eastAsia="Book Antiqua,Times New Roman" w:hAnsi="Book Antiqua" w:cs="Book Antiqua,Times New Roman"/>
          <w:sz w:val="24"/>
          <w:szCs w:val="24"/>
        </w:rPr>
        <w:t>. This group of drugs might be used in lymph node metastasis prophylaxis</w:t>
      </w:r>
      <w:r w:rsidRPr="006E43D6">
        <w:rPr>
          <w:rFonts w:ascii="Book Antiqua" w:eastAsia="Book Antiqua,Times New Roman" w:hAnsi="Book Antiqua" w:cs="Book Antiqua,Times New Roman"/>
          <w:sz w:val="24"/>
          <w:szCs w:val="24"/>
          <w:vertAlign w:val="superscript"/>
        </w:rPr>
        <w:t>[193]</w:t>
      </w:r>
      <w:r w:rsidRPr="006E43D6">
        <w:rPr>
          <w:rFonts w:ascii="Book Antiqua" w:eastAsia="Book Antiqua,Times New Roman" w:hAnsi="Book Antiqua" w:cs="Book Antiqua,Times New Roman"/>
          <w:sz w:val="24"/>
          <w:szCs w:val="24"/>
        </w:rPr>
        <w:t xml:space="preserve">. However, Sitarz </w:t>
      </w:r>
      <w:r w:rsidRPr="006E43D6">
        <w:rPr>
          <w:rFonts w:ascii="Book Antiqua" w:eastAsia="Book Antiqua,Times New Roman" w:hAnsi="Book Antiqua" w:cs="Book Antiqua,Times New Roman"/>
          <w:i/>
          <w:iCs/>
          <w:sz w:val="24"/>
          <w:szCs w:val="24"/>
        </w:rPr>
        <w:t>et al</w:t>
      </w:r>
      <w:r w:rsidRPr="006E43D6">
        <w:rPr>
          <w:rFonts w:ascii="Book Antiqua" w:eastAsia="Book Antiqua,Times New Roman" w:hAnsi="Book Antiqua" w:cs="Book Antiqua,Times New Roman"/>
          <w:sz w:val="24"/>
          <w:szCs w:val="24"/>
          <w:vertAlign w:val="superscript"/>
        </w:rPr>
        <w:t>[194]</w:t>
      </w:r>
      <w:r w:rsidRPr="006E43D6">
        <w:rPr>
          <w:rFonts w:ascii="Book Antiqua" w:eastAsia="Book Antiqua,Times New Roman" w:hAnsi="Book Antiqua" w:cs="Book Antiqua,Times New Roman"/>
          <w:sz w:val="24"/>
          <w:szCs w:val="24"/>
        </w:rPr>
        <w:t xml:space="preserve"> found that a reduction of </w:t>
      </w:r>
      <w:r w:rsidRPr="006E43D6">
        <w:rPr>
          <w:rFonts w:ascii="Book Antiqua" w:eastAsia="Book Antiqua,Times New Roman" w:hAnsi="Book Antiqua" w:cs="Book Antiqua,Times New Roman"/>
          <w:i/>
          <w:iCs/>
          <w:sz w:val="24"/>
          <w:szCs w:val="24"/>
        </w:rPr>
        <w:t>COX-2</w:t>
      </w:r>
      <w:r w:rsidRPr="006E43D6">
        <w:rPr>
          <w:rFonts w:ascii="Book Antiqua" w:eastAsia="Book Antiqua,Times New Roman" w:hAnsi="Book Antiqua" w:cs="Book Antiqua,Times New Roman"/>
          <w:sz w:val="24"/>
          <w:szCs w:val="24"/>
        </w:rPr>
        <w:t xml:space="preserve"> using nonsteroidal anti-inflammatory drugs in GC chemoprevention may be relevant only for older patients. </w:t>
      </w:r>
    </w:p>
    <w:p w:rsidR="00B9470A" w:rsidRPr="00DF64BD" w:rsidRDefault="00B9470A" w:rsidP="00AE309D">
      <w:pPr>
        <w:pStyle w:val="Bezodstpw1"/>
        <w:tabs>
          <w:tab w:val="left" w:pos="426"/>
        </w:tabs>
        <w:spacing w:line="360" w:lineRule="auto"/>
        <w:jc w:val="both"/>
        <w:rPr>
          <w:rFonts w:ascii="Book Antiqua" w:hAnsi="Book Antiqua" w:cs="Times New Roman"/>
          <w:sz w:val="24"/>
          <w:szCs w:val="24"/>
          <w:lang w:eastAsia="zh-CN"/>
        </w:rPr>
      </w:pPr>
    </w:p>
    <w:p w:rsidR="00423E49" w:rsidRPr="000167DE" w:rsidRDefault="00423E49" w:rsidP="00AE309D">
      <w:pPr>
        <w:pStyle w:val="Bezodstpw1"/>
        <w:spacing w:line="360" w:lineRule="auto"/>
        <w:jc w:val="both"/>
        <w:rPr>
          <w:rFonts w:ascii="Book Antiqua" w:hAnsi="Book Antiqua" w:cs="Times New Roman"/>
          <w:sz w:val="24"/>
          <w:szCs w:val="24"/>
        </w:rPr>
      </w:pPr>
      <w:r w:rsidRPr="000167DE">
        <w:rPr>
          <w:rFonts w:ascii="Book Antiqua" w:hAnsi="Book Antiqua" w:cs="Times New Roman"/>
          <w:b/>
          <w:bCs/>
          <w:sz w:val="24"/>
          <w:szCs w:val="24"/>
        </w:rPr>
        <w:t>EARLY-ONSET GASTRIC CARCINOMA’S DISTINCTIVE</w:t>
      </w:r>
      <w:r w:rsidRPr="000167DE">
        <w:rPr>
          <w:rFonts w:ascii="Book Antiqua" w:hAnsi="Book Antiqua" w:cs="Times New Roman"/>
          <w:b/>
          <w:sz w:val="24"/>
          <w:szCs w:val="24"/>
        </w:rPr>
        <w:t xml:space="preserve"> FEATURES</w:t>
      </w:r>
    </w:p>
    <w:p w:rsidR="00423E49" w:rsidRPr="000167DE" w:rsidRDefault="00423E49" w:rsidP="00AE309D">
      <w:pPr>
        <w:pStyle w:val="Bezodstpw1"/>
        <w:spacing w:line="360" w:lineRule="auto"/>
        <w:jc w:val="both"/>
        <w:rPr>
          <w:rFonts w:ascii="Book Antiqua" w:hAnsi="Book Antiqua" w:cs="Times New Roman"/>
          <w:sz w:val="24"/>
          <w:szCs w:val="24"/>
        </w:rPr>
      </w:pPr>
      <w:r w:rsidRPr="000167DE">
        <w:rPr>
          <w:rFonts w:ascii="Book Antiqua" w:hAnsi="Book Antiqua" w:cs="Times New Roman"/>
          <w:sz w:val="24"/>
          <w:szCs w:val="24"/>
        </w:rPr>
        <w:t xml:space="preserve">To consider EOGC as an independent oncologic problem, scientists must precisely differentiate it from sporadic GC. In 2007, Milne </w:t>
      </w:r>
      <w:r w:rsidRPr="000167DE">
        <w:rPr>
          <w:rFonts w:ascii="Book Antiqua" w:hAnsi="Book Antiqua" w:cs="Times New Roman"/>
          <w:i/>
          <w:sz w:val="24"/>
          <w:szCs w:val="24"/>
        </w:rPr>
        <w:t>et al</w:t>
      </w:r>
      <w:r w:rsidRPr="000167DE">
        <w:rPr>
          <w:rFonts w:ascii="Book Antiqua" w:hAnsi="Book Antiqua" w:cs="Times New Roman"/>
          <w:sz w:val="24"/>
          <w:szCs w:val="24"/>
          <w:vertAlign w:val="superscript"/>
        </w:rPr>
        <w:t>[10]</w:t>
      </w:r>
      <w:r w:rsidRPr="000167DE">
        <w:rPr>
          <w:rFonts w:ascii="Book Antiqua" w:hAnsi="Book Antiqua" w:cs="Times New Roman"/>
          <w:sz w:val="24"/>
          <w:szCs w:val="24"/>
        </w:rPr>
        <w:t xml:space="preserve"> summarized the distinctive features of EOGCs, compared with conventional GCs, as including female predominance, common multifocal growth an</w:t>
      </w:r>
      <w:r w:rsidR="00DF64BD" w:rsidRPr="000167DE">
        <w:rPr>
          <w:rFonts w:ascii="Book Antiqua" w:hAnsi="Book Antiqua" w:cs="Times New Roman"/>
          <w:sz w:val="24"/>
          <w:szCs w:val="24"/>
        </w:rPr>
        <w:t>d a</w:t>
      </w:r>
      <w:r w:rsidRPr="000167DE">
        <w:rPr>
          <w:rFonts w:ascii="Book Antiqua" w:hAnsi="Book Antiqua" w:cs="Times New Roman"/>
          <w:sz w:val="24"/>
          <w:szCs w:val="24"/>
        </w:rPr>
        <w:t xml:space="preserve"> diffuse phenotype without intestinal metaplasia. The molecular profile included the lack of MSI, infrequent loss of heterozygosity, infrequent loss of TFF1 expression, no loss of RUNX3, gains at chromosomes 17q, 19q and 20q and more frequent expression of low-molecular-weight isoforms of cyclin E.</w:t>
      </w:r>
    </w:p>
    <w:p w:rsidR="00423E49" w:rsidRPr="00DF64BD" w:rsidRDefault="00423E49" w:rsidP="000167DE">
      <w:pPr>
        <w:pStyle w:val="Bezodstpw1"/>
        <w:spacing w:line="360" w:lineRule="auto"/>
        <w:ind w:firstLineChars="100" w:firstLine="240"/>
        <w:jc w:val="both"/>
        <w:rPr>
          <w:lang w:eastAsia="zh-CN"/>
        </w:rPr>
      </w:pPr>
      <w:r w:rsidRPr="000167DE">
        <w:rPr>
          <w:rFonts w:ascii="Book Antiqua" w:hAnsi="Book Antiqua" w:cs="Times New Roman"/>
          <w:sz w:val="24"/>
          <w:szCs w:val="24"/>
        </w:rPr>
        <w:lastRenderedPageBreak/>
        <w:t xml:space="preserve">Newer characteristics of EOGCs have been identified in recent reports. Clinical studies include the observation of </w:t>
      </w:r>
      <w:r w:rsidRPr="000167DE">
        <w:rPr>
          <w:rFonts w:ascii="Book Antiqua" w:hAnsi="Book Antiqua"/>
          <w:sz w:val="24"/>
          <w:szCs w:val="24"/>
        </w:rPr>
        <w:t>Karim</w:t>
      </w:r>
      <w:r w:rsidRPr="000167DE">
        <w:rPr>
          <w:rFonts w:ascii="Book Antiqua" w:hAnsi="Book Antiqua" w:cs="Times New Roman"/>
          <w:sz w:val="24"/>
          <w:szCs w:val="24"/>
          <w:vertAlign w:val="superscript"/>
        </w:rPr>
        <w:t>[195]</w:t>
      </w:r>
      <w:r w:rsidRPr="000167DE">
        <w:rPr>
          <w:rFonts w:ascii="Book Antiqua" w:hAnsi="Book Antiqua" w:cs="Times New Roman"/>
          <w:sz w:val="24"/>
          <w:szCs w:val="24"/>
        </w:rPr>
        <w:t xml:space="preserve"> that male predominance occurs among EOGC patients </w:t>
      </w:r>
      <w:r w:rsidR="008C0708" w:rsidRPr="000167DE">
        <w:rPr>
          <w:rFonts w:ascii="Book Antiqua" w:hAnsi="Book Antiqua" w:cs="Times New Roman"/>
          <w:sz w:val="24"/>
          <w:szCs w:val="24"/>
        </w:rPr>
        <w:t xml:space="preserve">but decreases </w:t>
      </w:r>
      <w:r w:rsidRPr="000167DE">
        <w:rPr>
          <w:rFonts w:ascii="Book Antiqua" w:hAnsi="Book Antiqua" w:cs="Times New Roman"/>
          <w:sz w:val="24"/>
          <w:szCs w:val="24"/>
        </w:rPr>
        <w:t xml:space="preserve">with age. Takatsu </w:t>
      </w:r>
      <w:r w:rsidRPr="000167DE">
        <w:rPr>
          <w:rFonts w:ascii="Book Antiqua" w:hAnsi="Book Antiqua" w:cs="Times New Roman"/>
          <w:i/>
          <w:sz w:val="24"/>
          <w:szCs w:val="24"/>
        </w:rPr>
        <w:t>et al</w:t>
      </w:r>
      <w:r w:rsidRPr="000167DE">
        <w:rPr>
          <w:rFonts w:ascii="Book Antiqua" w:hAnsi="Book Antiqua" w:cs="Times New Roman"/>
          <w:kern w:val="24"/>
          <w:sz w:val="24"/>
          <w:szCs w:val="24"/>
          <w:vertAlign w:val="superscript"/>
        </w:rPr>
        <w:t>[196]</w:t>
      </w:r>
      <w:r w:rsidRPr="000167DE">
        <w:rPr>
          <w:rFonts w:ascii="Book Antiqua" w:hAnsi="Book Antiqua" w:cs="Times New Roman"/>
          <w:sz w:val="24"/>
          <w:szCs w:val="24"/>
        </w:rPr>
        <w:t xml:space="preserve"> reported a tendency to present lymph node metastases, a finding that was indirectly supported by studies of </w:t>
      </w:r>
      <w:r w:rsidRPr="000167DE">
        <w:rPr>
          <w:rFonts w:ascii="Book Antiqua" w:hAnsi="Book Antiqua" w:cs="Times New Roman"/>
          <w:i/>
          <w:sz w:val="24"/>
          <w:szCs w:val="24"/>
        </w:rPr>
        <w:t>CDH1</w:t>
      </w:r>
      <w:r w:rsidRPr="000167DE">
        <w:rPr>
          <w:rFonts w:ascii="Book Antiqua" w:hAnsi="Book Antiqua" w:cs="Times New Roman"/>
          <w:sz w:val="24"/>
          <w:szCs w:val="24"/>
        </w:rPr>
        <w:t xml:space="preserve"> variants</w:t>
      </w:r>
      <w:r w:rsidRPr="000167DE">
        <w:rPr>
          <w:rFonts w:ascii="Book Antiqua" w:hAnsi="Book Antiqua" w:cs="Times New Roman"/>
          <w:kern w:val="24"/>
          <w:sz w:val="24"/>
          <w:szCs w:val="24"/>
          <w:vertAlign w:val="superscript"/>
        </w:rPr>
        <w:t>[197]</w:t>
      </w:r>
      <w:r w:rsidRPr="000167DE">
        <w:rPr>
          <w:rFonts w:ascii="Book Antiqua" w:hAnsi="Book Antiqua" w:cs="Times New Roman"/>
          <w:sz w:val="24"/>
          <w:szCs w:val="24"/>
        </w:rPr>
        <w:t xml:space="preserve">. Molecular alterations also include a new marker that is a genetic variant of </w:t>
      </w:r>
      <w:r w:rsidRPr="000167DE">
        <w:rPr>
          <w:rFonts w:ascii="Book Antiqua" w:hAnsi="Book Antiqua" w:cs="Times New Roman"/>
          <w:i/>
          <w:sz w:val="24"/>
          <w:szCs w:val="24"/>
        </w:rPr>
        <w:t>rs10052016</w:t>
      </w:r>
      <w:r w:rsidRPr="000167DE">
        <w:rPr>
          <w:rFonts w:ascii="Book Antiqua" w:hAnsi="Book Antiqua" w:cs="Times New Roman"/>
          <w:sz w:val="24"/>
          <w:szCs w:val="24"/>
        </w:rPr>
        <w:t xml:space="preserve"> at 5p15</w:t>
      </w:r>
      <w:r w:rsidRPr="000167DE">
        <w:rPr>
          <w:rFonts w:ascii="Book Antiqua" w:hAnsi="Book Antiqua" w:cs="Times New Roman"/>
          <w:sz w:val="24"/>
          <w:szCs w:val="24"/>
          <w:vertAlign w:val="superscript"/>
        </w:rPr>
        <w:t>[198]</w:t>
      </w:r>
      <w:r w:rsidRPr="000167DE">
        <w:rPr>
          <w:rFonts w:ascii="Book Antiqua" w:hAnsi="Book Antiqua" w:cs="Times New Roman"/>
          <w:sz w:val="24"/>
          <w:szCs w:val="24"/>
        </w:rPr>
        <w:t xml:space="preserve">. Moreover, Bacani </w:t>
      </w:r>
      <w:r w:rsidRPr="000167DE">
        <w:rPr>
          <w:rFonts w:ascii="Book Antiqua" w:hAnsi="Book Antiqua" w:cs="Times New Roman"/>
          <w:i/>
          <w:sz w:val="24"/>
          <w:szCs w:val="24"/>
        </w:rPr>
        <w:t>et al</w:t>
      </w:r>
      <w:r w:rsidRPr="000167DE">
        <w:rPr>
          <w:rFonts w:ascii="Book Antiqua" w:hAnsi="Book Antiqua" w:cs="Times New Roman"/>
          <w:sz w:val="24"/>
          <w:szCs w:val="24"/>
          <w:vertAlign w:val="superscript"/>
        </w:rPr>
        <w:t>[124]</w:t>
      </w:r>
      <w:r w:rsidRPr="000167DE">
        <w:rPr>
          <w:rFonts w:ascii="Book Antiqua" w:hAnsi="Book Antiqua" w:cs="Times New Roman"/>
          <w:sz w:val="24"/>
          <w:szCs w:val="24"/>
        </w:rPr>
        <w:t xml:space="preserve"> showed that MSI, in at least one marker, was found in 30% of EOGCs. They assessed that approximately 1% of EOGC is caused by germline MMR mutations. Carvalho </w:t>
      </w:r>
      <w:r w:rsidRPr="000167DE">
        <w:rPr>
          <w:rFonts w:ascii="Book Antiqua" w:hAnsi="Book Antiqua" w:cs="Times New Roman"/>
          <w:i/>
          <w:sz w:val="24"/>
          <w:szCs w:val="24"/>
        </w:rPr>
        <w:t>et al</w:t>
      </w:r>
      <w:r w:rsidRPr="000167DE">
        <w:rPr>
          <w:rFonts w:ascii="Book Antiqua" w:hAnsi="Book Antiqua" w:cs="Times New Roman"/>
          <w:sz w:val="24"/>
          <w:szCs w:val="24"/>
          <w:vertAlign w:val="superscript"/>
        </w:rPr>
        <w:t>[199]</w:t>
      </w:r>
      <w:r w:rsidRPr="000167DE">
        <w:rPr>
          <w:rFonts w:ascii="Book Antiqua" w:hAnsi="Book Antiqua" w:cs="Times New Roman"/>
          <w:sz w:val="24"/>
          <w:szCs w:val="24"/>
        </w:rPr>
        <w:t xml:space="preserve"> excluded </w:t>
      </w:r>
      <w:r w:rsidRPr="000167DE">
        <w:rPr>
          <w:rFonts w:ascii="Book Antiqua" w:hAnsi="Book Antiqua" w:cs="Times New Roman"/>
          <w:i/>
          <w:sz w:val="24"/>
          <w:szCs w:val="24"/>
        </w:rPr>
        <w:t>RUNX3</w:t>
      </w:r>
      <w:r w:rsidRPr="000167DE">
        <w:rPr>
          <w:rFonts w:ascii="Book Antiqua" w:hAnsi="Book Antiqua" w:cs="Times New Roman"/>
          <w:sz w:val="24"/>
          <w:szCs w:val="24"/>
        </w:rPr>
        <w:t xml:space="preserve"> as having a tumour suppressor function in EOGC, but other authors were less convinced that this is the case</w:t>
      </w:r>
      <w:r w:rsidRPr="000167DE">
        <w:rPr>
          <w:rFonts w:ascii="Book Antiqua" w:hAnsi="Book Antiqua" w:cs="Times New Roman"/>
          <w:sz w:val="24"/>
          <w:szCs w:val="24"/>
          <w:vertAlign w:val="superscript"/>
        </w:rPr>
        <w:t>[10]</w:t>
      </w:r>
      <w:r w:rsidRPr="000167DE">
        <w:rPr>
          <w:rFonts w:ascii="Book Antiqua" w:hAnsi="Book Antiqua" w:cs="Times New Roman"/>
          <w:sz w:val="24"/>
          <w:szCs w:val="24"/>
        </w:rPr>
        <w:t xml:space="preserve">. Sugimoto </w:t>
      </w:r>
      <w:r w:rsidRPr="000167DE">
        <w:rPr>
          <w:rFonts w:ascii="Book Antiqua" w:hAnsi="Book Antiqua" w:cs="Times New Roman"/>
          <w:i/>
          <w:sz w:val="24"/>
          <w:szCs w:val="24"/>
        </w:rPr>
        <w:t>et al</w:t>
      </w:r>
      <w:r w:rsidRPr="000167DE">
        <w:rPr>
          <w:rFonts w:ascii="Book Antiqua" w:hAnsi="Book Antiqua" w:cs="Times New Roman"/>
          <w:kern w:val="24"/>
          <w:sz w:val="24"/>
          <w:szCs w:val="24"/>
          <w:vertAlign w:val="superscript"/>
        </w:rPr>
        <w:t>[200]</w:t>
      </w:r>
      <w:r w:rsidRPr="000167DE">
        <w:rPr>
          <w:rFonts w:ascii="Book Antiqua" w:hAnsi="Book Antiqua" w:cs="Times New Roman"/>
          <w:i/>
          <w:sz w:val="24"/>
          <w:szCs w:val="24"/>
        </w:rPr>
        <w:t xml:space="preserve"> </w:t>
      </w:r>
      <w:r w:rsidRPr="000167DE">
        <w:rPr>
          <w:rFonts w:ascii="Book Antiqua" w:hAnsi="Book Antiqua" w:cs="Times New Roman"/>
          <w:sz w:val="24"/>
          <w:szCs w:val="24"/>
        </w:rPr>
        <w:t>was the first to describe that</w:t>
      </w:r>
      <w:r w:rsidRPr="000167DE">
        <w:rPr>
          <w:rFonts w:ascii="Book Antiqua" w:hAnsi="Book Antiqua" w:cs="Times New Roman"/>
          <w:i/>
          <w:sz w:val="24"/>
          <w:szCs w:val="24"/>
        </w:rPr>
        <w:t xml:space="preserve"> </w:t>
      </w:r>
      <w:r w:rsidRPr="000167DE">
        <w:rPr>
          <w:rFonts w:ascii="Book Antiqua" w:hAnsi="Book Antiqua" w:cs="Times New Roman"/>
          <w:sz w:val="24"/>
          <w:szCs w:val="24"/>
        </w:rPr>
        <w:t xml:space="preserve">a de novo large genomic deletion of </w:t>
      </w:r>
      <w:r w:rsidRPr="000167DE">
        <w:rPr>
          <w:rFonts w:ascii="Book Antiqua" w:hAnsi="Book Antiqua" w:cs="Times New Roman"/>
          <w:i/>
          <w:sz w:val="24"/>
          <w:szCs w:val="24"/>
        </w:rPr>
        <w:t>CDH1</w:t>
      </w:r>
      <w:r w:rsidRPr="000167DE">
        <w:rPr>
          <w:rFonts w:ascii="Book Antiqua" w:hAnsi="Book Antiqua" w:cs="Times New Roman"/>
          <w:sz w:val="24"/>
          <w:szCs w:val="24"/>
        </w:rPr>
        <w:t xml:space="preserve"> was associated with EOGC.</w:t>
      </w:r>
    </w:p>
    <w:p w:rsidR="00423E49" w:rsidRPr="00DF64BD" w:rsidRDefault="00423E49" w:rsidP="00AE309D">
      <w:pPr>
        <w:pStyle w:val="Bezodstpw1"/>
        <w:spacing w:line="360" w:lineRule="auto"/>
        <w:jc w:val="both"/>
        <w:rPr>
          <w:rFonts w:ascii="Book Antiqua" w:hAnsi="Book Antiqua" w:cs="Times New Roman"/>
          <w:sz w:val="24"/>
          <w:szCs w:val="24"/>
        </w:rPr>
      </w:pPr>
    </w:p>
    <w:p w:rsidR="00423E49" w:rsidRPr="00DF64BD" w:rsidRDefault="00423E49" w:rsidP="00AE309D">
      <w:pPr>
        <w:pStyle w:val="Bezodstpw1"/>
        <w:spacing w:line="360" w:lineRule="auto"/>
        <w:jc w:val="both"/>
        <w:rPr>
          <w:rFonts w:ascii="Book Antiqua" w:hAnsi="Book Antiqua" w:cs="Times New Roman"/>
          <w:sz w:val="24"/>
          <w:szCs w:val="24"/>
        </w:rPr>
      </w:pPr>
      <w:r w:rsidRPr="00DF64BD">
        <w:rPr>
          <w:rFonts w:ascii="Book Antiqua" w:hAnsi="Book Antiqua" w:cs="Times New Roman"/>
          <w:b/>
          <w:bCs/>
          <w:sz w:val="24"/>
          <w:szCs w:val="24"/>
        </w:rPr>
        <w:t>CONCLUSION</w:t>
      </w:r>
    </w:p>
    <w:p w:rsidR="00423E49" w:rsidRPr="00DF64BD" w:rsidRDefault="00423E49" w:rsidP="00AE309D">
      <w:pPr>
        <w:pStyle w:val="Bezodstpw1"/>
        <w:spacing w:line="360" w:lineRule="auto"/>
        <w:jc w:val="both"/>
        <w:rPr>
          <w:rFonts w:ascii="Book Antiqua" w:hAnsi="Book Antiqua" w:cs="Times New Roman"/>
          <w:sz w:val="24"/>
          <w:szCs w:val="24"/>
          <w:lang w:eastAsia="zh-CN"/>
        </w:rPr>
      </w:pPr>
      <w:r w:rsidRPr="00DF64BD">
        <w:rPr>
          <w:rFonts w:ascii="Book Antiqua" w:hAnsi="Book Antiqua" w:cs="Times New Roman"/>
          <w:sz w:val="24"/>
          <w:szCs w:val="24"/>
        </w:rPr>
        <w:t>GC is a heterogenic and complex problem (Table</w:t>
      </w:r>
      <w:r w:rsidR="000167DE">
        <w:rPr>
          <w:rFonts w:ascii="Book Antiqua" w:hAnsi="Book Antiqua" w:cs="Times New Roman" w:hint="eastAsia"/>
          <w:sz w:val="24"/>
          <w:szCs w:val="24"/>
          <w:lang w:eastAsia="zh-CN"/>
        </w:rPr>
        <w:t>s</w:t>
      </w:r>
      <w:r w:rsidRPr="00DF64BD">
        <w:rPr>
          <w:rFonts w:ascii="Book Antiqua" w:hAnsi="Book Antiqua" w:cs="Times New Roman"/>
          <w:sz w:val="24"/>
          <w:szCs w:val="24"/>
        </w:rPr>
        <w:t xml:space="preserve"> 1</w:t>
      </w:r>
      <w:r w:rsidR="000167DE">
        <w:rPr>
          <w:rFonts w:ascii="Book Antiqua" w:hAnsi="Book Antiqua" w:cs="Times New Roman" w:hint="eastAsia"/>
          <w:sz w:val="24"/>
          <w:szCs w:val="24"/>
          <w:lang w:eastAsia="zh-CN"/>
        </w:rPr>
        <w:t>-</w:t>
      </w:r>
      <w:r w:rsidRPr="00DF64BD">
        <w:rPr>
          <w:rFonts w:ascii="Book Antiqua" w:hAnsi="Book Antiqua" w:cs="Times New Roman"/>
          <w:sz w:val="24"/>
          <w:szCs w:val="24"/>
        </w:rPr>
        <w:t>3). The number of factors that influence its beginning and course is already overwhelming, and, in the light of modern technological possibilities, that number could increase exponentially. Moreover, various molecular alterations seem to overlap</w:t>
      </w:r>
      <w:r w:rsidR="000167DE">
        <w:rPr>
          <w:rFonts w:ascii="Book Antiqua" w:hAnsi="Book Antiqua" w:cs="Times New Roman"/>
          <w:sz w:val="24"/>
          <w:szCs w:val="24"/>
          <w:vertAlign w:val="superscript"/>
        </w:rPr>
        <w:t>[126,201,</w:t>
      </w:r>
      <w:r w:rsidRPr="00DF64BD">
        <w:rPr>
          <w:rFonts w:ascii="Book Antiqua" w:hAnsi="Book Antiqua" w:cs="Times New Roman"/>
          <w:sz w:val="24"/>
          <w:szCs w:val="24"/>
          <w:vertAlign w:val="superscript"/>
        </w:rPr>
        <w:t>202]</w:t>
      </w:r>
      <w:r w:rsidRPr="00DF64BD">
        <w:rPr>
          <w:rFonts w:ascii="Book Antiqua" w:hAnsi="Book Antiqua" w:cs="Times New Roman"/>
          <w:sz w:val="24"/>
          <w:szCs w:val="24"/>
        </w:rPr>
        <w:t>, additionally complicating the problem. However, it seems to be reasonable to consider that there are some early triggers that impair genome stability and predispose to a further avalanche of carcinogenic events</w:t>
      </w:r>
      <w:r w:rsidRPr="00DF64BD">
        <w:rPr>
          <w:rFonts w:ascii="Book Antiqua" w:hAnsi="Book Antiqua" w:cs="Times New Roman"/>
          <w:sz w:val="24"/>
          <w:szCs w:val="24"/>
          <w:vertAlign w:val="superscript"/>
        </w:rPr>
        <w:t>[137]</w:t>
      </w:r>
      <w:r w:rsidR="000167DE">
        <w:rPr>
          <w:rFonts w:ascii="Book Antiqua" w:hAnsi="Book Antiqua" w:cs="Times New Roman"/>
          <w:sz w:val="24"/>
          <w:szCs w:val="24"/>
        </w:rPr>
        <w:t>.</w:t>
      </w:r>
    </w:p>
    <w:p w:rsidR="00423E49" w:rsidRPr="00DF64BD" w:rsidRDefault="00423E49" w:rsidP="000167DE">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In our research, we focused on the early steps of GC development. Therefore, we favour the classification of GC that differentiates EOGC. Patients with this type of tumour are automatically deprived of many risk factors and molecular changes that appear with the passage of a patient’s and tumour’s life. Therefore, young patients present a relatively pure model of gastric carcinogenesis.</w:t>
      </w:r>
    </w:p>
    <w:p w:rsidR="00423E49" w:rsidRDefault="00423E49" w:rsidP="00AE309D">
      <w:pPr>
        <w:pStyle w:val="Bezodstpw1"/>
        <w:spacing w:line="360" w:lineRule="auto"/>
        <w:ind w:firstLineChars="100" w:firstLine="240"/>
        <w:jc w:val="both"/>
        <w:rPr>
          <w:rFonts w:ascii="Book Antiqua" w:hAnsi="Book Antiqua" w:cs="Times New Roman"/>
          <w:sz w:val="24"/>
          <w:szCs w:val="24"/>
        </w:rPr>
      </w:pPr>
      <w:r w:rsidRPr="00DF64BD">
        <w:rPr>
          <w:rFonts w:ascii="Book Antiqua" w:hAnsi="Book Antiqua" w:cs="Times New Roman"/>
          <w:sz w:val="24"/>
          <w:szCs w:val="24"/>
        </w:rPr>
        <w:t>From the review of the latest literature, we conclude that defining characteristic factors of early-onset GC is in progress, and the issue needs further clarification.</w:t>
      </w:r>
    </w:p>
    <w:p w:rsidR="00CA1779" w:rsidRPr="00DF64BD" w:rsidRDefault="00CA1779" w:rsidP="00AE309D">
      <w:pPr>
        <w:pStyle w:val="Bezodstpw1"/>
        <w:spacing w:line="360" w:lineRule="auto"/>
        <w:ind w:firstLineChars="100" w:firstLine="240"/>
        <w:jc w:val="both"/>
        <w:rPr>
          <w:rFonts w:ascii="Book Antiqua" w:hAnsi="Book Antiqua" w:cs="Times New Roman"/>
          <w:sz w:val="24"/>
          <w:szCs w:val="24"/>
        </w:rPr>
      </w:pPr>
    </w:p>
    <w:p w:rsidR="000167DE" w:rsidRDefault="000167DE">
      <w:pPr>
        <w:suppressAutoHyphens w:val="0"/>
        <w:spacing w:line="240" w:lineRule="auto"/>
        <w:rPr>
          <w:rFonts w:cs="Times New Roman"/>
          <w:b/>
          <w:szCs w:val="24"/>
        </w:rPr>
      </w:pPr>
      <w:r>
        <w:rPr>
          <w:rFonts w:cs="Times New Roman"/>
          <w:b/>
          <w:szCs w:val="24"/>
        </w:rPr>
        <w:br w:type="page"/>
      </w:r>
    </w:p>
    <w:p w:rsidR="00CA1779" w:rsidRDefault="00CA1779" w:rsidP="00AE309D">
      <w:pPr>
        <w:pStyle w:val="Bezodstpw1"/>
        <w:spacing w:line="360" w:lineRule="auto"/>
        <w:jc w:val="both"/>
        <w:rPr>
          <w:rFonts w:ascii="Book Antiqua" w:hAnsi="Book Antiqua" w:cs="Times New Roman"/>
          <w:b/>
          <w:sz w:val="24"/>
          <w:szCs w:val="24"/>
          <w:lang w:eastAsia="zh-CN"/>
        </w:rPr>
      </w:pPr>
      <w:r w:rsidRPr="00094A9A">
        <w:rPr>
          <w:rFonts w:ascii="Book Antiqua" w:hAnsi="Book Antiqua" w:cs="Times New Roman"/>
          <w:b/>
          <w:sz w:val="24"/>
          <w:szCs w:val="24"/>
        </w:rPr>
        <w:lastRenderedPageBreak/>
        <w:t>REFERENCES</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1 </w:t>
      </w:r>
      <w:r w:rsidRPr="00DF417A">
        <w:rPr>
          <w:rFonts w:cs="SimSun"/>
          <w:b/>
          <w:bCs/>
          <w:color w:val="auto"/>
          <w:kern w:val="0"/>
          <w:szCs w:val="24"/>
          <w:lang w:eastAsia="zh-CN"/>
        </w:rPr>
        <w:t>Ferlay J</w:t>
      </w:r>
      <w:r w:rsidRPr="00DF417A">
        <w:rPr>
          <w:rFonts w:cs="SimSun"/>
          <w:color w:val="auto"/>
          <w:kern w:val="0"/>
          <w:szCs w:val="24"/>
          <w:lang w:eastAsia="zh-CN"/>
        </w:rPr>
        <w:t>, Steliarova-Foucher E, Lortet-Tieulent J, Rosso S, Coebergh JW, Comber H, Forman D, Bray F. Cancer incidence and mortality patterns in Europe: estimates for 40 countries in 2012. </w:t>
      </w:r>
      <w:r w:rsidRPr="00DF417A">
        <w:rPr>
          <w:rFonts w:cs="SimSun"/>
          <w:i/>
          <w:iCs/>
          <w:color w:val="auto"/>
          <w:kern w:val="0"/>
          <w:szCs w:val="24"/>
          <w:lang w:eastAsia="zh-CN"/>
        </w:rPr>
        <w:t>Eur J Cancer</w:t>
      </w:r>
      <w:r w:rsidRPr="00DF417A">
        <w:rPr>
          <w:rFonts w:cs="SimSun"/>
          <w:color w:val="auto"/>
          <w:kern w:val="0"/>
          <w:szCs w:val="24"/>
          <w:lang w:eastAsia="zh-CN"/>
        </w:rPr>
        <w:t> 2013; </w:t>
      </w:r>
      <w:r w:rsidRPr="00DF417A">
        <w:rPr>
          <w:rFonts w:cs="SimSun"/>
          <w:b/>
          <w:bCs/>
          <w:color w:val="auto"/>
          <w:kern w:val="0"/>
          <w:szCs w:val="24"/>
          <w:lang w:eastAsia="zh-CN"/>
        </w:rPr>
        <w:t>49</w:t>
      </w:r>
      <w:r w:rsidRPr="00DF417A">
        <w:rPr>
          <w:rFonts w:cs="SimSun"/>
          <w:color w:val="auto"/>
          <w:kern w:val="0"/>
          <w:szCs w:val="24"/>
          <w:lang w:eastAsia="zh-CN"/>
        </w:rPr>
        <w:t>: 1374-1403 [PMID: 23485231 DOI: 10.1016/j.ejca.2012.12.027]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2 </w:t>
      </w:r>
      <w:r w:rsidRPr="00DF417A">
        <w:rPr>
          <w:rFonts w:cs="SimSun"/>
          <w:b/>
          <w:bCs/>
          <w:color w:val="auto"/>
          <w:kern w:val="0"/>
          <w:szCs w:val="24"/>
          <w:lang w:eastAsia="zh-CN"/>
        </w:rPr>
        <w:t>Ferlay J</w:t>
      </w:r>
      <w:r w:rsidRPr="00DF417A">
        <w:rPr>
          <w:rFonts w:cs="SimSun"/>
          <w:color w:val="auto"/>
          <w:kern w:val="0"/>
          <w:szCs w:val="24"/>
          <w:lang w:eastAsia="zh-CN"/>
        </w:rPr>
        <w:t>, Soerjomataram I, Dikshit R, Eser S, Mathers C, Rebelo M, Parkin DM, Forman D, Bray F. Cancer incidence and mortality worldwide: sources, methods and major patterns in GLOBOCAN 2012. </w:t>
      </w:r>
      <w:r w:rsidRPr="00DF417A">
        <w:rPr>
          <w:rFonts w:cs="SimSun"/>
          <w:i/>
          <w:iCs/>
          <w:color w:val="auto"/>
          <w:kern w:val="0"/>
          <w:szCs w:val="24"/>
          <w:lang w:eastAsia="zh-CN"/>
        </w:rPr>
        <w:t>Int J Cancer</w:t>
      </w:r>
      <w:r w:rsidRPr="00DF417A">
        <w:rPr>
          <w:rFonts w:cs="SimSun"/>
          <w:color w:val="auto"/>
          <w:kern w:val="0"/>
          <w:szCs w:val="24"/>
          <w:lang w:eastAsia="zh-CN"/>
        </w:rPr>
        <w:t> 2015; </w:t>
      </w:r>
      <w:r w:rsidRPr="00DF417A">
        <w:rPr>
          <w:rFonts w:cs="SimSun"/>
          <w:b/>
          <w:bCs/>
          <w:color w:val="auto"/>
          <w:kern w:val="0"/>
          <w:szCs w:val="24"/>
          <w:lang w:eastAsia="zh-CN"/>
        </w:rPr>
        <w:t>136</w:t>
      </w:r>
      <w:r w:rsidRPr="00DF417A">
        <w:rPr>
          <w:rFonts w:cs="SimSun"/>
          <w:color w:val="auto"/>
          <w:kern w:val="0"/>
          <w:szCs w:val="24"/>
          <w:lang w:eastAsia="zh-CN"/>
        </w:rPr>
        <w:t>: E359-E386 [PMID: 25220842 DOI: 10.1002/ijc.29210]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3 </w:t>
      </w:r>
      <w:r w:rsidRPr="00DF417A">
        <w:rPr>
          <w:rFonts w:cs="SimSun"/>
          <w:b/>
          <w:bCs/>
          <w:color w:val="auto"/>
          <w:kern w:val="0"/>
          <w:szCs w:val="24"/>
          <w:lang w:eastAsia="zh-CN"/>
        </w:rPr>
        <w:t>Bertuccio P</w:t>
      </w:r>
      <w:r w:rsidRPr="00DF417A">
        <w:rPr>
          <w:rFonts w:cs="SimSun"/>
          <w:color w:val="auto"/>
          <w:kern w:val="0"/>
          <w:szCs w:val="24"/>
          <w:lang w:eastAsia="zh-CN"/>
        </w:rPr>
        <w:t>, Chatenoud L, Levi F, Praud D, Ferlay J, Negri E, Malvezzi M, La Vecchia C. Recent patterns in gastric cancer: a global overview. </w:t>
      </w:r>
      <w:r w:rsidRPr="00DF417A">
        <w:rPr>
          <w:rFonts w:cs="SimSun"/>
          <w:i/>
          <w:iCs/>
          <w:color w:val="auto"/>
          <w:kern w:val="0"/>
          <w:szCs w:val="24"/>
          <w:lang w:eastAsia="zh-CN"/>
        </w:rPr>
        <w:t>Int J Cancer</w:t>
      </w:r>
      <w:r w:rsidRPr="00DF417A">
        <w:rPr>
          <w:rFonts w:cs="SimSun"/>
          <w:color w:val="auto"/>
          <w:kern w:val="0"/>
          <w:szCs w:val="24"/>
          <w:lang w:eastAsia="zh-CN"/>
        </w:rPr>
        <w:t> 2009; </w:t>
      </w:r>
      <w:r w:rsidRPr="00DF417A">
        <w:rPr>
          <w:rFonts w:cs="SimSun"/>
          <w:b/>
          <w:bCs/>
          <w:color w:val="auto"/>
          <w:kern w:val="0"/>
          <w:szCs w:val="24"/>
          <w:lang w:eastAsia="zh-CN"/>
        </w:rPr>
        <w:t>125</w:t>
      </w:r>
      <w:r w:rsidRPr="00DF417A">
        <w:rPr>
          <w:rFonts w:cs="SimSun"/>
          <w:color w:val="auto"/>
          <w:kern w:val="0"/>
          <w:szCs w:val="24"/>
          <w:lang w:eastAsia="zh-CN"/>
        </w:rPr>
        <w:t>: 666-673 [PMID: 19382179 DOI: 10.1002/ijc.24290]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4 </w:t>
      </w:r>
      <w:r w:rsidRPr="00DF417A">
        <w:rPr>
          <w:rFonts w:cs="SimSun"/>
          <w:b/>
          <w:bCs/>
          <w:color w:val="auto"/>
          <w:kern w:val="0"/>
          <w:szCs w:val="24"/>
          <w:lang w:eastAsia="zh-CN"/>
        </w:rPr>
        <w:t>Lauren p</w:t>
      </w:r>
      <w:r w:rsidRPr="00DF417A">
        <w:rPr>
          <w:rFonts w:cs="SimSun"/>
          <w:color w:val="auto"/>
          <w:kern w:val="0"/>
          <w:szCs w:val="24"/>
          <w:lang w:eastAsia="zh-CN"/>
        </w:rPr>
        <w:t xml:space="preserve">. </w:t>
      </w:r>
      <w:r w:rsidRPr="00DF417A">
        <w:rPr>
          <w:rFonts w:cs="SimSun"/>
          <w:caps/>
          <w:color w:val="auto"/>
          <w:kern w:val="0"/>
          <w:szCs w:val="24"/>
          <w:lang w:eastAsia="zh-CN"/>
        </w:rPr>
        <w:t>t</w:t>
      </w:r>
      <w:r w:rsidRPr="00DF417A">
        <w:rPr>
          <w:rFonts w:cs="SimSun"/>
          <w:color w:val="auto"/>
          <w:kern w:val="0"/>
          <w:szCs w:val="24"/>
          <w:lang w:eastAsia="zh-CN"/>
        </w:rPr>
        <w:t>he two histological main types of gastric carcinoma: diffuse and so-called intestinal-type carcinoma. an attempt at a histo-clinical classification.</w:t>
      </w:r>
      <w:r w:rsidRPr="00DF417A">
        <w:rPr>
          <w:rFonts w:cs="SimSun" w:hint="eastAsia"/>
          <w:color w:val="auto"/>
          <w:kern w:val="0"/>
          <w:szCs w:val="24"/>
          <w:lang w:eastAsia="zh-CN"/>
        </w:rPr>
        <w:t xml:space="preserve"> </w:t>
      </w:r>
      <w:r w:rsidRPr="00DF417A">
        <w:rPr>
          <w:rFonts w:cs="SimSun"/>
          <w:i/>
          <w:iCs/>
          <w:color w:val="auto"/>
          <w:kern w:val="0"/>
          <w:szCs w:val="24"/>
          <w:lang w:eastAsia="zh-CN"/>
        </w:rPr>
        <w:t>Acta Pathol Microbiol Scand</w:t>
      </w:r>
      <w:r w:rsidRPr="00DF417A">
        <w:rPr>
          <w:rFonts w:cs="SimSun" w:hint="eastAsia"/>
          <w:color w:val="auto"/>
          <w:kern w:val="0"/>
          <w:szCs w:val="24"/>
          <w:lang w:eastAsia="zh-CN"/>
        </w:rPr>
        <w:t xml:space="preserve"> </w:t>
      </w:r>
      <w:r w:rsidRPr="00DF417A">
        <w:rPr>
          <w:rFonts w:cs="SimSun"/>
          <w:color w:val="auto"/>
          <w:kern w:val="0"/>
          <w:szCs w:val="24"/>
          <w:lang w:eastAsia="zh-CN"/>
        </w:rPr>
        <w:t>1965; </w:t>
      </w:r>
      <w:r w:rsidRPr="00DF417A">
        <w:rPr>
          <w:rFonts w:cs="SimSun"/>
          <w:b/>
          <w:bCs/>
          <w:color w:val="auto"/>
          <w:kern w:val="0"/>
          <w:szCs w:val="24"/>
          <w:lang w:eastAsia="zh-CN"/>
        </w:rPr>
        <w:t>64</w:t>
      </w:r>
      <w:r w:rsidRPr="00DF417A">
        <w:rPr>
          <w:rFonts w:cs="SimSun"/>
          <w:color w:val="auto"/>
          <w:kern w:val="0"/>
          <w:szCs w:val="24"/>
          <w:lang w:eastAsia="zh-CN"/>
        </w:rPr>
        <w:t>: 31-49 [PMID: 14320675]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5 </w:t>
      </w:r>
      <w:r w:rsidRPr="00DF417A">
        <w:rPr>
          <w:rFonts w:cs="SimSun"/>
          <w:b/>
          <w:bCs/>
          <w:color w:val="auto"/>
          <w:kern w:val="0"/>
          <w:szCs w:val="24"/>
          <w:lang w:eastAsia="zh-CN"/>
        </w:rPr>
        <w:t>Shah MA</w:t>
      </w:r>
      <w:r w:rsidRPr="00DF417A">
        <w:rPr>
          <w:rFonts w:cs="SimSun"/>
          <w:color w:val="auto"/>
          <w:kern w:val="0"/>
          <w:szCs w:val="24"/>
          <w:lang w:eastAsia="zh-CN"/>
        </w:rPr>
        <w:t>, Khanin R, Tang L, Janjigian YY, Klimstra DS, Gerdes H, Kelsen DP. Molecular classification of gastric cancer: a new paradigm. </w:t>
      </w:r>
      <w:r w:rsidRPr="00DF417A">
        <w:rPr>
          <w:rFonts w:cs="SimSun"/>
          <w:i/>
          <w:iCs/>
          <w:color w:val="auto"/>
          <w:kern w:val="0"/>
          <w:szCs w:val="24"/>
          <w:lang w:eastAsia="zh-CN"/>
        </w:rPr>
        <w:t>Clin Cancer Res</w:t>
      </w:r>
      <w:r w:rsidRPr="00DF417A">
        <w:rPr>
          <w:rFonts w:cs="SimSun" w:hint="eastAsia"/>
          <w:color w:val="auto"/>
          <w:kern w:val="0"/>
          <w:szCs w:val="24"/>
          <w:lang w:eastAsia="zh-CN"/>
        </w:rPr>
        <w:t xml:space="preserve"> </w:t>
      </w:r>
      <w:r w:rsidRPr="00DF417A">
        <w:rPr>
          <w:rFonts w:cs="SimSun"/>
          <w:color w:val="auto"/>
          <w:kern w:val="0"/>
          <w:szCs w:val="24"/>
          <w:lang w:eastAsia="zh-CN"/>
        </w:rPr>
        <w:t>2011;</w:t>
      </w:r>
      <w:r w:rsidRPr="00DF417A">
        <w:rPr>
          <w:rFonts w:cs="SimSun" w:hint="eastAsia"/>
          <w:color w:val="auto"/>
          <w:kern w:val="0"/>
          <w:szCs w:val="24"/>
          <w:lang w:eastAsia="zh-CN"/>
        </w:rPr>
        <w:t xml:space="preserve"> </w:t>
      </w:r>
      <w:r w:rsidRPr="00DF417A">
        <w:rPr>
          <w:rFonts w:cs="SimSun"/>
          <w:b/>
          <w:bCs/>
          <w:color w:val="auto"/>
          <w:kern w:val="0"/>
          <w:szCs w:val="24"/>
          <w:lang w:eastAsia="zh-CN"/>
        </w:rPr>
        <w:t>17</w:t>
      </w:r>
      <w:r w:rsidRPr="00DF417A">
        <w:rPr>
          <w:rFonts w:cs="SimSun"/>
          <w:color w:val="auto"/>
          <w:kern w:val="0"/>
          <w:szCs w:val="24"/>
          <w:lang w:eastAsia="zh-CN"/>
        </w:rPr>
        <w:t>: 2693-2701 [PMID: 21430069</w:t>
      </w:r>
      <w:r w:rsidRPr="00DF417A">
        <w:rPr>
          <w:rFonts w:cs="SimSun" w:hint="eastAsia"/>
          <w:color w:val="auto"/>
          <w:kern w:val="0"/>
          <w:szCs w:val="24"/>
          <w:lang w:eastAsia="zh-CN"/>
        </w:rPr>
        <w:t xml:space="preserve"> </w:t>
      </w:r>
      <w:r w:rsidRPr="00DF417A">
        <w:rPr>
          <w:rFonts w:cs="SimSun"/>
          <w:color w:val="auto"/>
          <w:kern w:val="0"/>
          <w:szCs w:val="24"/>
          <w:lang w:eastAsia="zh-CN"/>
        </w:rPr>
        <w:t>DOI: 10.1158/1078-0432.CCR-10-2203]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6 </w:t>
      </w:r>
      <w:r w:rsidRPr="00DF417A">
        <w:rPr>
          <w:rFonts w:cs="SimSun"/>
          <w:b/>
          <w:bCs/>
          <w:color w:val="auto"/>
          <w:kern w:val="0"/>
          <w:szCs w:val="24"/>
          <w:lang w:eastAsia="zh-CN"/>
        </w:rPr>
        <w:t>Shah MA</w:t>
      </w:r>
      <w:r w:rsidRPr="00DF417A">
        <w:rPr>
          <w:rFonts w:cs="SimSun"/>
          <w:color w:val="auto"/>
          <w:kern w:val="0"/>
          <w:szCs w:val="24"/>
          <w:lang w:eastAsia="zh-CN"/>
        </w:rPr>
        <w:t>, Kelsen DP. Gastric cancer: a primer on the epidemiology and biology of the disease and an overview of the medical management of advanced disease. </w:t>
      </w:r>
      <w:r w:rsidRPr="00DF417A">
        <w:rPr>
          <w:rFonts w:cs="SimSun"/>
          <w:i/>
          <w:iCs/>
          <w:color w:val="auto"/>
          <w:kern w:val="0"/>
          <w:szCs w:val="24"/>
          <w:lang w:eastAsia="zh-CN"/>
        </w:rPr>
        <w:t>J Natl Compr Canc Netw</w:t>
      </w:r>
      <w:r w:rsidRPr="00DF417A">
        <w:rPr>
          <w:rFonts w:cs="SimSun"/>
          <w:color w:val="auto"/>
          <w:kern w:val="0"/>
          <w:szCs w:val="24"/>
          <w:lang w:eastAsia="zh-CN"/>
        </w:rPr>
        <w:t> 2010; </w:t>
      </w:r>
      <w:r w:rsidRPr="00DF417A">
        <w:rPr>
          <w:rFonts w:cs="SimSun"/>
          <w:b/>
          <w:bCs/>
          <w:color w:val="auto"/>
          <w:kern w:val="0"/>
          <w:szCs w:val="24"/>
          <w:lang w:eastAsia="zh-CN"/>
        </w:rPr>
        <w:t>8</w:t>
      </w:r>
      <w:r w:rsidRPr="00DF417A">
        <w:rPr>
          <w:rFonts w:cs="SimSun"/>
          <w:color w:val="auto"/>
          <w:kern w:val="0"/>
          <w:szCs w:val="24"/>
          <w:lang w:eastAsia="zh-CN"/>
        </w:rPr>
        <w:t>: 437-447 [PMID: 20410336]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7 </w:t>
      </w:r>
      <w:r w:rsidRPr="00DF417A">
        <w:rPr>
          <w:rFonts w:cs="SimSun"/>
          <w:b/>
          <w:bCs/>
          <w:color w:val="auto"/>
          <w:kern w:val="0"/>
          <w:szCs w:val="24"/>
          <w:lang w:eastAsia="zh-CN"/>
        </w:rPr>
        <w:t>Power DG</w:t>
      </w:r>
      <w:r w:rsidRPr="00DF417A">
        <w:rPr>
          <w:rFonts w:cs="SimSun"/>
          <w:color w:val="auto"/>
          <w:kern w:val="0"/>
          <w:szCs w:val="24"/>
          <w:lang w:eastAsia="zh-CN"/>
        </w:rPr>
        <w:t>, Kelsen DP, Shah MA. Advanced gastric cancer--slow but steady progress. </w:t>
      </w:r>
      <w:r w:rsidRPr="00DF417A">
        <w:rPr>
          <w:rFonts w:cs="SimSun"/>
          <w:i/>
          <w:iCs/>
          <w:color w:val="auto"/>
          <w:kern w:val="0"/>
          <w:szCs w:val="24"/>
          <w:lang w:eastAsia="zh-CN"/>
        </w:rPr>
        <w:t>Cancer Treat Rev</w:t>
      </w:r>
      <w:r w:rsidRPr="00DF417A">
        <w:rPr>
          <w:rFonts w:cs="SimSun"/>
          <w:color w:val="auto"/>
          <w:kern w:val="0"/>
          <w:szCs w:val="24"/>
          <w:lang w:eastAsia="zh-CN"/>
        </w:rPr>
        <w:t> 2010; </w:t>
      </w:r>
      <w:r w:rsidRPr="00DF417A">
        <w:rPr>
          <w:rFonts w:cs="SimSun"/>
          <w:b/>
          <w:bCs/>
          <w:color w:val="auto"/>
          <w:kern w:val="0"/>
          <w:szCs w:val="24"/>
          <w:lang w:eastAsia="zh-CN"/>
        </w:rPr>
        <w:t>36</w:t>
      </w:r>
      <w:r w:rsidRPr="00DF417A">
        <w:rPr>
          <w:rFonts w:cs="SimSun"/>
          <w:color w:val="auto"/>
          <w:kern w:val="0"/>
          <w:szCs w:val="24"/>
          <w:lang w:eastAsia="zh-CN"/>
        </w:rPr>
        <w:t>: 384-392 [PMID: 20176443 DOI: 10.1016/j.ctrv.2010.01.005]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8 </w:t>
      </w:r>
      <w:r w:rsidRPr="00DF417A">
        <w:rPr>
          <w:rFonts w:cs="SimSun"/>
          <w:b/>
          <w:bCs/>
          <w:color w:val="auto"/>
          <w:kern w:val="0"/>
          <w:szCs w:val="24"/>
          <w:lang w:eastAsia="zh-CN"/>
        </w:rPr>
        <w:t>Sasako M</w:t>
      </w:r>
      <w:r w:rsidRPr="00DF417A">
        <w:rPr>
          <w:rFonts w:cs="SimSun"/>
          <w:color w:val="auto"/>
          <w:kern w:val="0"/>
          <w:szCs w:val="24"/>
          <w:lang w:eastAsia="zh-CN"/>
        </w:rPr>
        <w:t>, Sakuramoto S, Katai H, Kinoshita T, Furukawa H, Yamaguchi T, Nashimoto A, Fujii M, Nakajima T, Ohashi Y. Five-year outcomes of a randomized phase III trial comparing adjuvant chemotherapy with S-1 versus surgery alone in stage II or III gastric cancer. </w:t>
      </w:r>
      <w:r w:rsidRPr="00DF417A">
        <w:rPr>
          <w:rFonts w:cs="SimSun"/>
          <w:i/>
          <w:iCs/>
          <w:color w:val="auto"/>
          <w:kern w:val="0"/>
          <w:szCs w:val="24"/>
          <w:lang w:eastAsia="zh-CN"/>
        </w:rPr>
        <w:t>J Clin Oncol</w:t>
      </w:r>
      <w:r w:rsidRPr="00DF417A">
        <w:rPr>
          <w:rFonts w:cs="SimSun"/>
          <w:color w:val="auto"/>
          <w:kern w:val="0"/>
          <w:szCs w:val="24"/>
          <w:lang w:eastAsia="zh-CN"/>
        </w:rPr>
        <w:t> 2011; </w:t>
      </w:r>
      <w:r w:rsidRPr="00DF417A">
        <w:rPr>
          <w:rFonts w:cs="SimSun"/>
          <w:b/>
          <w:bCs/>
          <w:color w:val="auto"/>
          <w:kern w:val="0"/>
          <w:szCs w:val="24"/>
          <w:lang w:eastAsia="zh-CN"/>
        </w:rPr>
        <w:t>29</w:t>
      </w:r>
      <w:r w:rsidRPr="00DF417A">
        <w:rPr>
          <w:rFonts w:cs="SimSun"/>
          <w:color w:val="auto"/>
          <w:kern w:val="0"/>
          <w:szCs w:val="24"/>
          <w:lang w:eastAsia="zh-CN"/>
        </w:rPr>
        <w:t>: 4387-4393 [PMID: 22010012 DOI: 10.1200/JCO.2011.36.5908]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9 </w:t>
      </w:r>
      <w:r w:rsidRPr="00DF417A">
        <w:rPr>
          <w:rFonts w:cs="SimSun"/>
          <w:b/>
          <w:bCs/>
          <w:color w:val="auto"/>
          <w:kern w:val="0"/>
          <w:szCs w:val="24"/>
          <w:lang w:eastAsia="zh-CN"/>
        </w:rPr>
        <w:t>Bang YJ</w:t>
      </w:r>
      <w:r w:rsidRPr="00DF417A">
        <w:rPr>
          <w:rFonts w:cs="SimSun"/>
          <w:color w:val="auto"/>
          <w:kern w:val="0"/>
          <w:szCs w:val="24"/>
          <w:lang w:eastAsia="zh-CN"/>
        </w:rPr>
        <w:t xml:space="preserve">, Kim YW, Yang HK, Chung HC, Park YK, Lee KH, Lee KW, Kim YH, Noh SI, Cho JY, Mok YJ, Kim YH, Ji J, Yeh TS, Button P, Sirzén F, Noh SH. Adjuvant </w:t>
      </w:r>
      <w:r w:rsidRPr="00DF417A">
        <w:rPr>
          <w:rFonts w:cs="SimSun"/>
          <w:color w:val="auto"/>
          <w:kern w:val="0"/>
          <w:szCs w:val="24"/>
          <w:lang w:eastAsia="zh-CN"/>
        </w:rPr>
        <w:lastRenderedPageBreak/>
        <w:t>capecitabine and oxaliplatin for gastric cancer after D2 gastrectomy (CLASSIC): a phase 3 open-label, randomised controlled trial. </w:t>
      </w:r>
      <w:r w:rsidRPr="00DF417A">
        <w:rPr>
          <w:rFonts w:cs="SimSun"/>
          <w:i/>
          <w:iCs/>
          <w:color w:val="auto"/>
          <w:kern w:val="0"/>
          <w:szCs w:val="24"/>
          <w:lang w:eastAsia="zh-CN"/>
        </w:rPr>
        <w:t>Lancet</w:t>
      </w:r>
      <w:r w:rsidRPr="00DF417A">
        <w:rPr>
          <w:rFonts w:cs="SimSun"/>
          <w:color w:val="auto"/>
          <w:kern w:val="0"/>
          <w:szCs w:val="24"/>
          <w:lang w:eastAsia="zh-CN"/>
        </w:rPr>
        <w:t> 2012; </w:t>
      </w:r>
      <w:r w:rsidRPr="00DF417A">
        <w:rPr>
          <w:rFonts w:cs="SimSun"/>
          <w:b/>
          <w:bCs/>
          <w:color w:val="auto"/>
          <w:kern w:val="0"/>
          <w:szCs w:val="24"/>
          <w:lang w:eastAsia="zh-CN"/>
        </w:rPr>
        <w:t>379</w:t>
      </w:r>
      <w:r w:rsidRPr="00DF417A">
        <w:rPr>
          <w:rFonts w:cs="SimSun"/>
          <w:color w:val="auto"/>
          <w:kern w:val="0"/>
          <w:szCs w:val="24"/>
          <w:lang w:eastAsia="zh-CN"/>
        </w:rPr>
        <w:t>: 315-321 [PMID: 22226517 DOI: 10.1016/S0140-6736(11)61873-4]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10 </w:t>
      </w:r>
      <w:r w:rsidRPr="00DF417A">
        <w:rPr>
          <w:rFonts w:cs="SimSun"/>
          <w:b/>
          <w:bCs/>
          <w:color w:val="auto"/>
          <w:kern w:val="0"/>
          <w:szCs w:val="24"/>
          <w:lang w:eastAsia="zh-CN"/>
        </w:rPr>
        <w:t>Milne AN</w:t>
      </w:r>
      <w:r w:rsidRPr="00DF417A">
        <w:rPr>
          <w:rFonts w:cs="SimSun"/>
          <w:color w:val="auto"/>
          <w:kern w:val="0"/>
          <w:szCs w:val="24"/>
          <w:lang w:eastAsia="zh-CN"/>
        </w:rPr>
        <w:t>, Sitarz R, Carvalho R, Carneiro F, Offerhaus GJ. Early onset gastric cancer: on the road to unraveling gastric carcinogenesis. </w:t>
      </w:r>
      <w:r w:rsidRPr="00DF417A">
        <w:rPr>
          <w:rFonts w:cs="SimSun"/>
          <w:i/>
          <w:iCs/>
          <w:color w:val="auto"/>
          <w:kern w:val="0"/>
          <w:szCs w:val="24"/>
          <w:lang w:eastAsia="zh-CN"/>
        </w:rPr>
        <w:t>Curr Mol Med</w:t>
      </w:r>
      <w:r w:rsidRPr="00DF417A">
        <w:rPr>
          <w:rFonts w:cs="SimSun"/>
          <w:color w:val="auto"/>
          <w:kern w:val="0"/>
          <w:szCs w:val="24"/>
          <w:lang w:eastAsia="zh-CN"/>
        </w:rPr>
        <w:t> 2007; </w:t>
      </w:r>
      <w:r w:rsidRPr="00DF417A">
        <w:rPr>
          <w:rFonts w:cs="SimSun"/>
          <w:b/>
          <w:bCs/>
          <w:color w:val="auto"/>
          <w:kern w:val="0"/>
          <w:szCs w:val="24"/>
          <w:lang w:eastAsia="zh-CN"/>
        </w:rPr>
        <w:t>7</w:t>
      </w:r>
      <w:r w:rsidRPr="00DF417A">
        <w:rPr>
          <w:rFonts w:cs="SimSun"/>
          <w:color w:val="auto"/>
          <w:kern w:val="0"/>
          <w:szCs w:val="24"/>
          <w:lang w:eastAsia="zh-CN"/>
        </w:rPr>
        <w:t>: 15-28 [PMID: 17311530 DOI: 10.2174/156652407779940503]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w:t>
      </w:r>
      <w:r w:rsidRPr="00DF417A">
        <w:rPr>
          <w:rFonts w:cs="SimSun" w:hint="eastAsia"/>
          <w:b/>
          <w:color w:val="auto"/>
          <w:kern w:val="0"/>
          <w:szCs w:val="24"/>
          <w:lang w:eastAsia="zh-CN"/>
        </w:rPr>
        <w:t xml:space="preserve"> </w:t>
      </w:r>
      <w:r w:rsidRPr="00DF417A">
        <w:rPr>
          <w:rFonts w:cs="SimSun"/>
          <w:b/>
          <w:color w:val="auto"/>
          <w:kern w:val="0"/>
          <w:szCs w:val="24"/>
          <w:lang w:eastAsia="zh-CN"/>
        </w:rPr>
        <w:t>Sitarz R</w:t>
      </w:r>
      <w:r w:rsidRPr="00DF417A">
        <w:rPr>
          <w:rFonts w:cs="SimSun"/>
          <w:color w:val="auto"/>
          <w:kern w:val="0"/>
          <w:szCs w:val="24"/>
          <w:lang w:eastAsia="zh-CN"/>
        </w:rPr>
        <w:t xml:space="preserve">, Kolasinska-Bzoma M, Polkowski W, Oferhaus GJA, Maciejewski R. Gastric cancer – topical problem. </w:t>
      </w:r>
      <w:r w:rsidRPr="00DF417A">
        <w:rPr>
          <w:rFonts w:cs="SimSun"/>
          <w:i/>
          <w:color w:val="auto"/>
          <w:kern w:val="0"/>
          <w:szCs w:val="24"/>
          <w:lang w:eastAsia="zh-CN"/>
        </w:rPr>
        <w:t>Zdr Publ</w:t>
      </w:r>
      <w:r w:rsidRPr="00DF417A">
        <w:rPr>
          <w:rFonts w:cs="SimSun"/>
          <w:color w:val="auto"/>
          <w:kern w:val="0"/>
          <w:szCs w:val="24"/>
          <w:lang w:eastAsia="zh-CN"/>
        </w:rPr>
        <w:t xml:space="preserve"> 2010; </w:t>
      </w:r>
      <w:r w:rsidRPr="00DF417A">
        <w:rPr>
          <w:rFonts w:cs="SimSun"/>
          <w:b/>
          <w:color w:val="auto"/>
          <w:kern w:val="0"/>
          <w:szCs w:val="24"/>
          <w:lang w:eastAsia="zh-CN"/>
        </w:rPr>
        <w:t>120</w:t>
      </w:r>
      <w:r w:rsidRPr="00DF417A">
        <w:rPr>
          <w:rFonts w:cs="SimSun"/>
          <w:color w:val="auto"/>
          <w:kern w:val="0"/>
          <w:szCs w:val="24"/>
          <w:lang w:eastAsia="zh-CN"/>
        </w:rPr>
        <w:t>: 311-315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12 </w:t>
      </w:r>
      <w:r w:rsidRPr="00DF417A">
        <w:rPr>
          <w:rFonts w:cs="SimSun"/>
          <w:b/>
          <w:bCs/>
          <w:color w:val="auto"/>
          <w:kern w:val="0"/>
          <w:szCs w:val="24"/>
          <w:lang w:eastAsia="zh-CN"/>
        </w:rPr>
        <w:t>Shanks AM</w:t>
      </w:r>
      <w:r w:rsidRPr="00DF417A">
        <w:rPr>
          <w:rFonts w:cs="SimSun"/>
          <w:color w:val="auto"/>
          <w:kern w:val="0"/>
          <w:szCs w:val="24"/>
          <w:lang w:eastAsia="zh-CN"/>
        </w:rPr>
        <w:t>, El-Omar EM. Helicobacter pylori infection, host genetics and gastric cancer.</w:t>
      </w:r>
      <w:r w:rsidRPr="00DF417A">
        <w:rPr>
          <w:rFonts w:cs="SimSun" w:hint="eastAsia"/>
          <w:color w:val="auto"/>
          <w:kern w:val="0"/>
          <w:szCs w:val="24"/>
          <w:lang w:eastAsia="zh-CN"/>
        </w:rPr>
        <w:t xml:space="preserve"> </w:t>
      </w:r>
      <w:r w:rsidRPr="00DF417A">
        <w:rPr>
          <w:rFonts w:cs="SimSun"/>
          <w:i/>
          <w:iCs/>
          <w:color w:val="auto"/>
          <w:kern w:val="0"/>
          <w:szCs w:val="24"/>
          <w:lang w:eastAsia="zh-CN"/>
        </w:rPr>
        <w:t>J Dig Dis</w:t>
      </w:r>
      <w:r w:rsidRPr="00DF417A">
        <w:rPr>
          <w:rFonts w:cs="SimSun" w:hint="eastAsia"/>
          <w:color w:val="auto"/>
          <w:kern w:val="0"/>
          <w:szCs w:val="24"/>
          <w:lang w:eastAsia="zh-CN"/>
        </w:rPr>
        <w:t xml:space="preserve"> </w:t>
      </w:r>
      <w:r w:rsidRPr="00DF417A">
        <w:rPr>
          <w:rFonts w:cs="SimSun"/>
          <w:color w:val="auto"/>
          <w:kern w:val="0"/>
          <w:szCs w:val="24"/>
          <w:lang w:eastAsia="zh-CN"/>
        </w:rPr>
        <w:t>2009;</w:t>
      </w:r>
      <w:r w:rsidRPr="00DF417A">
        <w:rPr>
          <w:rFonts w:cs="SimSun" w:hint="eastAsia"/>
          <w:color w:val="auto"/>
          <w:kern w:val="0"/>
          <w:szCs w:val="24"/>
          <w:lang w:eastAsia="zh-CN"/>
        </w:rPr>
        <w:t xml:space="preserve"> </w:t>
      </w:r>
      <w:r w:rsidRPr="00DF417A">
        <w:rPr>
          <w:rFonts w:cs="SimSun"/>
          <w:b/>
          <w:bCs/>
          <w:color w:val="auto"/>
          <w:kern w:val="0"/>
          <w:szCs w:val="24"/>
          <w:lang w:eastAsia="zh-CN"/>
        </w:rPr>
        <w:t>10</w:t>
      </w:r>
      <w:r w:rsidRPr="00DF417A">
        <w:rPr>
          <w:rFonts w:cs="SimSun"/>
          <w:color w:val="auto"/>
          <w:kern w:val="0"/>
          <w:szCs w:val="24"/>
          <w:lang w:eastAsia="zh-CN"/>
        </w:rPr>
        <w:t>: 157-164 [PMID: 19659782 DOI: 10.1111/j.1751-2980.2009.00380.x]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13 </w:t>
      </w:r>
      <w:r w:rsidRPr="00DF417A">
        <w:rPr>
          <w:rFonts w:cs="SimSun"/>
          <w:b/>
          <w:bCs/>
          <w:color w:val="auto"/>
          <w:kern w:val="0"/>
          <w:szCs w:val="24"/>
          <w:lang w:eastAsia="zh-CN"/>
        </w:rPr>
        <w:t>Lindor NM</w:t>
      </w:r>
      <w:r w:rsidRPr="00DF417A">
        <w:rPr>
          <w:rFonts w:cs="SimSun"/>
          <w:color w:val="auto"/>
          <w:kern w:val="0"/>
          <w:szCs w:val="24"/>
          <w:lang w:eastAsia="zh-CN"/>
        </w:rPr>
        <w:t>, Rabe KG, Petersen GM, Chen H, Bapat B, Hopper J, Young J, Jenkins M, Potter J, Newcomb P, Templeton A, Lemarchand L, Grove J, Burgio MR, Haile R, Green J, Woods MO, Seminara D, Limburg PJ, Thibodeau SN. Parent of origin effects on age at colorectal cancer diagnosis. </w:t>
      </w:r>
      <w:r w:rsidRPr="00DF417A">
        <w:rPr>
          <w:rFonts w:cs="SimSun"/>
          <w:i/>
          <w:iCs/>
          <w:color w:val="auto"/>
          <w:kern w:val="0"/>
          <w:szCs w:val="24"/>
          <w:lang w:eastAsia="zh-CN"/>
        </w:rPr>
        <w:t>Int J Cancer</w:t>
      </w:r>
      <w:r w:rsidRPr="00DF417A">
        <w:rPr>
          <w:rFonts w:cs="SimSun"/>
          <w:color w:val="auto"/>
          <w:kern w:val="0"/>
          <w:szCs w:val="24"/>
          <w:lang w:eastAsia="zh-CN"/>
        </w:rPr>
        <w:t> 2010; </w:t>
      </w:r>
      <w:r w:rsidRPr="00DF417A">
        <w:rPr>
          <w:rFonts w:cs="SimSun"/>
          <w:b/>
          <w:bCs/>
          <w:color w:val="auto"/>
          <w:kern w:val="0"/>
          <w:szCs w:val="24"/>
          <w:lang w:eastAsia="zh-CN"/>
        </w:rPr>
        <w:t>127</w:t>
      </w:r>
      <w:r w:rsidRPr="00DF417A">
        <w:rPr>
          <w:rFonts w:cs="SimSun"/>
          <w:color w:val="auto"/>
          <w:kern w:val="0"/>
          <w:szCs w:val="24"/>
          <w:lang w:eastAsia="zh-CN"/>
        </w:rPr>
        <w:t>: 361-366 [PMID: 19904757</w:t>
      </w:r>
      <w:r w:rsidRPr="00DF417A">
        <w:rPr>
          <w:rFonts w:cs="SimSun" w:hint="eastAsia"/>
          <w:color w:val="auto"/>
          <w:kern w:val="0"/>
          <w:szCs w:val="24"/>
          <w:lang w:eastAsia="zh-CN"/>
        </w:rPr>
        <w:t xml:space="preserve"> </w:t>
      </w:r>
      <w:r w:rsidRPr="00DF417A">
        <w:rPr>
          <w:rFonts w:cs="SimSun"/>
          <w:color w:val="auto"/>
          <w:kern w:val="0"/>
          <w:szCs w:val="24"/>
          <w:lang w:eastAsia="zh-CN"/>
        </w:rPr>
        <w:t>DOI: 10.1002/ijc.25037]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14 </w:t>
      </w:r>
      <w:r w:rsidRPr="00DF417A">
        <w:rPr>
          <w:rFonts w:cs="SimSun"/>
          <w:b/>
          <w:bCs/>
          <w:color w:val="auto"/>
          <w:kern w:val="0"/>
          <w:szCs w:val="24"/>
          <w:lang w:eastAsia="zh-CN"/>
        </w:rPr>
        <w:t>Shin CM</w:t>
      </w:r>
      <w:r w:rsidRPr="00DF417A">
        <w:rPr>
          <w:rFonts w:cs="SimSun"/>
          <w:color w:val="auto"/>
          <w:kern w:val="0"/>
          <w:szCs w:val="24"/>
          <w:lang w:eastAsia="zh-CN"/>
        </w:rPr>
        <w:t>, Kim N, Yang HJ, Cho SI, Lee HS, Kim JS, Jung HC, Song IS. Stomach cancer risk in gastric cancer relatives: interaction between Helicobacter pylori infection and family history of gastric cancer for the risk of stomach cancer. </w:t>
      </w:r>
      <w:r w:rsidRPr="00DF417A">
        <w:rPr>
          <w:rFonts w:cs="SimSun"/>
          <w:i/>
          <w:iCs/>
          <w:color w:val="auto"/>
          <w:kern w:val="0"/>
          <w:szCs w:val="24"/>
          <w:lang w:eastAsia="zh-CN"/>
        </w:rPr>
        <w:t>J Clin Gastroenterol</w:t>
      </w:r>
      <w:r w:rsidRPr="00DF417A">
        <w:rPr>
          <w:rFonts w:cs="SimSun"/>
          <w:color w:val="auto"/>
          <w:kern w:val="0"/>
          <w:szCs w:val="24"/>
          <w:lang w:eastAsia="zh-CN"/>
        </w:rPr>
        <w:t> 2010; </w:t>
      </w:r>
      <w:r w:rsidRPr="00DF417A">
        <w:rPr>
          <w:rFonts w:cs="SimSun"/>
          <w:b/>
          <w:bCs/>
          <w:color w:val="auto"/>
          <w:kern w:val="0"/>
          <w:szCs w:val="24"/>
          <w:lang w:eastAsia="zh-CN"/>
        </w:rPr>
        <w:t>44</w:t>
      </w:r>
      <w:r w:rsidRPr="00DF417A">
        <w:rPr>
          <w:rFonts w:cs="SimSun"/>
          <w:color w:val="auto"/>
          <w:kern w:val="0"/>
          <w:szCs w:val="24"/>
          <w:lang w:eastAsia="zh-CN"/>
        </w:rPr>
        <w:t>: e34-e39 [PMID: 19561529</w:t>
      </w:r>
      <w:r w:rsidRPr="00DF417A">
        <w:rPr>
          <w:rFonts w:cs="SimSun" w:hint="eastAsia"/>
          <w:color w:val="auto"/>
          <w:kern w:val="0"/>
          <w:szCs w:val="24"/>
          <w:lang w:eastAsia="zh-CN"/>
        </w:rPr>
        <w:t xml:space="preserve"> </w:t>
      </w:r>
      <w:r w:rsidRPr="00DF417A">
        <w:rPr>
          <w:rFonts w:cs="SimSun"/>
          <w:color w:val="auto"/>
          <w:kern w:val="0"/>
          <w:szCs w:val="24"/>
          <w:lang w:eastAsia="zh-CN"/>
        </w:rPr>
        <w:t>DOI: 10.1097/MCG.0b013e3181a159c4]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15 </w:t>
      </w:r>
      <w:r w:rsidRPr="00DF417A">
        <w:rPr>
          <w:rFonts w:cs="SimSun"/>
          <w:b/>
          <w:bCs/>
          <w:color w:val="auto"/>
          <w:kern w:val="0"/>
          <w:szCs w:val="24"/>
          <w:lang w:eastAsia="zh-CN"/>
        </w:rPr>
        <w:t>Kwak HW</w:t>
      </w:r>
      <w:r w:rsidRPr="00DF417A">
        <w:rPr>
          <w:rFonts w:cs="SimSun"/>
          <w:color w:val="auto"/>
          <w:kern w:val="0"/>
          <w:szCs w:val="24"/>
          <w:lang w:eastAsia="zh-CN"/>
        </w:rPr>
        <w:t>, Choi IJ, Kim CG, Lee JY, Cho SJ, Eom BW, Yoon HM, Joo J, Ryu KW, Kim YW. Individual having a parent with early-onset gastric cancer may need screening at younger age. </w:t>
      </w:r>
      <w:r w:rsidRPr="00DF417A">
        <w:rPr>
          <w:rFonts w:cs="SimSun"/>
          <w:i/>
          <w:iCs/>
          <w:color w:val="auto"/>
          <w:kern w:val="0"/>
          <w:szCs w:val="24"/>
          <w:lang w:eastAsia="zh-CN"/>
        </w:rPr>
        <w:t>World J Gastroenterol</w:t>
      </w:r>
      <w:r w:rsidRPr="00DF417A">
        <w:rPr>
          <w:rFonts w:cs="SimSun"/>
          <w:color w:val="auto"/>
          <w:kern w:val="0"/>
          <w:szCs w:val="24"/>
          <w:lang w:eastAsia="zh-CN"/>
        </w:rPr>
        <w:t> 2015; </w:t>
      </w:r>
      <w:r w:rsidRPr="00DF417A">
        <w:rPr>
          <w:rFonts w:cs="SimSun"/>
          <w:b/>
          <w:bCs/>
          <w:color w:val="auto"/>
          <w:kern w:val="0"/>
          <w:szCs w:val="24"/>
          <w:lang w:eastAsia="zh-CN"/>
        </w:rPr>
        <w:t>21</w:t>
      </w:r>
      <w:r w:rsidRPr="00DF417A">
        <w:rPr>
          <w:rFonts w:cs="SimSun"/>
          <w:color w:val="auto"/>
          <w:kern w:val="0"/>
          <w:szCs w:val="24"/>
          <w:lang w:eastAsia="zh-CN"/>
        </w:rPr>
        <w:t>: 4592-4598 [PMID: 25914468 DOI: 10.3748/wjg.v21.i15.4592]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16 </w:t>
      </w:r>
      <w:r w:rsidRPr="00DF417A">
        <w:rPr>
          <w:rFonts w:cs="SimSun"/>
          <w:b/>
          <w:bCs/>
          <w:color w:val="auto"/>
          <w:kern w:val="0"/>
          <w:szCs w:val="24"/>
          <w:lang w:eastAsia="zh-CN"/>
        </w:rPr>
        <w:t>Tsugane S</w:t>
      </w:r>
      <w:r w:rsidRPr="00DF417A">
        <w:rPr>
          <w:rFonts w:cs="SimSun"/>
          <w:color w:val="auto"/>
          <w:kern w:val="0"/>
          <w:szCs w:val="24"/>
          <w:lang w:eastAsia="zh-CN"/>
        </w:rPr>
        <w:t>. Salt, salted food intake, and risk of gastric cancer: epidemiologic evidence. </w:t>
      </w:r>
      <w:r w:rsidRPr="00DF417A">
        <w:rPr>
          <w:rFonts w:cs="SimSun"/>
          <w:i/>
          <w:iCs/>
          <w:color w:val="auto"/>
          <w:kern w:val="0"/>
          <w:szCs w:val="24"/>
          <w:lang w:eastAsia="zh-CN"/>
        </w:rPr>
        <w:t>Cancer Sci</w:t>
      </w:r>
      <w:r w:rsidRPr="00DF417A">
        <w:rPr>
          <w:rFonts w:cs="SimSun"/>
          <w:color w:val="auto"/>
          <w:kern w:val="0"/>
          <w:szCs w:val="24"/>
          <w:lang w:eastAsia="zh-CN"/>
        </w:rPr>
        <w:t> 2005; </w:t>
      </w:r>
      <w:r w:rsidRPr="00DF417A">
        <w:rPr>
          <w:rFonts w:cs="SimSun"/>
          <w:b/>
          <w:bCs/>
          <w:color w:val="auto"/>
          <w:kern w:val="0"/>
          <w:szCs w:val="24"/>
          <w:lang w:eastAsia="zh-CN"/>
        </w:rPr>
        <w:t>96</w:t>
      </w:r>
      <w:r w:rsidRPr="00DF417A">
        <w:rPr>
          <w:rFonts w:cs="SimSun"/>
          <w:color w:val="auto"/>
          <w:kern w:val="0"/>
          <w:szCs w:val="24"/>
          <w:lang w:eastAsia="zh-CN"/>
        </w:rPr>
        <w:t>: 1-6 [PMID: 15649247 DOI: 10.1111/j.1349-7006.2005.00006.x]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17 </w:t>
      </w:r>
      <w:r w:rsidRPr="00DF417A">
        <w:rPr>
          <w:rFonts w:cs="SimSun"/>
          <w:b/>
          <w:bCs/>
          <w:color w:val="auto"/>
          <w:kern w:val="0"/>
          <w:szCs w:val="24"/>
          <w:lang w:eastAsia="zh-CN"/>
        </w:rPr>
        <w:t>Theuer CP</w:t>
      </w:r>
      <w:r w:rsidRPr="00DF417A">
        <w:rPr>
          <w:rFonts w:cs="SimSun"/>
          <w:color w:val="auto"/>
          <w:kern w:val="0"/>
          <w:szCs w:val="24"/>
          <w:lang w:eastAsia="zh-CN"/>
        </w:rPr>
        <w:t xml:space="preserve">, de Virgilio C, Keese G, French S, Arnell T, Tolmos J, Klein S, Powers W, Oh T, Stabile BE. Gastric adenocarcinoma in patients 40 years of age or </w:t>
      </w:r>
      <w:r w:rsidRPr="00DF417A">
        <w:rPr>
          <w:rFonts w:cs="SimSun"/>
          <w:color w:val="auto"/>
          <w:kern w:val="0"/>
          <w:szCs w:val="24"/>
          <w:lang w:eastAsia="zh-CN"/>
        </w:rPr>
        <w:lastRenderedPageBreak/>
        <w:t>younger. </w:t>
      </w:r>
      <w:r w:rsidRPr="00DF417A">
        <w:rPr>
          <w:rFonts w:cs="SimSun"/>
          <w:i/>
          <w:iCs/>
          <w:color w:val="auto"/>
          <w:kern w:val="0"/>
          <w:szCs w:val="24"/>
          <w:lang w:eastAsia="zh-CN"/>
        </w:rPr>
        <w:t>Am J Surg</w:t>
      </w:r>
      <w:r w:rsidRPr="00DF417A">
        <w:rPr>
          <w:rFonts w:cs="SimSun"/>
          <w:color w:val="auto"/>
          <w:kern w:val="0"/>
          <w:szCs w:val="24"/>
          <w:lang w:eastAsia="zh-CN"/>
        </w:rPr>
        <w:t> 1996; </w:t>
      </w:r>
      <w:r w:rsidRPr="00DF417A">
        <w:rPr>
          <w:rFonts w:cs="SimSun"/>
          <w:b/>
          <w:bCs/>
          <w:color w:val="auto"/>
          <w:kern w:val="0"/>
          <w:szCs w:val="24"/>
          <w:lang w:eastAsia="zh-CN"/>
        </w:rPr>
        <w:t>172</w:t>
      </w:r>
      <w:r w:rsidRPr="00DF417A">
        <w:rPr>
          <w:rFonts w:cs="SimSun"/>
          <w:color w:val="auto"/>
          <w:kern w:val="0"/>
          <w:szCs w:val="24"/>
          <w:lang w:eastAsia="zh-CN"/>
        </w:rPr>
        <w:t>: 473-46; discussion 473-46; [PMID: 8942547 DOI: 10.1016/S0002-9610(96)00223-1]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18 </w:t>
      </w:r>
      <w:r w:rsidRPr="00DF417A">
        <w:rPr>
          <w:rFonts w:cs="SimSun"/>
          <w:b/>
          <w:bCs/>
          <w:color w:val="auto"/>
          <w:kern w:val="0"/>
          <w:szCs w:val="24"/>
          <w:lang w:eastAsia="zh-CN"/>
        </w:rPr>
        <w:t>Ramos-De la Medina A</w:t>
      </w:r>
      <w:r w:rsidRPr="00DF417A">
        <w:rPr>
          <w:rFonts w:cs="SimSun"/>
          <w:color w:val="auto"/>
          <w:kern w:val="0"/>
          <w:szCs w:val="24"/>
          <w:lang w:eastAsia="zh-CN"/>
        </w:rPr>
        <w:t>, Salgado-Nesme N, Torres-Villalobos G, Medina-Franco H. Clinicopathologic characteristics of gastric cancer in a young patient population. </w:t>
      </w:r>
      <w:r w:rsidRPr="00DF417A">
        <w:rPr>
          <w:rFonts w:cs="SimSun"/>
          <w:i/>
          <w:iCs/>
          <w:color w:val="auto"/>
          <w:kern w:val="0"/>
          <w:szCs w:val="24"/>
          <w:lang w:eastAsia="zh-CN"/>
        </w:rPr>
        <w:t>J Gastrointest Surg</w:t>
      </w:r>
      <w:r w:rsidRPr="00DF417A">
        <w:rPr>
          <w:rFonts w:cs="SimSun"/>
          <w:color w:val="auto"/>
          <w:kern w:val="0"/>
          <w:szCs w:val="24"/>
          <w:lang w:eastAsia="zh-CN"/>
        </w:rPr>
        <w:t> </w:t>
      </w:r>
      <w:r w:rsidRPr="00DF417A">
        <w:rPr>
          <w:rFonts w:cs="SimSun" w:hint="eastAsia"/>
          <w:color w:val="auto"/>
          <w:kern w:val="0"/>
          <w:szCs w:val="24"/>
          <w:lang w:eastAsia="zh-CN"/>
        </w:rPr>
        <w:t>2004</w:t>
      </w:r>
      <w:r w:rsidRPr="00DF417A">
        <w:rPr>
          <w:rFonts w:cs="SimSun"/>
          <w:color w:val="auto"/>
          <w:kern w:val="0"/>
          <w:szCs w:val="24"/>
          <w:lang w:eastAsia="zh-CN"/>
        </w:rPr>
        <w:t>; </w:t>
      </w:r>
      <w:r w:rsidRPr="00DF417A">
        <w:rPr>
          <w:rFonts w:cs="SimSun"/>
          <w:b/>
          <w:bCs/>
          <w:color w:val="auto"/>
          <w:kern w:val="0"/>
          <w:szCs w:val="24"/>
          <w:lang w:eastAsia="zh-CN"/>
        </w:rPr>
        <w:t>8</w:t>
      </w:r>
      <w:r w:rsidRPr="00DF417A">
        <w:rPr>
          <w:rFonts w:cs="SimSun"/>
          <w:color w:val="auto"/>
          <w:kern w:val="0"/>
          <w:szCs w:val="24"/>
          <w:lang w:eastAsia="zh-CN"/>
        </w:rPr>
        <w:t>: 240-244 [PMID: 15019915 DOI: 10.1016/j.gassur.2003.12.009]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19 </w:t>
      </w:r>
      <w:r w:rsidRPr="00DF417A">
        <w:rPr>
          <w:rFonts w:cs="SimSun"/>
          <w:b/>
          <w:bCs/>
          <w:color w:val="auto"/>
          <w:kern w:val="0"/>
          <w:szCs w:val="24"/>
          <w:lang w:eastAsia="zh-CN"/>
        </w:rPr>
        <w:t>Medina-Franco H</w:t>
      </w:r>
      <w:r w:rsidRPr="00DF417A">
        <w:rPr>
          <w:rFonts w:cs="SimSun"/>
          <w:color w:val="auto"/>
          <w:kern w:val="0"/>
          <w:szCs w:val="24"/>
          <w:lang w:eastAsia="zh-CN"/>
        </w:rPr>
        <w:t>, Heslin MJ, Cortes-Gonzalez R. Clinicopathological characteristics of gastric carcinoma in young and elderly patients: a comparative study. </w:t>
      </w:r>
      <w:r w:rsidRPr="00DF417A">
        <w:rPr>
          <w:rFonts w:cs="SimSun"/>
          <w:i/>
          <w:iCs/>
          <w:color w:val="auto"/>
          <w:kern w:val="0"/>
          <w:szCs w:val="24"/>
          <w:lang w:eastAsia="zh-CN"/>
        </w:rPr>
        <w:t>Ann Surg Oncol</w:t>
      </w:r>
      <w:r w:rsidRPr="00DF417A">
        <w:rPr>
          <w:rFonts w:cs="SimSun"/>
          <w:color w:val="auto"/>
          <w:kern w:val="0"/>
          <w:szCs w:val="24"/>
          <w:lang w:eastAsia="zh-CN"/>
        </w:rPr>
        <w:t> 2000; </w:t>
      </w:r>
      <w:r w:rsidRPr="00DF417A">
        <w:rPr>
          <w:rFonts w:cs="SimSun"/>
          <w:b/>
          <w:bCs/>
          <w:color w:val="auto"/>
          <w:kern w:val="0"/>
          <w:szCs w:val="24"/>
          <w:lang w:eastAsia="zh-CN"/>
        </w:rPr>
        <w:t>7</w:t>
      </w:r>
      <w:r w:rsidRPr="00DF417A">
        <w:rPr>
          <w:rFonts w:cs="SimSun"/>
          <w:color w:val="auto"/>
          <w:kern w:val="0"/>
          <w:szCs w:val="24"/>
          <w:lang w:eastAsia="zh-CN"/>
        </w:rPr>
        <w:t>: 515-519 [PMID: 10947020 DOI: 10.1007/s10434-000-0515-x]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 xml:space="preserve">20 </w:t>
      </w:r>
      <w:r w:rsidRPr="00DF417A">
        <w:rPr>
          <w:rFonts w:cs="SimSun"/>
          <w:b/>
          <w:color w:val="auto"/>
          <w:kern w:val="0"/>
          <w:szCs w:val="24"/>
          <w:lang w:eastAsia="zh-CN"/>
        </w:rPr>
        <w:t>Oliveira C</w:t>
      </w:r>
      <w:r w:rsidRPr="00DF417A">
        <w:rPr>
          <w:rFonts w:cs="SimSun"/>
          <w:color w:val="auto"/>
          <w:kern w:val="0"/>
          <w:szCs w:val="24"/>
          <w:lang w:eastAsia="zh-CN"/>
        </w:rPr>
        <w:t xml:space="preserve">, Seruca R, Carneiro F. Genetics, pathology, and clinics of familial gastric cancer. </w:t>
      </w:r>
      <w:r w:rsidRPr="00DF417A">
        <w:rPr>
          <w:rFonts w:cs="SimSun"/>
          <w:i/>
          <w:iCs/>
          <w:color w:val="auto"/>
          <w:kern w:val="0"/>
          <w:szCs w:val="24"/>
          <w:lang w:eastAsia="zh-CN"/>
        </w:rPr>
        <w:t>Int J Surg Pathol</w:t>
      </w:r>
      <w:r w:rsidRPr="00DF417A">
        <w:rPr>
          <w:rFonts w:cs="SimSun"/>
          <w:color w:val="auto"/>
          <w:kern w:val="0"/>
          <w:szCs w:val="24"/>
          <w:lang w:eastAsia="zh-CN"/>
        </w:rPr>
        <w:t xml:space="preserve"> 2006; </w:t>
      </w:r>
      <w:r w:rsidRPr="00DF417A">
        <w:rPr>
          <w:rFonts w:cs="SimSun"/>
          <w:b/>
          <w:bCs/>
          <w:color w:val="auto"/>
          <w:kern w:val="0"/>
          <w:szCs w:val="24"/>
          <w:lang w:eastAsia="zh-CN"/>
        </w:rPr>
        <w:t>14</w:t>
      </w:r>
      <w:r w:rsidRPr="00DF417A">
        <w:rPr>
          <w:rFonts w:cs="SimSun"/>
          <w:color w:val="auto"/>
          <w:kern w:val="0"/>
          <w:szCs w:val="24"/>
          <w:lang w:eastAsia="zh-CN"/>
        </w:rPr>
        <w:t>: 21–33 [PMID:</w:t>
      </w:r>
      <w:r w:rsidRPr="00DF417A">
        <w:rPr>
          <w:rFonts w:cs="SimSun" w:hint="eastAsia"/>
          <w:color w:val="auto"/>
          <w:kern w:val="0"/>
          <w:szCs w:val="24"/>
          <w:lang w:eastAsia="zh-CN"/>
        </w:rPr>
        <w:t xml:space="preserve"> </w:t>
      </w:r>
      <w:r w:rsidRPr="00DF417A">
        <w:rPr>
          <w:rFonts w:cs="SimSun"/>
          <w:color w:val="auto"/>
          <w:kern w:val="0"/>
          <w:szCs w:val="24"/>
          <w:lang w:eastAsia="zh-CN"/>
        </w:rPr>
        <w:t>16501831</w:t>
      </w:r>
      <w:r w:rsidRPr="00DF417A">
        <w:rPr>
          <w:rFonts w:cs="SimSun" w:hint="eastAsia"/>
          <w:color w:val="auto"/>
          <w:kern w:val="0"/>
          <w:szCs w:val="24"/>
          <w:lang w:eastAsia="zh-CN"/>
        </w:rPr>
        <w:t xml:space="preserve"> </w:t>
      </w:r>
      <w:r w:rsidRPr="00DF417A">
        <w:rPr>
          <w:rFonts w:cs="SimSun"/>
          <w:color w:val="auto"/>
          <w:kern w:val="0"/>
          <w:szCs w:val="24"/>
          <w:lang w:eastAsia="zh-CN"/>
        </w:rPr>
        <w:t>DOI: 10.1177/106689690601400105</w:t>
      </w:r>
      <w:r w:rsidRPr="00DF417A">
        <w:rPr>
          <w:rFonts w:cs="SimSun" w:hint="eastAsia"/>
          <w:color w:val="auto"/>
          <w:kern w:val="0"/>
          <w:szCs w:val="24"/>
          <w:lang w:eastAsia="zh-CN"/>
        </w:rPr>
        <w:t>]</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21 </w:t>
      </w:r>
      <w:r w:rsidRPr="00DF417A">
        <w:rPr>
          <w:rFonts w:cs="SimSun"/>
          <w:b/>
          <w:bCs/>
          <w:color w:val="auto"/>
          <w:kern w:val="0"/>
          <w:szCs w:val="24"/>
          <w:lang w:eastAsia="zh-CN"/>
        </w:rPr>
        <w:t>Grunwald GB</w:t>
      </w:r>
      <w:r w:rsidRPr="00DF417A">
        <w:rPr>
          <w:rFonts w:cs="SimSun"/>
          <w:color w:val="auto"/>
          <w:kern w:val="0"/>
          <w:szCs w:val="24"/>
          <w:lang w:eastAsia="zh-CN"/>
        </w:rPr>
        <w:t>. The structural and functional analysis of cadherin calcium-dependent cell adhesion molecules. </w:t>
      </w:r>
      <w:r w:rsidRPr="00DF417A">
        <w:rPr>
          <w:rFonts w:cs="SimSun"/>
          <w:i/>
          <w:iCs/>
          <w:color w:val="auto"/>
          <w:kern w:val="0"/>
          <w:szCs w:val="24"/>
          <w:lang w:eastAsia="zh-CN"/>
        </w:rPr>
        <w:t>Curr Opin Cell Biol</w:t>
      </w:r>
      <w:r w:rsidRPr="00DF417A">
        <w:rPr>
          <w:rFonts w:cs="SimSun"/>
          <w:color w:val="auto"/>
          <w:kern w:val="0"/>
          <w:szCs w:val="24"/>
          <w:lang w:eastAsia="zh-CN"/>
        </w:rPr>
        <w:t> 1993; </w:t>
      </w:r>
      <w:r w:rsidRPr="00DF417A">
        <w:rPr>
          <w:rFonts w:cs="SimSun"/>
          <w:b/>
          <w:bCs/>
          <w:color w:val="auto"/>
          <w:kern w:val="0"/>
          <w:szCs w:val="24"/>
          <w:lang w:eastAsia="zh-CN"/>
        </w:rPr>
        <w:t>5</w:t>
      </w:r>
      <w:r w:rsidRPr="00DF417A">
        <w:rPr>
          <w:rFonts w:cs="SimSun"/>
          <w:color w:val="auto"/>
          <w:kern w:val="0"/>
          <w:szCs w:val="24"/>
          <w:lang w:eastAsia="zh-CN"/>
        </w:rPr>
        <w:t>: 797-805 [PMID: 8240823 DOI: 10.1016/0955-0674(93)90028-O]</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22 </w:t>
      </w:r>
      <w:r w:rsidRPr="00DF417A">
        <w:rPr>
          <w:rFonts w:cs="SimSun"/>
          <w:b/>
          <w:bCs/>
          <w:color w:val="auto"/>
          <w:kern w:val="0"/>
          <w:szCs w:val="24"/>
          <w:lang w:eastAsia="zh-CN"/>
        </w:rPr>
        <w:t>Karam R</w:t>
      </w:r>
      <w:r w:rsidRPr="00DF417A">
        <w:rPr>
          <w:rFonts w:cs="SimSun"/>
          <w:color w:val="auto"/>
          <w:kern w:val="0"/>
          <w:szCs w:val="24"/>
          <w:lang w:eastAsia="zh-CN"/>
        </w:rPr>
        <w:t>, Carvalho J, Bruno I, Graziadio C, Senz J, Huntsman D, Carneiro F, Seruca R, Wilkinson MF, Oliveira C. The NMD mRNA surveillance pathway downregulates aberrant E-cadherin transcripts in gastric cancer cells and in CDH1 mutation carriers. </w:t>
      </w:r>
      <w:r w:rsidRPr="00DF417A">
        <w:rPr>
          <w:rFonts w:cs="SimSun"/>
          <w:i/>
          <w:iCs/>
          <w:color w:val="auto"/>
          <w:kern w:val="0"/>
          <w:szCs w:val="24"/>
          <w:lang w:eastAsia="zh-CN"/>
        </w:rPr>
        <w:t>Oncogene</w:t>
      </w:r>
      <w:r w:rsidRPr="00DF417A">
        <w:rPr>
          <w:rFonts w:cs="SimSun"/>
          <w:color w:val="auto"/>
          <w:kern w:val="0"/>
          <w:szCs w:val="24"/>
          <w:lang w:eastAsia="zh-CN"/>
        </w:rPr>
        <w:t> 2008; </w:t>
      </w:r>
      <w:r w:rsidRPr="00DF417A">
        <w:rPr>
          <w:rFonts w:cs="SimSun"/>
          <w:b/>
          <w:bCs/>
          <w:color w:val="auto"/>
          <w:kern w:val="0"/>
          <w:szCs w:val="24"/>
          <w:lang w:eastAsia="zh-CN"/>
        </w:rPr>
        <w:t>27</w:t>
      </w:r>
      <w:r w:rsidRPr="00DF417A">
        <w:rPr>
          <w:rFonts w:cs="SimSun"/>
          <w:color w:val="auto"/>
          <w:kern w:val="0"/>
          <w:szCs w:val="24"/>
          <w:lang w:eastAsia="zh-CN"/>
        </w:rPr>
        <w:t>: 4255-4260 [PMID: 18427545 DOI: 10.1038/onc.2008.62]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23</w:t>
      </w:r>
      <w:r w:rsidRPr="00DF417A">
        <w:rPr>
          <w:rFonts w:cs="SimSun" w:hint="eastAsia"/>
          <w:color w:val="auto"/>
          <w:kern w:val="0"/>
          <w:szCs w:val="24"/>
          <w:lang w:eastAsia="zh-CN"/>
        </w:rPr>
        <w:t xml:space="preserve"> </w:t>
      </w:r>
      <w:r w:rsidRPr="00DF417A">
        <w:rPr>
          <w:rFonts w:cs="SimSun"/>
          <w:b/>
          <w:bCs/>
          <w:color w:val="auto"/>
          <w:kern w:val="0"/>
          <w:szCs w:val="24"/>
          <w:lang w:eastAsia="zh-CN"/>
        </w:rPr>
        <w:t xml:space="preserve">Carneiro F. </w:t>
      </w:r>
      <w:r w:rsidRPr="00DF417A">
        <w:rPr>
          <w:rFonts w:cs="SimSun"/>
          <w:bCs/>
          <w:color w:val="auto"/>
          <w:kern w:val="0"/>
          <w:szCs w:val="24"/>
          <w:lang w:eastAsia="zh-CN"/>
        </w:rPr>
        <w:t>Hereditary gastric cancer. </w:t>
      </w:r>
      <w:r w:rsidRPr="00DF417A">
        <w:rPr>
          <w:rFonts w:cs="SimSun"/>
          <w:bCs/>
          <w:i/>
          <w:iCs/>
          <w:color w:val="auto"/>
          <w:kern w:val="0"/>
          <w:szCs w:val="24"/>
          <w:lang w:eastAsia="zh-CN"/>
        </w:rPr>
        <w:t>Pathologe</w:t>
      </w:r>
      <w:r w:rsidRPr="00DF417A">
        <w:rPr>
          <w:rFonts w:cs="SimSun"/>
          <w:bCs/>
          <w:color w:val="auto"/>
          <w:kern w:val="0"/>
          <w:szCs w:val="24"/>
          <w:lang w:eastAsia="zh-CN"/>
        </w:rPr>
        <w:t> 2012; </w:t>
      </w:r>
      <w:r w:rsidRPr="00DF417A">
        <w:rPr>
          <w:rFonts w:cs="SimSun"/>
          <w:b/>
          <w:bCs/>
          <w:color w:val="auto"/>
          <w:kern w:val="0"/>
          <w:szCs w:val="24"/>
          <w:lang w:eastAsia="zh-CN"/>
        </w:rPr>
        <w:t>33 Suppl 2:</w:t>
      </w:r>
      <w:r w:rsidRPr="00DF417A">
        <w:rPr>
          <w:rFonts w:cs="SimSun" w:hint="eastAsia"/>
          <w:b/>
          <w:bCs/>
          <w:color w:val="auto"/>
          <w:kern w:val="0"/>
          <w:szCs w:val="24"/>
          <w:lang w:eastAsia="zh-CN"/>
        </w:rPr>
        <w:t xml:space="preserve"> </w:t>
      </w:r>
      <w:r w:rsidRPr="00DF417A">
        <w:rPr>
          <w:rFonts w:cs="SimSun"/>
          <w:bCs/>
          <w:color w:val="auto"/>
          <w:kern w:val="0"/>
          <w:szCs w:val="24"/>
          <w:lang w:eastAsia="zh-CN"/>
        </w:rPr>
        <w:t>231-234 [PMID: 23052347 DOI: 10.1007/s00292-012-1677-6]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 xml:space="preserve">24 </w:t>
      </w:r>
      <w:bookmarkStart w:id="34" w:name="OLE_LINK576"/>
      <w:bookmarkStart w:id="35" w:name="OLE_LINK577"/>
      <w:r w:rsidRPr="00DF417A">
        <w:rPr>
          <w:rFonts w:cs="SimSun"/>
          <w:b/>
          <w:color w:val="auto"/>
          <w:kern w:val="0"/>
          <w:szCs w:val="24"/>
          <w:lang w:eastAsia="zh-CN"/>
        </w:rPr>
        <w:t>Oliveira C</w:t>
      </w:r>
      <w:r w:rsidRPr="00DF417A">
        <w:rPr>
          <w:rFonts w:cs="SimSun"/>
          <w:color w:val="auto"/>
          <w:kern w:val="0"/>
          <w:szCs w:val="24"/>
          <w:lang w:eastAsia="zh-CN"/>
        </w:rPr>
        <w:t>, Pinheiro H, Figueiredo J, Seruca R, Carneiro F. E-Cadherin alterations in hereditary disorders with emphasis on hereditary diffuse gastric cancer. In: Frans van Roy.</w:t>
      </w:r>
      <w:r w:rsidRPr="00DF417A">
        <w:rPr>
          <w:rFonts w:cs="SimSun" w:hint="eastAsia"/>
          <w:color w:val="auto"/>
          <w:kern w:val="0"/>
          <w:szCs w:val="24"/>
          <w:lang w:eastAsia="zh-CN"/>
        </w:rPr>
        <w:t xml:space="preserve"> </w:t>
      </w:r>
      <w:r w:rsidRPr="00DF417A">
        <w:rPr>
          <w:rFonts w:cs="SimSun"/>
          <w:color w:val="auto"/>
          <w:kern w:val="0"/>
          <w:szCs w:val="24"/>
          <w:lang w:eastAsia="zh-CN"/>
        </w:rPr>
        <w:t>The Molecular Biology of Cadherins. Academic Press, 2013: 337–359</w:t>
      </w:r>
      <w:bookmarkEnd w:id="34"/>
      <w:bookmarkEnd w:id="35"/>
      <w:r w:rsidRPr="00DF417A">
        <w:rPr>
          <w:rFonts w:cs="SimSun" w:hint="eastAsia"/>
          <w:color w:val="auto"/>
          <w:kern w:val="0"/>
          <w:szCs w:val="24"/>
          <w:lang w:eastAsia="zh-CN"/>
        </w:rPr>
        <w:t xml:space="preserve"> [</w:t>
      </w:r>
      <w:r w:rsidRPr="00DF417A">
        <w:rPr>
          <w:rFonts w:cs="SimSun"/>
          <w:color w:val="auto"/>
          <w:kern w:val="0"/>
          <w:szCs w:val="24"/>
          <w:lang w:eastAsia="zh-CN"/>
        </w:rPr>
        <w:t>DOI: 10.1016/B978-0-12-394311-8.00015-7</w:t>
      </w:r>
      <w:r w:rsidRPr="00DF417A">
        <w:rPr>
          <w:rFonts w:cs="SimSun" w:hint="eastAsia"/>
          <w:color w:val="auto"/>
          <w:kern w:val="0"/>
          <w:szCs w:val="24"/>
          <w:lang w:eastAsia="zh-CN"/>
        </w:rPr>
        <w:t>]</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25 </w:t>
      </w:r>
      <w:r w:rsidRPr="00DF417A">
        <w:rPr>
          <w:rFonts w:cs="SimSun"/>
          <w:b/>
          <w:bCs/>
          <w:color w:val="auto"/>
          <w:kern w:val="0"/>
          <w:szCs w:val="24"/>
          <w:lang w:eastAsia="zh-CN"/>
        </w:rPr>
        <w:t>Carneiro F</w:t>
      </w:r>
      <w:r w:rsidRPr="00DF417A">
        <w:rPr>
          <w:rFonts w:cs="SimSun"/>
          <w:color w:val="auto"/>
          <w:kern w:val="0"/>
          <w:szCs w:val="24"/>
          <w:lang w:eastAsia="zh-CN"/>
        </w:rPr>
        <w:t>, Oliveira C, Suriano G, Seruca R. Molecular pathology of familial gastric cancer, with an emphasis on hereditary diffuse gastric cancer. </w:t>
      </w:r>
      <w:r w:rsidRPr="00DF417A">
        <w:rPr>
          <w:rFonts w:cs="SimSun"/>
          <w:i/>
          <w:iCs/>
          <w:color w:val="auto"/>
          <w:kern w:val="0"/>
          <w:szCs w:val="24"/>
          <w:lang w:eastAsia="zh-CN"/>
        </w:rPr>
        <w:t>J Clin Pathol</w:t>
      </w:r>
      <w:r w:rsidRPr="00DF417A">
        <w:rPr>
          <w:rFonts w:cs="SimSun"/>
          <w:color w:val="auto"/>
          <w:kern w:val="0"/>
          <w:szCs w:val="24"/>
          <w:lang w:eastAsia="zh-CN"/>
        </w:rPr>
        <w:t> 2008; </w:t>
      </w:r>
      <w:r w:rsidRPr="00DF417A">
        <w:rPr>
          <w:rFonts w:cs="SimSun"/>
          <w:b/>
          <w:bCs/>
          <w:color w:val="auto"/>
          <w:kern w:val="0"/>
          <w:szCs w:val="24"/>
          <w:lang w:eastAsia="zh-CN"/>
        </w:rPr>
        <w:t>61</w:t>
      </w:r>
      <w:r w:rsidRPr="00DF417A">
        <w:rPr>
          <w:rFonts w:cs="SimSun"/>
          <w:color w:val="auto"/>
          <w:kern w:val="0"/>
          <w:szCs w:val="24"/>
          <w:lang w:eastAsia="zh-CN"/>
        </w:rPr>
        <w:t>: 25-30 [PMID: 17513507 DOI: 10.1136/jcp.2006.043679]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26 </w:t>
      </w:r>
      <w:r w:rsidRPr="00DF417A">
        <w:rPr>
          <w:rFonts w:cs="SimSun"/>
          <w:b/>
          <w:bCs/>
          <w:color w:val="auto"/>
          <w:kern w:val="0"/>
          <w:szCs w:val="24"/>
          <w:lang w:eastAsia="zh-CN"/>
        </w:rPr>
        <w:t>Berx G</w:t>
      </w:r>
      <w:r w:rsidRPr="00DF417A">
        <w:rPr>
          <w:rFonts w:cs="SimSun"/>
          <w:color w:val="auto"/>
          <w:kern w:val="0"/>
          <w:szCs w:val="24"/>
          <w:lang w:eastAsia="zh-CN"/>
        </w:rPr>
        <w:t>, Becker KF, Höfler H, van Roy F. Mutations of the human E-cadherin (CDH1) gene. </w:t>
      </w:r>
      <w:r w:rsidRPr="00DF417A">
        <w:rPr>
          <w:rFonts w:cs="SimSun"/>
          <w:i/>
          <w:iCs/>
          <w:color w:val="auto"/>
          <w:kern w:val="0"/>
          <w:szCs w:val="24"/>
          <w:lang w:eastAsia="zh-CN"/>
        </w:rPr>
        <w:t>Hum Mutat</w:t>
      </w:r>
      <w:r w:rsidRPr="00DF417A">
        <w:rPr>
          <w:rFonts w:cs="SimSun"/>
          <w:color w:val="auto"/>
          <w:kern w:val="0"/>
          <w:szCs w:val="24"/>
          <w:lang w:eastAsia="zh-CN"/>
        </w:rPr>
        <w:t> 1998; </w:t>
      </w:r>
      <w:r w:rsidRPr="00DF417A">
        <w:rPr>
          <w:rFonts w:cs="SimSun"/>
          <w:b/>
          <w:bCs/>
          <w:color w:val="auto"/>
          <w:kern w:val="0"/>
          <w:szCs w:val="24"/>
          <w:lang w:eastAsia="zh-CN"/>
        </w:rPr>
        <w:t>12</w:t>
      </w:r>
      <w:r w:rsidRPr="00DF417A">
        <w:rPr>
          <w:rFonts w:cs="SimSun"/>
          <w:color w:val="auto"/>
          <w:kern w:val="0"/>
          <w:szCs w:val="24"/>
          <w:lang w:eastAsia="zh-CN"/>
        </w:rPr>
        <w:t>: 226-237 [PMID: 9744472]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27 </w:t>
      </w:r>
      <w:r w:rsidRPr="00DF417A">
        <w:rPr>
          <w:rFonts w:cs="SimSun"/>
          <w:b/>
          <w:bCs/>
          <w:color w:val="auto"/>
          <w:kern w:val="0"/>
          <w:szCs w:val="24"/>
          <w:lang w:eastAsia="zh-CN"/>
        </w:rPr>
        <w:t>Pharoah PD</w:t>
      </w:r>
      <w:r w:rsidRPr="00DF417A">
        <w:rPr>
          <w:rFonts w:cs="SimSun"/>
          <w:color w:val="auto"/>
          <w:kern w:val="0"/>
          <w:szCs w:val="24"/>
          <w:lang w:eastAsia="zh-CN"/>
        </w:rPr>
        <w:t>, Guilford P, Caldas C. Incidence of gastric cancer and breast cancer in CDH1 (E-cadherin) mutation carriers from hereditary diffuse gastric cancer families. </w:t>
      </w:r>
      <w:r w:rsidRPr="00DF417A">
        <w:rPr>
          <w:rFonts w:cs="SimSun"/>
          <w:i/>
          <w:iCs/>
          <w:color w:val="auto"/>
          <w:kern w:val="0"/>
          <w:szCs w:val="24"/>
          <w:lang w:eastAsia="zh-CN"/>
        </w:rPr>
        <w:t>Gastroenterology</w:t>
      </w:r>
      <w:r w:rsidRPr="00DF417A">
        <w:rPr>
          <w:rFonts w:cs="SimSun"/>
          <w:color w:val="auto"/>
          <w:kern w:val="0"/>
          <w:szCs w:val="24"/>
          <w:lang w:eastAsia="zh-CN"/>
        </w:rPr>
        <w:t> 2001; </w:t>
      </w:r>
      <w:r w:rsidRPr="00DF417A">
        <w:rPr>
          <w:rFonts w:cs="SimSun"/>
          <w:b/>
          <w:bCs/>
          <w:color w:val="auto"/>
          <w:kern w:val="0"/>
          <w:szCs w:val="24"/>
          <w:lang w:eastAsia="zh-CN"/>
        </w:rPr>
        <w:t>121</w:t>
      </w:r>
      <w:r w:rsidRPr="00DF417A">
        <w:rPr>
          <w:rFonts w:cs="SimSun"/>
          <w:color w:val="auto"/>
          <w:kern w:val="0"/>
          <w:szCs w:val="24"/>
          <w:lang w:eastAsia="zh-CN"/>
        </w:rPr>
        <w:t>: 1348-1353 [PMID: 11729114 DOI: 10.1053/gast.2001.29611</w:t>
      </w:r>
      <w:r w:rsidRPr="00DF417A">
        <w:rPr>
          <w:rFonts w:cs="SimSun" w:hint="eastAsia"/>
          <w:color w:val="auto"/>
          <w:kern w:val="0"/>
          <w:szCs w:val="24"/>
          <w:lang w:eastAsia="zh-CN"/>
        </w:rPr>
        <w:t xml:space="preserve"> </w:t>
      </w:r>
      <w:r w:rsidRPr="00DF417A">
        <w:rPr>
          <w:rFonts w:cs="SimSun"/>
          <w:color w:val="auto"/>
          <w:kern w:val="0"/>
          <w:szCs w:val="24"/>
          <w:lang w:eastAsia="zh-CN"/>
        </w:rPr>
        <w:t>DOI:</w:t>
      </w:r>
      <w:r w:rsidR="00AD072B">
        <w:rPr>
          <w:rFonts w:cs="SimSun" w:hint="eastAsia"/>
          <w:color w:val="auto"/>
          <w:kern w:val="0"/>
          <w:szCs w:val="24"/>
          <w:lang w:eastAsia="zh-CN"/>
        </w:rPr>
        <w:t xml:space="preserve"> </w:t>
      </w:r>
      <w:r w:rsidRPr="00DF417A">
        <w:rPr>
          <w:rFonts w:cs="SimSun"/>
          <w:color w:val="auto"/>
          <w:kern w:val="0"/>
          <w:szCs w:val="24"/>
          <w:lang w:eastAsia="zh-CN"/>
        </w:rPr>
        <w:t>10.1002/(SICI)1098-1004(1998)12:4&lt;226::AID-HUMU2&gt;3.0.CO;2-D]</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28 </w:t>
      </w:r>
      <w:r w:rsidRPr="00DF417A">
        <w:rPr>
          <w:rFonts w:cs="SimSun"/>
          <w:b/>
          <w:bCs/>
          <w:color w:val="auto"/>
          <w:kern w:val="0"/>
          <w:szCs w:val="24"/>
          <w:lang w:eastAsia="zh-CN"/>
        </w:rPr>
        <w:t>Grady WM</w:t>
      </w:r>
      <w:r w:rsidRPr="00DF417A">
        <w:rPr>
          <w:rFonts w:cs="SimSun"/>
          <w:color w:val="auto"/>
          <w:kern w:val="0"/>
          <w:szCs w:val="24"/>
          <w:lang w:eastAsia="zh-CN"/>
        </w:rPr>
        <w:t>, Willis J, Guilford PJ, Dunbier AK, Toro TT, Lynch H, Wiesner G, Ferguson K, Eng C, Park JG, Kim SJ, Markowitz S. Methylation of the CDH1 promoter as the second genetic hit in hereditary diffuse gastric cancer. </w:t>
      </w:r>
      <w:r w:rsidRPr="00DF417A">
        <w:rPr>
          <w:rFonts w:cs="SimSun"/>
          <w:i/>
          <w:iCs/>
          <w:color w:val="auto"/>
          <w:kern w:val="0"/>
          <w:szCs w:val="24"/>
          <w:lang w:eastAsia="zh-CN"/>
        </w:rPr>
        <w:t>Nat Genet</w:t>
      </w:r>
      <w:r w:rsidRPr="00DF417A">
        <w:rPr>
          <w:rFonts w:cs="SimSun"/>
          <w:color w:val="auto"/>
          <w:kern w:val="0"/>
          <w:szCs w:val="24"/>
          <w:lang w:eastAsia="zh-CN"/>
        </w:rPr>
        <w:t> 2000; </w:t>
      </w:r>
      <w:r w:rsidRPr="00DF417A">
        <w:rPr>
          <w:rFonts w:cs="SimSun"/>
          <w:b/>
          <w:bCs/>
          <w:color w:val="auto"/>
          <w:kern w:val="0"/>
          <w:szCs w:val="24"/>
          <w:lang w:eastAsia="zh-CN"/>
        </w:rPr>
        <w:t>26</w:t>
      </w:r>
      <w:r w:rsidRPr="00DF417A">
        <w:rPr>
          <w:rFonts w:cs="SimSun"/>
          <w:color w:val="auto"/>
          <w:kern w:val="0"/>
          <w:szCs w:val="24"/>
          <w:lang w:eastAsia="zh-CN"/>
        </w:rPr>
        <w:t>: 16-17 [PMID: 10973239 DOI: 10.1038/79120]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29 </w:t>
      </w:r>
      <w:r w:rsidRPr="00DF417A">
        <w:rPr>
          <w:rFonts w:cs="SimSun"/>
          <w:b/>
          <w:bCs/>
          <w:color w:val="auto"/>
          <w:kern w:val="0"/>
          <w:szCs w:val="24"/>
          <w:lang w:eastAsia="zh-CN"/>
        </w:rPr>
        <w:t>Oliveira C</w:t>
      </w:r>
      <w:r w:rsidRPr="00DF417A">
        <w:rPr>
          <w:rFonts w:cs="SimSun"/>
          <w:color w:val="auto"/>
          <w:kern w:val="0"/>
          <w:szCs w:val="24"/>
          <w:lang w:eastAsia="zh-CN"/>
        </w:rPr>
        <w:t>, de Bruin J, Nabais S, Ligtenberg M, Moutinho C, Nagengast FM, Seruca R, van Krieken H, Carneiro F. Intragenic deletion of CDH1 as the inactivating mechanism of the wild-type allele in an HDGC tumour. </w:t>
      </w:r>
      <w:r w:rsidRPr="00DF417A">
        <w:rPr>
          <w:rFonts w:cs="SimSun"/>
          <w:i/>
          <w:iCs/>
          <w:color w:val="auto"/>
          <w:kern w:val="0"/>
          <w:szCs w:val="24"/>
          <w:lang w:eastAsia="zh-CN"/>
        </w:rPr>
        <w:t>Oncogene</w:t>
      </w:r>
      <w:r w:rsidRPr="00DF417A">
        <w:rPr>
          <w:rFonts w:cs="SimSun"/>
          <w:color w:val="auto"/>
          <w:kern w:val="0"/>
          <w:szCs w:val="24"/>
          <w:lang w:eastAsia="zh-CN"/>
        </w:rPr>
        <w:t> 2004; </w:t>
      </w:r>
      <w:r w:rsidRPr="00DF417A">
        <w:rPr>
          <w:rFonts w:cs="SimSun"/>
          <w:b/>
          <w:bCs/>
          <w:color w:val="auto"/>
          <w:kern w:val="0"/>
          <w:szCs w:val="24"/>
          <w:lang w:eastAsia="zh-CN"/>
        </w:rPr>
        <w:t>23</w:t>
      </w:r>
      <w:r w:rsidRPr="00DF417A">
        <w:rPr>
          <w:rFonts w:cs="SimSun"/>
          <w:color w:val="auto"/>
          <w:kern w:val="0"/>
          <w:szCs w:val="24"/>
          <w:lang w:eastAsia="zh-CN"/>
        </w:rPr>
        <w:t>: 2236-2240 [PMID: 14661064 DOI: 10.1038/sj.onc.1207335]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30 </w:t>
      </w:r>
      <w:r w:rsidRPr="00DF417A">
        <w:rPr>
          <w:rFonts w:cs="SimSun"/>
          <w:b/>
          <w:bCs/>
          <w:color w:val="auto"/>
          <w:kern w:val="0"/>
          <w:szCs w:val="24"/>
          <w:lang w:eastAsia="zh-CN"/>
        </w:rPr>
        <w:t>Oliveira C</w:t>
      </w:r>
      <w:r w:rsidRPr="00DF417A">
        <w:rPr>
          <w:rFonts w:cs="SimSun"/>
          <w:color w:val="auto"/>
          <w:kern w:val="0"/>
          <w:szCs w:val="24"/>
          <w:lang w:eastAsia="zh-CN"/>
        </w:rPr>
        <w:t>, Sousa S, Pinheiro H, Karam R, Bordeira-Carriço R, Senz J, Kaurah P, Carvalho J, Pereira R, Gusmão L, Wen X, Cipriano MA, Yokota J, Carneiro F, Huntsman D, Seruca R. Quantification of epigenetic and genetic 2nd hits in CDH1 during hereditary diffuse gastric cancer syndrome progression.</w:t>
      </w:r>
      <w:r w:rsidR="00AD072B">
        <w:rPr>
          <w:rFonts w:cs="SimSun" w:hint="eastAsia"/>
          <w:color w:val="auto"/>
          <w:kern w:val="0"/>
          <w:szCs w:val="24"/>
          <w:lang w:eastAsia="zh-CN"/>
        </w:rPr>
        <w:t xml:space="preserve"> </w:t>
      </w:r>
      <w:r w:rsidRPr="00DF417A">
        <w:rPr>
          <w:rFonts w:cs="SimSun"/>
          <w:i/>
          <w:iCs/>
          <w:color w:val="auto"/>
          <w:kern w:val="0"/>
          <w:szCs w:val="24"/>
          <w:lang w:eastAsia="zh-CN"/>
        </w:rPr>
        <w:t>Gastroenterology</w:t>
      </w:r>
      <w:r w:rsidR="00AD072B">
        <w:rPr>
          <w:rFonts w:cs="SimSun" w:hint="eastAsia"/>
          <w:color w:val="auto"/>
          <w:kern w:val="0"/>
          <w:szCs w:val="24"/>
          <w:lang w:eastAsia="zh-CN"/>
        </w:rPr>
        <w:t xml:space="preserve"> </w:t>
      </w:r>
      <w:r w:rsidRPr="00DF417A">
        <w:rPr>
          <w:rFonts w:cs="SimSun"/>
          <w:color w:val="auto"/>
          <w:kern w:val="0"/>
          <w:szCs w:val="24"/>
          <w:lang w:eastAsia="zh-CN"/>
        </w:rPr>
        <w:t>2009;</w:t>
      </w:r>
      <w:r w:rsidR="00AD072B">
        <w:rPr>
          <w:rFonts w:cs="SimSun" w:hint="eastAsia"/>
          <w:color w:val="auto"/>
          <w:kern w:val="0"/>
          <w:szCs w:val="24"/>
          <w:lang w:eastAsia="zh-CN"/>
        </w:rPr>
        <w:t xml:space="preserve"> </w:t>
      </w:r>
      <w:r w:rsidRPr="00DF417A">
        <w:rPr>
          <w:rFonts w:cs="SimSun"/>
          <w:b/>
          <w:bCs/>
          <w:color w:val="auto"/>
          <w:kern w:val="0"/>
          <w:szCs w:val="24"/>
          <w:lang w:eastAsia="zh-CN"/>
        </w:rPr>
        <w:t>136</w:t>
      </w:r>
      <w:r w:rsidRPr="00DF417A">
        <w:rPr>
          <w:rFonts w:cs="SimSun"/>
          <w:color w:val="auto"/>
          <w:kern w:val="0"/>
          <w:szCs w:val="24"/>
          <w:lang w:eastAsia="zh-CN"/>
        </w:rPr>
        <w:t>:</w:t>
      </w:r>
      <w:r w:rsidR="00AD072B">
        <w:rPr>
          <w:rFonts w:cs="SimSun" w:hint="eastAsia"/>
          <w:color w:val="auto"/>
          <w:kern w:val="0"/>
          <w:szCs w:val="24"/>
          <w:lang w:eastAsia="zh-CN"/>
        </w:rPr>
        <w:t xml:space="preserve"> </w:t>
      </w:r>
      <w:r w:rsidRPr="00DF417A">
        <w:rPr>
          <w:rFonts w:cs="SimSun"/>
          <w:color w:val="auto"/>
          <w:kern w:val="0"/>
          <w:szCs w:val="24"/>
          <w:lang w:eastAsia="zh-CN"/>
        </w:rPr>
        <w:t>2137-2148 [PMID: 19269290 DOI: 10.1053/j.gastro.2009.02.065]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31 </w:t>
      </w:r>
      <w:r w:rsidRPr="00DF417A">
        <w:rPr>
          <w:rFonts w:cs="SimSun"/>
          <w:b/>
          <w:bCs/>
          <w:color w:val="auto"/>
          <w:kern w:val="0"/>
          <w:szCs w:val="24"/>
          <w:lang w:eastAsia="zh-CN"/>
        </w:rPr>
        <w:t>Barber M</w:t>
      </w:r>
      <w:r w:rsidRPr="00DF417A">
        <w:rPr>
          <w:rFonts w:cs="SimSun"/>
          <w:color w:val="auto"/>
          <w:kern w:val="0"/>
          <w:szCs w:val="24"/>
          <w:lang w:eastAsia="zh-CN"/>
        </w:rPr>
        <w:t>, Murrell A, Ito Y, Maia AT, Hyland S, Oliveira C, Save V, Carneiro F, Paterson AL, Grehan N, Dwerryhouse S, Lao-Sirieix P, Caldas C, Fitzgerald RC. Mechanisms and sequelae of E-cadherin silencing in hereditary diffuse gastric cancer.</w:t>
      </w:r>
      <w:r w:rsidRPr="00DF417A">
        <w:rPr>
          <w:rFonts w:cs="SimSun" w:hint="eastAsia"/>
          <w:color w:val="auto"/>
          <w:kern w:val="0"/>
          <w:szCs w:val="24"/>
          <w:lang w:eastAsia="zh-CN"/>
        </w:rPr>
        <w:t xml:space="preserve"> </w:t>
      </w:r>
      <w:r w:rsidRPr="00DF417A">
        <w:rPr>
          <w:rFonts w:cs="SimSun"/>
          <w:i/>
          <w:iCs/>
          <w:color w:val="auto"/>
          <w:kern w:val="0"/>
          <w:szCs w:val="24"/>
          <w:lang w:eastAsia="zh-CN"/>
        </w:rPr>
        <w:t>J Pathol</w:t>
      </w:r>
      <w:r w:rsidRPr="00DF417A">
        <w:rPr>
          <w:rFonts w:cs="SimSun"/>
          <w:color w:val="auto"/>
          <w:kern w:val="0"/>
          <w:szCs w:val="24"/>
          <w:lang w:eastAsia="zh-CN"/>
        </w:rPr>
        <w:t> 2008; </w:t>
      </w:r>
      <w:r w:rsidRPr="00DF417A">
        <w:rPr>
          <w:rFonts w:cs="SimSun"/>
          <w:b/>
          <w:bCs/>
          <w:color w:val="auto"/>
          <w:kern w:val="0"/>
          <w:szCs w:val="24"/>
          <w:lang w:eastAsia="zh-CN"/>
        </w:rPr>
        <w:t>216</w:t>
      </w:r>
      <w:r w:rsidRPr="00DF417A">
        <w:rPr>
          <w:rFonts w:cs="SimSun"/>
          <w:color w:val="auto"/>
          <w:kern w:val="0"/>
          <w:szCs w:val="24"/>
          <w:lang w:eastAsia="zh-CN"/>
        </w:rPr>
        <w:t>: 295-306 [PMID: 18788075 DOI: 10.1002/path.2426]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32 </w:t>
      </w:r>
      <w:r w:rsidRPr="00DF417A">
        <w:rPr>
          <w:rFonts w:cs="SimSun"/>
          <w:b/>
          <w:bCs/>
          <w:color w:val="auto"/>
          <w:kern w:val="0"/>
          <w:szCs w:val="24"/>
          <w:lang w:eastAsia="zh-CN"/>
        </w:rPr>
        <w:t>Milne AN</w:t>
      </w:r>
      <w:r w:rsidRPr="00DF417A">
        <w:rPr>
          <w:rFonts w:cs="SimSun"/>
          <w:color w:val="auto"/>
          <w:kern w:val="0"/>
          <w:szCs w:val="24"/>
          <w:lang w:eastAsia="zh-CN"/>
        </w:rPr>
        <w:t>, Carneiro F, O'Morain C, Offerhaus GJ. Nature meets nurture: molecular genetics of gastric cancer. </w:t>
      </w:r>
      <w:r w:rsidRPr="00DF417A">
        <w:rPr>
          <w:rFonts w:cs="SimSun"/>
          <w:i/>
          <w:iCs/>
          <w:color w:val="auto"/>
          <w:kern w:val="0"/>
          <w:szCs w:val="24"/>
          <w:lang w:eastAsia="zh-CN"/>
        </w:rPr>
        <w:t>Hum Genet</w:t>
      </w:r>
      <w:r w:rsidRPr="00DF417A">
        <w:rPr>
          <w:rFonts w:cs="SimSun"/>
          <w:color w:val="auto"/>
          <w:kern w:val="0"/>
          <w:szCs w:val="24"/>
          <w:lang w:eastAsia="zh-CN"/>
        </w:rPr>
        <w:t> 2009; </w:t>
      </w:r>
      <w:r w:rsidRPr="00DF417A">
        <w:rPr>
          <w:rFonts w:cs="SimSun"/>
          <w:b/>
          <w:bCs/>
          <w:color w:val="auto"/>
          <w:kern w:val="0"/>
          <w:szCs w:val="24"/>
          <w:lang w:eastAsia="zh-CN"/>
        </w:rPr>
        <w:t>126</w:t>
      </w:r>
      <w:r w:rsidRPr="00DF417A">
        <w:rPr>
          <w:rFonts w:cs="SimSun"/>
          <w:color w:val="auto"/>
          <w:kern w:val="0"/>
          <w:szCs w:val="24"/>
          <w:lang w:eastAsia="zh-CN"/>
        </w:rPr>
        <w:t>: 615-628 [PMID: 19657673 DOI: 10.1007/s00439-009-0722-x]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33 </w:t>
      </w:r>
      <w:r w:rsidRPr="00DF417A">
        <w:rPr>
          <w:rFonts w:cs="SimSun"/>
          <w:b/>
          <w:bCs/>
          <w:color w:val="auto"/>
          <w:kern w:val="0"/>
          <w:szCs w:val="24"/>
          <w:lang w:eastAsia="zh-CN"/>
        </w:rPr>
        <w:t>McColl KE</w:t>
      </w:r>
      <w:r w:rsidRPr="00DF417A">
        <w:rPr>
          <w:rFonts w:cs="SimSun"/>
          <w:color w:val="auto"/>
          <w:kern w:val="0"/>
          <w:szCs w:val="24"/>
          <w:lang w:eastAsia="zh-CN"/>
        </w:rPr>
        <w:t>, El-Omar E. E-cadherin germline mutations and risk of gastric cancer. </w:t>
      </w:r>
      <w:r w:rsidRPr="00DF417A">
        <w:rPr>
          <w:rFonts w:cs="SimSun"/>
          <w:i/>
          <w:iCs/>
          <w:color w:val="auto"/>
          <w:kern w:val="0"/>
          <w:szCs w:val="24"/>
          <w:lang w:eastAsia="zh-CN"/>
        </w:rPr>
        <w:t>Gastroenterology</w:t>
      </w:r>
      <w:r w:rsidRPr="00DF417A">
        <w:rPr>
          <w:rFonts w:cs="SimSun"/>
          <w:color w:val="auto"/>
          <w:kern w:val="0"/>
          <w:szCs w:val="24"/>
          <w:lang w:eastAsia="zh-CN"/>
        </w:rPr>
        <w:t> 2002; </w:t>
      </w:r>
      <w:r w:rsidRPr="00DF417A">
        <w:rPr>
          <w:rFonts w:cs="SimSun"/>
          <w:b/>
          <w:bCs/>
          <w:color w:val="auto"/>
          <w:kern w:val="0"/>
          <w:szCs w:val="24"/>
          <w:lang w:eastAsia="zh-CN"/>
        </w:rPr>
        <w:t>123</w:t>
      </w:r>
      <w:r w:rsidRPr="00DF417A">
        <w:rPr>
          <w:rFonts w:cs="SimSun"/>
          <w:color w:val="auto"/>
          <w:kern w:val="0"/>
          <w:szCs w:val="24"/>
          <w:lang w:eastAsia="zh-CN"/>
        </w:rPr>
        <w:t>: 1406; author reply 1406-1407 [PMID: 12360507 DOI: 10.1053/gast.2002.36382]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34 </w:t>
      </w:r>
      <w:r w:rsidRPr="00DF417A">
        <w:rPr>
          <w:rFonts w:cs="SimSun"/>
          <w:b/>
          <w:bCs/>
          <w:color w:val="auto"/>
          <w:kern w:val="0"/>
          <w:szCs w:val="24"/>
          <w:lang w:eastAsia="zh-CN"/>
        </w:rPr>
        <w:t>Carneiro F</w:t>
      </w:r>
      <w:r w:rsidRPr="00DF417A">
        <w:rPr>
          <w:rFonts w:cs="SimSun"/>
          <w:color w:val="auto"/>
          <w:kern w:val="0"/>
          <w:szCs w:val="24"/>
          <w:lang w:eastAsia="zh-CN"/>
        </w:rPr>
        <w:t>, Huntsman DG, Smyrk TC, Owen DA, Seruca R, Pharoah P, Caldas C, Sobrinho-Simões M. Model of the early development of diffuse gastric cancer in E-</w:t>
      </w:r>
      <w:r w:rsidRPr="00DF417A">
        <w:rPr>
          <w:rFonts w:cs="SimSun"/>
          <w:color w:val="auto"/>
          <w:kern w:val="0"/>
          <w:szCs w:val="24"/>
          <w:lang w:eastAsia="zh-CN"/>
        </w:rPr>
        <w:lastRenderedPageBreak/>
        <w:t>cadherin mutation carriers and its implications for patient screening. </w:t>
      </w:r>
      <w:r w:rsidRPr="00DF417A">
        <w:rPr>
          <w:rFonts w:cs="SimSun"/>
          <w:i/>
          <w:iCs/>
          <w:color w:val="auto"/>
          <w:kern w:val="0"/>
          <w:szCs w:val="24"/>
          <w:lang w:eastAsia="zh-CN"/>
        </w:rPr>
        <w:t>J Pathol</w:t>
      </w:r>
      <w:r w:rsidRPr="00DF417A">
        <w:rPr>
          <w:rFonts w:cs="SimSun"/>
          <w:color w:val="auto"/>
          <w:kern w:val="0"/>
          <w:szCs w:val="24"/>
          <w:lang w:eastAsia="zh-CN"/>
        </w:rPr>
        <w:t> 2004; </w:t>
      </w:r>
      <w:r w:rsidRPr="00DF417A">
        <w:rPr>
          <w:rFonts w:cs="SimSun"/>
          <w:b/>
          <w:bCs/>
          <w:color w:val="auto"/>
          <w:kern w:val="0"/>
          <w:szCs w:val="24"/>
          <w:lang w:eastAsia="zh-CN"/>
        </w:rPr>
        <w:t>203</w:t>
      </w:r>
      <w:r w:rsidRPr="00DF417A">
        <w:rPr>
          <w:rFonts w:cs="SimSun"/>
          <w:color w:val="auto"/>
          <w:kern w:val="0"/>
          <w:szCs w:val="24"/>
          <w:lang w:eastAsia="zh-CN"/>
        </w:rPr>
        <w:t>: 681-687 [PMID: 15141383 DOI: 10.1002/path.1564]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35 </w:t>
      </w:r>
      <w:r w:rsidRPr="00DF417A">
        <w:rPr>
          <w:rFonts w:cs="SimSun"/>
          <w:b/>
          <w:bCs/>
          <w:color w:val="auto"/>
          <w:kern w:val="0"/>
          <w:szCs w:val="24"/>
          <w:lang w:eastAsia="zh-CN"/>
        </w:rPr>
        <w:t>Bremm A</w:t>
      </w:r>
      <w:r w:rsidRPr="00DF417A">
        <w:rPr>
          <w:rFonts w:cs="SimSun"/>
          <w:color w:val="auto"/>
          <w:kern w:val="0"/>
          <w:szCs w:val="24"/>
          <w:lang w:eastAsia="zh-CN"/>
        </w:rPr>
        <w:t>, Walch A, Fuchs M, Mages J, Duyster J, Keller G, Hermannstädter C, Becker KF, Rauser S, Langer R, von Weyhern CH, Höfler H, Luber B. Enhanced activation of epidermal growth factor receptor caused by tumor-derived E-cadherin mutations. </w:t>
      </w:r>
      <w:r w:rsidRPr="00DF417A">
        <w:rPr>
          <w:rFonts w:cs="SimSun"/>
          <w:i/>
          <w:iCs/>
          <w:color w:val="auto"/>
          <w:kern w:val="0"/>
          <w:szCs w:val="24"/>
          <w:lang w:eastAsia="zh-CN"/>
        </w:rPr>
        <w:t>Cancer Res</w:t>
      </w:r>
      <w:r w:rsidRPr="00DF417A">
        <w:rPr>
          <w:rFonts w:cs="SimSun"/>
          <w:color w:val="auto"/>
          <w:kern w:val="0"/>
          <w:szCs w:val="24"/>
          <w:lang w:eastAsia="zh-CN"/>
        </w:rPr>
        <w:t> 2008; </w:t>
      </w:r>
      <w:r w:rsidRPr="00DF417A">
        <w:rPr>
          <w:rFonts w:cs="SimSun"/>
          <w:b/>
          <w:bCs/>
          <w:color w:val="auto"/>
          <w:kern w:val="0"/>
          <w:szCs w:val="24"/>
          <w:lang w:eastAsia="zh-CN"/>
        </w:rPr>
        <w:t>68</w:t>
      </w:r>
      <w:r w:rsidRPr="00DF417A">
        <w:rPr>
          <w:rFonts w:cs="SimSun"/>
          <w:color w:val="auto"/>
          <w:kern w:val="0"/>
          <w:szCs w:val="24"/>
          <w:lang w:eastAsia="zh-CN"/>
        </w:rPr>
        <w:t>: 707-714 [PMID: 18245470 DOI: 10.1158/0008-5472.CAN-07-1588]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36 </w:t>
      </w:r>
      <w:r w:rsidRPr="00DF417A">
        <w:rPr>
          <w:rFonts w:cs="SimSun"/>
          <w:b/>
          <w:bCs/>
          <w:color w:val="auto"/>
          <w:kern w:val="0"/>
          <w:szCs w:val="24"/>
          <w:lang w:eastAsia="zh-CN"/>
        </w:rPr>
        <w:t>Oliveira C</w:t>
      </w:r>
      <w:r w:rsidRPr="00DF417A">
        <w:rPr>
          <w:rFonts w:cs="SimSun"/>
          <w:color w:val="auto"/>
          <w:kern w:val="0"/>
          <w:szCs w:val="24"/>
          <w:lang w:eastAsia="zh-CN"/>
        </w:rPr>
        <w:t>, Ferreira P, Nabais S, Campos L, Ferreira A, Cirnes L, Alves CC, Veiga I, Fragoso M, Regateiro F, Dias LM, Moreira H, Suriano G, Machado JC, Lopes C, Castedo S, Carneiro F, Seruca R. E-Cadherin (CDH1) and p53 rather than SMAD4 and Caspase-10 germline mutations contribute to genetic predisposition in Portuguese gastric cancer patients. </w:t>
      </w:r>
      <w:r w:rsidRPr="00DF417A">
        <w:rPr>
          <w:rFonts w:cs="SimSun"/>
          <w:i/>
          <w:iCs/>
          <w:color w:val="auto"/>
          <w:kern w:val="0"/>
          <w:szCs w:val="24"/>
          <w:lang w:eastAsia="zh-CN"/>
        </w:rPr>
        <w:t>Eur J Cancer</w:t>
      </w:r>
      <w:r w:rsidRPr="00DF417A">
        <w:rPr>
          <w:rFonts w:cs="SimSun"/>
          <w:color w:val="auto"/>
          <w:kern w:val="0"/>
          <w:szCs w:val="24"/>
          <w:lang w:eastAsia="zh-CN"/>
        </w:rPr>
        <w:t> 2004; </w:t>
      </w:r>
      <w:r w:rsidRPr="00DF417A">
        <w:rPr>
          <w:rFonts w:cs="SimSun"/>
          <w:b/>
          <w:bCs/>
          <w:color w:val="auto"/>
          <w:kern w:val="0"/>
          <w:szCs w:val="24"/>
          <w:lang w:eastAsia="zh-CN"/>
        </w:rPr>
        <w:t>40</w:t>
      </w:r>
      <w:r w:rsidRPr="00DF417A">
        <w:rPr>
          <w:rFonts w:cs="SimSun"/>
          <w:color w:val="auto"/>
          <w:kern w:val="0"/>
          <w:szCs w:val="24"/>
          <w:lang w:eastAsia="zh-CN"/>
        </w:rPr>
        <w:t>: 1897-1903 [PMID: 15288293 DOI: 10.1016/j.ejca.2004.04.027]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37 </w:t>
      </w:r>
      <w:r w:rsidRPr="00DF417A">
        <w:rPr>
          <w:rFonts w:cs="SimSun"/>
          <w:b/>
          <w:bCs/>
          <w:color w:val="auto"/>
          <w:kern w:val="0"/>
          <w:szCs w:val="24"/>
          <w:lang w:eastAsia="zh-CN"/>
        </w:rPr>
        <w:t>Majewski IJ</w:t>
      </w:r>
      <w:r w:rsidRPr="00DF417A">
        <w:rPr>
          <w:rFonts w:cs="SimSun"/>
          <w:color w:val="auto"/>
          <w:kern w:val="0"/>
          <w:szCs w:val="24"/>
          <w:lang w:eastAsia="zh-CN"/>
        </w:rPr>
        <w:t>, Kluijt I, Cats A, Scerri TS, de Jong D, Kluin RJ, Hansford S, Hogervorst FB, Bosma AJ, Hofland I, Winter M, Huntsman D, Jonkers J, Bahlo M, Bernards R. An α-E-catenin (CTNNA1) mutation in hereditary diffuse gastric cancer. </w:t>
      </w:r>
      <w:r w:rsidRPr="00DF417A">
        <w:rPr>
          <w:rFonts w:cs="SimSun"/>
          <w:i/>
          <w:iCs/>
          <w:color w:val="auto"/>
          <w:kern w:val="0"/>
          <w:szCs w:val="24"/>
          <w:lang w:eastAsia="zh-CN"/>
        </w:rPr>
        <w:t>J Pathol</w:t>
      </w:r>
      <w:r w:rsidRPr="00DF417A">
        <w:rPr>
          <w:rFonts w:cs="SimSun"/>
          <w:color w:val="auto"/>
          <w:kern w:val="0"/>
          <w:szCs w:val="24"/>
          <w:lang w:eastAsia="zh-CN"/>
        </w:rPr>
        <w:t> 2013; </w:t>
      </w:r>
      <w:r w:rsidRPr="00DF417A">
        <w:rPr>
          <w:rFonts w:cs="SimSun"/>
          <w:b/>
          <w:bCs/>
          <w:color w:val="auto"/>
          <w:kern w:val="0"/>
          <w:szCs w:val="24"/>
          <w:lang w:eastAsia="zh-CN"/>
        </w:rPr>
        <w:t>229</w:t>
      </w:r>
      <w:r w:rsidRPr="00DF417A">
        <w:rPr>
          <w:rFonts w:cs="SimSun"/>
          <w:color w:val="auto"/>
          <w:kern w:val="0"/>
          <w:szCs w:val="24"/>
          <w:lang w:eastAsia="zh-CN"/>
        </w:rPr>
        <w:t>: 621-629 [PMID: 23208944 DOI: 10.1002/path.4152]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38 </w:t>
      </w:r>
      <w:r w:rsidRPr="00DF417A">
        <w:rPr>
          <w:rFonts w:cs="SimSun"/>
          <w:b/>
          <w:bCs/>
          <w:color w:val="auto"/>
          <w:kern w:val="0"/>
          <w:szCs w:val="24"/>
          <w:lang w:eastAsia="zh-CN"/>
        </w:rPr>
        <w:t>Schuetz JM</w:t>
      </w:r>
      <w:r w:rsidRPr="00DF417A">
        <w:rPr>
          <w:rFonts w:cs="SimSun"/>
          <w:color w:val="auto"/>
          <w:kern w:val="0"/>
          <w:szCs w:val="24"/>
          <w:lang w:eastAsia="zh-CN"/>
        </w:rPr>
        <w:t>, Leach S, Kaurah P, Jeyes J, Butterfield Y, Huntsman D, Brooks-Wilson AR. Catenin family genes are not commonly mutated in hereditary diffuse gastric cancer. </w:t>
      </w:r>
      <w:r w:rsidRPr="00DF417A">
        <w:rPr>
          <w:rFonts w:cs="SimSun"/>
          <w:i/>
          <w:iCs/>
          <w:color w:val="auto"/>
          <w:kern w:val="0"/>
          <w:szCs w:val="24"/>
          <w:lang w:eastAsia="zh-CN"/>
        </w:rPr>
        <w:t>Cancer Epidemiol Biomarkers Prev</w:t>
      </w:r>
      <w:r w:rsidRPr="00DF417A">
        <w:rPr>
          <w:rFonts w:cs="SimSun"/>
          <w:color w:val="auto"/>
          <w:kern w:val="0"/>
          <w:szCs w:val="24"/>
          <w:lang w:eastAsia="zh-CN"/>
        </w:rPr>
        <w:t> 2012; </w:t>
      </w:r>
      <w:r w:rsidRPr="00DF417A">
        <w:rPr>
          <w:rFonts w:cs="SimSun"/>
          <w:b/>
          <w:bCs/>
          <w:color w:val="auto"/>
          <w:kern w:val="0"/>
          <w:szCs w:val="24"/>
          <w:lang w:eastAsia="zh-CN"/>
        </w:rPr>
        <w:t>21</w:t>
      </w:r>
      <w:r w:rsidRPr="00DF417A">
        <w:rPr>
          <w:rFonts w:cs="SimSun"/>
          <w:color w:val="auto"/>
          <w:kern w:val="0"/>
          <w:szCs w:val="24"/>
          <w:lang w:eastAsia="zh-CN"/>
        </w:rPr>
        <w:t>: 2272-2274 [PMID: 23071139 DOI: 10.1158/1055-9965.EPI-12-1110]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39 </w:t>
      </w:r>
      <w:r w:rsidRPr="00DF417A">
        <w:rPr>
          <w:rFonts w:cs="SimSun"/>
          <w:b/>
          <w:bCs/>
          <w:color w:val="auto"/>
          <w:kern w:val="0"/>
          <w:szCs w:val="24"/>
          <w:lang w:eastAsia="zh-CN"/>
        </w:rPr>
        <w:t>Mimata A</w:t>
      </w:r>
      <w:r w:rsidRPr="00DF417A">
        <w:rPr>
          <w:rFonts w:cs="SimSun"/>
          <w:color w:val="auto"/>
          <w:kern w:val="0"/>
          <w:szCs w:val="24"/>
          <w:lang w:eastAsia="zh-CN"/>
        </w:rPr>
        <w:t>, Fukamachi H, Eishi Y, Yuasa Y. Loss of E-cadherin in mouse gastric epithelial cells induces signet ring-like cells, a possible precursor lesion of diffuse gastric cancer. </w:t>
      </w:r>
      <w:r w:rsidRPr="00DF417A">
        <w:rPr>
          <w:rFonts w:cs="SimSun"/>
          <w:i/>
          <w:iCs/>
          <w:color w:val="auto"/>
          <w:kern w:val="0"/>
          <w:szCs w:val="24"/>
          <w:lang w:eastAsia="zh-CN"/>
        </w:rPr>
        <w:t>Cancer Sci</w:t>
      </w:r>
      <w:r w:rsidRPr="00DF417A">
        <w:rPr>
          <w:rFonts w:cs="SimSun"/>
          <w:color w:val="auto"/>
          <w:kern w:val="0"/>
          <w:szCs w:val="24"/>
          <w:lang w:eastAsia="zh-CN"/>
        </w:rPr>
        <w:t> 2011; </w:t>
      </w:r>
      <w:r w:rsidRPr="00DF417A">
        <w:rPr>
          <w:rFonts w:cs="SimSun"/>
          <w:b/>
          <w:bCs/>
          <w:color w:val="auto"/>
          <w:kern w:val="0"/>
          <w:szCs w:val="24"/>
          <w:lang w:eastAsia="zh-CN"/>
        </w:rPr>
        <w:t>102</w:t>
      </w:r>
      <w:r w:rsidRPr="00DF417A">
        <w:rPr>
          <w:rFonts w:cs="SimSun"/>
          <w:color w:val="auto"/>
          <w:kern w:val="0"/>
          <w:szCs w:val="24"/>
          <w:lang w:eastAsia="zh-CN"/>
        </w:rPr>
        <w:t>: 942-950 [PMID: 21276134 DOI: 10.1111/j.1349-7006.2011.01890.x]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40 </w:t>
      </w:r>
      <w:r w:rsidRPr="00DF417A">
        <w:rPr>
          <w:rFonts w:cs="SimSun"/>
          <w:b/>
          <w:bCs/>
          <w:color w:val="auto"/>
          <w:kern w:val="0"/>
          <w:szCs w:val="24"/>
          <w:lang w:eastAsia="zh-CN"/>
        </w:rPr>
        <w:t>Lynch HT</w:t>
      </w:r>
      <w:r w:rsidRPr="00DF417A">
        <w:rPr>
          <w:rFonts w:cs="SimSun"/>
          <w:color w:val="auto"/>
          <w:kern w:val="0"/>
          <w:szCs w:val="24"/>
          <w:lang w:eastAsia="zh-CN"/>
        </w:rPr>
        <w:t>, Smyrk T, Lynch JF. Overview of natural history, pathology, molecular genetics and management of HNPCC (Lynch Syndrome). </w:t>
      </w:r>
      <w:r w:rsidRPr="00DF417A">
        <w:rPr>
          <w:rFonts w:cs="SimSun"/>
          <w:i/>
          <w:iCs/>
          <w:color w:val="auto"/>
          <w:kern w:val="0"/>
          <w:szCs w:val="24"/>
          <w:lang w:eastAsia="zh-CN"/>
        </w:rPr>
        <w:t>Int J Cancer</w:t>
      </w:r>
      <w:r w:rsidRPr="00DF417A">
        <w:rPr>
          <w:rFonts w:cs="SimSun"/>
          <w:color w:val="auto"/>
          <w:kern w:val="0"/>
          <w:szCs w:val="24"/>
          <w:lang w:eastAsia="zh-CN"/>
        </w:rPr>
        <w:t> 1996; </w:t>
      </w:r>
      <w:r w:rsidRPr="00DF417A">
        <w:rPr>
          <w:rFonts w:cs="SimSun"/>
          <w:b/>
          <w:bCs/>
          <w:color w:val="auto"/>
          <w:kern w:val="0"/>
          <w:szCs w:val="24"/>
          <w:lang w:eastAsia="zh-CN"/>
        </w:rPr>
        <w:t>69</w:t>
      </w:r>
      <w:r w:rsidRPr="00DF417A">
        <w:rPr>
          <w:rFonts w:cs="SimSun"/>
          <w:color w:val="auto"/>
          <w:kern w:val="0"/>
          <w:szCs w:val="24"/>
          <w:lang w:eastAsia="zh-CN"/>
        </w:rPr>
        <w:t>: 38-43 [PMID: 8600057 DOI: 10.1002/(SICI)1097-0215(19960220)69: 1&lt;38: : AID-IJC9&gt;3.0.CO; 2-X]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41 </w:t>
      </w:r>
      <w:r w:rsidRPr="00DF417A">
        <w:rPr>
          <w:rFonts w:cs="SimSun"/>
          <w:b/>
          <w:bCs/>
          <w:color w:val="auto"/>
          <w:kern w:val="0"/>
          <w:szCs w:val="24"/>
          <w:lang w:eastAsia="zh-CN"/>
        </w:rPr>
        <w:t>Watson P</w:t>
      </w:r>
      <w:r w:rsidRPr="00DF417A">
        <w:rPr>
          <w:rFonts w:cs="SimSun"/>
          <w:color w:val="auto"/>
          <w:kern w:val="0"/>
          <w:szCs w:val="24"/>
          <w:lang w:eastAsia="zh-CN"/>
        </w:rPr>
        <w:t xml:space="preserve">, Vasen HF, Mecklin JP, Bernstein I, Aarnio M, Järvinen HJ, Myrhøj T, Sunde L, Wijnen JT, Lynch HT. The risk of extra-colonic, extra-endometrial cancer in </w:t>
      </w:r>
      <w:r w:rsidRPr="00DF417A">
        <w:rPr>
          <w:rFonts w:cs="SimSun"/>
          <w:color w:val="auto"/>
          <w:kern w:val="0"/>
          <w:szCs w:val="24"/>
          <w:lang w:eastAsia="zh-CN"/>
        </w:rPr>
        <w:lastRenderedPageBreak/>
        <w:t>the Lynch syndrome. </w:t>
      </w:r>
      <w:r w:rsidRPr="00DF417A">
        <w:rPr>
          <w:rFonts w:cs="SimSun"/>
          <w:i/>
          <w:iCs/>
          <w:color w:val="auto"/>
          <w:kern w:val="0"/>
          <w:szCs w:val="24"/>
          <w:lang w:eastAsia="zh-CN"/>
        </w:rPr>
        <w:t>Int J Cancer</w:t>
      </w:r>
      <w:r w:rsidRPr="00DF417A">
        <w:rPr>
          <w:rFonts w:cs="SimSun"/>
          <w:color w:val="auto"/>
          <w:kern w:val="0"/>
          <w:szCs w:val="24"/>
          <w:lang w:eastAsia="zh-CN"/>
        </w:rPr>
        <w:t> 2008; </w:t>
      </w:r>
      <w:r w:rsidRPr="00DF417A">
        <w:rPr>
          <w:rFonts w:cs="SimSun"/>
          <w:b/>
          <w:bCs/>
          <w:color w:val="auto"/>
          <w:kern w:val="0"/>
          <w:szCs w:val="24"/>
          <w:lang w:eastAsia="zh-CN"/>
        </w:rPr>
        <w:t>123</w:t>
      </w:r>
      <w:r w:rsidRPr="00DF417A">
        <w:rPr>
          <w:rFonts w:cs="SimSun"/>
          <w:color w:val="auto"/>
          <w:kern w:val="0"/>
          <w:szCs w:val="24"/>
          <w:lang w:eastAsia="zh-CN"/>
        </w:rPr>
        <w:t>: 444-449 [PMID: 18398828 DOI: 10.1002/ijc.23508]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42 </w:t>
      </w:r>
      <w:r w:rsidRPr="00DF417A">
        <w:rPr>
          <w:rFonts w:cs="SimSun"/>
          <w:b/>
          <w:bCs/>
          <w:color w:val="auto"/>
          <w:kern w:val="0"/>
          <w:szCs w:val="24"/>
          <w:lang w:eastAsia="zh-CN"/>
        </w:rPr>
        <w:t>Masciari S</w:t>
      </w:r>
      <w:r w:rsidRPr="00DF417A">
        <w:rPr>
          <w:rFonts w:cs="SimSun"/>
          <w:color w:val="auto"/>
          <w:kern w:val="0"/>
          <w:szCs w:val="24"/>
          <w:lang w:eastAsia="zh-CN"/>
        </w:rPr>
        <w:t>, Dewanwala A, Stoffel EM, Lauwers GY, Zheng H, Achatz MI, Riegert-Johnson D, Foretova L, Silva EM, Digianni L, Verselis SJ, Schneider K, Li FP, Fraumeni J, Garber JE, Syngal S. Gastric cancer in individuals with Li-Fraumeni syndrome.</w:t>
      </w:r>
      <w:r w:rsidR="00AD072B">
        <w:rPr>
          <w:rFonts w:cs="SimSun" w:hint="eastAsia"/>
          <w:color w:val="auto"/>
          <w:kern w:val="0"/>
          <w:szCs w:val="24"/>
          <w:lang w:eastAsia="zh-CN"/>
        </w:rPr>
        <w:t xml:space="preserve"> </w:t>
      </w:r>
      <w:r w:rsidRPr="00DF417A">
        <w:rPr>
          <w:rFonts w:cs="SimSun"/>
          <w:i/>
          <w:iCs/>
          <w:color w:val="auto"/>
          <w:kern w:val="0"/>
          <w:szCs w:val="24"/>
          <w:lang w:eastAsia="zh-CN"/>
        </w:rPr>
        <w:t>Genet Med</w:t>
      </w:r>
      <w:r w:rsidRPr="00DF417A">
        <w:rPr>
          <w:rFonts w:cs="SimSun"/>
          <w:color w:val="auto"/>
          <w:kern w:val="0"/>
          <w:szCs w:val="24"/>
          <w:lang w:eastAsia="zh-CN"/>
        </w:rPr>
        <w:t> 2011; </w:t>
      </w:r>
      <w:r w:rsidRPr="00DF417A">
        <w:rPr>
          <w:rFonts w:cs="SimSun"/>
          <w:b/>
          <w:bCs/>
          <w:color w:val="auto"/>
          <w:kern w:val="0"/>
          <w:szCs w:val="24"/>
          <w:lang w:eastAsia="zh-CN"/>
        </w:rPr>
        <w:t>13</w:t>
      </w:r>
      <w:r w:rsidRPr="00DF417A">
        <w:rPr>
          <w:rFonts w:cs="SimSun"/>
          <w:color w:val="auto"/>
          <w:kern w:val="0"/>
          <w:szCs w:val="24"/>
          <w:lang w:eastAsia="zh-CN"/>
        </w:rPr>
        <w:t>: 651-657 [PMID: 21552135 DOI: 10.1097/GIM.0b013e31821628b6]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43 </w:t>
      </w:r>
      <w:r w:rsidRPr="00DF417A">
        <w:rPr>
          <w:rFonts w:cs="SimSun"/>
          <w:b/>
          <w:bCs/>
          <w:color w:val="auto"/>
          <w:kern w:val="0"/>
          <w:szCs w:val="24"/>
          <w:lang w:eastAsia="zh-CN"/>
        </w:rPr>
        <w:t>Yamada H</w:t>
      </w:r>
      <w:r w:rsidRPr="00DF417A">
        <w:rPr>
          <w:rFonts w:cs="SimSun"/>
          <w:color w:val="auto"/>
          <w:kern w:val="0"/>
          <w:szCs w:val="24"/>
          <w:lang w:eastAsia="zh-CN"/>
        </w:rPr>
        <w:t>, Shinmura K, Okudela K, Goto M, Suzuki M, Kuriki K, Tsuneyoshi T, Sugimura H. Identification and characterization of a novel germ line p53 mutation in familial gastric cancer in the Japanese population. </w:t>
      </w:r>
      <w:r w:rsidRPr="00DF417A">
        <w:rPr>
          <w:rFonts w:cs="SimSun"/>
          <w:i/>
          <w:iCs/>
          <w:color w:val="auto"/>
          <w:kern w:val="0"/>
          <w:szCs w:val="24"/>
          <w:lang w:eastAsia="zh-CN"/>
        </w:rPr>
        <w:t>Carcinogenesis</w:t>
      </w:r>
      <w:r w:rsidRPr="00DF417A">
        <w:rPr>
          <w:rFonts w:cs="SimSun"/>
          <w:color w:val="auto"/>
          <w:kern w:val="0"/>
          <w:szCs w:val="24"/>
          <w:lang w:eastAsia="zh-CN"/>
        </w:rPr>
        <w:t> 2007; </w:t>
      </w:r>
      <w:r w:rsidRPr="00DF417A">
        <w:rPr>
          <w:rFonts w:cs="SimSun"/>
          <w:b/>
          <w:bCs/>
          <w:color w:val="auto"/>
          <w:kern w:val="0"/>
          <w:szCs w:val="24"/>
          <w:lang w:eastAsia="zh-CN"/>
        </w:rPr>
        <w:t>28</w:t>
      </w:r>
      <w:r w:rsidRPr="00DF417A">
        <w:rPr>
          <w:rFonts w:cs="SimSun"/>
          <w:color w:val="auto"/>
          <w:kern w:val="0"/>
          <w:szCs w:val="24"/>
          <w:lang w:eastAsia="zh-CN"/>
        </w:rPr>
        <w:t>: 2013-2018 [PMID: 17690113 DOI: 10.1093/carcin/bgm175]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44 </w:t>
      </w:r>
      <w:r w:rsidRPr="00DF417A">
        <w:rPr>
          <w:rFonts w:cs="SimSun"/>
          <w:b/>
          <w:bCs/>
          <w:color w:val="auto"/>
          <w:kern w:val="0"/>
          <w:szCs w:val="24"/>
          <w:lang w:eastAsia="zh-CN"/>
        </w:rPr>
        <w:t>Hearle N</w:t>
      </w:r>
      <w:r w:rsidRPr="00DF417A">
        <w:rPr>
          <w:rFonts w:cs="SimSun"/>
          <w:color w:val="auto"/>
          <w:kern w:val="0"/>
          <w:szCs w:val="24"/>
          <w:lang w:eastAsia="zh-CN"/>
        </w:rPr>
        <w:t>, Schumacher V, Menko FH, Olschwang S, Boardman LA, Gille JJ, Keller JJ, Westerman AM, Scott RJ, Lim W, Trimbath JD, Giardiello FM, Gruber SB, Offerhaus GJ, de Rooij FW, Wilson JH, Hansmann A, Möslein G, Royer-Pokora B, Vogel T, Phillips RK, Spigelman AD, Houlston RS. Frequency and spectrum of cancers in the Peutz-Jeghers syndrome. </w:t>
      </w:r>
      <w:r w:rsidRPr="00DF417A">
        <w:rPr>
          <w:rFonts w:cs="SimSun"/>
          <w:i/>
          <w:iCs/>
          <w:color w:val="auto"/>
          <w:kern w:val="0"/>
          <w:szCs w:val="24"/>
          <w:lang w:eastAsia="zh-CN"/>
        </w:rPr>
        <w:t>Clin Cancer Res</w:t>
      </w:r>
      <w:r w:rsidRPr="00DF417A">
        <w:rPr>
          <w:rFonts w:cs="SimSun"/>
          <w:color w:val="auto"/>
          <w:kern w:val="0"/>
          <w:szCs w:val="24"/>
          <w:lang w:eastAsia="zh-CN"/>
        </w:rPr>
        <w:t> 2006; </w:t>
      </w:r>
      <w:r w:rsidRPr="00DF417A">
        <w:rPr>
          <w:rFonts w:cs="SimSun"/>
          <w:b/>
          <w:bCs/>
          <w:color w:val="auto"/>
          <w:kern w:val="0"/>
          <w:szCs w:val="24"/>
          <w:lang w:eastAsia="zh-CN"/>
        </w:rPr>
        <w:t>12</w:t>
      </w:r>
      <w:r w:rsidRPr="00DF417A">
        <w:rPr>
          <w:rFonts w:cs="SimSun"/>
          <w:color w:val="auto"/>
          <w:kern w:val="0"/>
          <w:szCs w:val="24"/>
          <w:lang w:eastAsia="zh-CN"/>
        </w:rPr>
        <w:t>: 3209-3215 [PMID: 16707622 DOI: 10.1158/1078-0432.CCR-06-0083]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45 </w:t>
      </w:r>
      <w:r w:rsidRPr="00DF417A">
        <w:rPr>
          <w:rFonts w:cs="SimSun"/>
          <w:b/>
          <w:bCs/>
          <w:color w:val="auto"/>
          <w:kern w:val="0"/>
          <w:szCs w:val="24"/>
          <w:lang w:eastAsia="zh-CN"/>
        </w:rPr>
        <w:t>van Lier MG</w:t>
      </w:r>
      <w:r w:rsidRPr="00DF417A">
        <w:rPr>
          <w:rFonts w:cs="SimSun"/>
          <w:color w:val="auto"/>
          <w:kern w:val="0"/>
          <w:szCs w:val="24"/>
          <w:lang w:eastAsia="zh-CN"/>
        </w:rPr>
        <w:t>, Wagner A, Mathus-Vliegen EM, Kuipers EJ, Steyerberg EW, van Leerdam ME. High cancer risk in Peutz-Jeghers syndrome: a systematic review and surveillance recommendations. </w:t>
      </w:r>
      <w:r w:rsidRPr="00DF417A">
        <w:rPr>
          <w:rFonts w:cs="SimSun"/>
          <w:i/>
          <w:iCs/>
          <w:color w:val="auto"/>
          <w:kern w:val="0"/>
          <w:szCs w:val="24"/>
          <w:lang w:eastAsia="zh-CN"/>
        </w:rPr>
        <w:t>Am J Gastroenterol</w:t>
      </w:r>
      <w:r w:rsidRPr="00DF417A">
        <w:rPr>
          <w:rFonts w:cs="SimSun"/>
          <w:color w:val="auto"/>
          <w:kern w:val="0"/>
          <w:szCs w:val="24"/>
          <w:lang w:eastAsia="zh-CN"/>
        </w:rPr>
        <w:t> 2010; </w:t>
      </w:r>
      <w:r w:rsidRPr="00DF417A">
        <w:rPr>
          <w:rFonts w:cs="SimSun"/>
          <w:b/>
          <w:bCs/>
          <w:color w:val="auto"/>
          <w:kern w:val="0"/>
          <w:szCs w:val="24"/>
          <w:lang w:eastAsia="zh-CN"/>
        </w:rPr>
        <w:t>105</w:t>
      </w:r>
      <w:r w:rsidRPr="00DF417A">
        <w:rPr>
          <w:rFonts w:cs="SimSun"/>
          <w:color w:val="auto"/>
          <w:kern w:val="0"/>
          <w:szCs w:val="24"/>
          <w:lang w:eastAsia="zh-CN"/>
        </w:rPr>
        <w:t>: 1258-164; author reply 1265 [PMID: 20051941 DOI: 10.1038/ajg.2009.725]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46 </w:t>
      </w:r>
      <w:r w:rsidRPr="00DF417A">
        <w:rPr>
          <w:rFonts w:cs="SimSun"/>
          <w:b/>
          <w:bCs/>
          <w:color w:val="auto"/>
          <w:kern w:val="0"/>
          <w:szCs w:val="24"/>
          <w:lang w:eastAsia="zh-CN"/>
        </w:rPr>
        <w:t>Hirota WK</w:t>
      </w:r>
      <w:r w:rsidRPr="00DF417A">
        <w:rPr>
          <w:rFonts w:cs="SimSun"/>
          <w:color w:val="auto"/>
          <w:kern w:val="0"/>
          <w:szCs w:val="24"/>
          <w:lang w:eastAsia="zh-CN"/>
        </w:rPr>
        <w:t>, Zuckerman MJ, Adler DG, Davila RE, Egan J, Leighton JA, Qureshi WA, Rajan E, Fanelli R, Wheeler-Harbaugh J, Baron TH, Faigel DO. ASGE guideline: the role of endoscopy in the surveillance of premalignant conditions of the upper GI tract.</w:t>
      </w:r>
      <w:r w:rsidR="00AD072B">
        <w:rPr>
          <w:rFonts w:cs="SimSun" w:hint="eastAsia"/>
          <w:color w:val="auto"/>
          <w:kern w:val="0"/>
          <w:szCs w:val="24"/>
          <w:lang w:eastAsia="zh-CN"/>
        </w:rPr>
        <w:t xml:space="preserve"> </w:t>
      </w:r>
      <w:r w:rsidRPr="00DF417A">
        <w:rPr>
          <w:rFonts w:cs="SimSun"/>
          <w:i/>
          <w:iCs/>
          <w:color w:val="auto"/>
          <w:kern w:val="0"/>
          <w:szCs w:val="24"/>
          <w:lang w:eastAsia="zh-CN"/>
        </w:rPr>
        <w:t>Gastrointest Endosc</w:t>
      </w:r>
      <w:r w:rsidRPr="00DF417A">
        <w:rPr>
          <w:rFonts w:cs="SimSun"/>
          <w:color w:val="auto"/>
          <w:kern w:val="0"/>
          <w:szCs w:val="24"/>
          <w:lang w:eastAsia="zh-CN"/>
        </w:rPr>
        <w:t> 2006; </w:t>
      </w:r>
      <w:r w:rsidRPr="00DF417A">
        <w:rPr>
          <w:rFonts w:cs="SimSun"/>
          <w:b/>
          <w:bCs/>
          <w:color w:val="auto"/>
          <w:kern w:val="0"/>
          <w:szCs w:val="24"/>
          <w:lang w:eastAsia="zh-CN"/>
        </w:rPr>
        <w:t>63</w:t>
      </w:r>
      <w:r w:rsidRPr="00DF417A">
        <w:rPr>
          <w:rFonts w:cs="SimSun"/>
          <w:color w:val="auto"/>
          <w:kern w:val="0"/>
          <w:szCs w:val="24"/>
          <w:lang w:eastAsia="zh-CN"/>
        </w:rPr>
        <w:t>: 570-580 [PMID: 16564854 DOI: 10.1016/j.gie.2006.02.004]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47 </w:t>
      </w:r>
      <w:r w:rsidRPr="00DF417A">
        <w:rPr>
          <w:rFonts w:cs="SimSun"/>
          <w:b/>
          <w:bCs/>
          <w:color w:val="auto"/>
          <w:kern w:val="0"/>
          <w:szCs w:val="24"/>
          <w:lang w:eastAsia="zh-CN"/>
        </w:rPr>
        <w:t>Cairns SR</w:t>
      </w:r>
      <w:r w:rsidRPr="00DF417A">
        <w:rPr>
          <w:rFonts w:cs="SimSun"/>
          <w:color w:val="auto"/>
          <w:kern w:val="0"/>
          <w:szCs w:val="24"/>
          <w:lang w:eastAsia="zh-CN"/>
        </w:rPr>
        <w:t>, Scholefield JH, Steele RJ, Dunlop MG, Thomas HJ, Evans GD, Eaden JA, Rutter MD, Atkin WP, Saunders BP, Lucassen A, Jenkins P, Fairclough PD, Woodhouse CR. Guidelines for colorectal cancer screening and surveillance in moderate and high risk groups (update from 2002). </w:t>
      </w:r>
      <w:r w:rsidRPr="00DF417A">
        <w:rPr>
          <w:rFonts w:cs="SimSun"/>
          <w:i/>
          <w:iCs/>
          <w:color w:val="auto"/>
          <w:kern w:val="0"/>
          <w:szCs w:val="24"/>
          <w:lang w:eastAsia="zh-CN"/>
        </w:rPr>
        <w:t>Gut</w:t>
      </w:r>
      <w:r w:rsidRPr="00DF417A">
        <w:rPr>
          <w:rFonts w:cs="SimSun"/>
          <w:color w:val="auto"/>
          <w:kern w:val="0"/>
          <w:szCs w:val="24"/>
          <w:lang w:eastAsia="zh-CN"/>
        </w:rPr>
        <w:t> 2010; </w:t>
      </w:r>
      <w:r w:rsidRPr="00DF417A">
        <w:rPr>
          <w:rFonts w:cs="SimSun"/>
          <w:b/>
          <w:bCs/>
          <w:color w:val="auto"/>
          <w:kern w:val="0"/>
          <w:szCs w:val="24"/>
          <w:lang w:eastAsia="zh-CN"/>
        </w:rPr>
        <w:t>59</w:t>
      </w:r>
      <w:r w:rsidRPr="00DF417A">
        <w:rPr>
          <w:rFonts w:cs="SimSun"/>
          <w:color w:val="auto"/>
          <w:kern w:val="0"/>
          <w:szCs w:val="24"/>
          <w:lang w:eastAsia="zh-CN"/>
        </w:rPr>
        <w:t>: 666-689 [PMID: 20427401 DOI: 10.1136/gut.2009.179804]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48 </w:t>
      </w:r>
      <w:r w:rsidRPr="00DF417A">
        <w:rPr>
          <w:rFonts w:cs="SimSun"/>
          <w:b/>
          <w:bCs/>
          <w:color w:val="auto"/>
          <w:kern w:val="0"/>
          <w:szCs w:val="24"/>
          <w:lang w:eastAsia="zh-CN"/>
        </w:rPr>
        <w:t>Jakubowska A</w:t>
      </w:r>
      <w:r w:rsidRPr="00DF417A">
        <w:rPr>
          <w:rFonts w:cs="SimSun"/>
          <w:color w:val="auto"/>
          <w:kern w:val="0"/>
          <w:szCs w:val="24"/>
          <w:lang w:eastAsia="zh-CN"/>
        </w:rPr>
        <w:t>, Nej K, Huzarski T, Scott RJ, Lubiński J. BRCA2 gene mutations in families with aggregations of breast and stomach cancers. </w:t>
      </w:r>
      <w:r w:rsidRPr="00DF417A">
        <w:rPr>
          <w:rFonts w:cs="SimSun"/>
          <w:i/>
          <w:iCs/>
          <w:color w:val="auto"/>
          <w:kern w:val="0"/>
          <w:szCs w:val="24"/>
          <w:lang w:eastAsia="zh-CN"/>
        </w:rPr>
        <w:t>Br J Cancer</w:t>
      </w:r>
      <w:r w:rsidRPr="00DF417A">
        <w:rPr>
          <w:rFonts w:cs="SimSun"/>
          <w:color w:val="auto"/>
          <w:kern w:val="0"/>
          <w:szCs w:val="24"/>
          <w:lang w:eastAsia="zh-CN"/>
        </w:rPr>
        <w:t> 2002; </w:t>
      </w:r>
      <w:r w:rsidRPr="00DF417A">
        <w:rPr>
          <w:rFonts w:cs="SimSun"/>
          <w:b/>
          <w:bCs/>
          <w:color w:val="auto"/>
          <w:kern w:val="0"/>
          <w:szCs w:val="24"/>
          <w:lang w:eastAsia="zh-CN"/>
        </w:rPr>
        <w:t>87</w:t>
      </w:r>
      <w:r w:rsidRPr="00DF417A">
        <w:rPr>
          <w:rFonts w:cs="SimSun"/>
          <w:color w:val="auto"/>
          <w:kern w:val="0"/>
          <w:szCs w:val="24"/>
          <w:lang w:eastAsia="zh-CN"/>
        </w:rPr>
        <w:t>: 888-891 [PMID: 12373604 DOI: 10.1038/sj.bjc.6600562]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49 </w:t>
      </w:r>
      <w:r w:rsidRPr="00DF417A">
        <w:rPr>
          <w:rFonts w:cs="SimSun"/>
          <w:b/>
          <w:bCs/>
          <w:color w:val="auto"/>
          <w:kern w:val="0"/>
          <w:szCs w:val="24"/>
          <w:lang w:eastAsia="zh-CN"/>
        </w:rPr>
        <w:t>Hanahan D</w:t>
      </w:r>
      <w:r w:rsidRPr="00DF417A">
        <w:rPr>
          <w:rFonts w:cs="SimSun"/>
          <w:color w:val="auto"/>
          <w:kern w:val="0"/>
          <w:szCs w:val="24"/>
          <w:lang w:eastAsia="zh-CN"/>
        </w:rPr>
        <w:t>, Weinberg RA. Hallmarks of cancer: the next generation.</w:t>
      </w:r>
      <w:r w:rsidR="00AD072B">
        <w:rPr>
          <w:rFonts w:cs="SimSun" w:hint="eastAsia"/>
          <w:color w:val="auto"/>
          <w:kern w:val="0"/>
          <w:szCs w:val="24"/>
          <w:lang w:eastAsia="zh-CN"/>
        </w:rPr>
        <w:t xml:space="preserve"> </w:t>
      </w:r>
      <w:r w:rsidRPr="00DF417A">
        <w:rPr>
          <w:rFonts w:cs="SimSun"/>
          <w:i/>
          <w:iCs/>
          <w:color w:val="auto"/>
          <w:kern w:val="0"/>
          <w:szCs w:val="24"/>
          <w:lang w:eastAsia="zh-CN"/>
        </w:rPr>
        <w:t>Cell</w:t>
      </w:r>
      <w:r w:rsidR="00AD072B">
        <w:rPr>
          <w:rFonts w:cs="SimSun" w:hint="eastAsia"/>
          <w:color w:val="auto"/>
          <w:kern w:val="0"/>
          <w:szCs w:val="24"/>
          <w:lang w:eastAsia="zh-CN"/>
        </w:rPr>
        <w:t xml:space="preserve"> </w:t>
      </w:r>
      <w:r w:rsidRPr="00DF417A">
        <w:rPr>
          <w:rFonts w:cs="SimSun"/>
          <w:color w:val="auto"/>
          <w:kern w:val="0"/>
          <w:szCs w:val="24"/>
          <w:lang w:eastAsia="zh-CN"/>
        </w:rPr>
        <w:t>2011;</w:t>
      </w:r>
      <w:r w:rsidR="00AD072B">
        <w:rPr>
          <w:rFonts w:cs="SimSun" w:hint="eastAsia"/>
          <w:color w:val="auto"/>
          <w:kern w:val="0"/>
          <w:szCs w:val="24"/>
          <w:lang w:eastAsia="zh-CN"/>
        </w:rPr>
        <w:t xml:space="preserve"> </w:t>
      </w:r>
      <w:r w:rsidRPr="00DF417A">
        <w:rPr>
          <w:rFonts w:cs="SimSun"/>
          <w:b/>
          <w:bCs/>
          <w:color w:val="auto"/>
          <w:kern w:val="0"/>
          <w:szCs w:val="24"/>
          <w:lang w:eastAsia="zh-CN"/>
        </w:rPr>
        <w:t>144</w:t>
      </w:r>
      <w:r w:rsidRPr="00DF417A">
        <w:rPr>
          <w:rFonts w:cs="SimSun"/>
          <w:color w:val="auto"/>
          <w:kern w:val="0"/>
          <w:szCs w:val="24"/>
          <w:lang w:eastAsia="zh-CN"/>
        </w:rPr>
        <w:t>:</w:t>
      </w:r>
      <w:r w:rsidR="00AD072B">
        <w:rPr>
          <w:rFonts w:cs="SimSun" w:hint="eastAsia"/>
          <w:color w:val="auto"/>
          <w:kern w:val="0"/>
          <w:szCs w:val="24"/>
          <w:lang w:eastAsia="zh-CN"/>
        </w:rPr>
        <w:t xml:space="preserve"> </w:t>
      </w:r>
      <w:r w:rsidRPr="00DF417A">
        <w:rPr>
          <w:rFonts w:cs="SimSun"/>
          <w:color w:val="auto"/>
          <w:kern w:val="0"/>
          <w:szCs w:val="24"/>
          <w:lang w:eastAsia="zh-CN"/>
        </w:rPr>
        <w:t>646-674 [PMID: 21376230 DOI: 10.1016/j.cell.2011.02.013]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50 </w:t>
      </w:r>
      <w:r w:rsidRPr="00DF417A">
        <w:rPr>
          <w:rFonts w:cs="SimSun"/>
          <w:b/>
          <w:bCs/>
          <w:color w:val="auto"/>
          <w:kern w:val="0"/>
          <w:szCs w:val="24"/>
          <w:lang w:eastAsia="zh-CN"/>
        </w:rPr>
        <w:t>McLean MH</w:t>
      </w:r>
      <w:r w:rsidRPr="00DF417A">
        <w:rPr>
          <w:rFonts w:cs="SimSun"/>
          <w:color w:val="auto"/>
          <w:kern w:val="0"/>
          <w:szCs w:val="24"/>
          <w:lang w:eastAsia="zh-CN"/>
        </w:rPr>
        <w:t>, El-Omar EM. Genetics of gastric cancer. </w:t>
      </w:r>
      <w:r w:rsidRPr="00DF417A">
        <w:rPr>
          <w:rFonts w:cs="SimSun"/>
          <w:i/>
          <w:iCs/>
          <w:color w:val="auto"/>
          <w:kern w:val="0"/>
          <w:szCs w:val="24"/>
          <w:lang w:eastAsia="zh-CN"/>
        </w:rPr>
        <w:t>Nat Rev Gastroenterol Hepatol</w:t>
      </w:r>
      <w:r w:rsidRPr="00DF417A">
        <w:rPr>
          <w:rFonts w:cs="SimSun"/>
          <w:color w:val="auto"/>
          <w:kern w:val="0"/>
          <w:szCs w:val="24"/>
          <w:lang w:eastAsia="zh-CN"/>
        </w:rPr>
        <w:t> 2014; </w:t>
      </w:r>
      <w:r w:rsidRPr="00DF417A">
        <w:rPr>
          <w:rFonts w:cs="SimSun"/>
          <w:b/>
          <w:bCs/>
          <w:color w:val="auto"/>
          <w:kern w:val="0"/>
          <w:szCs w:val="24"/>
          <w:lang w:eastAsia="zh-CN"/>
        </w:rPr>
        <w:t>11</w:t>
      </w:r>
      <w:r w:rsidRPr="00DF417A">
        <w:rPr>
          <w:rFonts w:cs="SimSun"/>
          <w:color w:val="auto"/>
          <w:kern w:val="0"/>
          <w:szCs w:val="24"/>
          <w:lang w:eastAsia="zh-CN"/>
        </w:rPr>
        <w:t>: 664-674 [PMID: 25134511 DOI: 10.1038/nrgastro.2014.143]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51 </w:t>
      </w:r>
      <w:r w:rsidRPr="00DF417A">
        <w:rPr>
          <w:rFonts w:cs="SimSun"/>
          <w:b/>
          <w:bCs/>
          <w:color w:val="auto"/>
          <w:kern w:val="0"/>
          <w:szCs w:val="24"/>
          <w:lang w:eastAsia="zh-CN"/>
        </w:rPr>
        <w:t>Nishimura T</w:t>
      </w:r>
      <w:r w:rsidRPr="00DF417A">
        <w:rPr>
          <w:rFonts w:cs="SimSun"/>
          <w:color w:val="auto"/>
          <w:kern w:val="0"/>
          <w:szCs w:val="24"/>
          <w:lang w:eastAsia="zh-CN"/>
        </w:rPr>
        <w:t>. Total number of genome alterations in sporadic gastrointestinal cancer inferred from pooled analyses in the literature. </w:t>
      </w:r>
      <w:r w:rsidRPr="00DF417A">
        <w:rPr>
          <w:rFonts w:cs="SimSun"/>
          <w:i/>
          <w:iCs/>
          <w:color w:val="auto"/>
          <w:kern w:val="0"/>
          <w:szCs w:val="24"/>
          <w:lang w:eastAsia="zh-CN"/>
        </w:rPr>
        <w:t>Tumour Biol</w:t>
      </w:r>
      <w:r w:rsidRPr="00DF417A">
        <w:rPr>
          <w:rFonts w:cs="SimSun"/>
          <w:color w:val="auto"/>
          <w:kern w:val="0"/>
          <w:szCs w:val="24"/>
          <w:lang w:eastAsia="zh-CN"/>
        </w:rPr>
        <w:t> 2008; </w:t>
      </w:r>
      <w:r w:rsidRPr="00DF417A">
        <w:rPr>
          <w:rFonts w:cs="SimSun"/>
          <w:b/>
          <w:bCs/>
          <w:color w:val="auto"/>
          <w:kern w:val="0"/>
          <w:szCs w:val="24"/>
          <w:lang w:eastAsia="zh-CN"/>
        </w:rPr>
        <w:t>29</w:t>
      </w:r>
      <w:r w:rsidRPr="00DF417A">
        <w:rPr>
          <w:rFonts w:cs="SimSun"/>
          <w:color w:val="auto"/>
          <w:kern w:val="0"/>
          <w:szCs w:val="24"/>
          <w:lang w:eastAsia="zh-CN"/>
        </w:rPr>
        <w:t>: 343-350 [PMID: 19023234 DOI: 10.1159/000176044]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52 </w:t>
      </w:r>
      <w:r w:rsidRPr="00DF417A">
        <w:rPr>
          <w:rFonts w:cs="SimSun"/>
          <w:b/>
          <w:bCs/>
          <w:color w:val="auto"/>
          <w:kern w:val="0"/>
          <w:szCs w:val="24"/>
          <w:lang w:eastAsia="zh-CN"/>
        </w:rPr>
        <w:t>Collins FS</w:t>
      </w:r>
      <w:r w:rsidRPr="00DF417A">
        <w:rPr>
          <w:rFonts w:cs="SimSun"/>
          <w:color w:val="auto"/>
          <w:kern w:val="0"/>
          <w:szCs w:val="24"/>
          <w:lang w:eastAsia="zh-CN"/>
        </w:rPr>
        <w:t>, Brooks LD, Chakravarti A. A DNA polymorphism discovery resource for research on human genetic variation. </w:t>
      </w:r>
      <w:r w:rsidRPr="00DF417A">
        <w:rPr>
          <w:rFonts w:cs="SimSun"/>
          <w:i/>
          <w:iCs/>
          <w:color w:val="auto"/>
          <w:kern w:val="0"/>
          <w:szCs w:val="24"/>
          <w:lang w:eastAsia="zh-CN"/>
        </w:rPr>
        <w:t>Genome Res</w:t>
      </w:r>
      <w:r w:rsidRPr="00DF417A">
        <w:rPr>
          <w:rFonts w:cs="SimSun"/>
          <w:color w:val="auto"/>
          <w:kern w:val="0"/>
          <w:szCs w:val="24"/>
          <w:lang w:eastAsia="zh-CN"/>
        </w:rPr>
        <w:t> 1998; </w:t>
      </w:r>
      <w:r w:rsidRPr="00DF417A">
        <w:rPr>
          <w:rFonts w:cs="SimSun"/>
          <w:b/>
          <w:bCs/>
          <w:color w:val="auto"/>
          <w:kern w:val="0"/>
          <w:szCs w:val="24"/>
          <w:lang w:eastAsia="zh-CN"/>
        </w:rPr>
        <w:t>8</w:t>
      </w:r>
      <w:r w:rsidRPr="00DF417A">
        <w:rPr>
          <w:rFonts w:cs="SimSun"/>
          <w:color w:val="auto"/>
          <w:kern w:val="0"/>
          <w:szCs w:val="24"/>
          <w:lang w:eastAsia="zh-CN"/>
        </w:rPr>
        <w:t>: 1229-1231 [PMID: 9872978]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53 </w:t>
      </w:r>
      <w:r w:rsidRPr="00DF417A">
        <w:rPr>
          <w:rFonts w:cs="SimSun"/>
          <w:b/>
          <w:bCs/>
          <w:color w:val="auto"/>
          <w:kern w:val="0"/>
          <w:szCs w:val="24"/>
          <w:lang w:eastAsia="zh-CN"/>
        </w:rPr>
        <w:t>Saeki N</w:t>
      </w:r>
      <w:r w:rsidRPr="00DF417A">
        <w:rPr>
          <w:rFonts w:cs="SimSun"/>
          <w:color w:val="auto"/>
          <w:kern w:val="0"/>
          <w:szCs w:val="24"/>
          <w:lang w:eastAsia="zh-CN"/>
        </w:rPr>
        <w:t>, Saito A, Choi IJ, Matsuo K, Ohnami S, Totsuka H, Chiku S, Kuchiba A, Lee YS, Yoon KA, Kook MC, Park SR, Kim YW, Tanaka H, Tajima K, Hirose H, Tanioka F, Matsuno Y, Sugimura H, Kato S, Nakamura T, Nishina T, Yasui W, Aoyagi K, Sasaki H, Yanagihara K, Katai H, Shimoda T, Yoshida T, Nakamura Y, Hirohashi S, Sakamoto H. A functional single nucleotide polymorphism in mucin 1, at chromosome 1q22, determines susceptibility to diffuse-type gastric cancer.</w:t>
      </w:r>
      <w:r w:rsidR="00AD072B">
        <w:rPr>
          <w:rFonts w:cs="SimSun" w:hint="eastAsia"/>
          <w:color w:val="auto"/>
          <w:kern w:val="0"/>
          <w:szCs w:val="24"/>
          <w:lang w:eastAsia="zh-CN"/>
        </w:rPr>
        <w:t xml:space="preserve"> </w:t>
      </w:r>
      <w:r w:rsidRPr="00DF417A">
        <w:rPr>
          <w:rFonts w:cs="SimSun"/>
          <w:i/>
          <w:iCs/>
          <w:color w:val="auto"/>
          <w:kern w:val="0"/>
          <w:szCs w:val="24"/>
          <w:lang w:eastAsia="zh-CN"/>
        </w:rPr>
        <w:t>Gastroenterology</w:t>
      </w:r>
      <w:r w:rsidR="00AD072B">
        <w:rPr>
          <w:rFonts w:cs="SimSun" w:hint="eastAsia"/>
          <w:color w:val="auto"/>
          <w:kern w:val="0"/>
          <w:szCs w:val="24"/>
          <w:lang w:eastAsia="zh-CN"/>
        </w:rPr>
        <w:t xml:space="preserve"> </w:t>
      </w:r>
      <w:r w:rsidRPr="00DF417A">
        <w:rPr>
          <w:rFonts w:cs="SimSun"/>
          <w:color w:val="auto"/>
          <w:kern w:val="0"/>
          <w:szCs w:val="24"/>
          <w:lang w:eastAsia="zh-CN"/>
        </w:rPr>
        <w:t>2011; </w:t>
      </w:r>
      <w:r w:rsidRPr="00DF417A">
        <w:rPr>
          <w:rFonts w:cs="SimSun"/>
          <w:b/>
          <w:bCs/>
          <w:color w:val="auto"/>
          <w:kern w:val="0"/>
          <w:szCs w:val="24"/>
          <w:lang w:eastAsia="zh-CN"/>
        </w:rPr>
        <w:t>140</w:t>
      </w:r>
      <w:r w:rsidRPr="00DF417A">
        <w:rPr>
          <w:rFonts w:cs="SimSun"/>
          <w:color w:val="auto"/>
          <w:kern w:val="0"/>
          <w:szCs w:val="24"/>
          <w:lang w:eastAsia="zh-CN"/>
        </w:rPr>
        <w:t>: 892-902 [PMID: 21070779 DOI: 10.1053/j.gastro.2010.10.058]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54 </w:t>
      </w:r>
      <w:r w:rsidRPr="00DF417A">
        <w:rPr>
          <w:rFonts w:cs="SimSun"/>
          <w:b/>
          <w:bCs/>
          <w:color w:val="auto"/>
          <w:kern w:val="0"/>
          <w:szCs w:val="24"/>
          <w:lang w:eastAsia="zh-CN"/>
        </w:rPr>
        <w:t>Saeki N</w:t>
      </w:r>
      <w:r w:rsidRPr="00DF417A">
        <w:rPr>
          <w:rFonts w:cs="SimSun"/>
          <w:color w:val="auto"/>
          <w:kern w:val="0"/>
          <w:szCs w:val="24"/>
          <w:lang w:eastAsia="zh-CN"/>
        </w:rPr>
        <w:t>, Ono H, Sakamoto H, Yoshida T. Genetic factors related to gastric cancer susceptibility identified using a genome-wide association study. </w:t>
      </w:r>
      <w:r w:rsidRPr="00DF417A">
        <w:rPr>
          <w:rFonts w:cs="SimSun"/>
          <w:i/>
          <w:iCs/>
          <w:color w:val="auto"/>
          <w:kern w:val="0"/>
          <w:szCs w:val="24"/>
          <w:lang w:eastAsia="zh-CN"/>
        </w:rPr>
        <w:t>Cancer Sci</w:t>
      </w:r>
      <w:r w:rsidRPr="00DF417A">
        <w:rPr>
          <w:rFonts w:cs="SimSun"/>
          <w:color w:val="auto"/>
          <w:kern w:val="0"/>
          <w:szCs w:val="24"/>
          <w:lang w:eastAsia="zh-CN"/>
        </w:rPr>
        <w:t> 2013; </w:t>
      </w:r>
      <w:r w:rsidRPr="00DF417A">
        <w:rPr>
          <w:rFonts w:cs="SimSun"/>
          <w:b/>
          <w:bCs/>
          <w:color w:val="auto"/>
          <w:kern w:val="0"/>
          <w:szCs w:val="24"/>
          <w:lang w:eastAsia="zh-CN"/>
        </w:rPr>
        <w:t>104</w:t>
      </w:r>
      <w:r w:rsidRPr="00DF417A">
        <w:rPr>
          <w:rFonts w:cs="SimSun"/>
          <w:color w:val="auto"/>
          <w:kern w:val="0"/>
          <w:szCs w:val="24"/>
          <w:lang w:eastAsia="zh-CN"/>
        </w:rPr>
        <w:t>: 1-8 [PMID: 23057512 DOI: 10.1111/cas.12042]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55 </w:t>
      </w:r>
      <w:r w:rsidRPr="00DF417A">
        <w:rPr>
          <w:rFonts w:cs="SimSun"/>
          <w:b/>
          <w:bCs/>
          <w:color w:val="auto"/>
          <w:kern w:val="0"/>
          <w:szCs w:val="24"/>
          <w:lang w:eastAsia="zh-CN"/>
        </w:rPr>
        <w:t>Kimang'a AN</w:t>
      </w:r>
      <w:r w:rsidRPr="00DF417A">
        <w:rPr>
          <w:rFonts w:cs="SimSun"/>
          <w:color w:val="auto"/>
          <w:kern w:val="0"/>
          <w:szCs w:val="24"/>
          <w:lang w:eastAsia="zh-CN"/>
        </w:rPr>
        <w:t>. IL-1B-511 Allele T and IL-1RN-L/L Play a Pathological Role in Helicobacter Pylori (H. Pylori) Disease Outcome in the African Population. </w:t>
      </w:r>
      <w:r w:rsidRPr="00DF417A">
        <w:rPr>
          <w:rFonts w:cs="SimSun"/>
          <w:i/>
          <w:iCs/>
          <w:color w:val="auto"/>
          <w:kern w:val="0"/>
          <w:szCs w:val="24"/>
          <w:lang w:eastAsia="zh-CN"/>
        </w:rPr>
        <w:t>Ethiop J Health Sci</w:t>
      </w:r>
      <w:r w:rsidRPr="00DF417A">
        <w:rPr>
          <w:rFonts w:cs="SimSun"/>
          <w:color w:val="auto"/>
          <w:kern w:val="0"/>
          <w:szCs w:val="24"/>
          <w:lang w:eastAsia="zh-CN"/>
        </w:rPr>
        <w:t> 2012; </w:t>
      </w:r>
      <w:r w:rsidRPr="00DF417A">
        <w:rPr>
          <w:rFonts w:cs="SimSun"/>
          <w:b/>
          <w:bCs/>
          <w:color w:val="auto"/>
          <w:kern w:val="0"/>
          <w:szCs w:val="24"/>
          <w:lang w:eastAsia="zh-CN"/>
        </w:rPr>
        <w:t>22</w:t>
      </w:r>
      <w:r w:rsidRPr="00DF417A">
        <w:rPr>
          <w:rFonts w:cs="SimSun"/>
          <w:color w:val="auto"/>
          <w:kern w:val="0"/>
          <w:szCs w:val="24"/>
          <w:lang w:eastAsia="zh-CN"/>
        </w:rPr>
        <w:t>: 163-169 [PMID: 23209350]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56 </w:t>
      </w:r>
      <w:r w:rsidRPr="00DF417A">
        <w:rPr>
          <w:rFonts w:cs="SimSun"/>
          <w:b/>
          <w:bCs/>
          <w:color w:val="auto"/>
          <w:kern w:val="0"/>
          <w:szCs w:val="24"/>
          <w:lang w:eastAsia="zh-CN"/>
        </w:rPr>
        <w:t>Zhao JD</w:t>
      </w:r>
      <w:r w:rsidRPr="00DF417A">
        <w:rPr>
          <w:rFonts w:cs="SimSun"/>
          <w:color w:val="auto"/>
          <w:kern w:val="0"/>
          <w:szCs w:val="24"/>
          <w:lang w:eastAsia="zh-CN"/>
        </w:rPr>
        <w:t>, Geng PL, Li ZQ, Cui S, Zhao JH, Wang LJ, Li JZ, Ji FX, Li GY, Shen GS, Lin MZ, Shen CF, Cao CZ. Associations between interleukin-1 polymorphisms and gastric cancers among three ethnicities. </w:t>
      </w:r>
      <w:r w:rsidRPr="00DF417A">
        <w:rPr>
          <w:rFonts w:cs="SimSun"/>
          <w:i/>
          <w:iCs/>
          <w:color w:val="auto"/>
          <w:kern w:val="0"/>
          <w:szCs w:val="24"/>
          <w:lang w:eastAsia="zh-CN"/>
        </w:rPr>
        <w:t>World J Gastroenterol</w:t>
      </w:r>
      <w:r w:rsidRPr="00DF417A">
        <w:rPr>
          <w:rFonts w:cs="SimSun"/>
          <w:color w:val="auto"/>
          <w:kern w:val="0"/>
          <w:szCs w:val="24"/>
          <w:lang w:eastAsia="zh-CN"/>
        </w:rPr>
        <w:t> 2012; </w:t>
      </w:r>
      <w:r w:rsidRPr="00DF417A">
        <w:rPr>
          <w:rFonts w:cs="SimSun"/>
          <w:b/>
          <w:bCs/>
          <w:color w:val="auto"/>
          <w:kern w:val="0"/>
          <w:szCs w:val="24"/>
          <w:lang w:eastAsia="zh-CN"/>
        </w:rPr>
        <w:t>18</w:t>
      </w:r>
      <w:r w:rsidRPr="00DF417A">
        <w:rPr>
          <w:rFonts w:cs="SimSun"/>
          <w:color w:val="auto"/>
          <w:kern w:val="0"/>
          <w:szCs w:val="24"/>
          <w:lang w:eastAsia="zh-CN"/>
        </w:rPr>
        <w:t>: 7093-7099 [PMID: 23323013 DOI: 10.3748/wjg.v18.i47.7093]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57 </w:t>
      </w:r>
      <w:r w:rsidRPr="00DF417A">
        <w:rPr>
          <w:rFonts w:cs="SimSun"/>
          <w:b/>
          <w:bCs/>
          <w:color w:val="auto"/>
          <w:kern w:val="0"/>
          <w:szCs w:val="24"/>
          <w:lang w:eastAsia="zh-CN"/>
        </w:rPr>
        <w:t>Camargo MC</w:t>
      </w:r>
      <w:r w:rsidRPr="00DF417A">
        <w:rPr>
          <w:rFonts w:cs="SimSun"/>
          <w:color w:val="auto"/>
          <w:kern w:val="0"/>
          <w:szCs w:val="24"/>
          <w:lang w:eastAsia="zh-CN"/>
        </w:rPr>
        <w:t>, Mera R, Correa P, Peek RM, Fontham ET, Goodman KJ, Piazuelo MB, Sicinschi L, Zabaleta J, Schneider BG. Interleukin-1beta and interleukin-1 receptor antagonist gene polymorphisms and gastric cancer: a meta-analysis. </w:t>
      </w:r>
      <w:r w:rsidRPr="00DF417A">
        <w:rPr>
          <w:rFonts w:cs="SimSun"/>
          <w:i/>
          <w:iCs/>
          <w:color w:val="auto"/>
          <w:kern w:val="0"/>
          <w:szCs w:val="24"/>
          <w:lang w:eastAsia="zh-CN"/>
        </w:rPr>
        <w:t>Cancer Epidemiol Biomarkers Prev</w:t>
      </w:r>
      <w:r w:rsidRPr="00DF417A">
        <w:rPr>
          <w:rFonts w:cs="SimSun"/>
          <w:color w:val="auto"/>
          <w:kern w:val="0"/>
          <w:szCs w:val="24"/>
          <w:lang w:eastAsia="zh-CN"/>
        </w:rPr>
        <w:t> 2006; </w:t>
      </w:r>
      <w:r w:rsidRPr="00DF417A">
        <w:rPr>
          <w:rFonts w:cs="SimSun"/>
          <w:b/>
          <w:bCs/>
          <w:color w:val="auto"/>
          <w:kern w:val="0"/>
          <w:szCs w:val="24"/>
          <w:lang w:eastAsia="zh-CN"/>
        </w:rPr>
        <w:t>15</w:t>
      </w:r>
      <w:r w:rsidRPr="00DF417A">
        <w:rPr>
          <w:rFonts w:cs="SimSun"/>
          <w:color w:val="auto"/>
          <w:kern w:val="0"/>
          <w:szCs w:val="24"/>
          <w:lang w:eastAsia="zh-CN"/>
        </w:rPr>
        <w:t>: 1674-1687 [PMID: 16985030 DOI: 10.1158/1055-9965.EPI-06-0189]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58 </w:t>
      </w:r>
      <w:r w:rsidRPr="00DF417A">
        <w:rPr>
          <w:rFonts w:cs="SimSun"/>
          <w:b/>
          <w:bCs/>
          <w:color w:val="auto"/>
          <w:kern w:val="0"/>
          <w:szCs w:val="24"/>
          <w:lang w:eastAsia="zh-CN"/>
        </w:rPr>
        <w:t>Vincenzi B</w:t>
      </w:r>
      <w:r w:rsidRPr="00DF417A">
        <w:rPr>
          <w:rFonts w:cs="SimSun"/>
          <w:color w:val="auto"/>
          <w:kern w:val="0"/>
          <w:szCs w:val="24"/>
          <w:lang w:eastAsia="zh-CN"/>
        </w:rPr>
        <w:t>, Patti G, Galluzzo S, Pantano F, Venditti O, Santini D, Ruzzo A, Schiavon G, Caraglia M, Marra M, Graziano F, Tonini G. Interleukin 1beta-511T gene (IL1beta) polymorphism is correlated with gastric cancer in the Caucasian population: results from a meta-analysis. </w:t>
      </w:r>
      <w:r w:rsidRPr="00DF417A">
        <w:rPr>
          <w:rFonts w:cs="SimSun"/>
          <w:i/>
          <w:iCs/>
          <w:color w:val="auto"/>
          <w:kern w:val="0"/>
          <w:szCs w:val="24"/>
          <w:lang w:eastAsia="zh-CN"/>
        </w:rPr>
        <w:t>Oncol Rep</w:t>
      </w:r>
      <w:r w:rsidRPr="00DF417A">
        <w:rPr>
          <w:rFonts w:cs="SimSun"/>
          <w:color w:val="auto"/>
          <w:kern w:val="0"/>
          <w:szCs w:val="24"/>
          <w:lang w:eastAsia="zh-CN"/>
        </w:rPr>
        <w:t> 2008; </w:t>
      </w:r>
      <w:r w:rsidRPr="00DF417A">
        <w:rPr>
          <w:rFonts w:cs="SimSun"/>
          <w:b/>
          <w:bCs/>
          <w:color w:val="auto"/>
          <w:kern w:val="0"/>
          <w:szCs w:val="24"/>
          <w:lang w:eastAsia="zh-CN"/>
        </w:rPr>
        <w:t>20</w:t>
      </w:r>
      <w:r w:rsidRPr="00DF417A">
        <w:rPr>
          <w:rFonts w:cs="SimSun"/>
          <w:color w:val="auto"/>
          <w:kern w:val="0"/>
          <w:szCs w:val="24"/>
          <w:lang w:eastAsia="zh-CN"/>
        </w:rPr>
        <w:t>: 1213-1220 [PMID: 18949424 DOI: 10.3892/or_00000132]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59 </w:t>
      </w:r>
      <w:r w:rsidRPr="00DF417A">
        <w:rPr>
          <w:rFonts w:cs="SimSun"/>
          <w:b/>
          <w:bCs/>
          <w:color w:val="auto"/>
          <w:kern w:val="0"/>
          <w:szCs w:val="24"/>
          <w:lang w:eastAsia="zh-CN"/>
        </w:rPr>
        <w:t>Loh M</w:t>
      </w:r>
      <w:r w:rsidRPr="00DF417A">
        <w:rPr>
          <w:rFonts w:cs="SimSun"/>
          <w:color w:val="auto"/>
          <w:kern w:val="0"/>
          <w:szCs w:val="24"/>
          <w:lang w:eastAsia="zh-CN"/>
        </w:rPr>
        <w:t>, Koh KX, Yeo BH, Song CM, Chia KS, Zhu F, Yeoh KG, Hill J, Iacopetta B, Soong R. Meta-analysis of genetic polymorphisms and gastric cancer risk: variability in associations according to race. </w:t>
      </w:r>
      <w:r w:rsidRPr="00DF417A">
        <w:rPr>
          <w:rFonts w:cs="SimSun"/>
          <w:i/>
          <w:iCs/>
          <w:color w:val="auto"/>
          <w:kern w:val="0"/>
          <w:szCs w:val="24"/>
          <w:lang w:eastAsia="zh-CN"/>
        </w:rPr>
        <w:t>Eur J Cancer</w:t>
      </w:r>
      <w:r w:rsidRPr="00DF417A">
        <w:rPr>
          <w:rFonts w:cs="SimSun"/>
          <w:color w:val="auto"/>
          <w:kern w:val="0"/>
          <w:szCs w:val="24"/>
          <w:lang w:eastAsia="zh-CN"/>
        </w:rPr>
        <w:t> 2009; </w:t>
      </w:r>
      <w:r w:rsidRPr="00DF417A">
        <w:rPr>
          <w:rFonts w:cs="SimSun"/>
          <w:b/>
          <w:bCs/>
          <w:color w:val="auto"/>
          <w:kern w:val="0"/>
          <w:szCs w:val="24"/>
          <w:lang w:eastAsia="zh-CN"/>
        </w:rPr>
        <w:t>45</w:t>
      </w:r>
      <w:r w:rsidRPr="00DF417A">
        <w:rPr>
          <w:rFonts w:cs="SimSun"/>
          <w:color w:val="auto"/>
          <w:kern w:val="0"/>
          <w:szCs w:val="24"/>
          <w:lang w:eastAsia="zh-CN"/>
        </w:rPr>
        <w:t>: 2562-2568 [PMID: 19375306 DOI: 10.1016/j.ejca.2009.03.017]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60 </w:t>
      </w:r>
      <w:r w:rsidRPr="00DF417A">
        <w:rPr>
          <w:rFonts w:cs="SimSun"/>
          <w:b/>
          <w:bCs/>
          <w:color w:val="auto"/>
          <w:kern w:val="0"/>
          <w:szCs w:val="24"/>
          <w:lang w:eastAsia="zh-CN"/>
        </w:rPr>
        <w:t>Xue H</w:t>
      </w:r>
      <w:r w:rsidRPr="00DF417A">
        <w:rPr>
          <w:rFonts w:cs="SimSun"/>
          <w:color w:val="auto"/>
          <w:kern w:val="0"/>
          <w:szCs w:val="24"/>
          <w:lang w:eastAsia="zh-CN"/>
        </w:rPr>
        <w:t>, Lin B, Ni P, Xu H, Huang G. Interleukin-1B and interleukin-1 RN polymorphisms and gastric carcinoma risk: a meta-analysis. </w:t>
      </w:r>
      <w:r w:rsidRPr="00DF417A">
        <w:rPr>
          <w:rFonts w:cs="SimSun"/>
          <w:i/>
          <w:iCs/>
          <w:color w:val="auto"/>
          <w:kern w:val="0"/>
          <w:szCs w:val="24"/>
          <w:lang w:eastAsia="zh-CN"/>
        </w:rPr>
        <w:t>J Gastroenterol Hepatol</w:t>
      </w:r>
      <w:r w:rsidRPr="00DF417A">
        <w:rPr>
          <w:rFonts w:cs="SimSun"/>
          <w:color w:val="auto"/>
          <w:kern w:val="0"/>
          <w:szCs w:val="24"/>
          <w:lang w:eastAsia="zh-CN"/>
        </w:rPr>
        <w:t> 2010; </w:t>
      </w:r>
      <w:r w:rsidRPr="00DF417A">
        <w:rPr>
          <w:rFonts w:cs="SimSun"/>
          <w:b/>
          <w:bCs/>
          <w:color w:val="auto"/>
          <w:kern w:val="0"/>
          <w:szCs w:val="24"/>
          <w:lang w:eastAsia="zh-CN"/>
        </w:rPr>
        <w:t>25</w:t>
      </w:r>
      <w:r w:rsidRPr="00DF417A">
        <w:rPr>
          <w:rFonts w:cs="SimSun"/>
          <w:color w:val="auto"/>
          <w:kern w:val="0"/>
          <w:szCs w:val="24"/>
          <w:lang w:eastAsia="zh-CN"/>
        </w:rPr>
        <w:t>: 1604-1617 [PMID: 20880168 DOI: 10.1111/j.1440-1746.2010.06428.x]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61 </w:t>
      </w:r>
      <w:r w:rsidRPr="00DF417A">
        <w:rPr>
          <w:rFonts w:cs="SimSun"/>
          <w:b/>
          <w:bCs/>
          <w:color w:val="auto"/>
          <w:kern w:val="0"/>
          <w:szCs w:val="24"/>
          <w:lang w:eastAsia="zh-CN"/>
        </w:rPr>
        <w:t>Qinghai Z</w:t>
      </w:r>
      <w:r w:rsidRPr="00DF417A">
        <w:rPr>
          <w:rFonts w:cs="SimSun"/>
          <w:color w:val="auto"/>
          <w:kern w:val="0"/>
          <w:szCs w:val="24"/>
          <w:lang w:eastAsia="zh-CN"/>
        </w:rPr>
        <w:t>, Yanying W, Yunfang C, Xukui Z, Xiaoqiao Z. Effect of interleukin-17A and interleukin-17F gene polymorphisms on the risk of gastric cancer in a Chinese population. </w:t>
      </w:r>
      <w:r w:rsidRPr="00DF417A">
        <w:rPr>
          <w:rFonts w:cs="SimSun"/>
          <w:i/>
          <w:iCs/>
          <w:color w:val="auto"/>
          <w:kern w:val="0"/>
          <w:szCs w:val="24"/>
          <w:lang w:eastAsia="zh-CN"/>
        </w:rPr>
        <w:t>Gene</w:t>
      </w:r>
      <w:r w:rsidRPr="00DF417A">
        <w:rPr>
          <w:rFonts w:cs="SimSun"/>
          <w:color w:val="auto"/>
          <w:kern w:val="0"/>
          <w:szCs w:val="24"/>
          <w:lang w:eastAsia="zh-CN"/>
        </w:rPr>
        <w:t> 2014; </w:t>
      </w:r>
      <w:r w:rsidRPr="00DF417A">
        <w:rPr>
          <w:rFonts w:cs="SimSun"/>
          <w:b/>
          <w:bCs/>
          <w:color w:val="auto"/>
          <w:kern w:val="0"/>
          <w:szCs w:val="24"/>
          <w:lang w:eastAsia="zh-CN"/>
        </w:rPr>
        <w:t>537</w:t>
      </w:r>
      <w:r w:rsidRPr="00DF417A">
        <w:rPr>
          <w:rFonts w:cs="SimSun"/>
          <w:color w:val="auto"/>
          <w:kern w:val="0"/>
          <w:szCs w:val="24"/>
          <w:lang w:eastAsia="zh-CN"/>
        </w:rPr>
        <w:t>: 328-332 [PMID: 24315816 DOI: 10.1016/j.gene.2013.11.007]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62 </w:t>
      </w:r>
      <w:r w:rsidRPr="00DF417A">
        <w:rPr>
          <w:rFonts w:cs="SimSun"/>
          <w:b/>
          <w:bCs/>
          <w:color w:val="auto"/>
          <w:kern w:val="0"/>
          <w:szCs w:val="24"/>
          <w:lang w:eastAsia="zh-CN"/>
        </w:rPr>
        <w:t>Zhang X</w:t>
      </w:r>
      <w:r w:rsidRPr="00DF417A">
        <w:rPr>
          <w:rFonts w:cs="SimSun"/>
          <w:color w:val="auto"/>
          <w:kern w:val="0"/>
          <w:szCs w:val="24"/>
          <w:lang w:eastAsia="zh-CN"/>
        </w:rPr>
        <w:t>, Zheng L, Sun Y, Zhang X. Analysis of the association of interleukin-17 gene polymorphisms with gastric cancer risk and interaction with Helicobacter pylori infection in a Chinese population. </w:t>
      </w:r>
      <w:r w:rsidRPr="00DF417A">
        <w:rPr>
          <w:rFonts w:cs="SimSun"/>
          <w:i/>
          <w:iCs/>
          <w:color w:val="auto"/>
          <w:kern w:val="0"/>
          <w:szCs w:val="24"/>
          <w:lang w:eastAsia="zh-CN"/>
        </w:rPr>
        <w:t>Tumour Biol</w:t>
      </w:r>
      <w:r w:rsidRPr="00DF417A">
        <w:rPr>
          <w:rFonts w:cs="SimSun"/>
          <w:color w:val="auto"/>
          <w:kern w:val="0"/>
          <w:szCs w:val="24"/>
          <w:lang w:eastAsia="zh-CN"/>
        </w:rPr>
        <w:t> 2014; </w:t>
      </w:r>
      <w:r w:rsidRPr="00DF417A">
        <w:rPr>
          <w:rFonts w:cs="SimSun"/>
          <w:b/>
          <w:bCs/>
          <w:color w:val="auto"/>
          <w:kern w:val="0"/>
          <w:szCs w:val="24"/>
          <w:lang w:eastAsia="zh-CN"/>
        </w:rPr>
        <w:t>35</w:t>
      </w:r>
      <w:r w:rsidRPr="00DF417A">
        <w:rPr>
          <w:rFonts w:cs="SimSun"/>
          <w:color w:val="auto"/>
          <w:kern w:val="0"/>
          <w:szCs w:val="24"/>
          <w:lang w:eastAsia="zh-CN"/>
        </w:rPr>
        <w:t>: 1575-1580 [PMID: 24218334 DOI: 10.1007/s13277-013-1217-x]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63 </w:t>
      </w:r>
      <w:r w:rsidRPr="00DF417A">
        <w:rPr>
          <w:rFonts w:cs="SimSun"/>
          <w:b/>
          <w:bCs/>
          <w:color w:val="auto"/>
          <w:kern w:val="0"/>
          <w:szCs w:val="24"/>
          <w:lang w:eastAsia="zh-CN"/>
        </w:rPr>
        <w:t>Rafiei A</w:t>
      </w:r>
      <w:r w:rsidRPr="00DF417A">
        <w:rPr>
          <w:rFonts w:cs="SimSun"/>
          <w:color w:val="auto"/>
          <w:kern w:val="0"/>
          <w:szCs w:val="24"/>
          <w:lang w:eastAsia="zh-CN"/>
        </w:rPr>
        <w:t>, Hosseini V, Janbabai G, Ghorbani A, Ajami A, Farzmandfar T, Azizi MD, Gilbreath JJ, Merrell DS. Polymorphism in the interleukin-17A promoter contributes to gastric cancer. </w:t>
      </w:r>
      <w:r w:rsidRPr="00DF417A">
        <w:rPr>
          <w:rFonts w:cs="SimSun"/>
          <w:i/>
          <w:iCs/>
          <w:color w:val="auto"/>
          <w:kern w:val="0"/>
          <w:szCs w:val="24"/>
          <w:lang w:eastAsia="zh-CN"/>
        </w:rPr>
        <w:t>World J Gastroenterol</w:t>
      </w:r>
      <w:r w:rsidRPr="00DF417A">
        <w:rPr>
          <w:rFonts w:cs="SimSun"/>
          <w:color w:val="auto"/>
          <w:kern w:val="0"/>
          <w:szCs w:val="24"/>
          <w:lang w:eastAsia="zh-CN"/>
        </w:rPr>
        <w:t> 2013; </w:t>
      </w:r>
      <w:r w:rsidRPr="00DF417A">
        <w:rPr>
          <w:rFonts w:cs="SimSun"/>
          <w:b/>
          <w:bCs/>
          <w:color w:val="auto"/>
          <w:kern w:val="0"/>
          <w:szCs w:val="24"/>
          <w:lang w:eastAsia="zh-CN"/>
        </w:rPr>
        <w:t>19</w:t>
      </w:r>
      <w:r w:rsidRPr="00DF417A">
        <w:rPr>
          <w:rFonts w:cs="SimSun"/>
          <w:color w:val="auto"/>
          <w:kern w:val="0"/>
          <w:szCs w:val="24"/>
          <w:lang w:eastAsia="zh-CN"/>
        </w:rPr>
        <w:t>: 5693-5699 [PMID: 24039363 DOI: 10.3748/wjg.v19.i34.5693]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64 </w:t>
      </w:r>
      <w:r w:rsidRPr="00DF417A">
        <w:rPr>
          <w:rFonts w:cs="SimSun"/>
          <w:b/>
          <w:bCs/>
          <w:color w:val="auto"/>
          <w:kern w:val="0"/>
          <w:szCs w:val="24"/>
          <w:lang w:eastAsia="zh-CN"/>
        </w:rPr>
        <w:t>Shibata T</w:t>
      </w:r>
      <w:r w:rsidRPr="00DF417A">
        <w:rPr>
          <w:rFonts w:cs="SimSun"/>
          <w:color w:val="auto"/>
          <w:kern w:val="0"/>
          <w:szCs w:val="24"/>
          <w:lang w:eastAsia="zh-CN"/>
        </w:rPr>
        <w:t>, Tahara T, Hirata I, Arisawa T. Genetic polymorphism of interleukin-17A and -17F genes in gastric carcinogenesis. </w:t>
      </w:r>
      <w:r w:rsidRPr="00DF417A">
        <w:rPr>
          <w:rFonts w:cs="SimSun"/>
          <w:i/>
          <w:iCs/>
          <w:color w:val="auto"/>
          <w:kern w:val="0"/>
          <w:szCs w:val="24"/>
          <w:lang w:eastAsia="zh-CN"/>
        </w:rPr>
        <w:t>Hum Immunol</w:t>
      </w:r>
      <w:r w:rsidRPr="00DF417A">
        <w:rPr>
          <w:rFonts w:cs="SimSun"/>
          <w:color w:val="auto"/>
          <w:kern w:val="0"/>
          <w:szCs w:val="24"/>
          <w:lang w:eastAsia="zh-CN"/>
        </w:rPr>
        <w:t> 2009; </w:t>
      </w:r>
      <w:r w:rsidRPr="00DF417A">
        <w:rPr>
          <w:rFonts w:cs="SimSun"/>
          <w:b/>
          <w:bCs/>
          <w:color w:val="auto"/>
          <w:kern w:val="0"/>
          <w:szCs w:val="24"/>
          <w:lang w:eastAsia="zh-CN"/>
        </w:rPr>
        <w:t>70</w:t>
      </w:r>
      <w:r w:rsidRPr="00DF417A">
        <w:rPr>
          <w:rFonts w:cs="SimSun"/>
          <w:color w:val="auto"/>
          <w:kern w:val="0"/>
          <w:szCs w:val="24"/>
          <w:lang w:eastAsia="zh-CN"/>
        </w:rPr>
        <w:t>: 547-551 [PMID: 19414056 DOI: 10.1016/j.humimm.2009.04.030]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65 </w:t>
      </w:r>
      <w:r w:rsidRPr="00DF417A">
        <w:rPr>
          <w:rFonts w:cs="SimSun"/>
          <w:b/>
          <w:bCs/>
          <w:color w:val="auto"/>
          <w:kern w:val="0"/>
          <w:szCs w:val="24"/>
          <w:lang w:eastAsia="zh-CN"/>
        </w:rPr>
        <w:t>Gorouhi F</w:t>
      </w:r>
      <w:r w:rsidRPr="00DF417A">
        <w:rPr>
          <w:rFonts w:cs="SimSun"/>
          <w:color w:val="auto"/>
          <w:kern w:val="0"/>
          <w:szCs w:val="24"/>
          <w:lang w:eastAsia="zh-CN"/>
        </w:rPr>
        <w:t>, Islami F, Bahrami H, Kamangar F. Tumour-necrosis factor-A polymorphisms and gastric cancer risk: a meta-analysis. </w:t>
      </w:r>
      <w:r w:rsidRPr="00DF417A">
        <w:rPr>
          <w:rFonts w:cs="SimSun"/>
          <w:i/>
          <w:iCs/>
          <w:color w:val="auto"/>
          <w:kern w:val="0"/>
          <w:szCs w:val="24"/>
          <w:lang w:eastAsia="zh-CN"/>
        </w:rPr>
        <w:t>Br J Cancer</w:t>
      </w:r>
      <w:r w:rsidRPr="00DF417A">
        <w:rPr>
          <w:rFonts w:cs="SimSun"/>
          <w:color w:val="auto"/>
          <w:kern w:val="0"/>
          <w:szCs w:val="24"/>
          <w:lang w:eastAsia="zh-CN"/>
        </w:rPr>
        <w:t> 2008; </w:t>
      </w:r>
      <w:r w:rsidRPr="00DF417A">
        <w:rPr>
          <w:rFonts w:cs="SimSun"/>
          <w:b/>
          <w:bCs/>
          <w:color w:val="auto"/>
          <w:kern w:val="0"/>
          <w:szCs w:val="24"/>
          <w:lang w:eastAsia="zh-CN"/>
        </w:rPr>
        <w:t>98</w:t>
      </w:r>
      <w:r w:rsidRPr="00DF417A">
        <w:rPr>
          <w:rFonts w:cs="SimSun"/>
          <w:color w:val="auto"/>
          <w:kern w:val="0"/>
          <w:szCs w:val="24"/>
          <w:lang w:eastAsia="zh-CN"/>
        </w:rPr>
        <w:t>: 1443-1451 [PMID: 18319718 DOI: 10.1038/sj.bjc.6604277]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66 </w:t>
      </w:r>
      <w:r w:rsidRPr="00DF417A">
        <w:rPr>
          <w:rFonts w:cs="SimSun"/>
          <w:b/>
          <w:bCs/>
          <w:color w:val="auto"/>
          <w:kern w:val="0"/>
          <w:szCs w:val="24"/>
          <w:lang w:eastAsia="zh-CN"/>
        </w:rPr>
        <w:t>Zhang J</w:t>
      </w:r>
      <w:r w:rsidRPr="00DF417A">
        <w:rPr>
          <w:rFonts w:cs="SimSun"/>
          <w:color w:val="auto"/>
          <w:kern w:val="0"/>
          <w:szCs w:val="24"/>
          <w:lang w:eastAsia="zh-CN"/>
        </w:rPr>
        <w:t>, Dou C, Song Y, Ji C, Gu S, Xie Y, Mao Y. Polymorphisms of tumor necrosis factor-alpha are associated with increased susceptibility to gastric cancer: a meta-analysis. </w:t>
      </w:r>
      <w:r w:rsidRPr="00DF417A">
        <w:rPr>
          <w:rFonts w:cs="SimSun"/>
          <w:i/>
          <w:iCs/>
          <w:color w:val="auto"/>
          <w:kern w:val="0"/>
          <w:szCs w:val="24"/>
          <w:lang w:eastAsia="zh-CN"/>
        </w:rPr>
        <w:t>J Hum Genet</w:t>
      </w:r>
      <w:r w:rsidRPr="00DF417A">
        <w:rPr>
          <w:rFonts w:cs="SimSun"/>
          <w:color w:val="auto"/>
          <w:kern w:val="0"/>
          <w:szCs w:val="24"/>
          <w:lang w:eastAsia="zh-CN"/>
        </w:rPr>
        <w:t> 2008; </w:t>
      </w:r>
      <w:r w:rsidRPr="00DF417A">
        <w:rPr>
          <w:rFonts w:cs="SimSun"/>
          <w:b/>
          <w:bCs/>
          <w:color w:val="auto"/>
          <w:kern w:val="0"/>
          <w:szCs w:val="24"/>
          <w:lang w:eastAsia="zh-CN"/>
        </w:rPr>
        <w:t>53</w:t>
      </w:r>
      <w:r w:rsidRPr="00DF417A">
        <w:rPr>
          <w:rFonts w:cs="SimSun"/>
          <w:color w:val="auto"/>
          <w:kern w:val="0"/>
          <w:szCs w:val="24"/>
          <w:lang w:eastAsia="zh-CN"/>
        </w:rPr>
        <w:t>: 479-489 [PMID: 18350251 DOI: 10.1007/s10038-008-0273-3]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67 </w:t>
      </w:r>
      <w:r w:rsidRPr="00DF417A">
        <w:rPr>
          <w:rFonts w:cs="SimSun"/>
          <w:b/>
          <w:bCs/>
          <w:color w:val="auto"/>
          <w:kern w:val="0"/>
          <w:szCs w:val="24"/>
          <w:lang w:eastAsia="zh-CN"/>
        </w:rPr>
        <w:t>Fukata M</w:t>
      </w:r>
      <w:r w:rsidRPr="00DF417A">
        <w:rPr>
          <w:rFonts w:cs="SimSun"/>
          <w:color w:val="auto"/>
          <w:kern w:val="0"/>
          <w:szCs w:val="24"/>
          <w:lang w:eastAsia="zh-CN"/>
        </w:rPr>
        <w:t>, Abreu MT. Role of Toll-like receptors in gastrointestinal malignancies. </w:t>
      </w:r>
      <w:r w:rsidRPr="00DF417A">
        <w:rPr>
          <w:rFonts w:cs="SimSun"/>
          <w:i/>
          <w:iCs/>
          <w:color w:val="auto"/>
          <w:kern w:val="0"/>
          <w:szCs w:val="24"/>
          <w:lang w:eastAsia="zh-CN"/>
        </w:rPr>
        <w:t>Oncogene</w:t>
      </w:r>
      <w:r w:rsidRPr="00DF417A">
        <w:rPr>
          <w:rFonts w:cs="SimSun"/>
          <w:color w:val="auto"/>
          <w:kern w:val="0"/>
          <w:szCs w:val="24"/>
          <w:lang w:eastAsia="zh-CN"/>
        </w:rPr>
        <w:t> 2008; </w:t>
      </w:r>
      <w:r w:rsidRPr="00DF417A">
        <w:rPr>
          <w:rFonts w:cs="SimSun"/>
          <w:b/>
          <w:bCs/>
          <w:color w:val="auto"/>
          <w:kern w:val="0"/>
          <w:szCs w:val="24"/>
          <w:lang w:eastAsia="zh-CN"/>
        </w:rPr>
        <w:t>27</w:t>
      </w:r>
      <w:r w:rsidRPr="00DF417A">
        <w:rPr>
          <w:rFonts w:cs="SimSun"/>
          <w:color w:val="auto"/>
          <w:kern w:val="0"/>
          <w:szCs w:val="24"/>
          <w:lang w:eastAsia="zh-CN"/>
        </w:rPr>
        <w:t>: 234-243 [PMID: 18176605 DOI: 10.1038/sj.onc.1210908]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68 </w:t>
      </w:r>
      <w:r w:rsidRPr="00DF417A">
        <w:rPr>
          <w:rFonts w:cs="SimSun"/>
          <w:b/>
          <w:bCs/>
          <w:color w:val="auto"/>
          <w:kern w:val="0"/>
          <w:szCs w:val="24"/>
          <w:lang w:eastAsia="zh-CN"/>
        </w:rPr>
        <w:t>Hold GL</w:t>
      </w:r>
      <w:r w:rsidRPr="00DF417A">
        <w:rPr>
          <w:rFonts w:cs="SimSun"/>
          <w:color w:val="auto"/>
          <w:kern w:val="0"/>
          <w:szCs w:val="24"/>
          <w:lang w:eastAsia="zh-CN"/>
        </w:rPr>
        <w:t>, Rabkin CS, Chow WH, Smith MG, Gammon MD, Risch HA, Vaughan TL, McColl KE, Lissowska J, Zatonski W, Schoenberg JB, Blot WJ, Mowat NA, Fraumeni JF, El-Omar EM. A functional polymorphism of toll-like receptor 4 gene increases risk of gastric carcinoma and its precursors. </w:t>
      </w:r>
      <w:r w:rsidRPr="00DF417A">
        <w:rPr>
          <w:rFonts w:cs="SimSun"/>
          <w:i/>
          <w:iCs/>
          <w:color w:val="auto"/>
          <w:kern w:val="0"/>
          <w:szCs w:val="24"/>
          <w:lang w:eastAsia="zh-CN"/>
        </w:rPr>
        <w:t>Gastroenterology</w:t>
      </w:r>
      <w:r w:rsidRPr="00DF417A">
        <w:rPr>
          <w:rFonts w:cs="SimSun"/>
          <w:color w:val="auto"/>
          <w:kern w:val="0"/>
          <w:szCs w:val="24"/>
          <w:lang w:eastAsia="zh-CN"/>
        </w:rPr>
        <w:t> 2007; </w:t>
      </w:r>
      <w:r w:rsidRPr="00DF417A">
        <w:rPr>
          <w:rFonts w:cs="SimSun"/>
          <w:b/>
          <w:bCs/>
          <w:color w:val="auto"/>
          <w:kern w:val="0"/>
          <w:szCs w:val="24"/>
          <w:lang w:eastAsia="zh-CN"/>
        </w:rPr>
        <w:t>132</w:t>
      </w:r>
      <w:r w:rsidRPr="00DF417A">
        <w:rPr>
          <w:rFonts w:cs="SimSun"/>
          <w:color w:val="auto"/>
          <w:kern w:val="0"/>
          <w:szCs w:val="24"/>
          <w:lang w:eastAsia="zh-CN"/>
        </w:rPr>
        <w:t>: 905-912 [PMID: 17324405 DOI: 10.1053/j.gastro.2006.12.026]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69 </w:t>
      </w:r>
      <w:r w:rsidRPr="00DF417A">
        <w:rPr>
          <w:rFonts w:cs="SimSun"/>
          <w:b/>
          <w:bCs/>
          <w:color w:val="auto"/>
          <w:kern w:val="0"/>
          <w:szCs w:val="24"/>
          <w:lang w:eastAsia="zh-CN"/>
        </w:rPr>
        <w:t>Zheng L</w:t>
      </w:r>
      <w:r w:rsidRPr="00DF417A">
        <w:rPr>
          <w:rFonts w:cs="SimSun"/>
          <w:color w:val="auto"/>
          <w:kern w:val="0"/>
          <w:szCs w:val="24"/>
          <w:lang w:eastAsia="zh-CN"/>
        </w:rPr>
        <w:t>, Zhu C, Gu J, Xi P, Du J, Jin G. Functional polymorphism rs4072037 in MUC1 gene contributes to the susceptibility to gastric cancer: evidence from pooled 6,580 cases and 10,324 controls. </w:t>
      </w:r>
      <w:r w:rsidRPr="00DF417A">
        <w:rPr>
          <w:rFonts w:cs="SimSun"/>
          <w:i/>
          <w:iCs/>
          <w:color w:val="auto"/>
          <w:kern w:val="0"/>
          <w:szCs w:val="24"/>
          <w:lang w:eastAsia="zh-CN"/>
        </w:rPr>
        <w:t>Mol Biol Rep</w:t>
      </w:r>
      <w:r w:rsidRPr="00DF417A">
        <w:rPr>
          <w:rFonts w:cs="SimSun"/>
          <w:color w:val="auto"/>
          <w:kern w:val="0"/>
          <w:szCs w:val="24"/>
          <w:lang w:eastAsia="zh-CN"/>
        </w:rPr>
        <w:t> 2013; </w:t>
      </w:r>
      <w:r w:rsidRPr="00DF417A">
        <w:rPr>
          <w:rFonts w:cs="SimSun"/>
          <w:b/>
          <w:bCs/>
          <w:color w:val="auto"/>
          <w:kern w:val="0"/>
          <w:szCs w:val="24"/>
          <w:lang w:eastAsia="zh-CN"/>
        </w:rPr>
        <w:t>40</w:t>
      </w:r>
      <w:r w:rsidRPr="00DF417A">
        <w:rPr>
          <w:rFonts w:cs="SimSun"/>
          <w:color w:val="auto"/>
          <w:kern w:val="0"/>
          <w:szCs w:val="24"/>
          <w:lang w:eastAsia="zh-CN"/>
        </w:rPr>
        <w:t>: 5791-5796 [PMID: 24072653 DOI: 10.1007/s11033-013-2682-4]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70 </w:t>
      </w:r>
      <w:r w:rsidRPr="00DF417A">
        <w:rPr>
          <w:rFonts w:cs="SimSun"/>
          <w:b/>
          <w:bCs/>
          <w:color w:val="auto"/>
          <w:kern w:val="0"/>
          <w:szCs w:val="24"/>
          <w:lang w:eastAsia="zh-CN"/>
        </w:rPr>
        <w:t xml:space="preserve">Xu Q, </w:t>
      </w:r>
      <w:r w:rsidRPr="00DF417A">
        <w:rPr>
          <w:rFonts w:cs="SimSun"/>
          <w:bCs/>
          <w:color w:val="auto"/>
          <w:kern w:val="0"/>
          <w:szCs w:val="24"/>
          <w:lang w:eastAsia="zh-CN"/>
        </w:rPr>
        <w:t>Yuan Y, Sun LP, Gong YH, Xu Y, Yu XW, Dong NN, Lin GD, Smith PN, Li RW. Risk of gastric cancer is associated with the MUC1 568 A/G polymorphism</w:t>
      </w:r>
      <w:r w:rsidRPr="00DF417A">
        <w:rPr>
          <w:rFonts w:cs="SimSun" w:hint="eastAsia"/>
          <w:bCs/>
          <w:color w:val="auto"/>
          <w:kern w:val="0"/>
          <w:szCs w:val="24"/>
          <w:lang w:eastAsia="zh-CN"/>
        </w:rPr>
        <w:t xml:space="preserve">. </w:t>
      </w:r>
      <w:r w:rsidRPr="00DF417A">
        <w:rPr>
          <w:rFonts w:cs="SimSun"/>
          <w:bCs/>
          <w:i/>
          <w:iCs/>
          <w:color w:val="auto"/>
          <w:kern w:val="0"/>
          <w:szCs w:val="24"/>
          <w:lang w:eastAsia="zh-CN"/>
        </w:rPr>
        <w:t>Int J Oncol</w:t>
      </w:r>
      <w:r w:rsidRPr="00DF417A">
        <w:rPr>
          <w:rFonts w:cs="SimSun"/>
          <w:bCs/>
          <w:color w:val="auto"/>
          <w:kern w:val="0"/>
          <w:szCs w:val="24"/>
          <w:lang w:eastAsia="zh-CN"/>
        </w:rPr>
        <w:t> 2009; </w:t>
      </w:r>
      <w:r w:rsidRPr="00DF417A">
        <w:rPr>
          <w:rFonts w:cs="SimSun"/>
          <w:b/>
          <w:bCs/>
          <w:color w:val="auto"/>
          <w:kern w:val="0"/>
          <w:szCs w:val="24"/>
          <w:lang w:eastAsia="zh-CN"/>
        </w:rPr>
        <w:t>35</w:t>
      </w:r>
      <w:r w:rsidRPr="00DF417A">
        <w:rPr>
          <w:rFonts w:cs="SimSun"/>
          <w:bCs/>
          <w:color w:val="auto"/>
          <w:kern w:val="0"/>
          <w:szCs w:val="24"/>
          <w:lang w:eastAsia="zh-CN"/>
        </w:rPr>
        <w:t>: 1313-1320 [PMID: 19885554]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71 </w:t>
      </w:r>
      <w:r w:rsidRPr="00DF417A">
        <w:rPr>
          <w:rFonts w:cs="SimSun"/>
          <w:b/>
          <w:bCs/>
          <w:color w:val="auto"/>
          <w:kern w:val="0"/>
          <w:szCs w:val="24"/>
          <w:lang w:eastAsia="zh-CN"/>
        </w:rPr>
        <w:t>Wang GY</w:t>
      </w:r>
      <w:r w:rsidRPr="00DF417A">
        <w:rPr>
          <w:rFonts w:cs="SimSun"/>
          <w:color w:val="auto"/>
          <w:kern w:val="0"/>
          <w:szCs w:val="24"/>
          <w:lang w:eastAsia="zh-CN"/>
        </w:rPr>
        <w:t>, Lu CQ, Zhang RM, Hu XH, Luo ZW. The E-cadherin gene polymorphism 160C-&amp; gt; A and cancer risk: A HuGE review and meta-analysis of 26 case-control studies. </w:t>
      </w:r>
      <w:r w:rsidRPr="00DF417A">
        <w:rPr>
          <w:rFonts w:cs="SimSun"/>
          <w:i/>
          <w:iCs/>
          <w:color w:val="auto"/>
          <w:kern w:val="0"/>
          <w:szCs w:val="24"/>
          <w:lang w:eastAsia="zh-CN"/>
        </w:rPr>
        <w:t>Am J Epidemiol</w:t>
      </w:r>
      <w:r w:rsidRPr="00DF417A">
        <w:rPr>
          <w:rFonts w:cs="SimSun"/>
          <w:color w:val="auto"/>
          <w:kern w:val="0"/>
          <w:szCs w:val="24"/>
          <w:lang w:eastAsia="zh-CN"/>
        </w:rPr>
        <w:t> 2008; </w:t>
      </w:r>
      <w:r w:rsidRPr="00DF417A">
        <w:rPr>
          <w:rFonts w:cs="SimSun"/>
          <w:b/>
          <w:bCs/>
          <w:color w:val="auto"/>
          <w:kern w:val="0"/>
          <w:szCs w:val="24"/>
          <w:lang w:eastAsia="zh-CN"/>
        </w:rPr>
        <w:t>167</w:t>
      </w:r>
      <w:r w:rsidRPr="00DF417A">
        <w:rPr>
          <w:rFonts w:cs="SimSun"/>
          <w:color w:val="auto"/>
          <w:kern w:val="0"/>
          <w:szCs w:val="24"/>
          <w:lang w:eastAsia="zh-CN"/>
        </w:rPr>
        <w:t>: 7-14 [PMID: 17971340 DOI: 10.1093/aje/kwm264]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72 </w:t>
      </w:r>
      <w:r w:rsidRPr="00DF417A">
        <w:rPr>
          <w:rFonts w:cs="SimSun"/>
          <w:b/>
          <w:bCs/>
          <w:color w:val="auto"/>
          <w:kern w:val="0"/>
          <w:szCs w:val="24"/>
          <w:lang w:eastAsia="zh-CN"/>
        </w:rPr>
        <w:t>Jenab M</w:t>
      </w:r>
      <w:r w:rsidRPr="00DF417A">
        <w:rPr>
          <w:rFonts w:cs="SimSun"/>
          <w:color w:val="auto"/>
          <w:kern w:val="0"/>
          <w:szCs w:val="24"/>
          <w:lang w:eastAsia="zh-CN"/>
        </w:rPr>
        <w:t xml:space="preserve">, McKay JD, Ferrari P, Biessy C, Laing S, Munar GM, Sala N, Peña S, Crusius JB, Overvad K, Jensen MK, Olsen A, Tjonneland A, Clavel-Chapelon F, Boutron-Ruault MC, Kaaks R, Linseisen J, Boeing H, Bergmann MM, Trichopoulou A, Georgila C, Psaltopoulou T, Mattiello A, Vineis P, Pala V, Palli D, Tumino R, Numans ME, Peeters PH, Bueno-de-Mesquita HB, Lund E, Ardanaz E, Sánchez MJ, </w:t>
      </w:r>
      <w:r w:rsidRPr="00DF417A">
        <w:rPr>
          <w:rFonts w:cs="SimSun"/>
          <w:color w:val="auto"/>
          <w:kern w:val="0"/>
          <w:szCs w:val="24"/>
          <w:lang w:eastAsia="zh-CN"/>
        </w:rPr>
        <w:lastRenderedPageBreak/>
        <w:t>Dorronsoro M, Sanchez CN, Quirós JR, Hallmans G, Stenling R, Manjer J, Régner S, Key T, Bingham S, Khaw KT, Slimani N, Rinaldi S, Boffetta P, Carneiro F, Riboli E, Gonzalez C. CDH1 gene polymorphisms, smoking, Helicobacter pylori infection and the risk of gastric cancer in the European Prospective Investigation into Cancer and Nutrition (EPIC-EURGAST). </w:t>
      </w:r>
      <w:r w:rsidRPr="00DF417A">
        <w:rPr>
          <w:rFonts w:cs="SimSun"/>
          <w:i/>
          <w:iCs/>
          <w:color w:val="auto"/>
          <w:kern w:val="0"/>
          <w:szCs w:val="24"/>
          <w:lang w:eastAsia="zh-CN"/>
        </w:rPr>
        <w:t>Eur J Cancer</w:t>
      </w:r>
      <w:r w:rsidRPr="00DF417A">
        <w:rPr>
          <w:rFonts w:cs="SimSun"/>
          <w:color w:val="auto"/>
          <w:kern w:val="0"/>
          <w:szCs w:val="24"/>
          <w:lang w:eastAsia="zh-CN"/>
        </w:rPr>
        <w:t> 2008; </w:t>
      </w:r>
      <w:r w:rsidRPr="00DF417A">
        <w:rPr>
          <w:rFonts w:cs="SimSun"/>
          <w:b/>
          <w:bCs/>
          <w:color w:val="auto"/>
          <w:kern w:val="0"/>
          <w:szCs w:val="24"/>
          <w:lang w:eastAsia="zh-CN"/>
        </w:rPr>
        <w:t>44</w:t>
      </w:r>
      <w:r w:rsidRPr="00DF417A">
        <w:rPr>
          <w:rFonts w:cs="SimSun"/>
          <w:color w:val="auto"/>
          <w:kern w:val="0"/>
          <w:szCs w:val="24"/>
          <w:lang w:eastAsia="zh-CN"/>
        </w:rPr>
        <w:t>: 774-780 [PMID: 18342503 DOI: 10.1016/j.ejca.2008.02.003]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73 </w:t>
      </w:r>
      <w:r w:rsidRPr="00DF417A">
        <w:rPr>
          <w:rFonts w:cs="SimSun"/>
          <w:b/>
          <w:bCs/>
          <w:color w:val="auto"/>
          <w:kern w:val="0"/>
          <w:szCs w:val="24"/>
          <w:lang w:eastAsia="zh-CN"/>
        </w:rPr>
        <w:t>Zhang B</w:t>
      </w:r>
      <w:r w:rsidRPr="00DF417A">
        <w:rPr>
          <w:rFonts w:cs="SimSun"/>
          <w:color w:val="auto"/>
          <w:kern w:val="0"/>
          <w:szCs w:val="24"/>
          <w:lang w:eastAsia="zh-CN"/>
        </w:rPr>
        <w:t>, Pan K, Liu Z, Zhou J, Gu L, Ji J, Ma J, You WC, Deng D. Genetic polymorphisms of the E-cadherin promoter and risk of sporadic gastric carcinoma in Chinese populations. </w:t>
      </w:r>
      <w:r w:rsidRPr="00DF417A">
        <w:rPr>
          <w:rFonts w:cs="SimSun"/>
          <w:i/>
          <w:iCs/>
          <w:color w:val="auto"/>
          <w:kern w:val="0"/>
          <w:szCs w:val="24"/>
          <w:lang w:eastAsia="zh-CN"/>
        </w:rPr>
        <w:t>Cancer Epidemiol Biomarkers Prev</w:t>
      </w:r>
      <w:r w:rsidRPr="00DF417A">
        <w:rPr>
          <w:rFonts w:cs="SimSun"/>
          <w:color w:val="auto"/>
          <w:kern w:val="0"/>
          <w:szCs w:val="24"/>
          <w:lang w:eastAsia="zh-CN"/>
        </w:rPr>
        <w:t> 2008; </w:t>
      </w:r>
      <w:r w:rsidRPr="00DF417A">
        <w:rPr>
          <w:rFonts w:cs="SimSun"/>
          <w:b/>
          <w:bCs/>
          <w:color w:val="auto"/>
          <w:kern w:val="0"/>
          <w:szCs w:val="24"/>
          <w:lang w:eastAsia="zh-CN"/>
        </w:rPr>
        <w:t>17</w:t>
      </w:r>
      <w:r w:rsidRPr="00DF417A">
        <w:rPr>
          <w:rFonts w:cs="SimSun"/>
          <w:color w:val="auto"/>
          <w:kern w:val="0"/>
          <w:szCs w:val="24"/>
          <w:lang w:eastAsia="zh-CN"/>
        </w:rPr>
        <w:t>: 2402-2408 [PMID: 18768510 DOI: 10.1158/1055-9965.EPI-08-0315]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74 </w:t>
      </w:r>
      <w:r w:rsidRPr="00DF417A">
        <w:rPr>
          <w:rFonts w:cs="SimSun"/>
          <w:b/>
          <w:bCs/>
          <w:color w:val="auto"/>
          <w:kern w:val="0"/>
          <w:szCs w:val="24"/>
          <w:lang w:eastAsia="zh-CN"/>
        </w:rPr>
        <w:t>Dong Z</w:t>
      </w:r>
      <w:r w:rsidRPr="00DF417A">
        <w:rPr>
          <w:rFonts w:cs="SimSun"/>
          <w:color w:val="auto"/>
          <w:kern w:val="0"/>
          <w:szCs w:val="24"/>
          <w:lang w:eastAsia="zh-CN"/>
        </w:rPr>
        <w:t>, Guo W, Zhou R, Wan L, Li Y, Wang N, Kuang G, Wang S. Polymorphisms of the DNA repair gene XPA and XPC and its correlation with gastric cardiac adenocarcinoma in a high incidence population in North China. </w:t>
      </w:r>
      <w:r w:rsidRPr="00DF417A">
        <w:rPr>
          <w:rFonts w:cs="SimSun"/>
          <w:i/>
          <w:iCs/>
          <w:color w:val="auto"/>
          <w:kern w:val="0"/>
          <w:szCs w:val="24"/>
          <w:lang w:eastAsia="zh-CN"/>
        </w:rPr>
        <w:t>J Clin Gastroenterol</w:t>
      </w:r>
      <w:r w:rsidR="00AD072B">
        <w:rPr>
          <w:rFonts w:cs="SimSun" w:hint="eastAsia"/>
          <w:color w:val="auto"/>
          <w:kern w:val="0"/>
          <w:szCs w:val="24"/>
          <w:lang w:eastAsia="zh-CN"/>
        </w:rPr>
        <w:t xml:space="preserve"> </w:t>
      </w:r>
      <w:r w:rsidRPr="00DF417A">
        <w:rPr>
          <w:rFonts w:cs="SimSun"/>
          <w:color w:val="auto"/>
          <w:kern w:val="0"/>
          <w:szCs w:val="24"/>
          <w:lang w:eastAsia="zh-CN"/>
        </w:rPr>
        <w:t>2008;</w:t>
      </w:r>
      <w:r w:rsidR="00AD072B">
        <w:rPr>
          <w:rFonts w:cs="SimSun" w:hint="eastAsia"/>
          <w:color w:val="auto"/>
          <w:kern w:val="0"/>
          <w:szCs w:val="24"/>
          <w:lang w:eastAsia="zh-CN"/>
        </w:rPr>
        <w:t xml:space="preserve"> </w:t>
      </w:r>
      <w:r w:rsidRPr="00DF417A">
        <w:rPr>
          <w:rFonts w:cs="SimSun"/>
          <w:b/>
          <w:bCs/>
          <w:color w:val="auto"/>
          <w:kern w:val="0"/>
          <w:szCs w:val="24"/>
          <w:lang w:eastAsia="zh-CN"/>
        </w:rPr>
        <w:t>42</w:t>
      </w:r>
      <w:r w:rsidRPr="00DF417A">
        <w:rPr>
          <w:rFonts w:cs="SimSun"/>
          <w:color w:val="auto"/>
          <w:kern w:val="0"/>
          <w:szCs w:val="24"/>
          <w:lang w:eastAsia="zh-CN"/>
        </w:rPr>
        <w:t>: 910-915 [PMID: 18645534 DOI: 10.1097/MCG.0b013e3180f6262c]</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75 </w:t>
      </w:r>
      <w:r w:rsidRPr="00DF417A">
        <w:rPr>
          <w:rFonts w:cs="SimSun"/>
          <w:b/>
          <w:bCs/>
          <w:color w:val="auto"/>
          <w:kern w:val="0"/>
          <w:szCs w:val="24"/>
          <w:lang w:eastAsia="zh-CN"/>
        </w:rPr>
        <w:t>Capellá G</w:t>
      </w:r>
      <w:r w:rsidRPr="00DF417A">
        <w:rPr>
          <w:rFonts w:cs="SimSun"/>
          <w:color w:val="auto"/>
          <w:kern w:val="0"/>
          <w:szCs w:val="24"/>
          <w:lang w:eastAsia="zh-CN"/>
        </w:rPr>
        <w:t>, Pera G, Sala N, Agudo A, Rico F, Del Giudicce G, Plebani M, Palli D, Boeing H, Bueno-de-Mesquita HB, Carneiro F, Berrino F, Vineis P, Tumino R, Panico S, Berglund G, Simán H, Nyrén O, Hallmans G, Martinez C, Dorronsoro M, Barricarte A, Navarro C, Quirós JR, Allen N, Key T, Bingham S, Caldas C, Linseisen J, Nagel G, Overvad K, Tjonneland A, Boshuizen HC, Peeters PH, Numans ME, Clavel-Chapelon F, Trichopoulou A, Lund E, Jenab M, Kaaks R, Riboli E, González CA. DNA repair polymorphisms and the risk of stomach adenocarcinoma and severe chronic gastritis in the EPIC-EURGAST study. </w:t>
      </w:r>
      <w:r w:rsidRPr="00DF417A">
        <w:rPr>
          <w:rFonts w:cs="SimSun"/>
          <w:i/>
          <w:iCs/>
          <w:color w:val="auto"/>
          <w:kern w:val="0"/>
          <w:szCs w:val="24"/>
          <w:lang w:eastAsia="zh-CN"/>
        </w:rPr>
        <w:t>Int J Epidemiol</w:t>
      </w:r>
      <w:r w:rsidRPr="00DF417A">
        <w:rPr>
          <w:rFonts w:cs="SimSun"/>
          <w:color w:val="auto"/>
          <w:kern w:val="0"/>
          <w:szCs w:val="24"/>
          <w:lang w:eastAsia="zh-CN"/>
        </w:rPr>
        <w:t> 2008; </w:t>
      </w:r>
      <w:r w:rsidRPr="00DF417A">
        <w:rPr>
          <w:rFonts w:cs="SimSun"/>
          <w:b/>
          <w:bCs/>
          <w:color w:val="auto"/>
          <w:kern w:val="0"/>
          <w:szCs w:val="24"/>
          <w:lang w:eastAsia="zh-CN"/>
        </w:rPr>
        <w:t>37</w:t>
      </w:r>
      <w:r w:rsidRPr="00DF417A">
        <w:rPr>
          <w:rFonts w:cs="SimSun"/>
          <w:color w:val="auto"/>
          <w:kern w:val="0"/>
          <w:szCs w:val="24"/>
          <w:lang w:eastAsia="zh-CN"/>
        </w:rPr>
        <w:t>: 1316-1325 [PMID: 18641418 DOI: 10.1093/ije/dyn145]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76 </w:t>
      </w:r>
      <w:r w:rsidRPr="00DF417A">
        <w:rPr>
          <w:rFonts w:cs="SimSun"/>
          <w:b/>
          <w:bCs/>
          <w:color w:val="auto"/>
          <w:kern w:val="0"/>
          <w:szCs w:val="24"/>
          <w:lang w:eastAsia="zh-CN"/>
        </w:rPr>
        <w:t>Li WQ</w:t>
      </w:r>
      <w:r w:rsidRPr="00DF417A">
        <w:rPr>
          <w:rFonts w:cs="SimSun"/>
          <w:color w:val="auto"/>
          <w:kern w:val="0"/>
          <w:szCs w:val="24"/>
          <w:lang w:eastAsia="zh-CN"/>
        </w:rPr>
        <w:t>, Zhang L, Ma JL, Zhang Y, Li JY, Pan KF, You WC. Association between genetic polymorphisms of DNA base excision repair genes and evolution of precancerous gastric lesions in a Chinese population. </w:t>
      </w:r>
      <w:r w:rsidRPr="00DF417A">
        <w:rPr>
          <w:rFonts w:cs="SimSun"/>
          <w:i/>
          <w:iCs/>
          <w:color w:val="auto"/>
          <w:kern w:val="0"/>
          <w:szCs w:val="24"/>
          <w:lang w:eastAsia="zh-CN"/>
        </w:rPr>
        <w:t>Carcinogenesis</w:t>
      </w:r>
      <w:r w:rsidRPr="00DF417A">
        <w:rPr>
          <w:rFonts w:cs="SimSun"/>
          <w:color w:val="auto"/>
          <w:kern w:val="0"/>
          <w:szCs w:val="24"/>
          <w:lang w:eastAsia="zh-CN"/>
        </w:rPr>
        <w:t> 2009; </w:t>
      </w:r>
      <w:r w:rsidRPr="00DF417A">
        <w:rPr>
          <w:rFonts w:cs="SimSun"/>
          <w:b/>
          <w:bCs/>
          <w:color w:val="auto"/>
          <w:kern w:val="0"/>
          <w:szCs w:val="24"/>
          <w:lang w:eastAsia="zh-CN"/>
        </w:rPr>
        <w:t>30</w:t>
      </w:r>
      <w:r w:rsidRPr="00DF417A">
        <w:rPr>
          <w:rFonts w:cs="SimSun"/>
          <w:color w:val="auto"/>
          <w:kern w:val="0"/>
          <w:szCs w:val="24"/>
          <w:lang w:eastAsia="zh-CN"/>
        </w:rPr>
        <w:t>: 500-505 [PMID: 19147860 DOI: 10.1093/carcin/bgp018]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77 </w:t>
      </w:r>
      <w:r w:rsidRPr="00DF417A">
        <w:rPr>
          <w:rFonts w:cs="SimSun"/>
          <w:b/>
          <w:bCs/>
          <w:color w:val="auto"/>
          <w:kern w:val="0"/>
          <w:szCs w:val="24"/>
          <w:lang w:eastAsia="zh-CN"/>
        </w:rPr>
        <w:t>Zintzaras E</w:t>
      </w:r>
      <w:r w:rsidRPr="00DF417A">
        <w:rPr>
          <w:rFonts w:cs="SimSun"/>
          <w:color w:val="auto"/>
          <w:kern w:val="0"/>
          <w:szCs w:val="24"/>
          <w:lang w:eastAsia="zh-CN"/>
        </w:rPr>
        <w:t>. Association of methylenetetrahydrofolate reductase (MTHFR) polymorphisms with genetic susceptibility to gastric cancer: a meta-analysis. </w:t>
      </w:r>
      <w:r w:rsidRPr="00DF417A">
        <w:rPr>
          <w:rFonts w:cs="SimSun"/>
          <w:i/>
          <w:iCs/>
          <w:color w:val="auto"/>
          <w:kern w:val="0"/>
          <w:szCs w:val="24"/>
          <w:lang w:eastAsia="zh-CN"/>
        </w:rPr>
        <w:t>J Hum Genet</w:t>
      </w:r>
      <w:r w:rsidRPr="00DF417A">
        <w:rPr>
          <w:rFonts w:cs="SimSun"/>
          <w:color w:val="auto"/>
          <w:kern w:val="0"/>
          <w:szCs w:val="24"/>
          <w:lang w:eastAsia="zh-CN"/>
        </w:rPr>
        <w:t> 2006; </w:t>
      </w:r>
      <w:r w:rsidRPr="00DF417A">
        <w:rPr>
          <w:rFonts w:cs="SimSun"/>
          <w:b/>
          <w:bCs/>
          <w:color w:val="auto"/>
          <w:kern w:val="0"/>
          <w:szCs w:val="24"/>
          <w:lang w:eastAsia="zh-CN"/>
        </w:rPr>
        <w:t>51</w:t>
      </w:r>
      <w:r w:rsidRPr="00DF417A">
        <w:rPr>
          <w:rFonts w:cs="SimSun"/>
          <w:color w:val="auto"/>
          <w:kern w:val="0"/>
          <w:szCs w:val="24"/>
          <w:lang w:eastAsia="zh-CN"/>
        </w:rPr>
        <w:t>: 618-624 [PMID: 16758123 DOI: 10.1007/s10038-006-0405-6]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78 </w:t>
      </w:r>
      <w:r w:rsidRPr="00DF417A">
        <w:rPr>
          <w:rFonts w:cs="SimSun"/>
          <w:b/>
          <w:bCs/>
          <w:color w:val="auto"/>
          <w:kern w:val="0"/>
          <w:szCs w:val="24"/>
          <w:lang w:eastAsia="zh-CN"/>
        </w:rPr>
        <w:t>Dong LM</w:t>
      </w:r>
      <w:r w:rsidRPr="00DF417A">
        <w:rPr>
          <w:rFonts w:cs="SimSun"/>
          <w:color w:val="auto"/>
          <w:kern w:val="0"/>
          <w:szCs w:val="24"/>
          <w:lang w:eastAsia="zh-CN"/>
        </w:rPr>
        <w:t>, Potter JD, White E, Ulrich CM, Cardon LR, Peters U. Genetic susceptibility to cancer: the role of polymorphisms in candidate genes. </w:t>
      </w:r>
      <w:r w:rsidRPr="00DF417A">
        <w:rPr>
          <w:rFonts w:cs="SimSun"/>
          <w:i/>
          <w:iCs/>
          <w:color w:val="auto"/>
          <w:kern w:val="0"/>
          <w:szCs w:val="24"/>
          <w:lang w:eastAsia="zh-CN"/>
        </w:rPr>
        <w:t>JAMA</w:t>
      </w:r>
      <w:r w:rsidRPr="00DF417A">
        <w:rPr>
          <w:rFonts w:cs="SimSun"/>
          <w:color w:val="auto"/>
          <w:kern w:val="0"/>
          <w:szCs w:val="24"/>
          <w:lang w:eastAsia="zh-CN"/>
        </w:rPr>
        <w:t> 2008; </w:t>
      </w:r>
      <w:r w:rsidRPr="00DF417A">
        <w:rPr>
          <w:rFonts w:cs="SimSun"/>
          <w:b/>
          <w:bCs/>
          <w:color w:val="auto"/>
          <w:kern w:val="0"/>
          <w:szCs w:val="24"/>
          <w:lang w:eastAsia="zh-CN"/>
        </w:rPr>
        <w:t>299</w:t>
      </w:r>
      <w:r w:rsidRPr="00DF417A">
        <w:rPr>
          <w:rFonts w:cs="SimSun"/>
          <w:color w:val="auto"/>
          <w:kern w:val="0"/>
          <w:szCs w:val="24"/>
          <w:lang w:eastAsia="zh-CN"/>
        </w:rPr>
        <w:t>: 2423-2436 [PMID: 18505952 DOI: 10.1001/jama.299.20.2423]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79 </w:t>
      </w:r>
      <w:r w:rsidRPr="00DF417A">
        <w:rPr>
          <w:rFonts w:cs="SimSun"/>
          <w:b/>
          <w:bCs/>
          <w:color w:val="auto"/>
          <w:kern w:val="0"/>
          <w:szCs w:val="24"/>
          <w:lang w:eastAsia="zh-CN"/>
        </w:rPr>
        <w:t>Boccia S</w:t>
      </w:r>
      <w:r w:rsidRPr="00DF417A">
        <w:rPr>
          <w:rFonts w:cs="SimSun"/>
          <w:color w:val="auto"/>
          <w:kern w:val="0"/>
          <w:szCs w:val="24"/>
          <w:lang w:eastAsia="zh-CN"/>
        </w:rPr>
        <w:t>, Sayed-Tabatabaei FA, Persiani R, Gianfagna F, Rausei S, Arzani D, La Greca A, D'Ugo D, La Torre G, van Duijn CM, Ricciardi G. Polymorphisms in metabolic genes, their combination and interaction with tobacco smoke and alcohol consumption and risk of gastric cancer: a case-control study in an Italian population. </w:t>
      </w:r>
      <w:r w:rsidRPr="00DF417A">
        <w:rPr>
          <w:rFonts w:cs="SimSun"/>
          <w:i/>
          <w:iCs/>
          <w:color w:val="auto"/>
          <w:kern w:val="0"/>
          <w:szCs w:val="24"/>
          <w:lang w:eastAsia="zh-CN"/>
        </w:rPr>
        <w:t>BMC Cancer</w:t>
      </w:r>
      <w:r w:rsidRPr="00DF417A">
        <w:rPr>
          <w:rFonts w:cs="SimSun"/>
          <w:color w:val="auto"/>
          <w:kern w:val="0"/>
          <w:szCs w:val="24"/>
          <w:lang w:eastAsia="zh-CN"/>
        </w:rPr>
        <w:t> 2007; </w:t>
      </w:r>
      <w:r w:rsidRPr="00DF417A">
        <w:rPr>
          <w:rFonts w:cs="SimSun"/>
          <w:b/>
          <w:bCs/>
          <w:color w:val="auto"/>
          <w:kern w:val="0"/>
          <w:szCs w:val="24"/>
          <w:lang w:eastAsia="zh-CN"/>
        </w:rPr>
        <w:t>7</w:t>
      </w:r>
      <w:r w:rsidRPr="00DF417A">
        <w:rPr>
          <w:rFonts w:cs="SimSun"/>
          <w:color w:val="auto"/>
          <w:kern w:val="0"/>
          <w:szCs w:val="24"/>
          <w:lang w:eastAsia="zh-CN"/>
        </w:rPr>
        <w:t>: 206 [PMID: 17996038 DOI: 10.1186/1471-2407-7-206]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80 </w:t>
      </w:r>
      <w:r w:rsidRPr="00DF417A">
        <w:rPr>
          <w:rFonts w:cs="SimSun"/>
          <w:b/>
          <w:bCs/>
          <w:color w:val="auto"/>
          <w:kern w:val="0"/>
          <w:szCs w:val="24"/>
          <w:lang w:eastAsia="zh-CN"/>
        </w:rPr>
        <w:t>Agudo A</w:t>
      </w:r>
      <w:r w:rsidRPr="00DF417A">
        <w:rPr>
          <w:rFonts w:cs="SimSun"/>
          <w:color w:val="auto"/>
          <w:kern w:val="0"/>
          <w:szCs w:val="24"/>
          <w:lang w:eastAsia="zh-CN"/>
        </w:rPr>
        <w:t>, Sala N, Pera G, Capellá G, Berenguer A, García N, Palli D, Boeing H, Del Giudice G, Saieva C, Carneiro F, Berrino F, Sacerdote C, Tumino R, Panico S, Berglund G, Simán H, Stenling R, Hallmans G, Martínez C, Bilbao R, Barricarte A, Navarro C, Quirós JR, Allen N, Key T, Bingham S, Khaw KT, Linseisen J, Nagel G, Overvad K, Tjonneland A, Olsen A, Bueno-de-Mesquita HB, Boshuizen HC, Peeters PH, Numans ME, Clavel-Chapelon F, Boutron-Ruault MC, Trichopoulou A, Lund E, Offerhaus J, Jenab M, Ferrari P, Norat T, Riboli E, González CA. Polymorphisms in metabolic genes related to tobacco smoke and the risk of gastric cancer in the European prospective investigation into cancer and nutrition. </w:t>
      </w:r>
      <w:r w:rsidRPr="00DF417A">
        <w:rPr>
          <w:rFonts w:cs="SimSun"/>
          <w:i/>
          <w:iCs/>
          <w:color w:val="auto"/>
          <w:kern w:val="0"/>
          <w:szCs w:val="24"/>
          <w:lang w:eastAsia="zh-CN"/>
        </w:rPr>
        <w:t>Cancer Epidemiol Biomarkers Prev</w:t>
      </w:r>
      <w:r w:rsidRPr="00DF417A">
        <w:rPr>
          <w:rFonts w:cs="SimSun"/>
          <w:color w:val="auto"/>
          <w:kern w:val="0"/>
          <w:szCs w:val="24"/>
          <w:lang w:eastAsia="zh-CN"/>
        </w:rPr>
        <w:t> 2006; </w:t>
      </w:r>
      <w:r w:rsidRPr="00DF417A">
        <w:rPr>
          <w:rFonts w:cs="SimSun"/>
          <w:b/>
          <w:bCs/>
          <w:color w:val="auto"/>
          <w:kern w:val="0"/>
          <w:szCs w:val="24"/>
          <w:lang w:eastAsia="zh-CN"/>
        </w:rPr>
        <w:t>15</w:t>
      </w:r>
      <w:r w:rsidRPr="00DF417A">
        <w:rPr>
          <w:rFonts w:cs="SimSun"/>
          <w:color w:val="auto"/>
          <w:kern w:val="0"/>
          <w:szCs w:val="24"/>
          <w:lang w:eastAsia="zh-CN"/>
        </w:rPr>
        <w:t>: 2427-2434 [PMID: 17164366 DOI: 10.1158/1055-9965.EPI-06-0072]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81 </w:t>
      </w:r>
      <w:r w:rsidRPr="00DF417A">
        <w:rPr>
          <w:rFonts w:cs="SimSun"/>
          <w:b/>
          <w:bCs/>
          <w:color w:val="auto"/>
          <w:kern w:val="0"/>
          <w:szCs w:val="24"/>
          <w:lang w:eastAsia="zh-CN"/>
        </w:rPr>
        <w:t>Freedman ND</w:t>
      </w:r>
      <w:r w:rsidRPr="00DF417A">
        <w:rPr>
          <w:rFonts w:cs="SimSun"/>
          <w:color w:val="auto"/>
          <w:kern w:val="0"/>
          <w:szCs w:val="24"/>
          <w:lang w:eastAsia="zh-CN"/>
        </w:rPr>
        <w:t>, Ahn J, Hou L, Lissowska J, Zatonski W, Yeager M, Chanock SJ, Chow WH, Abnet CC. Polymorphisms in estrogen- and androgen-metabolizing genes and the risk of gastric cancer. </w:t>
      </w:r>
      <w:r w:rsidRPr="00DF417A">
        <w:rPr>
          <w:rFonts w:cs="SimSun"/>
          <w:i/>
          <w:iCs/>
          <w:color w:val="auto"/>
          <w:kern w:val="0"/>
          <w:szCs w:val="24"/>
          <w:lang w:eastAsia="zh-CN"/>
        </w:rPr>
        <w:t>Carcinogenesis</w:t>
      </w:r>
      <w:r w:rsidRPr="00DF417A">
        <w:rPr>
          <w:rFonts w:cs="SimSun"/>
          <w:color w:val="auto"/>
          <w:kern w:val="0"/>
          <w:szCs w:val="24"/>
          <w:lang w:eastAsia="zh-CN"/>
        </w:rPr>
        <w:t> 2009; </w:t>
      </w:r>
      <w:r w:rsidRPr="00DF417A">
        <w:rPr>
          <w:rFonts w:cs="SimSun"/>
          <w:b/>
          <w:bCs/>
          <w:color w:val="auto"/>
          <w:kern w:val="0"/>
          <w:szCs w:val="24"/>
          <w:lang w:eastAsia="zh-CN"/>
        </w:rPr>
        <w:t>30</w:t>
      </w:r>
      <w:r w:rsidRPr="00DF417A">
        <w:rPr>
          <w:rFonts w:cs="SimSun"/>
          <w:color w:val="auto"/>
          <w:kern w:val="0"/>
          <w:szCs w:val="24"/>
          <w:lang w:eastAsia="zh-CN"/>
        </w:rPr>
        <w:t>: 71-77 [PMID: 19015200 DOI: 10.1093/carcin/bgn258]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82 </w:t>
      </w:r>
      <w:r w:rsidRPr="00DF417A">
        <w:rPr>
          <w:rFonts w:cs="SimSun"/>
          <w:b/>
          <w:bCs/>
          <w:color w:val="auto"/>
          <w:kern w:val="0"/>
          <w:szCs w:val="24"/>
          <w:lang w:eastAsia="zh-CN"/>
        </w:rPr>
        <w:t>Boccia S</w:t>
      </w:r>
      <w:r w:rsidRPr="00DF417A">
        <w:rPr>
          <w:rFonts w:cs="SimSun"/>
          <w:color w:val="auto"/>
          <w:kern w:val="0"/>
          <w:szCs w:val="24"/>
          <w:lang w:eastAsia="zh-CN"/>
        </w:rPr>
        <w:t>, De Lauretis A, Gianfagna F, van Duijn CM, Ricciardi G. CYP2E1PstI/RsaI polymorphism and interaction with tobacco, alcohol and GSTs in gastric cancer susceptibility: A meta-analysis of the literature. </w:t>
      </w:r>
      <w:r w:rsidRPr="00DF417A">
        <w:rPr>
          <w:rFonts w:cs="SimSun"/>
          <w:i/>
          <w:iCs/>
          <w:color w:val="auto"/>
          <w:kern w:val="0"/>
          <w:szCs w:val="24"/>
          <w:lang w:eastAsia="zh-CN"/>
        </w:rPr>
        <w:t>Carcinogenesis</w:t>
      </w:r>
      <w:r w:rsidRPr="00DF417A">
        <w:rPr>
          <w:rFonts w:cs="SimSun"/>
          <w:color w:val="auto"/>
          <w:kern w:val="0"/>
          <w:szCs w:val="24"/>
          <w:lang w:eastAsia="zh-CN"/>
        </w:rPr>
        <w:t> 2007; </w:t>
      </w:r>
      <w:r w:rsidRPr="00DF417A">
        <w:rPr>
          <w:rFonts w:cs="SimSun"/>
          <w:b/>
          <w:bCs/>
          <w:color w:val="auto"/>
          <w:kern w:val="0"/>
          <w:szCs w:val="24"/>
          <w:lang w:eastAsia="zh-CN"/>
        </w:rPr>
        <w:t>28</w:t>
      </w:r>
      <w:r w:rsidRPr="00DF417A">
        <w:rPr>
          <w:rFonts w:cs="SimSun"/>
          <w:color w:val="auto"/>
          <w:kern w:val="0"/>
          <w:szCs w:val="24"/>
          <w:lang w:eastAsia="zh-CN"/>
        </w:rPr>
        <w:t>: 101-106 [PMID: 16837478 DOI: 10.1093/carcin/bgl124]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83 </w:t>
      </w:r>
      <w:r w:rsidRPr="00DF417A">
        <w:rPr>
          <w:rFonts w:cs="SimSun"/>
          <w:b/>
          <w:bCs/>
          <w:color w:val="auto"/>
          <w:kern w:val="0"/>
          <w:szCs w:val="24"/>
          <w:lang w:eastAsia="zh-CN"/>
        </w:rPr>
        <w:t>Sakamoto H</w:t>
      </w:r>
      <w:r w:rsidRPr="00DF417A">
        <w:rPr>
          <w:rFonts w:cs="SimSun"/>
          <w:color w:val="auto"/>
          <w:kern w:val="0"/>
          <w:szCs w:val="24"/>
          <w:lang w:eastAsia="zh-CN"/>
        </w:rPr>
        <w:t xml:space="preserve">, Yoshimura K, Saeki N, Katai H, Shimoda T, Matsuno Y, Saito D, Sugimura H, Tanioka F, Kato S, Matsukura N, Matsuda N, Nakamura T, Hyodo I, Nishina T, Yasui W, Hirose H, Hayashi M, Toshiro E, Ohnami S, Sekine A, Sato Y, Totsuka H, Ando M, Takemura R, Takahashi Y, Ohdaira M, Aoki K, Honmyo I, </w:t>
      </w:r>
      <w:r w:rsidRPr="00DF417A">
        <w:rPr>
          <w:rFonts w:cs="SimSun"/>
          <w:color w:val="auto"/>
          <w:kern w:val="0"/>
          <w:szCs w:val="24"/>
          <w:lang w:eastAsia="zh-CN"/>
        </w:rPr>
        <w:lastRenderedPageBreak/>
        <w:t>Chiku S, Aoyagi K, Sasaki H, Ohnami S, Yanagihara K, Yoon KA, Kook MC, Lee YS, Park SR, Kim CG, Choi IJ, Yoshida T, Nakamura Y, Hirohashi S. Genetic variation in PSCA is associated with susceptibility to diffuse-type gastric cancer. </w:t>
      </w:r>
      <w:r w:rsidRPr="00DF417A">
        <w:rPr>
          <w:rFonts w:cs="SimSun"/>
          <w:i/>
          <w:iCs/>
          <w:color w:val="auto"/>
          <w:kern w:val="0"/>
          <w:szCs w:val="24"/>
          <w:lang w:eastAsia="zh-CN"/>
        </w:rPr>
        <w:t>Nat Genet</w:t>
      </w:r>
      <w:r w:rsidRPr="00DF417A">
        <w:rPr>
          <w:rFonts w:cs="SimSun"/>
          <w:color w:val="auto"/>
          <w:kern w:val="0"/>
          <w:szCs w:val="24"/>
          <w:lang w:eastAsia="zh-CN"/>
        </w:rPr>
        <w:t> 2008; </w:t>
      </w:r>
      <w:r w:rsidRPr="00DF417A">
        <w:rPr>
          <w:rFonts w:cs="SimSun"/>
          <w:b/>
          <w:bCs/>
          <w:color w:val="auto"/>
          <w:kern w:val="0"/>
          <w:szCs w:val="24"/>
          <w:lang w:eastAsia="zh-CN"/>
        </w:rPr>
        <w:t>40</w:t>
      </w:r>
      <w:r w:rsidRPr="00DF417A">
        <w:rPr>
          <w:rFonts w:cs="SimSun"/>
          <w:color w:val="auto"/>
          <w:kern w:val="0"/>
          <w:szCs w:val="24"/>
          <w:lang w:eastAsia="zh-CN"/>
        </w:rPr>
        <w:t>: 730-740 [PMID: 18488030 DOI: 10.1038/ng.152]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84 </w:t>
      </w:r>
      <w:r w:rsidRPr="00DF417A">
        <w:rPr>
          <w:rFonts w:cs="SimSun"/>
          <w:b/>
          <w:bCs/>
          <w:color w:val="auto"/>
          <w:kern w:val="0"/>
          <w:szCs w:val="24"/>
          <w:lang w:eastAsia="zh-CN"/>
        </w:rPr>
        <w:t>Kamangar F</w:t>
      </w:r>
      <w:r w:rsidRPr="00DF417A">
        <w:rPr>
          <w:rFonts w:cs="SimSun"/>
          <w:color w:val="auto"/>
          <w:kern w:val="0"/>
          <w:szCs w:val="24"/>
          <w:lang w:eastAsia="zh-CN"/>
        </w:rPr>
        <w:t>, Cheng C, Abnet CC, Rabkin CS. Interleukin-1B polymorphisms and gastric cancer risk--a meta-analysis. </w:t>
      </w:r>
      <w:r w:rsidRPr="00DF417A">
        <w:rPr>
          <w:rFonts w:cs="SimSun"/>
          <w:i/>
          <w:iCs/>
          <w:color w:val="auto"/>
          <w:kern w:val="0"/>
          <w:szCs w:val="24"/>
          <w:lang w:eastAsia="zh-CN"/>
        </w:rPr>
        <w:t>Cancer Epidemiol Biomarkers Prev</w:t>
      </w:r>
      <w:r w:rsidRPr="00DF417A">
        <w:rPr>
          <w:rFonts w:cs="SimSun"/>
          <w:color w:val="auto"/>
          <w:kern w:val="0"/>
          <w:szCs w:val="24"/>
          <w:lang w:eastAsia="zh-CN"/>
        </w:rPr>
        <w:t> 2006; </w:t>
      </w:r>
      <w:r w:rsidRPr="00DF417A">
        <w:rPr>
          <w:rFonts w:cs="SimSun"/>
          <w:b/>
          <w:bCs/>
          <w:color w:val="auto"/>
          <w:kern w:val="0"/>
          <w:szCs w:val="24"/>
          <w:lang w:eastAsia="zh-CN"/>
        </w:rPr>
        <w:t>15</w:t>
      </w:r>
      <w:r w:rsidRPr="00DF417A">
        <w:rPr>
          <w:rFonts w:cs="SimSun"/>
          <w:color w:val="auto"/>
          <w:kern w:val="0"/>
          <w:szCs w:val="24"/>
          <w:lang w:eastAsia="zh-CN"/>
        </w:rPr>
        <w:t>: 1920-1928 [PMID: 17035400 DOI: 10.1158/1055-9965.EPI-06-0267]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85 </w:t>
      </w:r>
      <w:r w:rsidRPr="00DF417A">
        <w:rPr>
          <w:rFonts w:cs="SimSun"/>
          <w:b/>
          <w:bCs/>
          <w:color w:val="auto"/>
          <w:kern w:val="0"/>
          <w:szCs w:val="24"/>
          <w:lang w:eastAsia="zh-CN"/>
        </w:rPr>
        <w:t>García-González MA</w:t>
      </w:r>
      <w:r w:rsidRPr="00DF417A">
        <w:rPr>
          <w:rFonts w:cs="SimSun"/>
          <w:color w:val="auto"/>
          <w:kern w:val="0"/>
          <w:szCs w:val="24"/>
          <w:lang w:eastAsia="zh-CN"/>
        </w:rPr>
        <w:t>, Lanas A, Quintero E, Nicolás D, Parra-Blanco A, Strunk M, Benito R, Angel Simón M, Santolaria S, Sopeña F, Piazuelo E, Jiménez P, Pascual C, Mas E, Irún P, Espinel J, Campo R, Manzano M, Geijo F, Pellisé M, González-Huix F, Nieto M, Espinós J, Titó L, Bujanda L, Zaballa M. Gastric cancer susceptibility is not linked to pro-and anti-inflammatory cytokine gene polymorphisms in whites: a Nationwide Multicenter Study in Spain. </w:t>
      </w:r>
      <w:r w:rsidRPr="00DF417A">
        <w:rPr>
          <w:rFonts w:cs="SimSun"/>
          <w:i/>
          <w:iCs/>
          <w:color w:val="auto"/>
          <w:kern w:val="0"/>
          <w:szCs w:val="24"/>
          <w:lang w:eastAsia="zh-CN"/>
        </w:rPr>
        <w:t>Am J Gastroenterol</w:t>
      </w:r>
      <w:r w:rsidRPr="00DF417A">
        <w:rPr>
          <w:rFonts w:cs="SimSun"/>
          <w:color w:val="auto"/>
          <w:kern w:val="0"/>
          <w:szCs w:val="24"/>
          <w:lang w:eastAsia="zh-CN"/>
        </w:rPr>
        <w:t> 2007; </w:t>
      </w:r>
      <w:r w:rsidRPr="00DF417A">
        <w:rPr>
          <w:rFonts w:cs="SimSun"/>
          <w:b/>
          <w:bCs/>
          <w:color w:val="auto"/>
          <w:kern w:val="0"/>
          <w:szCs w:val="24"/>
          <w:lang w:eastAsia="zh-CN"/>
        </w:rPr>
        <w:t>102</w:t>
      </w:r>
      <w:r w:rsidRPr="00DF417A">
        <w:rPr>
          <w:rFonts w:cs="SimSun"/>
          <w:color w:val="auto"/>
          <w:kern w:val="0"/>
          <w:szCs w:val="24"/>
          <w:lang w:eastAsia="zh-CN"/>
        </w:rPr>
        <w:t>: 1878-1892 [PMID: 17640324 DOI: 10.1111/j.1572-0241.2007.01423.x]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86 </w:t>
      </w:r>
      <w:r w:rsidRPr="00DF417A">
        <w:rPr>
          <w:rFonts w:cs="SimSun"/>
          <w:b/>
          <w:bCs/>
          <w:color w:val="auto"/>
          <w:kern w:val="0"/>
          <w:szCs w:val="24"/>
          <w:lang w:eastAsia="zh-CN"/>
        </w:rPr>
        <w:t>He B</w:t>
      </w:r>
      <w:r w:rsidRPr="00DF417A">
        <w:rPr>
          <w:rFonts w:cs="SimSun"/>
          <w:color w:val="auto"/>
          <w:kern w:val="0"/>
          <w:szCs w:val="24"/>
          <w:lang w:eastAsia="zh-CN"/>
        </w:rPr>
        <w:t>, Zhang Y, Pan Y, Xu Y, Gu L, Chen L, Wang S. Interleukin 1 beta (IL1B) promoter polymorphism and cancer risk: evidence from 47 published studies. </w:t>
      </w:r>
      <w:r w:rsidRPr="00DF417A">
        <w:rPr>
          <w:rFonts w:cs="SimSun"/>
          <w:i/>
          <w:iCs/>
          <w:color w:val="auto"/>
          <w:kern w:val="0"/>
          <w:szCs w:val="24"/>
          <w:lang w:eastAsia="zh-CN"/>
        </w:rPr>
        <w:t>Mutagenesis</w:t>
      </w:r>
      <w:r w:rsidRPr="00DF417A">
        <w:rPr>
          <w:rFonts w:cs="SimSun"/>
          <w:color w:val="auto"/>
          <w:kern w:val="0"/>
          <w:szCs w:val="24"/>
          <w:lang w:eastAsia="zh-CN"/>
        </w:rPr>
        <w:t> 2011; </w:t>
      </w:r>
      <w:r w:rsidRPr="00DF417A">
        <w:rPr>
          <w:rFonts w:cs="SimSun"/>
          <w:b/>
          <w:bCs/>
          <w:color w:val="auto"/>
          <w:kern w:val="0"/>
          <w:szCs w:val="24"/>
          <w:lang w:eastAsia="zh-CN"/>
        </w:rPr>
        <w:t>26</w:t>
      </w:r>
      <w:r w:rsidRPr="00DF417A">
        <w:rPr>
          <w:rFonts w:cs="SimSun"/>
          <w:color w:val="auto"/>
          <w:kern w:val="0"/>
          <w:szCs w:val="24"/>
          <w:lang w:eastAsia="zh-CN"/>
        </w:rPr>
        <w:t>: 637-642 [PMID: 21653279 DOI: 10.1093/mutage/ger025]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87 </w:t>
      </w:r>
      <w:r w:rsidRPr="00DF417A">
        <w:rPr>
          <w:rFonts w:cs="SimSun"/>
          <w:b/>
          <w:bCs/>
          <w:color w:val="auto"/>
          <w:kern w:val="0"/>
          <w:szCs w:val="24"/>
          <w:lang w:eastAsia="zh-CN"/>
        </w:rPr>
        <w:t>Murphy G</w:t>
      </w:r>
      <w:r w:rsidRPr="00DF417A">
        <w:rPr>
          <w:rFonts w:cs="SimSun"/>
          <w:color w:val="auto"/>
          <w:kern w:val="0"/>
          <w:szCs w:val="24"/>
          <w:lang w:eastAsia="zh-CN"/>
        </w:rPr>
        <w:t>, Thornton J, McManus R, Swan N, Ryan B, Hughes DJ, O'Morain CA, O'Sullivan M. Association of gastric disease with polymorphisms in the inflammatory-related genes IL-1B, IL-1RN, IL-10, TNF and TLR4. </w:t>
      </w:r>
      <w:r w:rsidRPr="00DF417A">
        <w:rPr>
          <w:rFonts w:cs="SimSun"/>
          <w:i/>
          <w:iCs/>
          <w:color w:val="auto"/>
          <w:kern w:val="0"/>
          <w:szCs w:val="24"/>
          <w:lang w:eastAsia="zh-CN"/>
        </w:rPr>
        <w:t>Eur J Gastroenterol Hepatol</w:t>
      </w:r>
      <w:r w:rsidRPr="00DF417A">
        <w:rPr>
          <w:rFonts w:cs="SimSun"/>
          <w:color w:val="auto"/>
          <w:kern w:val="0"/>
          <w:szCs w:val="24"/>
          <w:lang w:eastAsia="zh-CN"/>
        </w:rPr>
        <w:t> 2009; </w:t>
      </w:r>
      <w:r w:rsidRPr="00DF417A">
        <w:rPr>
          <w:rFonts w:cs="SimSun"/>
          <w:b/>
          <w:bCs/>
          <w:color w:val="auto"/>
          <w:kern w:val="0"/>
          <w:szCs w:val="24"/>
          <w:lang w:eastAsia="zh-CN"/>
        </w:rPr>
        <w:t>21</w:t>
      </w:r>
      <w:r w:rsidRPr="00DF417A">
        <w:rPr>
          <w:rFonts w:cs="SimSun"/>
          <w:color w:val="auto"/>
          <w:kern w:val="0"/>
          <w:szCs w:val="24"/>
          <w:lang w:eastAsia="zh-CN"/>
        </w:rPr>
        <w:t>: 630-635 [PMID: 19295440 DOI: 10.1097/MEG.0b013e3283140eea]</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88 </w:t>
      </w:r>
      <w:r w:rsidRPr="00DF417A">
        <w:rPr>
          <w:rFonts w:cs="SimSun"/>
          <w:b/>
          <w:bCs/>
          <w:color w:val="auto"/>
          <w:kern w:val="0"/>
          <w:szCs w:val="24"/>
          <w:lang w:eastAsia="zh-CN"/>
        </w:rPr>
        <w:t>Persson C</w:t>
      </w:r>
      <w:r w:rsidRPr="00DF417A">
        <w:rPr>
          <w:rFonts w:cs="SimSun"/>
          <w:color w:val="auto"/>
          <w:kern w:val="0"/>
          <w:szCs w:val="24"/>
          <w:lang w:eastAsia="zh-CN"/>
        </w:rPr>
        <w:t>, Engstrand L, Nyrén O, Hansson LE, Enroth H, Ekström AM, Ye W. Interleukin 1-beta gene polymorphisms and risk of gastric cancer in Sweden. </w:t>
      </w:r>
      <w:r w:rsidRPr="00DF417A">
        <w:rPr>
          <w:rFonts w:cs="SimSun"/>
          <w:i/>
          <w:iCs/>
          <w:color w:val="auto"/>
          <w:kern w:val="0"/>
          <w:szCs w:val="24"/>
          <w:lang w:eastAsia="zh-CN"/>
        </w:rPr>
        <w:t>Scand J Gastroenterol</w:t>
      </w:r>
      <w:r w:rsidRPr="00DF417A">
        <w:rPr>
          <w:rFonts w:cs="SimSun"/>
          <w:color w:val="auto"/>
          <w:kern w:val="0"/>
          <w:szCs w:val="24"/>
          <w:lang w:eastAsia="zh-CN"/>
        </w:rPr>
        <w:t> 2009; </w:t>
      </w:r>
      <w:r w:rsidRPr="00DF417A">
        <w:rPr>
          <w:rFonts w:cs="SimSun"/>
          <w:b/>
          <w:bCs/>
          <w:color w:val="auto"/>
          <w:kern w:val="0"/>
          <w:szCs w:val="24"/>
          <w:lang w:eastAsia="zh-CN"/>
        </w:rPr>
        <w:t>44</w:t>
      </w:r>
      <w:r w:rsidRPr="00DF417A">
        <w:rPr>
          <w:rFonts w:cs="SimSun"/>
          <w:color w:val="auto"/>
          <w:kern w:val="0"/>
          <w:szCs w:val="24"/>
          <w:lang w:eastAsia="zh-CN"/>
        </w:rPr>
        <w:t>: 339-345 [PMID: 19031173 DOI: 10.1080/00365520802556015]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89 </w:t>
      </w:r>
      <w:r w:rsidRPr="00DF417A">
        <w:rPr>
          <w:rFonts w:cs="SimSun"/>
          <w:b/>
          <w:bCs/>
          <w:color w:val="auto"/>
          <w:kern w:val="0"/>
          <w:szCs w:val="24"/>
          <w:lang w:eastAsia="zh-CN"/>
        </w:rPr>
        <w:t>Wex T</w:t>
      </w:r>
      <w:r w:rsidRPr="00DF417A">
        <w:rPr>
          <w:rFonts w:cs="SimSun"/>
          <w:color w:val="auto"/>
          <w:kern w:val="0"/>
          <w:szCs w:val="24"/>
          <w:lang w:eastAsia="zh-CN"/>
        </w:rPr>
        <w:t>, Leodolter A, Bornschein J, Kuester D, Kähne T, Kropf S, Albrecht C, Naumann M, Roessner A, Malfertheiner P. Interleukin 1 beta (IL1B) gene polymorphisms are not associated with gastric carcinogenesis in Germany. </w:t>
      </w:r>
      <w:r w:rsidRPr="00DF417A">
        <w:rPr>
          <w:rFonts w:cs="SimSun"/>
          <w:i/>
          <w:iCs/>
          <w:color w:val="auto"/>
          <w:kern w:val="0"/>
          <w:szCs w:val="24"/>
          <w:lang w:eastAsia="zh-CN"/>
        </w:rPr>
        <w:t>Anticancer Res</w:t>
      </w:r>
      <w:r w:rsidRPr="00DF417A">
        <w:rPr>
          <w:rFonts w:cs="SimSun"/>
          <w:color w:val="auto"/>
          <w:kern w:val="0"/>
          <w:szCs w:val="24"/>
          <w:lang w:eastAsia="zh-CN"/>
        </w:rPr>
        <w:t> 2010; </w:t>
      </w:r>
      <w:r w:rsidRPr="00DF417A">
        <w:rPr>
          <w:rFonts w:cs="SimSun"/>
          <w:b/>
          <w:bCs/>
          <w:color w:val="auto"/>
          <w:kern w:val="0"/>
          <w:szCs w:val="24"/>
          <w:lang w:eastAsia="zh-CN"/>
        </w:rPr>
        <w:t>30</w:t>
      </w:r>
      <w:r w:rsidRPr="00DF417A">
        <w:rPr>
          <w:rFonts w:cs="SimSun"/>
          <w:color w:val="auto"/>
          <w:kern w:val="0"/>
          <w:szCs w:val="24"/>
          <w:lang w:eastAsia="zh-CN"/>
        </w:rPr>
        <w:t>: 505-511 [PMID: 20332462]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90 </w:t>
      </w:r>
      <w:r w:rsidRPr="00DF417A">
        <w:rPr>
          <w:rFonts w:cs="SimSun"/>
          <w:b/>
          <w:bCs/>
          <w:color w:val="auto"/>
          <w:kern w:val="0"/>
          <w:szCs w:val="24"/>
          <w:lang w:eastAsia="zh-CN"/>
        </w:rPr>
        <w:t>Kato S</w:t>
      </w:r>
      <w:r w:rsidRPr="00DF417A">
        <w:rPr>
          <w:rFonts w:cs="SimSun"/>
          <w:color w:val="auto"/>
          <w:kern w:val="0"/>
          <w:szCs w:val="24"/>
          <w:lang w:eastAsia="zh-CN"/>
        </w:rPr>
        <w:t>, Onda M, Yamada S, Matsuda N, Tokunaga A, Matsukura N. Association of the interleukin-1 beta genetic polymorphism and gastric cancer risk in Japanese. </w:t>
      </w:r>
      <w:r w:rsidRPr="00DF417A">
        <w:rPr>
          <w:rFonts w:cs="SimSun"/>
          <w:i/>
          <w:iCs/>
          <w:color w:val="auto"/>
          <w:kern w:val="0"/>
          <w:szCs w:val="24"/>
          <w:lang w:eastAsia="zh-CN"/>
        </w:rPr>
        <w:t>J Gastroenterol</w:t>
      </w:r>
      <w:r w:rsidRPr="00DF417A">
        <w:rPr>
          <w:rFonts w:cs="SimSun"/>
          <w:color w:val="auto"/>
          <w:kern w:val="0"/>
          <w:szCs w:val="24"/>
          <w:lang w:eastAsia="zh-CN"/>
        </w:rPr>
        <w:t> 2001; </w:t>
      </w:r>
      <w:r w:rsidRPr="00DF417A">
        <w:rPr>
          <w:rFonts w:cs="SimSun"/>
          <w:b/>
          <w:bCs/>
          <w:color w:val="auto"/>
          <w:kern w:val="0"/>
          <w:szCs w:val="24"/>
          <w:lang w:eastAsia="zh-CN"/>
        </w:rPr>
        <w:t>36</w:t>
      </w:r>
      <w:r w:rsidRPr="00DF417A">
        <w:rPr>
          <w:rFonts w:cs="SimSun"/>
          <w:color w:val="auto"/>
          <w:kern w:val="0"/>
          <w:szCs w:val="24"/>
          <w:lang w:eastAsia="zh-CN"/>
        </w:rPr>
        <w:t>: 696-699 [PMID: 11686480]</w:t>
      </w:r>
    </w:p>
    <w:p w:rsidR="00DF417A" w:rsidRPr="00DF417A" w:rsidRDefault="00DF417A" w:rsidP="00DF417A">
      <w:pPr>
        <w:suppressAutoHyphens w:val="0"/>
        <w:jc w:val="both"/>
        <w:rPr>
          <w:rFonts w:cs="SimSun"/>
          <w:color w:val="auto"/>
          <w:kern w:val="0"/>
          <w:szCs w:val="24"/>
          <w:lang w:eastAsia="zh-CN"/>
        </w:rPr>
      </w:pPr>
      <w:bookmarkStart w:id="36" w:name="OLE_LINK571"/>
      <w:bookmarkStart w:id="37" w:name="OLE_LINK573"/>
      <w:r w:rsidRPr="00DF417A">
        <w:rPr>
          <w:rFonts w:cs="SimSun"/>
          <w:color w:val="auto"/>
          <w:kern w:val="0"/>
          <w:szCs w:val="24"/>
          <w:lang w:eastAsia="zh-CN"/>
        </w:rPr>
        <w:lastRenderedPageBreak/>
        <w:t>91 </w:t>
      </w:r>
      <w:r w:rsidRPr="00DF417A">
        <w:rPr>
          <w:rFonts w:cs="SimSun"/>
          <w:b/>
          <w:bCs/>
          <w:color w:val="auto"/>
          <w:kern w:val="0"/>
          <w:szCs w:val="24"/>
          <w:lang w:eastAsia="zh-CN"/>
        </w:rPr>
        <w:t>Sitarz R</w:t>
      </w:r>
      <w:r w:rsidRPr="00DF417A">
        <w:rPr>
          <w:rFonts w:cs="SimSun"/>
          <w:color w:val="auto"/>
          <w:kern w:val="0"/>
          <w:szCs w:val="24"/>
          <w:lang w:eastAsia="zh-CN"/>
        </w:rPr>
        <w:t>, de Leng WW, Polak M, Morsink FH, Bakker O, Polkowski WP, Maciejewski R, Offerhaus GJ, Milne AN. IL-1B -31T&amp; gt; C promoter polymorphism is associated with gastric stump cancer but not with early onset or conventional gastric cancers. </w:t>
      </w:r>
      <w:r w:rsidRPr="00DF417A">
        <w:rPr>
          <w:rFonts w:cs="SimSun"/>
          <w:i/>
          <w:iCs/>
          <w:color w:val="auto"/>
          <w:kern w:val="0"/>
          <w:szCs w:val="24"/>
          <w:lang w:eastAsia="zh-CN"/>
        </w:rPr>
        <w:t>Virchows Arch</w:t>
      </w:r>
      <w:r w:rsidRPr="00DF417A">
        <w:rPr>
          <w:rFonts w:cs="SimSun"/>
          <w:color w:val="auto"/>
          <w:kern w:val="0"/>
          <w:szCs w:val="24"/>
          <w:lang w:eastAsia="zh-CN"/>
        </w:rPr>
        <w:t> 2008; </w:t>
      </w:r>
      <w:r w:rsidRPr="00DF417A">
        <w:rPr>
          <w:rFonts w:cs="SimSun"/>
          <w:b/>
          <w:bCs/>
          <w:color w:val="auto"/>
          <w:kern w:val="0"/>
          <w:szCs w:val="24"/>
          <w:lang w:eastAsia="zh-CN"/>
        </w:rPr>
        <w:t>453</w:t>
      </w:r>
      <w:r w:rsidRPr="00DF417A">
        <w:rPr>
          <w:rFonts w:cs="SimSun"/>
          <w:color w:val="auto"/>
          <w:kern w:val="0"/>
          <w:szCs w:val="24"/>
          <w:lang w:eastAsia="zh-CN"/>
        </w:rPr>
        <w:t>: 249-255 [PMID: 18688641 DOI: 10.1007/s00428-008-0642-5]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92 </w:t>
      </w:r>
      <w:r w:rsidRPr="00DF417A">
        <w:rPr>
          <w:rFonts w:cs="SimSun"/>
          <w:b/>
          <w:bCs/>
          <w:color w:val="auto"/>
          <w:kern w:val="0"/>
          <w:szCs w:val="24"/>
          <w:lang w:eastAsia="zh-CN"/>
        </w:rPr>
        <w:t>Kufe DW</w:t>
      </w:r>
      <w:r w:rsidRPr="00DF417A">
        <w:rPr>
          <w:rFonts w:cs="SimSun"/>
          <w:color w:val="auto"/>
          <w:kern w:val="0"/>
          <w:szCs w:val="24"/>
          <w:lang w:eastAsia="zh-CN"/>
        </w:rPr>
        <w:t>. Mucins in cancer: function, prognosis and therapy. </w:t>
      </w:r>
      <w:r w:rsidRPr="00DF417A">
        <w:rPr>
          <w:rFonts w:cs="SimSun"/>
          <w:i/>
          <w:iCs/>
          <w:color w:val="auto"/>
          <w:kern w:val="0"/>
          <w:szCs w:val="24"/>
          <w:lang w:eastAsia="zh-CN"/>
        </w:rPr>
        <w:t>Nat Rev Cancer</w:t>
      </w:r>
      <w:r w:rsidRPr="00DF417A">
        <w:rPr>
          <w:rFonts w:cs="SimSun"/>
          <w:color w:val="auto"/>
          <w:kern w:val="0"/>
          <w:szCs w:val="24"/>
          <w:lang w:eastAsia="zh-CN"/>
        </w:rPr>
        <w:t> 2009; </w:t>
      </w:r>
      <w:r w:rsidRPr="00DF417A">
        <w:rPr>
          <w:rFonts w:cs="SimSun"/>
          <w:b/>
          <w:bCs/>
          <w:color w:val="auto"/>
          <w:kern w:val="0"/>
          <w:szCs w:val="24"/>
          <w:lang w:eastAsia="zh-CN"/>
        </w:rPr>
        <w:t>9</w:t>
      </w:r>
      <w:r w:rsidRPr="00DF417A">
        <w:rPr>
          <w:rFonts w:cs="SimSun"/>
          <w:color w:val="auto"/>
          <w:kern w:val="0"/>
          <w:szCs w:val="24"/>
          <w:lang w:eastAsia="zh-CN"/>
        </w:rPr>
        <w:t>: 874-885 [PMID: 19935676 DOI: 10.1038/nrc2761]</w:t>
      </w:r>
    </w:p>
    <w:p w:rsidR="00DF417A" w:rsidRPr="00DF417A" w:rsidRDefault="00DF417A" w:rsidP="00DF417A">
      <w:pPr>
        <w:suppressAutoHyphens w:val="0"/>
        <w:jc w:val="both"/>
        <w:rPr>
          <w:rFonts w:cs="SimSun"/>
          <w:color w:val="auto"/>
          <w:kern w:val="0"/>
          <w:szCs w:val="24"/>
          <w:lang w:eastAsia="zh-CN"/>
        </w:rPr>
      </w:pPr>
      <w:r w:rsidRPr="00DC64F3">
        <w:rPr>
          <w:rFonts w:cs="SimSun"/>
          <w:color w:val="auto"/>
          <w:kern w:val="0"/>
          <w:szCs w:val="24"/>
          <w:lang w:val="pl-PL" w:eastAsia="zh-CN"/>
        </w:rPr>
        <w:t>93 </w:t>
      </w:r>
      <w:r w:rsidRPr="00DC64F3">
        <w:rPr>
          <w:rFonts w:cs="SimSun"/>
          <w:b/>
          <w:bCs/>
          <w:color w:val="auto"/>
          <w:kern w:val="0"/>
          <w:szCs w:val="24"/>
          <w:lang w:val="pl-PL" w:eastAsia="zh-CN"/>
        </w:rPr>
        <w:t>Senapati S</w:t>
      </w:r>
      <w:r w:rsidRPr="00DC64F3">
        <w:rPr>
          <w:rFonts w:cs="SimSun"/>
          <w:color w:val="auto"/>
          <w:kern w:val="0"/>
          <w:szCs w:val="24"/>
          <w:lang w:val="pl-PL" w:eastAsia="zh-CN"/>
        </w:rPr>
        <w:t xml:space="preserve">, Das S, Batra SK. </w:t>
      </w:r>
      <w:r w:rsidRPr="00DF417A">
        <w:rPr>
          <w:rFonts w:cs="SimSun"/>
          <w:color w:val="auto"/>
          <w:kern w:val="0"/>
          <w:szCs w:val="24"/>
          <w:lang w:eastAsia="zh-CN"/>
        </w:rPr>
        <w:t>Mucin-interacting proteins: from function to therapeutics. </w:t>
      </w:r>
      <w:r w:rsidRPr="00DF417A">
        <w:rPr>
          <w:rFonts w:cs="SimSun"/>
          <w:i/>
          <w:iCs/>
          <w:color w:val="auto"/>
          <w:kern w:val="0"/>
          <w:szCs w:val="24"/>
          <w:lang w:eastAsia="zh-CN"/>
        </w:rPr>
        <w:t>Trends Biochem Sci</w:t>
      </w:r>
      <w:r w:rsidRPr="00DF417A">
        <w:rPr>
          <w:rFonts w:cs="SimSun"/>
          <w:color w:val="auto"/>
          <w:kern w:val="0"/>
          <w:szCs w:val="24"/>
          <w:lang w:eastAsia="zh-CN"/>
        </w:rPr>
        <w:t> 2010; </w:t>
      </w:r>
      <w:r w:rsidRPr="00DF417A">
        <w:rPr>
          <w:rFonts w:cs="SimSun"/>
          <w:b/>
          <w:bCs/>
          <w:color w:val="auto"/>
          <w:kern w:val="0"/>
          <w:szCs w:val="24"/>
          <w:lang w:eastAsia="zh-CN"/>
        </w:rPr>
        <w:t>35</w:t>
      </w:r>
      <w:r w:rsidRPr="00DF417A">
        <w:rPr>
          <w:rFonts w:cs="SimSun"/>
          <w:color w:val="auto"/>
          <w:kern w:val="0"/>
          <w:szCs w:val="24"/>
          <w:lang w:eastAsia="zh-CN"/>
        </w:rPr>
        <w:t>: 236-245 [PMID: 19913432 DOI: 10.1016/j.tibs.2009.10.003]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 xml:space="preserve">94 </w:t>
      </w:r>
      <w:r w:rsidRPr="00DF417A">
        <w:rPr>
          <w:b/>
          <w:szCs w:val="24"/>
        </w:rPr>
        <w:t>Boltin D</w:t>
      </w:r>
      <w:r w:rsidRPr="00DF417A">
        <w:rPr>
          <w:szCs w:val="24"/>
        </w:rPr>
        <w:t>, Niv Y.</w:t>
      </w:r>
      <w:r w:rsidRPr="00DF417A">
        <w:rPr>
          <w:rFonts w:cs="SimSun" w:hint="eastAsia"/>
          <w:color w:val="auto"/>
          <w:kern w:val="0"/>
          <w:szCs w:val="24"/>
          <w:lang w:eastAsia="zh-CN"/>
        </w:rPr>
        <w:t xml:space="preserve"> </w:t>
      </w:r>
      <w:r w:rsidRPr="00DF417A">
        <w:rPr>
          <w:rFonts w:cs="SimSun"/>
          <w:color w:val="auto"/>
          <w:kern w:val="0"/>
          <w:szCs w:val="24"/>
          <w:lang w:eastAsia="zh-CN"/>
        </w:rPr>
        <w:t>Mucins in Gastric Cancer - An Update. </w:t>
      </w:r>
      <w:r w:rsidRPr="00DF417A">
        <w:rPr>
          <w:rFonts w:cs="SimSun"/>
          <w:i/>
          <w:iCs/>
          <w:color w:val="auto"/>
          <w:kern w:val="0"/>
          <w:szCs w:val="24"/>
          <w:lang w:eastAsia="zh-CN"/>
        </w:rPr>
        <w:t>J Gastrointest Dig Syst</w:t>
      </w:r>
      <w:r w:rsidRPr="00DF417A">
        <w:rPr>
          <w:rFonts w:cs="SimSun"/>
          <w:color w:val="auto"/>
          <w:kern w:val="0"/>
          <w:szCs w:val="24"/>
          <w:lang w:eastAsia="zh-CN"/>
        </w:rPr>
        <w:t> 2013; </w:t>
      </w:r>
      <w:r w:rsidRPr="00DF417A">
        <w:rPr>
          <w:rFonts w:cs="SimSun"/>
          <w:b/>
          <w:bCs/>
          <w:color w:val="auto"/>
          <w:kern w:val="0"/>
          <w:szCs w:val="24"/>
          <w:lang w:eastAsia="zh-CN"/>
        </w:rPr>
        <w:t>3</w:t>
      </w:r>
      <w:r w:rsidRPr="00DF417A">
        <w:rPr>
          <w:rFonts w:cs="SimSun"/>
          <w:color w:val="auto"/>
          <w:kern w:val="0"/>
          <w:szCs w:val="24"/>
          <w:lang w:eastAsia="zh-CN"/>
        </w:rPr>
        <w:t>: 15519 [PMID: 24077811 DOI: 10.4172/2161-069X.1000123]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95 </w:t>
      </w:r>
      <w:r w:rsidRPr="00DF417A">
        <w:rPr>
          <w:rFonts w:cs="SimSun"/>
          <w:b/>
          <w:bCs/>
          <w:color w:val="auto"/>
          <w:kern w:val="0"/>
          <w:szCs w:val="24"/>
          <w:lang w:eastAsia="zh-CN"/>
        </w:rPr>
        <w:t>Kufe DW</w:t>
      </w:r>
      <w:r w:rsidRPr="00DF417A">
        <w:rPr>
          <w:rFonts w:cs="SimSun"/>
          <w:color w:val="auto"/>
          <w:kern w:val="0"/>
          <w:szCs w:val="24"/>
          <w:lang w:eastAsia="zh-CN"/>
        </w:rPr>
        <w:t>. MUC1-C oncoprotein as a target in breast cancer: activation of signaling pathways and therapeutic approaches. </w:t>
      </w:r>
      <w:r w:rsidRPr="00DF417A">
        <w:rPr>
          <w:rFonts w:cs="SimSun"/>
          <w:i/>
          <w:iCs/>
          <w:color w:val="auto"/>
          <w:kern w:val="0"/>
          <w:szCs w:val="24"/>
          <w:lang w:eastAsia="zh-CN"/>
        </w:rPr>
        <w:t>Oncogene</w:t>
      </w:r>
      <w:r w:rsidRPr="00DF417A">
        <w:rPr>
          <w:rFonts w:cs="SimSun"/>
          <w:color w:val="auto"/>
          <w:kern w:val="0"/>
          <w:szCs w:val="24"/>
          <w:lang w:eastAsia="zh-CN"/>
        </w:rPr>
        <w:t> 2013; </w:t>
      </w:r>
      <w:r w:rsidRPr="00DF417A">
        <w:rPr>
          <w:rFonts w:cs="SimSun"/>
          <w:b/>
          <w:bCs/>
          <w:color w:val="auto"/>
          <w:kern w:val="0"/>
          <w:szCs w:val="24"/>
          <w:lang w:eastAsia="zh-CN"/>
        </w:rPr>
        <w:t>32</w:t>
      </w:r>
      <w:r w:rsidRPr="00DF417A">
        <w:rPr>
          <w:rFonts w:cs="SimSun"/>
          <w:color w:val="auto"/>
          <w:kern w:val="0"/>
          <w:szCs w:val="24"/>
          <w:lang w:eastAsia="zh-CN"/>
        </w:rPr>
        <w:t>: 1073-1081 [PMID: 22580612 DOI: 10.1038/onc.2012.158]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96 </w:t>
      </w:r>
      <w:r w:rsidRPr="00DF417A">
        <w:rPr>
          <w:rFonts w:cs="SimSun"/>
          <w:b/>
          <w:bCs/>
          <w:color w:val="auto"/>
          <w:kern w:val="0"/>
          <w:szCs w:val="24"/>
          <w:lang w:eastAsia="zh-CN"/>
        </w:rPr>
        <w:t>Marín F</w:t>
      </w:r>
      <w:r w:rsidRPr="00DF417A">
        <w:rPr>
          <w:rFonts w:cs="SimSun"/>
          <w:color w:val="auto"/>
          <w:kern w:val="0"/>
          <w:szCs w:val="24"/>
          <w:lang w:eastAsia="zh-CN"/>
        </w:rPr>
        <w:t>, Bonet C, Muñoz X, García N, Pardo ML, Ruiz-Liso JM, Alonso P, Capellà G, Sanz-Anquela JM, González CA, Sala N. Genetic variation in MUC1, MUC2 and MUC6 genes and evolution of gastric cancer precursor lesions in a long-term follow-up in a high-risk area in Spain. </w:t>
      </w:r>
      <w:r w:rsidRPr="00DF417A">
        <w:rPr>
          <w:rFonts w:cs="SimSun"/>
          <w:i/>
          <w:iCs/>
          <w:color w:val="auto"/>
          <w:kern w:val="0"/>
          <w:szCs w:val="24"/>
          <w:lang w:eastAsia="zh-CN"/>
        </w:rPr>
        <w:t>Carcinogenesis</w:t>
      </w:r>
      <w:r w:rsidRPr="00DF417A">
        <w:rPr>
          <w:rFonts w:cs="SimSun"/>
          <w:color w:val="auto"/>
          <w:kern w:val="0"/>
          <w:szCs w:val="24"/>
          <w:lang w:eastAsia="zh-CN"/>
        </w:rPr>
        <w:t> 2012; </w:t>
      </w:r>
      <w:r w:rsidRPr="00DF417A">
        <w:rPr>
          <w:rFonts w:cs="SimSun"/>
          <w:b/>
          <w:bCs/>
          <w:color w:val="auto"/>
          <w:kern w:val="0"/>
          <w:szCs w:val="24"/>
          <w:lang w:eastAsia="zh-CN"/>
        </w:rPr>
        <w:t>33</w:t>
      </w:r>
      <w:r w:rsidRPr="00DF417A">
        <w:rPr>
          <w:rFonts w:cs="SimSun"/>
          <w:color w:val="auto"/>
          <w:kern w:val="0"/>
          <w:szCs w:val="24"/>
          <w:lang w:eastAsia="zh-CN"/>
        </w:rPr>
        <w:t>: 1072-1080 [PMID: 22402132 DOI: 10.1093/carcin/bgs119]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97 </w:t>
      </w:r>
      <w:r w:rsidRPr="00DF417A">
        <w:rPr>
          <w:rFonts w:cs="SimSun"/>
          <w:b/>
          <w:bCs/>
          <w:color w:val="auto"/>
          <w:kern w:val="0"/>
          <w:szCs w:val="24"/>
          <w:lang w:eastAsia="zh-CN"/>
        </w:rPr>
        <w:t>Qiao L</w:t>
      </w:r>
      <w:r w:rsidRPr="00DF417A">
        <w:rPr>
          <w:rFonts w:cs="SimSun"/>
          <w:color w:val="auto"/>
          <w:kern w:val="0"/>
          <w:szCs w:val="24"/>
          <w:lang w:eastAsia="zh-CN"/>
        </w:rPr>
        <w:t>, Feng Y. Genetic variations of prostate stem cell antigen (PSCA) contribute to the risk of gastric cancer for Eastern Asians: a meta-analysis based on 16792 individuals. </w:t>
      </w:r>
      <w:r w:rsidRPr="00DF417A">
        <w:rPr>
          <w:rFonts w:cs="SimSun"/>
          <w:i/>
          <w:iCs/>
          <w:color w:val="auto"/>
          <w:kern w:val="0"/>
          <w:szCs w:val="24"/>
          <w:lang w:eastAsia="zh-CN"/>
        </w:rPr>
        <w:t>Gene</w:t>
      </w:r>
      <w:r w:rsidRPr="00DF417A">
        <w:rPr>
          <w:rFonts w:cs="SimSun"/>
          <w:color w:val="auto"/>
          <w:kern w:val="0"/>
          <w:szCs w:val="24"/>
          <w:lang w:eastAsia="zh-CN"/>
        </w:rPr>
        <w:t> 2012; </w:t>
      </w:r>
      <w:r w:rsidRPr="00DF417A">
        <w:rPr>
          <w:rFonts w:cs="SimSun"/>
          <w:b/>
          <w:bCs/>
          <w:color w:val="auto"/>
          <w:kern w:val="0"/>
          <w:szCs w:val="24"/>
          <w:lang w:eastAsia="zh-CN"/>
        </w:rPr>
        <w:t>493</w:t>
      </w:r>
      <w:r w:rsidRPr="00DF417A">
        <w:rPr>
          <w:rFonts w:cs="SimSun"/>
          <w:color w:val="auto"/>
          <w:kern w:val="0"/>
          <w:szCs w:val="24"/>
          <w:lang w:eastAsia="zh-CN"/>
        </w:rPr>
        <w:t>: 83-91 [PMID: 22155405 DOI: 10.1016/j.gene.2011.11.017]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98 </w:t>
      </w:r>
      <w:r w:rsidRPr="00DF417A">
        <w:rPr>
          <w:rFonts w:cs="SimSun"/>
          <w:b/>
          <w:bCs/>
          <w:color w:val="auto"/>
          <w:kern w:val="0"/>
          <w:szCs w:val="24"/>
          <w:lang w:eastAsia="zh-CN"/>
        </w:rPr>
        <w:t>Shi D</w:t>
      </w:r>
      <w:r w:rsidRPr="00DF417A">
        <w:rPr>
          <w:rFonts w:cs="SimSun"/>
          <w:color w:val="auto"/>
          <w:kern w:val="0"/>
          <w:szCs w:val="24"/>
          <w:lang w:eastAsia="zh-CN"/>
        </w:rPr>
        <w:t>, Wang S, Gu D, Wu D, Wang M, Chu H, Tong N, Ma L, Zhong D, Zhang Z. The PSCA polymorphisms derived from genome-wide association study are associated with risk of gastric cancer: a meta-analysis. </w:t>
      </w:r>
      <w:r w:rsidRPr="00DF417A">
        <w:rPr>
          <w:rFonts w:cs="SimSun"/>
          <w:i/>
          <w:iCs/>
          <w:color w:val="auto"/>
          <w:kern w:val="0"/>
          <w:szCs w:val="24"/>
          <w:lang w:eastAsia="zh-CN"/>
        </w:rPr>
        <w:t>J Cancer Res Clin Oncol</w:t>
      </w:r>
      <w:r w:rsidRPr="00DF417A">
        <w:rPr>
          <w:rFonts w:cs="SimSun"/>
          <w:color w:val="auto"/>
          <w:kern w:val="0"/>
          <w:szCs w:val="24"/>
          <w:lang w:eastAsia="zh-CN"/>
        </w:rPr>
        <w:t> 2012; </w:t>
      </w:r>
      <w:r w:rsidRPr="00DF417A">
        <w:rPr>
          <w:rFonts w:cs="SimSun"/>
          <w:b/>
          <w:bCs/>
          <w:color w:val="auto"/>
          <w:kern w:val="0"/>
          <w:szCs w:val="24"/>
          <w:lang w:eastAsia="zh-CN"/>
        </w:rPr>
        <w:t>138</w:t>
      </w:r>
      <w:r w:rsidRPr="00DF417A">
        <w:rPr>
          <w:rFonts w:cs="SimSun"/>
          <w:color w:val="auto"/>
          <w:kern w:val="0"/>
          <w:szCs w:val="24"/>
          <w:lang w:eastAsia="zh-CN"/>
        </w:rPr>
        <w:t>: 1339-1345 [PMID: 22481254 DOI: 10.1007/s00432-012-1210-6]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99 </w:t>
      </w:r>
      <w:r w:rsidRPr="00DF417A">
        <w:rPr>
          <w:rFonts w:cs="SimSun"/>
          <w:b/>
          <w:bCs/>
          <w:color w:val="auto"/>
          <w:kern w:val="0"/>
          <w:szCs w:val="24"/>
          <w:lang w:eastAsia="zh-CN"/>
        </w:rPr>
        <w:t>Wang T</w:t>
      </w:r>
      <w:r w:rsidRPr="00DF417A">
        <w:rPr>
          <w:rFonts w:cs="SimSun"/>
          <w:color w:val="auto"/>
          <w:kern w:val="0"/>
          <w:szCs w:val="24"/>
          <w:lang w:eastAsia="zh-CN"/>
        </w:rPr>
        <w:t>, Zhang L, Li H, Wang B, Chen K. Prostate stem cell antigen polymorphisms and susceptibility to gastric cancer: a systematic review and meta-analysis. </w:t>
      </w:r>
      <w:r w:rsidRPr="00DF417A">
        <w:rPr>
          <w:rFonts w:cs="SimSun"/>
          <w:i/>
          <w:iCs/>
          <w:color w:val="auto"/>
          <w:kern w:val="0"/>
          <w:szCs w:val="24"/>
          <w:lang w:eastAsia="zh-CN"/>
        </w:rPr>
        <w:t>Cancer Epidemiol Biomarkers Prev</w:t>
      </w:r>
      <w:r w:rsidRPr="00DF417A">
        <w:rPr>
          <w:rFonts w:cs="SimSun"/>
          <w:color w:val="auto"/>
          <w:kern w:val="0"/>
          <w:szCs w:val="24"/>
          <w:lang w:eastAsia="zh-CN"/>
        </w:rPr>
        <w:t> 2012; </w:t>
      </w:r>
      <w:r w:rsidRPr="00DF417A">
        <w:rPr>
          <w:rFonts w:cs="SimSun"/>
          <w:b/>
          <w:bCs/>
          <w:color w:val="auto"/>
          <w:kern w:val="0"/>
          <w:szCs w:val="24"/>
          <w:lang w:eastAsia="zh-CN"/>
        </w:rPr>
        <w:t>21</w:t>
      </w:r>
      <w:r w:rsidRPr="00DF417A">
        <w:rPr>
          <w:rFonts w:cs="SimSun"/>
          <w:color w:val="auto"/>
          <w:kern w:val="0"/>
          <w:szCs w:val="24"/>
          <w:lang w:eastAsia="zh-CN"/>
        </w:rPr>
        <w:t>: 843-850 [PMID: 22426141 DOI: 10.1158/1055-9965.EPI-11-1176]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 xml:space="preserve">100 </w:t>
      </w:r>
      <w:r w:rsidRPr="00DF417A">
        <w:rPr>
          <w:b/>
          <w:szCs w:val="24"/>
        </w:rPr>
        <w:t>Zhang T</w:t>
      </w:r>
      <w:r w:rsidRPr="00DF417A">
        <w:rPr>
          <w:szCs w:val="24"/>
        </w:rPr>
        <w:t>, Chen YN, Wang Z, Chen JQ, Huang S.</w:t>
      </w:r>
      <w:r w:rsidRPr="00DF417A">
        <w:rPr>
          <w:rFonts w:cs="SimSun" w:hint="eastAsia"/>
          <w:color w:val="auto"/>
          <w:kern w:val="0"/>
          <w:szCs w:val="24"/>
          <w:lang w:eastAsia="zh-CN"/>
        </w:rPr>
        <w:t xml:space="preserve"> </w:t>
      </w:r>
      <w:r w:rsidRPr="00DF417A">
        <w:rPr>
          <w:rFonts w:cs="SimSun"/>
          <w:color w:val="auto"/>
          <w:kern w:val="0"/>
          <w:szCs w:val="24"/>
          <w:lang w:eastAsia="zh-CN"/>
        </w:rPr>
        <w:t>Effect of PSCA gene polymorphisms on gastric cancer risk and survival prediction: A meta-analysis.</w:t>
      </w:r>
      <w:r w:rsidRPr="00DF417A">
        <w:rPr>
          <w:rFonts w:cs="SimSun" w:hint="eastAsia"/>
          <w:color w:val="auto"/>
          <w:kern w:val="0"/>
          <w:szCs w:val="24"/>
          <w:lang w:eastAsia="zh-CN"/>
        </w:rPr>
        <w:t xml:space="preserve"> </w:t>
      </w:r>
      <w:r w:rsidRPr="00DF417A">
        <w:rPr>
          <w:rFonts w:cs="SimSun"/>
          <w:i/>
          <w:iCs/>
          <w:color w:val="auto"/>
          <w:kern w:val="0"/>
          <w:szCs w:val="24"/>
          <w:lang w:eastAsia="zh-CN"/>
        </w:rPr>
        <w:t>Exp Ther Med</w:t>
      </w:r>
      <w:r w:rsidRPr="00DF417A">
        <w:rPr>
          <w:rFonts w:cs="SimSun"/>
          <w:color w:val="auto"/>
          <w:kern w:val="0"/>
          <w:szCs w:val="24"/>
          <w:lang w:eastAsia="zh-CN"/>
        </w:rPr>
        <w:t> 2012; </w:t>
      </w:r>
      <w:r w:rsidRPr="00DF417A">
        <w:rPr>
          <w:rFonts w:cs="SimSun"/>
          <w:b/>
          <w:bCs/>
          <w:color w:val="auto"/>
          <w:kern w:val="0"/>
          <w:szCs w:val="24"/>
          <w:lang w:eastAsia="zh-CN"/>
        </w:rPr>
        <w:t>4</w:t>
      </w:r>
      <w:r w:rsidRPr="00DF417A">
        <w:rPr>
          <w:rFonts w:cs="SimSun"/>
          <w:color w:val="auto"/>
          <w:kern w:val="0"/>
          <w:szCs w:val="24"/>
          <w:lang w:eastAsia="zh-CN"/>
        </w:rPr>
        <w:t>: 158-164 [PMID: 23060941 DOI: 10.3892/etm.2012.563]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101 </w:t>
      </w:r>
      <w:r w:rsidRPr="00DF417A">
        <w:rPr>
          <w:rFonts w:cs="SimSun"/>
          <w:b/>
          <w:bCs/>
          <w:color w:val="auto"/>
          <w:kern w:val="0"/>
          <w:szCs w:val="24"/>
          <w:lang w:eastAsia="zh-CN"/>
        </w:rPr>
        <w:t>Gu X</w:t>
      </w:r>
      <w:r w:rsidRPr="00DF417A">
        <w:rPr>
          <w:rFonts w:cs="SimSun"/>
          <w:color w:val="auto"/>
          <w:kern w:val="0"/>
          <w:szCs w:val="24"/>
          <w:lang w:eastAsia="zh-CN"/>
        </w:rPr>
        <w:t>, Zhang W, Xu L, Cai D. Quantitative assessment of the influence of prostate stem cell antigen polymorphisms on gastric cancer risk. </w:t>
      </w:r>
      <w:r w:rsidRPr="00DF417A">
        <w:rPr>
          <w:rFonts w:cs="SimSun"/>
          <w:i/>
          <w:iCs/>
          <w:color w:val="auto"/>
          <w:kern w:val="0"/>
          <w:szCs w:val="24"/>
          <w:lang w:eastAsia="zh-CN"/>
        </w:rPr>
        <w:t>Tumour Biol</w:t>
      </w:r>
      <w:r w:rsidRPr="00DF417A">
        <w:rPr>
          <w:rFonts w:cs="SimSun"/>
          <w:color w:val="auto"/>
          <w:kern w:val="0"/>
          <w:szCs w:val="24"/>
          <w:lang w:eastAsia="zh-CN"/>
        </w:rPr>
        <w:t> 2014; </w:t>
      </w:r>
      <w:r w:rsidRPr="00DF417A">
        <w:rPr>
          <w:rFonts w:cs="SimSun"/>
          <w:b/>
          <w:bCs/>
          <w:color w:val="auto"/>
          <w:kern w:val="0"/>
          <w:szCs w:val="24"/>
          <w:lang w:eastAsia="zh-CN"/>
        </w:rPr>
        <w:t>35</w:t>
      </w:r>
      <w:r w:rsidRPr="00DF417A">
        <w:rPr>
          <w:rFonts w:cs="SimSun"/>
          <w:color w:val="auto"/>
          <w:kern w:val="0"/>
          <w:szCs w:val="24"/>
          <w:lang w:eastAsia="zh-CN"/>
        </w:rPr>
        <w:t>: 2167-2174 [PMID: 24146278 DOI: 10.1007/s13277-013-1287-9]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102 </w:t>
      </w:r>
      <w:r w:rsidRPr="00DF417A">
        <w:rPr>
          <w:rFonts w:cs="SimSun"/>
          <w:b/>
          <w:bCs/>
          <w:color w:val="auto"/>
          <w:kern w:val="0"/>
          <w:szCs w:val="24"/>
          <w:lang w:eastAsia="zh-CN"/>
        </w:rPr>
        <w:t>Hudler P</w:t>
      </w:r>
      <w:r w:rsidRPr="00DF417A">
        <w:rPr>
          <w:rFonts w:cs="SimSun"/>
          <w:color w:val="auto"/>
          <w:kern w:val="0"/>
          <w:szCs w:val="24"/>
          <w:lang w:eastAsia="zh-CN"/>
        </w:rPr>
        <w:t>. Genetic aspects of gastric cancer instability.</w:t>
      </w:r>
      <w:r w:rsidRPr="00DF417A">
        <w:rPr>
          <w:rFonts w:cs="SimSun" w:hint="eastAsia"/>
          <w:color w:val="auto"/>
          <w:kern w:val="0"/>
          <w:szCs w:val="24"/>
          <w:lang w:eastAsia="zh-CN"/>
        </w:rPr>
        <w:t xml:space="preserve"> </w:t>
      </w:r>
      <w:r w:rsidRPr="00DF417A">
        <w:rPr>
          <w:rFonts w:cs="SimSun"/>
          <w:i/>
          <w:iCs/>
          <w:color w:val="auto"/>
          <w:kern w:val="0"/>
          <w:szCs w:val="24"/>
          <w:lang w:eastAsia="zh-CN"/>
        </w:rPr>
        <w:t>ScientificWorldJournal</w:t>
      </w:r>
      <w:r w:rsidRPr="00DF417A">
        <w:rPr>
          <w:rFonts w:cs="SimSun" w:hint="eastAsia"/>
          <w:color w:val="auto"/>
          <w:kern w:val="0"/>
          <w:szCs w:val="24"/>
          <w:lang w:eastAsia="zh-CN"/>
        </w:rPr>
        <w:t xml:space="preserve"> </w:t>
      </w:r>
      <w:r w:rsidRPr="00DF417A">
        <w:rPr>
          <w:rFonts w:cs="SimSun"/>
          <w:color w:val="auto"/>
          <w:kern w:val="0"/>
          <w:szCs w:val="24"/>
          <w:lang w:eastAsia="zh-CN"/>
        </w:rPr>
        <w:t>2012;</w:t>
      </w:r>
      <w:r w:rsidRPr="00DF417A">
        <w:rPr>
          <w:rFonts w:cs="SimSun" w:hint="eastAsia"/>
          <w:color w:val="auto"/>
          <w:kern w:val="0"/>
          <w:szCs w:val="24"/>
          <w:lang w:eastAsia="zh-CN"/>
        </w:rPr>
        <w:t xml:space="preserve"> </w:t>
      </w:r>
      <w:r w:rsidRPr="00DF417A">
        <w:rPr>
          <w:rFonts w:cs="SimSun"/>
          <w:b/>
          <w:bCs/>
          <w:color w:val="auto"/>
          <w:kern w:val="0"/>
          <w:szCs w:val="24"/>
          <w:lang w:eastAsia="zh-CN"/>
        </w:rPr>
        <w:t>2012</w:t>
      </w:r>
      <w:r w:rsidRPr="00DF417A">
        <w:rPr>
          <w:rFonts w:cs="SimSun"/>
          <w:color w:val="auto"/>
          <w:kern w:val="0"/>
          <w:szCs w:val="24"/>
          <w:lang w:eastAsia="zh-CN"/>
        </w:rPr>
        <w:t>: 761909 [PMID: 22606061 DOI: 10.1100/2012/761909]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103 </w:t>
      </w:r>
      <w:r w:rsidRPr="00DF417A">
        <w:rPr>
          <w:rFonts w:cs="SimSun"/>
          <w:b/>
          <w:bCs/>
          <w:color w:val="auto"/>
          <w:kern w:val="0"/>
          <w:szCs w:val="24"/>
          <w:lang w:eastAsia="zh-CN"/>
        </w:rPr>
        <w:t>Lengauer C</w:t>
      </w:r>
      <w:r w:rsidRPr="00DF417A">
        <w:rPr>
          <w:rFonts w:cs="SimSun"/>
          <w:color w:val="auto"/>
          <w:kern w:val="0"/>
          <w:szCs w:val="24"/>
          <w:lang w:eastAsia="zh-CN"/>
        </w:rPr>
        <w:t>, Kinzler KW, Vogelstein B. Genetic instabilities in human cancers. </w:t>
      </w:r>
      <w:r w:rsidRPr="00DF417A">
        <w:rPr>
          <w:rFonts w:cs="SimSun"/>
          <w:i/>
          <w:iCs/>
          <w:color w:val="auto"/>
          <w:kern w:val="0"/>
          <w:szCs w:val="24"/>
          <w:lang w:eastAsia="zh-CN"/>
        </w:rPr>
        <w:t>Nature</w:t>
      </w:r>
      <w:r w:rsidRPr="00DF417A">
        <w:rPr>
          <w:rFonts w:cs="SimSun"/>
          <w:color w:val="auto"/>
          <w:kern w:val="0"/>
          <w:szCs w:val="24"/>
          <w:lang w:eastAsia="zh-CN"/>
        </w:rPr>
        <w:t> 1998; </w:t>
      </w:r>
      <w:r w:rsidRPr="00DF417A">
        <w:rPr>
          <w:rFonts w:cs="SimSun"/>
          <w:b/>
          <w:bCs/>
          <w:color w:val="auto"/>
          <w:kern w:val="0"/>
          <w:szCs w:val="24"/>
          <w:lang w:eastAsia="zh-CN"/>
        </w:rPr>
        <w:t>396</w:t>
      </w:r>
      <w:r w:rsidRPr="00DF417A">
        <w:rPr>
          <w:rFonts w:cs="SimSun"/>
          <w:color w:val="auto"/>
          <w:kern w:val="0"/>
          <w:szCs w:val="24"/>
          <w:lang w:eastAsia="zh-CN"/>
        </w:rPr>
        <w:t>: 643-649 [PMID: 9872311 DOI: 10.1038/25292]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104 </w:t>
      </w:r>
      <w:r w:rsidRPr="00DF417A">
        <w:rPr>
          <w:rFonts w:cs="SimSun"/>
          <w:b/>
          <w:bCs/>
          <w:color w:val="auto"/>
          <w:kern w:val="0"/>
          <w:szCs w:val="24"/>
          <w:lang w:eastAsia="zh-CN"/>
        </w:rPr>
        <w:t>Buffart TE</w:t>
      </w:r>
      <w:r w:rsidRPr="00DF417A">
        <w:rPr>
          <w:rFonts w:cs="SimSun"/>
          <w:color w:val="auto"/>
          <w:kern w:val="0"/>
          <w:szCs w:val="24"/>
          <w:lang w:eastAsia="zh-CN"/>
        </w:rPr>
        <w:t>, Louw M, van Grieken NC, Tijssen M, Carvalho B, Ylstra B, Grabsch H, Mulder CJ, van de Velde CJ, van der Merwe SW, Meijer GA. Gastric cancers of Western European and African patients show different patterns of genomic instability. </w:t>
      </w:r>
      <w:r w:rsidRPr="00DF417A">
        <w:rPr>
          <w:rFonts w:cs="SimSun"/>
          <w:i/>
          <w:iCs/>
          <w:color w:val="auto"/>
          <w:kern w:val="0"/>
          <w:szCs w:val="24"/>
          <w:lang w:eastAsia="zh-CN"/>
        </w:rPr>
        <w:t>BMC Med Genomics</w:t>
      </w:r>
      <w:r w:rsidRPr="00DF417A">
        <w:rPr>
          <w:rFonts w:cs="SimSun"/>
          <w:color w:val="auto"/>
          <w:kern w:val="0"/>
          <w:szCs w:val="24"/>
          <w:lang w:eastAsia="zh-CN"/>
        </w:rPr>
        <w:t> 2011; </w:t>
      </w:r>
      <w:r w:rsidRPr="00DF417A">
        <w:rPr>
          <w:rFonts w:cs="SimSun"/>
          <w:b/>
          <w:bCs/>
          <w:color w:val="auto"/>
          <w:kern w:val="0"/>
          <w:szCs w:val="24"/>
          <w:lang w:eastAsia="zh-CN"/>
        </w:rPr>
        <w:t>4</w:t>
      </w:r>
      <w:r w:rsidRPr="00DF417A">
        <w:rPr>
          <w:rFonts w:cs="SimSun"/>
          <w:color w:val="auto"/>
          <w:kern w:val="0"/>
          <w:szCs w:val="24"/>
          <w:lang w:eastAsia="zh-CN"/>
        </w:rPr>
        <w:t>: 7 [PMID: 21226972 DOI: 10.1186/1755-8794-4-7]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105 </w:t>
      </w:r>
      <w:r w:rsidRPr="00DF417A">
        <w:rPr>
          <w:rFonts w:cs="SimSun"/>
          <w:b/>
          <w:bCs/>
          <w:color w:val="auto"/>
          <w:kern w:val="0"/>
          <w:szCs w:val="24"/>
          <w:lang w:eastAsia="zh-CN"/>
        </w:rPr>
        <w:t>Suzuki K</w:t>
      </w:r>
      <w:r w:rsidRPr="00DF417A">
        <w:rPr>
          <w:rFonts w:cs="SimSun"/>
          <w:color w:val="auto"/>
          <w:kern w:val="0"/>
          <w:szCs w:val="24"/>
          <w:lang w:eastAsia="zh-CN"/>
        </w:rPr>
        <w:t>, Ohnami S, Tanabe C, Sasaki H, Yasuda J, Katai H, Yoshimura K, Terada M, Perucho M, Yoshida T. The genomic damage estimated by arbitrarily primed PCR DNA fingerprinting is useful for the prognosis of gastric cancer. </w:t>
      </w:r>
      <w:r w:rsidRPr="00DF417A">
        <w:rPr>
          <w:rFonts w:cs="SimSun"/>
          <w:i/>
          <w:iCs/>
          <w:color w:val="auto"/>
          <w:kern w:val="0"/>
          <w:szCs w:val="24"/>
          <w:lang w:eastAsia="zh-CN"/>
        </w:rPr>
        <w:t>Gastroenterology</w:t>
      </w:r>
      <w:r w:rsidRPr="00DF417A">
        <w:rPr>
          <w:rFonts w:cs="SimSun"/>
          <w:color w:val="auto"/>
          <w:kern w:val="0"/>
          <w:szCs w:val="24"/>
          <w:lang w:eastAsia="zh-CN"/>
        </w:rPr>
        <w:t> 2003; </w:t>
      </w:r>
      <w:r w:rsidRPr="00DF417A">
        <w:rPr>
          <w:rFonts w:cs="SimSun"/>
          <w:b/>
          <w:bCs/>
          <w:color w:val="auto"/>
          <w:kern w:val="0"/>
          <w:szCs w:val="24"/>
          <w:lang w:eastAsia="zh-CN"/>
        </w:rPr>
        <w:t>125</w:t>
      </w:r>
      <w:r w:rsidRPr="00DF417A">
        <w:rPr>
          <w:rFonts w:cs="SimSun"/>
          <w:color w:val="auto"/>
          <w:kern w:val="0"/>
          <w:szCs w:val="24"/>
          <w:lang w:eastAsia="zh-CN"/>
        </w:rPr>
        <w:t>: 1330-1340 [PMID: 14598249 DOI: 10.1016/j.gastro.2003.07.006]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106 </w:t>
      </w:r>
      <w:r w:rsidRPr="00DF417A">
        <w:rPr>
          <w:rFonts w:cs="SimSun"/>
          <w:b/>
          <w:bCs/>
          <w:color w:val="auto"/>
          <w:kern w:val="0"/>
          <w:szCs w:val="24"/>
          <w:lang w:eastAsia="zh-CN"/>
        </w:rPr>
        <w:t>Weiss MM</w:t>
      </w:r>
      <w:r w:rsidRPr="00DF417A">
        <w:rPr>
          <w:rFonts w:cs="SimSun"/>
          <w:color w:val="auto"/>
          <w:kern w:val="0"/>
          <w:szCs w:val="24"/>
          <w:lang w:eastAsia="zh-CN"/>
        </w:rPr>
        <w:t>, Kuipers EJ, Postma C, Snijders AM, Pinkel D, Meuwissen SG, Albertson D, Meijer GA. Genomic alterations in primary gastric adenocarcinomas correlate with clinicopathological characteristics and survival. </w:t>
      </w:r>
      <w:r w:rsidRPr="00DF417A">
        <w:rPr>
          <w:rFonts w:cs="SimSun"/>
          <w:i/>
          <w:iCs/>
          <w:color w:val="auto"/>
          <w:kern w:val="0"/>
          <w:szCs w:val="24"/>
          <w:lang w:eastAsia="zh-CN"/>
        </w:rPr>
        <w:t>Cell Oncol</w:t>
      </w:r>
      <w:r w:rsidRPr="00DF417A">
        <w:rPr>
          <w:rFonts w:cs="SimSun"/>
          <w:color w:val="auto"/>
          <w:kern w:val="0"/>
          <w:szCs w:val="24"/>
          <w:lang w:eastAsia="zh-CN"/>
        </w:rPr>
        <w:t> 2004; </w:t>
      </w:r>
      <w:r w:rsidRPr="00DF417A">
        <w:rPr>
          <w:rFonts w:cs="SimSun"/>
          <w:b/>
          <w:bCs/>
          <w:color w:val="auto"/>
          <w:kern w:val="0"/>
          <w:szCs w:val="24"/>
          <w:lang w:eastAsia="zh-CN"/>
        </w:rPr>
        <w:t>26</w:t>
      </w:r>
      <w:r w:rsidRPr="00DF417A">
        <w:rPr>
          <w:rFonts w:cs="SimSun"/>
          <w:color w:val="auto"/>
          <w:kern w:val="0"/>
          <w:szCs w:val="24"/>
          <w:lang w:eastAsia="zh-CN"/>
        </w:rPr>
        <w:t>: 307-317 [PMID: 15623941]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107 </w:t>
      </w:r>
      <w:r w:rsidRPr="00DF417A">
        <w:rPr>
          <w:rFonts w:cs="SimSun"/>
          <w:b/>
          <w:bCs/>
          <w:color w:val="auto"/>
          <w:kern w:val="0"/>
          <w:szCs w:val="24"/>
          <w:lang w:eastAsia="zh-CN"/>
        </w:rPr>
        <w:t>Tsukamoto Y</w:t>
      </w:r>
      <w:r w:rsidRPr="00DF417A">
        <w:rPr>
          <w:rFonts w:cs="SimSun"/>
          <w:color w:val="auto"/>
          <w:kern w:val="0"/>
          <w:szCs w:val="24"/>
          <w:lang w:eastAsia="zh-CN"/>
        </w:rPr>
        <w:t>, Uchida T, Karnan S, Noguchi T, Nguyen LT, Tanigawa M, Takeuchi I, Matsuura K, Hijiya N, Nakada C, Kishida T, Kawahara K, Ito H, Murakami K, Fujioka T, Seto M, Moriyama M. Genome-wide analysis of DNA copy number alterations and gene expression in gastric cancer. </w:t>
      </w:r>
      <w:r w:rsidRPr="00DF417A">
        <w:rPr>
          <w:rFonts w:cs="SimSun"/>
          <w:i/>
          <w:iCs/>
          <w:color w:val="auto"/>
          <w:kern w:val="0"/>
          <w:szCs w:val="24"/>
          <w:lang w:eastAsia="zh-CN"/>
        </w:rPr>
        <w:t>J Pathol</w:t>
      </w:r>
      <w:r w:rsidRPr="00DF417A">
        <w:rPr>
          <w:rFonts w:cs="SimSun"/>
          <w:color w:val="auto"/>
          <w:kern w:val="0"/>
          <w:szCs w:val="24"/>
          <w:lang w:eastAsia="zh-CN"/>
        </w:rPr>
        <w:t> 2008; </w:t>
      </w:r>
      <w:r w:rsidRPr="00DF417A">
        <w:rPr>
          <w:rFonts w:cs="SimSun"/>
          <w:b/>
          <w:bCs/>
          <w:color w:val="auto"/>
          <w:kern w:val="0"/>
          <w:szCs w:val="24"/>
          <w:lang w:eastAsia="zh-CN"/>
        </w:rPr>
        <w:t>216</w:t>
      </w:r>
      <w:r w:rsidRPr="00DF417A">
        <w:rPr>
          <w:rFonts w:cs="SimSun"/>
          <w:color w:val="auto"/>
          <w:kern w:val="0"/>
          <w:szCs w:val="24"/>
          <w:lang w:eastAsia="zh-CN"/>
        </w:rPr>
        <w:t>: 471-482 [PMID: 18798223 DOI: 10.1002/path.2424]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108 </w:t>
      </w:r>
      <w:r w:rsidRPr="00DF417A">
        <w:rPr>
          <w:rFonts w:cs="SimSun"/>
          <w:b/>
          <w:bCs/>
          <w:color w:val="auto"/>
          <w:kern w:val="0"/>
          <w:szCs w:val="24"/>
          <w:lang w:eastAsia="zh-CN"/>
        </w:rPr>
        <w:t>Tomioka N</w:t>
      </w:r>
      <w:r w:rsidRPr="00DF417A">
        <w:rPr>
          <w:rFonts w:cs="SimSun"/>
          <w:color w:val="auto"/>
          <w:kern w:val="0"/>
          <w:szCs w:val="24"/>
          <w:lang w:eastAsia="zh-CN"/>
        </w:rPr>
        <w:t xml:space="preserve">, Morita K, Kobayashi N, Tada M, Itoh T, Saitoh S, Kondo M, Takahashi N, Kataoka A, Nakanishi K, Takahashi M, Kamiyama T, Ozaki M, Hirano </w:t>
      </w:r>
      <w:r w:rsidRPr="00DF417A">
        <w:rPr>
          <w:rFonts w:cs="SimSun"/>
          <w:color w:val="auto"/>
          <w:kern w:val="0"/>
          <w:szCs w:val="24"/>
          <w:lang w:eastAsia="zh-CN"/>
        </w:rPr>
        <w:lastRenderedPageBreak/>
        <w:t>T, Todo S. Array comparative genomic hybridization analysis revealed four genomic prognostic biomarkers for primary gastric cancers. </w:t>
      </w:r>
      <w:r w:rsidRPr="00DF417A">
        <w:rPr>
          <w:rFonts w:cs="SimSun"/>
          <w:i/>
          <w:iCs/>
          <w:color w:val="auto"/>
          <w:kern w:val="0"/>
          <w:szCs w:val="24"/>
          <w:lang w:eastAsia="zh-CN"/>
        </w:rPr>
        <w:t>Cancer Genet Cytogenet</w:t>
      </w:r>
      <w:r w:rsidRPr="00DF417A">
        <w:rPr>
          <w:rFonts w:cs="SimSun"/>
          <w:color w:val="auto"/>
          <w:kern w:val="0"/>
          <w:szCs w:val="24"/>
          <w:lang w:eastAsia="zh-CN"/>
        </w:rPr>
        <w:t> 2010; </w:t>
      </w:r>
      <w:r w:rsidRPr="00DF417A">
        <w:rPr>
          <w:rFonts w:cs="SimSun"/>
          <w:b/>
          <w:bCs/>
          <w:color w:val="auto"/>
          <w:kern w:val="0"/>
          <w:szCs w:val="24"/>
          <w:lang w:eastAsia="zh-CN"/>
        </w:rPr>
        <w:t>201</w:t>
      </w:r>
      <w:r w:rsidRPr="00DF417A">
        <w:rPr>
          <w:rFonts w:cs="SimSun"/>
          <w:color w:val="auto"/>
          <w:kern w:val="0"/>
          <w:szCs w:val="24"/>
          <w:lang w:eastAsia="zh-CN"/>
        </w:rPr>
        <w:t>: 6-14 [PMID: 20633762 DOI: 10.1016/j.cancergencyto.2010.04.017]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109 </w:t>
      </w:r>
      <w:r w:rsidRPr="00DF417A">
        <w:rPr>
          <w:rFonts w:cs="SimSun"/>
          <w:b/>
          <w:bCs/>
          <w:color w:val="auto"/>
          <w:kern w:val="0"/>
          <w:szCs w:val="24"/>
          <w:lang w:eastAsia="zh-CN"/>
        </w:rPr>
        <w:t>Grabsch HI</w:t>
      </w:r>
      <w:r w:rsidRPr="00DF417A">
        <w:rPr>
          <w:rFonts w:cs="SimSun"/>
          <w:color w:val="auto"/>
          <w:kern w:val="0"/>
          <w:szCs w:val="24"/>
          <w:lang w:eastAsia="zh-CN"/>
        </w:rPr>
        <w:t>, Tan P. Gastric cancer pathology and underlying molecular mechanisms. </w:t>
      </w:r>
      <w:r w:rsidRPr="00DF417A">
        <w:rPr>
          <w:rFonts w:cs="SimSun"/>
          <w:i/>
          <w:iCs/>
          <w:color w:val="auto"/>
          <w:kern w:val="0"/>
          <w:szCs w:val="24"/>
          <w:lang w:eastAsia="zh-CN"/>
        </w:rPr>
        <w:t>Dig Surg</w:t>
      </w:r>
      <w:r w:rsidRPr="00DF417A">
        <w:rPr>
          <w:rFonts w:cs="SimSun"/>
          <w:color w:val="auto"/>
          <w:kern w:val="0"/>
          <w:szCs w:val="24"/>
          <w:lang w:eastAsia="zh-CN"/>
        </w:rPr>
        <w:t> 2013; </w:t>
      </w:r>
      <w:r w:rsidRPr="00DF417A">
        <w:rPr>
          <w:rFonts w:cs="SimSun"/>
          <w:b/>
          <w:bCs/>
          <w:color w:val="auto"/>
          <w:kern w:val="0"/>
          <w:szCs w:val="24"/>
          <w:lang w:eastAsia="zh-CN"/>
        </w:rPr>
        <w:t>30</w:t>
      </w:r>
      <w:r w:rsidRPr="00DF417A">
        <w:rPr>
          <w:rFonts w:cs="SimSun"/>
          <w:color w:val="auto"/>
          <w:kern w:val="0"/>
          <w:szCs w:val="24"/>
          <w:lang w:eastAsia="zh-CN"/>
        </w:rPr>
        <w:t>: 150-158 [PMID: 23867592 DOI: 10.1159/000350876]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110 </w:t>
      </w:r>
      <w:r w:rsidRPr="00DF417A">
        <w:rPr>
          <w:rFonts w:cs="SimSun"/>
          <w:b/>
          <w:bCs/>
          <w:color w:val="auto"/>
          <w:kern w:val="0"/>
          <w:szCs w:val="24"/>
          <w:lang w:eastAsia="zh-CN"/>
        </w:rPr>
        <w:t>Park JB</w:t>
      </w:r>
      <w:r w:rsidRPr="00DF417A">
        <w:rPr>
          <w:rFonts w:cs="SimSun"/>
          <w:color w:val="auto"/>
          <w:kern w:val="0"/>
          <w:szCs w:val="24"/>
          <w:lang w:eastAsia="zh-CN"/>
        </w:rPr>
        <w:t>, Rhim JS, Park SC, Kimm SW, Kraus MH. Amplification, overexpression, and rearrangement of the erbB-2 protooncogene in primary human stomach carcinomas. </w:t>
      </w:r>
      <w:r w:rsidRPr="00DF417A">
        <w:rPr>
          <w:rFonts w:cs="SimSun"/>
          <w:i/>
          <w:iCs/>
          <w:color w:val="auto"/>
          <w:kern w:val="0"/>
          <w:szCs w:val="24"/>
          <w:lang w:eastAsia="zh-CN"/>
        </w:rPr>
        <w:t>Cancer Res</w:t>
      </w:r>
      <w:r w:rsidRPr="00DF417A">
        <w:rPr>
          <w:rFonts w:cs="SimSun"/>
          <w:color w:val="auto"/>
          <w:kern w:val="0"/>
          <w:szCs w:val="24"/>
          <w:lang w:eastAsia="zh-CN"/>
        </w:rPr>
        <w:t> 1989; </w:t>
      </w:r>
      <w:r w:rsidRPr="00DF417A">
        <w:rPr>
          <w:rFonts w:cs="SimSun"/>
          <w:b/>
          <w:bCs/>
          <w:color w:val="auto"/>
          <w:kern w:val="0"/>
          <w:szCs w:val="24"/>
          <w:lang w:eastAsia="zh-CN"/>
        </w:rPr>
        <w:t>49</w:t>
      </w:r>
      <w:r w:rsidRPr="00DF417A">
        <w:rPr>
          <w:rFonts w:cs="SimSun"/>
          <w:color w:val="auto"/>
          <w:kern w:val="0"/>
          <w:szCs w:val="24"/>
          <w:lang w:eastAsia="zh-CN"/>
        </w:rPr>
        <w:t>: 6605-6609 [PMID: 2573419]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111 </w:t>
      </w:r>
      <w:r w:rsidRPr="00DF417A">
        <w:rPr>
          <w:rFonts w:cs="SimSun"/>
          <w:b/>
          <w:bCs/>
          <w:color w:val="auto"/>
          <w:kern w:val="0"/>
          <w:szCs w:val="24"/>
          <w:lang w:eastAsia="zh-CN"/>
        </w:rPr>
        <w:t>Yokota J</w:t>
      </w:r>
      <w:r w:rsidRPr="00DF417A">
        <w:rPr>
          <w:rFonts w:cs="SimSun"/>
          <w:color w:val="auto"/>
          <w:kern w:val="0"/>
          <w:szCs w:val="24"/>
          <w:lang w:eastAsia="zh-CN"/>
        </w:rPr>
        <w:t>, Yamamoto T, Miyajima N, Toyoshima K, Nomura N, Sakamoto H, Yoshida T, Terada M, Sugimura T. Genetic alterations of the c-erbB-2 oncogene occur frequently in tubular adenocarcinoma of the stomach and are often accompanied by amplification of the v-erbA homologue. </w:t>
      </w:r>
      <w:r w:rsidRPr="00DF417A">
        <w:rPr>
          <w:rFonts w:cs="SimSun"/>
          <w:i/>
          <w:iCs/>
          <w:color w:val="auto"/>
          <w:kern w:val="0"/>
          <w:szCs w:val="24"/>
          <w:lang w:eastAsia="zh-CN"/>
        </w:rPr>
        <w:t>Oncogene</w:t>
      </w:r>
      <w:r w:rsidRPr="00DF417A">
        <w:rPr>
          <w:rFonts w:cs="SimSun"/>
          <w:color w:val="auto"/>
          <w:kern w:val="0"/>
          <w:szCs w:val="24"/>
          <w:lang w:eastAsia="zh-CN"/>
        </w:rPr>
        <w:t> 1988; </w:t>
      </w:r>
      <w:r w:rsidRPr="00DF417A">
        <w:rPr>
          <w:rFonts w:cs="SimSun"/>
          <w:b/>
          <w:bCs/>
          <w:color w:val="auto"/>
          <w:kern w:val="0"/>
          <w:szCs w:val="24"/>
          <w:lang w:eastAsia="zh-CN"/>
        </w:rPr>
        <w:t>2</w:t>
      </w:r>
      <w:r w:rsidRPr="00DF417A">
        <w:rPr>
          <w:rFonts w:cs="SimSun"/>
          <w:color w:val="auto"/>
          <w:kern w:val="0"/>
          <w:szCs w:val="24"/>
          <w:lang w:eastAsia="zh-CN"/>
        </w:rPr>
        <w:t>: 283-287 [PMID: 3281095]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112 </w:t>
      </w:r>
      <w:r w:rsidRPr="00DF417A">
        <w:rPr>
          <w:rFonts w:cs="SimSun"/>
          <w:b/>
          <w:bCs/>
          <w:color w:val="auto"/>
          <w:kern w:val="0"/>
          <w:szCs w:val="24"/>
          <w:lang w:eastAsia="zh-CN"/>
        </w:rPr>
        <w:t>Hara T</w:t>
      </w:r>
      <w:r w:rsidRPr="00DF417A">
        <w:rPr>
          <w:rFonts w:cs="SimSun"/>
          <w:color w:val="auto"/>
          <w:kern w:val="0"/>
          <w:szCs w:val="24"/>
          <w:lang w:eastAsia="zh-CN"/>
        </w:rPr>
        <w:t>, Ooi A, Kobayashi M, Mai M, Yanagihara K, Nakanishi I. Amplification of c-myc, K-sam, and c-met in gastric cancers: detection by fluorescence in situ hybridization. </w:t>
      </w:r>
      <w:r w:rsidRPr="00DF417A">
        <w:rPr>
          <w:rFonts w:cs="SimSun"/>
          <w:i/>
          <w:iCs/>
          <w:color w:val="auto"/>
          <w:kern w:val="0"/>
          <w:szCs w:val="24"/>
          <w:lang w:eastAsia="zh-CN"/>
        </w:rPr>
        <w:t>Lab Invest</w:t>
      </w:r>
      <w:r w:rsidRPr="00DF417A">
        <w:rPr>
          <w:rFonts w:cs="SimSun"/>
          <w:color w:val="auto"/>
          <w:kern w:val="0"/>
          <w:szCs w:val="24"/>
          <w:lang w:eastAsia="zh-CN"/>
        </w:rPr>
        <w:t> 1998; </w:t>
      </w:r>
      <w:r w:rsidRPr="00DF417A">
        <w:rPr>
          <w:rFonts w:cs="SimSun"/>
          <w:b/>
          <w:bCs/>
          <w:color w:val="auto"/>
          <w:kern w:val="0"/>
          <w:szCs w:val="24"/>
          <w:lang w:eastAsia="zh-CN"/>
        </w:rPr>
        <w:t>78</w:t>
      </w:r>
      <w:r w:rsidRPr="00DF417A">
        <w:rPr>
          <w:rFonts w:cs="SimSun"/>
          <w:color w:val="auto"/>
          <w:kern w:val="0"/>
          <w:szCs w:val="24"/>
          <w:lang w:eastAsia="zh-CN"/>
        </w:rPr>
        <w:t>: 1143-1153 [PMID: 9759658]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113 </w:t>
      </w:r>
      <w:r w:rsidRPr="00DF417A">
        <w:rPr>
          <w:rFonts w:cs="SimSun"/>
          <w:b/>
          <w:bCs/>
          <w:color w:val="auto"/>
          <w:kern w:val="0"/>
          <w:szCs w:val="24"/>
          <w:lang w:eastAsia="zh-CN"/>
        </w:rPr>
        <w:t>Hattori Y</w:t>
      </w:r>
      <w:r w:rsidRPr="00DF417A">
        <w:rPr>
          <w:rFonts w:cs="SimSun"/>
          <w:color w:val="auto"/>
          <w:kern w:val="0"/>
          <w:szCs w:val="24"/>
          <w:lang w:eastAsia="zh-CN"/>
        </w:rPr>
        <w:t>, Odagiri H, Nakatani H, Miyagawa K, Naito K, Sakamoto H, Katoh O, Yoshida T, Sugimura T, Terada M. K-sam, an amplified gene in stomach cancer, is a member of the heparin-binding growth factor receptor genes. </w:t>
      </w:r>
      <w:r w:rsidRPr="00DF417A">
        <w:rPr>
          <w:rFonts w:cs="SimSun"/>
          <w:i/>
          <w:iCs/>
          <w:color w:val="auto"/>
          <w:kern w:val="0"/>
          <w:szCs w:val="24"/>
          <w:lang w:eastAsia="zh-CN"/>
        </w:rPr>
        <w:t>Proc Natl Acad Sci U S A</w:t>
      </w:r>
      <w:r w:rsidRPr="00DF417A">
        <w:rPr>
          <w:rFonts w:cs="SimSun"/>
          <w:color w:val="auto"/>
          <w:kern w:val="0"/>
          <w:szCs w:val="24"/>
          <w:lang w:eastAsia="zh-CN"/>
        </w:rPr>
        <w:t> 1990; </w:t>
      </w:r>
      <w:r w:rsidRPr="00DF417A">
        <w:rPr>
          <w:rFonts w:cs="SimSun"/>
          <w:b/>
          <w:bCs/>
          <w:color w:val="auto"/>
          <w:kern w:val="0"/>
          <w:szCs w:val="24"/>
          <w:lang w:eastAsia="zh-CN"/>
        </w:rPr>
        <w:t>87</w:t>
      </w:r>
      <w:r w:rsidRPr="00DF417A">
        <w:rPr>
          <w:rFonts w:cs="SimSun"/>
          <w:color w:val="auto"/>
          <w:kern w:val="0"/>
          <w:szCs w:val="24"/>
          <w:lang w:eastAsia="zh-CN"/>
        </w:rPr>
        <w:t>: 5983-5987 [PMID: 2377625 DOI: 10.1073/pnas.87.15.5983]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114 </w:t>
      </w:r>
      <w:r w:rsidRPr="00DF417A">
        <w:rPr>
          <w:rFonts w:cs="SimSun"/>
          <w:b/>
          <w:bCs/>
          <w:color w:val="auto"/>
          <w:kern w:val="0"/>
          <w:szCs w:val="24"/>
          <w:lang w:eastAsia="zh-CN"/>
        </w:rPr>
        <w:t>Lee JH</w:t>
      </w:r>
      <w:r w:rsidRPr="00DF417A">
        <w:rPr>
          <w:rFonts w:cs="SimSun"/>
          <w:color w:val="auto"/>
          <w:kern w:val="0"/>
          <w:szCs w:val="24"/>
          <w:lang w:eastAsia="zh-CN"/>
        </w:rPr>
        <w:t>, Han SU, Cho H, Jennings B, Gerrard B, Dean M, Schmidt L, Zbar B, Vande Woude GF. A novel germ line juxtamembrane Met mutation in human gastric cancer. </w:t>
      </w:r>
      <w:r w:rsidRPr="00DF417A">
        <w:rPr>
          <w:rFonts w:cs="SimSun"/>
          <w:i/>
          <w:iCs/>
          <w:color w:val="auto"/>
          <w:kern w:val="0"/>
          <w:szCs w:val="24"/>
          <w:lang w:eastAsia="zh-CN"/>
        </w:rPr>
        <w:t>Oncogene</w:t>
      </w:r>
      <w:r w:rsidRPr="00DF417A">
        <w:rPr>
          <w:rFonts w:cs="SimSun"/>
          <w:color w:val="auto"/>
          <w:kern w:val="0"/>
          <w:szCs w:val="24"/>
          <w:lang w:eastAsia="zh-CN"/>
        </w:rPr>
        <w:t> 2000; </w:t>
      </w:r>
      <w:r w:rsidRPr="00DF417A">
        <w:rPr>
          <w:rFonts w:cs="SimSun"/>
          <w:b/>
          <w:bCs/>
          <w:color w:val="auto"/>
          <w:kern w:val="0"/>
          <w:szCs w:val="24"/>
          <w:lang w:eastAsia="zh-CN"/>
        </w:rPr>
        <w:t>19</w:t>
      </w:r>
      <w:r w:rsidRPr="00DF417A">
        <w:rPr>
          <w:rFonts w:cs="SimSun"/>
          <w:color w:val="auto"/>
          <w:kern w:val="0"/>
          <w:szCs w:val="24"/>
          <w:lang w:eastAsia="zh-CN"/>
        </w:rPr>
        <w:t>: 4947-4953 [PMID: 11042681 DOI: 10.1038/sj.onc.1203874]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115 </w:t>
      </w:r>
      <w:r w:rsidRPr="00DF417A">
        <w:rPr>
          <w:rFonts w:cs="SimSun"/>
          <w:b/>
          <w:bCs/>
          <w:color w:val="auto"/>
          <w:kern w:val="0"/>
          <w:szCs w:val="24"/>
          <w:lang w:eastAsia="zh-CN"/>
        </w:rPr>
        <w:t>Milne AN</w:t>
      </w:r>
      <w:r w:rsidRPr="00DF417A">
        <w:rPr>
          <w:rFonts w:cs="SimSun"/>
          <w:color w:val="auto"/>
          <w:kern w:val="0"/>
          <w:szCs w:val="24"/>
          <w:lang w:eastAsia="zh-CN"/>
        </w:rPr>
        <w:t>, Carvalho R, Morsink FM, Musler AR, de Leng WW, Ristimäki A, Offerhaus GJ. Early-onset gastric cancers have a different molecular expression profile than conventional gastric cancers. </w:t>
      </w:r>
      <w:r w:rsidRPr="00DF417A">
        <w:rPr>
          <w:rFonts w:cs="SimSun"/>
          <w:i/>
          <w:iCs/>
          <w:color w:val="auto"/>
          <w:kern w:val="0"/>
          <w:szCs w:val="24"/>
          <w:lang w:eastAsia="zh-CN"/>
        </w:rPr>
        <w:t>Mod Pathol</w:t>
      </w:r>
      <w:r w:rsidRPr="00DF417A">
        <w:rPr>
          <w:rFonts w:cs="SimSun"/>
          <w:color w:val="auto"/>
          <w:kern w:val="0"/>
          <w:szCs w:val="24"/>
          <w:lang w:eastAsia="zh-CN"/>
        </w:rPr>
        <w:t> 2006; </w:t>
      </w:r>
      <w:r w:rsidRPr="00DF417A">
        <w:rPr>
          <w:rFonts w:cs="SimSun"/>
          <w:b/>
          <w:bCs/>
          <w:color w:val="auto"/>
          <w:kern w:val="0"/>
          <w:szCs w:val="24"/>
          <w:lang w:eastAsia="zh-CN"/>
        </w:rPr>
        <w:t>19</w:t>
      </w:r>
      <w:r w:rsidRPr="00DF417A">
        <w:rPr>
          <w:rFonts w:cs="SimSun"/>
          <w:color w:val="auto"/>
          <w:kern w:val="0"/>
          <w:szCs w:val="24"/>
          <w:lang w:eastAsia="zh-CN"/>
        </w:rPr>
        <w:t>: 564-572 [PMID: 16474375 DOI: 10.1038/modpathol.3800563]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116 </w:t>
      </w:r>
      <w:r w:rsidRPr="00DF417A">
        <w:rPr>
          <w:rFonts w:cs="SimSun"/>
          <w:b/>
          <w:bCs/>
          <w:color w:val="auto"/>
          <w:kern w:val="0"/>
          <w:szCs w:val="24"/>
          <w:lang w:eastAsia="zh-CN"/>
        </w:rPr>
        <w:t>Okines AF</w:t>
      </w:r>
      <w:r w:rsidRPr="00DF417A">
        <w:rPr>
          <w:rFonts w:cs="SimSun"/>
          <w:color w:val="auto"/>
          <w:kern w:val="0"/>
          <w:szCs w:val="24"/>
          <w:lang w:eastAsia="zh-CN"/>
        </w:rPr>
        <w:t>, Cunningham D. Trastuzumab: a novel standard option for patients with HER-2-positive advanced gastric or gastro-oesophageal junction cancer. </w:t>
      </w:r>
      <w:r w:rsidRPr="00DF417A">
        <w:rPr>
          <w:rFonts w:cs="SimSun"/>
          <w:i/>
          <w:iCs/>
          <w:color w:val="auto"/>
          <w:kern w:val="0"/>
          <w:szCs w:val="24"/>
          <w:lang w:eastAsia="zh-CN"/>
        </w:rPr>
        <w:t>Therap Adv Gastroenterol</w:t>
      </w:r>
      <w:r w:rsidRPr="00DF417A">
        <w:rPr>
          <w:rFonts w:cs="SimSun"/>
          <w:color w:val="auto"/>
          <w:kern w:val="0"/>
          <w:szCs w:val="24"/>
          <w:lang w:eastAsia="zh-CN"/>
        </w:rPr>
        <w:t> 2012; </w:t>
      </w:r>
      <w:r w:rsidRPr="00DF417A">
        <w:rPr>
          <w:rFonts w:cs="SimSun"/>
          <w:b/>
          <w:bCs/>
          <w:color w:val="auto"/>
          <w:kern w:val="0"/>
          <w:szCs w:val="24"/>
          <w:lang w:eastAsia="zh-CN"/>
        </w:rPr>
        <w:t>5</w:t>
      </w:r>
      <w:r w:rsidRPr="00DF417A">
        <w:rPr>
          <w:rFonts w:cs="SimSun"/>
          <w:color w:val="auto"/>
          <w:kern w:val="0"/>
          <w:szCs w:val="24"/>
          <w:lang w:eastAsia="zh-CN"/>
        </w:rPr>
        <w:t>: 301-318 [PMID: 22973416 DOI: 10.1177/1756283X12450246]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117 </w:t>
      </w:r>
      <w:r w:rsidRPr="00DF417A">
        <w:rPr>
          <w:rFonts w:cs="SimSun"/>
          <w:b/>
          <w:bCs/>
          <w:color w:val="auto"/>
          <w:kern w:val="0"/>
          <w:szCs w:val="24"/>
          <w:lang w:eastAsia="zh-CN"/>
        </w:rPr>
        <w:t>Gunturu KS</w:t>
      </w:r>
      <w:r w:rsidRPr="00DF417A">
        <w:rPr>
          <w:rFonts w:cs="SimSun"/>
          <w:color w:val="auto"/>
          <w:kern w:val="0"/>
          <w:szCs w:val="24"/>
          <w:lang w:eastAsia="zh-CN"/>
        </w:rPr>
        <w:t>, Woo Y, Beaubier N, Remotti HE, Saif MW. Gastric cancer and trastuzumab: first biologic therapy in gastric cancer. </w:t>
      </w:r>
      <w:r w:rsidRPr="00DF417A">
        <w:rPr>
          <w:rFonts w:cs="SimSun"/>
          <w:i/>
          <w:iCs/>
          <w:color w:val="auto"/>
          <w:kern w:val="0"/>
          <w:szCs w:val="24"/>
          <w:lang w:eastAsia="zh-CN"/>
        </w:rPr>
        <w:t>Ther Adv Med Oncol</w:t>
      </w:r>
      <w:r w:rsidRPr="00DF417A">
        <w:rPr>
          <w:rFonts w:cs="SimSun"/>
          <w:color w:val="auto"/>
          <w:kern w:val="0"/>
          <w:szCs w:val="24"/>
          <w:lang w:eastAsia="zh-CN"/>
        </w:rPr>
        <w:t> 2013; </w:t>
      </w:r>
      <w:r w:rsidRPr="00DF417A">
        <w:rPr>
          <w:rFonts w:cs="SimSun"/>
          <w:b/>
          <w:bCs/>
          <w:color w:val="auto"/>
          <w:kern w:val="0"/>
          <w:szCs w:val="24"/>
          <w:lang w:eastAsia="zh-CN"/>
        </w:rPr>
        <w:t>5</w:t>
      </w:r>
      <w:r w:rsidRPr="00DF417A">
        <w:rPr>
          <w:rFonts w:cs="SimSun"/>
          <w:color w:val="auto"/>
          <w:kern w:val="0"/>
          <w:szCs w:val="24"/>
          <w:lang w:eastAsia="zh-CN"/>
        </w:rPr>
        <w:t>: 143-151 [PMID: 23450234 DOI: 10.1177/1758834012469429]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118 </w:t>
      </w:r>
      <w:r w:rsidRPr="00DF417A">
        <w:rPr>
          <w:rFonts w:cs="SimSun"/>
          <w:b/>
          <w:bCs/>
          <w:color w:val="auto"/>
          <w:kern w:val="0"/>
          <w:szCs w:val="24"/>
          <w:lang w:eastAsia="zh-CN"/>
        </w:rPr>
        <w:t>Bang YJ</w:t>
      </w:r>
      <w:r w:rsidRPr="00DF417A">
        <w:rPr>
          <w:rFonts w:cs="SimSun"/>
          <w:color w:val="auto"/>
          <w:kern w:val="0"/>
          <w:szCs w:val="24"/>
          <w:lang w:eastAsia="zh-CN"/>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DF417A">
        <w:rPr>
          <w:rFonts w:cs="SimSun"/>
          <w:i/>
          <w:iCs/>
          <w:color w:val="auto"/>
          <w:kern w:val="0"/>
          <w:szCs w:val="24"/>
          <w:lang w:eastAsia="zh-CN"/>
        </w:rPr>
        <w:t>Lancet</w:t>
      </w:r>
      <w:r w:rsidRPr="00DF417A">
        <w:rPr>
          <w:rFonts w:cs="SimSun"/>
          <w:color w:val="auto"/>
          <w:kern w:val="0"/>
          <w:szCs w:val="24"/>
          <w:lang w:eastAsia="zh-CN"/>
        </w:rPr>
        <w:t> 2010; </w:t>
      </w:r>
      <w:r w:rsidRPr="00DF417A">
        <w:rPr>
          <w:rFonts w:cs="SimSun"/>
          <w:b/>
          <w:bCs/>
          <w:color w:val="auto"/>
          <w:kern w:val="0"/>
          <w:szCs w:val="24"/>
          <w:lang w:eastAsia="zh-CN"/>
        </w:rPr>
        <w:t>376</w:t>
      </w:r>
      <w:r w:rsidRPr="00DF417A">
        <w:rPr>
          <w:rFonts w:cs="SimSun"/>
          <w:color w:val="auto"/>
          <w:kern w:val="0"/>
          <w:szCs w:val="24"/>
          <w:lang w:eastAsia="zh-CN"/>
        </w:rPr>
        <w:t>: 687-697 [PMID: 20728210 DOI: 10.1016/S0140-6736(10)61121-X]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119 </w:t>
      </w:r>
      <w:r w:rsidRPr="00DF417A">
        <w:rPr>
          <w:rFonts w:cs="SimSun"/>
          <w:b/>
          <w:bCs/>
          <w:color w:val="auto"/>
          <w:kern w:val="0"/>
          <w:szCs w:val="24"/>
          <w:lang w:eastAsia="zh-CN"/>
        </w:rPr>
        <w:t>Tao J</w:t>
      </w:r>
      <w:r w:rsidRPr="00DF417A">
        <w:rPr>
          <w:rFonts w:cs="SimSun"/>
          <w:color w:val="auto"/>
          <w:kern w:val="0"/>
          <w:szCs w:val="24"/>
          <w:lang w:eastAsia="zh-CN"/>
        </w:rPr>
        <w:t>, Deng NT, Ramnarayanan K, Huang B, Oh HK, Leong SH, Lim SS, Tan IB, Ooi CH, Wu J, Lee M, Zhang S, Rha SY, Chung HC, Smoot DT, Ashktorab H, Kon OL, Cacheux V, Yap C, Palanisamy N, Tan P. CD44-SLC1A2 gene fusions in gastric cancer.</w:t>
      </w:r>
      <w:r w:rsidR="00AD072B">
        <w:rPr>
          <w:rFonts w:cs="SimSun" w:hint="eastAsia"/>
          <w:color w:val="auto"/>
          <w:kern w:val="0"/>
          <w:szCs w:val="24"/>
          <w:lang w:eastAsia="zh-CN"/>
        </w:rPr>
        <w:t xml:space="preserve"> </w:t>
      </w:r>
      <w:r w:rsidRPr="00DF417A">
        <w:rPr>
          <w:rFonts w:cs="SimSun"/>
          <w:i/>
          <w:iCs/>
          <w:color w:val="auto"/>
          <w:kern w:val="0"/>
          <w:szCs w:val="24"/>
          <w:lang w:eastAsia="zh-CN"/>
        </w:rPr>
        <w:t>Sci Transl Med</w:t>
      </w:r>
      <w:r w:rsidRPr="00DF417A">
        <w:rPr>
          <w:rFonts w:cs="SimSun"/>
          <w:color w:val="auto"/>
          <w:kern w:val="0"/>
          <w:szCs w:val="24"/>
          <w:lang w:eastAsia="zh-CN"/>
        </w:rPr>
        <w:t> 2011; </w:t>
      </w:r>
      <w:r w:rsidRPr="00DF417A">
        <w:rPr>
          <w:rFonts w:cs="SimSun"/>
          <w:b/>
          <w:bCs/>
          <w:color w:val="auto"/>
          <w:kern w:val="0"/>
          <w:szCs w:val="24"/>
          <w:lang w:eastAsia="zh-CN"/>
        </w:rPr>
        <w:t>3</w:t>
      </w:r>
      <w:r w:rsidRPr="00DF417A">
        <w:rPr>
          <w:rFonts w:cs="SimSun"/>
          <w:color w:val="auto"/>
          <w:kern w:val="0"/>
          <w:szCs w:val="24"/>
          <w:lang w:eastAsia="zh-CN"/>
        </w:rPr>
        <w:t>: 77ra30 [PMID: 21471434 DOI: 10.1126/scitranslmed.3001423]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120 </w:t>
      </w:r>
      <w:r w:rsidRPr="00DF417A">
        <w:rPr>
          <w:rFonts w:cs="SimSun"/>
          <w:b/>
          <w:bCs/>
          <w:color w:val="auto"/>
          <w:kern w:val="0"/>
          <w:szCs w:val="24"/>
          <w:lang w:eastAsia="zh-CN"/>
        </w:rPr>
        <w:t>Lee J</w:t>
      </w:r>
      <w:r w:rsidRPr="00DF417A">
        <w:rPr>
          <w:rFonts w:cs="SimSun"/>
          <w:color w:val="auto"/>
          <w:kern w:val="0"/>
          <w:szCs w:val="24"/>
          <w:lang w:eastAsia="zh-CN"/>
        </w:rPr>
        <w:t>, Lee SE, Kang SY, Do IG, Lee S, Ha SY, Cho J, Kang WK, Jang J, Ou SH, Kim KM. Identification of ROS1 rearrangement in gastric adenocarcinoma.</w:t>
      </w:r>
      <w:r w:rsidR="00AD072B">
        <w:rPr>
          <w:rFonts w:cs="SimSun" w:hint="eastAsia"/>
          <w:color w:val="auto"/>
          <w:kern w:val="0"/>
          <w:szCs w:val="24"/>
          <w:lang w:eastAsia="zh-CN"/>
        </w:rPr>
        <w:t xml:space="preserve"> </w:t>
      </w:r>
      <w:r w:rsidRPr="00DF417A">
        <w:rPr>
          <w:rFonts w:cs="SimSun"/>
          <w:i/>
          <w:iCs/>
          <w:color w:val="auto"/>
          <w:kern w:val="0"/>
          <w:szCs w:val="24"/>
          <w:lang w:eastAsia="zh-CN"/>
        </w:rPr>
        <w:t>Cancer</w:t>
      </w:r>
      <w:r w:rsidR="00AD072B">
        <w:rPr>
          <w:rFonts w:cs="SimSun" w:hint="eastAsia"/>
          <w:color w:val="auto"/>
          <w:kern w:val="0"/>
          <w:szCs w:val="24"/>
          <w:lang w:eastAsia="zh-CN"/>
        </w:rPr>
        <w:t xml:space="preserve"> </w:t>
      </w:r>
      <w:r w:rsidRPr="00DF417A">
        <w:rPr>
          <w:rFonts w:cs="SimSun"/>
          <w:color w:val="auto"/>
          <w:kern w:val="0"/>
          <w:szCs w:val="24"/>
          <w:lang w:eastAsia="zh-CN"/>
        </w:rPr>
        <w:t>2013;</w:t>
      </w:r>
      <w:r w:rsidR="00AD072B">
        <w:rPr>
          <w:rFonts w:cs="SimSun" w:hint="eastAsia"/>
          <w:color w:val="auto"/>
          <w:kern w:val="0"/>
          <w:szCs w:val="24"/>
          <w:lang w:eastAsia="zh-CN"/>
        </w:rPr>
        <w:t xml:space="preserve"> </w:t>
      </w:r>
      <w:r w:rsidRPr="00DF417A">
        <w:rPr>
          <w:rFonts w:cs="SimSun"/>
          <w:b/>
          <w:bCs/>
          <w:color w:val="auto"/>
          <w:kern w:val="0"/>
          <w:szCs w:val="24"/>
          <w:lang w:eastAsia="zh-CN"/>
        </w:rPr>
        <w:t>119</w:t>
      </w:r>
      <w:r w:rsidRPr="00DF417A">
        <w:rPr>
          <w:rFonts w:cs="SimSun"/>
          <w:color w:val="auto"/>
          <w:kern w:val="0"/>
          <w:szCs w:val="24"/>
          <w:lang w:eastAsia="zh-CN"/>
        </w:rPr>
        <w:t>:</w:t>
      </w:r>
      <w:r w:rsidR="00AD072B">
        <w:rPr>
          <w:rFonts w:cs="SimSun" w:hint="eastAsia"/>
          <w:color w:val="auto"/>
          <w:kern w:val="0"/>
          <w:szCs w:val="24"/>
          <w:lang w:eastAsia="zh-CN"/>
        </w:rPr>
        <w:t xml:space="preserve"> </w:t>
      </w:r>
      <w:r w:rsidRPr="00DF417A">
        <w:rPr>
          <w:rFonts w:cs="SimSun"/>
          <w:color w:val="auto"/>
          <w:kern w:val="0"/>
          <w:szCs w:val="24"/>
          <w:lang w:eastAsia="zh-CN"/>
        </w:rPr>
        <w:t>1627-1635 [PMID: 23400546 DOI: 10.1002/cncr.27967]</w:t>
      </w:r>
    </w:p>
    <w:bookmarkEnd w:id="36"/>
    <w:bookmarkEnd w:id="37"/>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121 </w:t>
      </w:r>
      <w:r w:rsidRPr="00DF417A">
        <w:rPr>
          <w:rFonts w:cs="SimSun"/>
          <w:b/>
          <w:bCs/>
          <w:color w:val="auto"/>
          <w:kern w:val="0"/>
          <w:szCs w:val="24"/>
          <w:lang w:eastAsia="zh-CN"/>
        </w:rPr>
        <w:t>Gazvoda B</w:t>
      </w:r>
      <w:r w:rsidRPr="00DF417A">
        <w:rPr>
          <w:rFonts w:cs="SimSun"/>
          <w:color w:val="auto"/>
          <w:kern w:val="0"/>
          <w:szCs w:val="24"/>
          <w:lang w:eastAsia="zh-CN"/>
        </w:rPr>
        <w:t>, Juvan R, Zupanic-Pajnic I, Repse S, Ferlan-Marolt K, Balazic J, Komel R. Genetic changes in Slovenian patients with gastric adenocarcinoma evaluated in terms of microsatellite DNA. </w:t>
      </w:r>
      <w:r w:rsidRPr="00DF417A">
        <w:rPr>
          <w:rFonts w:cs="SimSun"/>
          <w:i/>
          <w:iCs/>
          <w:color w:val="auto"/>
          <w:kern w:val="0"/>
          <w:szCs w:val="24"/>
          <w:lang w:eastAsia="zh-CN"/>
        </w:rPr>
        <w:t>Eur J Gastroenterol Hepatol</w:t>
      </w:r>
      <w:r w:rsidRPr="00DF417A">
        <w:rPr>
          <w:rFonts w:cs="SimSun"/>
          <w:color w:val="auto"/>
          <w:kern w:val="0"/>
          <w:szCs w:val="24"/>
          <w:lang w:eastAsia="zh-CN"/>
        </w:rPr>
        <w:t> 2007; </w:t>
      </w:r>
      <w:r w:rsidRPr="00DF417A">
        <w:rPr>
          <w:rFonts w:cs="SimSun"/>
          <w:b/>
          <w:bCs/>
          <w:color w:val="auto"/>
          <w:kern w:val="0"/>
          <w:szCs w:val="24"/>
          <w:lang w:eastAsia="zh-CN"/>
        </w:rPr>
        <w:t>19</w:t>
      </w:r>
      <w:r w:rsidRPr="00DF417A">
        <w:rPr>
          <w:rFonts w:cs="SimSun"/>
          <w:color w:val="auto"/>
          <w:kern w:val="0"/>
          <w:szCs w:val="24"/>
          <w:lang w:eastAsia="zh-CN"/>
        </w:rPr>
        <w:t>: 1082-1089 [PMID: 17998833 DOI: 10.1097/MEG.0b013e3282f13cf9]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122 </w:t>
      </w:r>
      <w:r w:rsidRPr="00DF417A">
        <w:rPr>
          <w:rFonts w:cs="SimSun"/>
          <w:b/>
          <w:bCs/>
          <w:color w:val="auto"/>
          <w:kern w:val="0"/>
          <w:szCs w:val="24"/>
          <w:lang w:eastAsia="zh-CN"/>
        </w:rPr>
        <w:t>Karim S</w:t>
      </w:r>
      <w:r w:rsidRPr="00DF417A">
        <w:rPr>
          <w:rFonts w:cs="SimSun"/>
          <w:color w:val="auto"/>
          <w:kern w:val="0"/>
          <w:szCs w:val="24"/>
          <w:lang w:eastAsia="zh-CN"/>
        </w:rPr>
        <w:t>, Mirza Z, Naseer MI, Al-Qahtani MH, Ali A. Clinicopathological characteristics and chronology of p53 expression in the development of gastric cancer. </w:t>
      </w:r>
      <w:r w:rsidRPr="00DF417A">
        <w:rPr>
          <w:rFonts w:cs="SimSun"/>
          <w:i/>
          <w:iCs/>
          <w:color w:val="auto"/>
          <w:kern w:val="0"/>
          <w:szCs w:val="24"/>
          <w:lang w:eastAsia="zh-CN"/>
        </w:rPr>
        <w:t>Hepatogastroenterology</w:t>
      </w:r>
      <w:r w:rsidRPr="00DF417A">
        <w:rPr>
          <w:rFonts w:cs="SimSun"/>
          <w:color w:val="auto"/>
          <w:kern w:val="0"/>
          <w:szCs w:val="24"/>
          <w:lang w:eastAsia="zh-CN"/>
        </w:rPr>
        <w:t> </w:t>
      </w:r>
      <w:r w:rsidRPr="00DF417A">
        <w:rPr>
          <w:rFonts w:cs="SimSun" w:hint="eastAsia"/>
          <w:color w:val="auto"/>
          <w:kern w:val="0"/>
          <w:szCs w:val="24"/>
          <w:lang w:eastAsia="zh-CN"/>
        </w:rPr>
        <w:t>2013</w:t>
      </w:r>
      <w:r w:rsidRPr="00DF417A">
        <w:rPr>
          <w:rFonts w:cs="SimSun"/>
          <w:color w:val="auto"/>
          <w:kern w:val="0"/>
          <w:szCs w:val="24"/>
          <w:lang w:eastAsia="zh-CN"/>
        </w:rPr>
        <w:t>; </w:t>
      </w:r>
      <w:r w:rsidRPr="00DF417A">
        <w:rPr>
          <w:rFonts w:cs="SimSun"/>
          <w:b/>
          <w:bCs/>
          <w:color w:val="auto"/>
          <w:kern w:val="0"/>
          <w:szCs w:val="24"/>
          <w:lang w:eastAsia="zh-CN"/>
        </w:rPr>
        <w:t>60</w:t>
      </w:r>
      <w:r w:rsidRPr="00DF417A">
        <w:rPr>
          <w:rFonts w:cs="SimSun"/>
          <w:color w:val="auto"/>
          <w:kern w:val="0"/>
          <w:szCs w:val="24"/>
          <w:lang w:eastAsia="zh-CN"/>
        </w:rPr>
        <w:t>: 2113-2118 [PMID: 24719956 DOI: 10.7314/APJCP.2014.15.3.1375]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123 </w:t>
      </w:r>
      <w:r w:rsidRPr="00DF417A">
        <w:rPr>
          <w:rFonts w:cs="SimSun"/>
          <w:b/>
          <w:bCs/>
          <w:color w:val="auto"/>
          <w:kern w:val="0"/>
          <w:szCs w:val="24"/>
          <w:lang w:eastAsia="zh-CN"/>
        </w:rPr>
        <w:t>Varis A</w:t>
      </w:r>
      <w:r w:rsidRPr="00DF417A">
        <w:rPr>
          <w:rFonts w:cs="SimSun"/>
          <w:color w:val="auto"/>
          <w:kern w:val="0"/>
          <w:szCs w:val="24"/>
          <w:lang w:eastAsia="zh-CN"/>
        </w:rPr>
        <w:t>, van Rees B, Weterman M, Ristimäki A, Offerhaus J, Knuutila S. DNA copy number changes in young gastric cancer patients with special reference to chromosome 19. </w:t>
      </w:r>
      <w:r w:rsidRPr="00DF417A">
        <w:rPr>
          <w:rFonts w:cs="SimSun"/>
          <w:i/>
          <w:iCs/>
          <w:color w:val="auto"/>
          <w:kern w:val="0"/>
          <w:szCs w:val="24"/>
          <w:lang w:eastAsia="zh-CN"/>
        </w:rPr>
        <w:t>Br J Cancer</w:t>
      </w:r>
      <w:r w:rsidRPr="00DF417A">
        <w:rPr>
          <w:rFonts w:cs="SimSun"/>
          <w:color w:val="auto"/>
          <w:kern w:val="0"/>
          <w:szCs w:val="24"/>
          <w:lang w:eastAsia="zh-CN"/>
        </w:rPr>
        <w:t> 2003; </w:t>
      </w:r>
      <w:r w:rsidRPr="00DF417A">
        <w:rPr>
          <w:rFonts w:cs="SimSun"/>
          <w:b/>
          <w:bCs/>
          <w:color w:val="auto"/>
          <w:kern w:val="0"/>
          <w:szCs w:val="24"/>
          <w:lang w:eastAsia="zh-CN"/>
        </w:rPr>
        <w:t>88</w:t>
      </w:r>
      <w:r w:rsidRPr="00DF417A">
        <w:rPr>
          <w:rFonts w:cs="SimSun"/>
          <w:color w:val="auto"/>
          <w:kern w:val="0"/>
          <w:szCs w:val="24"/>
          <w:lang w:eastAsia="zh-CN"/>
        </w:rPr>
        <w:t>: 1914-1919 [PMID: 12799636 DOI: 10.1038/sj.bjc.6600969]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124 </w:t>
      </w:r>
      <w:r w:rsidRPr="00DF417A">
        <w:rPr>
          <w:rFonts w:cs="SimSun"/>
          <w:b/>
          <w:bCs/>
          <w:color w:val="auto"/>
          <w:kern w:val="0"/>
          <w:szCs w:val="24"/>
          <w:lang w:eastAsia="zh-CN"/>
        </w:rPr>
        <w:t>Bacani J</w:t>
      </w:r>
      <w:r w:rsidRPr="00DF417A">
        <w:rPr>
          <w:rFonts w:cs="SimSun"/>
          <w:color w:val="auto"/>
          <w:kern w:val="0"/>
          <w:szCs w:val="24"/>
          <w:lang w:eastAsia="zh-CN"/>
        </w:rPr>
        <w:t xml:space="preserve">, Zwingerman R, Di Nicola N, Spencer S, Wegrynowski T, Mitchell K, Hay K, Redston M, Holowaty E, Huntsman D, Pollett A, Riddell R, Gallinger S. </w:t>
      </w:r>
      <w:r w:rsidRPr="00DF417A">
        <w:rPr>
          <w:rFonts w:cs="SimSun"/>
          <w:color w:val="auto"/>
          <w:kern w:val="0"/>
          <w:szCs w:val="24"/>
          <w:lang w:eastAsia="zh-CN"/>
        </w:rPr>
        <w:lastRenderedPageBreak/>
        <w:t>Tumor microsatellite instability in early onset gastric cancer. </w:t>
      </w:r>
      <w:r w:rsidRPr="00DF417A">
        <w:rPr>
          <w:rFonts w:cs="SimSun"/>
          <w:i/>
          <w:iCs/>
          <w:color w:val="auto"/>
          <w:kern w:val="0"/>
          <w:szCs w:val="24"/>
          <w:lang w:eastAsia="zh-CN"/>
        </w:rPr>
        <w:t>J Mol Diagn</w:t>
      </w:r>
      <w:r w:rsidRPr="00DF417A">
        <w:rPr>
          <w:rFonts w:cs="SimSun"/>
          <w:color w:val="auto"/>
          <w:kern w:val="0"/>
          <w:szCs w:val="24"/>
          <w:lang w:eastAsia="zh-CN"/>
        </w:rPr>
        <w:t> 2005; </w:t>
      </w:r>
      <w:r w:rsidRPr="00DF417A">
        <w:rPr>
          <w:rFonts w:cs="SimSun"/>
          <w:b/>
          <w:bCs/>
          <w:color w:val="auto"/>
          <w:kern w:val="0"/>
          <w:szCs w:val="24"/>
          <w:lang w:eastAsia="zh-CN"/>
        </w:rPr>
        <w:t>7</w:t>
      </w:r>
      <w:r w:rsidRPr="00DF417A">
        <w:rPr>
          <w:rFonts w:cs="SimSun"/>
          <w:color w:val="auto"/>
          <w:kern w:val="0"/>
          <w:szCs w:val="24"/>
          <w:lang w:eastAsia="zh-CN"/>
        </w:rPr>
        <w:t>: 465-477 [PMID: 16237216 DOI: 10.1016/S1525-1578(10)60577-6]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125 </w:t>
      </w:r>
      <w:r w:rsidRPr="00DF417A">
        <w:rPr>
          <w:rFonts w:cs="SimSun"/>
          <w:b/>
          <w:bCs/>
          <w:color w:val="auto"/>
          <w:kern w:val="0"/>
          <w:szCs w:val="24"/>
          <w:lang w:eastAsia="zh-CN"/>
        </w:rPr>
        <w:t>Yamamoto H</w:t>
      </w:r>
      <w:r w:rsidRPr="00DF417A">
        <w:rPr>
          <w:rFonts w:cs="SimSun"/>
          <w:color w:val="auto"/>
          <w:kern w:val="0"/>
          <w:szCs w:val="24"/>
          <w:lang w:eastAsia="zh-CN"/>
        </w:rPr>
        <w:t>, Imai K, Perucho M. Gastrointestinal cancer of the microsatellite mutator phenotype pathway. </w:t>
      </w:r>
      <w:r w:rsidRPr="00DF417A">
        <w:rPr>
          <w:rFonts w:cs="SimSun"/>
          <w:i/>
          <w:iCs/>
          <w:color w:val="auto"/>
          <w:kern w:val="0"/>
          <w:szCs w:val="24"/>
          <w:lang w:eastAsia="zh-CN"/>
        </w:rPr>
        <w:t>J Gastroenterol</w:t>
      </w:r>
      <w:r w:rsidRPr="00DF417A">
        <w:rPr>
          <w:rFonts w:cs="SimSun"/>
          <w:color w:val="auto"/>
          <w:kern w:val="0"/>
          <w:szCs w:val="24"/>
          <w:lang w:eastAsia="zh-CN"/>
        </w:rPr>
        <w:t> 2002; </w:t>
      </w:r>
      <w:r w:rsidRPr="00DF417A">
        <w:rPr>
          <w:rFonts w:cs="SimSun"/>
          <w:b/>
          <w:bCs/>
          <w:color w:val="auto"/>
          <w:kern w:val="0"/>
          <w:szCs w:val="24"/>
          <w:lang w:eastAsia="zh-CN"/>
        </w:rPr>
        <w:t>37</w:t>
      </w:r>
      <w:r w:rsidRPr="00DF417A">
        <w:rPr>
          <w:rFonts w:cs="SimSun"/>
          <w:color w:val="auto"/>
          <w:kern w:val="0"/>
          <w:szCs w:val="24"/>
          <w:lang w:eastAsia="zh-CN"/>
        </w:rPr>
        <w:t>: 153-163 [PMID: 11931527 DOI: 10.1007/s005350200015]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126 </w:t>
      </w:r>
      <w:r w:rsidRPr="00DF417A">
        <w:rPr>
          <w:rFonts w:cs="SimSun"/>
          <w:b/>
          <w:bCs/>
          <w:color w:val="auto"/>
          <w:kern w:val="0"/>
          <w:szCs w:val="24"/>
          <w:lang w:eastAsia="zh-CN"/>
        </w:rPr>
        <w:t>Ottini L</w:t>
      </w:r>
      <w:r w:rsidRPr="00DF417A">
        <w:rPr>
          <w:rFonts w:cs="SimSun"/>
          <w:color w:val="auto"/>
          <w:kern w:val="0"/>
          <w:szCs w:val="24"/>
          <w:lang w:eastAsia="zh-CN"/>
        </w:rPr>
        <w:t>, Falchetti M, Lupi R, Rizzolo P, Agnese V, Colucci G, Bazan V, Russo A. Patterns of genomic instability in gastric cancer: clinical implications and perspectives. </w:t>
      </w:r>
      <w:r w:rsidRPr="00DF417A">
        <w:rPr>
          <w:rFonts w:cs="SimSun"/>
          <w:i/>
          <w:iCs/>
          <w:color w:val="auto"/>
          <w:kern w:val="0"/>
          <w:szCs w:val="24"/>
          <w:lang w:eastAsia="zh-CN"/>
        </w:rPr>
        <w:t>Ann Oncol</w:t>
      </w:r>
      <w:r w:rsidRPr="00DF417A">
        <w:rPr>
          <w:rFonts w:cs="SimSun"/>
          <w:color w:val="auto"/>
          <w:kern w:val="0"/>
          <w:szCs w:val="24"/>
          <w:lang w:eastAsia="zh-CN"/>
        </w:rPr>
        <w:t> 2006; </w:t>
      </w:r>
      <w:r w:rsidRPr="00DF417A">
        <w:rPr>
          <w:rFonts w:cs="SimSun"/>
          <w:b/>
          <w:bCs/>
          <w:color w:val="auto"/>
          <w:kern w:val="0"/>
          <w:szCs w:val="24"/>
          <w:lang w:eastAsia="zh-CN"/>
        </w:rPr>
        <w:t>17 Suppl 7</w:t>
      </w:r>
      <w:r w:rsidRPr="00DF417A">
        <w:rPr>
          <w:rFonts w:cs="SimSun"/>
          <w:color w:val="auto"/>
          <w:kern w:val="0"/>
          <w:szCs w:val="24"/>
          <w:lang w:eastAsia="zh-CN"/>
        </w:rPr>
        <w:t>: vii97-vi102 [PMID: 16760303 DOI: 10.1093/annonc/mdl960]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127 </w:t>
      </w:r>
      <w:r w:rsidRPr="00DF417A">
        <w:rPr>
          <w:rFonts w:cs="SimSun"/>
          <w:b/>
          <w:bCs/>
          <w:color w:val="auto"/>
          <w:kern w:val="0"/>
          <w:szCs w:val="24"/>
          <w:lang w:eastAsia="zh-CN"/>
        </w:rPr>
        <w:t>Ottini L</w:t>
      </w:r>
      <w:r w:rsidRPr="00DF417A">
        <w:rPr>
          <w:rFonts w:cs="SimSun"/>
          <w:color w:val="auto"/>
          <w:kern w:val="0"/>
          <w:szCs w:val="24"/>
          <w:lang w:eastAsia="zh-CN"/>
        </w:rPr>
        <w:t>, Falchetti M, Saieva C, De Marco M, Masala G, Zanna I, Paglierani M, Giannini G, Gulino A, Nesi G, Mariani Costantini R, Palli D. MRE11 expression is impaired in gastric cancer with microsatellite instability. </w:t>
      </w:r>
      <w:r w:rsidRPr="00DF417A">
        <w:rPr>
          <w:rFonts w:cs="SimSun"/>
          <w:i/>
          <w:iCs/>
          <w:color w:val="auto"/>
          <w:kern w:val="0"/>
          <w:szCs w:val="24"/>
          <w:lang w:eastAsia="zh-CN"/>
        </w:rPr>
        <w:t>Carcinogenesis</w:t>
      </w:r>
      <w:r w:rsidRPr="00DF417A">
        <w:rPr>
          <w:rFonts w:cs="SimSun"/>
          <w:color w:val="auto"/>
          <w:kern w:val="0"/>
          <w:szCs w:val="24"/>
          <w:lang w:eastAsia="zh-CN"/>
        </w:rPr>
        <w:t> 2004; </w:t>
      </w:r>
      <w:r w:rsidRPr="00DF417A">
        <w:rPr>
          <w:rFonts w:cs="SimSun"/>
          <w:b/>
          <w:bCs/>
          <w:color w:val="auto"/>
          <w:kern w:val="0"/>
          <w:szCs w:val="24"/>
          <w:lang w:eastAsia="zh-CN"/>
        </w:rPr>
        <w:t>25</w:t>
      </w:r>
      <w:r w:rsidRPr="00DF417A">
        <w:rPr>
          <w:rFonts w:cs="SimSun"/>
          <w:color w:val="auto"/>
          <w:kern w:val="0"/>
          <w:szCs w:val="24"/>
          <w:lang w:eastAsia="zh-CN"/>
        </w:rPr>
        <w:t>: 2337-2343 [PMID: 15319296 DOI: 10.1093/carcin/bgh257]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128 </w:t>
      </w:r>
      <w:r w:rsidRPr="00DF417A">
        <w:rPr>
          <w:rFonts w:cs="SimSun"/>
          <w:b/>
          <w:bCs/>
          <w:color w:val="auto"/>
          <w:kern w:val="0"/>
          <w:szCs w:val="24"/>
          <w:lang w:eastAsia="zh-CN"/>
        </w:rPr>
        <w:t>Ottini L</w:t>
      </w:r>
      <w:r w:rsidRPr="00DF417A">
        <w:rPr>
          <w:rFonts w:cs="SimSun"/>
          <w:color w:val="auto"/>
          <w:kern w:val="0"/>
          <w:szCs w:val="24"/>
          <w:lang w:eastAsia="zh-CN"/>
        </w:rPr>
        <w:t>, Falchetti M, D'Amico C, Amorosi A, Saieva C, Masala G, Frati L, Cama A, Palli D, Mariani-Costantini R. Mutations at coding mononucleotide repeats in gastric cancer with the microsatellite mutator phenotype. </w:t>
      </w:r>
      <w:r w:rsidRPr="00DF417A">
        <w:rPr>
          <w:rFonts w:cs="SimSun"/>
          <w:i/>
          <w:iCs/>
          <w:color w:val="auto"/>
          <w:kern w:val="0"/>
          <w:szCs w:val="24"/>
          <w:lang w:eastAsia="zh-CN"/>
        </w:rPr>
        <w:t>Oncogene</w:t>
      </w:r>
      <w:r w:rsidRPr="00DF417A">
        <w:rPr>
          <w:rFonts w:cs="SimSun"/>
          <w:color w:val="auto"/>
          <w:kern w:val="0"/>
          <w:szCs w:val="24"/>
          <w:lang w:eastAsia="zh-CN"/>
        </w:rPr>
        <w:t> 1998; </w:t>
      </w:r>
      <w:r w:rsidRPr="00DF417A">
        <w:rPr>
          <w:rFonts w:cs="SimSun"/>
          <w:b/>
          <w:bCs/>
          <w:color w:val="auto"/>
          <w:kern w:val="0"/>
          <w:szCs w:val="24"/>
          <w:lang w:eastAsia="zh-CN"/>
        </w:rPr>
        <w:t>16</w:t>
      </w:r>
      <w:r w:rsidRPr="00DF417A">
        <w:rPr>
          <w:rFonts w:cs="SimSun"/>
          <w:color w:val="auto"/>
          <w:kern w:val="0"/>
          <w:szCs w:val="24"/>
          <w:lang w:eastAsia="zh-CN"/>
        </w:rPr>
        <w:t>: 2767-2772 [PMID: 9652743 DOI: 10.1038/sj.onc.1201816]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129 </w:t>
      </w:r>
      <w:r w:rsidRPr="00DF417A">
        <w:rPr>
          <w:rFonts w:cs="SimSun"/>
          <w:b/>
          <w:bCs/>
          <w:color w:val="auto"/>
          <w:kern w:val="0"/>
          <w:szCs w:val="24"/>
          <w:lang w:eastAsia="zh-CN"/>
        </w:rPr>
        <w:t>Menoyo A</w:t>
      </w:r>
      <w:r w:rsidRPr="00DF417A">
        <w:rPr>
          <w:rFonts w:cs="SimSun"/>
          <w:color w:val="auto"/>
          <w:kern w:val="0"/>
          <w:szCs w:val="24"/>
          <w:lang w:eastAsia="zh-CN"/>
        </w:rPr>
        <w:t>, Alazzouzi H, Espín E, Armengol M, Yamamoto H, Schwartz S. Somatic mutations in the DNA damage-response genes ATR and CHK1 in sporadic stomach tumors with microsatellite instability. </w:t>
      </w:r>
      <w:r w:rsidRPr="00DF417A">
        <w:rPr>
          <w:rFonts w:cs="SimSun"/>
          <w:i/>
          <w:iCs/>
          <w:color w:val="auto"/>
          <w:kern w:val="0"/>
          <w:szCs w:val="24"/>
          <w:lang w:eastAsia="zh-CN"/>
        </w:rPr>
        <w:t>Cancer Res</w:t>
      </w:r>
      <w:r w:rsidRPr="00DF417A">
        <w:rPr>
          <w:rFonts w:cs="SimSun"/>
          <w:color w:val="auto"/>
          <w:kern w:val="0"/>
          <w:szCs w:val="24"/>
          <w:lang w:eastAsia="zh-CN"/>
        </w:rPr>
        <w:t> 2001; </w:t>
      </w:r>
      <w:r w:rsidRPr="00DF417A">
        <w:rPr>
          <w:rFonts w:cs="SimSun"/>
          <w:b/>
          <w:bCs/>
          <w:color w:val="auto"/>
          <w:kern w:val="0"/>
          <w:szCs w:val="24"/>
          <w:lang w:eastAsia="zh-CN"/>
        </w:rPr>
        <w:t>61</w:t>
      </w:r>
      <w:r w:rsidRPr="00DF417A">
        <w:rPr>
          <w:rFonts w:cs="SimSun"/>
          <w:color w:val="auto"/>
          <w:kern w:val="0"/>
          <w:szCs w:val="24"/>
          <w:lang w:eastAsia="zh-CN"/>
        </w:rPr>
        <w:t>: 7727-7730 [PMID: 11691784]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130 </w:t>
      </w:r>
      <w:r w:rsidRPr="00DF417A">
        <w:rPr>
          <w:rFonts w:cs="SimSun"/>
          <w:b/>
          <w:bCs/>
          <w:color w:val="auto"/>
          <w:kern w:val="0"/>
          <w:szCs w:val="24"/>
          <w:lang w:eastAsia="zh-CN"/>
        </w:rPr>
        <w:t>Duval A</w:t>
      </w:r>
      <w:r w:rsidRPr="00DF417A">
        <w:rPr>
          <w:rFonts w:cs="SimSun"/>
          <w:color w:val="auto"/>
          <w:kern w:val="0"/>
          <w:szCs w:val="24"/>
          <w:lang w:eastAsia="zh-CN"/>
        </w:rPr>
        <w:t>, Hamelin R. Mutations at coding repeat sequences in mismatch repair-deficient human cancers: toward a new concept of target genes for instability. </w:t>
      </w:r>
      <w:r w:rsidRPr="00DF417A">
        <w:rPr>
          <w:rFonts w:cs="SimSun"/>
          <w:i/>
          <w:iCs/>
          <w:color w:val="auto"/>
          <w:kern w:val="0"/>
          <w:szCs w:val="24"/>
          <w:lang w:eastAsia="zh-CN"/>
        </w:rPr>
        <w:t>Cancer Res</w:t>
      </w:r>
      <w:r w:rsidRPr="00DF417A">
        <w:rPr>
          <w:rFonts w:cs="SimSun"/>
          <w:color w:val="auto"/>
          <w:kern w:val="0"/>
          <w:szCs w:val="24"/>
          <w:lang w:eastAsia="zh-CN"/>
        </w:rPr>
        <w:t> 2002; </w:t>
      </w:r>
      <w:r w:rsidRPr="00DF417A">
        <w:rPr>
          <w:rFonts w:cs="SimSun"/>
          <w:b/>
          <w:bCs/>
          <w:color w:val="auto"/>
          <w:kern w:val="0"/>
          <w:szCs w:val="24"/>
          <w:lang w:eastAsia="zh-CN"/>
        </w:rPr>
        <w:t>62</w:t>
      </w:r>
      <w:r w:rsidRPr="00DF417A">
        <w:rPr>
          <w:rFonts w:cs="SimSun"/>
          <w:color w:val="auto"/>
          <w:kern w:val="0"/>
          <w:szCs w:val="24"/>
          <w:lang w:eastAsia="zh-CN"/>
        </w:rPr>
        <w:t>: 2447-2454 [PMID: 11980631]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131 </w:t>
      </w:r>
      <w:r w:rsidRPr="00DF417A">
        <w:rPr>
          <w:rFonts w:cs="SimSun"/>
          <w:b/>
          <w:bCs/>
          <w:color w:val="auto"/>
          <w:kern w:val="0"/>
          <w:szCs w:val="24"/>
          <w:lang w:eastAsia="zh-CN"/>
        </w:rPr>
        <w:t>Simpson AJ</w:t>
      </w:r>
      <w:r w:rsidRPr="00DF417A">
        <w:rPr>
          <w:rFonts w:cs="SimSun"/>
          <w:color w:val="auto"/>
          <w:kern w:val="0"/>
          <w:szCs w:val="24"/>
          <w:lang w:eastAsia="zh-CN"/>
        </w:rPr>
        <w:t>, Caballero OL, Pena SD. Microsatellite instability as a tool for the classification of gastric cancer. </w:t>
      </w:r>
      <w:r w:rsidRPr="00DF417A">
        <w:rPr>
          <w:rFonts w:cs="SimSun"/>
          <w:i/>
          <w:iCs/>
          <w:color w:val="auto"/>
          <w:kern w:val="0"/>
          <w:szCs w:val="24"/>
          <w:lang w:eastAsia="zh-CN"/>
        </w:rPr>
        <w:t>Trends Mol Med</w:t>
      </w:r>
      <w:r w:rsidRPr="00DF417A">
        <w:rPr>
          <w:rFonts w:cs="SimSun"/>
          <w:color w:val="auto"/>
          <w:kern w:val="0"/>
          <w:szCs w:val="24"/>
          <w:lang w:eastAsia="zh-CN"/>
        </w:rPr>
        <w:t> 2001; </w:t>
      </w:r>
      <w:r w:rsidRPr="00DF417A">
        <w:rPr>
          <w:rFonts w:cs="SimSun"/>
          <w:b/>
          <w:bCs/>
          <w:color w:val="auto"/>
          <w:kern w:val="0"/>
          <w:szCs w:val="24"/>
          <w:lang w:eastAsia="zh-CN"/>
        </w:rPr>
        <w:t>7</w:t>
      </w:r>
      <w:r w:rsidRPr="00DF417A">
        <w:rPr>
          <w:rFonts w:cs="SimSun"/>
          <w:color w:val="auto"/>
          <w:kern w:val="0"/>
          <w:szCs w:val="24"/>
          <w:lang w:eastAsia="zh-CN"/>
        </w:rPr>
        <w:t>: 76-80 [PMID: 11286759 DOI: 10.1016/S1471-4914(01)01916-5]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132 </w:t>
      </w:r>
      <w:r w:rsidRPr="00DF417A">
        <w:rPr>
          <w:rFonts w:cs="SimSun"/>
          <w:b/>
          <w:bCs/>
          <w:color w:val="auto"/>
          <w:kern w:val="0"/>
          <w:szCs w:val="24"/>
          <w:lang w:eastAsia="zh-CN"/>
        </w:rPr>
        <w:t>Chung YJ</w:t>
      </w:r>
      <w:r w:rsidRPr="00DF417A">
        <w:rPr>
          <w:rFonts w:cs="SimSun"/>
          <w:color w:val="auto"/>
          <w:kern w:val="0"/>
          <w:szCs w:val="24"/>
          <w:lang w:eastAsia="zh-CN"/>
        </w:rPr>
        <w:t>, Song JM, Lee JY, Jung YT, Seo EJ, Choi SW, Rhyu MG. Microsatellite instability-associated mutations associate preferentially with the intestinal type of primary gastric carcinomas in a high-risk population. </w:t>
      </w:r>
      <w:r w:rsidRPr="00DF417A">
        <w:rPr>
          <w:rFonts w:cs="SimSun"/>
          <w:i/>
          <w:iCs/>
          <w:color w:val="auto"/>
          <w:kern w:val="0"/>
          <w:szCs w:val="24"/>
          <w:lang w:eastAsia="zh-CN"/>
        </w:rPr>
        <w:t>Cancer Res</w:t>
      </w:r>
      <w:r w:rsidRPr="00DF417A">
        <w:rPr>
          <w:rFonts w:cs="SimSun"/>
          <w:color w:val="auto"/>
          <w:kern w:val="0"/>
          <w:szCs w:val="24"/>
          <w:lang w:eastAsia="zh-CN"/>
        </w:rPr>
        <w:t> 1996; </w:t>
      </w:r>
      <w:r w:rsidRPr="00DF417A">
        <w:rPr>
          <w:rFonts w:cs="SimSun"/>
          <w:b/>
          <w:bCs/>
          <w:color w:val="auto"/>
          <w:kern w:val="0"/>
          <w:szCs w:val="24"/>
          <w:lang w:eastAsia="zh-CN"/>
        </w:rPr>
        <w:t>56</w:t>
      </w:r>
      <w:r w:rsidRPr="00DF417A">
        <w:rPr>
          <w:rFonts w:cs="SimSun"/>
          <w:color w:val="auto"/>
          <w:kern w:val="0"/>
          <w:szCs w:val="24"/>
          <w:lang w:eastAsia="zh-CN"/>
        </w:rPr>
        <w:t>: 4662-4665 [PMID: 8840981]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133 </w:t>
      </w:r>
      <w:r w:rsidRPr="00DF417A">
        <w:rPr>
          <w:rFonts w:cs="SimSun"/>
          <w:b/>
          <w:bCs/>
          <w:color w:val="auto"/>
          <w:kern w:val="0"/>
          <w:szCs w:val="24"/>
          <w:lang w:eastAsia="zh-CN"/>
        </w:rPr>
        <w:t>Yamamoto H</w:t>
      </w:r>
      <w:r w:rsidRPr="00DF417A">
        <w:rPr>
          <w:rFonts w:cs="SimSun"/>
          <w:color w:val="auto"/>
          <w:kern w:val="0"/>
          <w:szCs w:val="24"/>
          <w:lang w:eastAsia="zh-CN"/>
        </w:rPr>
        <w:t>, Perez-Piteira J, Yoshida T, Terada M, Itoh F, Imai K, Perucho M. Gastric cancers of the microsatellite mutator phenotype display characteristic genetic and clinical features. </w:t>
      </w:r>
      <w:r w:rsidRPr="00DF417A">
        <w:rPr>
          <w:rFonts w:cs="SimSun"/>
          <w:i/>
          <w:iCs/>
          <w:color w:val="auto"/>
          <w:kern w:val="0"/>
          <w:szCs w:val="24"/>
          <w:lang w:eastAsia="zh-CN"/>
        </w:rPr>
        <w:t>Gastroenterology</w:t>
      </w:r>
      <w:r w:rsidRPr="00DF417A">
        <w:rPr>
          <w:rFonts w:cs="SimSun"/>
          <w:color w:val="auto"/>
          <w:kern w:val="0"/>
          <w:szCs w:val="24"/>
          <w:lang w:eastAsia="zh-CN"/>
        </w:rPr>
        <w:t> 1999; </w:t>
      </w:r>
      <w:r w:rsidRPr="00DF417A">
        <w:rPr>
          <w:rFonts w:cs="SimSun"/>
          <w:b/>
          <w:bCs/>
          <w:color w:val="auto"/>
          <w:kern w:val="0"/>
          <w:szCs w:val="24"/>
          <w:lang w:eastAsia="zh-CN"/>
        </w:rPr>
        <w:t>116</w:t>
      </w:r>
      <w:r w:rsidRPr="00DF417A">
        <w:rPr>
          <w:rFonts w:cs="SimSun"/>
          <w:color w:val="auto"/>
          <w:kern w:val="0"/>
          <w:szCs w:val="24"/>
          <w:lang w:eastAsia="zh-CN"/>
        </w:rPr>
        <w:t>: 1348-1357 [PMID: 10348818 DOI: 10.1016/S0016-5085(99)70499-3]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134 </w:t>
      </w:r>
      <w:r w:rsidRPr="00DF417A">
        <w:rPr>
          <w:rFonts w:cs="SimSun"/>
          <w:b/>
          <w:bCs/>
          <w:color w:val="auto"/>
          <w:kern w:val="0"/>
          <w:szCs w:val="24"/>
          <w:lang w:eastAsia="zh-CN"/>
        </w:rPr>
        <w:t>Fang WL</w:t>
      </w:r>
      <w:r w:rsidRPr="00DF417A">
        <w:rPr>
          <w:rFonts w:cs="SimSun"/>
          <w:color w:val="auto"/>
          <w:kern w:val="0"/>
          <w:szCs w:val="24"/>
          <w:lang w:eastAsia="zh-CN"/>
        </w:rPr>
        <w:t>, Chang SC, Lan YT, Huang KH, Chen JH, Lo SS, Hsieh MC, Li AF, Wu CW, Chiou SH. Microsatellite instability is associated with a better prognosis for gastric cancer patients after curative surgery. </w:t>
      </w:r>
      <w:r w:rsidRPr="00DF417A">
        <w:rPr>
          <w:rFonts w:cs="SimSun"/>
          <w:i/>
          <w:iCs/>
          <w:color w:val="auto"/>
          <w:kern w:val="0"/>
          <w:szCs w:val="24"/>
          <w:lang w:eastAsia="zh-CN"/>
        </w:rPr>
        <w:t>World J Surg</w:t>
      </w:r>
      <w:r w:rsidRPr="00DF417A">
        <w:rPr>
          <w:rFonts w:cs="SimSun"/>
          <w:color w:val="auto"/>
          <w:kern w:val="0"/>
          <w:szCs w:val="24"/>
          <w:lang w:eastAsia="zh-CN"/>
        </w:rPr>
        <w:t> 2012; </w:t>
      </w:r>
      <w:r w:rsidRPr="00DF417A">
        <w:rPr>
          <w:rFonts w:cs="SimSun"/>
          <w:b/>
          <w:bCs/>
          <w:color w:val="auto"/>
          <w:kern w:val="0"/>
          <w:szCs w:val="24"/>
          <w:lang w:eastAsia="zh-CN"/>
        </w:rPr>
        <w:t>36</w:t>
      </w:r>
      <w:r w:rsidRPr="00DF417A">
        <w:rPr>
          <w:rFonts w:cs="SimSun"/>
          <w:color w:val="auto"/>
          <w:kern w:val="0"/>
          <w:szCs w:val="24"/>
          <w:lang w:eastAsia="zh-CN"/>
        </w:rPr>
        <w:t>: 2131-2138 [PMID: 22669398 DOI: 10.1007/s00268-012-1652-7]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135 </w:t>
      </w:r>
      <w:r w:rsidRPr="00DF417A">
        <w:rPr>
          <w:rFonts w:cs="SimSun"/>
          <w:b/>
          <w:bCs/>
          <w:color w:val="auto"/>
          <w:kern w:val="0"/>
          <w:szCs w:val="24"/>
          <w:lang w:eastAsia="zh-CN"/>
        </w:rPr>
        <w:t>Choi YY</w:t>
      </w:r>
      <w:r w:rsidRPr="00DF417A">
        <w:rPr>
          <w:rFonts w:cs="SimSun"/>
          <w:color w:val="auto"/>
          <w:kern w:val="0"/>
          <w:szCs w:val="24"/>
          <w:lang w:eastAsia="zh-CN"/>
        </w:rPr>
        <w:t>, Bae JM, An JY, Kwon IG, Cho I, Shin HB, Eiji T, Aburahmah M, Kim HI, Cheong JH, Hyung WJ, Noh SH. Is microsatellite instability a prognostic marker in gastric cancer? A systematic review with meta-analysis. </w:t>
      </w:r>
      <w:r w:rsidRPr="00DF417A">
        <w:rPr>
          <w:rFonts w:cs="SimSun"/>
          <w:i/>
          <w:iCs/>
          <w:color w:val="auto"/>
          <w:kern w:val="0"/>
          <w:szCs w:val="24"/>
          <w:lang w:eastAsia="zh-CN"/>
        </w:rPr>
        <w:t>J Surg Oncol</w:t>
      </w:r>
      <w:r w:rsidRPr="00DF417A">
        <w:rPr>
          <w:rFonts w:cs="SimSun"/>
          <w:color w:val="auto"/>
          <w:kern w:val="0"/>
          <w:szCs w:val="24"/>
          <w:lang w:eastAsia="zh-CN"/>
        </w:rPr>
        <w:t> 2014; </w:t>
      </w:r>
      <w:r w:rsidRPr="00DF417A">
        <w:rPr>
          <w:rFonts w:cs="SimSun"/>
          <w:b/>
          <w:bCs/>
          <w:color w:val="auto"/>
          <w:kern w:val="0"/>
          <w:szCs w:val="24"/>
          <w:lang w:eastAsia="zh-CN"/>
        </w:rPr>
        <w:t>110</w:t>
      </w:r>
      <w:r w:rsidRPr="00DF417A">
        <w:rPr>
          <w:rFonts w:cs="SimSun"/>
          <w:color w:val="auto"/>
          <w:kern w:val="0"/>
          <w:szCs w:val="24"/>
          <w:lang w:eastAsia="zh-CN"/>
        </w:rPr>
        <w:t>: 129-135 [PMID: 24737677 DOI: 10.1002/jso.23618]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136 </w:t>
      </w:r>
      <w:r w:rsidRPr="00DF417A">
        <w:rPr>
          <w:rFonts w:cs="SimSun"/>
          <w:b/>
          <w:bCs/>
          <w:color w:val="auto"/>
          <w:kern w:val="0"/>
          <w:szCs w:val="24"/>
          <w:lang w:eastAsia="zh-CN"/>
        </w:rPr>
        <w:t>di Pietro M</w:t>
      </w:r>
      <w:r w:rsidRPr="00DF417A">
        <w:rPr>
          <w:rFonts w:cs="SimSun"/>
          <w:color w:val="auto"/>
          <w:kern w:val="0"/>
          <w:szCs w:val="24"/>
          <w:lang w:eastAsia="zh-CN"/>
        </w:rPr>
        <w:t>, Marra G, Cejka P, Stojic L, Menigatti M, Cattaruzza MS, Jiricny J. Mismatch repair-dependent transcriptome changes in human cells treated with the methylating agent N-methyl-n'-nitro-N-nitrosoguanidine.</w:t>
      </w:r>
      <w:r w:rsidRPr="00DF417A">
        <w:rPr>
          <w:rFonts w:cs="SimSun" w:hint="eastAsia"/>
          <w:color w:val="auto"/>
          <w:kern w:val="0"/>
          <w:szCs w:val="24"/>
          <w:lang w:eastAsia="zh-CN"/>
        </w:rPr>
        <w:t xml:space="preserve"> </w:t>
      </w:r>
      <w:r w:rsidRPr="00DF417A">
        <w:rPr>
          <w:rFonts w:cs="SimSun"/>
          <w:i/>
          <w:iCs/>
          <w:color w:val="auto"/>
          <w:kern w:val="0"/>
          <w:szCs w:val="24"/>
          <w:lang w:eastAsia="zh-CN"/>
        </w:rPr>
        <w:t>Cancer Res</w:t>
      </w:r>
      <w:r w:rsidRPr="00DF417A">
        <w:rPr>
          <w:rFonts w:cs="SimSun" w:hint="eastAsia"/>
          <w:color w:val="auto"/>
          <w:kern w:val="0"/>
          <w:szCs w:val="24"/>
          <w:lang w:eastAsia="zh-CN"/>
        </w:rPr>
        <w:t xml:space="preserve"> </w:t>
      </w:r>
      <w:r w:rsidRPr="00DF417A">
        <w:rPr>
          <w:rFonts w:cs="SimSun"/>
          <w:color w:val="auto"/>
          <w:kern w:val="0"/>
          <w:szCs w:val="24"/>
          <w:lang w:eastAsia="zh-CN"/>
        </w:rPr>
        <w:t>2003; </w:t>
      </w:r>
      <w:r w:rsidRPr="00DF417A">
        <w:rPr>
          <w:rFonts w:cs="SimSun"/>
          <w:b/>
          <w:bCs/>
          <w:color w:val="auto"/>
          <w:kern w:val="0"/>
          <w:szCs w:val="24"/>
          <w:lang w:eastAsia="zh-CN"/>
        </w:rPr>
        <w:t>63</w:t>
      </w:r>
      <w:r w:rsidRPr="00DF417A">
        <w:rPr>
          <w:rFonts w:cs="SimSun"/>
          <w:color w:val="auto"/>
          <w:kern w:val="0"/>
          <w:szCs w:val="24"/>
          <w:lang w:eastAsia="zh-CN"/>
        </w:rPr>
        <w:t>: 8158-8166 [PMID: 14678970]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137 </w:t>
      </w:r>
      <w:r w:rsidRPr="00DF417A">
        <w:rPr>
          <w:rFonts w:cs="SimSun"/>
          <w:b/>
          <w:bCs/>
          <w:color w:val="auto"/>
          <w:kern w:val="0"/>
          <w:szCs w:val="24"/>
          <w:lang w:eastAsia="zh-CN"/>
        </w:rPr>
        <w:t>Zheng L</w:t>
      </w:r>
      <w:r w:rsidRPr="00DF417A">
        <w:rPr>
          <w:rFonts w:cs="SimSun"/>
          <w:color w:val="auto"/>
          <w:kern w:val="0"/>
          <w:szCs w:val="24"/>
          <w:lang w:eastAsia="zh-CN"/>
        </w:rPr>
        <w:t>, Wang L, Ajani J, Xie K. Molecular basis of gastric cancer development and progression. </w:t>
      </w:r>
      <w:r w:rsidRPr="00DF417A">
        <w:rPr>
          <w:rFonts w:cs="SimSun"/>
          <w:i/>
          <w:iCs/>
          <w:color w:val="auto"/>
          <w:kern w:val="0"/>
          <w:szCs w:val="24"/>
          <w:lang w:eastAsia="zh-CN"/>
        </w:rPr>
        <w:t>Gastric Cancer</w:t>
      </w:r>
      <w:r w:rsidRPr="00DF417A">
        <w:rPr>
          <w:rFonts w:cs="SimSun"/>
          <w:color w:val="auto"/>
          <w:kern w:val="0"/>
          <w:szCs w:val="24"/>
          <w:lang w:eastAsia="zh-CN"/>
        </w:rPr>
        <w:t> 2004; </w:t>
      </w:r>
      <w:r w:rsidRPr="00DF417A">
        <w:rPr>
          <w:rFonts w:cs="SimSun"/>
          <w:b/>
          <w:bCs/>
          <w:color w:val="auto"/>
          <w:kern w:val="0"/>
          <w:szCs w:val="24"/>
          <w:lang w:eastAsia="zh-CN"/>
        </w:rPr>
        <w:t>7</w:t>
      </w:r>
      <w:r w:rsidRPr="00DF417A">
        <w:rPr>
          <w:rFonts w:cs="SimSun"/>
          <w:color w:val="auto"/>
          <w:kern w:val="0"/>
          <w:szCs w:val="24"/>
          <w:lang w:eastAsia="zh-CN"/>
        </w:rPr>
        <w:t>: 61-77 [PMID: 15224192 DOI: 10.1007/s10120-004-0277-4]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138 </w:t>
      </w:r>
      <w:r w:rsidRPr="00DF417A">
        <w:rPr>
          <w:rFonts w:cs="SimSun"/>
          <w:b/>
          <w:bCs/>
          <w:color w:val="auto"/>
          <w:kern w:val="0"/>
          <w:szCs w:val="24"/>
          <w:lang w:eastAsia="zh-CN"/>
        </w:rPr>
        <w:t>An C</w:t>
      </w:r>
      <w:r w:rsidRPr="00DF417A">
        <w:rPr>
          <w:rFonts w:cs="SimSun"/>
          <w:color w:val="auto"/>
          <w:kern w:val="0"/>
          <w:szCs w:val="24"/>
          <w:lang w:eastAsia="zh-CN"/>
        </w:rPr>
        <w:t>, Choi IS, Yao JC, Worah S, Xie K, Mansfield PF, Ajani JA, Rashid A, Hamilton SR, Wu TT. Prognostic significance of CpG island methylator phenotype and microsatellite instability in gastric carcinoma. </w:t>
      </w:r>
      <w:r w:rsidRPr="00DF417A">
        <w:rPr>
          <w:rFonts w:cs="SimSun"/>
          <w:i/>
          <w:iCs/>
          <w:color w:val="auto"/>
          <w:kern w:val="0"/>
          <w:szCs w:val="24"/>
          <w:lang w:eastAsia="zh-CN"/>
        </w:rPr>
        <w:t>Clin Cancer Res</w:t>
      </w:r>
      <w:r w:rsidRPr="00DF417A">
        <w:rPr>
          <w:rFonts w:cs="SimSun"/>
          <w:color w:val="auto"/>
          <w:kern w:val="0"/>
          <w:szCs w:val="24"/>
          <w:lang w:eastAsia="zh-CN"/>
        </w:rPr>
        <w:t> 2005; </w:t>
      </w:r>
      <w:r w:rsidRPr="00DF417A">
        <w:rPr>
          <w:rFonts w:cs="SimSun"/>
          <w:b/>
          <w:bCs/>
          <w:color w:val="auto"/>
          <w:kern w:val="0"/>
          <w:szCs w:val="24"/>
          <w:lang w:eastAsia="zh-CN"/>
        </w:rPr>
        <w:t>11</w:t>
      </w:r>
      <w:r w:rsidRPr="00DF417A">
        <w:rPr>
          <w:rFonts w:cs="SimSun"/>
          <w:color w:val="auto"/>
          <w:kern w:val="0"/>
          <w:szCs w:val="24"/>
          <w:lang w:eastAsia="zh-CN"/>
        </w:rPr>
        <w:t>: 656-663 [PMID: 15701853]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139 </w:t>
      </w:r>
      <w:r w:rsidRPr="00DF417A">
        <w:rPr>
          <w:rFonts w:cs="SimSun"/>
          <w:b/>
          <w:bCs/>
          <w:color w:val="auto"/>
          <w:kern w:val="0"/>
          <w:szCs w:val="24"/>
          <w:lang w:eastAsia="zh-CN"/>
        </w:rPr>
        <w:t>Lee JH</w:t>
      </w:r>
      <w:r w:rsidRPr="00DF417A">
        <w:rPr>
          <w:rFonts w:cs="SimSun"/>
          <w:color w:val="auto"/>
          <w:kern w:val="0"/>
          <w:szCs w:val="24"/>
          <w:lang w:eastAsia="zh-CN"/>
        </w:rPr>
        <w:t>, Park SJ, Abraham SC, Seo JS, Nam JH, Choi C, Juhng SW, Rashid A, Hamilton SR, Wu TT. Frequent CpG island methylation in precursor lesions and early gastric adenocarcinomas. </w:t>
      </w:r>
      <w:r w:rsidRPr="00DF417A">
        <w:rPr>
          <w:rFonts w:cs="SimSun"/>
          <w:i/>
          <w:iCs/>
          <w:color w:val="auto"/>
          <w:kern w:val="0"/>
          <w:szCs w:val="24"/>
          <w:lang w:eastAsia="zh-CN"/>
        </w:rPr>
        <w:t>Oncogene</w:t>
      </w:r>
      <w:r w:rsidRPr="00DF417A">
        <w:rPr>
          <w:rFonts w:cs="SimSun"/>
          <w:color w:val="auto"/>
          <w:kern w:val="0"/>
          <w:szCs w:val="24"/>
          <w:lang w:eastAsia="zh-CN"/>
        </w:rPr>
        <w:t> 2004; </w:t>
      </w:r>
      <w:r w:rsidRPr="00DF417A">
        <w:rPr>
          <w:rFonts w:cs="SimSun"/>
          <w:b/>
          <w:bCs/>
          <w:color w:val="auto"/>
          <w:kern w:val="0"/>
          <w:szCs w:val="24"/>
          <w:lang w:eastAsia="zh-CN"/>
        </w:rPr>
        <w:t>23</w:t>
      </w:r>
      <w:r w:rsidRPr="00DF417A">
        <w:rPr>
          <w:rFonts w:cs="SimSun"/>
          <w:color w:val="auto"/>
          <w:kern w:val="0"/>
          <w:szCs w:val="24"/>
          <w:lang w:eastAsia="zh-CN"/>
        </w:rPr>
        <w:t>: 4646-4654 [PMID: 15064707 DOI: 10.1038/sj.onc.1207588]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140 </w:t>
      </w:r>
      <w:r w:rsidRPr="00DF417A">
        <w:rPr>
          <w:rFonts w:cs="SimSun"/>
          <w:b/>
          <w:bCs/>
          <w:color w:val="auto"/>
          <w:kern w:val="0"/>
          <w:szCs w:val="24"/>
          <w:lang w:eastAsia="zh-CN"/>
        </w:rPr>
        <w:t>Oue N</w:t>
      </w:r>
      <w:r w:rsidRPr="00DF417A">
        <w:rPr>
          <w:rFonts w:cs="SimSun"/>
          <w:color w:val="auto"/>
          <w:kern w:val="0"/>
          <w:szCs w:val="24"/>
          <w:lang w:eastAsia="zh-CN"/>
        </w:rPr>
        <w:t>, Mitani Y, Motoshita J, Matsumura S, Yoshida K, Kuniyasu H, Nakayama H, Yasui W. Accumulation of DNA methylation is associated with tumor stage in gastric cancer. </w:t>
      </w:r>
      <w:r w:rsidRPr="00DF417A">
        <w:rPr>
          <w:rFonts w:cs="SimSun"/>
          <w:i/>
          <w:iCs/>
          <w:color w:val="auto"/>
          <w:kern w:val="0"/>
          <w:szCs w:val="24"/>
          <w:lang w:eastAsia="zh-CN"/>
        </w:rPr>
        <w:t>Cancer</w:t>
      </w:r>
      <w:r w:rsidRPr="00DF417A">
        <w:rPr>
          <w:rFonts w:cs="SimSun"/>
          <w:color w:val="auto"/>
          <w:kern w:val="0"/>
          <w:szCs w:val="24"/>
          <w:lang w:eastAsia="zh-CN"/>
        </w:rPr>
        <w:t> 2006; </w:t>
      </w:r>
      <w:r w:rsidRPr="00DF417A">
        <w:rPr>
          <w:rFonts w:cs="SimSun"/>
          <w:b/>
          <w:bCs/>
          <w:color w:val="auto"/>
          <w:kern w:val="0"/>
          <w:szCs w:val="24"/>
          <w:lang w:eastAsia="zh-CN"/>
        </w:rPr>
        <w:t>106</w:t>
      </w:r>
      <w:r w:rsidRPr="00DF417A">
        <w:rPr>
          <w:rFonts w:cs="SimSun"/>
          <w:color w:val="auto"/>
          <w:kern w:val="0"/>
          <w:szCs w:val="24"/>
          <w:lang w:eastAsia="zh-CN"/>
        </w:rPr>
        <w:t>: 1250-1259 [PMID: 16475210 DOI: 10.1002/cncr.21754]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141 </w:t>
      </w:r>
      <w:r w:rsidRPr="00DF417A">
        <w:rPr>
          <w:rFonts w:cs="SimSun"/>
          <w:b/>
          <w:bCs/>
          <w:color w:val="auto"/>
          <w:kern w:val="0"/>
          <w:szCs w:val="24"/>
          <w:lang w:eastAsia="zh-CN"/>
        </w:rPr>
        <w:t>Song S</w:t>
      </w:r>
      <w:r w:rsidRPr="00DF417A">
        <w:rPr>
          <w:rFonts w:cs="SimSun"/>
          <w:color w:val="auto"/>
          <w:kern w:val="0"/>
          <w:szCs w:val="24"/>
          <w:lang w:eastAsia="zh-CN"/>
        </w:rPr>
        <w:t>, Ajani JA. The role of microRNAs in cancers of the upper gastrointestinal tract.</w:t>
      </w:r>
      <w:r w:rsidR="00AD072B">
        <w:rPr>
          <w:rFonts w:cs="SimSun" w:hint="eastAsia"/>
          <w:color w:val="auto"/>
          <w:kern w:val="0"/>
          <w:szCs w:val="24"/>
          <w:lang w:eastAsia="zh-CN"/>
        </w:rPr>
        <w:t xml:space="preserve"> </w:t>
      </w:r>
      <w:r w:rsidRPr="00DF417A">
        <w:rPr>
          <w:rFonts w:cs="SimSun"/>
          <w:i/>
          <w:iCs/>
          <w:color w:val="auto"/>
          <w:kern w:val="0"/>
          <w:szCs w:val="24"/>
          <w:lang w:eastAsia="zh-CN"/>
        </w:rPr>
        <w:t>Nat Rev Gastroenterol Hepatol</w:t>
      </w:r>
      <w:r w:rsidRPr="00DF417A">
        <w:rPr>
          <w:rFonts w:cs="SimSun"/>
          <w:color w:val="auto"/>
          <w:kern w:val="0"/>
          <w:szCs w:val="24"/>
          <w:lang w:eastAsia="zh-CN"/>
        </w:rPr>
        <w:t> 2013; </w:t>
      </w:r>
      <w:r w:rsidRPr="00DF417A">
        <w:rPr>
          <w:rFonts w:cs="SimSun"/>
          <w:b/>
          <w:bCs/>
          <w:color w:val="auto"/>
          <w:kern w:val="0"/>
          <w:szCs w:val="24"/>
          <w:lang w:eastAsia="zh-CN"/>
        </w:rPr>
        <w:t>10</w:t>
      </w:r>
      <w:r w:rsidRPr="00DF417A">
        <w:rPr>
          <w:rFonts w:cs="SimSun"/>
          <w:color w:val="auto"/>
          <w:kern w:val="0"/>
          <w:szCs w:val="24"/>
          <w:lang w:eastAsia="zh-CN"/>
        </w:rPr>
        <w:t>: 109-118 [PMID: 23165235 DOI: 10.1038/nrgastro.2012.210]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142 </w:t>
      </w:r>
      <w:r w:rsidRPr="00DF417A">
        <w:rPr>
          <w:rFonts w:cs="SimSun"/>
          <w:b/>
          <w:bCs/>
          <w:color w:val="auto"/>
          <w:kern w:val="0"/>
          <w:szCs w:val="24"/>
          <w:lang w:eastAsia="zh-CN"/>
        </w:rPr>
        <w:t>Link A</w:t>
      </w:r>
      <w:r w:rsidRPr="00DF417A">
        <w:rPr>
          <w:rFonts w:cs="SimSun"/>
          <w:color w:val="auto"/>
          <w:kern w:val="0"/>
          <w:szCs w:val="24"/>
          <w:lang w:eastAsia="zh-CN"/>
        </w:rPr>
        <w:t>, Kupcinskas J, Wex T, Malfertheiner P. Macro-role of microRNA in gastric cancer. </w:t>
      </w:r>
      <w:r w:rsidRPr="00DF417A">
        <w:rPr>
          <w:rFonts w:cs="SimSun"/>
          <w:i/>
          <w:iCs/>
          <w:color w:val="auto"/>
          <w:kern w:val="0"/>
          <w:szCs w:val="24"/>
          <w:lang w:eastAsia="zh-CN"/>
        </w:rPr>
        <w:t>Dig Dis</w:t>
      </w:r>
      <w:r w:rsidRPr="00DF417A">
        <w:rPr>
          <w:rFonts w:cs="SimSun"/>
          <w:color w:val="auto"/>
          <w:kern w:val="0"/>
          <w:szCs w:val="24"/>
          <w:lang w:eastAsia="zh-CN"/>
        </w:rPr>
        <w:t> 2012; </w:t>
      </w:r>
      <w:r w:rsidRPr="00DF417A">
        <w:rPr>
          <w:rFonts w:cs="SimSun"/>
          <w:b/>
          <w:bCs/>
          <w:color w:val="auto"/>
          <w:kern w:val="0"/>
          <w:szCs w:val="24"/>
          <w:lang w:eastAsia="zh-CN"/>
        </w:rPr>
        <w:t>30</w:t>
      </w:r>
      <w:r w:rsidRPr="00DF417A">
        <w:rPr>
          <w:rFonts w:cs="SimSun"/>
          <w:color w:val="auto"/>
          <w:kern w:val="0"/>
          <w:szCs w:val="24"/>
          <w:lang w:eastAsia="zh-CN"/>
        </w:rPr>
        <w:t>: 255-267 [PMID: 22722550 DOI: 10.1159/000336919]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143 </w:t>
      </w:r>
      <w:r w:rsidRPr="00DF417A">
        <w:rPr>
          <w:rFonts w:cs="SimSun"/>
          <w:b/>
          <w:bCs/>
          <w:color w:val="auto"/>
          <w:kern w:val="0"/>
          <w:szCs w:val="24"/>
          <w:lang w:eastAsia="zh-CN"/>
        </w:rPr>
        <w:t>Li X</w:t>
      </w:r>
      <w:r w:rsidRPr="00DF417A">
        <w:rPr>
          <w:rFonts w:cs="SimSun"/>
          <w:color w:val="auto"/>
          <w:kern w:val="0"/>
          <w:szCs w:val="24"/>
          <w:lang w:eastAsia="zh-CN"/>
        </w:rPr>
        <w:t>, Zhang Y, Zhang Y, Ding J, Wu K, Fan D. Survival prediction of gastric cancer by a seven-microRNA signature. </w:t>
      </w:r>
      <w:r w:rsidRPr="00DF417A">
        <w:rPr>
          <w:rFonts w:cs="SimSun"/>
          <w:i/>
          <w:iCs/>
          <w:color w:val="auto"/>
          <w:kern w:val="0"/>
          <w:szCs w:val="24"/>
          <w:lang w:eastAsia="zh-CN"/>
        </w:rPr>
        <w:t>Gut</w:t>
      </w:r>
      <w:r w:rsidRPr="00DF417A">
        <w:rPr>
          <w:rFonts w:cs="SimSun"/>
          <w:color w:val="auto"/>
          <w:kern w:val="0"/>
          <w:szCs w:val="24"/>
          <w:lang w:eastAsia="zh-CN"/>
        </w:rPr>
        <w:t> 2010; </w:t>
      </w:r>
      <w:r w:rsidRPr="00DF417A">
        <w:rPr>
          <w:rFonts w:cs="SimSun"/>
          <w:b/>
          <w:bCs/>
          <w:color w:val="auto"/>
          <w:kern w:val="0"/>
          <w:szCs w:val="24"/>
          <w:lang w:eastAsia="zh-CN"/>
        </w:rPr>
        <w:t>59</w:t>
      </w:r>
      <w:r w:rsidRPr="00DF417A">
        <w:rPr>
          <w:rFonts w:cs="SimSun"/>
          <w:color w:val="auto"/>
          <w:kern w:val="0"/>
          <w:szCs w:val="24"/>
          <w:lang w:eastAsia="zh-CN"/>
        </w:rPr>
        <w:t>: 579-585 [PMID: 19951901 DOI: 10.1136/gut.2008.175497]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144 </w:t>
      </w:r>
      <w:r w:rsidRPr="00DF417A">
        <w:rPr>
          <w:rFonts w:cs="SimSun"/>
          <w:b/>
          <w:bCs/>
          <w:color w:val="auto"/>
          <w:kern w:val="0"/>
          <w:szCs w:val="24"/>
          <w:lang w:eastAsia="zh-CN"/>
        </w:rPr>
        <w:t>Ueda T</w:t>
      </w:r>
      <w:r w:rsidRPr="00DF417A">
        <w:rPr>
          <w:rFonts w:cs="SimSun"/>
          <w:color w:val="auto"/>
          <w:kern w:val="0"/>
          <w:szCs w:val="24"/>
          <w:lang w:eastAsia="zh-CN"/>
        </w:rPr>
        <w:t>, Volinia S, Okumura H, Shimizu M, Taccioli C, Rossi S, Alder H, Liu CG, Oue N, Yasui W, Yoshida K, Sasaki H, Nomura S, Seto Y, Kaminishi M, Calin GA, Croce CM. Relation between microRNA expression and progression and prognosis of gastric cancer: a microRNA expression analysis. </w:t>
      </w:r>
      <w:r w:rsidRPr="00DF417A">
        <w:rPr>
          <w:rFonts w:cs="SimSun"/>
          <w:i/>
          <w:iCs/>
          <w:color w:val="auto"/>
          <w:kern w:val="0"/>
          <w:szCs w:val="24"/>
          <w:lang w:eastAsia="zh-CN"/>
        </w:rPr>
        <w:t>Lancet Oncol</w:t>
      </w:r>
      <w:r w:rsidRPr="00DF417A">
        <w:rPr>
          <w:rFonts w:cs="SimSun"/>
          <w:color w:val="auto"/>
          <w:kern w:val="0"/>
          <w:szCs w:val="24"/>
          <w:lang w:eastAsia="zh-CN"/>
        </w:rPr>
        <w:t> 2010; </w:t>
      </w:r>
      <w:r w:rsidRPr="00DF417A">
        <w:rPr>
          <w:rFonts w:cs="SimSun"/>
          <w:b/>
          <w:bCs/>
          <w:color w:val="auto"/>
          <w:kern w:val="0"/>
          <w:szCs w:val="24"/>
          <w:lang w:eastAsia="zh-CN"/>
        </w:rPr>
        <w:t>11</w:t>
      </w:r>
      <w:r w:rsidRPr="00DF417A">
        <w:rPr>
          <w:rFonts w:cs="SimSun"/>
          <w:color w:val="auto"/>
          <w:kern w:val="0"/>
          <w:szCs w:val="24"/>
          <w:lang w:eastAsia="zh-CN"/>
        </w:rPr>
        <w:t>: 136-146 [PMID: 20022810 DOI: 10.1016/S1470-2045(09)70343-2]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145 </w:t>
      </w:r>
      <w:r w:rsidRPr="00DF417A">
        <w:rPr>
          <w:rFonts w:cs="SimSun"/>
          <w:b/>
          <w:bCs/>
          <w:color w:val="auto"/>
          <w:kern w:val="0"/>
          <w:szCs w:val="24"/>
          <w:lang w:eastAsia="zh-CN"/>
        </w:rPr>
        <w:t>Wang F</w:t>
      </w:r>
      <w:r w:rsidRPr="00DF417A">
        <w:rPr>
          <w:rFonts w:cs="SimSun"/>
          <w:color w:val="auto"/>
          <w:kern w:val="0"/>
          <w:szCs w:val="24"/>
          <w:lang w:eastAsia="zh-CN"/>
        </w:rPr>
        <w:t>, Sun GP, Zou YF, Hao JQ, Zhong F, Ren WJ. MicroRNAs as promising biomarkers for gastric cancer. </w:t>
      </w:r>
      <w:r w:rsidRPr="00DF417A">
        <w:rPr>
          <w:rFonts w:cs="SimSun"/>
          <w:i/>
          <w:iCs/>
          <w:color w:val="auto"/>
          <w:kern w:val="0"/>
          <w:szCs w:val="24"/>
          <w:lang w:eastAsia="zh-CN"/>
        </w:rPr>
        <w:t>Cancer Biomark</w:t>
      </w:r>
      <w:r w:rsidRPr="00DF417A">
        <w:rPr>
          <w:rFonts w:cs="SimSun"/>
          <w:color w:val="auto"/>
          <w:kern w:val="0"/>
          <w:szCs w:val="24"/>
          <w:lang w:eastAsia="zh-CN"/>
        </w:rPr>
        <w:t> 2012; </w:t>
      </w:r>
      <w:r w:rsidRPr="00DF417A">
        <w:rPr>
          <w:rFonts w:cs="SimSun"/>
          <w:b/>
          <w:bCs/>
          <w:color w:val="auto"/>
          <w:kern w:val="0"/>
          <w:szCs w:val="24"/>
          <w:lang w:eastAsia="zh-CN"/>
        </w:rPr>
        <w:t>11</w:t>
      </w:r>
      <w:r w:rsidRPr="00DF417A">
        <w:rPr>
          <w:rFonts w:cs="SimSun"/>
          <w:color w:val="auto"/>
          <w:kern w:val="0"/>
          <w:szCs w:val="24"/>
          <w:lang w:eastAsia="zh-CN"/>
        </w:rPr>
        <w:t>: 259-267 [PMID: 23248184 DOI: 10.3233/CBM-2012-00284]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146 </w:t>
      </w:r>
      <w:r w:rsidRPr="00DF417A">
        <w:rPr>
          <w:rFonts w:cs="SimSun"/>
          <w:b/>
          <w:bCs/>
          <w:color w:val="auto"/>
          <w:kern w:val="0"/>
          <w:szCs w:val="24"/>
          <w:lang w:eastAsia="zh-CN"/>
        </w:rPr>
        <w:t>Ling H</w:t>
      </w:r>
      <w:r w:rsidRPr="00DF417A">
        <w:rPr>
          <w:rFonts w:cs="SimSun"/>
          <w:color w:val="auto"/>
          <w:kern w:val="0"/>
          <w:szCs w:val="24"/>
          <w:lang w:eastAsia="zh-CN"/>
        </w:rPr>
        <w:t>, Fabbri M, Calin GA. MicroRNAs and other non-coding RNAs as targets for anticancer drug development. </w:t>
      </w:r>
      <w:r w:rsidRPr="00DF417A">
        <w:rPr>
          <w:rFonts w:cs="SimSun"/>
          <w:i/>
          <w:iCs/>
          <w:color w:val="auto"/>
          <w:kern w:val="0"/>
          <w:szCs w:val="24"/>
          <w:lang w:eastAsia="zh-CN"/>
        </w:rPr>
        <w:t>Nat Rev Drug Discov</w:t>
      </w:r>
      <w:r w:rsidRPr="00DF417A">
        <w:rPr>
          <w:rFonts w:cs="SimSun"/>
          <w:color w:val="auto"/>
          <w:kern w:val="0"/>
          <w:szCs w:val="24"/>
          <w:lang w:eastAsia="zh-CN"/>
        </w:rPr>
        <w:t> 2013; </w:t>
      </w:r>
      <w:r w:rsidRPr="00DF417A">
        <w:rPr>
          <w:rFonts w:cs="SimSun"/>
          <w:b/>
          <w:bCs/>
          <w:color w:val="auto"/>
          <w:kern w:val="0"/>
          <w:szCs w:val="24"/>
          <w:lang w:eastAsia="zh-CN"/>
        </w:rPr>
        <w:t>12</w:t>
      </w:r>
      <w:r w:rsidRPr="00DF417A">
        <w:rPr>
          <w:rFonts w:cs="SimSun"/>
          <w:color w:val="auto"/>
          <w:kern w:val="0"/>
          <w:szCs w:val="24"/>
          <w:lang w:eastAsia="zh-CN"/>
        </w:rPr>
        <w:t>: 847-865 [PMID: 24172333</w:t>
      </w:r>
      <w:r w:rsidRPr="00DF417A">
        <w:rPr>
          <w:rFonts w:cs="SimSun" w:hint="eastAsia"/>
          <w:color w:val="auto"/>
          <w:kern w:val="0"/>
          <w:szCs w:val="24"/>
          <w:lang w:eastAsia="zh-CN"/>
        </w:rPr>
        <w:t xml:space="preserve"> </w:t>
      </w:r>
      <w:r w:rsidRPr="00DF417A">
        <w:rPr>
          <w:rFonts w:cs="SimSun"/>
          <w:color w:val="auto"/>
          <w:kern w:val="0"/>
          <w:szCs w:val="24"/>
          <w:lang w:eastAsia="zh-CN"/>
        </w:rPr>
        <w:t>DOI: 10.1038/nrd4140]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147 </w:t>
      </w:r>
      <w:r w:rsidRPr="00DF417A">
        <w:rPr>
          <w:rFonts w:cs="SimSun"/>
          <w:b/>
          <w:bCs/>
          <w:color w:val="auto"/>
          <w:kern w:val="0"/>
          <w:szCs w:val="24"/>
          <w:lang w:eastAsia="zh-CN"/>
        </w:rPr>
        <w:t>Xia L</w:t>
      </w:r>
      <w:r w:rsidRPr="00DF417A">
        <w:rPr>
          <w:rFonts w:cs="SimSun"/>
          <w:color w:val="auto"/>
          <w:kern w:val="0"/>
          <w:szCs w:val="24"/>
          <w:lang w:eastAsia="zh-CN"/>
        </w:rPr>
        <w:t>, Zhang D, Du R, Pan Y, Zhao L, Sun S, Hong L, Liu J, Fan D. miR-15b and miR-16 modulate multidrug resistance by targeting BCL2 in human gastric cancer cells. </w:t>
      </w:r>
      <w:r w:rsidRPr="00DF417A">
        <w:rPr>
          <w:rFonts w:cs="SimSun"/>
          <w:i/>
          <w:iCs/>
          <w:color w:val="auto"/>
          <w:kern w:val="0"/>
          <w:szCs w:val="24"/>
          <w:lang w:eastAsia="zh-CN"/>
        </w:rPr>
        <w:t>Int J Cancer</w:t>
      </w:r>
      <w:r w:rsidRPr="00DF417A">
        <w:rPr>
          <w:rFonts w:cs="SimSun"/>
          <w:color w:val="auto"/>
          <w:kern w:val="0"/>
          <w:szCs w:val="24"/>
          <w:lang w:eastAsia="zh-CN"/>
        </w:rPr>
        <w:t> 2008; </w:t>
      </w:r>
      <w:r w:rsidRPr="00DF417A">
        <w:rPr>
          <w:rFonts w:cs="SimSun"/>
          <w:b/>
          <w:bCs/>
          <w:color w:val="auto"/>
          <w:kern w:val="0"/>
          <w:szCs w:val="24"/>
          <w:lang w:eastAsia="zh-CN"/>
        </w:rPr>
        <w:t>123</w:t>
      </w:r>
      <w:r w:rsidRPr="00DF417A">
        <w:rPr>
          <w:rFonts w:cs="SimSun"/>
          <w:color w:val="auto"/>
          <w:kern w:val="0"/>
          <w:szCs w:val="24"/>
          <w:lang w:eastAsia="zh-CN"/>
        </w:rPr>
        <w:t>: 372-379 [PMID: 18449891 DOI: 10.1002/ijc.23501]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148 </w:t>
      </w:r>
      <w:r w:rsidRPr="00DF417A">
        <w:rPr>
          <w:rFonts w:cs="SimSun"/>
          <w:b/>
          <w:bCs/>
          <w:color w:val="auto"/>
          <w:kern w:val="0"/>
          <w:szCs w:val="24"/>
          <w:lang w:eastAsia="zh-CN"/>
        </w:rPr>
        <w:t>Hummel R</w:t>
      </w:r>
      <w:r w:rsidRPr="00DF417A">
        <w:rPr>
          <w:rFonts w:cs="SimSun"/>
          <w:color w:val="auto"/>
          <w:kern w:val="0"/>
          <w:szCs w:val="24"/>
          <w:lang w:eastAsia="zh-CN"/>
        </w:rPr>
        <w:t>, Hussey DJ, Haier J. MicroRNAs: predictors and modifiers of chemo- and radiotherapy in different tumour types. </w:t>
      </w:r>
      <w:r w:rsidRPr="00DF417A">
        <w:rPr>
          <w:rFonts w:cs="SimSun"/>
          <w:i/>
          <w:iCs/>
          <w:color w:val="auto"/>
          <w:kern w:val="0"/>
          <w:szCs w:val="24"/>
          <w:lang w:eastAsia="zh-CN"/>
        </w:rPr>
        <w:t>Eur J Cancer</w:t>
      </w:r>
      <w:r w:rsidRPr="00DF417A">
        <w:rPr>
          <w:rFonts w:cs="SimSun"/>
          <w:color w:val="auto"/>
          <w:kern w:val="0"/>
          <w:szCs w:val="24"/>
          <w:lang w:eastAsia="zh-CN"/>
        </w:rPr>
        <w:t> 2010; </w:t>
      </w:r>
      <w:r w:rsidRPr="00DF417A">
        <w:rPr>
          <w:rFonts w:cs="SimSun"/>
          <w:b/>
          <w:bCs/>
          <w:color w:val="auto"/>
          <w:kern w:val="0"/>
          <w:szCs w:val="24"/>
          <w:lang w:eastAsia="zh-CN"/>
        </w:rPr>
        <w:t>46</w:t>
      </w:r>
      <w:r w:rsidRPr="00DF417A">
        <w:rPr>
          <w:rFonts w:cs="SimSun"/>
          <w:color w:val="auto"/>
          <w:kern w:val="0"/>
          <w:szCs w:val="24"/>
          <w:lang w:eastAsia="zh-CN"/>
        </w:rPr>
        <w:t>: 298-311 [PMID: 19948396 DOI: 10.1016/j.ejca.2009.10.027]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149 </w:t>
      </w:r>
      <w:r w:rsidRPr="00DF417A">
        <w:rPr>
          <w:rFonts w:cs="SimSun"/>
          <w:b/>
          <w:bCs/>
          <w:color w:val="auto"/>
          <w:kern w:val="0"/>
          <w:szCs w:val="24"/>
          <w:lang w:eastAsia="zh-CN"/>
        </w:rPr>
        <w:t>Wu H</w:t>
      </w:r>
      <w:r w:rsidRPr="00DF417A">
        <w:rPr>
          <w:rFonts w:cs="SimSun"/>
          <w:color w:val="auto"/>
          <w:kern w:val="0"/>
          <w:szCs w:val="24"/>
          <w:lang w:eastAsia="zh-CN"/>
        </w:rPr>
        <w:t>, Huang M, Lu M, Zhu W, Shu Y, Cao P, Liu P. Regulation of microtubule-associated protein tau (MAPT) by miR-34c-5p determines the chemosensitivity of gastric cancer to paclitaxel. </w:t>
      </w:r>
      <w:r w:rsidRPr="00DF417A">
        <w:rPr>
          <w:rFonts w:cs="SimSun"/>
          <w:i/>
          <w:iCs/>
          <w:color w:val="auto"/>
          <w:kern w:val="0"/>
          <w:szCs w:val="24"/>
          <w:lang w:eastAsia="zh-CN"/>
        </w:rPr>
        <w:t>Cancer Chemother Pharmacol</w:t>
      </w:r>
      <w:r w:rsidRPr="00DF417A">
        <w:rPr>
          <w:rFonts w:cs="SimSun" w:hint="eastAsia"/>
          <w:color w:val="auto"/>
          <w:kern w:val="0"/>
          <w:szCs w:val="24"/>
          <w:lang w:eastAsia="zh-CN"/>
        </w:rPr>
        <w:t xml:space="preserve"> </w:t>
      </w:r>
      <w:r w:rsidRPr="00DF417A">
        <w:rPr>
          <w:rFonts w:cs="SimSun"/>
          <w:color w:val="auto"/>
          <w:kern w:val="0"/>
          <w:szCs w:val="24"/>
          <w:lang w:eastAsia="zh-CN"/>
        </w:rPr>
        <w:t>2013;</w:t>
      </w:r>
      <w:r w:rsidRPr="00DF417A">
        <w:rPr>
          <w:rFonts w:cs="SimSun" w:hint="eastAsia"/>
          <w:color w:val="auto"/>
          <w:kern w:val="0"/>
          <w:szCs w:val="24"/>
          <w:lang w:eastAsia="zh-CN"/>
        </w:rPr>
        <w:t xml:space="preserve"> </w:t>
      </w:r>
      <w:r w:rsidRPr="00DF417A">
        <w:rPr>
          <w:rFonts w:cs="SimSun"/>
          <w:b/>
          <w:bCs/>
          <w:color w:val="auto"/>
          <w:kern w:val="0"/>
          <w:szCs w:val="24"/>
          <w:lang w:eastAsia="zh-CN"/>
        </w:rPr>
        <w:t>71</w:t>
      </w:r>
      <w:r w:rsidRPr="00DF417A">
        <w:rPr>
          <w:rFonts w:cs="SimSun"/>
          <w:color w:val="auto"/>
          <w:kern w:val="0"/>
          <w:szCs w:val="24"/>
          <w:lang w:eastAsia="zh-CN"/>
        </w:rPr>
        <w:t>: 1159-1171 [PMID: 23423488 DOI: 10.1007/s00280-013-2108-y]</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 xml:space="preserve">150 </w:t>
      </w:r>
      <w:r w:rsidRPr="00DF417A">
        <w:rPr>
          <w:rFonts w:cs="SimSun"/>
          <w:b/>
          <w:color w:val="auto"/>
          <w:kern w:val="0"/>
          <w:szCs w:val="24"/>
          <w:lang w:eastAsia="zh-CN"/>
        </w:rPr>
        <w:t>Bass AJ</w:t>
      </w:r>
      <w:r w:rsidRPr="00DF417A">
        <w:rPr>
          <w:rFonts w:cs="SimSun"/>
          <w:color w:val="auto"/>
          <w:kern w:val="0"/>
          <w:szCs w:val="24"/>
          <w:lang w:eastAsia="zh-CN"/>
        </w:rPr>
        <w:t xml:space="preserve">, Thorsson V, Shmulevich I, Reynolds SM, Miller M, Bernard B, Hinoue T, Laird PW, Curtis C, Shen H, Weisenberger DJ, Schultz N, Shen R, Weinhold N, </w:t>
      </w:r>
      <w:r w:rsidRPr="00DF417A">
        <w:rPr>
          <w:rFonts w:cs="SimSun"/>
          <w:color w:val="auto"/>
          <w:kern w:val="0"/>
          <w:szCs w:val="24"/>
          <w:lang w:eastAsia="zh-CN"/>
        </w:rPr>
        <w:lastRenderedPageBreak/>
        <w:t xml:space="preserve">Kelsen DP, Bowlby R, Chu A, Kasaian K, Mungall AJ, Gordon Robertson A, Sipahimalani P, Cherniack A, Getz G, Liu Y, Noble MS, Pedamallu C, Sougnez C, Taylor-Weiner A, Akbani R, Lee JS, Liu W, Mills GB, Yang D, Zhang W, Pantazi A, Parfenov M, Gulley M, Blanca Piazuelo M, Schneider BG, Kim J, Boussioutas A, Sheth M, Demchok JA, Rabkin CS, Willis JE, Ng S, Garman K, Beer DG, Pennathur A, Raphael BJ, Wu HT, Odze R, Kim HK, Bowen J, Leraas KM, Lichtenberg TM, Weaver S, McLean MH, Wiznerowicz M, Sakai R, Lawrence MS, Cibulskis K, Lichtenstein L, Fisher S, Gabriel SB, Lander ES, Ding L, Niu B, Ally A, Balasundaram M, Birol I, Brooks D, Butterfield YS, Carlsen R, Chu J, Chuah E, Chun HJ, Clarke A, Dhalla N, Guin R, Holt RA, Jones SJ, Lee D, Li HA, Lim E, Ma Y, Marra MA, Mayo M, Moore RA, Mungall AJ, Mungall KL, Ming Nip K, Robertson AG, Schein JE, Sipahimalani P, Tam A, Thiessen N, Beroukhim R, Carter SL, Cherniack AD, Cho J, DiCara D, Frazer S, Fisher S, Gabriel SB, Gehlenborg N, Heiman DI, Jung J, Kim J, Lander ES, Lawrence MS, Lichtenstein L, Lin P, Meyerson M, Ojesina AI, Sekhar Pedamallu C, Saksena G, Schumacher SE, Sougnes C, Stojanov P, Tabak B, Taylor-Weiner A, Voet D, Rosenberg M, Zack TI, Zhang H, Zou L, Protopopov A, Santoso N, Parfenov M, Lee S, Zhang J, Mahadeshwar HS, Tang J, Ren X, Seth S, Yang L, Xu AW, Song X, Pantazi A, Xi R, Bristow CA, Hadjipanayis A, Seidman J, Chin L, Park PJ, Kucherlapati R, Akbani R, Ling S, Liu W, Rao A, Weinstein JN, Kim SB, Lee JS, Lu Y, Mills G, Laird PW, Hinoue T, Weisenberger DJ, Bootwalla MS, Lai PH, Shen H, Triche Jr T, Van Den Berg DJ, Baylin SB, Herman JG, Getz G, Chin L, Liu Y, Murray BA, Noble MS, Askoy BA, Ciriello G, Dresdner G, Gao J, Gross B, Jacobsen A, Lee W, Ramirez R, Sander C, Schultz N, Senbabaoglu Y, Sinha R, Sumer SO, Sun Y, Weinhold N, Thorsson V, Bernard B, Iype L, Kramer RW, Kreisberg R, Miller M, Reynolds SM, Rovira H, Tasman N, Shmulevich I, Ng S, Haussler D, Stuart JM, Akbani R, Ling S, Liu W, Rao A, Weinstein JN, Verhaak RG, Mills GB, Leiserson MD, Raphael BJ, Wu HT, Taylor BS, Black AD, Bowen J, Carney JA, Gastier-Foster JM, Helsel C, Leraas KM, Lichtenberg TM, McAllister C, Ramirez NC, Tabler TR, Wise L, Zmuda E, Penny R, Crain D, Gardner J, Lau K, Curely E, Mallery D, Morris S, Paulauskis J, Shelton T, Shelton C, Sherman M, Benz C, Lee JH, Fedosenko K, Manikhas G, Potapova O, Voronina O, Belyaev D, Dolzhansky O, Rathmell WK, </w:t>
      </w:r>
      <w:r w:rsidRPr="00DF417A">
        <w:rPr>
          <w:rFonts w:cs="SimSun"/>
          <w:color w:val="auto"/>
          <w:kern w:val="0"/>
          <w:szCs w:val="24"/>
          <w:lang w:eastAsia="zh-CN"/>
        </w:rPr>
        <w:lastRenderedPageBreak/>
        <w:t xml:space="preserve">Brzezinski J, Ibbs M, Korski K, Kycler W, Łaźniak R, Leporowska E, Mackiewicz A, Murawa P, Murawa P, Spychała A, Suchorska WM, Tatka H, Teresiak M, Wiznerowicz M, Abdel-Misih R, Bennett J, Brown J, Iacocca M, Rabeno B, Kwon SY, Kemkes A, Mallery D, Morris S, Shelton T, Shelton C, Curley E, Alexopoulou I, Engel J, Bartlett J, Albert M, Park DY, Dhir R, Luketich J, Landreneau R, Janjigian YY, Kelsen DP, Cho E, Ladanyi M, Tang L, McCall SJ, Park YS, Cheong JH, Ajani J, Camargo MC, Alonso S, Ayala B, Jensen MA, Pihl T, Raman R, Walton J, Wan Y, Demchok JA, Eley G, Mills Shaw KR, Sheth M, Tarnuzzer R, Wang Z, Yang L, Zenklusen JC, , Davidsen T, Hutter CM, Sofia HJ, Burton R, Chudamani S, Liu J. Comprehensive molecular characterization of gastric adenocarcinoma. </w:t>
      </w:r>
      <w:r w:rsidRPr="00DF417A">
        <w:rPr>
          <w:rFonts w:cs="SimSun"/>
          <w:i/>
          <w:iCs/>
          <w:color w:val="auto"/>
          <w:kern w:val="0"/>
          <w:szCs w:val="24"/>
          <w:lang w:eastAsia="zh-CN"/>
        </w:rPr>
        <w:t>Nature</w:t>
      </w:r>
      <w:r w:rsidRPr="00DF417A">
        <w:rPr>
          <w:rFonts w:cs="SimSun"/>
          <w:color w:val="auto"/>
          <w:kern w:val="0"/>
          <w:szCs w:val="24"/>
          <w:lang w:eastAsia="zh-CN"/>
        </w:rPr>
        <w:t xml:space="preserve"> 2014; </w:t>
      </w:r>
      <w:r w:rsidRPr="00DF417A">
        <w:rPr>
          <w:rFonts w:cs="SimSun"/>
          <w:b/>
          <w:bCs/>
          <w:color w:val="auto"/>
          <w:kern w:val="0"/>
          <w:szCs w:val="24"/>
          <w:lang w:eastAsia="zh-CN"/>
        </w:rPr>
        <w:t>513</w:t>
      </w:r>
      <w:r w:rsidRPr="00DF417A">
        <w:rPr>
          <w:rFonts w:cs="SimSun"/>
          <w:color w:val="auto"/>
          <w:kern w:val="0"/>
          <w:szCs w:val="24"/>
          <w:lang w:eastAsia="zh-CN"/>
        </w:rPr>
        <w:t>: 202–209 [PMID: 25079317 DOI: 10.1038/nature13480]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151 </w:t>
      </w:r>
      <w:r w:rsidRPr="00DF417A">
        <w:rPr>
          <w:rFonts w:cs="SimSun"/>
          <w:b/>
          <w:bCs/>
          <w:color w:val="auto"/>
          <w:kern w:val="0"/>
          <w:szCs w:val="24"/>
          <w:lang w:eastAsia="zh-CN"/>
        </w:rPr>
        <w:t>Zang ZJ</w:t>
      </w:r>
      <w:r w:rsidRPr="00DF417A">
        <w:rPr>
          <w:rFonts w:cs="SimSun"/>
          <w:color w:val="auto"/>
          <w:kern w:val="0"/>
          <w:szCs w:val="24"/>
          <w:lang w:eastAsia="zh-CN"/>
        </w:rPr>
        <w:t>, Cutcutache I, Poon SL, Zhang SL, McPherson JR, Tao J, Rajasegaran V, Heng HL, Deng N, Gan A, Lim KH, Ong CK, Huang D, Chin SY, Tan IB, Ng CC, Yu W, Wu Y, Lee M, Wu J, Poh D, Wan WK, Rha SY, So J, Salto-Tellez M, Yeoh KG, Wong WK, Zhu YJ, Futreal PA, Pang B, Ruan Y, Hillmer AM, Bertrand D, Nagarajan N, Rozen S, Teh BT, Tan P. Exome sequencing of gastric adenocarcinoma identifies recurrent somatic mutations in cell adhesion and chromatin remodeling genes. </w:t>
      </w:r>
      <w:r w:rsidRPr="00DF417A">
        <w:rPr>
          <w:rFonts w:cs="SimSun"/>
          <w:i/>
          <w:iCs/>
          <w:color w:val="auto"/>
          <w:kern w:val="0"/>
          <w:szCs w:val="24"/>
          <w:lang w:eastAsia="zh-CN"/>
        </w:rPr>
        <w:t>Nat Genet</w:t>
      </w:r>
      <w:r w:rsidRPr="00DF417A">
        <w:rPr>
          <w:rFonts w:cs="SimSun"/>
          <w:color w:val="auto"/>
          <w:kern w:val="0"/>
          <w:szCs w:val="24"/>
          <w:lang w:eastAsia="zh-CN"/>
        </w:rPr>
        <w:t> 2012; </w:t>
      </w:r>
      <w:r w:rsidRPr="00DF417A">
        <w:rPr>
          <w:rFonts w:cs="SimSun"/>
          <w:b/>
          <w:bCs/>
          <w:color w:val="auto"/>
          <w:kern w:val="0"/>
          <w:szCs w:val="24"/>
          <w:lang w:eastAsia="zh-CN"/>
        </w:rPr>
        <w:t>44</w:t>
      </w:r>
      <w:r w:rsidRPr="00DF417A">
        <w:rPr>
          <w:rFonts w:cs="SimSun"/>
          <w:color w:val="auto"/>
          <w:kern w:val="0"/>
          <w:szCs w:val="24"/>
          <w:lang w:eastAsia="zh-CN"/>
        </w:rPr>
        <w:t>: 570-574 [PMID: 22484628 DOI: 10.1038/ng.2246]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152 </w:t>
      </w:r>
      <w:r w:rsidRPr="00DF417A">
        <w:rPr>
          <w:rFonts w:cs="SimSun"/>
          <w:b/>
          <w:bCs/>
          <w:color w:val="auto"/>
          <w:kern w:val="0"/>
          <w:szCs w:val="24"/>
          <w:lang w:eastAsia="zh-CN"/>
        </w:rPr>
        <w:t>Wang K</w:t>
      </w:r>
      <w:r w:rsidRPr="00DF417A">
        <w:rPr>
          <w:rFonts w:cs="SimSun"/>
          <w:color w:val="auto"/>
          <w:kern w:val="0"/>
          <w:szCs w:val="24"/>
          <w:lang w:eastAsia="zh-CN"/>
        </w:rPr>
        <w:t>, Kan J, Yuen ST, Shi ST, Chu KM, Law S, Chan TL, Kan Z, Chan AS, Tsui WY, Lee SP, Ho SL, Chan AK, Cheng GH, Roberts PC, Rejto PA, Gibson NW, Pocalyko DJ, Mao M, Xu J, Leung SY. Exome sequencing identifies frequent mutation of ARID1A in molecular subtypes of gastric cancer. </w:t>
      </w:r>
      <w:r w:rsidRPr="00DF417A">
        <w:rPr>
          <w:rFonts w:cs="SimSun"/>
          <w:i/>
          <w:iCs/>
          <w:color w:val="auto"/>
          <w:kern w:val="0"/>
          <w:szCs w:val="24"/>
          <w:lang w:eastAsia="zh-CN"/>
        </w:rPr>
        <w:t>Nat Genet</w:t>
      </w:r>
      <w:r w:rsidRPr="00DF417A">
        <w:rPr>
          <w:rFonts w:cs="SimSun"/>
          <w:color w:val="auto"/>
          <w:kern w:val="0"/>
          <w:szCs w:val="24"/>
          <w:lang w:eastAsia="zh-CN"/>
        </w:rPr>
        <w:t> 2011; </w:t>
      </w:r>
      <w:r w:rsidRPr="00DF417A">
        <w:rPr>
          <w:rFonts w:cs="SimSun"/>
          <w:b/>
          <w:bCs/>
          <w:color w:val="auto"/>
          <w:kern w:val="0"/>
          <w:szCs w:val="24"/>
          <w:lang w:eastAsia="zh-CN"/>
        </w:rPr>
        <w:t>43</w:t>
      </w:r>
      <w:r w:rsidRPr="00DF417A">
        <w:rPr>
          <w:rFonts w:cs="SimSun"/>
          <w:color w:val="auto"/>
          <w:kern w:val="0"/>
          <w:szCs w:val="24"/>
          <w:lang w:eastAsia="zh-CN"/>
        </w:rPr>
        <w:t>: 1219-1223 [PMID: 22037554 DOI: 10.1038/ng.982]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153 </w:t>
      </w:r>
      <w:r w:rsidRPr="00DF417A">
        <w:rPr>
          <w:rFonts w:cs="SimSun"/>
          <w:b/>
          <w:bCs/>
          <w:color w:val="auto"/>
          <w:kern w:val="0"/>
          <w:szCs w:val="24"/>
          <w:lang w:eastAsia="zh-CN"/>
        </w:rPr>
        <w:t>Kakiuchi M</w:t>
      </w:r>
      <w:r w:rsidRPr="00DF417A">
        <w:rPr>
          <w:rFonts w:cs="SimSun"/>
          <w:color w:val="auto"/>
          <w:kern w:val="0"/>
          <w:szCs w:val="24"/>
          <w:lang w:eastAsia="zh-CN"/>
        </w:rPr>
        <w:t>, Nishizawa T, Ueda H, Gotoh K, Tanaka A, Hayashi A, Yamamoto S, Tatsuno K, Katoh H, Watanabe Y, Ichimura T, Ushiku T, Funahashi S, Tateishi K, Wada I, Shimizu N, Nomura S, Koike K, Seto Y, Fukayama M, Aburatani H, Ishikawa S. Recurrent gain-of-function mutations of RHOA in diffuse-type gastric carcinoma. </w:t>
      </w:r>
      <w:r w:rsidRPr="00DF417A">
        <w:rPr>
          <w:rFonts w:cs="SimSun"/>
          <w:i/>
          <w:iCs/>
          <w:color w:val="auto"/>
          <w:kern w:val="0"/>
          <w:szCs w:val="24"/>
          <w:lang w:eastAsia="zh-CN"/>
        </w:rPr>
        <w:t>Nat Genet</w:t>
      </w:r>
      <w:r w:rsidRPr="00DF417A">
        <w:rPr>
          <w:rFonts w:cs="SimSun"/>
          <w:color w:val="auto"/>
          <w:kern w:val="0"/>
          <w:szCs w:val="24"/>
          <w:lang w:eastAsia="zh-CN"/>
        </w:rPr>
        <w:t> 2014; </w:t>
      </w:r>
      <w:r w:rsidRPr="00DF417A">
        <w:rPr>
          <w:rFonts w:cs="SimSun"/>
          <w:b/>
          <w:bCs/>
          <w:color w:val="auto"/>
          <w:kern w:val="0"/>
          <w:szCs w:val="24"/>
          <w:lang w:eastAsia="zh-CN"/>
        </w:rPr>
        <w:t>46</w:t>
      </w:r>
      <w:r w:rsidRPr="00DF417A">
        <w:rPr>
          <w:rFonts w:cs="SimSun"/>
          <w:color w:val="auto"/>
          <w:kern w:val="0"/>
          <w:szCs w:val="24"/>
          <w:lang w:eastAsia="zh-CN"/>
        </w:rPr>
        <w:t>: 583-587 [PMID: 24816255 DOI: 10.1038/ng.2984]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154 </w:t>
      </w:r>
      <w:r w:rsidRPr="00DF417A">
        <w:rPr>
          <w:rFonts w:cs="SimSun"/>
          <w:b/>
          <w:bCs/>
          <w:color w:val="auto"/>
          <w:kern w:val="0"/>
          <w:szCs w:val="24"/>
          <w:lang w:eastAsia="zh-CN"/>
        </w:rPr>
        <w:t>Murphy G</w:t>
      </w:r>
      <w:r w:rsidRPr="00DF417A">
        <w:rPr>
          <w:rFonts w:cs="SimSun"/>
          <w:color w:val="auto"/>
          <w:kern w:val="0"/>
          <w:szCs w:val="24"/>
          <w:lang w:eastAsia="zh-CN"/>
        </w:rPr>
        <w:t xml:space="preserve">, Pfeiffer R, Camargo MC, Rabkin CS. Meta-analysis shows that prevalence of Epstein-Barr virus-positive gastric cancer differs based on sex and </w:t>
      </w:r>
      <w:r w:rsidRPr="00DF417A">
        <w:rPr>
          <w:rFonts w:cs="SimSun"/>
          <w:color w:val="auto"/>
          <w:kern w:val="0"/>
          <w:szCs w:val="24"/>
          <w:lang w:eastAsia="zh-CN"/>
        </w:rPr>
        <w:lastRenderedPageBreak/>
        <w:t>anatomic location. </w:t>
      </w:r>
      <w:r w:rsidRPr="00DF417A">
        <w:rPr>
          <w:rFonts w:cs="SimSun"/>
          <w:i/>
          <w:iCs/>
          <w:color w:val="auto"/>
          <w:kern w:val="0"/>
          <w:szCs w:val="24"/>
          <w:lang w:eastAsia="zh-CN"/>
        </w:rPr>
        <w:t>Gastroenterology</w:t>
      </w:r>
      <w:r w:rsidRPr="00DF417A">
        <w:rPr>
          <w:rFonts w:cs="SimSun"/>
          <w:color w:val="auto"/>
          <w:kern w:val="0"/>
          <w:szCs w:val="24"/>
          <w:lang w:eastAsia="zh-CN"/>
        </w:rPr>
        <w:t> 2009; </w:t>
      </w:r>
      <w:r w:rsidRPr="00DF417A">
        <w:rPr>
          <w:rFonts w:cs="SimSun"/>
          <w:b/>
          <w:bCs/>
          <w:color w:val="auto"/>
          <w:kern w:val="0"/>
          <w:szCs w:val="24"/>
          <w:lang w:eastAsia="zh-CN"/>
        </w:rPr>
        <w:t>137</w:t>
      </w:r>
      <w:r w:rsidRPr="00DF417A">
        <w:rPr>
          <w:rFonts w:cs="SimSun"/>
          <w:color w:val="auto"/>
          <w:kern w:val="0"/>
          <w:szCs w:val="24"/>
          <w:lang w:eastAsia="zh-CN"/>
        </w:rPr>
        <w:t>: 824-833 [PMID: 19445939 DOI: 10.1053/j.gastro.2009.05.001]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155 </w:t>
      </w:r>
      <w:r w:rsidRPr="00DF417A">
        <w:rPr>
          <w:rFonts w:cs="SimSun"/>
          <w:b/>
          <w:bCs/>
          <w:color w:val="auto"/>
          <w:kern w:val="0"/>
          <w:szCs w:val="24"/>
          <w:lang w:eastAsia="zh-CN"/>
        </w:rPr>
        <w:t>Matsusaka K</w:t>
      </w:r>
      <w:r w:rsidRPr="00DF417A">
        <w:rPr>
          <w:rFonts w:cs="SimSun"/>
          <w:color w:val="auto"/>
          <w:kern w:val="0"/>
          <w:szCs w:val="24"/>
          <w:lang w:eastAsia="zh-CN"/>
        </w:rPr>
        <w:t>, Kaneda A, Nagae G, Ushiku T, Kikuchi Y, Hino R, Uozaki H, Seto Y, Takada K, Aburatani H, Fukayama M. Classification of Epstein-Barr virus-positive gastric cancers by definition of DNA methylation epigenotypes. </w:t>
      </w:r>
      <w:r w:rsidRPr="00DF417A">
        <w:rPr>
          <w:rFonts w:cs="SimSun"/>
          <w:i/>
          <w:iCs/>
          <w:color w:val="auto"/>
          <w:kern w:val="0"/>
          <w:szCs w:val="24"/>
          <w:lang w:eastAsia="zh-CN"/>
        </w:rPr>
        <w:t>Cancer Res</w:t>
      </w:r>
      <w:r w:rsidRPr="00DF417A">
        <w:rPr>
          <w:rFonts w:cs="SimSun"/>
          <w:color w:val="auto"/>
          <w:kern w:val="0"/>
          <w:szCs w:val="24"/>
          <w:lang w:eastAsia="zh-CN"/>
        </w:rPr>
        <w:t> 2011; </w:t>
      </w:r>
      <w:r w:rsidRPr="00DF417A">
        <w:rPr>
          <w:rFonts w:cs="SimSun"/>
          <w:b/>
          <w:bCs/>
          <w:color w:val="auto"/>
          <w:kern w:val="0"/>
          <w:szCs w:val="24"/>
          <w:lang w:eastAsia="zh-CN"/>
        </w:rPr>
        <w:t>71</w:t>
      </w:r>
      <w:r w:rsidRPr="00DF417A">
        <w:rPr>
          <w:rFonts w:cs="SimSun"/>
          <w:color w:val="auto"/>
          <w:kern w:val="0"/>
          <w:szCs w:val="24"/>
          <w:lang w:eastAsia="zh-CN"/>
        </w:rPr>
        <w:t>: 7187-7197 [PMID: 21990320 DOI: 10.1158/0008-5472.CAN-11-1349]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156 </w:t>
      </w:r>
      <w:r w:rsidRPr="00DF417A">
        <w:rPr>
          <w:rFonts w:cs="SimSun"/>
          <w:b/>
          <w:bCs/>
          <w:color w:val="auto"/>
          <w:kern w:val="0"/>
          <w:szCs w:val="24"/>
          <w:lang w:eastAsia="zh-CN"/>
        </w:rPr>
        <w:t>Toyota M</w:t>
      </w:r>
      <w:r w:rsidRPr="00DF417A">
        <w:rPr>
          <w:rFonts w:cs="SimSun"/>
          <w:color w:val="auto"/>
          <w:kern w:val="0"/>
          <w:szCs w:val="24"/>
          <w:lang w:eastAsia="zh-CN"/>
        </w:rPr>
        <w:t>, Ahuja N, Suzuki H, Itoh F, Ohe-Toyota M, Imai K, Baylin SB, Issa JP. Aberrant methylation in gastric cancer associated with the CpG island methylator phenotype. </w:t>
      </w:r>
      <w:r w:rsidRPr="00DF417A">
        <w:rPr>
          <w:rFonts w:cs="SimSun"/>
          <w:i/>
          <w:iCs/>
          <w:color w:val="auto"/>
          <w:kern w:val="0"/>
          <w:szCs w:val="24"/>
          <w:lang w:eastAsia="zh-CN"/>
        </w:rPr>
        <w:t>Cancer Res</w:t>
      </w:r>
      <w:r w:rsidRPr="00DF417A">
        <w:rPr>
          <w:rFonts w:cs="SimSun"/>
          <w:color w:val="auto"/>
          <w:kern w:val="0"/>
          <w:szCs w:val="24"/>
          <w:lang w:eastAsia="zh-CN"/>
        </w:rPr>
        <w:t> 1999; </w:t>
      </w:r>
      <w:r w:rsidRPr="00DF417A">
        <w:rPr>
          <w:rFonts w:cs="SimSun"/>
          <w:b/>
          <w:bCs/>
          <w:color w:val="auto"/>
          <w:kern w:val="0"/>
          <w:szCs w:val="24"/>
          <w:lang w:eastAsia="zh-CN"/>
        </w:rPr>
        <w:t>59</w:t>
      </w:r>
      <w:r w:rsidRPr="00DF417A">
        <w:rPr>
          <w:rFonts w:cs="SimSun"/>
          <w:color w:val="auto"/>
          <w:kern w:val="0"/>
          <w:szCs w:val="24"/>
          <w:lang w:eastAsia="zh-CN"/>
        </w:rPr>
        <w:t>: 5438-5442 [PMID: 10554013]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157 </w:t>
      </w:r>
      <w:r w:rsidRPr="00DF417A">
        <w:rPr>
          <w:rFonts w:cs="SimSun"/>
          <w:b/>
          <w:bCs/>
          <w:color w:val="auto"/>
          <w:kern w:val="0"/>
          <w:szCs w:val="24"/>
          <w:lang w:eastAsia="zh-CN"/>
        </w:rPr>
        <w:t>Geddert H</w:t>
      </w:r>
      <w:r w:rsidRPr="00DF417A">
        <w:rPr>
          <w:rFonts w:cs="SimSun"/>
          <w:color w:val="auto"/>
          <w:kern w:val="0"/>
          <w:szCs w:val="24"/>
          <w:lang w:eastAsia="zh-CN"/>
        </w:rPr>
        <w:t>, Zur Hausen A, Gabbert HE, Sarbia M. EBV-infection in cardiac and non-cardiac gastric adenocarcinomas is associated with promoter methylation of p16, p14 and APC, but not hMLH1. </w:t>
      </w:r>
      <w:r w:rsidRPr="00DF417A">
        <w:rPr>
          <w:rFonts w:cs="SimSun"/>
          <w:i/>
          <w:iCs/>
          <w:color w:val="auto"/>
          <w:kern w:val="0"/>
          <w:szCs w:val="24"/>
          <w:lang w:eastAsia="zh-CN"/>
        </w:rPr>
        <w:t>Anal Cell Pathol (Amst)</w:t>
      </w:r>
      <w:r w:rsidRPr="00DF417A">
        <w:rPr>
          <w:rFonts w:cs="SimSun"/>
          <w:color w:val="auto"/>
          <w:kern w:val="0"/>
          <w:szCs w:val="24"/>
          <w:lang w:eastAsia="zh-CN"/>
        </w:rPr>
        <w:t> 2010; </w:t>
      </w:r>
      <w:r w:rsidRPr="00DF417A">
        <w:rPr>
          <w:rFonts w:cs="SimSun"/>
          <w:b/>
          <w:bCs/>
          <w:color w:val="auto"/>
          <w:kern w:val="0"/>
          <w:szCs w:val="24"/>
          <w:lang w:eastAsia="zh-CN"/>
        </w:rPr>
        <w:t>33</w:t>
      </w:r>
      <w:r w:rsidRPr="00DF417A">
        <w:rPr>
          <w:rFonts w:cs="SimSun"/>
          <w:color w:val="auto"/>
          <w:kern w:val="0"/>
          <w:szCs w:val="24"/>
          <w:lang w:eastAsia="zh-CN"/>
        </w:rPr>
        <w:t>: 143-149 [PMID: 20978327 DOI: 10.1007/s13402-011-0028-6]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158 </w:t>
      </w:r>
      <w:r w:rsidRPr="00DF417A">
        <w:rPr>
          <w:rFonts w:cs="SimSun"/>
          <w:b/>
          <w:bCs/>
          <w:color w:val="auto"/>
          <w:kern w:val="0"/>
          <w:szCs w:val="24"/>
          <w:lang w:eastAsia="zh-CN"/>
        </w:rPr>
        <w:t>Lee J</w:t>
      </w:r>
      <w:r w:rsidRPr="00DF417A">
        <w:rPr>
          <w:rFonts w:cs="SimSun"/>
          <w:color w:val="auto"/>
          <w:kern w:val="0"/>
          <w:szCs w:val="24"/>
          <w:lang w:eastAsia="zh-CN"/>
        </w:rPr>
        <w:t>, van Hummelen P, Go C, Palescandolo E, Jang J, Park HY, Kang SY, Park JO, Kang WK, MacConaill L, Kim KM. High-throughput mutation profiling identifies frequent somatic mutations in advanced gastric adenocarcinoma. </w:t>
      </w:r>
      <w:r w:rsidRPr="00DF417A">
        <w:rPr>
          <w:rFonts w:cs="SimSun"/>
          <w:i/>
          <w:iCs/>
          <w:color w:val="auto"/>
          <w:kern w:val="0"/>
          <w:szCs w:val="24"/>
          <w:lang w:eastAsia="zh-CN"/>
        </w:rPr>
        <w:t>PLoS One</w:t>
      </w:r>
      <w:r w:rsidRPr="00DF417A">
        <w:rPr>
          <w:rFonts w:cs="SimSun"/>
          <w:color w:val="auto"/>
          <w:kern w:val="0"/>
          <w:szCs w:val="24"/>
          <w:lang w:eastAsia="zh-CN"/>
        </w:rPr>
        <w:t> 2012; </w:t>
      </w:r>
      <w:r w:rsidRPr="00DF417A">
        <w:rPr>
          <w:rFonts w:cs="SimSun"/>
          <w:b/>
          <w:bCs/>
          <w:color w:val="auto"/>
          <w:kern w:val="0"/>
          <w:szCs w:val="24"/>
          <w:lang w:eastAsia="zh-CN"/>
        </w:rPr>
        <w:t>7</w:t>
      </w:r>
      <w:r w:rsidRPr="00DF417A">
        <w:rPr>
          <w:rFonts w:cs="SimSun"/>
          <w:color w:val="auto"/>
          <w:kern w:val="0"/>
          <w:szCs w:val="24"/>
          <w:lang w:eastAsia="zh-CN"/>
        </w:rPr>
        <w:t>: e38892 [PMID: 22723903 DOI: 10.1371/journal.pone.0038892]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159 </w:t>
      </w:r>
      <w:r w:rsidRPr="00DF417A">
        <w:rPr>
          <w:rFonts w:cs="SimSun"/>
          <w:b/>
          <w:bCs/>
          <w:color w:val="auto"/>
          <w:kern w:val="0"/>
          <w:szCs w:val="24"/>
          <w:lang w:eastAsia="zh-CN"/>
        </w:rPr>
        <w:t>Sukawa Y</w:t>
      </w:r>
      <w:r w:rsidRPr="00DF417A">
        <w:rPr>
          <w:rFonts w:cs="SimSun"/>
          <w:color w:val="auto"/>
          <w:kern w:val="0"/>
          <w:szCs w:val="24"/>
          <w:lang w:eastAsia="zh-CN"/>
        </w:rPr>
        <w:t>, Yamamoto H, Nosho K, Kunimoto H, Suzuki H, Adachi Y, Nakazawa M, Nobuoka T, Kawayama M, Mikami M, Matsuno T, Hasegawa T, Hirata K, Imai K, Shinomura Y. Alterations in the human epidermal growth factor receptor 2-phosphatidylinositol 3-kinase-v-Akt pathway in gastric cancer. </w:t>
      </w:r>
      <w:r w:rsidRPr="00DF417A">
        <w:rPr>
          <w:rFonts w:cs="SimSun"/>
          <w:i/>
          <w:iCs/>
          <w:color w:val="auto"/>
          <w:kern w:val="0"/>
          <w:szCs w:val="24"/>
          <w:lang w:eastAsia="zh-CN"/>
        </w:rPr>
        <w:t>World J Gastroenterol</w:t>
      </w:r>
      <w:r w:rsidRPr="00DF417A">
        <w:rPr>
          <w:rFonts w:cs="SimSun"/>
          <w:color w:val="auto"/>
          <w:kern w:val="0"/>
          <w:szCs w:val="24"/>
          <w:lang w:eastAsia="zh-CN"/>
        </w:rPr>
        <w:t> 2012; </w:t>
      </w:r>
      <w:r w:rsidRPr="00DF417A">
        <w:rPr>
          <w:rFonts w:cs="SimSun"/>
          <w:b/>
          <w:bCs/>
          <w:color w:val="auto"/>
          <w:kern w:val="0"/>
          <w:szCs w:val="24"/>
          <w:lang w:eastAsia="zh-CN"/>
        </w:rPr>
        <w:t>18</w:t>
      </w:r>
      <w:r w:rsidRPr="00DF417A">
        <w:rPr>
          <w:rFonts w:cs="SimSun"/>
          <w:color w:val="auto"/>
          <w:kern w:val="0"/>
          <w:szCs w:val="24"/>
          <w:lang w:eastAsia="zh-CN"/>
        </w:rPr>
        <w:t>: 6577-6586 [PMID: 23236232 DOI: 10.3748/wjg.v18.i45.6577]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 xml:space="preserve">160 </w:t>
      </w:r>
      <w:r w:rsidRPr="00DF417A">
        <w:rPr>
          <w:rFonts w:cs="SimSun"/>
          <w:b/>
          <w:color w:val="auto"/>
          <w:kern w:val="0"/>
          <w:szCs w:val="24"/>
          <w:lang w:eastAsia="zh-CN"/>
        </w:rPr>
        <w:t>International Agency for Research on Cancer</w:t>
      </w:r>
      <w:r w:rsidRPr="00DF417A">
        <w:rPr>
          <w:rFonts w:cs="SimSun"/>
          <w:color w:val="auto"/>
          <w:kern w:val="0"/>
          <w:szCs w:val="24"/>
          <w:lang w:eastAsia="zh-CN"/>
        </w:rPr>
        <w:t>. Infection with Helicobacter pylori.</w:t>
      </w:r>
      <w:r w:rsidRPr="00DF417A">
        <w:rPr>
          <w:rFonts w:cs="SimSun" w:hint="eastAsia"/>
          <w:color w:val="auto"/>
          <w:kern w:val="0"/>
          <w:szCs w:val="24"/>
          <w:lang w:eastAsia="zh-CN"/>
        </w:rPr>
        <w:t xml:space="preserve"> </w:t>
      </w:r>
      <w:hyperlink r:id="rId9" w:tooltip="IARC monographs on the evaluation of carcinogenic risks to humans / World Health Organization, International Agency for Research on Cancer." w:history="1">
        <w:r w:rsidRPr="00DF417A">
          <w:rPr>
            <w:rFonts w:cs="SimSun"/>
            <w:i/>
            <w:color w:val="auto"/>
            <w:kern w:val="0"/>
            <w:szCs w:val="24"/>
            <w:lang w:eastAsia="zh-CN"/>
          </w:rPr>
          <w:t>IARC Monogr Eval Carcinog Risks Hum</w:t>
        </w:r>
      </w:hyperlink>
      <w:r w:rsidRPr="00DF417A">
        <w:rPr>
          <w:rFonts w:cs="SimSun" w:hint="eastAsia"/>
          <w:i/>
          <w:color w:val="auto"/>
          <w:kern w:val="0"/>
          <w:szCs w:val="24"/>
          <w:lang w:eastAsia="zh-CN"/>
        </w:rPr>
        <w:t xml:space="preserve"> </w:t>
      </w:r>
      <w:r w:rsidRPr="00DF417A">
        <w:rPr>
          <w:rFonts w:cs="SimSun"/>
          <w:color w:val="auto"/>
          <w:kern w:val="0"/>
          <w:szCs w:val="24"/>
          <w:lang w:eastAsia="zh-CN"/>
        </w:rPr>
        <w:t xml:space="preserve">1994; </w:t>
      </w:r>
      <w:r w:rsidRPr="00DF417A">
        <w:rPr>
          <w:rFonts w:cs="SimSun"/>
          <w:b/>
          <w:color w:val="auto"/>
          <w:kern w:val="0"/>
          <w:szCs w:val="24"/>
          <w:lang w:eastAsia="zh-CN"/>
        </w:rPr>
        <w:t>61</w:t>
      </w:r>
      <w:r w:rsidRPr="00DF417A">
        <w:rPr>
          <w:rFonts w:cs="SimSun"/>
          <w:color w:val="auto"/>
          <w:kern w:val="0"/>
          <w:szCs w:val="24"/>
          <w:lang w:eastAsia="zh-CN"/>
        </w:rPr>
        <w:t>: 177–240</w:t>
      </w:r>
      <w:r w:rsidRPr="00DF417A">
        <w:rPr>
          <w:rFonts w:cs="SimSun" w:hint="eastAsia"/>
          <w:color w:val="auto"/>
          <w:kern w:val="0"/>
          <w:szCs w:val="24"/>
          <w:lang w:eastAsia="zh-CN"/>
        </w:rPr>
        <w:t xml:space="preserve"> [PMID: </w:t>
      </w:r>
      <w:r w:rsidRPr="00DF417A">
        <w:rPr>
          <w:rFonts w:cs="SimSun"/>
          <w:color w:val="auto"/>
          <w:kern w:val="0"/>
          <w:szCs w:val="24"/>
          <w:lang w:eastAsia="zh-CN"/>
        </w:rPr>
        <w:t>7715070</w:t>
      </w:r>
      <w:r w:rsidRPr="00DF417A">
        <w:rPr>
          <w:rFonts w:cs="SimSun" w:hint="eastAsia"/>
          <w:color w:val="auto"/>
          <w:kern w:val="0"/>
          <w:szCs w:val="24"/>
          <w:lang w:eastAsia="zh-CN"/>
        </w:rPr>
        <w:t>]</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161 </w:t>
      </w:r>
      <w:r w:rsidRPr="00DF417A">
        <w:rPr>
          <w:rFonts w:cs="SimSun"/>
          <w:b/>
          <w:bCs/>
          <w:color w:val="auto"/>
          <w:kern w:val="0"/>
          <w:szCs w:val="24"/>
          <w:lang w:eastAsia="zh-CN"/>
        </w:rPr>
        <w:t>Parsonnet J</w:t>
      </w:r>
      <w:r w:rsidRPr="00DF417A">
        <w:rPr>
          <w:rFonts w:cs="SimSun"/>
          <w:color w:val="auto"/>
          <w:kern w:val="0"/>
          <w:szCs w:val="24"/>
          <w:lang w:eastAsia="zh-CN"/>
        </w:rPr>
        <w:t>, Friedman GD, Vandersteen DP, Chang Y, Vogelman JH, Orentreich N, Sibley RK. Helicobacter pylori infection and the risk of gastric carcinoma. </w:t>
      </w:r>
      <w:r w:rsidRPr="00DF417A">
        <w:rPr>
          <w:rFonts w:cs="SimSun"/>
          <w:i/>
          <w:iCs/>
          <w:color w:val="auto"/>
          <w:kern w:val="0"/>
          <w:szCs w:val="24"/>
          <w:lang w:eastAsia="zh-CN"/>
        </w:rPr>
        <w:t>N Engl J Med</w:t>
      </w:r>
      <w:r w:rsidRPr="00DF417A">
        <w:rPr>
          <w:rFonts w:cs="SimSun"/>
          <w:color w:val="auto"/>
          <w:kern w:val="0"/>
          <w:szCs w:val="24"/>
          <w:lang w:eastAsia="zh-CN"/>
        </w:rPr>
        <w:t> 1991; </w:t>
      </w:r>
      <w:r w:rsidRPr="00DF417A">
        <w:rPr>
          <w:rFonts w:cs="SimSun"/>
          <w:b/>
          <w:bCs/>
          <w:color w:val="auto"/>
          <w:kern w:val="0"/>
          <w:szCs w:val="24"/>
          <w:lang w:eastAsia="zh-CN"/>
        </w:rPr>
        <w:t>325</w:t>
      </w:r>
      <w:r w:rsidRPr="00DF417A">
        <w:rPr>
          <w:rFonts w:cs="SimSun"/>
          <w:color w:val="auto"/>
          <w:kern w:val="0"/>
          <w:szCs w:val="24"/>
          <w:lang w:eastAsia="zh-CN"/>
        </w:rPr>
        <w:t>: 1127-1131 [PMID: 1891020 DOI: 10.1056/NEJM199110173251603]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162 </w:t>
      </w:r>
      <w:r w:rsidRPr="00DF417A">
        <w:rPr>
          <w:rFonts w:cs="SimSun"/>
          <w:b/>
          <w:bCs/>
          <w:color w:val="auto"/>
          <w:kern w:val="0"/>
          <w:szCs w:val="24"/>
          <w:lang w:eastAsia="zh-CN"/>
        </w:rPr>
        <w:t>Forman D</w:t>
      </w:r>
      <w:r w:rsidRPr="00DF417A">
        <w:rPr>
          <w:rFonts w:cs="SimSun"/>
          <w:color w:val="auto"/>
          <w:kern w:val="0"/>
          <w:szCs w:val="24"/>
          <w:lang w:eastAsia="zh-CN"/>
        </w:rPr>
        <w:t>, Newell DG, Fullerton F, Yarnell JW, Stacey AR, Wald N, Sitas F. Association between infection with Helicobacter pylori and risk of gastric cancer: evidence from a prospective investigation. </w:t>
      </w:r>
      <w:r w:rsidRPr="00DF417A">
        <w:rPr>
          <w:rFonts w:cs="SimSun"/>
          <w:i/>
          <w:iCs/>
          <w:color w:val="auto"/>
          <w:kern w:val="0"/>
          <w:szCs w:val="24"/>
          <w:lang w:eastAsia="zh-CN"/>
        </w:rPr>
        <w:t>BMJ</w:t>
      </w:r>
      <w:r w:rsidRPr="00DF417A">
        <w:rPr>
          <w:rFonts w:cs="SimSun"/>
          <w:color w:val="auto"/>
          <w:kern w:val="0"/>
          <w:szCs w:val="24"/>
          <w:lang w:eastAsia="zh-CN"/>
        </w:rPr>
        <w:t> 1991; </w:t>
      </w:r>
      <w:r w:rsidRPr="00DF417A">
        <w:rPr>
          <w:rFonts w:cs="SimSun"/>
          <w:b/>
          <w:bCs/>
          <w:color w:val="auto"/>
          <w:kern w:val="0"/>
          <w:szCs w:val="24"/>
          <w:lang w:eastAsia="zh-CN"/>
        </w:rPr>
        <w:t>302</w:t>
      </w:r>
      <w:r w:rsidRPr="00DF417A">
        <w:rPr>
          <w:rFonts w:cs="SimSun"/>
          <w:color w:val="auto"/>
          <w:kern w:val="0"/>
          <w:szCs w:val="24"/>
          <w:lang w:eastAsia="zh-CN"/>
        </w:rPr>
        <w:t>: 1302-1305 [PMID: 2059685 DOI: 10.1136/bmj.302.6788.1302]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163 </w:t>
      </w:r>
      <w:r w:rsidRPr="00DF417A">
        <w:rPr>
          <w:rFonts w:cs="SimSun"/>
          <w:b/>
          <w:bCs/>
          <w:color w:val="auto"/>
          <w:kern w:val="0"/>
          <w:szCs w:val="24"/>
          <w:lang w:eastAsia="zh-CN"/>
        </w:rPr>
        <w:t>Sobala GM</w:t>
      </w:r>
      <w:r w:rsidRPr="00DF417A">
        <w:rPr>
          <w:rFonts w:cs="SimSun"/>
          <w:color w:val="auto"/>
          <w:kern w:val="0"/>
          <w:szCs w:val="24"/>
          <w:lang w:eastAsia="zh-CN"/>
        </w:rPr>
        <w:t>, Schorah CJ, Shires S, Lynch DA, Gallacher B, Dixon MF, Axon AT. Effect of eradication of Helicobacter pylori on gastric juice ascorbic acid concentrations. </w:t>
      </w:r>
      <w:r w:rsidRPr="00DF417A">
        <w:rPr>
          <w:rFonts w:cs="SimSun"/>
          <w:i/>
          <w:iCs/>
          <w:color w:val="auto"/>
          <w:kern w:val="0"/>
          <w:szCs w:val="24"/>
          <w:lang w:eastAsia="zh-CN"/>
        </w:rPr>
        <w:t>Gut</w:t>
      </w:r>
      <w:r w:rsidRPr="00DF417A">
        <w:rPr>
          <w:rFonts w:cs="SimSun"/>
          <w:color w:val="auto"/>
          <w:kern w:val="0"/>
          <w:szCs w:val="24"/>
          <w:lang w:eastAsia="zh-CN"/>
        </w:rPr>
        <w:t> 1993; </w:t>
      </w:r>
      <w:r w:rsidRPr="00DF417A">
        <w:rPr>
          <w:rFonts w:cs="SimSun"/>
          <w:b/>
          <w:bCs/>
          <w:color w:val="auto"/>
          <w:kern w:val="0"/>
          <w:szCs w:val="24"/>
          <w:lang w:eastAsia="zh-CN"/>
        </w:rPr>
        <w:t>34</w:t>
      </w:r>
      <w:r w:rsidRPr="00DF417A">
        <w:rPr>
          <w:rFonts w:cs="SimSun"/>
          <w:color w:val="auto"/>
          <w:kern w:val="0"/>
          <w:szCs w:val="24"/>
          <w:lang w:eastAsia="zh-CN"/>
        </w:rPr>
        <w:t>: 1038-1041 [PMID: 8174949 DOI: 10.1136/gut.34.8.1038]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164 </w:t>
      </w:r>
      <w:r w:rsidRPr="00DF417A">
        <w:rPr>
          <w:rFonts w:cs="SimSun"/>
          <w:b/>
          <w:bCs/>
          <w:color w:val="auto"/>
          <w:kern w:val="0"/>
          <w:szCs w:val="24"/>
          <w:lang w:eastAsia="zh-CN"/>
        </w:rPr>
        <w:t>Touati E</w:t>
      </w:r>
      <w:r w:rsidRPr="00DF417A">
        <w:rPr>
          <w:rFonts w:cs="SimSun"/>
          <w:color w:val="auto"/>
          <w:kern w:val="0"/>
          <w:szCs w:val="24"/>
          <w:lang w:eastAsia="zh-CN"/>
        </w:rPr>
        <w:t>, Michel V, Thiberge JM, Wuscher N, Huerre M, Labigne A. Chronic Helicobacter pylori infections induce gastric mutations in mice.</w:t>
      </w:r>
      <w:r w:rsidR="00AD072B">
        <w:rPr>
          <w:rFonts w:cs="SimSun" w:hint="eastAsia"/>
          <w:color w:val="auto"/>
          <w:kern w:val="0"/>
          <w:szCs w:val="24"/>
          <w:lang w:eastAsia="zh-CN"/>
        </w:rPr>
        <w:t xml:space="preserve"> </w:t>
      </w:r>
      <w:r w:rsidRPr="00DF417A">
        <w:rPr>
          <w:rFonts w:cs="SimSun"/>
          <w:i/>
          <w:iCs/>
          <w:color w:val="auto"/>
          <w:kern w:val="0"/>
          <w:szCs w:val="24"/>
          <w:lang w:eastAsia="zh-CN"/>
        </w:rPr>
        <w:t>Gastroenterology</w:t>
      </w:r>
      <w:r w:rsidR="00AD072B">
        <w:rPr>
          <w:rFonts w:cs="SimSun" w:hint="eastAsia"/>
          <w:color w:val="auto"/>
          <w:kern w:val="0"/>
          <w:szCs w:val="24"/>
          <w:lang w:eastAsia="zh-CN"/>
        </w:rPr>
        <w:t xml:space="preserve"> </w:t>
      </w:r>
      <w:r w:rsidRPr="00DF417A">
        <w:rPr>
          <w:rFonts w:cs="SimSun"/>
          <w:color w:val="auto"/>
          <w:kern w:val="0"/>
          <w:szCs w:val="24"/>
          <w:lang w:eastAsia="zh-CN"/>
        </w:rPr>
        <w:t>2003;</w:t>
      </w:r>
      <w:r w:rsidR="00AD072B">
        <w:rPr>
          <w:rFonts w:cs="SimSun" w:hint="eastAsia"/>
          <w:color w:val="auto"/>
          <w:kern w:val="0"/>
          <w:szCs w:val="24"/>
          <w:lang w:eastAsia="zh-CN"/>
        </w:rPr>
        <w:t xml:space="preserve"> </w:t>
      </w:r>
      <w:r w:rsidRPr="00DF417A">
        <w:rPr>
          <w:rFonts w:cs="SimSun"/>
          <w:b/>
          <w:bCs/>
          <w:color w:val="auto"/>
          <w:kern w:val="0"/>
          <w:szCs w:val="24"/>
          <w:lang w:eastAsia="zh-CN"/>
        </w:rPr>
        <w:t>124</w:t>
      </w:r>
      <w:r w:rsidRPr="00DF417A">
        <w:rPr>
          <w:rFonts w:cs="SimSun"/>
          <w:color w:val="auto"/>
          <w:kern w:val="0"/>
          <w:szCs w:val="24"/>
          <w:lang w:eastAsia="zh-CN"/>
        </w:rPr>
        <w:t>:</w:t>
      </w:r>
      <w:r w:rsidR="00AD072B">
        <w:rPr>
          <w:rFonts w:cs="SimSun" w:hint="eastAsia"/>
          <w:color w:val="auto"/>
          <w:kern w:val="0"/>
          <w:szCs w:val="24"/>
          <w:lang w:eastAsia="zh-CN"/>
        </w:rPr>
        <w:t xml:space="preserve"> </w:t>
      </w:r>
      <w:r w:rsidRPr="00DF417A">
        <w:rPr>
          <w:rFonts w:cs="SimSun"/>
          <w:color w:val="auto"/>
          <w:kern w:val="0"/>
          <w:szCs w:val="24"/>
          <w:lang w:eastAsia="zh-CN"/>
        </w:rPr>
        <w:t>1408-1419 [PMID: 12730880 DOI: 10.1016/S0016-5085(03)00266-X]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165 </w:t>
      </w:r>
      <w:r w:rsidRPr="00DF417A">
        <w:rPr>
          <w:rFonts w:cs="SimSun"/>
          <w:b/>
          <w:bCs/>
          <w:color w:val="auto"/>
          <w:kern w:val="0"/>
          <w:szCs w:val="24"/>
          <w:lang w:eastAsia="zh-CN"/>
        </w:rPr>
        <w:t>Watson SA</w:t>
      </w:r>
      <w:r w:rsidRPr="00DF417A">
        <w:rPr>
          <w:rFonts w:cs="SimSun"/>
          <w:color w:val="auto"/>
          <w:kern w:val="0"/>
          <w:szCs w:val="24"/>
          <w:lang w:eastAsia="zh-CN"/>
        </w:rPr>
        <w:t>, Grabowska AM, El-Zaatari M, Takhar A. Gastrin - active participant or bystander in gastric carcinogenesis? </w:t>
      </w:r>
      <w:r w:rsidRPr="00DF417A">
        <w:rPr>
          <w:rFonts w:cs="SimSun"/>
          <w:i/>
          <w:iCs/>
          <w:color w:val="auto"/>
          <w:kern w:val="0"/>
          <w:szCs w:val="24"/>
          <w:lang w:eastAsia="zh-CN"/>
        </w:rPr>
        <w:t>Nat Rev Cancer</w:t>
      </w:r>
      <w:r w:rsidRPr="00DF417A">
        <w:rPr>
          <w:rFonts w:cs="SimSun"/>
          <w:color w:val="auto"/>
          <w:kern w:val="0"/>
          <w:szCs w:val="24"/>
          <w:lang w:eastAsia="zh-CN"/>
        </w:rPr>
        <w:t> 2006; </w:t>
      </w:r>
      <w:r w:rsidRPr="00DF417A">
        <w:rPr>
          <w:rFonts w:cs="SimSun"/>
          <w:b/>
          <w:bCs/>
          <w:color w:val="auto"/>
          <w:kern w:val="0"/>
          <w:szCs w:val="24"/>
          <w:lang w:eastAsia="zh-CN"/>
        </w:rPr>
        <w:t>6</w:t>
      </w:r>
      <w:r w:rsidRPr="00DF417A">
        <w:rPr>
          <w:rFonts w:cs="SimSun"/>
          <w:color w:val="auto"/>
          <w:kern w:val="0"/>
          <w:szCs w:val="24"/>
          <w:lang w:eastAsia="zh-CN"/>
        </w:rPr>
        <w:t>: 936-946 [PMID: 17128210 DOI: 10.1038/nrc2014]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166 </w:t>
      </w:r>
      <w:r w:rsidRPr="00DF417A">
        <w:rPr>
          <w:rFonts w:cs="SimSun"/>
          <w:b/>
          <w:bCs/>
          <w:color w:val="auto"/>
          <w:kern w:val="0"/>
          <w:szCs w:val="24"/>
          <w:lang w:eastAsia="zh-CN"/>
        </w:rPr>
        <w:t>Zavros Y</w:t>
      </w:r>
      <w:r w:rsidRPr="00DF417A">
        <w:rPr>
          <w:rFonts w:cs="SimSun"/>
          <w:color w:val="auto"/>
          <w:kern w:val="0"/>
          <w:szCs w:val="24"/>
          <w:lang w:eastAsia="zh-CN"/>
        </w:rPr>
        <w:t>, Eaton KA, Kang W, Rathinavelu S, Katukuri V, Kao JY, Samuelson LC, Merchant JL. Chronic gastritis in the hypochlorhydric gastrin-deficient mouse progresses to adenocarcinoma. </w:t>
      </w:r>
      <w:r w:rsidRPr="00DF417A">
        <w:rPr>
          <w:rFonts w:cs="SimSun"/>
          <w:i/>
          <w:iCs/>
          <w:color w:val="auto"/>
          <w:kern w:val="0"/>
          <w:szCs w:val="24"/>
          <w:lang w:eastAsia="zh-CN"/>
        </w:rPr>
        <w:t>Oncogene</w:t>
      </w:r>
      <w:r w:rsidRPr="00DF417A">
        <w:rPr>
          <w:rFonts w:cs="SimSun"/>
          <w:color w:val="auto"/>
          <w:kern w:val="0"/>
          <w:szCs w:val="24"/>
          <w:lang w:eastAsia="zh-CN"/>
        </w:rPr>
        <w:t> 2005; </w:t>
      </w:r>
      <w:r w:rsidRPr="00DF417A">
        <w:rPr>
          <w:rFonts w:cs="SimSun"/>
          <w:b/>
          <w:bCs/>
          <w:color w:val="auto"/>
          <w:kern w:val="0"/>
          <w:szCs w:val="24"/>
          <w:lang w:eastAsia="zh-CN"/>
        </w:rPr>
        <w:t>24</w:t>
      </w:r>
      <w:r w:rsidRPr="00DF417A">
        <w:rPr>
          <w:rFonts w:cs="SimSun"/>
          <w:color w:val="auto"/>
          <w:kern w:val="0"/>
          <w:szCs w:val="24"/>
          <w:lang w:eastAsia="zh-CN"/>
        </w:rPr>
        <w:t>: 2354-2366 [PMID: 15735748 DOI: 10.1038/sj.onc.1208407]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167 </w:t>
      </w:r>
      <w:r w:rsidRPr="00DF417A">
        <w:rPr>
          <w:rFonts w:cs="SimSun"/>
          <w:b/>
          <w:bCs/>
          <w:color w:val="auto"/>
          <w:kern w:val="0"/>
          <w:szCs w:val="24"/>
          <w:lang w:eastAsia="zh-CN"/>
        </w:rPr>
        <w:t>Wang LH</w:t>
      </w:r>
      <w:r w:rsidRPr="00DF417A">
        <w:rPr>
          <w:rFonts w:cs="SimSun"/>
          <w:color w:val="auto"/>
          <w:kern w:val="0"/>
          <w:szCs w:val="24"/>
          <w:lang w:eastAsia="zh-CN"/>
        </w:rPr>
        <w:t>, Choi YL, Hua XY, Shin YK, Song YJ, Youn SJ, Yun HY, Park SM, Kim WJ, Kim HJ, Choi JS, Kim SH. Increased expression of sonic hedgehog and altered methylation of its promoter region in gastric cancer and its related lesions. </w:t>
      </w:r>
      <w:r w:rsidRPr="00DF417A">
        <w:rPr>
          <w:rFonts w:cs="SimSun"/>
          <w:i/>
          <w:iCs/>
          <w:color w:val="auto"/>
          <w:kern w:val="0"/>
          <w:szCs w:val="24"/>
          <w:lang w:eastAsia="zh-CN"/>
        </w:rPr>
        <w:t>Mod Pathol</w:t>
      </w:r>
      <w:r w:rsidRPr="00DF417A">
        <w:rPr>
          <w:rFonts w:cs="SimSun"/>
          <w:color w:val="auto"/>
          <w:kern w:val="0"/>
          <w:szCs w:val="24"/>
          <w:lang w:eastAsia="zh-CN"/>
        </w:rPr>
        <w:t> 2006; </w:t>
      </w:r>
      <w:r w:rsidRPr="00DF417A">
        <w:rPr>
          <w:rFonts w:cs="SimSun"/>
          <w:b/>
          <w:bCs/>
          <w:color w:val="auto"/>
          <w:kern w:val="0"/>
          <w:szCs w:val="24"/>
          <w:lang w:eastAsia="zh-CN"/>
        </w:rPr>
        <w:t>19</w:t>
      </w:r>
      <w:r w:rsidRPr="00DF417A">
        <w:rPr>
          <w:rFonts w:cs="SimSun"/>
          <w:color w:val="auto"/>
          <w:kern w:val="0"/>
          <w:szCs w:val="24"/>
          <w:lang w:eastAsia="zh-CN"/>
        </w:rPr>
        <w:t>: 675-683 [PMID: 16528374 DOI: 10.1038/modpathol.3800573]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168 </w:t>
      </w:r>
      <w:r w:rsidRPr="00DF417A">
        <w:rPr>
          <w:rFonts w:cs="SimSun"/>
          <w:b/>
          <w:bCs/>
          <w:color w:val="auto"/>
          <w:kern w:val="0"/>
          <w:szCs w:val="24"/>
          <w:lang w:eastAsia="zh-CN"/>
        </w:rPr>
        <w:t>Murata-Kamiya N</w:t>
      </w:r>
      <w:r w:rsidRPr="00DF417A">
        <w:rPr>
          <w:rFonts w:cs="SimSun"/>
          <w:color w:val="auto"/>
          <w:kern w:val="0"/>
          <w:szCs w:val="24"/>
          <w:lang w:eastAsia="zh-CN"/>
        </w:rPr>
        <w:t>, Kurashima Y, Teishikata Y, Yamahashi Y, Saito Y, Higashi H, Aburatani H, Akiyama T, Peek RM, Azuma T, Hatakeyama M. Helicobacter pylori CagA interacts with E-cadherin and deregulates the beta-catenin signal that promotes intestinal transdifferentiation in gastric epithelial cells. </w:t>
      </w:r>
      <w:r w:rsidRPr="00DF417A">
        <w:rPr>
          <w:rFonts w:cs="SimSun"/>
          <w:i/>
          <w:iCs/>
          <w:color w:val="auto"/>
          <w:kern w:val="0"/>
          <w:szCs w:val="24"/>
          <w:lang w:eastAsia="zh-CN"/>
        </w:rPr>
        <w:t>Oncogene</w:t>
      </w:r>
      <w:r w:rsidRPr="00DF417A">
        <w:rPr>
          <w:rFonts w:cs="SimSun"/>
          <w:color w:val="auto"/>
          <w:kern w:val="0"/>
          <w:szCs w:val="24"/>
          <w:lang w:eastAsia="zh-CN"/>
        </w:rPr>
        <w:t> 2007; </w:t>
      </w:r>
      <w:r w:rsidRPr="00DF417A">
        <w:rPr>
          <w:rFonts w:cs="SimSun"/>
          <w:b/>
          <w:bCs/>
          <w:color w:val="auto"/>
          <w:kern w:val="0"/>
          <w:szCs w:val="24"/>
          <w:lang w:eastAsia="zh-CN"/>
        </w:rPr>
        <w:t>26</w:t>
      </w:r>
      <w:r w:rsidRPr="00DF417A">
        <w:rPr>
          <w:rFonts w:cs="SimSun"/>
          <w:color w:val="auto"/>
          <w:kern w:val="0"/>
          <w:szCs w:val="24"/>
          <w:lang w:eastAsia="zh-CN"/>
        </w:rPr>
        <w:t>: 4617-4626 [PMID: 17237808 DOI: 10.1038/sj.onc.1210251]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169 </w:t>
      </w:r>
      <w:r w:rsidRPr="00DF417A">
        <w:rPr>
          <w:rFonts w:cs="SimSun"/>
          <w:b/>
          <w:bCs/>
          <w:color w:val="auto"/>
          <w:kern w:val="0"/>
          <w:szCs w:val="24"/>
          <w:lang w:eastAsia="zh-CN"/>
        </w:rPr>
        <w:t>Terrés AM</w:t>
      </w:r>
      <w:r w:rsidRPr="00DF417A">
        <w:rPr>
          <w:rFonts w:cs="SimSun"/>
          <w:color w:val="auto"/>
          <w:kern w:val="0"/>
          <w:szCs w:val="24"/>
          <w:lang w:eastAsia="zh-CN"/>
        </w:rPr>
        <w:t>, Pajares JM, O'Toole D, Ahern S, Kelleher D. H pylori infection is associated with downregulation of E-cadherin, a molecule involved in epithelial cell adhesion and proliferation control. </w:t>
      </w:r>
      <w:r w:rsidRPr="00DF417A">
        <w:rPr>
          <w:rFonts w:cs="SimSun"/>
          <w:i/>
          <w:iCs/>
          <w:color w:val="auto"/>
          <w:kern w:val="0"/>
          <w:szCs w:val="24"/>
          <w:lang w:eastAsia="zh-CN"/>
        </w:rPr>
        <w:t>J Clin Pathol</w:t>
      </w:r>
      <w:r w:rsidRPr="00DF417A">
        <w:rPr>
          <w:rFonts w:cs="SimSun"/>
          <w:color w:val="auto"/>
          <w:kern w:val="0"/>
          <w:szCs w:val="24"/>
          <w:lang w:eastAsia="zh-CN"/>
        </w:rPr>
        <w:t> 1998; </w:t>
      </w:r>
      <w:r w:rsidRPr="00DF417A">
        <w:rPr>
          <w:rFonts w:cs="SimSun"/>
          <w:b/>
          <w:bCs/>
          <w:color w:val="auto"/>
          <w:kern w:val="0"/>
          <w:szCs w:val="24"/>
          <w:lang w:eastAsia="zh-CN"/>
        </w:rPr>
        <w:t>51</w:t>
      </w:r>
      <w:r w:rsidRPr="00DF417A">
        <w:rPr>
          <w:rFonts w:cs="SimSun"/>
          <w:color w:val="auto"/>
          <w:kern w:val="0"/>
          <w:szCs w:val="24"/>
          <w:lang w:eastAsia="zh-CN"/>
        </w:rPr>
        <w:t>: 410-412 [PMID: 9708215</w:t>
      </w:r>
      <w:r w:rsidRPr="00DF417A">
        <w:rPr>
          <w:rFonts w:cs="SimSun" w:hint="eastAsia"/>
          <w:color w:val="auto"/>
          <w:kern w:val="0"/>
          <w:szCs w:val="24"/>
          <w:lang w:eastAsia="zh-CN"/>
        </w:rPr>
        <w:t xml:space="preserve"> </w:t>
      </w:r>
      <w:r w:rsidRPr="00DF417A">
        <w:rPr>
          <w:rFonts w:cs="SimSun"/>
          <w:color w:val="auto"/>
          <w:kern w:val="0"/>
          <w:szCs w:val="24"/>
          <w:lang w:eastAsia="zh-CN"/>
        </w:rPr>
        <w:t>DOI: 10.1136/jcp.51.5.410]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170 </w:t>
      </w:r>
      <w:r w:rsidRPr="00DF417A">
        <w:rPr>
          <w:rFonts w:cs="SimSun"/>
          <w:b/>
          <w:bCs/>
          <w:color w:val="auto"/>
          <w:kern w:val="0"/>
          <w:szCs w:val="24"/>
          <w:lang w:eastAsia="zh-CN"/>
        </w:rPr>
        <w:t>Iwano M</w:t>
      </w:r>
      <w:r w:rsidRPr="00DF417A">
        <w:rPr>
          <w:rFonts w:cs="SimSun"/>
          <w:color w:val="auto"/>
          <w:kern w:val="0"/>
          <w:szCs w:val="24"/>
          <w:lang w:eastAsia="zh-CN"/>
        </w:rPr>
        <w:t>, Plieth D, Danoff TM, Xue C, Okada H, Neilson EG. Evidence that fibroblasts derive from epithelium during tissue fibrosis. </w:t>
      </w:r>
      <w:r w:rsidRPr="00DF417A">
        <w:rPr>
          <w:rFonts w:cs="SimSun"/>
          <w:i/>
          <w:iCs/>
          <w:color w:val="auto"/>
          <w:kern w:val="0"/>
          <w:szCs w:val="24"/>
          <w:lang w:eastAsia="zh-CN"/>
        </w:rPr>
        <w:t>J Clin Invest</w:t>
      </w:r>
      <w:r w:rsidRPr="00DF417A">
        <w:rPr>
          <w:rFonts w:cs="SimSun"/>
          <w:color w:val="auto"/>
          <w:kern w:val="0"/>
          <w:szCs w:val="24"/>
          <w:lang w:eastAsia="zh-CN"/>
        </w:rPr>
        <w:t> 2002; </w:t>
      </w:r>
      <w:r w:rsidRPr="00DF417A">
        <w:rPr>
          <w:rFonts w:cs="SimSun"/>
          <w:b/>
          <w:bCs/>
          <w:color w:val="auto"/>
          <w:kern w:val="0"/>
          <w:szCs w:val="24"/>
          <w:lang w:eastAsia="zh-CN"/>
        </w:rPr>
        <w:t>110</w:t>
      </w:r>
      <w:r w:rsidRPr="00DF417A">
        <w:rPr>
          <w:rFonts w:cs="SimSun"/>
          <w:color w:val="auto"/>
          <w:kern w:val="0"/>
          <w:szCs w:val="24"/>
          <w:lang w:eastAsia="zh-CN"/>
        </w:rPr>
        <w:t>: 341-350 [PMID: 12163453 DOI: 10.1172/JCI200215518]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171 </w:t>
      </w:r>
      <w:r w:rsidRPr="00DF417A">
        <w:rPr>
          <w:rFonts w:cs="SimSun"/>
          <w:b/>
          <w:bCs/>
          <w:color w:val="auto"/>
          <w:kern w:val="0"/>
          <w:szCs w:val="24"/>
          <w:lang w:eastAsia="zh-CN"/>
        </w:rPr>
        <w:t>Direkze NC</w:t>
      </w:r>
      <w:r w:rsidRPr="00DF417A">
        <w:rPr>
          <w:rFonts w:cs="SimSun"/>
          <w:color w:val="auto"/>
          <w:kern w:val="0"/>
          <w:szCs w:val="24"/>
          <w:lang w:eastAsia="zh-CN"/>
        </w:rPr>
        <w:t xml:space="preserve">, Hodivala-Dilke K, Jeffery R, Hunt T, Poulsom R, Oukrif D, Alison MR, Wright NA. Bone marrow contribution to tumor-associated myofibroblasts and </w:t>
      </w:r>
      <w:r w:rsidRPr="00DF417A">
        <w:rPr>
          <w:rFonts w:cs="SimSun"/>
          <w:color w:val="auto"/>
          <w:kern w:val="0"/>
          <w:szCs w:val="24"/>
          <w:lang w:eastAsia="zh-CN"/>
        </w:rPr>
        <w:lastRenderedPageBreak/>
        <w:t>fibroblasts. </w:t>
      </w:r>
      <w:r w:rsidRPr="00DF417A">
        <w:rPr>
          <w:rFonts w:cs="SimSun"/>
          <w:i/>
          <w:iCs/>
          <w:color w:val="auto"/>
          <w:kern w:val="0"/>
          <w:szCs w:val="24"/>
          <w:lang w:eastAsia="zh-CN"/>
        </w:rPr>
        <w:t>Cancer Res</w:t>
      </w:r>
      <w:r w:rsidRPr="00DF417A">
        <w:rPr>
          <w:rFonts w:cs="SimSun"/>
          <w:color w:val="auto"/>
          <w:kern w:val="0"/>
          <w:szCs w:val="24"/>
          <w:lang w:eastAsia="zh-CN"/>
        </w:rPr>
        <w:t> 2004; </w:t>
      </w:r>
      <w:r w:rsidRPr="00DF417A">
        <w:rPr>
          <w:rFonts w:cs="SimSun"/>
          <w:b/>
          <w:bCs/>
          <w:color w:val="auto"/>
          <w:kern w:val="0"/>
          <w:szCs w:val="24"/>
          <w:lang w:eastAsia="zh-CN"/>
        </w:rPr>
        <w:t>64</w:t>
      </w:r>
      <w:r w:rsidRPr="00DF417A">
        <w:rPr>
          <w:rFonts w:cs="SimSun"/>
          <w:color w:val="auto"/>
          <w:kern w:val="0"/>
          <w:szCs w:val="24"/>
          <w:lang w:eastAsia="zh-CN"/>
        </w:rPr>
        <w:t>: 8492-8495 [PMID: 15574751 DOI: 10.1158/0008-5472.CAN-04-1708]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val="pl-PL" w:eastAsia="zh-CN"/>
        </w:rPr>
        <w:t>172</w:t>
      </w:r>
      <w:r w:rsidRPr="00DF417A">
        <w:rPr>
          <w:rFonts w:cs="SimSun" w:hint="eastAsia"/>
          <w:color w:val="auto"/>
          <w:kern w:val="0"/>
          <w:szCs w:val="24"/>
          <w:lang w:val="pl-PL" w:eastAsia="zh-CN"/>
        </w:rPr>
        <w:t xml:space="preserve"> </w:t>
      </w:r>
      <w:r w:rsidRPr="00DF417A">
        <w:rPr>
          <w:rFonts w:cs="SimSun"/>
          <w:b/>
          <w:color w:val="auto"/>
          <w:kern w:val="0"/>
          <w:szCs w:val="24"/>
          <w:lang w:val="pl-PL" w:eastAsia="zh-CN"/>
        </w:rPr>
        <w:t>Takaishi S</w:t>
      </w:r>
      <w:r w:rsidRPr="00DF417A">
        <w:rPr>
          <w:rFonts w:cs="SimSun"/>
          <w:color w:val="auto"/>
          <w:kern w:val="0"/>
          <w:szCs w:val="24"/>
          <w:lang w:val="pl-PL" w:eastAsia="zh-CN"/>
        </w:rPr>
        <w:t xml:space="preserve">, Okumura T, Wang TC. </w:t>
      </w:r>
      <w:r w:rsidRPr="00DF417A">
        <w:rPr>
          <w:rFonts w:cs="SimSun"/>
          <w:color w:val="auto"/>
          <w:kern w:val="0"/>
          <w:szCs w:val="24"/>
          <w:lang w:eastAsia="zh-CN"/>
        </w:rPr>
        <w:t xml:space="preserve">Gastric cancer stem cells. </w:t>
      </w:r>
      <w:r w:rsidRPr="00DF417A">
        <w:rPr>
          <w:rFonts w:cs="SimSun"/>
          <w:i/>
          <w:iCs/>
          <w:color w:val="auto"/>
          <w:kern w:val="0"/>
          <w:szCs w:val="24"/>
          <w:lang w:eastAsia="zh-CN"/>
        </w:rPr>
        <w:t>J Clin Oncol</w:t>
      </w:r>
      <w:r w:rsidRPr="00DF417A">
        <w:rPr>
          <w:rFonts w:cs="SimSun"/>
          <w:color w:val="auto"/>
          <w:kern w:val="0"/>
          <w:szCs w:val="24"/>
          <w:lang w:eastAsia="zh-CN"/>
        </w:rPr>
        <w:t xml:space="preserve"> 2008; </w:t>
      </w:r>
      <w:r w:rsidRPr="00DF417A">
        <w:rPr>
          <w:rFonts w:cs="SimSun"/>
          <w:b/>
          <w:bCs/>
          <w:color w:val="auto"/>
          <w:kern w:val="0"/>
          <w:szCs w:val="24"/>
          <w:lang w:eastAsia="zh-CN"/>
        </w:rPr>
        <w:t>26</w:t>
      </w:r>
      <w:r w:rsidRPr="00DF417A">
        <w:rPr>
          <w:rFonts w:cs="SimSun"/>
          <w:color w:val="auto"/>
          <w:kern w:val="0"/>
          <w:szCs w:val="24"/>
          <w:lang w:eastAsia="zh-CN"/>
        </w:rPr>
        <w:t>: 2876–2882 [PMID: 18539967</w:t>
      </w:r>
      <w:r w:rsidRPr="00DF417A">
        <w:rPr>
          <w:rFonts w:cs="SimSun" w:hint="eastAsia"/>
          <w:color w:val="auto"/>
          <w:kern w:val="0"/>
          <w:szCs w:val="24"/>
          <w:lang w:eastAsia="zh-CN"/>
        </w:rPr>
        <w:t xml:space="preserve"> </w:t>
      </w:r>
      <w:r w:rsidRPr="00DF417A">
        <w:rPr>
          <w:rFonts w:cs="SimSun"/>
          <w:color w:val="auto"/>
          <w:kern w:val="0"/>
          <w:szCs w:val="24"/>
          <w:lang w:eastAsia="zh-CN"/>
        </w:rPr>
        <w:t>DOI: 10.1200/JCO.2007.15.2603]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173 </w:t>
      </w:r>
      <w:r w:rsidRPr="00DF417A">
        <w:rPr>
          <w:rFonts w:cs="SimSun"/>
          <w:b/>
          <w:bCs/>
          <w:color w:val="auto"/>
          <w:kern w:val="0"/>
          <w:szCs w:val="24"/>
          <w:lang w:eastAsia="zh-CN"/>
        </w:rPr>
        <w:t>Wang TC</w:t>
      </w:r>
      <w:r w:rsidRPr="00DF417A">
        <w:rPr>
          <w:rFonts w:cs="SimSun"/>
          <w:color w:val="auto"/>
          <w:kern w:val="0"/>
          <w:szCs w:val="24"/>
          <w:lang w:eastAsia="zh-CN"/>
        </w:rPr>
        <w:t>, Dangler CA, Chen D, Goldenring JR, Koh T, Raychowdhury R, Coffey RJ, Ito S, Varro A, Dockray GJ, Fox JG. Synergistic interaction between hypergastrinemia and Helicobacter infection in a mouse model of gastric cancer. </w:t>
      </w:r>
      <w:r w:rsidRPr="00DF417A">
        <w:rPr>
          <w:rFonts w:cs="SimSun"/>
          <w:i/>
          <w:iCs/>
          <w:color w:val="auto"/>
          <w:kern w:val="0"/>
          <w:szCs w:val="24"/>
          <w:lang w:eastAsia="zh-CN"/>
        </w:rPr>
        <w:t>Gastroenterology</w:t>
      </w:r>
      <w:r w:rsidRPr="00DF417A">
        <w:rPr>
          <w:rFonts w:cs="SimSun"/>
          <w:color w:val="auto"/>
          <w:kern w:val="0"/>
          <w:szCs w:val="24"/>
          <w:lang w:eastAsia="zh-CN"/>
        </w:rPr>
        <w:t> 2000; </w:t>
      </w:r>
      <w:r w:rsidRPr="00DF417A">
        <w:rPr>
          <w:rFonts w:cs="SimSun"/>
          <w:b/>
          <w:bCs/>
          <w:color w:val="auto"/>
          <w:kern w:val="0"/>
          <w:szCs w:val="24"/>
          <w:lang w:eastAsia="zh-CN"/>
        </w:rPr>
        <w:t>118</w:t>
      </w:r>
      <w:r w:rsidRPr="00DF417A">
        <w:rPr>
          <w:rFonts w:cs="SimSun"/>
          <w:color w:val="auto"/>
          <w:kern w:val="0"/>
          <w:szCs w:val="24"/>
          <w:lang w:eastAsia="zh-CN"/>
        </w:rPr>
        <w:t>: 36-47 [PMID: 10611152 DOI: doi: 10.1016/S0016-5085(00)70412-4]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174 </w:t>
      </w:r>
      <w:r w:rsidRPr="00DF417A">
        <w:rPr>
          <w:rFonts w:cs="SimSun"/>
          <w:b/>
          <w:bCs/>
          <w:color w:val="auto"/>
          <w:kern w:val="0"/>
          <w:szCs w:val="24"/>
          <w:lang w:eastAsia="zh-CN"/>
        </w:rPr>
        <w:t>Waldum HL</w:t>
      </w:r>
      <w:r w:rsidRPr="00DF417A">
        <w:rPr>
          <w:rFonts w:cs="SimSun"/>
          <w:color w:val="auto"/>
          <w:kern w:val="0"/>
          <w:szCs w:val="24"/>
          <w:lang w:eastAsia="zh-CN"/>
        </w:rPr>
        <w:t>, Hauso Ø, Sørdal ØF, Fossmark R. Gastrin May Mediate the Carcinogenic Effect of Helicobacter pylori Infection of the Stomach. </w:t>
      </w:r>
      <w:r w:rsidRPr="00DF417A">
        <w:rPr>
          <w:rFonts w:cs="SimSun"/>
          <w:i/>
          <w:iCs/>
          <w:color w:val="auto"/>
          <w:kern w:val="0"/>
          <w:szCs w:val="24"/>
          <w:lang w:eastAsia="zh-CN"/>
        </w:rPr>
        <w:t>Dig Dis Sci</w:t>
      </w:r>
      <w:r w:rsidRPr="00DF417A">
        <w:rPr>
          <w:rFonts w:cs="SimSun"/>
          <w:color w:val="auto"/>
          <w:kern w:val="0"/>
          <w:szCs w:val="24"/>
          <w:lang w:eastAsia="zh-CN"/>
        </w:rPr>
        <w:t> 2015; </w:t>
      </w:r>
      <w:r w:rsidRPr="00DF417A">
        <w:rPr>
          <w:rFonts w:cs="SimSun"/>
          <w:b/>
          <w:bCs/>
          <w:color w:val="auto"/>
          <w:kern w:val="0"/>
          <w:szCs w:val="24"/>
          <w:lang w:eastAsia="zh-CN"/>
        </w:rPr>
        <w:t>60</w:t>
      </w:r>
      <w:r w:rsidRPr="00DF417A">
        <w:rPr>
          <w:rFonts w:cs="SimSun"/>
          <w:color w:val="auto"/>
          <w:kern w:val="0"/>
          <w:szCs w:val="24"/>
          <w:lang w:eastAsia="zh-CN"/>
        </w:rPr>
        <w:t>: 1522-1527 [PMID: 25480404 DOI: 10.1007/s10620-014-3468-9]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175 </w:t>
      </w:r>
      <w:r w:rsidRPr="00DF417A">
        <w:rPr>
          <w:rFonts w:cs="SimSun"/>
          <w:b/>
          <w:bCs/>
          <w:color w:val="auto"/>
          <w:kern w:val="0"/>
          <w:szCs w:val="24"/>
          <w:lang w:eastAsia="zh-CN"/>
        </w:rPr>
        <w:t>Sun T</w:t>
      </w:r>
      <w:r w:rsidRPr="00DF417A">
        <w:rPr>
          <w:rFonts w:cs="SimSun"/>
          <w:color w:val="auto"/>
          <w:kern w:val="0"/>
          <w:szCs w:val="24"/>
          <w:lang w:eastAsia="zh-CN"/>
        </w:rPr>
        <w:t>, Zhou Y, Yang M, Hu Z, Tan W, Han X, Shi Y, Yao J, Guo Y, Yu D, Tian T, Zhou X, Shen H, Lin D. Functional genetic variations in cytotoxic T-lymphocyte antigen 4 and susceptibility to multiple types of cancer. </w:t>
      </w:r>
      <w:r w:rsidRPr="00DF417A">
        <w:rPr>
          <w:rFonts w:cs="SimSun"/>
          <w:i/>
          <w:iCs/>
          <w:color w:val="auto"/>
          <w:kern w:val="0"/>
          <w:szCs w:val="24"/>
          <w:lang w:eastAsia="zh-CN"/>
        </w:rPr>
        <w:t>Cancer Res</w:t>
      </w:r>
      <w:r w:rsidRPr="00DF417A">
        <w:rPr>
          <w:rFonts w:cs="SimSun"/>
          <w:color w:val="auto"/>
          <w:kern w:val="0"/>
          <w:szCs w:val="24"/>
          <w:lang w:eastAsia="zh-CN"/>
        </w:rPr>
        <w:t> 2008; </w:t>
      </w:r>
      <w:r w:rsidRPr="00DF417A">
        <w:rPr>
          <w:rFonts w:cs="SimSun"/>
          <w:b/>
          <w:bCs/>
          <w:color w:val="auto"/>
          <w:kern w:val="0"/>
          <w:szCs w:val="24"/>
          <w:lang w:eastAsia="zh-CN"/>
        </w:rPr>
        <w:t>68</w:t>
      </w:r>
      <w:r w:rsidRPr="00DF417A">
        <w:rPr>
          <w:rFonts w:cs="SimSun"/>
          <w:color w:val="auto"/>
          <w:kern w:val="0"/>
          <w:szCs w:val="24"/>
          <w:lang w:eastAsia="zh-CN"/>
        </w:rPr>
        <w:t>: 7025-7034 [PMID: 18757416 DOI: 10.1158/0008-5472.CAN-08-0806]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176 </w:t>
      </w:r>
      <w:r w:rsidRPr="00DF417A">
        <w:rPr>
          <w:rFonts w:cs="SimSun"/>
          <w:b/>
          <w:bCs/>
          <w:color w:val="auto"/>
          <w:kern w:val="0"/>
          <w:szCs w:val="24"/>
          <w:lang w:eastAsia="zh-CN"/>
        </w:rPr>
        <w:t>Mizukami Y</w:t>
      </w:r>
      <w:r w:rsidRPr="00DF417A">
        <w:rPr>
          <w:rFonts w:cs="SimSun"/>
          <w:color w:val="auto"/>
          <w:kern w:val="0"/>
          <w:szCs w:val="24"/>
          <w:lang w:eastAsia="zh-CN"/>
        </w:rPr>
        <w:t>, Kono K, Kawaguchi Y, Akaike H, Kamimura K, Sugai H, Fujii H. CCL17 and CCL22 chemokines within tumor microenvironment are related to accumulation of Foxp3+ regulatory T cells in gastric cancer. </w:t>
      </w:r>
      <w:r w:rsidRPr="00DF417A">
        <w:rPr>
          <w:rFonts w:cs="SimSun"/>
          <w:i/>
          <w:iCs/>
          <w:color w:val="auto"/>
          <w:kern w:val="0"/>
          <w:szCs w:val="24"/>
          <w:lang w:eastAsia="zh-CN"/>
        </w:rPr>
        <w:t>Int J Cancer</w:t>
      </w:r>
      <w:r w:rsidRPr="00DF417A">
        <w:rPr>
          <w:rFonts w:cs="SimSun"/>
          <w:color w:val="auto"/>
          <w:kern w:val="0"/>
          <w:szCs w:val="24"/>
          <w:lang w:eastAsia="zh-CN"/>
        </w:rPr>
        <w:t> 2008; </w:t>
      </w:r>
      <w:r w:rsidRPr="00DF417A">
        <w:rPr>
          <w:rFonts w:cs="SimSun"/>
          <w:b/>
          <w:bCs/>
          <w:color w:val="auto"/>
          <w:kern w:val="0"/>
          <w:szCs w:val="24"/>
          <w:lang w:eastAsia="zh-CN"/>
        </w:rPr>
        <w:t>122</w:t>
      </w:r>
      <w:r w:rsidRPr="00DF417A">
        <w:rPr>
          <w:rFonts w:cs="SimSun"/>
          <w:color w:val="auto"/>
          <w:kern w:val="0"/>
          <w:szCs w:val="24"/>
          <w:lang w:eastAsia="zh-CN"/>
        </w:rPr>
        <w:t>: 2286-2293 [PMID: 18224687 DOI: 10.1002/ijc.23392]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177 </w:t>
      </w:r>
      <w:r w:rsidRPr="00DF417A">
        <w:rPr>
          <w:rFonts w:cs="SimSun"/>
          <w:b/>
          <w:bCs/>
          <w:color w:val="auto"/>
          <w:kern w:val="0"/>
          <w:szCs w:val="24"/>
          <w:lang w:eastAsia="zh-CN"/>
        </w:rPr>
        <w:t>Lee HE</w:t>
      </w:r>
      <w:r w:rsidRPr="00DF417A">
        <w:rPr>
          <w:rFonts w:cs="SimSun"/>
          <w:color w:val="auto"/>
          <w:kern w:val="0"/>
          <w:szCs w:val="24"/>
          <w:lang w:eastAsia="zh-CN"/>
        </w:rPr>
        <w:t>, Chae SW, Lee YJ, Kim MA, Lee HS, Lee BL, Kim WH. Prognostic implications of type and density of tumour-infiltrating lymphocytes in gastric cancer. </w:t>
      </w:r>
      <w:r w:rsidRPr="00DF417A">
        <w:rPr>
          <w:rFonts w:cs="SimSun"/>
          <w:i/>
          <w:iCs/>
          <w:color w:val="auto"/>
          <w:kern w:val="0"/>
          <w:szCs w:val="24"/>
          <w:lang w:eastAsia="zh-CN"/>
        </w:rPr>
        <w:t>Br J Cancer</w:t>
      </w:r>
      <w:r w:rsidRPr="00DF417A">
        <w:rPr>
          <w:rFonts w:cs="SimSun"/>
          <w:color w:val="auto"/>
          <w:kern w:val="0"/>
          <w:szCs w:val="24"/>
          <w:lang w:eastAsia="zh-CN"/>
        </w:rPr>
        <w:t> 2008; </w:t>
      </w:r>
      <w:r w:rsidRPr="00DF417A">
        <w:rPr>
          <w:rFonts w:cs="SimSun"/>
          <w:b/>
          <w:bCs/>
          <w:color w:val="auto"/>
          <w:kern w:val="0"/>
          <w:szCs w:val="24"/>
          <w:lang w:eastAsia="zh-CN"/>
        </w:rPr>
        <w:t>99</w:t>
      </w:r>
      <w:r w:rsidRPr="00DF417A">
        <w:rPr>
          <w:rFonts w:cs="SimSun"/>
          <w:color w:val="auto"/>
          <w:kern w:val="0"/>
          <w:szCs w:val="24"/>
          <w:lang w:eastAsia="zh-CN"/>
        </w:rPr>
        <w:t>: 1704-1711 [PMID: 18941457 DOI: 10.1038/sj.bjc.6604738]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178 </w:t>
      </w:r>
      <w:r w:rsidRPr="00DF417A">
        <w:rPr>
          <w:rFonts w:cs="SimSun"/>
          <w:b/>
          <w:bCs/>
          <w:color w:val="auto"/>
          <w:kern w:val="0"/>
          <w:szCs w:val="24"/>
          <w:lang w:eastAsia="zh-CN"/>
        </w:rPr>
        <w:t>Piazuelo MB</w:t>
      </w:r>
      <w:r w:rsidRPr="00DF417A">
        <w:rPr>
          <w:rFonts w:cs="SimSun"/>
          <w:color w:val="auto"/>
          <w:kern w:val="0"/>
          <w:szCs w:val="24"/>
          <w:lang w:eastAsia="zh-CN"/>
        </w:rPr>
        <w:t>, Camargo MC, Mera RM, Delgado AG, Peek RM, Correa H, Schneider BG, Sicinschi LA, Mora Y, Bravo LE, Correa P. Eosinophils and mast cells in chronic gastritis: possible implications in carcinogenesis. </w:t>
      </w:r>
      <w:r w:rsidRPr="00DF417A">
        <w:rPr>
          <w:rFonts w:cs="SimSun"/>
          <w:i/>
          <w:iCs/>
          <w:color w:val="auto"/>
          <w:kern w:val="0"/>
          <w:szCs w:val="24"/>
          <w:lang w:eastAsia="zh-CN"/>
        </w:rPr>
        <w:t>Hum Pathol</w:t>
      </w:r>
      <w:r w:rsidRPr="00DF417A">
        <w:rPr>
          <w:rFonts w:cs="SimSun"/>
          <w:color w:val="auto"/>
          <w:kern w:val="0"/>
          <w:szCs w:val="24"/>
          <w:lang w:eastAsia="zh-CN"/>
        </w:rPr>
        <w:t> 2008; </w:t>
      </w:r>
      <w:r w:rsidRPr="00DF417A">
        <w:rPr>
          <w:rFonts w:cs="SimSun"/>
          <w:b/>
          <w:bCs/>
          <w:color w:val="auto"/>
          <w:kern w:val="0"/>
          <w:szCs w:val="24"/>
          <w:lang w:eastAsia="zh-CN"/>
        </w:rPr>
        <w:t>39</w:t>
      </w:r>
      <w:r w:rsidRPr="00DF417A">
        <w:rPr>
          <w:rFonts w:cs="SimSun"/>
          <w:color w:val="auto"/>
          <w:kern w:val="0"/>
          <w:szCs w:val="24"/>
          <w:lang w:eastAsia="zh-CN"/>
        </w:rPr>
        <w:t>: 1360-1369 [PMID: 18614201 DOI: 10.1016/j.humpath.2008.01.012]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179 </w:t>
      </w:r>
      <w:r w:rsidRPr="00DF417A">
        <w:rPr>
          <w:rFonts w:cs="SimSun"/>
          <w:b/>
          <w:bCs/>
          <w:color w:val="auto"/>
          <w:kern w:val="0"/>
          <w:szCs w:val="24"/>
          <w:lang w:eastAsia="zh-CN"/>
        </w:rPr>
        <w:t>Sankpal NV</w:t>
      </w:r>
      <w:r w:rsidRPr="00DF417A">
        <w:rPr>
          <w:rFonts w:cs="SimSun"/>
          <w:color w:val="auto"/>
          <w:kern w:val="0"/>
          <w:szCs w:val="24"/>
          <w:lang w:eastAsia="zh-CN"/>
        </w:rPr>
        <w:t>, Moskaluk CA, Hampton GM, Powell SM. Overexpression of CEBPbeta correlates with decreased TFF1 in gastric cancer. </w:t>
      </w:r>
      <w:r w:rsidRPr="00DF417A">
        <w:rPr>
          <w:rFonts w:cs="SimSun"/>
          <w:i/>
          <w:iCs/>
          <w:color w:val="auto"/>
          <w:kern w:val="0"/>
          <w:szCs w:val="24"/>
          <w:lang w:eastAsia="zh-CN"/>
        </w:rPr>
        <w:t>Oncogene</w:t>
      </w:r>
      <w:r w:rsidRPr="00DF417A">
        <w:rPr>
          <w:rFonts w:cs="SimSun"/>
          <w:color w:val="auto"/>
          <w:kern w:val="0"/>
          <w:szCs w:val="24"/>
          <w:lang w:eastAsia="zh-CN"/>
        </w:rPr>
        <w:t> 2006; </w:t>
      </w:r>
      <w:r w:rsidRPr="00DF417A">
        <w:rPr>
          <w:rFonts w:cs="SimSun"/>
          <w:b/>
          <w:bCs/>
          <w:color w:val="auto"/>
          <w:kern w:val="0"/>
          <w:szCs w:val="24"/>
          <w:lang w:eastAsia="zh-CN"/>
        </w:rPr>
        <w:t>25</w:t>
      </w:r>
      <w:r w:rsidRPr="00DF417A">
        <w:rPr>
          <w:rFonts w:cs="SimSun"/>
          <w:color w:val="auto"/>
          <w:kern w:val="0"/>
          <w:szCs w:val="24"/>
          <w:lang w:eastAsia="zh-CN"/>
        </w:rPr>
        <w:t>: 643-649 [PMID: 16247479 DOI: 10.1038/sj.onc.1209081]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180 </w:t>
      </w:r>
      <w:r w:rsidRPr="00DF417A">
        <w:rPr>
          <w:rFonts w:cs="SimSun"/>
          <w:b/>
          <w:bCs/>
          <w:color w:val="auto"/>
          <w:kern w:val="0"/>
          <w:szCs w:val="24"/>
          <w:lang w:eastAsia="zh-CN"/>
        </w:rPr>
        <w:t>Regalo G</w:t>
      </w:r>
      <w:r w:rsidRPr="00DF417A">
        <w:rPr>
          <w:rFonts w:cs="SimSun"/>
          <w:color w:val="auto"/>
          <w:kern w:val="0"/>
          <w:szCs w:val="24"/>
          <w:lang w:eastAsia="zh-CN"/>
        </w:rPr>
        <w:t>, Canedo P, Suriano G, Resende C, Campos ML, Oliveira MJ, Figueiredo C, Rodrigues-Pereira P, Blin N, Seruca R, Carneiro F, Machado JC. C/EBPbeta is over-expressed in gastric carcinogenesis and is associated with COX-2 expression. </w:t>
      </w:r>
      <w:r w:rsidRPr="00DF417A">
        <w:rPr>
          <w:rFonts w:cs="SimSun"/>
          <w:i/>
          <w:iCs/>
          <w:color w:val="auto"/>
          <w:kern w:val="0"/>
          <w:szCs w:val="24"/>
          <w:lang w:eastAsia="zh-CN"/>
        </w:rPr>
        <w:t>J Pathol</w:t>
      </w:r>
      <w:r w:rsidRPr="00DF417A">
        <w:rPr>
          <w:rFonts w:cs="SimSun"/>
          <w:color w:val="auto"/>
          <w:kern w:val="0"/>
          <w:szCs w:val="24"/>
          <w:lang w:eastAsia="zh-CN"/>
        </w:rPr>
        <w:t> 2006; </w:t>
      </w:r>
      <w:r w:rsidRPr="00DF417A">
        <w:rPr>
          <w:rFonts w:cs="SimSun"/>
          <w:b/>
          <w:bCs/>
          <w:color w:val="auto"/>
          <w:kern w:val="0"/>
          <w:szCs w:val="24"/>
          <w:lang w:eastAsia="zh-CN"/>
        </w:rPr>
        <w:t>210</w:t>
      </w:r>
      <w:r w:rsidRPr="00DF417A">
        <w:rPr>
          <w:rFonts w:cs="SimSun"/>
          <w:color w:val="auto"/>
          <w:kern w:val="0"/>
          <w:szCs w:val="24"/>
          <w:lang w:eastAsia="zh-CN"/>
        </w:rPr>
        <w:t>: 398-404 [PMID: 16981245 DOI: 10.1002/path.2063]</w:t>
      </w:r>
    </w:p>
    <w:p w:rsidR="00DF417A" w:rsidRPr="00DF417A" w:rsidRDefault="00DF417A" w:rsidP="00DF417A">
      <w:pPr>
        <w:suppressAutoHyphens w:val="0"/>
        <w:jc w:val="both"/>
        <w:rPr>
          <w:rFonts w:cs="SimSun"/>
          <w:color w:val="auto"/>
          <w:kern w:val="0"/>
          <w:szCs w:val="24"/>
          <w:lang w:eastAsia="zh-CN"/>
        </w:rPr>
      </w:pPr>
      <w:bookmarkStart w:id="38" w:name="OLE_LINK578"/>
      <w:r w:rsidRPr="00DF417A">
        <w:rPr>
          <w:rFonts w:cs="SimSun"/>
          <w:color w:val="auto"/>
          <w:kern w:val="0"/>
          <w:szCs w:val="24"/>
          <w:lang w:eastAsia="zh-CN"/>
        </w:rPr>
        <w:t>181 </w:t>
      </w:r>
      <w:r w:rsidRPr="00DF417A">
        <w:rPr>
          <w:rFonts w:cs="SimSun"/>
          <w:b/>
          <w:bCs/>
          <w:color w:val="auto"/>
          <w:kern w:val="0"/>
          <w:szCs w:val="24"/>
          <w:lang w:eastAsia="zh-CN"/>
        </w:rPr>
        <w:t>Nuñez F</w:t>
      </w:r>
      <w:r w:rsidRPr="00DF417A">
        <w:rPr>
          <w:rFonts w:cs="SimSun"/>
          <w:color w:val="auto"/>
          <w:kern w:val="0"/>
          <w:szCs w:val="24"/>
          <w:lang w:eastAsia="zh-CN"/>
        </w:rPr>
        <w:t>, Bravo S, Cruzat F, Montecino M, De Ferrari GV. Wnt/β-catenin signaling enhances cyclooxygenase-2 (COX2) transcriptional activity in gastric cancer cells. </w:t>
      </w:r>
      <w:r w:rsidRPr="00DF417A">
        <w:rPr>
          <w:rFonts w:cs="SimSun"/>
          <w:i/>
          <w:iCs/>
          <w:color w:val="auto"/>
          <w:kern w:val="0"/>
          <w:szCs w:val="24"/>
          <w:lang w:eastAsia="zh-CN"/>
        </w:rPr>
        <w:t>PLoS One</w:t>
      </w:r>
      <w:r w:rsidRPr="00DF417A">
        <w:rPr>
          <w:rFonts w:cs="SimSun"/>
          <w:color w:val="auto"/>
          <w:kern w:val="0"/>
          <w:szCs w:val="24"/>
          <w:lang w:eastAsia="zh-CN"/>
        </w:rPr>
        <w:t> 2011; </w:t>
      </w:r>
      <w:r w:rsidRPr="00DF417A">
        <w:rPr>
          <w:rFonts w:cs="SimSun"/>
          <w:b/>
          <w:bCs/>
          <w:color w:val="auto"/>
          <w:kern w:val="0"/>
          <w:szCs w:val="24"/>
          <w:lang w:eastAsia="zh-CN"/>
        </w:rPr>
        <w:t>6</w:t>
      </w:r>
      <w:r w:rsidRPr="00DF417A">
        <w:rPr>
          <w:rFonts w:cs="SimSun"/>
          <w:color w:val="auto"/>
          <w:kern w:val="0"/>
          <w:szCs w:val="24"/>
          <w:lang w:eastAsia="zh-CN"/>
        </w:rPr>
        <w:t>: e18562 [PMID: 21494638 DOI: 10.1371/journal.pone.0018562]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182 </w:t>
      </w:r>
      <w:r w:rsidRPr="00DF417A">
        <w:rPr>
          <w:rFonts w:cs="SimSun"/>
          <w:b/>
          <w:bCs/>
          <w:color w:val="auto"/>
          <w:kern w:val="0"/>
          <w:szCs w:val="24"/>
          <w:lang w:eastAsia="zh-CN"/>
        </w:rPr>
        <w:t>Ristimäki A</w:t>
      </w:r>
      <w:r w:rsidRPr="00DF417A">
        <w:rPr>
          <w:rFonts w:cs="SimSun"/>
          <w:color w:val="auto"/>
          <w:kern w:val="0"/>
          <w:szCs w:val="24"/>
          <w:lang w:eastAsia="zh-CN"/>
        </w:rPr>
        <w:t>, Honkanen N, Jänkälä H, Sipponen P, Härkönen M. Expression of cyclooxygenase-2 in human gastric carcinoma. </w:t>
      </w:r>
      <w:r w:rsidRPr="00DF417A">
        <w:rPr>
          <w:rFonts w:cs="SimSun"/>
          <w:i/>
          <w:iCs/>
          <w:color w:val="auto"/>
          <w:kern w:val="0"/>
          <w:szCs w:val="24"/>
          <w:lang w:eastAsia="zh-CN"/>
        </w:rPr>
        <w:t>Cancer Res</w:t>
      </w:r>
      <w:r w:rsidRPr="00DF417A">
        <w:rPr>
          <w:rFonts w:cs="SimSun"/>
          <w:color w:val="auto"/>
          <w:kern w:val="0"/>
          <w:szCs w:val="24"/>
          <w:lang w:eastAsia="zh-CN"/>
        </w:rPr>
        <w:t> 1997; </w:t>
      </w:r>
      <w:r w:rsidRPr="00DF417A">
        <w:rPr>
          <w:rFonts w:cs="SimSun"/>
          <w:b/>
          <w:bCs/>
          <w:color w:val="auto"/>
          <w:kern w:val="0"/>
          <w:szCs w:val="24"/>
          <w:lang w:eastAsia="zh-CN"/>
        </w:rPr>
        <w:t>57</w:t>
      </w:r>
      <w:r w:rsidRPr="00DF417A">
        <w:rPr>
          <w:rFonts w:cs="SimSun"/>
          <w:color w:val="auto"/>
          <w:kern w:val="0"/>
          <w:szCs w:val="24"/>
          <w:lang w:eastAsia="zh-CN"/>
        </w:rPr>
        <w:t>: 1276-1280 [PMID: 9102213]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183 </w:t>
      </w:r>
      <w:r w:rsidRPr="00DF417A">
        <w:rPr>
          <w:rFonts w:cs="SimSun"/>
          <w:b/>
          <w:bCs/>
          <w:color w:val="auto"/>
          <w:kern w:val="0"/>
          <w:szCs w:val="24"/>
          <w:lang w:eastAsia="zh-CN"/>
        </w:rPr>
        <w:t>van Rees BP</w:t>
      </w:r>
      <w:r w:rsidRPr="00DF417A">
        <w:rPr>
          <w:rFonts w:cs="SimSun"/>
          <w:color w:val="auto"/>
          <w:kern w:val="0"/>
          <w:szCs w:val="24"/>
          <w:lang w:eastAsia="zh-CN"/>
        </w:rPr>
        <w:t>, Saukkonen K, Ristimäki A, Polkowski W, Tytgat GN, Drillenburg P, Offerhaus GJ. Cyclooxygenase-2 expression during carcinogenesis in the human stomach. </w:t>
      </w:r>
      <w:r w:rsidRPr="00DF417A">
        <w:rPr>
          <w:rFonts w:cs="SimSun"/>
          <w:i/>
          <w:iCs/>
          <w:color w:val="auto"/>
          <w:kern w:val="0"/>
          <w:szCs w:val="24"/>
          <w:lang w:eastAsia="zh-CN"/>
        </w:rPr>
        <w:t>J Pathol</w:t>
      </w:r>
      <w:r w:rsidRPr="00DF417A">
        <w:rPr>
          <w:rFonts w:cs="SimSun"/>
          <w:color w:val="auto"/>
          <w:kern w:val="0"/>
          <w:szCs w:val="24"/>
          <w:lang w:eastAsia="zh-CN"/>
        </w:rPr>
        <w:t> 2002; </w:t>
      </w:r>
      <w:r w:rsidRPr="00DF417A">
        <w:rPr>
          <w:rFonts w:cs="SimSun"/>
          <w:b/>
          <w:bCs/>
          <w:color w:val="auto"/>
          <w:kern w:val="0"/>
          <w:szCs w:val="24"/>
          <w:lang w:eastAsia="zh-CN"/>
        </w:rPr>
        <w:t>196</w:t>
      </w:r>
      <w:r w:rsidRPr="00DF417A">
        <w:rPr>
          <w:rFonts w:cs="SimSun"/>
          <w:color w:val="auto"/>
          <w:kern w:val="0"/>
          <w:szCs w:val="24"/>
          <w:lang w:eastAsia="zh-CN"/>
        </w:rPr>
        <w:t>: 171-179 [PMID: 11793368 DOI: 10.1002/path.1033]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184 </w:t>
      </w:r>
      <w:r w:rsidRPr="00DF417A">
        <w:rPr>
          <w:rFonts w:cs="SimSun"/>
          <w:b/>
          <w:bCs/>
          <w:color w:val="auto"/>
          <w:kern w:val="0"/>
          <w:szCs w:val="24"/>
          <w:lang w:eastAsia="zh-CN"/>
        </w:rPr>
        <w:t>Saukkonen K</w:t>
      </w:r>
      <w:r w:rsidRPr="00DF417A">
        <w:rPr>
          <w:rFonts w:cs="SimSun"/>
          <w:color w:val="auto"/>
          <w:kern w:val="0"/>
          <w:szCs w:val="24"/>
          <w:lang w:eastAsia="zh-CN"/>
        </w:rPr>
        <w:t>, Nieminen O, van Rees B, Vilkki S, Härkönen M, Juhola M, Mecklin JP, Sipponen P, Ristimäki A. Expression of cyclooxygenase-2 in dysplasia of the stomach and in intestinal-type gastric adenocarcinoma. </w:t>
      </w:r>
      <w:r w:rsidRPr="00DF417A">
        <w:rPr>
          <w:rFonts w:cs="SimSun"/>
          <w:i/>
          <w:iCs/>
          <w:color w:val="auto"/>
          <w:kern w:val="0"/>
          <w:szCs w:val="24"/>
          <w:lang w:eastAsia="zh-CN"/>
        </w:rPr>
        <w:t>Clin Cancer Res</w:t>
      </w:r>
      <w:r w:rsidRPr="00DF417A">
        <w:rPr>
          <w:rFonts w:cs="SimSun"/>
          <w:color w:val="auto"/>
          <w:kern w:val="0"/>
          <w:szCs w:val="24"/>
          <w:lang w:eastAsia="zh-CN"/>
        </w:rPr>
        <w:t> 2001; </w:t>
      </w:r>
      <w:r w:rsidRPr="00DF417A">
        <w:rPr>
          <w:rFonts w:cs="SimSun"/>
          <w:b/>
          <w:bCs/>
          <w:color w:val="auto"/>
          <w:kern w:val="0"/>
          <w:szCs w:val="24"/>
          <w:lang w:eastAsia="zh-CN"/>
        </w:rPr>
        <w:t>7</w:t>
      </w:r>
      <w:r w:rsidRPr="00DF417A">
        <w:rPr>
          <w:rFonts w:cs="SimSun"/>
          <w:color w:val="auto"/>
          <w:kern w:val="0"/>
          <w:szCs w:val="24"/>
          <w:lang w:eastAsia="zh-CN"/>
        </w:rPr>
        <w:t>: 1923-1931 [PMID: 11448905]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185 </w:t>
      </w:r>
      <w:r w:rsidRPr="00DF417A">
        <w:rPr>
          <w:rFonts w:cs="SimSun"/>
          <w:b/>
          <w:bCs/>
          <w:color w:val="auto"/>
          <w:kern w:val="0"/>
          <w:szCs w:val="24"/>
          <w:lang w:eastAsia="zh-CN"/>
        </w:rPr>
        <w:t>Hao Q</w:t>
      </w:r>
      <w:r w:rsidRPr="00DF417A">
        <w:rPr>
          <w:rFonts w:cs="SimSun"/>
          <w:color w:val="auto"/>
          <w:kern w:val="0"/>
          <w:szCs w:val="24"/>
          <w:lang w:eastAsia="zh-CN"/>
        </w:rPr>
        <w:t>, Zhang C, Gao Y, Wang S, Li J, Li M, Xue X, Li W, Zhang W, Zhang Y. FOXP3 inhibits NF-κB activity and hence COX2 expression in gastric cancer cells. </w:t>
      </w:r>
      <w:r w:rsidRPr="00DF417A">
        <w:rPr>
          <w:rFonts w:cs="SimSun"/>
          <w:i/>
          <w:iCs/>
          <w:color w:val="auto"/>
          <w:kern w:val="0"/>
          <w:szCs w:val="24"/>
          <w:lang w:eastAsia="zh-CN"/>
        </w:rPr>
        <w:t>Cell Signal</w:t>
      </w:r>
      <w:r w:rsidRPr="00DF417A">
        <w:rPr>
          <w:rFonts w:cs="SimSun"/>
          <w:color w:val="auto"/>
          <w:kern w:val="0"/>
          <w:szCs w:val="24"/>
          <w:lang w:eastAsia="zh-CN"/>
        </w:rPr>
        <w:t> 2014; </w:t>
      </w:r>
      <w:r w:rsidRPr="00DF417A">
        <w:rPr>
          <w:rFonts w:cs="SimSun"/>
          <w:b/>
          <w:bCs/>
          <w:color w:val="auto"/>
          <w:kern w:val="0"/>
          <w:szCs w:val="24"/>
          <w:lang w:eastAsia="zh-CN"/>
        </w:rPr>
        <w:t>26</w:t>
      </w:r>
      <w:r w:rsidRPr="00DF417A">
        <w:rPr>
          <w:rFonts w:cs="SimSun"/>
          <w:color w:val="auto"/>
          <w:kern w:val="0"/>
          <w:szCs w:val="24"/>
          <w:lang w:eastAsia="zh-CN"/>
        </w:rPr>
        <w:t>: 564-569 [PMID: 24308961 DOI: 10.1016/j.cellsig.2013.11.030]</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186 </w:t>
      </w:r>
      <w:r w:rsidRPr="00DF417A">
        <w:rPr>
          <w:rFonts w:cs="SimSun"/>
          <w:b/>
          <w:bCs/>
          <w:color w:val="auto"/>
          <w:kern w:val="0"/>
          <w:szCs w:val="24"/>
          <w:lang w:eastAsia="zh-CN"/>
        </w:rPr>
        <w:t>de Maat MF</w:t>
      </w:r>
      <w:r w:rsidRPr="00DF417A">
        <w:rPr>
          <w:rFonts w:cs="SimSun"/>
          <w:color w:val="auto"/>
          <w:kern w:val="0"/>
          <w:szCs w:val="24"/>
          <w:lang w:eastAsia="zh-CN"/>
        </w:rPr>
        <w:t>, van de Velde CJ, Umetani N, de Heer P, Putter H, van Hoesel AQ, Meijer GA, van Grieken NC, Kuppen PJ, Bilchik AJ, Tollenaar RA, Hoon DS. Epigenetic silencing of cyclooxygenase-2 affects clinical outcome in gastric cancer. </w:t>
      </w:r>
      <w:r w:rsidRPr="00DF417A">
        <w:rPr>
          <w:rFonts w:cs="SimSun"/>
          <w:i/>
          <w:iCs/>
          <w:color w:val="auto"/>
          <w:kern w:val="0"/>
          <w:szCs w:val="24"/>
          <w:lang w:eastAsia="zh-CN"/>
        </w:rPr>
        <w:t>J Clin Oncol</w:t>
      </w:r>
      <w:r w:rsidRPr="00DF417A">
        <w:rPr>
          <w:rFonts w:cs="SimSun"/>
          <w:color w:val="auto"/>
          <w:kern w:val="0"/>
          <w:szCs w:val="24"/>
          <w:lang w:eastAsia="zh-CN"/>
        </w:rPr>
        <w:t> 2007; </w:t>
      </w:r>
      <w:r w:rsidRPr="00DF417A">
        <w:rPr>
          <w:rFonts w:cs="SimSun"/>
          <w:b/>
          <w:bCs/>
          <w:color w:val="auto"/>
          <w:kern w:val="0"/>
          <w:szCs w:val="24"/>
          <w:lang w:eastAsia="zh-CN"/>
        </w:rPr>
        <w:t>25</w:t>
      </w:r>
      <w:r w:rsidRPr="00DF417A">
        <w:rPr>
          <w:rFonts w:cs="SimSun"/>
          <w:color w:val="auto"/>
          <w:kern w:val="0"/>
          <w:szCs w:val="24"/>
          <w:lang w:eastAsia="zh-CN"/>
        </w:rPr>
        <w:t>: 4887-4894 [PMID: 17971584 DOI: 10.1200/JCO.2006.09.8921]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187 </w:t>
      </w:r>
      <w:r w:rsidRPr="00DF417A">
        <w:rPr>
          <w:rFonts w:cs="SimSun"/>
          <w:b/>
          <w:bCs/>
          <w:color w:val="auto"/>
          <w:kern w:val="0"/>
          <w:szCs w:val="24"/>
          <w:lang w:eastAsia="zh-CN"/>
        </w:rPr>
        <w:t>Park ES</w:t>
      </w:r>
      <w:r w:rsidRPr="00DF417A">
        <w:rPr>
          <w:rFonts w:cs="SimSun"/>
          <w:color w:val="auto"/>
          <w:kern w:val="0"/>
          <w:szCs w:val="24"/>
          <w:lang w:eastAsia="zh-CN"/>
        </w:rPr>
        <w:t>, Do IG, Park CK, Kang WK, Noh JH, Sohn TS, Kim S, Kim MJ, Kim KM. Cyclooxygenase-2 is an independent prognostic factor in gastric carcinoma patients receiving adjuvant chemotherapy and is not associated with EBV infection. </w:t>
      </w:r>
      <w:r w:rsidRPr="00DF417A">
        <w:rPr>
          <w:rFonts w:cs="SimSun"/>
          <w:i/>
          <w:iCs/>
          <w:color w:val="auto"/>
          <w:kern w:val="0"/>
          <w:szCs w:val="24"/>
          <w:lang w:eastAsia="zh-CN"/>
        </w:rPr>
        <w:t>Clin Cancer Res</w:t>
      </w:r>
      <w:r w:rsidRPr="00DF417A">
        <w:rPr>
          <w:rFonts w:cs="SimSun"/>
          <w:color w:val="auto"/>
          <w:kern w:val="0"/>
          <w:szCs w:val="24"/>
          <w:lang w:eastAsia="zh-CN"/>
        </w:rPr>
        <w:t> 2009; </w:t>
      </w:r>
      <w:r w:rsidRPr="00DF417A">
        <w:rPr>
          <w:rFonts w:cs="SimSun"/>
          <w:b/>
          <w:bCs/>
          <w:color w:val="auto"/>
          <w:kern w:val="0"/>
          <w:szCs w:val="24"/>
          <w:lang w:eastAsia="zh-CN"/>
        </w:rPr>
        <w:t>15</w:t>
      </w:r>
      <w:r w:rsidRPr="00DF417A">
        <w:rPr>
          <w:rFonts w:cs="SimSun"/>
          <w:color w:val="auto"/>
          <w:kern w:val="0"/>
          <w:szCs w:val="24"/>
          <w:lang w:eastAsia="zh-CN"/>
        </w:rPr>
        <w:t>: 291-298 [PMID: 19118057 DOI: 10.1158/1078-0432.CCR-08-0848]</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188 </w:t>
      </w:r>
      <w:r w:rsidRPr="00DF417A">
        <w:rPr>
          <w:rFonts w:cs="SimSun"/>
          <w:b/>
          <w:bCs/>
          <w:color w:val="auto"/>
          <w:kern w:val="0"/>
          <w:szCs w:val="24"/>
          <w:lang w:eastAsia="zh-CN"/>
        </w:rPr>
        <w:t>Mrena J</w:t>
      </w:r>
      <w:r w:rsidRPr="00DF417A">
        <w:rPr>
          <w:rFonts w:cs="SimSun"/>
          <w:color w:val="auto"/>
          <w:kern w:val="0"/>
          <w:szCs w:val="24"/>
          <w:lang w:eastAsia="zh-CN"/>
        </w:rPr>
        <w:t xml:space="preserve">, Wiksten JP, Thiel A, Kokkola A, Pohjola L, Lundin J, Nordling S, Ristimäki A, Haglund C. Cyclooxygenase-2 is an independent prognostic factor in gastric cancer and its expression is regulated by the messenger RNA stability factor </w:t>
      </w:r>
      <w:r w:rsidRPr="00DF417A">
        <w:rPr>
          <w:rFonts w:cs="SimSun"/>
          <w:color w:val="auto"/>
          <w:kern w:val="0"/>
          <w:szCs w:val="24"/>
          <w:lang w:eastAsia="zh-CN"/>
        </w:rPr>
        <w:lastRenderedPageBreak/>
        <w:t>HuR. </w:t>
      </w:r>
      <w:r w:rsidRPr="00DF417A">
        <w:rPr>
          <w:rFonts w:cs="SimSun"/>
          <w:i/>
          <w:iCs/>
          <w:color w:val="auto"/>
          <w:kern w:val="0"/>
          <w:szCs w:val="24"/>
          <w:lang w:eastAsia="zh-CN"/>
        </w:rPr>
        <w:t>Clin Cancer Res</w:t>
      </w:r>
      <w:r w:rsidRPr="00DF417A">
        <w:rPr>
          <w:rFonts w:cs="SimSun"/>
          <w:color w:val="auto"/>
          <w:kern w:val="0"/>
          <w:szCs w:val="24"/>
          <w:lang w:eastAsia="zh-CN"/>
        </w:rPr>
        <w:t> 2005; </w:t>
      </w:r>
      <w:r w:rsidRPr="00DF417A">
        <w:rPr>
          <w:rFonts w:cs="SimSun"/>
          <w:b/>
          <w:bCs/>
          <w:color w:val="auto"/>
          <w:kern w:val="0"/>
          <w:szCs w:val="24"/>
          <w:lang w:eastAsia="zh-CN"/>
        </w:rPr>
        <w:t>11</w:t>
      </w:r>
      <w:r w:rsidRPr="00DF417A">
        <w:rPr>
          <w:rFonts w:cs="SimSun"/>
          <w:color w:val="auto"/>
          <w:kern w:val="0"/>
          <w:szCs w:val="24"/>
          <w:lang w:eastAsia="zh-CN"/>
        </w:rPr>
        <w:t>: 7362-7368 [PMID: 16243808 DOI: 10.1158/1078-0432.CCR-05-0764]</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189 </w:t>
      </w:r>
      <w:r w:rsidRPr="00DF417A">
        <w:rPr>
          <w:rFonts w:cs="SimSun"/>
          <w:b/>
          <w:bCs/>
          <w:color w:val="auto"/>
          <w:kern w:val="0"/>
          <w:szCs w:val="24"/>
          <w:lang w:eastAsia="zh-CN"/>
        </w:rPr>
        <w:t>Liu F</w:t>
      </w:r>
      <w:r w:rsidRPr="00DF417A">
        <w:rPr>
          <w:rFonts w:cs="SimSun"/>
          <w:color w:val="auto"/>
          <w:kern w:val="0"/>
          <w:szCs w:val="24"/>
          <w:lang w:eastAsia="zh-CN"/>
        </w:rPr>
        <w:t>, Pan K, Zhang X, Zhang Y, Zhang L, Ma J, Dong C, Shen L, Li J, Deng D, Lin D, You W. Genetic variants in cyclooxygenase-2: Expression and risk of gastric cancer and its precursors in a Chinese population. </w:t>
      </w:r>
      <w:r w:rsidRPr="00DF417A">
        <w:rPr>
          <w:rFonts w:cs="SimSun"/>
          <w:i/>
          <w:iCs/>
          <w:color w:val="auto"/>
          <w:kern w:val="0"/>
          <w:szCs w:val="24"/>
          <w:lang w:eastAsia="zh-CN"/>
        </w:rPr>
        <w:t>Gastroenterology</w:t>
      </w:r>
      <w:r w:rsidRPr="00DF417A">
        <w:rPr>
          <w:rFonts w:cs="SimSun"/>
          <w:color w:val="auto"/>
          <w:kern w:val="0"/>
          <w:szCs w:val="24"/>
          <w:lang w:eastAsia="zh-CN"/>
        </w:rPr>
        <w:t> 2006; </w:t>
      </w:r>
      <w:r w:rsidRPr="00DF417A">
        <w:rPr>
          <w:rFonts w:cs="SimSun"/>
          <w:b/>
          <w:bCs/>
          <w:color w:val="auto"/>
          <w:kern w:val="0"/>
          <w:szCs w:val="24"/>
          <w:lang w:eastAsia="zh-CN"/>
        </w:rPr>
        <w:t>130</w:t>
      </w:r>
      <w:r w:rsidRPr="00DF417A">
        <w:rPr>
          <w:rFonts w:cs="SimSun"/>
          <w:color w:val="auto"/>
          <w:kern w:val="0"/>
          <w:szCs w:val="24"/>
          <w:lang w:eastAsia="zh-CN"/>
        </w:rPr>
        <w:t>: 1975-1984 [PMID: 16762620 DOI: http: //dx.doi.org/10.1053/j.gastro.2006.03.021]</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190 </w:t>
      </w:r>
      <w:r w:rsidRPr="00DF417A">
        <w:rPr>
          <w:rFonts w:cs="SimSun"/>
          <w:b/>
          <w:bCs/>
          <w:color w:val="auto"/>
          <w:kern w:val="0"/>
          <w:szCs w:val="24"/>
          <w:lang w:eastAsia="zh-CN"/>
        </w:rPr>
        <w:t>Hu PJ</w:t>
      </w:r>
      <w:r w:rsidRPr="00DF417A">
        <w:rPr>
          <w:rFonts w:cs="SimSun"/>
          <w:color w:val="auto"/>
          <w:kern w:val="0"/>
          <w:szCs w:val="24"/>
          <w:lang w:eastAsia="zh-CN"/>
        </w:rPr>
        <w:t>, Yu J, Zeng ZR, Leung WK, Lin HL, Tang BD, Bai AH, Sung JJ. Chemoprevention of gastric cancer by celecoxib in rats. </w:t>
      </w:r>
      <w:r w:rsidRPr="00DF417A">
        <w:rPr>
          <w:rFonts w:cs="SimSun"/>
          <w:i/>
          <w:iCs/>
          <w:color w:val="auto"/>
          <w:kern w:val="0"/>
          <w:szCs w:val="24"/>
          <w:lang w:eastAsia="zh-CN"/>
        </w:rPr>
        <w:t>Gut</w:t>
      </w:r>
      <w:r w:rsidRPr="00DF417A">
        <w:rPr>
          <w:rFonts w:cs="SimSun"/>
          <w:color w:val="auto"/>
          <w:kern w:val="0"/>
          <w:szCs w:val="24"/>
          <w:lang w:eastAsia="zh-CN"/>
        </w:rPr>
        <w:t> 2004; </w:t>
      </w:r>
      <w:r w:rsidRPr="00DF417A">
        <w:rPr>
          <w:rFonts w:cs="SimSun"/>
          <w:b/>
          <w:bCs/>
          <w:color w:val="auto"/>
          <w:kern w:val="0"/>
          <w:szCs w:val="24"/>
          <w:lang w:eastAsia="zh-CN"/>
        </w:rPr>
        <w:t>53</w:t>
      </w:r>
      <w:r w:rsidRPr="00DF417A">
        <w:rPr>
          <w:rFonts w:cs="SimSun"/>
          <w:color w:val="auto"/>
          <w:kern w:val="0"/>
          <w:szCs w:val="24"/>
          <w:lang w:eastAsia="zh-CN"/>
        </w:rPr>
        <w:t>: 195-200 [PMID: 14724149 DOI: 10.1136/gut.2003.021477]</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191 </w:t>
      </w:r>
      <w:r w:rsidRPr="00DF417A">
        <w:rPr>
          <w:rFonts w:cs="SimSun"/>
          <w:b/>
          <w:bCs/>
          <w:color w:val="auto"/>
          <w:kern w:val="0"/>
          <w:szCs w:val="24"/>
          <w:lang w:eastAsia="zh-CN"/>
        </w:rPr>
        <w:t>Langman MJ</w:t>
      </w:r>
      <w:r w:rsidRPr="00DF417A">
        <w:rPr>
          <w:rFonts w:cs="SimSun"/>
          <w:color w:val="auto"/>
          <w:kern w:val="0"/>
          <w:szCs w:val="24"/>
          <w:lang w:eastAsia="zh-CN"/>
        </w:rPr>
        <w:t>, Cheng KK, Gilman EA, Lancashire RJ. Effect of anti-inflammatory drugs on overall risk of common cancer: case-control study in general practice research database. </w:t>
      </w:r>
      <w:r w:rsidRPr="00DF417A">
        <w:rPr>
          <w:rFonts w:cs="SimSun"/>
          <w:i/>
          <w:iCs/>
          <w:color w:val="auto"/>
          <w:kern w:val="0"/>
          <w:szCs w:val="24"/>
          <w:lang w:eastAsia="zh-CN"/>
        </w:rPr>
        <w:t>BMJ</w:t>
      </w:r>
      <w:r w:rsidRPr="00DF417A">
        <w:rPr>
          <w:rFonts w:cs="SimSun"/>
          <w:color w:val="auto"/>
          <w:kern w:val="0"/>
          <w:szCs w:val="24"/>
          <w:lang w:eastAsia="zh-CN"/>
        </w:rPr>
        <w:t> 2000; </w:t>
      </w:r>
      <w:r w:rsidRPr="00DF417A">
        <w:rPr>
          <w:rFonts w:cs="SimSun"/>
          <w:b/>
          <w:bCs/>
          <w:color w:val="auto"/>
          <w:kern w:val="0"/>
          <w:szCs w:val="24"/>
          <w:lang w:eastAsia="zh-CN"/>
        </w:rPr>
        <w:t>320</w:t>
      </w:r>
      <w:r w:rsidRPr="00DF417A">
        <w:rPr>
          <w:rFonts w:cs="SimSun"/>
          <w:color w:val="auto"/>
          <w:kern w:val="0"/>
          <w:szCs w:val="24"/>
          <w:lang w:eastAsia="zh-CN"/>
        </w:rPr>
        <w:t>: 1642-1646 [PMID: 10856067 DOI: 10.1136/bmj.320.7250.1642]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192 </w:t>
      </w:r>
      <w:r w:rsidRPr="00DF417A">
        <w:rPr>
          <w:rFonts w:cs="SimSun"/>
          <w:b/>
          <w:bCs/>
          <w:color w:val="auto"/>
          <w:kern w:val="0"/>
          <w:szCs w:val="24"/>
          <w:lang w:eastAsia="zh-CN"/>
        </w:rPr>
        <w:t>Akre K</w:t>
      </w:r>
      <w:r w:rsidRPr="00DF417A">
        <w:rPr>
          <w:rFonts w:cs="SimSun"/>
          <w:color w:val="auto"/>
          <w:kern w:val="0"/>
          <w:szCs w:val="24"/>
          <w:lang w:eastAsia="zh-CN"/>
        </w:rPr>
        <w:t>, Ekström AM, Signorello LB, Hansson LE, Nyrén O. Aspirin and risk for gastric cancer: a population-based case-control study in Sweden. </w:t>
      </w:r>
      <w:r w:rsidRPr="00DF417A">
        <w:rPr>
          <w:rFonts w:cs="SimSun"/>
          <w:i/>
          <w:iCs/>
          <w:color w:val="auto"/>
          <w:kern w:val="0"/>
          <w:szCs w:val="24"/>
          <w:lang w:eastAsia="zh-CN"/>
        </w:rPr>
        <w:t>Br J Cancer</w:t>
      </w:r>
      <w:r w:rsidRPr="00DF417A">
        <w:rPr>
          <w:rFonts w:cs="SimSun"/>
          <w:color w:val="auto"/>
          <w:kern w:val="0"/>
          <w:szCs w:val="24"/>
          <w:lang w:eastAsia="zh-CN"/>
        </w:rPr>
        <w:t> 2001; </w:t>
      </w:r>
      <w:r w:rsidRPr="00DF417A">
        <w:rPr>
          <w:rFonts w:cs="SimSun"/>
          <w:b/>
          <w:bCs/>
          <w:color w:val="auto"/>
          <w:kern w:val="0"/>
          <w:szCs w:val="24"/>
          <w:lang w:eastAsia="zh-CN"/>
        </w:rPr>
        <w:t>84</w:t>
      </w:r>
      <w:r w:rsidRPr="00DF417A">
        <w:rPr>
          <w:rFonts w:cs="SimSun"/>
          <w:color w:val="auto"/>
          <w:kern w:val="0"/>
          <w:szCs w:val="24"/>
          <w:lang w:eastAsia="zh-CN"/>
        </w:rPr>
        <w:t>: 965-968 [PMID: 11286478 DOI: 10.1054/bjoc.2001.1702]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193 </w:t>
      </w:r>
      <w:r w:rsidRPr="00DF417A">
        <w:rPr>
          <w:rFonts w:cs="SimSun"/>
          <w:b/>
          <w:bCs/>
          <w:color w:val="auto"/>
          <w:kern w:val="0"/>
          <w:szCs w:val="24"/>
          <w:lang w:eastAsia="zh-CN"/>
        </w:rPr>
        <w:t>Iwata C</w:t>
      </w:r>
      <w:r w:rsidRPr="00DF417A">
        <w:rPr>
          <w:rFonts w:cs="SimSun"/>
          <w:color w:val="auto"/>
          <w:kern w:val="0"/>
          <w:szCs w:val="24"/>
          <w:lang w:eastAsia="zh-CN"/>
        </w:rPr>
        <w:t>, Kano MR, Komuro A, Oka M, Kiyono K, Johansson E, Morishita Y, Yashiro M, Hirakawa K, Kaminishi M, Miyazono K. Inhibition of cyclooxygenase-2 suppresses lymph node metastasis via reduction of lymphangiogenesis. </w:t>
      </w:r>
      <w:r w:rsidRPr="00DF417A">
        <w:rPr>
          <w:rFonts w:cs="SimSun"/>
          <w:i/>
          <w:iCs/>
          <w:color w:val="auto"/>
          <w:kern w:val="0"/>
          <w:szCs w:val="24"/>
          <w:lang w:eastAsia="zh-CN"/>
        </w:rPr>
        <w:t>Cancer Res</w:t>
      </w:r>
      <w:r w:rsidRPr="00DF417A">
        <w:rPr>
          <w:rFonts w:cs="SimSun"/>
          <w:color w:val="auto"/>
          <w:kern w:val="0"/>
          <w:szCs w:val="24"/>
          <w:lang w:eastAsia="zh-CN"/>
        </w:rPr>
        <w:t> 2007; </w:t>
      </w:r>
      <w:r w:rsidRPr="00DF417A">
        <w:rPr>
          <w:rFonts w:cs="SimSun"/>
          <w:b/>
          <w:bCs/>
          <w:color w:val="auto"/>
          <w:kern w:val="0"/>
          <w:szCs w:val="24"/>
          <w:lang w:eastAsia="zh-CN"/>
        </w:rPr>
        <w:t>67</w:t>
      </w:r>
      <w:r w:rsidRPr="00DF417A">
        <w:rPr>
          <w:rFonts w:cs="SimSun"/>
          <w:color w:val="auto"/>
          <w:kern w:val="0"/>
          <w:szCs w:val="24"/>
          <w:lang w:eastAsia="zh-CN"/>
        </w:rPr>
        <w:t>: 10181-10189 [PMID: 17974958 DOI: 10.1158/0008-5472.CAN-07-2366]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194 </w:t>
      </w:r>
      <w:r w:rsidRPr="00DF417A">
        <w:rPr>
          <w:rFonts w:cs="SimSun"/>
          <w:b/>
          <w:bCs/>
          <w:color w:val="auto"/>
          <w:kern w:val="0"/>
          <w:szCs w:val="24"/>
          <w:lang w:eastAsia="zh-CN"/>
        </w:rPr>
        <w:t>Sitarz R</w:t>
      </w:r>
      <w:r w:rsidRPr="00DF417A">
        <w:rPr>
          <w:rFonts w:cs="SimSun"/>
          <w:color w:val="auto"/>
          <w:kern w:val="0"/>
          <w:szCs w:val="24"/>
          <w:lang w:eastAsia="zh-CN"/>
        </w:rPr>
        <w:t>, Leguit RJ, de Leng WW, Morsink FH, Polkowski WP, Maciejewski R, Offerhaus GJ, Milne AN. Cyclooxygenase-2 mediated regulation of E-cadherin occurs in conventional but not early-onset gastric cancer cell lines. </w:t>
      </w:r>
      <w:r w:rsidRPr="00DF417A">
        <w:rPr>
          <w:rFonts w:cs="SimSun"/>
          <w:i/>
          <w:iCs/>
          <w:color w:val="auto"/>
          <w:kern w:val="0"/>
          <w:szCs w:val="24"/>
          <w:lang w:eastAsia="zh-CN"/>
        </w:rPr>
        <w:t>Cell Oncol</w:t>
      </w:r>
      <w:r w:rsidRPr="00DF417A">
        <w:rPr>
          <w:rFonts w:cs="SimSun"/>
          <w:color w:val="auto"/>
          <w:kern w:val="0"/>
          <w:szCs w:val="24"/>
          <w:lang w:eastAsia="zh-CN"/>
        </w:rPr>
        <w:t> 2009; </w:t>
      </w:r>
      <w:r w:rsidRPr="00DF417A">
        <w:rPr>
          <w:rFonts w:cs="SimSun"/>
          <w:b/>
          <w:bCs/>
          <w:color w:val="auto"/>
          <w:kern w:val="0"/>
          <w:szCs w:val="24"/>
          <w:lang w:eastAsia="zh-CN"/>
        </w:rPr>
        <w:t>31</w:t>
      </w:r>
      <w:r w:rsidRPr="00DF417A">
        <w:rPr>
          <w:rFonts w:cs="SimSun"/>
          <w:color w:val="auto"/>
          <w:kern w:val="0"/>
          <w:szCs w:val="24"/>
          <w:lang w:eastAsia="zh-CN"/>
        </w:rPr>
        <w:t>: 475-485 [PMID: 19940363 DOI: 10.3233/CLO-2009-0496]</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195 </w:t>
      </w:r>
      <w:r w:rsidRPr="00DF417A">
        <w:rPr>
          <w:rFonts w:cs="SimSun"/>
          <w:b/>
          <w:bCs/>
          <w:color w:val="auto"/>
          <w:kern w:val="0"/>
          <w:szCs w:val="24"/>
          <w:lang w:eastAsia="zh-CN"/>
        </w:rPr>
        <w:t>Karim S</w:t>
      </w:r>
      <w:r w:rsidRPr="00DF417A">
        <w:rPr>
          <w:rFonts w:cs="SimSun"/>
          <w:color w:val="auto"/>
          <w:kern w:val="0"/>
          <w:szCs w:val="24"/>
          <w:lang w:eastAsia="zh-CN"/>
        </w:rPr>
        <w:t>. Clinicopathological and p53 gene alteration comparison between young and older patients with gastric cancer. </w:t>
      </w:r>
      <w:r w:rsidRPr="00DF417A">
        <w:rPr>
          <w:rFonts w:cs="SimSun"/>
          <w:i/>
          <w:iCs/>
          <w:color w:val="auto"/>
          <w:kern w:val="0"/>
          <w:szCs w:val="24"/>
          <w:lang w:eastAsia="zh-CN"/>
        </w:rPr>
        <w:t>Asian Pac J Cancer Prev</w:t>
      </w:r>
      <w:r w:rsidRPr="00DF417A">
        <w:rPr>
          <w:rFonts w:cs="SimSun"/>
          <w:color w:val="auto"/>
          <w:kern w:val="0"/>
          <w:szCs w:val="24"/>
          <w:lang w:eastAsia="zh-CN"/>
        </w:rPr>
        <w:t> 2014; </w:t>
      </w:r>
      <w:r w:rsidRPr="00DF417A">
        <w:rPr>
          <w:rFonts w:cs="SimSun"/>
          <w:b/>
          <w:bCs/>
          <w:color w:val="auto"/>
          <w:kern w:val="0"/>
          <w:szCs w:val="24"/>
          <w:lang w:eastAsia="zh-CN"/>
        </w:rPr>
        <w:t>15</w:t>
      </w:r>
      <w:r w:rsidRPr="00DF417A">
        <w:rPr>
          <w:rFonts w:cs="SimSun"/>
          <w:color w:val="auto"/>
          <w:kern w:val="0"/>
          <w:szCs w:val="24"/>
          <w:lang w:eastAsia="zh-CN"/>
        </w:rPr>
        <w:t>: 1375-1379 [PMID: 24606468</w:t>
      </w:r>
      <w:r w:rsidRPr="00DF417A">
        <w:rPr>
          <w:rFonts w:cs="SimSun" w:hint="eastAsia"/>
          <w:color w:val="auto"/>
          <w:kern w:val="0"/>
          <w:szCs w:val="24"/>
          <w:lang w:eastAsia="zh-CN"/>
        </w:rPr>
        <w:t xml:space="preserve"> </w:t>
      </w:r>
      <w:r w:rsidRPr="00DF417A">
        <w:rPr>
          <w:rFonts w:cs="SimSun"/>
          <w:color w:val="auto"/>
          <w:kern w:val="0"/>
          <w:szCs w:val="24"/>
          <w:lang w:eastAsia="zh-CN"/>
        </w:rPr>
        <w:t>DOI: 10.7314/APJCP.2014.15.3.1375]</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 xml:space="preserve">196 </w:t>
      </w:r>
      <w:r w:rsidRPr="00DF417A">
        <w:rPr>
          <w:rFonts w:cs="SimSun"/>
          <w:b/>
          <w:color w:val="auto"/>
          <w:kern w:val="0"/>
          <w:szCs w:val="24"/>
          <w:lang w:eastAsia="zh-CN"/>
        </w:rPr>
        <w:t>Takatsu Y</w:t>
      </w:r>
      <w:r w:rsidRPr="00DF417A">
        <w:rPr>
          <w:rFonts w:cs="SimSun"/>
          <w:color w:val="auto"/>
          <w:kern w:val="0"/>
          <w:szCs w:val="24"/>
          <w:lang w:eastAsia="zh-CN"/>
        </w:rPr>
        <w:t xml:space="preserve">, Hiki N, Nunobe S, Ohashi M, Honda M, Yamaguchi T, Nakajima T, Sano T. Clinicopathological features of gastric cancer in young patients. </w:t>
      </w:r>
      <w:r w:rsidRPr="00DF417A">
        <w:rPr>
          <w:rFonts w:cs="SimSun"/>
          <w:i/>
          <w:color w:val="auto"/>
          <w:kern w:val="0"/>
          <w:szCs w:val="24"/>
          <w:lang w:eastAsia="zh-CN"/>
        </w:rPr>
        <w:t>Gastric Cancer</w:t>
      </w:r>
      <w:r w:rsidRPr="00DF417A">
        <w:rPr>
          <w:rFonts w:cs="SimSun"/>
          <w:color w:val="auto"/>
          <w:kern w:val="0"/>
          <w:szCs w:val="24"/>
          <w:lang w:eastAsia="zh-CN"/>
        </w:rPr>
        <w:t xml:space="preserve"> 2015</w:t>
      </w:r>
      <w:r w:rsidRPr="00DF417A">
        <w:rPr>
          <w:rFonts w:cs="SimSun" w:hint="eastAsia"/>
          <w:color w:val="auto"/>
          <w:kern w:val="0"/>
          <w:szCs w:val="24"/>
          <w:lang w:eastAsia="zh-CN"/>
        </w:rPr>
        <w:t xml:space="preserve">; </w:t>
      </w:r>
      <w:r w:rsidRPr="00DF417A">
        <w:rPr>
          <w:rFonts w:cs="SimSun"/>
          <w:color w:val="auto"/>
          <w:kern w:val="0"/>
          <w:szCs w:val="24"/>
          <w:lang w:eastAsia="zh-CN"/>
        </w:rPr>
        <w:t>Epub ahead of print</w:t>
      </w:r>
      <w:r w:rsidRPr="00DF417A">
        <w:rPr>
          <w:rFonts w:cs="SimSun" w:hint="eastAsia"/>
          <w:color w:val="auto"/>
          <w:kern w:val="0"/>
          <w:szCs w:val="24"/>
          <w:lang w:eastAsia="zh-CN"/>
        </w:rPr>
        <w:t xml:space="preserve"> [PMID: </w:t>
      </w:r>
      <w:r w:rsidRPr="00DF417A">
        <w:rPr>
          <w:rFonts w:cs="SimSun"/>
          <w:color w:val="auto"/>
          <w:kern w:val="0"/>
          <w:szCs w:val="24"/>
          <w:lang w:eastAsia="zh-CN"/>
        </w:rPr>
        <w:t>25752270</w:t>
      </w:r>
      <w:r w:rsidRPr="00DF417A">
        <w:rPr>
          <w:rFonts w:cs="SimSun" w:hint="eastAsia"/>
          <w:color w:val="auto"/>
          <w:kern w:val="0"/>
          <w:szCs w:val="24"/>
          <w:lang w:eastAsia="zh-CN"/>
        </w:rPr>
        <w:t xml:space="preserve"> </w:t>
      </w:r>
      <w:r w:rsidRPr="00DF417A">
        <w:rPr>
          <w:rFonts w:cs="SimSun"/>
          <w:color w:val="auto"/>
          <w:kern w:val="0"/>
          <w:szCs w:val="24"/>
          <w:lang w:eastAsia="zh-CN"/>
        </w:rPr>
        <w:t>DOI: 10.1007/s10120-015-0484-1</w:t>
      </w:r>
      <w:r w:rsidRPr="00DF417A">
        <w:rPr>
          <w:rFonts w:cs="SimSun" w:hint="eastAsia"/>
          <w:color w:val="auto"/>
          <w:kern w:val="0"/>
          <w:szCs w:val="24"/>
          <w:lang w:eastAsia="zh-CN"/>
        </w:rPr>
        <w:t>]</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lastRenderedPageBreak/>
        <w:t>197 </w:t>
      </w:r>
      <w:r w:rsidRPr="00DF417A">
        <w:rPr>
          <w:rFonts w:cs="SimSun"/>
          <w:b/>
          <w:bCs/>
          <w:color w:val="auto"/>
          <w:kern w:val="0"/>
          <w:szCs w:val="24"/>
          <w:lang w:eastAsia="zh-CN"/>
        </w:rPr>
        <w:t>Yanjun X</w:t>
      </w:r>
      <w:r w:rsidRPr="00DF417A">
        <w:rPr>
          <w:rFonts w:cs="SimSun"/>
          <w:color w:val="auto"/>
          <w:kern w:val="0"/>
          <w:szCs w:val="24"/>
          <w:lang w:eastAsia="zh-CN"/>
        </w:rPr>
        <w:t>, Wenming C, Lisha Y, Qi X, Jianmin G, Xinbao W, Xiangdong C, Jieer Y. Detection of CDH1 gene variants in early-onset diffuse gastric cancer in Chinese patients. </w:t>
      </w:r>
      <w:r w:rsidRPr="00DF417A">
        <w:rPr>
          <w:rFonts w:cs="SimSun"/>
          <w:i/>
          <w:iCs/>
          <w:color w:val="auto"/>
          <w:kern w:val="0"/>
          <w:szCs w:val="24"/>
          <w:lang w:eastAsia="zh-CN"/>
        </w:rPr>
        <w:t>Clin Lab</w:t>
      </w:r>
      <w:r w:rsidRPr="00DF417A">
        <w:rPr>
          <w:rFonts w:cs="SimSun"/>
          <w:color w:val="auto"/>
          <w:kern w:val="0"/>
          <w:szCs w:val="24"/>
          <w:lang w:eastAsia="zh-CN"/>
        </w:rPr>
        <w:t> 2014; </w:t>
      </w:r>
      <w:r w:rsidRPr="00DF417A">
        <w:rPr>
          <w:rFonts w:cs="SimSun"/>
          <w:b/>
          <w:bCs/>
          <w:color w:val="auto"/>
          <w:kern w:val="0"/>
          <w:szCs w:val="24"/>
          <w:lang w:eastAsia="zh-CN"/>
        </w:rPr>
        <w:t>60</w:t>
      </w:r>
      <w:r w:rsidRPr="00DF417A">
        <w:rPr>
          <w:rFonts w:cs="SimSun"/>
          <w:color w:val="auto"/>
          <w:kern w:val="0"/>
          <w:szCs w:val="24"/>
          <w:lang w:eastAsia="zh-CN"/>
        </w:rPr>
        <w:t>: 1823-1830 [PMID: 25648022]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198 </w:t>
      </w:r>
      <w:r w:rsidRPr="00DF417A">
        <w:rPr>
          <w:rFonts w:cs="SimSun"/>
          <w:b/>
          <w:bCs/>
          <w:color w:val="auto"/>
          <w:kern w:val="0"/>
          <w:szCs w:val="24"/>
          <w:lang w:eastAsia="zh-CN"/>
        </w:rPr>
        <w:t>Du J</w:t>
      </w:r>
      <w:r w:rsidRPr="00DF417A">
        <w:rPr>
          <w:rFonts w:cs="SimSun"/>
          <w:color w:val="auto"/>
          <w:kern w:val="0"/>
          <w:szCs w:val="24"/>
          <w:lang w:eastAsia="zh-CN"/>
        </w:rPr>
        <w:t>, Xu Y, Dai J, Ren C, Zhu C, Dai N, Ma H, Shi Y, Hu Z, Lin D, Shen H, Jin G. Genetic variants at 5p15 are associated with risk and early onset of gastric cancer in Chinese populations. </w:t>
      </w:r>
      <w:r w:rsidRPr="00DF417A">
        <w:rPr>
          <w:rFonts w:cs="SimSun"/>
          <w:i/>
          <w:iCs/>
          <w:color w:val="auto"/>
          <w:kern w:val="0"/>
          <w:szCs w:val="24"/>
          <w:lang w:eastAsia="zh-CN"/>
        </w:rPr>
        <w:t>Carcinogenesis</w:t>
      </w:r>
      <w:r w:rsidRPr="00DF417A">
        <w:rPr>
          <w:rFonts w:cs="SimSun"/>
          <w:color w:val="auto"/>
          <w:kern w:val="0"/>
          <w:szCs w:val="24"/>
          <w:lang w:eastAsia="zh-CN"/>
        </w:rPr>
        <w:t> 2013; </w:t>
      </w:r>
      <w:r w:rsidRPr="00DF417A">
        <w:rPr>
          <w:rFonts w:cs="SimSun"/>
          <w:b/>
          <w:bCs/>
          <w:color w:val="auto"/>
          <w:kern w:val="0"/>
          <w:szCs w:val="24"/>
          <w:lang w:eastAsia="zh-CN"/>
        </w:rPr>
        <w:t>34</w:t>
      </w:r>
      <w:r w:rsidRPr="00DF417A">
        <w:rPr>
          <w:rFonts w:cs="SimSun"/>
          <w:color w:val="auto"/>
          <w:kern w:val="0"/>
          <w:szCs w:val="24"/>
          <w:lang w:eastAsia="zh-CN"/>
        </w:rPr>
        <w:t>: 2539-2542 [PMID: 23901064 DOI: 10.1093/carcin/bgt259]</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199 </w:t>
      </w:r>
      <w:r w:rsidRPr="00DF417A">
        <w:rPr>
          <w:rFonts w:cs="SimSun"/>
          <w:b/>
          <w:bCs/>
          <w:color w:val="auto"/>
          <w:kern w:val="0"/>
          <w:szCs w:val="24"/>
          <w:lang w:eastAsia="zh-CN"/>
        </w:rPr>
        <w:t>Carvalho R</w:t>
      </w:r>
      <w:r w:rsidRPr="00DF417A">
        <w:rPr>
          <w:rFonts w:cs="SimSun"/>
          <w:color w:val="auto"/>
          <w:kern w:val="0"/>
          <w:szCs w:val="24"/>
          <w:lang w:eastAsia="zh-CN"/>
        </w:rPr>
        <w:t>, Milne AN, Polak M, Corver WE, Offerhaus GJ, Weterman MA. Exclusion of RUNX3 as a tumour-suppressor gene in early-onset gastric carcinomas.</w:t>
      </w:r>
      <w:r w:rsidR="00AD072B">
        <w:rPr>
          <w:rFonts w:cs="SimSun" w:hint="eastAsia"/>
          <w:color w:val="auto"/>
          <w:kern w:val="0"/>
          <w:szCs w:val="24"/>
          <w:lang w:eastAsia="zh-CN"/>
        </w:rPr>
        <w:t xml:space="preserve"> </w:t>
      </w:r>
      <w:r w:rsidRPr="00DF417A">
        <w:rPr>
          <w:rFonts w:cs="SimSun"/>
          <w:i/>
          <w:iCs/>
          <w:color w:val="auto"/>
          <w:kern w:val="0"/>
          <w:szCs w:val="24"/>
          <w:lang w:eastAsia="zh-CN"/>
        </w:rPr>
        <w:t>Oncogene</w:t>
      </w:r>
      <w:r w:rsidRPr="00DF417A">
        <w:rPr>
          <w:rFonts w:cs="SimSun"/>
          <w:color w:val="auto"/>
          <w:kern w:val="0"/>
          <w:szCs w:val="24"/>
          <w:lang w:eastAsia="zh-CN"/>
        </w:rPr>
        <w:t> 2005; </w:t>
      </w:r>
      <w:r w:rsidRPr="00DF417A">
        <w:rPr>
          <w:rFonts w:cs="SimSun"/>
          <w:b/>
          <w:bCs/>
          <w:color w:val="auto"/>
          <w:kern w:val="0"/>
          <w:szCs w:val="24"/>
          <w:lang w:eastAsia="zh-CN"/>
        </w:rPr>
        <w:t>24</w:t>
      </w:r>
      <w:r w:rsidRPr="00DF417A">
        <w:rPr>
          <w:rFonts w:cs="SimSun"/>
          <w:color w:val="auto"/>
          <w:kern w:val="0"/>
          <w:szCs w:val="24"/>
          <w:lang w:eastAsia="zh-CN"/>
        </w:rPr>
        <w:t>: 8252-8258 [PMID: 16091737 DOI: 10.1038/sj.onc.1208963]</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200 </w:t>
      </w:r>
      <w:r w:rsidRPr="00DF417A">
        <w:rPr>
          <w:rFonts w:cs="SimSun"/>
          <w:b/>
          <w:bCs/>
          <w:color w:val="auto"/>
          <w:kern w:val="0"/>
          <w:szCs w:val="24"/>
          <w:lang w:eastAsia="zh-CN"/>
        </w:rPr>
        <w:t>Sugimoto S</w:t>
      </w:r>
      <w:r w:rsidRPr="00DF417A">
        <w:rPr>
          <w:rFonts w:cs="SimSun"/>
          <w:color w:val="auto"/>
          <w:kern w:val="0"/>
          <w:szCs w:val="24"/>
          <w:lang w:eastAsia="zh-CN"/>
        </w:rPr>
        <w:t>, Yamada H, Takahashi M, Morohoshi Y, Yamaguchi N, Tsunoda Y, Hayashi H, Sugimura H, Komatsu H. Early-onset diffuse gastric cancer associated with a de novo large genomic deletion of CDH1 gene.</w:t>
      </w:r>
      <w:r w:rsidRPr="00DF417A">
        <w:rPr>
          <w:rFonts w:cs="SimSun" w:hint="eastAsia"/>
          <w:color w:val="auto"/>
          <w:kern w:val="0"/>
          <w:szCs w:val="24"/>
          <w:lang w:eastAsia="zh-CN"/>
        </w:rPr>
        <w:t xml:space="preserve"> </w:t>
      </w:r>
      <w:r w:rsidRPr="00DF417A">
        <w:rPr>
          <w:rFonts w:cs="SimSun"/>
          <w:i/>
          <w:iCs/>
          <w:color w:val="auto"/>
          <w:kern w:val="0"/>
          <w:szCs w:val="24"/>
          <w:lang w:eastAsia="zh-CN"/>
        </w:rPr>
        <w:t>Gastric Cancer</w:t>
      </w:r>
      <w:r w:rsidRPr="00DF417A">
        <w:rPr>
          <w:rFonts w:cs="SimSun" w:hint="eastAsia"/>
          <w:color w:val="auto"/>
          <w:kern w:val="0"/>
          <w:szCs w:val="24"/>
          <w:lang w:eastAsia="zh-CN"/>
        </w:rPr>
        <w:t xml:space="preserve"> </w:t>
      </w:r>
      <w:r w:rsidRPr="00DF417A">
        <w:rPr>
          <w:rFonts w:cs="SimSun"/>
          <w:color w:val="auto"/>
          <w:kern w:val="0"/>
          <w:szCs w:val="24"/>
          <w:lang w:eastAsia="zh-CN"/>
        </w:rPr>
        <w:t>2014;</w:t>
      </w:r>
      <w:r w:rsidRPr="00DF417A">
        <w:rPr>
          <w:rFonts w:cs="SimSun" w:hint="eastAsia"/>
          <w:color w:val="auto"/>
          <w:kern w:val="0"/>
          <w:szCs w:val="24"/>
          <w:lang w:eastAsia="zh-CN"/>
        </w:rPr>
        <w:t xml:space="preserve"> </w:t>
      </w:r>
      <w:r w:rsidRPr="00DF417A">
        <w:rPr>
          <w:rFonts w:cs="SimSun"/>
          <w:b/>
          <w:bCs/>
          <w:color w:val="auto"/>
          <w:kern w:val="0"/>
          <w:szCs w:val="24"/>
          <w:lang w:eastAsia="zh-CN"/>
        </w:rPr>
        <w:t>17</w:t>
      </w:r>
      <w:r w:rsidRPr="00DF417A">
        <w:rPr>
          <w:rFonts w:cs="SimSun"/>
          <w:color w:val="auto"/>
          <w:kern w:val="0"/>
          <w:szCs w:val="24"/>
          <w:lang w:eastAsia="zh-CN"/>
        </w:rPr>
        <w:t>: 745-749 [PMID: 23812922 DOI: 10.1007/s10120-013-0278-2]</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201 </w:t>
      </w:r>
      <w:r w:rsidRPr="00DF417A">
        <w:rPr>
          <w:rFonts w:cs="SimSun"/>
          <w:b/>
          <w:bCs/>
          <w:color w:val="auto"/>
          <w:kern w:val="0"/>
          <w:szCs w:val="24"/>
          <w:lang w:eastAsia="zh-CN"/>
        </w:rPr>
        <w:t>Hiyama T</w:t>
      </w:r>
      <w:r w:rsidRPr="00DF417A">
        <w:rPr>
          <w:rFonts w:cs="SimSun"/>
          <w:color w:val="auto"/>
          <w:kern w:val="0"/>
          <w:szCs w:val="24"/>
          <w:lang w:eastAsia="zh-CN"/>
        </w:rPr>
        <w:t>, Tanaka S, Yoshihara M, Sasao S, Kose K, Shima H, Tuncel H, Ueno Y, Ito M, Kitadai Y, Yasui W, Haruma K, Chayama K. Chromosomal and microsatellite instability in sporadic gastric cancer. </w:t>
      </w:r>
      <w:r w:rsidRPr="00DF417A">
        <w:rPr>
          <w:rFonts w:cs="SimSun"/>
          <w:i/>
          <w:iCs/>
          <w:color w:val="auto"/>
          <w:kern w:val="0"/>
          <w:szCs w:val="24"/>
          <w:lang w:eastAsia="zh-CN"/>
        </w:rPr>
        <w:t>J Gastroenterol Hepatol</w:t>
      </w:r>
      <w:r w:rsidRPr="00DF417A">
        <w:rPr>
          <w:rFonts w:cs="SimSun" w:hint="eastAsia"/>
          <w:color w:val="auto"/>
          <w:kern w:val="0"/>
          <w:szCs w:val="24"/>
          <w:lang w:eastAsia="zh-CN"/>
        </w:rPr>
        <w:t xml:space="preserve"> </w:t>
      </w:r>
      <w:r w:rsidRPr="00DF417A">
        <w:rPr>
          <w:rFonts w:cs="SimSun"/>
          <w:color w:val="auto"/>
          <w:kern w:val="0"/>
          <w:szCs w:val="24"/>
          <w:lang w:eastAsia="zh-CN"/>
        </w:rPr>
        <w:t>2004;</w:t>
      </w:r>
      <w:r w:rsidRPr="00DF417A">
        <w:rPr>
          <w:rFonts w:cs="SimSun" w:hint="eastAsia"/>
          <w:color w:val="auto"/>
          <w:kern w:val="0"/>
          <w:szCs w:val="24"/>
          <w:lang w:eastAsia="zh-CN"/>
        </w:rPr>
        <w:t xml:space="preserve"> </w:t>
      </w:r>
      <w:r w:rsidRPr="00DF417A">
        <w:rPr>
          <w:rFonts w:cs="SimSun"/>
          <w:b/>
          <w:bCs/>
          <w:color w:val="auto"/>
          <w:kern w:val="0"/>
          <w:szCs w:val="24"/>
          <w:lang w:eastAsia="zh-CN"/>
        </w:rPr>
        <w:t>19</w:t>
      </w:r>
      <w:r w:rsidRPr="00DF417A">
        <w:rPr>
          <w:rFonts w:cs="SimSun"/>
          <w:color w:val="auto"/>
          <w:kern w:val="0"/>
          <w:szCs w:val="24"/>
          <w:lang w:eastAsia="zh-CN"/>
        </w:rPr>
        <w:t>: 756-760 [PMID: 15209621 DOI: 10.1111/j.1440-1746.2004.03369.x]</w:t>
      </w:r>
    </w:p>
    <w:p w:rsidR="00DF417A" w:rsidRPr="00DF417A" w:rsidRDefault="00DF417A" w:rsidP="00DF417A">
      <w:pPr>
        <w:suppressAutoHyphens w:val="0"/>
        <w:jc w:val="both"/>
        <w:rPr>
          <w:rFonts w:cs="SimSun"/>
          <w:color w:val="auto"/>
          <w:kern w:val="0"/>
          <w:szCs w:val="24"/>
          <w:lang w:eastAsia="zh-CN"/>
        </w:rPr>
      </w:pPr>
      <w:r w:rsidRPr="00DF417A">
        <w:rPr>
          <w:rFonts w:cs="SimSun"/>
          <w:color w:val="auto"/>
          <w:kern w:val="0"/>
          <w:szCs w:val="24"/>
          <w:lang w:eastAsia="zh-CN"/>
        </w:rPr>
        <w:t>202 </w:t>
      </w:r>
      <w:r w:rsidRPr="00DF417A">
        <w:rPr>
          <w:rFonts w:cs="SimSun"/>
          <w:b/>
          <w:bCs/>
          <w:color w:val="auto"/>
          <w:kern w:val="0"/>
          <w:szCs w:val="24"/>
          <w:lang w:eastAsia="zh-CN"/>
        </w:rPr>
        <w:t>Bevilacqua RA</w:t>
      </w:r>
      <w:r w:rsidRPr="00DF417A">
        <w:rPr>
          <w:rFonts w:cs="SimSun"/>
          <w:color w:val="auto"/>
          <w:kern w:val="0"/>
          <w:szCs w:val="24"/>
          <w:lang w:eastAsia="zh-CN"/>
        </w:rPr>
        <w:t>, Simpson AJ. Methylation of the hMLH1 promoter but no hMLH1 mutations in sporadic gastric carcinomas with high-level microsatellite instability. </w:t>
      </w:r>
      <w:r w:rsidRPr="00DF417A">
        <w:rPr>
          <w:rFonts w:cs="SimSun"/>
          <w:i/>
          <w:iCs/>
          <w:color w:val="auto"/>
          <w:kern w:val="0"/>
          <w:szCs w:val="24"/>
          <w:lang w:eastAsia="zh-CN"/>
        </w:rPr>
        <w:t>Int J Cancer</w:t>
      </w:r>
      <w:r w:rsidRPr="00DF417A">
        <w:rPr>
          <w:rFonts w:cs="SimSun"/>
          <w:color w:val="auto"/>
          <w:kern w:val="0"/>
          <w:szCs w:val="24"/>
          <w:lang w:eastAsia="zh-CN"/>
        </w:rPr>
        <w:t> 2000; </w:t>
      </w:r>
      <w:r w:rsidRPr="00DF417A">
        <w:rPr>
          <w:rFonts w:cs="SimSun"/>
          <w:b/>
          <w:bCs/>
          <w:color w:val="auto"/>
          <w:kern w:val="0"/>
          <w:szCs w:val="24"/>
          <w:lang w:eastAsia="zh-CN"/>
        </w:rPr>
        <w:t>87</w:t>
      </w:r>
      <w:r w:rsidRPr="00DF417A">
        <w:rPr>
          <w:rFonts w:cs="SimSun"/>
          <w:color w:val="auto"/>
          <w:kern w:val="0"/>
          <w:szCs w:val="24"/>
          <w:lang w:eastAsia="zh-CN"/>
        </w:rPr>
        <w:t>: 200-203 [PMID: 10861474</w:t>
      </w:r>
      <w:r w:rsidRPr="00DF417A">
        <w:rPr>
          <w:rFonts w:cs="SimSun" w:hint="eastAsia"/>
          <w:color w:val="auto"/>
          <w:kern w:val="0"/>
          <w:szCs w:val="24"/>
          <w:lang w:eastAsia="zh-CN"/>
        </w:rPr>
        <w:t xml:space="preserve"> </w:t>
      </w:r>
      <w:r w:rsidRPr="00DF417A">
        <w:rPr>
          <w:rFonts w:cs="SimSun"/>
          <w:color w:val="auto"/>
          <w:kern w:val="0"/>
          <w:szCs w:val="24"/>
          <w:lang w:eastAsia="zh-CN"/>
        </w:rPr>
        <w:t>DOI: 10.1002/1097-0215(20000715)87:2&lt;200::AID-IJC7&gt;3.0.CO;2-I]</w:t>
      </w:r>
    </w:p>
    <w:p w:rsidR="00DF417A" w:rsidRPr="00DF417A" w:rsidRDefault="00DF417A" w:rsidP="00DF417A">
      <w:pPr>
        <w:widowControl w:val="0"/>
        <w:suppressAutoHyphens w:val="0"/>
        <w:wordWrap w:val="0"/>
        <w:jc w:val="right"/>
        <w:rPr>
          <w:rFonts w:cs="Times New Roman"/>
          <w:color w:val="auto"/>
          <w:kern w:val="2"/>
          <w:szCs w:val="24"/>
          <w:lang w:eastAsia="zh-CN"/>
        </w:rPr>
      </w:pPr>
      <w:bookmarkStart w:id="39" w:name="OLE_LINK51"/>
      <w:bookmarkStart w:id="40" w:name="OLE_LINK52"/>
      <w:bookmarkStart w:id="41" w:name="OLE_LINK120"/>
      <w:bookmarkStart w:id="42" w:name="OLE_LINK148"/>
      <w:bookmarkStart w:id="43" w:name="OLE_LINK72"/>
      <w:bookmarkStart w:id="44" w:name="OLE_LINK112"/>
      <w:bookmarkStart w:id="45" w:name="OLE_LINK320"/>
      <w:bookmarkStart w:id="46" w:name="OLE_LINK387"/>
      <w:bookmarkStart w:id="47" w:name="OLE_LINK183"/>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End w:id="38"/>
      <w:r w:rsidRPr="00DF417A">
        <w:rPr>
          <w:rFonts w:cs="Times New Roman"/>
          <w:b/>
          <w:bCs/>
          <w:color w:val="auto"/>
          <w:kern w:val="2"/>
          <w:szCs w:val="24"/>
          <w:lang w:eastAsia="zh-CN"/>
        </w:rPr>
        <w:t>P-Reviewer:</w:t>
      </w:r>
      <w:r w:rsidRPr="00DF417A">
        <w:rPr>
          <w:rFonts w:cs="Times New Roman" w:hint="eastAsia"/>
          <w:b/>
          <w:bCs/>
          <w:color w:val="auto"/>
          <w:kern w:val="2"/>
          <w:szCs w:val="24"/>
          <w:lang w:eastAsia="zh-CN"/>
        </w:rPr>
        <w:t xml:space="preserve"> </w:t>
      </w:r>
      <w:r w:rsidRPr="00DF417A">
        <w:rPr>
          <w:rFonts w:cs="Times New Roman"/>
          <w:bCs/>
          <w:color w:val="auto"/>
          <w:kern w:val="2"/>
          <w:szCs w:val="24"/>
          <w:lang w:eastAsia="zh-CN"/>
        </w:rPr>
        <w:t>Li</w:t>
      </w:r>
      <w:r w:rsidRPr="00DF417A">
        <w:rPr>
          <w:rFonts w:cs="Times New Roman" w:hint="eastAsia"/>
          <w:bCs/>
          <w:color w:val="auto"/>
          <w:kern w:val="2"/>
          <w:szCs w:val="24"/>
          <w:lang w:eastAsia="zh-CN"/>
        </w:rPr>
        <w:t xml:space="preserve"> </w:t>
      </w:r>
      <w:r w:rsidRPr="00DF417A">
        <w:rPr>
          <w:rFonts w:cs="Times New Roman"/>
          <w:bCs/>
          <w:color w:val="auto"/>
          <w:kern w:val="2"/>
          <w:szCs w:val="24"/>
          <w:lang w:eastAsia="zh-CN"/>
        </w:rPr>
        <w:t>Y</w:t>
      </w:r>
      <w:r w:rsidRPr="00DF417A">
        <w:rPr>
          <w:rFonts w:cs="Times New Roman" w:hint="eastAsia"/>
          <w:bCs/>
          <w:color w:val="auto"/>
          <w:kern w:val="2"/>
          <w:szCs w:val="24"/>
          <w:lang w:eastAsia="zh-CN"/>
        </w:rPr>
        <w:t xml:space="preserve">, </w:t>
      </w:r>
      <w:r w:rsidRPr="00DF417A">
        <w:rPr>
          <w:rFonts w:cs="Times New Roman"/>
          <w:bCs/>
          <w:color w:val="auto"/>
          <w:kern w:val="2"/>
          <w:szCs w:val="24"/>
          <w:lang w:eastAsia="zh-CN"/>
        </w:rPr>
        <w:t>Liang</w:t>
      </w:r>
      <w:r w:rsidRPr="00DF417A">
        <w:rPr>
          <w:rFonts w:cs="Times New Roman" w:hint="eastAsia"/>
          <w:bCs/>
          <w:color w:val="auto"/>
          <w:kern w:val="2"/>
          <w:szCs w:val="24"/>
          <w:lang w:eastAsia="zh-CN"/>
        </w:rPr>
        <w:t xml:space="preserve"> </w:t>
      </w:r>
      <w:r w:rsidRPr="00DF417A">
        <w:rPr>
          <w:rFonts w:cs="Times New Roman"/>
          <w:bCs/>
          <w:color w:val="auto"/>
          <w:kern w:val="2"/>
          <w:szCs w:val="24"/>
          <w:lang w:eastAsia="zh-CN"/>
        </w:rPr>
        <w:t>H</w:t>
      </w:r>
      <w:r w:rsidRPr="00DF417A">
        <w:rPr>
          <w:rFonts w:cs="Times New Roman" w:hint="eastAsia"/>
          <w:bCs/>
          <w:color w:val="auto"/>
          <w:kern w:val="2"/>
          <w:szCs w:val="24"/>
          <w:lang w:eastAsia="zh-CN"/>
        </w:rPr>
        <w:t xml:space="preserve">, </w:t>
      </w:r>
      <w:r w:rsidRPr="00DF417A">
        <w:rPr>
          <w:rFonts w:cs="Times New Roman"/>
          <w:bCs/>
          <w:color w:val="auto"/>
          <w:kern w:val="2"/>
          <w:szCs w:val="24"/>
          <w:lang w:eastAsia="zh-CN"/>
        </w:rPr>
        <w:t>Park WS</w:t>
      </w:r>
      <w:r w:rsidRPr="00DF417A">
        <w:rPr>
          <w:rFonts w:cs="Times New Roman" w:hint="eastAsia"/>
          <w:bCs/>
          <w:color w:val="auto"/>
          <w:kern w:val="2"/>
          <w:szCs w:val="24"/>
          <w:lang w:eastAsia="zh-CN"/>
        </w:rPr>
        <w:t xml:space="preserve">, </w:t>
      </w:r>
      <w:r w:rsidRPr="00DF417A">
        <w:rPr>
          <w:rFonts w:cs="Times New Roman"/>
          <w:bCs/>
          <w:color w:val="auto"/>
          <w:kern w:val="2"/>
          <w:szCs w:val="24"/>
          <w:lang w:eastAsia="zh-CN"/>
        </w:rPr>
        <w:t>Tang</w:t>
      </w:r>
      <w:r w:rsidRPr="00DF417A">
        <w:rPr>
          <w:rFonts w:cs="Times New Roman" w:hint="eastAsia"/>
          <w:bCs/>
          <w:color w:val="auto"/>
          <w:kern w:val="2"/>
          <w:szCs w:val="24"/>
          <w:lang w:eastAsia="zh-CN"/>
        </w:rPr>
        <w:t xml:space="preserve"> </w:t>
      </w:r>
      <w:r w:rsidRPr="00DF417A">
        <w:rPr>
          <w:rFonts w:cs="Times New Roman"/>
          <w:bCs/>
          <w:color w:val="auto"/>
          <w:kern w:val="2"/>
          <w:szCs w:val="24"/>
          <w:lang w:eastAsia="zh-CN"/>
        </w:rPr>
        <w:t>SY</w:t>
      </w:r>
      <w:r w:rsidRPr="00DF417A">
        <w:rPr>
          <w:rFonts w:cs="Times New Roman"/>
          <w:b/>
          <w:bCs/>
          <w:color w:val="auto"/>
          <w:kern w:val="2"/>
          <w:szCs w:val="24"/>
          <w:lang w:eastAsia="zh-CN"/>
        </w:rPr>
        <w:t xml:space="preserve"> S-Editor:</w:t>
      </w:r>
      <w:r w:rsidRPr="00DF417A">
        <w:rPr>
          <w:rFonts w:cs="Times New Roman" w:hint="eastAsia"/>
          <w:color w:val="auto"/>
          <w:kern w:val="2"/>
          <w:szCs w:val="24"/>
          <w:lang w:eastAsia="zh-CN"/>
        </w:rPr>
        <w:t xml:space="preserve"> Gong ZM</w:t>
      </w:r>
    </w:p>
    <w:p w:rsidR="00DF417A" w:rsidRPr="00DF417A" w:rsidRDefault="00DF417A" w:rsidP="00DF417A">
      <w:pPr>
        <w:widowControl w:val="0"/>
        <w:suppressAutoHyphens w:val="0"/>
        <w:jc w:val="right"/>
        <w:rPr>
          <w:rFonts w:cs="Times New Roman"/>
          <w:color w:val="auto"/>
          <w:kern w:val="2"/>
          <w:szCs w:val="24"/>
          <w:lang w:eastAsia="zh-CN"/>
        </w:rPr>
      </w:pPr>
      <w:r w:rsidRPr="00DF417A">
        <w:rPr>
          <w:rFonts w:cs="Times New Roman"/>
          <w:b/>
          <w:bCs/>
          <w:color w:val="auto"/>
          <w:kern w:val="2"/>
          <w:szCs w:val="24"/>
          <w:lang w:eastAsia="zh-CN"/>
        </w:rPr>
        <w:t>L-Editor:</w:t>
      </w:r>
      <w:r w:rsidRPr="00DF417A">
        <w:rPr>
          <w:rFonts w:cs="Times New Roman"/>
          <w:color w:val="auto"/>
          <w:kern w:val="2"/>
          <w:szCs w:val="24"/>
          <w:lang w:eastAsia="zh-CN"/>
        </w:rPr>
        <w:t xml:space="preserve"> </w:t>
      </w:r>
      <w:r w:rsidRPr="00DF417A">
        <w:rPr>
          <w:rFonts w:cs="Times New Roman"/>
          <w:b/>
          <w:bCs/>
          <w:color w:val="auto"/>
          <w:kern w:val="2"/>
          <w:szCs w:val="24"/>
          <w:lang w:eastAsia="zh-CN"/>
        </w:rPr>
        <w:t>E-Editor: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cs="Times New Roman"/>
          <w:b/>
          <w:szCs w:val="24"/>
          <w:lang w:eastAsia="zh-CN"/>
        </w:rPr>
        <w:br w:type="page"/>
      </w:r>
    </w:p>
    <w:p w:rsidR="00AE309D" w:rsidRPr="00AE309D" w:rsidRDefault="00AE309D" w:rsidP="00AE309D">
      <w:pPr>
        <w:pStyle w:val="Bezodstpw1"/>
        <w:spacing w:line="360" w:lineRule="auto"/>
        <w:jc w:val="both"/>
        <w:rPr>
          <w:rFonts w:ascii="Book Antiqua" w:hAnsi="Book Antiqua" w:cs="Times New Roman"/>
          <w:b/>
          <w:sz w:val="24"/>
          <w:szCs w:val="24"/>
        </w:rPr>
      </w:pPr>
      <w:r>
        <w:rPr>
          <w:rFonts w:ascii="Book Antiqua" w:hAnsi="Book Antiqua" w:cs="Times New Roman"/>
          <w:noProof/>
          <w:color w:val="C0504D"/>
          <w:sz w:val="24"/>
          <w:szCs w:val="24"/>
          <w:lang w:eastAsia="zh-CN"/>
        </w:rPr>
        <w:lastRenderedPageBreak/>
        <w:drawing>
          <wp:inline distT="0" distB="0" distL="0" distR="0">
            <wp:extent cx="4040094" cy="2534023"/>
            <wp:effectExtent l="0" t="0" r="0" b="0"/>
            <wp:docPr id="37"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309D" w:rsidRDefault="00AE309D" w:rsidP="00AE309D">
      <w:pPr>
        <w:pStyle w:val="Bezodstpw1"/>
        <w:spacing w:line="360" w:lineRule="auto"/>
        <w:jc w:val="both"/>
        <w:rPr>
          <w:rFonts w:ascii="Book Antiqua" w:hAnsi="Book Antiqua" w:cs="Times New Roman"/>
          <w:b/>
          <w:sz w:val="24"/>
          <w:szCs w:val="24"/>
          <w:lang w:eastAsia="zh-CN"/>
        </w:rPr>
      </w:pPr>
      <w:r w:rsidRPr="001D76B2">
        <w:rPr>
          <w:rFonts w:ascii="Book Antiqua" w:hAnsi="Book Antiqua" w:cs="Times New Roman"/>
          <w:b/>
          <w:sz w:val="24"/>
          <w:szCs w:val="24"/>
        </w:rPr>
        <w:t>Figure 1</w:t>
      </w:r>
      <w:r>
        <w:rPr>
          <w:rFonts w:ascii="Book Antiqua" w:hAnsi="Book Antiqua" w:cs="Times New Roman" w:hint="eastAsia"/>
          <w:b/>
          <w:sz w:val="24"/>
          <w:szCs w:val="24"/>
          <w:lang w:eastAsia="zh-CN"/>
        </w:rPr>
        <w:t xml:space="preserve"> </w:t>
      </w:r>
      <w:r w:rsidRPr="001D76B2">
        <w:rPr>
          <w:rFonts w:ascii="Book Antiqua" w:hAnsi="Book Antiqua" w:cs="Times New Roman"/>
          <w:b/>
          <w:sz w:val="24"/>
          <w:szCs w:val="24"/>
        </w:rPr>
        <w:t xml:space="preserve">Types of </w:t>
      </w:r>
      <w:r>
        <w:rPr>
          <w:rFonts w:ascii="Book Antiqua" w:hAnsi="Book Antiqua" w:cs="Times New Roman"/>
          <w:b/>
          <w:sz w:val="24"/>
          <w:szCs w:val="24"/>
        </w:rPr>
        <w:t>g</w:t>
      </w:r>
      <w:r w:rsidRPr="001D76B2">
        <w:rPr>
          <w:rFonts w:ascii="Book Antiqua" w:hAnsi="Book Antiqua" w:cs="Times New Roman"/>
          <w:b/>
          <w:sz w:val="24"/>
          <w:szCs w:val="24"/>
        </w:rPr>
        <w:t xml:space="preserve">astric </w:t>
      </w:r>
      <w:r>
        <w:rPr>
          <w:rFonts w:ascii="Book Antiqua" w:hAnsi="Book Antiqua" w:cs="Times New Roman"/>
          <w:b/>
          <w:sz w:val="24"/>
          <w:szCs w:val="24"/>
        </w:rPr>
        <w:t>cancers</w:t>
      </w:r>
      <w:r>
        <w:rPr>
          <w:rFonts w:ascii="Book Antiqua" w:hAnsi="Book Antiqua" w:cs="Times New Roman" w:hint="eastAsia"/>
          <w:b/>
          <w:sz w:val="24"/>
          <w:szCs w:val="24"/>
          <w:lang w:eastAsia="zh-CN"/>
        </w:rPr>
        <w:t>.</w:t>
      </w:r>
    </w:p>
    <w:p w:rsidR="009441C5" w:rsidRPr="0056424A" w:rsidRDefault="00F0503F" w:rsidP="00AE309D">
      <w:pPr>
        <w:suppressAutoHyphens w:val="0"/>
        <w:jc w:val="both"/>
        <w:rPr>
          <w:szCs w:val="24"/>
        </w:rPr>
      </w:pPr>
      <w:r>
        <w:rPr>
          <w:b/>
          <w:noProof/>
          <w:szCs w:val="24"/>
          <w:lang w:eastAsia="zh-CN"/>
        </w:rPr>
        <mc:AlternateContent>
          <mc:Choice Requires="wpg">
            <w:drawing>
              <wp:anchor distT="0" distB="0" distL="114300" distR="114300" simplePos="0" relativeHeight="251682816" behindDoc="0" locked="0" layoutInCell="1" allowOverlap="1">
                <wp:simplePos x="0" y="0"/>
                <wp:positionH relativeFrom="column">
                  <wp:posOffset>175895</wp:posOffset>
                </wp:positionH>
                <wp:positionV relativeFrom="paragraph">
                  <wp:posOffset>8890</wp:posOffset>
                </wp:positionV>
                <wp:extent cx="5038090" cy="803910"/>
                <wp:effectExtent l="0" t="0" r="10160" b="1524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803910"/>
                          <a:chOff x="1694" y="2154"/>
                          <a:chExt cx="7934" cy="1266"/>
                        </a:xfrm>
                      </wpg:grpSpPr>
                      <wpg:grpSp>
                        <wpg:cNvPr id="2" name="Group 4"/>
                        <wpg:cNvGrpSpPr>
                          <a:grpSpLocks/>
                        </wpg:cNvGrpSpPr>
                        <wpg:grpSpPr bwMode="auto">
                          <a:xfrm>
                            <a:off x="1694" y="2154"/>
                            <a:ext cx="3638" cy="536"/>
                            <a:chOff x="1666" y="5704"/>
                            <a:chExt cx="3497" cy="450"/>
                          </a:xfrm>
                        </wpg:grpSpPr>
                        <wps:wsp>
                          <wps:cNvPr id="3" name="Rectangle 2"/>
                          <wps:cNvSpPr>
                            <a:spLocks noChangeArrowheads="1"/>
                          </wps:cNvSpPr>
                          <wps:spPr bwMode="auto">
                            <a:xfrm>
                              <a:off x="1666" y="5817"/>
                              <a:ext cx="244" cy="207"/>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rsidR="00641CCE" w:rsidRDefault="00641CCE"/>
                            </w:txbxContent>
                          </wps:txbx>
                          <wps:bodyPr rot="0" vert="horz" wrap="square" lIns="91440" tIns="45720" rIns="91440" bIns="45720" anchor="t" anchorCtr="0" upright="1">
                            <a:noAutofit/>
                          </wps:bodyPr>
                        </wps:wsp>
                        <wps:wsp>
                          <wps:cNvPr id="4" name="Text Box 3"/>
                          <wps:cNvSpPr txBox="1">
                            <a:spLocks noChangeArrowheads="1"/>
                          </wps:cNvSpPr>
                          <wps:spPr bwMode="auto">
                            <a:xfrm>
                              <a:off x="2301" y="5704"/>
                              <a:ext cx="2862" cy="450"/>
                            </a:xfrm>
                            <a:prstGeom prst="rect">
                              <a:avLst/>
                            </a:prstGeom>
                            <a:solidFill>
                              <a:srgbClr val="FFFFFF"/>
                            </a:solidFill>
                            <a:ln w="9525">
                              <a:solidFill>
                                <a:schemeClr val="bg1">
                                  <a:lumMod val="100000"/>
                                  <a:lumOff val="0"/>
                                </a:schemeClr>
                              </a:solidFill>
                              <a:miter lim="800000"/>
                              <a:headEnd/>
                              <a:tailEnd/>
                            </a:ln>
                          </wps:spPr>
                          <wps:txbx>
                            <w:txbxContent>
                              <w:p w:rsidR="00641CCE" w:rsidRPr="004B4616" w:rsidRDefault="00641CCE" w:rsidP="00085F68">
                                <w:pPr>
                                  <w:rPr>
                                    <w:color w:val="auto"/>
                                    <w:szCs w:val="24"/>
                                  </w:rPr>
                                </w:pPr>
                                <w:r w:rsidRPr="004B4616">
                                  <w:rPr>
                                    <w:color w:val="auto"/>
                                    <w:szCs w:val="24"/>
                                  </w:rPr>
                                  <w:t>Sporadic gastric cancer</w:t>
                                </w:r>
                                <w:r w:rsidRPr="004B4616">
                                  <w:rPr>
                                    <w:color w:val="auto"/>
                                    <w:szCs w:val="24"/>
                                  </w:rPr>
                                  <w:br w:type="page"/>
                                </w:r>
                              </w:p>
                            </w:txbxContent>
                          </wps:txbx>
                          <wps:bodyPr rot="0" vert="horz" wrap="square" lIns="91440" tIns="45720" rIns="91440" bIns="45720" anchor="t" anchorCtr="0" upright="1">
                            <a:noAutofit/>
                          </wps:bodyPr>
                        </wps:wsp>
                      </wpg:grpSp>
                      <wpg:grpSp>
                        <wpg:cNvPr id="5" name="Group 15"/>
                        <wpg:cNvGrpSpPr>
                          <a:grpSpLocks/>
                        </wpg:cNvGrpSpPr>
                        <wpg:grpSpPr bwMode="auto">
                          <a:xfrm>
                            <a:off x="1694" y="2879"/>
                            <a:ext cx="3638" cy="536"/>
                            <a:chOff x="1694" y="6485"/>
                            <a:chExt cx="3638" cy="536"/>
                          </a:xfrm>
                        </wpg:grpSpPr>
                        <wps:wsp>
                          <wps:cNvPr id="6" name="Rectangle 7"/>
                          <wps:cNvSpPr>
                            <a:spLocks noChangeArrowheads="1"/>
                          </wps:cNvSpPr>
                          <wps:spPr bwMode="auto">
                            <a:xfrm>
                              <a:off x="1694" y="6620"/>
                              <a:ext cx="254" cy="246"/>
                            </a:xfrm>
                            <a:prstGeom prst="rect">
                              <a:avLst/>
                            </a:prstGeom>
                            <a:solidFill>
                              <a:schemeClr val="accent3">
                                <a:lumMod val="75000"/>
                                <a:lumOff val="0"/>
                              </a:schemeClr>
                            </a:solidFill>
                            <a:ln w="9525">
                              <a:solidFill>
                                <a:schemeClr val="accent3">
                                  <a:lumMod val="75000"/>
                                  <a:lumOff val="0"/>
                                </a:schemeClr>
                              </a:solidFill>
                              <a:miter lim="800000"/>
                              <a:headEnd/>
                              <a:tailEnd/>
                            </a:ln>
                          </wps:spPr>
                          <wps:txbx>
                            <w:txbxContent>
                              <w:p w:rsidR="00641CCE" w:rsidRDefault="00641CCE" w:rsidP="00085F68"/>
                            </w:txbxContent>
                          </wps:txbx>
                          <wps:bodyPr rot="0" vert="horz" wrap="square" lIns="91440" tIns="45720" rIns="91440" bIns="45720" anchor="t" anchorCtr="0" upright="1">
                            <a:noAutofit/>
                          </wps:bodyPr>
                        </wps:wsp>
                        <wps:wsp>
                          <wps:cNvPr id="7" name="Text Box 8"/>
                          <wps:cNvSpPr txBox="1">
                            <a:spLocks noChangeArrowheads="1"/>
                          </wps:cNvSpPr>
                          <wps:spPr bwMode="auto">
                            <a:xfrm>
                              <a:off x="2355" y="6485"/>
                              <a:ext cx="2977" cy="536"/>
                            </a:xfrm>
                            <a:prstGeom prst="rect">
                              <a:avLst/>
                            </a:prstGeom>
                            <a:solidFill>
                              <a:srgbClr val="FFFFFF"/>
                            </a:solidFill>
                            <a:ln w="9525">
                              <a:solidFill>
                                <a:schemeClr val="bg1">
                                  <a:lumMod val="100000"/>
                                  <a:lumOff val="0"/>
                                </a:schemeClr>
                              </a:solidFill>
                              <a:miter lim="800000"/>
                              <a:headEnd/>
                              <a:tailEnd/>
                            </a:ln>
                          </wps:spPr>
                          <wps:txbx>
                            <w:txbxContent>
                              <w:p w:rsidR="00641CCE" w:rsidRPr="004B4616" w:rsidRDefault="00641CCE" w:rsidP="00085F68">
                                <w:pPr>
                                  <w:rPr>
                                    <w:color w:val="auto"/>
                                    <w:szCs w:val="24"/>
                                  </w:rPr>
                                </w:pPr>
                                <w:r w:rsidRPr="004B4616">
                                  <w:rPr>
                                    <w:color w:val="auto"/>
                                    <w:szCs w:val="24"/>
                                  </w:rPr>
                                  <w:t>Gastric stump cancer</w:t>
                                </w:r>
                                <w:r w:rsidRPr="004B4616">
                                  <w:rPr>
                                    <w:color w:val="auto"/>
                                    <w:szCs w:val="24"/>
                                  </w:rPr>
                                  <w:br w:type="page"/>
                                </w:r>
                              </w:p>
                            </w:txbxContent>
                          </wps:txbx>
                          <wps:bodyPr rot="0" vert="horz" wrap="square" lIns="91440" tIns="45720" rIns="91440" bIns="45720" anchor="t" anchorCtr="0" upright="1">
                            <a:noAutofit/>
                          </wps:bodyPr>
                        </wps:wsp>
                      </wpg:grpSp>
                      <wpg:grpSp>
                        <wpg:cNvPr id="8" name="Group 20"/>
                        <wpg:cNvGrpSpPr>
                          <a:grpSpLocks/>
                        </wpg:cNvGrpSpPr>
                        <wpg:grpSpPr bwMode="auto">
                          <a:xfrm>
                            <a:off x="5618" y="2154"/>
                            <a:ext cx="3860" cy="536"/>
                            <a:chOff x="5618" y="2154"/>
                            <a:chExt cx="3860" cy="536"/>
                          </a:xfrm>
                        </wpg:grpSpPr>
                        <wps:wsp>
                          <wps:cNvPr id="9" name="Rectangle 10"/>
                          <wps:cNvSpPr>
                            <a:spLocks noChangeArrowheads="1"/>
                          </wps:cNvSpPr>
                          <wps:spPr bwMode="auto">
                            <a:xfrm>
                              <a:off x="5618" y="2289"/>
                              <a:ext cx="259" cy="246"/>
                            </a:xfrm>
                            <a:prstGeom prst="rect">
                              <a:avLst/>
                            </a:prstGeom>
                            <a:solidFill>
                              <a:schemeClr val="accent2">
                                <a:lumMod val="75000"/>
                                <a:lumOff val="0"/>
                              </a:schemeClr>
                            </a:solidFill>
                            <a:ln w="9525">
                              <a:solidFill>
                                <a:schemeClr val="accent2">
                                  <a:lumMod val="75000"/>
                                  <a:lumOff val="0"/>
                                </a:schemeClr>
                              </a:solidFill>
                              <a:miter lim="800000"/>
                              <a:headEnd/>
                              <a:tailEnd/>
                            </a:ln>
                          </wps:spPr>
                          <wps:txbx>
                            <w:txbxContent>
                              <w:p w:rsidR="00641CCE" w:rsidRDefault="00641CCE" w:rsidP="00085F68"/>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257" y="2154"/>
                              <a:ext cx="3221" cy="536"/>
                            </a:xfrm>
                            <a:prstGeom prst="rect">
                              <a:avLst/>
                            </a:prstGeom>
                            <a:solidFill>
                              <a:srgbClr val="FFFFFF"/>
                            </a:solidFill>
                            <a:ln w="9525">
                              <a:solidFill>
                                <a:schemeClr val="bg1">
                                  <a:lumMod val="100000"/>
                                  <a:lumOff val="0"/>
                                </a:schemeClr>
                              </a:solidFill>
                              <a:miter lim="800000"/>
                              <a:headEnd/>
                              <a:tailEnd/>
                            </a:ln>
                          </wps:spPr>
                          <wps:txbx>
                            <w:txbxContent>
                              <w:p w:rsidR="00641CCE" w:rsidRPr="004B4616" w:rsidRDefault="00641CCE" w:rsidP="00085F68">
                                <w:pPr>
                                  <w:rPr>
                                    <w:color w:val="auto"/>
                                    <w:szCs w:val="24"/>
                                  </w:rPr>
                                </w:pPr>
                                <w:r w:rsidRPr="004B4616">
                                  <w:rPr>
                                    <w:color w:val="auto"/>
                                    <w:szCs w:val="24"/>
                                  </w:rPr>
                                  <w:t>Early-onset gastric cancer</w:t>
                                </w:r>
                                <w:r w:rsidRPr="004B4616">
                                  <w:rPr>
                                    <w:color w:val="auto"/>
                                    <w:szCs w:val="24"/>
                                  </w:rPr>
                                  <w:br w:type="page"/>
                                </w:r>
                              </w:p>
                            </w:txbxContent>
                          </wps:txbx>
                          <wps:bodyPr rot="0" vert="horz" wrap="square" lIns="91440" tIns="45720" rIns="91440" bIns="45720" anchor="t" anchorCtr="0" upright="1">
                            <a:noAutofit/>
                          </wps:bodyPr>
                        </wps:wsp>
                      </wpg:grpSp>
                      <wpg:grpSp>
                        <wpg:cNvPr id="11" name="Group 19"/>
                        <wpg:cNvGrpSpPr>
                          <a:grpSpLocks/>
                        </wpg:cNvGrpSpPr>
                        <wpg:grpSpPr bwMode="auto">
                          <a:xfrm>
                            <a:off x="5618" y="2884"/>
                            <a:ext cx="4010" cy="536"/>
                            <a:chOff x="5618" y="2884"/>
                            <a:chExt cx="4010" cy="536"/>
                          </a:xfrm>
                        </wpg:grpSpPr>
                        <wps:wsp>
                          <wps:cNvPr id="12" name="Rectangle 13"/>
                          <wps:cNvSpPr>
                            <a:spLocks noChangeArrowheads="1"/>
                          </wps:cNvSpPr>
                          <wps:spPr bwMode="auto">
                            <a:xfrm>
                              <a:off x="5618" y="3019"/>
                              <a:ext cx="254" cy="246"/>
                            </a:xfrm>
                            <a:prstGeom prst="rect">
                              <a:avLst/>
                            </a:prstGeom>
                            <a:solidFill>
                              <a:schemeClr val="accent4">
                                <a:lumMod val="75000"/>
                                <a:lumOff val="0"/>
                              </a:schemeClr>
                            </a:solidFill>
                            <a:ln w="9525">
                              <a:solidFill>
                                <a:schemeClr val="accent4">
                                  <a:lumMod val="75000"/>
                                  <a:lumOff val="0"/>
                                </a:schemeClr>
                              </a:solidFill>
                              <a:miter lim="800000"/>
                              <a:headEnd/>
                              <a:tailEnd/>
                            </a:ln>
                          </wps:spPr>
                          <wps:txbx>
                            <w:txbxContent>
                              <w:p w:rsidR="00641CCE" w:rsidRDefault="00641CCE" w:rsidP="00085F68"/>
                            </w:txbxContent>
                          </wps:txbx>
                          <wps:bodyPr rot="0" vert="horz" wrap="square" lIns="91440" tIns="45720" rIns="91440" bIns="45720" anchor="t" anchorCtr="0" upright="1">
                            <a:noAutofit/>
                          </wps:bodyPr>
                        </wps:wsp>
                        <wps:wsp>
                          <wps:cNvPr id="13" name="Text Box 14"/>
                          <wps:cNvSpPr txBox="1">
                            <a:spLocks noChangeArrowheads="1"/>
                          </wps:cNvSpPr>
                          <wps:spPr bwMode="auto">
                            <a:xfrm>
                              <a:off x="6279" y="2884"/>
                              <a:ext cx="3349" cy="536"/>
                            </a:xfrm>
                            <a:prstGeom prst="rect">
                              <a:avLst/>
                            </a:prstGeom>
                            <a:solidFill>
                              <a:srgbClr val="FFFFFF"/>
                            </a:solidFill>
                            <a:ln w="9525">
                              <a:solidFill>
                                <a:schemeClr val="bg1">
                                  <a:lumMod val="100000"/>
                                  <a:lumOff val="0"/>
                                </a:schemeClr>
                              </a:solidFill>
                              <a:miter lim="800000"/>
                              <a:headEnd/>
                              <a:tailEnd/>
                            </a:ln>
                          </wps:spPr>
                          <wps:txbx>
                            <w:txbxContent>
                              <w:p w:rsidR="00641CCE" w:rsidRPr="004B4616" w:rsidRDefault="00641CCE" w:rsidP="00085F68">
                                <w:pPr>
                                  <w:rPr>
                                    <w:color w:val="auto"/>
                                    <w:szCs w:val="24"/>
                                  </w:rPr>
                                </w:pPr>
                                <w:r w:rsidRPr="004B4616">
                                  <w:rPr>
                                    <w:color w:val="auto"/>
                                    <w:szCs w:val="24"/>
                                  </w:rPr>
                                  <w:t>Hereditary gastric cancer</w:t>
                                </w:r>
                                <w:r w:rsidRPr="004B4616">
                                  <w:rPr>
                                    <w:color w:val="auto"/>
                                    <w:szCs w:val="24"/>
                                  </w:rPr>
                                  <w:br w:type="page"/>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3.85pt;margin-top:.7pt;width:396.7pt;height:63.3pt;z-index:251682816" coordorigin="1694,2154" coordsize="7934,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">
                <v:group id="Group 4" o:spid="_x0000_s1027" style="position:absolute;left:1694;top:2154;width:3638;height:536" coordorigin="1666,5704" coordsize="3497,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 o:spid="_x0000_s1028" style="position:absolute;left:1666;top:5817;width:244;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cMMQA&#10;AADaAAAADwAAAGRycy9kb3ducmV2LnhtbESPW2vCQBCF3wX/wzIFX4pu2lLR6CpSKioINV7ex+w0&#10;iWZnQ3bV9N+7QsHHw7l8nPG0MaW4Uu0KywreehEI4tTqgjMF+928OwDhPLLG0jIp+CMH00m7NcZY&#10;2xsndN36TIQRdjEqyL2vYildmpNB17MVcfB+bW3QB1lnUtd4C+OmlO9R1JcGCw6EHCv6yik9by8m&#10;QJbD75/XclElxXpzlKf9vP+5OijVeWlmIxCeGv8M/7eXWsEHPK6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3DDEAAAA2gAAAA8AAAAAAAAAAAAAAAAAmAIAAGRycy9k&#10;b3ducmV2LnhtbFBLBQYAAAAABAAEAPUAAACJAwAAAAA=&#10;" fillcolor="#548dd4 [1951]" strokecolor="#548dd4 [1951]">
                    <v:textbox>
                      <w:txbxContent>
                        <w:p w:rsidR="00641CCE" w:rsidRDefault="00641CCE"/>
                      </w:txbxContent>
                    </v:textbox>
                  </v:rect>
                  <v:shapetype id="_x0000_t202" coordsize="21600,21600" o:spt="202" path="m,l,21600r21600,l21600,xe">
                    <v:stroke joinstyle="miter"/>
                    <v:path gradientshapeok="t" o:connecttype="rect"/>
                  </v:shapetype>
                  <v:shape id="Text Box 3" o:spid="_x0000_s1029" type="#_x0000_t202" style="position:absolute;left:2301;top:5704;width:28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b1cIA&#10;AADaAAAADwAAAGRycy9kb3ducmV2LnhtbESPQYvCMBSE74L/ITzBm6aKiHaNIoriRcSuuHt82zzb&#10;YvNSmqjd/fVGWPA4zMw3zGzRmFLcqXaFZQWDfgSCOLW64EzB6XPTm4BwHlljaZkU/JKDxbzdmmGs&#10;7YOPdE98JgKEXYwKcu+rWEqX5mTQ9W1FHLyLrQ36IOtM6hofAW5KOYyisTRYcFjIsaJVTuk1uRkF&#10;Lo3G58MoOX/9yC39TbVef2/3SnU7zfIDhKfGv8P/7Z1WM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RvVwgAAANoAAAAPAAAAAAAAAAAAAAAAAJgCAABkcnMvZG93&#10;bnJldi54bWxQSwUGAAAAAAQABAD1AAAAhwMAAAAA&#10;" strokecolor="white [3212]">
                    <v:textbox>
                      <w:txbxContent>
                        <w:p w:rsidR="00641CCE" w:rsidRPr="004B4616" w:rsidRDefault="00641CCE" w:rsidP="00085F68">
                          <w:pPr>
                            <w:rPr>
                              <w:color w:val="auto"/>
                              <w:szCs w:val="24"/>
                            </w:rPr>
                          </w:pPr>
                          <w:r w:rsidRPr="004B4616">
                            <w:rPr>
                              <w:color w:val="auto"/>
                              <w:szCs w:val="24"/>
                            </w:rPr>
                            <w:t>Sporadic gastric cancer</w:t>
                          </w:r>
                          <w:r w:rsidRPr="004B4616">
                            <w:rPr>
                              <w:color w:val="auto"/>
                              <w:szCs w:val="24"/>
                            </w:rPr>
                            <w:br w:type="page"/>
                          </w:r>
                        </w:p>
                      </w:txbxContent>
                    </v:textbox>
                  </v:shape>
                </v:group>
                <v:group id="Group 15" o:spid="_x0000_s1030" style="position:absolute;left:1694;top:2879;width:3638;height:536" coordorigin="1694,6485" coordsize="3638,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1694;top:6620;width:25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sTMIA&#10;AADaAAAADwAAAGRycy9kb3ducmV2LnhtbESPQWsCMRSE7wX/Q3iCt262PSx2axQRhdJT3bbQ42Pz&#10;TJZuXtYk1fXfN4LgcZiZb5jFanS9OFGInWcFT0UJgrj1umOj4Otz9zgHEROyxt4zKbhQhNVy8rDA&#10;Wvsz7+nUJCMyhGONCmxKQy1lbC05jIUfiLN38MFhyjIYqQOeM9z18rksK+mw47xgcaCNpfa3+XMK&#10;6KNqfsyBbXjfbNfm+2V/bI9Wqdl0XL+CSDSme/jWftMKKrhey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MwgAAANoAAAAPAAAAAAAAAAAAAAAAAJgCAABkcnMvZG93&#10;bnJldi54bWxQSwUGAAAAAAQABAD1AAAAhwMAAAAA&#10;" fillcolor="#76923c [2406]" strokecolor="#76923c [2406]">
                    <v:textbox>
                      <w:txbxContent>
                        <w:p w:rsidR="00641CCE" w:rsidRDefault="00641CCE" w:rsidP="00085F68"/>
                      </w:txbxContent>
                    </v:textbox>
                  </v:rect>
                  <v:shape id="Text Box 8" o:spid="_x0000_s1032" type="#_x0000_t202" style="position:absolute;left:2355;top:6485;width:2977;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641CCE" w:rsidRPr="004B4616" w:rsidRDefault="00641CCE" w:rsidP="00085F68">
                          <w:pPr>
                            <w:rPr>
                              <w:color w:val="auto"/>
                              <w:szCs w:val="24"/>
                            </w:rPr>
                          </w:pPr>
                          <w:r w:rsidRPr="004B4616">
                            <w:rPr>
                              <w:color w:val="auto"/>
                              <w:szCs w:val="24"/>
                            </w:rPr>
                            <w:t>Gastric stump cancer</w:t>
                          </w:r>
                          <w:r w:rsidRPr="004B4616">
                            <w:rPr>
                              <w:color w:val="auto"/>
                              <w:szCs w:val="24"/>
                            </w:rPr>
                            <w:br w:type="page"/>
                          </w:r>
                        </w:p>
                      </w:txbxContent>
                    </v:textbox>
                  </v:shape>
                </v:group>
                <v:group id="Group 20" o:spid="_x0000_s1033" style="position:absolute;left:5618;top:2154;width:3860;height:536" coordorigin="5618,2154" coordsize="386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4" style="position:absolute;left:5618;top:2289;width:25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Zb8MA&#10;AADaAAAADwAAAGRycy9kb3ducmV2LnhtbESPQWvCQBSE74L/YXlCb7qxh9JG1yCCqacUbRW8PbLP&#10;bDD7NmTXJP333UKhx2FmvmHW2Wgb0VPna8cKlosEBHHpdM2Vgq/P/fwVhA/IGhvHpOCbPGSb6WSN&#10;qXYDH6k/hUpECPsUFZgQ2lRKXxqy6BeuJY7ezXUWQ5RdJXWHQ4TbRj4nyYu0WHNcMNjSzlB5Pz2s&#10;guHjXPZ07EeZX0ye5MVwfS8qpZ5m43YFItAY/sN/7YNW8Aa/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Zb8MAAADaAAAADwAAAAAAAAAAAAAAAACYAgAAZHJzL2Rv&#10;d25yZXYueG1sUEsFBgAAAAAEAAQA9QAAAIgDAAAAAA==&#10;" fillcolor="#943634 [2405]" strokecolor="#943634 [2405]">
                    <v:textbox>
                      <w:txbxContent>
                        <w:p w:rsidR="00641CCE" w:rsidRDefault="00641CCE" w:rsidP="00085F68"/>
                      </w:txbxContent>
                    </v:textbox>
                  </v:rect>
                  <v:shape id="Text Box 11" o:spid="_x0000_s1035" type="#_x0000_t202" style="position:absolute;left:6257;top:2154;width:3221;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641CCE" w:rsidRPr="004B4616" w:rsidRDefault="00641CCE" w:rsidP="00085F68">
                          <w:pPr>
                            <w:rPr>
                              <w:color w:val="auto"/>
                              <w:szCs w:val="24"/>
                            </w:rPr>
                          </w:pPr>
                          <w:r w:rsidRPr="004B4616">
                            <w:rPr>
                              <w:color w:val="auto"/>
                              <w:szCs w:val="24"/>
                            </w:rPr>
                            <w:t>Early-onset gastric cancer</w:t>
                          </w:r>
                          <w:r w:rsidRPr="004B4616">
                            <w:rPr>
                              <w:color w:val="auto"/>
                              <w:szCs w:val="24"/>
                            </w:rPr>
                            <w:br w:type="page"/>
                          </w:r>
                        </w:p>
                      </w:txbxContent>
                    </v:textbox>
                  </v:shape>
                </v:group>
                <v:group id="Group 19" o:spid="_x0000_s1036" style="position:absolute;left:5618;top:2884;width:4010;height:536" coordorigin="5618,2884" coordsize="40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7" style="position:absolute;left:5618;top:3019;width:25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7vtcAA&#10;AADbAAAADwAAAGRycy9kb3ducmV2LnhtbERPS4vCMBC+C/sfwix401QPKtUouuwuHjz4Aq9jMzbF&#10;ZtJtsrb+eyMI3ubje85s0dpS3Kj2hWMFg34CgjhzuuBcwfHw05uA8AFZY+mYFNzJw2L+0Zlhql3D&#10;O7rtQy5iCPsUFZgQqlRKnxmy6PuuIo7cxdUWQ4R1LnWNTQy3pRwmyUhaLDg2GKzoy1B23f9bBfb7&#10;vNqM/47anIwrtr9N407jrVLdz3Y5BRGoDW/xy73Wcf4Q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7vtcAAAADbAAAADwAAAAAAAAAAAAAAAACYAgAAZHJzL2Rvd25y&#10;ZXYueG1sUEsFBgAAAAAEAAQA9QAAAIUDAAAAAA==&#10;" fillcolor="#5f497a [2407]" strokecolor="#5f497a [2407]">
                    <v:textbox>
                      <w:txbxContent>
                        <w:p w:rsidR="00641CCE" w:rsidRDefault="00641CCE" w:rsidP="00085F68"/>
                      </w:txbxContent>
                    </v:textbox>
                  </v:rect>
                  <v:shape id="Text Box 14" o:spid="_x0000_s1038" type="#_x0000_t202" style="position:absolute;left:6279;top:2884;width:3349;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y4MIA&#10;AADbAAAADwAAAGRycy9kb3ducmV2LnhtbERPTWvCQBC9C/6HZQRvZlMVsamrFEXxUsRYbI/T7DQJ&#10;zc6G7Kqxv94VBG/zeJ8zW7SmEmdqXGlZwUsUgyDOrC45V/B5WA+mIJxH1lhZJgVXcrCYdzszTLS9&#10;8J7Oqc9FCGGXoILC+zqR0mUFGXSRrYkD92sbgz7AJpe6wUsIN5UcxvFEGiw5NBRY07Kg7C89GQUu&#10;iyfH3Tg9fv3IDf2/ar363nwo1e+1728gPLX+KX64tzrMH8H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zLgwgAAANsAAAAPAAAAAAAAAAAAAAAAAJgCAABkcnMvZG93&#10;bnJldi54bWxQSwUGAAAAAAQABAD1AAAAhwMAAAAA&#10;" strokecolor="white [3212]">
                    <v:textbox>
                      <w:txbxContent>
                        <w:p w:rsidR="00641CCE" w:rsidRPr="004B4616" w:rsidRDefault="00641CCE" w:rsidP="00085F68">
                          <w:pPr>
                            <w:rPr>
                              <w:color w:val="auto"/>
                              <w:szCs w:val="24"/>
                            </w:rPr>
                          </w:pPr>
                          <w:r w:rsidRPr="004B4616">
                            <w:rPr>
                              <w:color w:val="auto"/>
                              <w:szCs w:val="24"/>
                            </w:rPr>
                            <w:t>Hereditary gastric cancer</w:t>
                          </w:r>
                          <w:r w:rsidRPr="004B4616">
                            <w:rPr>
                              <w:color w:val="auto"/>
                              <w:szCs w:val="24"/>
                            </w:rPr>
                            <w:br w:type="page"/>
                          </w:r>
                        </w:p>
                      </w:txbxContent>
                    </v:textbox>
                  </v:shape>
                </v:group>
              </v:group>
            </w:pict>
          </mc:Fallback>
        </mc:AlternateContent>
      </w:r>
      <w:r w:rsidR="006B2CC8" w:rsidRPr="0056424A">
        <w:rPr>
          <w:szCs w:val="24"/>
        </w:rPr>
        <w:br w:type="page"/>
      </w:r>
    </w:p>
    <w:p w:rsidR="00423E49" w:rsidRPr="00DF64BD" w:rsidRDefault="00423E49" w:rsidP="00AE309D">
      <w:pPr>
        <w:pStyle w:val="NoSpacing"/>
        <w:spacing w:line="360" w:lineRule="auto"/>
        <w:jc w:val="both"/>
        <w:rPr>
          <w:rFonts w:ascii="Book Antiqua" w:hAnsi="Book Antiqua"/>
          <w:b/>
          <w:sz w:val="24"/>
          <w:szCs w:val="24"/>
          <w:lang w:val="en-US"/>
        </w:rPr>
      </w:pPr>
      <w:r w:rsidRPr="00DF64BD">
        <w:rPr>
          <w:rFonts w:ascii="Book Antiqua" w:hAnsi="Book Antiqua"/>
          <w:b/>
          <w:sz w:val="24"/>
          <w:szCs w:val="24"/>
          <w:lang w:val="en-US"/>
        </w:rPr>
        <w:lastRenderedPageBreak/>
        <w:t>Table 1</w:t>
      </w:r>
      <w:r w:rsidR="00D75B09">
        <w:rPr>
          <w:rFonts w:ascii="Book Antiqua" w:hAnsi="Book Antiqua" w:hint="eastAsia"/>
          <w:b/>
          <w:sz w:val="24"/>
          <w:szCs w:val="24"/>
          <w:lang w:val="en-US" w:eastAsia="zh-CN"/>
        </w:rPr>
        <w:t xml:space="preserve"> </w:t>
      </w:r>
      <w:r w:rsidRPr="00DF64BD">
        <w:rPr>
          <w:rFonts w:ascii="Book Antiqua" w:hAnsi="Book Antiqua"/>
          <w:b/>
          <w:sz w:val="24"/>
          <w:szCs w:val="24"/>
          <w:lang w:val="en-US"/>
        </w:rPr>
        <w:t xml:space="preserve">Sporadic </w:t>
      </w:r>
      <w:r w:rsidR="00D75B09" w:rsidRPr="00DF64BD">
        <w:rPr>
          <w:rFonts w:ascii="Book Antiqua" w:hAnsi="Book Antiqua"/>
          <w:b/>
          <w:sz w:val="24"/>
          <w:szCs w:val="24"/>
          <w:lang w:val="en-US"/>
        </w:rPr>
        <w:t>g</w:t>
      </w:r>
      <w:r w:rsidRPr="00DF64BD">
        <w:rPr>
          <w:rFonts w:ascii="Book Antiqua" w:hAnsi="Book Antiqua"/>
          <w:b/>
          <w:sz w:val="24"/>
          <w:szCs w:val="24"/>
          <w:lang w:val="en-US"/>
        </w:rPr>
        <w:t xml:space="preserve">astric </w:t>
      </w:r>
      <w:r w:rsidR="00D75B09" w:rsidRPr="00DF64BD">
        <w:rPr>
          <w:rFonts w:ascii="Book Antiqua" w:hAnsi="Book Antiqua"/>
          <w:b/>
          <w:sz w:val="24"/>
          <w:szCs w:val="24"/>
          <w:lang w:val="en-US"/>
        </w:rPr>
        <w:t>c</w:t>
      </w:r>
      <w:r w:rsidRPr="00DF64BD">
        <w:rPr>
          <w:rFonts w:ascii="Book Antiqua" w:hAnsi="Book Antiqua"/>
          <w:b/>
          <w:sz w:val="24"/>
          <w:szCs w:val="24"/>
          <w:lang w:val="en-US"/>
        </w:rPr>
        <w:t>ancer factors</w:t>
      </w:r>
    </w:p>
    <w:tbl>
      <w:tblPr>
        <w:tblW w:w="5000" w:type="pct"/>
        <w:tblBorders>
          <w:top w:val="single" w:sz="8" w:space="0" w:color="auto"/>
          <w:bottom w:val="single" w:sz="8" w:space="0" w:color="auto"/>
        </w:tblBorders>
        <w:tblLook w:val="00A0" w:firstRow="1" w:lastRow="0" w:firstColumn="1" w:lastColumn="0" w:noHBand="0" w:noVBand="0"/>
      </w:tblPr>
      <w:tblGrid>
        <w:gridCol w:w="2007"/>
        <w:gridCol w:w="4952"/>
        <w:gridCol w:w="2329"/>
      </w:tblGrid>
      <w:tr w:rsidR="00423E49" w:rsidRPr="00DF64BD" w:rsidTr="0015631B">
        <w:trPr>
          <w:cantSplit/>
          <w:trHeight w:val="346"/>
        </w:trPr>
        <w:tc>
          <w:tcPr>
            <w:tcW w:w="1080" w:type="pct"/>
            <w:tcBorders>
              <w:top w:val="single" w:sz="8" w:space="0" w:color="auto"/>
              <w:bottom w:val="single" w:sz="8" w:space="0" w:color="auto"/>
            </w:tcBorders>
          </w:tcPr>
          <w:p w:rsidR="00423E49" w:rsidRPr="00DF64BD" w:rsidRDefault="00423E49" w:rsidP="00D75B09">
            <w:pPr>
              <w:rPr>
                <w:rFonts w:cs="Times New Roman"/>
                <w:b/>
                <w:szCs w:val="24"/>
                <w:lang w:eastAsia="zh-CN"/>
              </w:rPr>
            </w:pPr>
            <w:r w:rsidRPr="00DF64BD">
              <w:rPr>
                <w:rFonts w:cs="Times New Roman"/>
                <w:b/>
                <w:szCs w:val="24"/>
              </w:rPr>
              <w:t>Factors</w:t>
            </w:r>
            <w:r w:rsidR="00D75B09">
              <w:rPr>
                <w:rFonts w:cs="Times New Roman" w:hint="eastAsia"/>
                <w:b/>
                <w:szCs w:val="24"/>
                <w:vertAlign w:val="superscript"/>
                <w:lang w:eastAsia="zh-CN"/>
              </w:rPr>
              <w:t>1</w:t>
            </w:r>
          </w:p>
        </w:tc>
        <w:tc>
          <w:tcPr>
            <w:tcW w:w="2666" w:type="pct"/>
            <w:tcBorders>
              <w:top w:val="single" w:sz="8" w:space="0" w:color="auto"/>
              <w:bottom w:val="single" w:sz="8" w:space="0" w:color="auto"/>
            </w:tcBorders>
          </w:tcPr>
          <w:p w:rsidR="00423E49" w:rsidRPr="00DF64BD" w:rsidRDefault="00423E49" w:rsidP="00D75B09">
            <w:pPr>
              <w:jc w:val="center"/>
              <w:rPr>
                <w:b/>
                <w:szCs w:val="24"/>
              </w:rPr>
            </w:pPr>
            <w:r w:rsidRPr="00DF64BD">
              <w:rPr>
                <w:b/>
                <w:szCs w:val="24"/>
              </w:rPr>
              <w:t>Sporadic Gastric Cancer</w:t>
            </w:r>
          </w:p>
        </w:tc>
        <w:tc>
          <w:tcPr>
            <w:tcW w:w="1254" w:type="pct"/>
            <w:tcBorders>
              <w:top w:val="single" w:sz="8" w:space="0" w:color="auto"/>
              <w:bottom w:val="single" w:sz="8" w:space="0" w:color="auto"/>
            </w:tcBorders>
          </w:tcPr>
          <w:p w:rsidR="00423E49" w:rsidRPr="00DF64BD" w:rsidRDefault="00423E49" w:rsidP="00D75B09">
            <w:pPr>
              <w:jc w:val="center"/>
              <w:rPr>
                <w:rFonts w:cs="Times New Roman"/>
                <w:b/>
                <w:szCs w:val="24"/>
              </w:rPr>
            </w:pPr>
            <w:r w:rsidRPr="00DF64BD">
              <w:rPr>
                <w:rFonts w:cs="Times New Roman"/>
                <w:b/>
                <w:szCs w:val="24"/>
              </w:rPr>
              <w:t>Ref.</w:t>
            </w:r>
          </w:p>
        </w:tc>
      </w:tr>
      <w:tr w:rsidR="00423E49" w:rsidRPr="00DF64BD" w:rsidTr="0015631B">
        <w:trPr>
          <w:cantSplit/>
          <w:trHeight w:val="546"/>
        </w:trPr>
        <w:tc>
          <w:tcPr>
            <w:tcW w:w="1080" w:type="pct"/>
            <w:vMerge w:val="restart"/>
            <w:tcBorders>
              <w:top w:val="single" w:sz="8" w:space="0" w:color="auto"/>
            </w:tcBorders>
          </w:tcPr>
          <w:p w:rsidR="00423E49" w:rsidRPr="00DF64BD" w:rsidRDefault="00423E49" w:rsidP="00D75B09">
            <w:pPr>
              <w:rPr>
                <w:rFonts w:cs="Times New Roman"/>
                <w:szCs w:val="24"/>
              </w:rPr>
            </w:pPr>
            <w:r w:rsidRPr="00DF64BD">
              <w:rPr>
                <w:rFonts w:cs="Times New Roman"/>
                <w:szCs w:val="24"/>
              </w:rPr>
              <w:t>SNP</w:t>
            </w:r>
          </w:p>
        </w:tc>
        <w:tc>
          <w:tcPr>
            <w:tcW w:w="2666" w:type="pct"/>
            <w:tcBorders>
              <w:top w:val="single" w:sz="8" w:space="0" w:color="auto"/>
            </w:tcBorders>
          </w:tcPr>
          <w:p w:rsidR="00423E49" w:rsidRPr="00DF64BD" w:rsidRDefault="00423E49" w:rsidP="00D75B09">
            <w:pPr>
              <w:jc w:val="center"/>
              <w:rPr>
                <w:i/>
                <w:szCs w:val="24"/>
              </w:rPr>
            </w:pPr>
            <w:r w:rsidRPr="00DF64BD">
              <w:rPr>
                <w:i/>
                <w:szCs w:val="24"/>
              </w:rPr>
              <w:t>IL</w:t>
            </w:r>
            <w:r w:rsidR="00C101D8">
              <w:rPr>
                <w:i/>
                <w:szCs w:val="24"/>
              </w:rPr>
              <w:t>-</w:t>
            </w:r>
            <w:r w:rsidRPr="00DF64BD">
              <w:rPr>
                <w:i/>
                <w:szCs w:val="24"/>
              </w:rPr>
              <w:t>1</w:t>
            </w:r>
            <w:r w:rsidRPr="00DF64BD">
              <w:rPr>
                <w:i/>
                <w:color w:val="C0504D"/>
                <w:szCs w:val="24"/>
              </w:rPr>
              <w:t xml:space="preserve">, </w:t>
            </w:r>
            <w:r w:rsidRPr="00DF64BD">
              <w:rPr>
                <w:i/>
                <w:szCs w:val="24"/>
              </w:rPr>
              <w:t>IL</w:t>
            </w:r>
            <w:r w:rsidR="00C101D8">
              <w:rPr>
                <w:i/>
                <w:szCs w:val="24"/>
              </w:rPr>
              <w:t>-</w:t>
            </w:r>
            <w:r w:rsidRPr="00DF64BD">
              <w:rPr>
                <w:i/>
                <w:szCs w:val="24"/>
              </w:rPr>
              <w:t xml:space="preserve">17, TNFα, TLRs </w:t>
            </w:r>
            <w:r w:rsidRPr="00DF64BD">
              <w:rPr>
                <w:szCs w:val="24"/>
              </w:rPr>
              <w:t>(inflammatory response)</w:t>
            </w:r>
          </w:p>
        </w:tc>
        <w:tc>
          <w:tcPr>
            <w:tcW w:w="1254" w:type="pct"/>
            <w:tcBorders>
              <w:top w:val="single" w:sz="8" w:space="0" w:color="auto"/>
            </w:tcBorders>
          </w:tcPr>
          <w:p w:rsidR="00423E49" w:rsidRPr="00DF64BD" w:rsidRDefault="00423E49" w:rsidP="00D75B09">
            <w:pPr>
              <w:jc w:val="center"/>
              <w:rPr>
                <w:rFonts w:cs="Times New Roman"/>
                <w:szCs w:val="24"/>
              </w:rPr>
            </w:pPr>
            <w:r w:rsidRPr="00DF64BD">
              <w:rPr>
                <w:rFonts w:cs="Times New Roman"/>
                <w:szCs w:val="24"/>
              </w:rPr>
              <w:t>[55-68]</w:t>
            </w:r>
          </w:p>
        </w:tc>
      </w:tr>
      <w:tr w:rsidR="00423E49" w:rsidRPr="00DF64BD" w:rsidTr="0015631B">
        <w:trPr>
          <w:cantSplit/>
          <w:trHeight w:val="367"/>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i/>
                <w:szCs w:val="24"/>
              </w:rPr>
            </w:pPr>
            <w:r w:rsidRPr="00DF64BD">
              <w:rPr>
                <w:i/>
                <w:szCs w:val="24"/>
              </w:rPr>
              <w:t xml:space="preserve">MUC1 </w:t>
            </w:r>
            <w:r w:rsidRPr="00DF64BD">
              <w:rPr>
                <w:szCs w:val="24"/>
              </w:rPr>
              <w:t>(protection against invaders)</w:t>
            </w:r>
          </w:p>
        </w:tc>
        <w:tc>
          <w:tcPr>
            <w:tcW w:w="1254" w:type="pct"/>
          </w:tcPr>
          <w:p w:rsidR="00423E49" w:rsidRPr="00DF64BD" w:rsidRDefault="00D75B09" w:rsidP="00D75B09">
            <w:pPr>
              <w:jc w:val="center"/>
              <w:rPr>
                <w:rFonts w:cs="Times New Roman"/>
                <w:szCs w:val="24"/>
              </w:rPr>
            </w:pPr>
            <w:r>
              <w:rPr>
                <w:rFonts w:cs="Times New Roman"/>
                <w:szCs w:val="24"/>
              </w:rPr>
              <w:t>[69,</w:t>
            </w:r>
            <w:r w:rsidR="00423E49" w:rsidRPr="00DF64BD">
              <w:rPr>
                <w:rFonts w:cs="Times New Roman"/>
                <w:szCs w:val="24"/>
              </w:rPr>
              <w:t>70]</w:t>
            </w:r>
          </w:p>
        </w:tc>
      </w:tr>
      <w:tr w:rsidR="00423E49" w:rsidRPr="00DF64BD" w:rsidTr="0015631B">
        <w:trPr>
          <w:cantSplit/>
          <w:trHeight w:val="330"/>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i/>
                <w:szCs w:val="24"/>
              </w:rPr>
            </w:pPr>
            <w:r w:rsidRPr="00DF64BD">
              <w:rPr>
                <w:i/>
                <w:szCs w:val="24"/>
              </w:rPr>
              <w:t xml:space="preserve">CDH1 </w:t>
            </w:r>
            <w:r w:rsidRPr="00DF64BD">
              <w:rPr>
                <w:szCs w:val="24"/>
              </w:rPr>
              <w:t>(cell-to-cell adhesion)</w:t>
            </w:r>
          </w:p>
        </w:tc>
        <w:tc>
          <w:tcPr>
            <w:tcW w:w="1254" w:type="pct"/>
          </w:tcPr>
          <w:p w:rsidR="00423E49" w:rsidRPr="00DF64BD" w:rsidRDefault="00423E49" w:rsidP="00D75B09">
            <w:pPr>
              <w:jc w:val="center"/>
              <w:rPr>
                <w:rFonts w:cs="Times New Roman"/>
                <w:szCs w:val="24"/>
              </w:rPr>
            </w:pPr>
            <w:r w:rsidRPr="00DF64BD">
              <w:rPr>
                <w:rFonts w:cs="Times New Roman"/>
                <w:szCs w:val="24"/>
              </w:rPr>
              <w:t>[71-73]</w:t>
            </w:r>
          </w:p>
        </w:tc>
      </w:tr>
      <w:tr w:rsidR="00423E49" w:rsidRPr="00DF64BD" w:rsidTr="0015631B">
        <w:trPr>
          <w:cantSplit/>
          <w:trHeight w:val="725"/>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i/>
                <w:szCs w:val="24"/>
              </w:rPr>
            </w:pPr>
            <w:r w:rsidRPr="00DF64BD">
              <w:rPr>
                <w:i/>
                <w:szCs w:val="24"/>
              </w:rPr>
              <w:t xml:space="preserve">XPA, XPC, ERCC2 </w:t>
            </w:r>
            <w:r w:rsidRPr="00DF64BD">
              <w:rPr>
                <w:szCs w:val="24"/>
              </w:rPr>
              <w:t xml:space="preserve">(repair of DNA damage related to </w:t>
            </w:r>
            <w:r w:rsidRPr="00DF64BD">
              <w:rPr>
                <w:i/>
                <w:iCs/>
                <w:szCs w:val="24"/>
              </w:rPr>
              <w:t>H. pylori</w:t>
            </w:r>
            <w:r w:rsidRPr="00DF64BD">
              <w:rPr>
                <w:iCs/>
                <w:szCs w:val="24"/>
              </w:rPr>
              <w:t xml:space="preserve"> infection)</w:t>
            </w:r>
          </w:p>
        </w:tc>
        <w:tc>
          <w:tcPr>
            <w:tcW w:w="1254" w:type="pct"/>
          </w:tcPr>
          <w:p w:rsidR="00423E49" w:rsidRPr="00DF64BD" w:rsidRDefault="00D75B09" w:rsidP="00D75B09">
            <w:pPr>
              <w:jc w:val="center"/>
              <w:rPr>
                <w:rFonts w:cs="Times New Roman"/>
                <w:szCs w:val="24"/>
              </w:rPr>
            </w:pPr>
            <w:r>
              <w:rPr>
                <w:rFonts w:cs="Times New Roman"/>
                <w:szCs w:val="24"/>
              </w:rPr>
              <w:t>[32,</w:t>
            </w:r>
            <w:r w:rsidR="00423E49" w:rsidRPr="00DF64BD">
              <w:rPr>
                <w:rFonts w:cs="Times New Roman"/>
                <w:szCs w:val="24"/>
              </w:rPr>
              <w:t>74-76]</w:t>
            </w:r>
          </w:p>
        </w:tc>
      </w:tr>
      <w:tr w:rsidR="00423E49" w:rsidRPr="00DF64BD" w:rsidTr="0015631B">
        <w:trPr>
          <w:cantSplit/>
          <w:trHeight w:val="396"/>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i/>
                <w:szCs w:val="24"/>
              </w:rPr>
            </w:pPr>
            <w:r w:rsidRPr="00DF64BD">
              <w:rPr>
                <w:i/>
                <w:szCs w:val="24"/>
              </w:rPr>
              <w:t xml:space="preserve">MTHFR </w:t>
            </w:r>
            <w:r w:rsidRPr="00DF64BD">
              <w:rPr>
                <w:szCs w:val="24"/>
              </w:rPr>
              <w:t>(metabolism of foliate)</w:t>
            </w:r>
          </w:p>
        </w:tc>
        <w:tc>
          <w:tcPr>
            <w:tcW w:w="1254" w:type="pct"/>
          </w:tcPr>
          <w:p w:rsidR="00423E49" w:rsidRPr="00DF64BD" w:rsidRDefault="00D75B09" w:rsidP="00D75B09">
            <w:pPr>
              <w:jc w:val="center"/>
              <w:rPr>
                <w:rFonts w:cs="Times New Roman"/>
                <w:szCs w:val="24"/>
              </w:rPr>
            </w:pPr>
            <w:r>
              <w:rPr>
                <w:rFonts w:cs="Times New Roman"/>
                <w:szCs w:val="24"/>
              </w:rPr>
              <w:t>[77,</w:t>
            </w:r>
            <w:r w:rsidR="00423E49" w:rsidRPr="00DF64BD">
              <w:rPr>
                <w:rFonts w:cs="Times New Roman"/>
                <w:szCs w:val="24"/>
              </w:rPr>
              <w:t>78]</w:t>
            </w:r>
          </w:p>
        </w:tc>
      </w:tr>
      <w:tr w:rsidR="00423E49" w:rsidRPr="00DF64BD" w:rsidTr="0015631B">
        <w:trPr>
          <w:cantSplit/>
          <w:trHeight w:val="904"/>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i/>
                <w:szCs w:val="24"/>
              </w:rPr>
            </w:pPr>
            <w:r w:rsidRPr="00DF64BD">
              <w:rPr>
                <w:i/>
                <w:szCs w:val="24"/>
              </w:rPr>
              <w:t xml:space="preserve">GSTT1, SULT1A1, NAT2, EPHX1 </w:t>
            </w:r>
            <w:r w:rsidRPr="00DF64BD">
              <w:rPr>
                <w:szCs w:val="24"/>
              </w:rPr>
              <w:t>(metabolism of polycyclic aromatic hydrocarbons)</w:t>
            </w:r>
          </w:p>
        </w:tc>
        <w:tc>
          <w:tcPr>
            <w:tcW w:w="1254" w:type="pct"/>
          </w:tcPr>
          <w:p w:rsidR="00423E49" w:rsidRPr="00DF64BD" w:rsidRDefault="00D75B09" w:rsidP="00D75B09">
            <w:pPr>
              <w:jc w:val="center"/>
              <w:rPr>
                <w:rFonts w:cs="Times New Roman"/>
                <w:szCs w:val="24"/>
              </w:rPr>
            </w:pPr>
            <w:r>
              <w:rPr>
                <w:rFonts w:cs="Times New Roman"/>
                <w:szCs w:val="24"/>
              </w:rPr>
              <w:t>[79,</w:t>
            </w:r>
            <w:r w:rsidR="00423E49" w:rsidRPr="00DF64BD">
              <w:rPr>
                <w:rFonts w:cs="Times New Roman"/>
                <w:szCs w:val="24"/>
              </w:rPr>
              <w:t>80]</w:t>
            </w:r>
          </w:p>
        </w:tc>
      </w:tr>
      <w:tr w:rsidR="00423E49" w:rsidRPr="00DF64BD" w:rsidTr="0015631B">
        <w:trPr>
          <w:cantSplit/>
          <w:trHeight w:val="377"/>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i/>
                <w:szCs w:val="24"/>
              </w:rPr>
            </w:pPr>
            <w:r w:rsidRPr="00DF64BD">
              <w:rPr>
                <w:i/>
                <w:szCs w:val="24"/>
              </w:rPr>
              <w:t>Cyp2e1</w:t>
            </w:r>
            <w:r w:rsidRPr="00DF64BD">
              <w:rPr>
                <w:szCs w:val="24"/>
              </w:rPr>
              <w:t xml:space="preserve"> (metabolism of xenobiotics)</w:t>
            </w:r>
          </w:p>
        </w:tc>
        <w:tc>
          <w:tcPr>
            <w:tcW w:w="1254" w:type="pct"/>
          </w:tcPr>
          <w:p w:rsidR="00423E49" w:rsidRPr="00DF64BD" w:rsidRDefault="00423E49" w:rsidP="00D75B09">
            <w:pPr>
              <w:jc w:val="center"/>
              <w:rPr>
                <w:rFonts w:cs="Times New Roman"/>
                <w:szCs w:val="24"/>
              </w:rPr>
            </w:pPr>
            <w:r w:rsidRPr="00DF64BD">
              <w:rPr>
                <w:rFonts w:cs="Times New Roman"/>
                <w:szCs w:val="24"/>
              </w:rPr>
              <w:t>[82]</w:t>
            </w:r>
          </w:p>
        </w:tc>
      </w:tr>
      <w:tr w:rsidR="00423E49" w:rsidRPr="00DF64BD" w:rsidTr="0015631B">
        <w:trPr>
          <w:cantSplit/>
          <w:trHeight w:val="254"/>
        </w:trPr>
        <w:tc>
          <w:tcPr>
            <w:tcW w:w="1080" w:type="pct"/>
            <w:vMerge/>
            <w:tcBorders>
              <w:bottom w:val="nil"/>
            </w:tcBorders>
          </w:tcPr>
          <w:p w:rsidR="00423E49" w:rsidRPr="00DF64BD" w:rsidRDefault="00423E49" w:rsidP="00D75B09">
            <w:pPr>
              <w:rPr>
                <w:rFonts w:cs="Times New Roman"/>
                <w:szCs w:val="24"/>
              </w:rPr>
            </w:pPr>
          </w:p>
        </w:tc>
        <w:tc>
          <w:tcPr>
            <w:tcW w:w="2666" w:type="pct"/>
            <w:tcBorders>
              <w:bottom w:val="nil"/>
            </w:tcBorders>
          </w:tcPr>
          <w:p w:rsidR="00423E49" w:rsidRPr="00DF64BD" w:rsidRDefault="00423E49" w:rsidP="00D75B09">
            <w:pPr>
              <w:jc w:val="center"/>
              <w:rPr>
                <w:i/>
                <w:szCs w:val="24"/>
              </w:rPr>
            </w:pPr>
            <w:r w:rsidRPr="00DF64BD">
              <w:rPr>
                <w:i/>
                <w:szCs w:val="24"/>
              </w:rPr>
              <w:t>PSCA</w:t>
            </w:r>
          </w:p>
        </w:tc>
        <w:tc>
          <w:tcPr>
            <w:tcW w:w="1254" w:type="pct"/>
            <w:tcBorders>
              <w:bottom w:val="nil"/>
            </w:tcBorders>
          </w:tcPr>
          <w:p w:rsidR="00423E49" w:rsidRPr="00DF64BD" w:rsidRDefault="00423E49" w:rsidP="00D75B09">
            <w:pPr>
              <w:jc w:val="center"/>
              <w:rPr>
                <w:rFonts w:cs="Times New Roman"/>
                <w:szCs w:val="24"/>
              </w:rPr>
            </w:pPr>
            <w:r w:rsidRPr="00DF64BD">
              <w:rPr>
                <w:rFonts w:cs="Times New Roman"/>
                <w:szCs w:val="24"/>
              </w:rPr>
              <w:t>[83]</w:t>
            </w:r>
          </w:p>
        </w:tc>
      </w:tr>
      <w:tr w:rsidR="00423E49" w:rsidRPr="00DF64BD" w:rsidTr="0015631B">
        <w:trPr>
          <w:cantSplit/>
          <w:trHeight w:val="527"/>
        </w:trPr>
        <w:tc>
          <w:tcPr>
            <w:tcW w:w="1080" w:type="pct"/>
            <w:vMerge w:val="restart"/>
            <w:tcBorders>
              <w:top w:val="nil"/>
              <w:bottom w:val="nil"/>
            </w:tcBorders>
          </w:tcPr>
          <w:p w:rsidR="00423E49" w:rsidRPr="00DF64BD" w:rsidRDefault="00423E49" w:rsidP="00D75B09">
            <w:pPr>
              <w:rPr>
                <w:rFonts w:cs="Times New Roman"/>
                <w:szCs w:val="24"/>
              </w:rPr>
            </w:pPr>
            <w:r w:rsidRPr="00DF64BD">
              <w:rPr>
                <w:rFonts w:cs="Times New Roman"/>
                <w:szCs w:val="24"/>
              </w:rPr>
              <w:t>CIN</w:t>
            </w:r>
          </w:p>
        </w:tc>
        <w:tc>
          <w:tcPr>
            <w:tcW w:w="2666" w:type="pct"/>
            <w:tcBorders>
              <w:top w:val="nil"/>
              <w:bottom w:val="nil"/>
            </w:tcBorders>
          </w:tcPr>
          <w:p w:rsidR="00423E49" w:rsidRPr="00DF64BD" w:rsidRDefault="00423E49" w:rsidP="00D75B09">
            <w:pPr>
              <w:jc w:val="center"/>
              <w:rPr>
                <w:szCs w:val="24"/>
              </w:rPr>
            </w:pPr>
            <w:r w:rsidRPr="00DF64BD">
              <w:rPr>
                <w:szCs w:val="24"/>
              </w:rPr>
              <w:t>gain of copy number at 8q, 17q, 12q, 13q and 20q</w:t>
            </w:r>
          </w:p>
        </w:tc>
        <w:tc>
          <w:tcPr>
            <w:tcW w:w="1254" w:type="pct"/>
            <w:tcBorders>
              <w:top w:val="nil"/>
              <w:bottom w:val="nil"/>
            </w:tcBorders>
          </w:tcPr>
          <w:p w:rsidR="00423E49" w:rsidRPr="00DF64BD" w:rsidRDefault="00423E49" w:rsidP="00D75B09">
            <w:pPr>
              <w:jc w:val="center"/>
              <w:rPr>
                <w:rFonts w:cs="Times New Roman"/>
                <w:szCs w:val="24"/>
              </w:rPr>
            </w:pPr>
            <w:r w:rsidRPr="00DF64BD">
              <w:rPr>
                <w:rFonts w:cs="Times New Roman"/>
                <w:szCs w:val="24"/>
              </w:rPr>
              <w:t>[105-109]</w:t>
            </w:r>
          </w:p>
        </w:tc>
      </w:tr>
      <w:tr w:rsidR="00423E49" w:rsidRPr="00DF64BD" w:rsidTr="0015631B">
        <w:trPr>
          <w:cantSplit/>
          <w:trHeight w:val="339"/>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szCs w:val="24"/>
              </w:rPr>
            </w:pPr>
            <w:r w:rsidRPr="00DF64BD">
              <w:rPr>
                <w:szCs w:val="24"/>
              </w:rPr>
              <w:t>amplification of EGF and c-</w:t>
            </w:r>
            <w:r w:rsidR="00805B25">
              <w:rPr>
                <w:szCs w:val="24"/>
              </w:rPr>
              <w:t>E</w:t>
            </w:r>
            <w:r w:rsidRPr="00DF64BD">
              <w:rPr>
                <w:szCs w:val="24"/>
              </w:rPr>
              <w:t>rbB2</w:t>
            </w:r>
          </w:p>
        </w:tc>
        <w:tc>
          <w:tcPr>
            <w:tcW w:w="1254" w:type="pct"/>
            <w:tcBorders>
              <w:top w:val="nil"/>
              <w:bottom w:val="nil"/>
            </w:tcBorders>
          </w:tcPr>
          <w:p w:rsidR="00423E49" w:rsidRPr="00DF64BD" w:rsidRDefault="00D75B09" w:rsidP="00D75B09">
            <w:pPr>
              <w:jc w:val="center"/>
              <w:rPr>
                <w:rFonts w:cs="Times New Roman"/>
                <w:szCs w:val="24"/>
              </w:rPr>
            </w:pPr>
            <w:r>
              <w:rPr>
                <w:rFonts w:cs="Times New Roman"/>
                <w:szCs w:val="24"/>
              </w:rPr>
              <w:t>[110,</w:t>
            </w:r>
            <w:r w:rsidR="00423E49" w:rsidRPr="00DF64BD">
              <w:rPr>
                <w:rFonts w:cs="Times New Roman"/>
                <w:szCs w:val="24"/>
              </w:rPr>
              <w:t>111]</w:t>
            </w:r>
          </w:p>
        </w:tc>
      </w:tr>
      <w:tr w:rsidR="00423E49" w:rsidRPr="00DF64BD" w:rsidTr="0015631B">
        <w:trPr>
          <w:cantSplit/>
          <w:trHeight w:val="151"/>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szCs w:val="24"/>
              </w:rPr>
            </w:pPr>
            <w:r w:rsidRPr="00DF64BD">
              <w:rPr>
                <w:szCs w:val="24"/>
              </w:rPr>
              <w:t>amplification of FGFR</w:t>
            </w:r>
          </w:p>
        </w:tc>
        <w:tc>
          <w:tcPr>
            <w:tcW w:w="1254" w:type="pct"/>
            <w:tcBorders>
              <w:top w:val="nil"/>
              <w:bottom w:val="nil"/>
            </w:tcBorders>
          </w:tcPr>
          <w:p w:rsidR="00423E49" w:rsidRPr="00DF64BD" w:rsidRDefault="00D75B09" w:rsidP="00D75B09">
            <w:pPr>
              <w:jc w:val="center"/>
              <w:rPr>
                <w:rFonts w:cs="Times New Roman"/>
                <w:szCs w:val="24"/>
              </w:rPr>
            </w:pPr>
            <w:r>
              <w:rPr>
                <w:rFonts w:cs="Times New Roman"/>
                <w:szCs w:val="24"/>
              </w:rPr>
              <w:t>[112,</w:t>
            </w:r>
            <w:r w:rsidR="00423E49" w:rsidRPr="00DF64BD">
              <w:rPr>
                <w:rFonts w:cs="Times New Roman"/>
                <w:szCs w:val="24"/>
              </w:rPr>
              <w:t>113]</w:t>
            </w:r>
          </w:p>
        </w:tc>
      </w:tr>
      <w:tr w:rsidR="00423E49" w:rsidRPr="00DF64BD" w:rsidTr="0015631B">
        <w:trPr>
          <w:cantSplit/>
          <w:trHeight w:val="356"/>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szCs w:val="24"/>
              </w:rPr>
            </w:pPr>
            <w:r w:rsidRPr="00DF64BD">
              <w:rPr>
                <w:szCs w:val="24"/>
              </w:rPr>
              <w:t xml:space="preserve">amplification of </w:t>
            </w:r>
            <w:r w:rsidRPr="00DF64BD">
              <w:rPr>
                <w:i/>
                <w:szCs w:val="24"/>
              </w:rPr>
              <w:t>ERBB2</w:t>
            </w:r>
          </w:p>
        </w:tc>
        <w:tc>
          <w:tcPr>
            <w:tcW w:w="1254" w:type="pct"/>
            <w:tcBorders>
              <w:top w:val="nil"/>
              <w:bottom w:val="nil"/>
            </w:tcBorders>
          </w:tcPr>
          <w:p w:rsidR="00423E49" w:rsidRPr="00DF64BD" w:rsidRDefault="00D75B09" w:rsidP="00D75B09">
            <w:pPr>
              <w:jc w:val="center"/>
              <w:rPr>
                <w:rFonts w:cs="Times New Roman"/>
                <w:szCs w:val="24"/>
              </w:rPr>
            </w:pPr>
            <w:r>
              <w:rPr>
                <w:rFonts w:cs="Times New Roman"/>
                <w:szCs w:val="24"/>
              </w:rPr>
              <w:t>[116,</w:t>
            </w:r>
            <w:r w:rsidR="00423E49" w:rsidRPr="00DF64BD">
              <w:rPr>
                <w:rFonts w:cs="Times New Roman"/>
                <w:szCs w:val="24"/>
              </w:rPr>
              <w:t>117]</w:t>
            </w:r>
          </w:p>
        </w:tc>
      </w:tr>
      <w:tr w:rsidR="00423E49" w:rsidRPr="00DF64BD" w:rsidTr="0015631B">
        <w:trPr>
          <w:cantSplit/>
          <w:trHeight w:val="415"/>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szCs w:val="24"/>
              </w:rPr>
            </w:pPr>
            <w:r w:rsidRPr="00DF64BD">
              <w:rPr>
                <w:szCs w:val="24"/>
              </w:rPr>
              <w:t>overexpression of HGF and c-myc</w:t>
            </w:r>
          </w:p>
        </w:tc>
        <w:tc>
          <w:tcPr>
            <w:tcW w:w="1254" w:type="pct"/>
            <w:tcBorders>
              <w:top w:val="nil"/>
              <w:bottom w:val="nil"/>
            </w:tcBorders>
          </w:tcPr>
          <w:p w:rsidR="00423E49" w:rsidRPr="00DF64BD" w:rsidRDefault="00D75B09" w:rsidP="00D75B09">
            <w:pPr>
              <w:jc w:val="center"/>
              <w:rPr>
                <w:rFonts w:cs="Times New Roman"/>
                <w:szCs w:val="24"/>
              </w:rPr>
            </w:pPr>
            <w:r>
              <w:rPr>
                <w:rFonts w:cs="Times New Roman"/>
                <w:szCs w:val="24"/>
              </w:rPr>
              <w:t>[112,114,</w:t>
            </w:r>
            <w:r w:rsidR="00423E49" w:rsidRPr="00DF64BD">
              <w:rPr>
                <w:rFonts w:cs="Times New Roman"/>
                <w:szCs w:val="24"/>
              </w:rPr>
              <w:t>115]</w:t>
            </w:r>
          </w:p>
        </w:tc>
      </w:tr>
      <w:tr w:rsidR="00423E49" w:rsidRPr="00DF64BD" w:rsidTr="0015631B">
        <w:trPr>
          <w:cantSplit/>
          <w:trHeight w:val="198"/>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szCs w:val="24"/>
              </w:rPr>
            </w:pPr>
            <w:r w:rsidRPr="00DF64BD">
              <w:rPr>
                <w:i/>
                <w:szCs w:val="24"/>
              </w:rPr>
              <w:t>SLC1A2-CD44</w:t>
            </w:r>
            <w:r w:rsidRPr="00DF64BD">
              <w:rPr>
                <w:szCs w:val="24"/>
              </w:rPr>
              <w:t xml:space="preserve"> fusion</w:t>
            </w:r>
          </w:p>
        </w:tc>
        <w:tc>
          <w:tcPr>
            <w:tcW w:w="1254" w:type="pct"/>
            <w:tcBorders>
              <w:top w:val="nil"/>
              <w:bottom w:val="nil"/>
            </w:tcBorders>
          </w:tcPr>
          <w:p w:rsidR="00423E49" w:rsidRPr="00DF64BD" w:rsidRDefault="00423E49" w:rsidP="00D75B09">
            <w:pPr>
              <w:ind w:left="708" w:hanging="708"/>
              <w:jc w:val="center"/>
              <w:rPr>
                <w:rFonts w:cs="Times New Roman"/>
                <w:szCs w:val="24"/>
              </w:rPr>
            </w:pPr>
            <w:r w:rsidRPr="00DF64BD">
              <w:rPr>
                <w:rFonts w:cs="Times New Roman"/>
                <w:szCs w:val="24"/>
              </w:rPr>
              <w:t>[119]</w:t>
            </w:r>
          </w:p>
        </w:tc>
      </w:tr>
      <w:tr w:rsidR="00423E49" w:rsidRPr="00DF64BD" w:rsidTr="0015631B">
        <w:trPr>
          <w:cantSplit/>
          <w:trHeight w:val="387"/>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i/>
                <w:szCs w:val="24"/>
              </w:rPr>
            </w:pPr>
            <w:r w:rsidRPr="00DF64BD">
              <w:rPr>
                <w:i/>
                <w:szCs w:val="24"/>
              </w:rPr>
              <w:t>ROS1</w:t>
            </w:r>
            <w:r w:rsidRPr="00DF64BD">
              <w:rPr>
                <w:szCs w:val="24"/>
              </w:rPr>
              <w:t xml:space="preserve"> rearrangement</w:t>
            </w:r>
          </w:p>
        </w:tc>
        <w:tc>
          <w:tcPr>
            <w:tcW w:w="1254" w:type="pct"/>
            <w:tcBorders>
              <w:top w:val="nil"/>
              <w:bottom w:val="nil"/>
            </w:tcBorders>
          </w:tcPr>
          <w:p w:rsidR="00423E49" w:rsidRPr="00DF64BD" w:rsidRDefault="00423E49" w:rsidP="00D75B09">
            <w:pPr>
              <w:jc w:val="center"/>
              <w:rPr>
                <w:rFonts w:cs="Times New Roman"/>
                <w:szCs w:val="24"/>
              </w:rPr>
            </w:pPr>
            <w:r w:rsidRPr="00DF64BD">
              <w:rPr>
                <w:rFonts w:cs="Times New Roman"/>
                <w:szCs w:val="24"/>
              </w:rPr>
              <w:t>[120]</w:t>
            </w:r>
          </w:p>
        </w:tc>
      </w:tr>
      <w:tr w:rsidR="00423E49" w:rsidRPr="00DF64BD" w:rsidTr="0015631B">
        <w:trPr>
          <w:cantSplit/>
        </w:trPr>
        <w:tc>
          <w:tcPr>
            <w:tcW w:w="1080" w:type="pct"/>
            <w:tcBorders>
              <w:top w:val="nil"/>
              <w:bottom w:val="nil"/>
            </w:tcBorders>
          </w:tcPr>
          <w:p w:rsidR="00423E49" w:rsidRPr="00DF64BD" w:rsidRDefault="00423E49" w:rsidP="00D75B09">
            <w:pPr>
              <w:rPr>
                <w:rFonts w:cs="Times New Roman"/>
                <w:szCs w:val="24"/>
              </w:rPr>
            </w:pPr>
            <w:r w:rsidRPr="00DF64BD">
              <w:rPr>
                <w:rFonts w:cs="Times New Roman"/>
                <w:szCs w:val="24"/>
              </w:rPr>
              <w:t>LOH</w:t>
            </w:r>
          </w:p>
        </w:tc>
        <w:tc>
          <w:tcPr>
            <w:tcW w:w="2666" w:type="pct"/>
            <w:tcBorders>
              <w:top w:val="nil"/>
              <w:bottom w:val="nil"/>
            </w:tcBorders>
          </w:tcPr>
          <w:p w:rsidR="00423E49" w:rsidRPr="00DF64BD" w:rsidRDefault="00423E49" w:rsidP="00D75B09">
            <w:pPr>
              <w:jc w:val="center"/>
              <w:rPr>
                <w:szCs w:val="24"/>
              </w:rPr>
            </w:pPr>
            <w:r w:rsidRPr="00DF64BD">
              <w:rPr>
                <w:i/>
                <w:szCs w:val="24"/>
              </w:rPr>
              <w:t>APC</w:t>
            </w:r>
            <w:r w:rsidRPr="00DF64BD">
              <w:rPr>
                <w:szCs w:val="24"/>
              </w:rPr>
              <w:t xml:space="preserve">, </w:t>
            </w:r>
            <w:r w:rsidRPr="00DF64BD">
              <w:rPr>
                <w:i/>
                <w:szCs w:val="24"/>
              </w:rPr>
              <w:t>TP53</w:t>
            </w:r>
            <w:r w:rsidRPr="00DF64BD">
              <w:rPr>
                <w:szCs w:val="24"/>
              </w:rPr>
              <w:t xml:space="preserve">, </w:t>
            </w:r>
            <w:r w:rsidRPr="00DF64BD">
              <w:rPr>
                <w:i/>
                <w:szCs w:val="24"/>
              </w:rPr>
              <w:t>NME1</w:t>
            </w:r>
          </w:p>
        </w:tc>
        <w:tc>
          <w:tcPr>
            <w:tcW w:w="1254" w:type="pct"/>
            <w:tcBorders>
              <w:top w:val="nil"/>
              <w:bottom w:val="nil"/>
            </w:tcBorders>
          </w:tcPr>
          <w:p w:rsidR="00423E49" w:rsidRPr="00DF64BD" w:rsidRDefault="00D75B09" w:rsidP="00D75B09">
            <w:pPr>
              <w:jc w:val="center"/>
              <w:rPr>
                <w:rFonts w:cs="Times New Roman"/>
                <w:szCs w:val="24"/>
              </w:rPr>
            </w:pPr>
            <w:r>
              <w:rPr>
                <w:rFonts w:cs="Times New Roman"/>
                <w:szCs w:val="24"/>
              </w:rPr>
              <w:t>[121,</w:t>
            </w:r>
            <w:r w:rsidR="00423E49" w:rsidRPr="00DF64BD">
              <w:rPr>
                <w:rFonts w:cs="Times New Roman"/>
                <w:szCs w:val="24"/>
              </w:rPr>
              <w:t>122]</w:t>
            </w:r>
          </w:p>
        </w:tc>
      </w:tr>
      <w:tr w:rsidR="00423E49" w:rsidRPr="00DF64BD" w:rsidTr="0015631B">
        <w:trPr>
          <w:cantSplit/>
          <w:trHeight w:val="555"/>
        </w:trPr>
        <w:tc>
          <w:tcPr>
            <w:tcW w:w="1080" w:type="pct"/>
            <w:vMerge w:val="restart"/>
            <w:tcBorders>
              <w:top w:val="nil"/>
              <w:bottom w:val="nil"/>
            </w:tcBorders>
          </w:tcPr>
          <w:p w:rsidR="00423E49" w:rsidRPr="00DF64BD" w:rsidRDefault="00423E49" w:rsidP="00D75B09">
            <w:pPr>
              <w:rPr>
                <w:rFonts w:cs="Times New Roman"/>
                <w:szCs w:val="24"/>
              </w:rPr>
            </w:pPr>
            <w:r w:rsidRPr="00DF64BD">
              <w:rPr>
                <w:rFonts w:cs="Times New Roman"/>
                <w:szCs w:val="24"/>
              </w:rPr>
              <w:t>MSI</w:t>
            </w:r>
          </w:p>
        </w:tc>
        <w:tc>
          <w:tcPr>
            <w:tcW w:w="2666" w:type="pct"/>
            <w:tcBorders>
              <w:top w:val="nil"/>
              <w:bottom w:val="nil"/>
            </w:tcBorders>
          </w:tcPr>
          <w:p w:rsidR="00423E49" w:rsidRPr="00DF64BD" w:rsidRDefault="00423E49" w:rsidP="00D75B09">
            <w:pPr>
              <w:jc w:val="center"/>
              <w:rPr>
                <w:szCs w:val="24"/>
              </w:rPr>
            </w:pPr>
            <w:r w:rsidRPr="00DF64BD">
              <w:rPr>
                <w:i/>
                <w:szCs w:val="24"/>
              </w:rPr>
              <w:t xml:space="preserve">TGFβRII, IGFIIR,RIZ, TCF4, DP2 </w:t>
            </w:r>
            <w:r w:rsidRPr="00DF64BD">
              <w:rPr>
                <w:szCs w:val="24"/>
              </w:rPr>
              <w:t>(cell growth-regulating genes)</w:t>
            </w:r>
          </w:p>
        </w:tc>
        <w:tc>
          <w:tcPr>
            <w:tcW w:w="1254" w:type="pct"/>
            <w:vMerge w:val="restart"/>
            <w:tcBorders>
              <w:top w:val="nil"/>
              <w:bottom w:val="nil"/>
            </w:tcBorders>
          </w:tcPr>
          <w:p w:rsidR="00423E49" w:rsidRPr="00DF64BD" w:rsidRDefault="00D75B09" w:rsidP="00D75B09">
            <w:pPr>
              <w:jc w:val="center"/>
              <w:rPr>
                <w:rFonts w:cs="Times New Roman"/>
                <w:szCs w:val="24"/>
              </w:rPr>
            </w:pPr>
            <w:r>
              <w:rPr>
                <w:rFonts w:cs="Times New Roman"/>
                <w:szCs w:val="24"/>
              </w:rPr>
              <w:t>[125,</w:t>
            </w:r>
            <w:r w:rsidR="00423E49" w:rsidRPr="00DF64BD">
              <w:rPr>
                <w:rFonts w:cs="Times New Roman"/>
                <w:szCs w:val="24"/>
              </w:rPr>
              <w:t>127-136]</w:t>
            </w:r>
          </w:p>
        </w:tc>
      </w:tr>
      <w:tr w:rsidR="00423E49" w:rsidRPr="00DF64BD" w:rsidTr="0015631B">
        <w:trPr>
          <w:cantSplit/>
          <w:trHeight w:val="585"/>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i/>
                <w:szCs w:val="24"/>
              </w:rPr>
            </w:pPr>
            <w:r w:rsidRPr="00DF64BD">
              <w:rPr>
                <w:i/>
                <w:szCs w:val="24"/>
              </w:rPr>
              <w:t xml:space="preserve">BAX, BCL10, FAS, CASPASE5, APAF1 </w:t>
            </w:r>
            <w:r w:rsidRPr="00DF64BD">
              <w:rPr>
                <w:szCs w:val="24"/>
              </w:rPr>
              <w:t>(apoptosis genes)</w:t>
            </w:r>
          </w:p>
        </w:tc>
        <w:tc>
          <w:tcPr>
            <w:tcW w:w="1254" w:type="pct"/>
            <w:vMerge/>
            <w:tcBorders>
              <w:top w:val="nil"/>
              <w:bottom w:val="nil"/>
            </w:tcBorders>
          </w:tcPr>
          <w:p w:rsidR="00423E49" w:rsidRPr="00DF64BD" w:rsidRDefault="00423E49" w:rsidP="00D75B09">
            <w:pPr>
              <w:jc w:val="center"/>
              <w:rPr>
                <w:rFonts w:cs="Times New Roman"/>
                <w:szCs w:val="24"/>
              </w:rPr>
            </w:pPr>
          </w:p>
        </w:tc>
      </w:tr>
      <w:tr w:rsidR="00423E49" w:rsidRPr="00DF64BD" w:rsidTr="0015631B">
        <w:trPr>
          <w:cantSplit/>
          <w:trHeight w:val="563"/>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i/>
                <w:szCs w:val="24"/>
              </w:rPr>
            </w:pPr>
            <w:r w:rsidRPr="00DF64BD">
              <w:rPr>
                <w:i/>
                <w:szCs w:val="24"/>
              </w:rPr>
              <w:t xml:space="preserve">hMSH6, hMSH3, MED1, RAD50, BLM, ATR, MRE11 </w:t>
            </w:r>
            <w:r w:rsidRPr="00DF64BD">
              <w:rPr>
                <w:szCs w:val="24"/>
              </w:rPr>
              <w:t>(DNA repair genes)</w:t>
            </w:r>
          </w:p>
        </w:tc>
        <w:tc>
          <w:tcPr>
            <w:tcW w:w="1254" w:type="pct"/>
            <w:vMerge/>
            <w:tcBorders>
              <w:top w:val="nil"/>
              <w:bottom w:val="nil"/>
            </w:tcBorders>
          </w:tcPr>
          <w:p w:rsidR="00423E49" w:rsidRPr="00DF64BD" w:rsidRDefault="00423E49" w:rsidP="00D75B09">
            <w:pPr>
              <w:jc w:val="center"/>
              <w:rPr>
                <w:rFonts w:cs="Times New Roman"/>
                <w:szCs w:val="24"/>
              </w:rPr>
            </w:pPr>
          </w:p>
        </w:tc>
      </w:tr>
      <w:tr w:rsidR="00423E49" w:rsidRPr="00DF64BD" w:rsidTr="0015631B">
        <w:trPr>
          <w:cantSplit/>
        </w:trPr>
        <w:tc>
          <w:tcPr>
            <w:tcW w:w="1080" w:type="pct"/>
            <w:tcBorders>
              <w:top w:val="nil"/>
              <w:bottom w:val="nil"/>
            </w:tcBorders>
          </w:tcPr>
          <w:p w:rsidR="00423E49" w:rsidRPr="00DF64BD" w:rsidRDefault="00423E49" w:rsidP="00D75B09">
            <w:pPr>
              <w:pStyle w:val="NoSpacing"/>
              <w:spacing w:line="360" w:lineRule="auto"/>
              <w:rPr>
                <w:rFonts w:ascii="Book Antiqua" w:hAnsi="Book Antiqua"/>
                <w:sz w:val="24"/>
                <w:szCs w:val="24"/>
                <w:lang w:val="en-US"/>
              </w:rPr>
            </w:pPr>
            <w:r w:rsidRPr="00DF64BD">
              <w:rPr>
                <w:rFonts w:ascii="Book Antiqua" w:hAnsi="Book Antiqua"/>
                <w:sz w:val="24"/>
                <w:szCs w:val="24"/>
                <w:lang w:val="en-US"/>
              </w:rPr>
              <w:lastRenderedPageBreak/>
              <w:t>Somatic gene mutations</w:t>
            </w:r>
          </w:p>
        </w:tc>
        <w:tc>
          <w:tcPr>
            <w:tcW w:w="2666" w:type="pct"/>
            <w:tcBorders>
              <w:top w:val="nil"/>
              <w:bottom w:val="nil"/>
            </w:tcBorders>
          </w:tcPr>
          <w:p w:rsidR="00423E49" w:rsidRPr="00DF64BD" w:rsidRDefault="00423E49" w:rsidP="00D75B09">
            <w:pPr>
              <w:jc w:val="center"/>
              <w:rPr>
                <w:szCs w:val="24"/>
              </w:rPr>
            </w:pPr>
            <w:r w:rsidRPr="00DF64BD">
              <w:rPr>
                <w:i/>
                <w:iCs/>
                <w:szCs w:val="24"/>
              </w:rPr>
              <w:t>TP53</w:t>
            </w:r>
            <w:r w:rsidRPr="00DF64BD">
              <w:rPr>
                <w:szCs w:val="24"/>
              </w:rPr>
              <w:t xml:space="preserve">, </w:t>
            </w:r>
            <w:r w:rsidRPr="00DF64BD">
              <w:rPr>
                <w:i/>
                <w:iCs/>
                <w:szCs w:val="24"/>
              </w:rPr>
              <w:t>CDH1</w:t>
            </w:r>
            <w:r w:rsidRPr="00DF64BD">
              <w:rPr>
                <w:szCs w:val="24"/>
              </w:rPr>
              <w:t xml:space="preserve">, </w:t>
            </w:r>
            <w:r w:rsidRPr="00DF64BD">
              <w:rPr>
                <w:i/>
                <w:iCs/>
                <w:szCs w:val="24"/>
              </w:rPr>
              <w:t>SMAD4</w:t>
            </w:r>
            <w:r w:rsidRPr="00DF64BD">
              <w:rPr>
                <w:szCs w:val="24"/>
              </w:rPr>
              <w:t xml:space="preserve">, </w:t>
            </w:r>
            <w:r w:rsidRPr="00DF64BD">
              <w:rPr>
                <w:i/>
                <w:iCs/>
                <w:szCs w:val="24"/>
              </w:rPr>
              <w:t>PIK3CA</w:t>
            </w:r>
            <w:r w:rsidRPr="00DF64BD">
              <w:rPr>
                <w:szCs w:val="24"/>
              </w:rPr>
              <w:t xml:space="preserve">, </w:t>
            </w:r>
            <w:r w:rsidRPr="00DF64BD">
              <w:rPr>
                <w:i/>
                <w:iCs/>
                <w:szCs w:val="24"/>
              </w:rPr>
              <w:t>RHOA</w:t>
            </w:r>
            <w:r w:rsidRPr="00DF64BD">
              <w:rPr>
                <w:szCs w:val="24"/>
              </w:rPr>
              <w:t xml:space="preserve">, </w:t>
            </w:r>
            <w:r w:rsidRPr="00DF64BD">
              <w:rPr>
                <w:i/>
                <w:iCs/>
                <w:szCs w:val="24"/>
              </w:rPr>
              <w:t>ARID1A</w:t>
            </w:r>
            <w:r w:rsidRPr="00DF64BD">
              <w:rPr>
                <w:szCs w:val="24"/>
              </w:rPr>
              <w:t xml:space="preserve">, </w:t>
            </w:r>
            <w:r w:rsidRPr="00DF64BD">
              <w:rPr>
                <w:i/>
                <w:iCs/>
                <w:szCs w:val="24"/>
              </w:rPr>
              <w:t>KRAS</w:t>
            </w:r>
            <w:r w:rsidRPr="00DF64BD">
              <w:rPr>
                <w:szCs w:val="24"/>
              </w:rPr>
              <w:t xml:space="preserve">, </w:t>
            </w:r>
            <w:r w:rsidRPr="00DF64BD">
              <w:rPr>
                <w:i/>
                <w:iCs/>
                <w:szCs w:val="24"/>
              </w:rPr>
              <w:t>MUC3</w:t>
            </w:r>
            <w:r w:rsidRPr="00DF64BD">
              <w:rPr>
                <w:szCs w:val="24"/>
              </w:rPr>
              <w:t xml:space="preserve">, </w:t>
            </w:r>
            <w:r w:rsidRPr="00DF64BD">
              <w:rPr>
                <w:i/>
                <w:iCs/>
                <w:szCs w:val="24"/>
              </w:rPr>
              <w:t>APC</w:t>
            </w:r>
            <w:r w:rsidRPr="00DF64BD">
              <w:rPr>
                <w:szCs w:val="24"/>
              </w:rPr>
              <w:t xml:space="preserve">, </w:t>
            </w:r>
            <w:r w:rsidRPr="00DF64BD">
              <w:rPr>
                <w:i/>
                <w:iCs/>
                <w:szCs w:val="24"/>
              </w:rPr>
              <w:t>ERBB1</w:t>
            </w:r>
            <w:r w:rsidRPr="00DF64BD">
              <w:rPr>
                <w:szCs w:val="24"/>
              </w:rPr>
              <w:t xml:space="preserve">, </w:t>
            </w:r>
            <w:r w:rsidRPr="00DF64BD">
              <w:rPr>
                <w:i/>
                <w:iCs/>
                <w:szCs w:val="24"/>
              </w:rPr>
              <w:t>PTEN</w:t>
            </w:r>
            <w:r w:rsidRPr="00DF64BD">
              <w:rPr>
                <w:szCs w:val="24"/>
              </w:rPr>
              <w:t xml:space="preserve">, </w:t>
            </w:r>
            <w:r w:rsidRPr="00DF64BD">
              <w:rPr>
                <w:i/>
                <w:iCs/>
                <w:szCs w:val="24"/>
              </w:rPr>
              <w:t>HLAB</w:t>
            </w:r>
            <w:r w:rsidRPr="00DF64BD">
              <w:rPr>
                <w:szCs w:val="24"/>
              </w:rPr>
              <w:t xml:space="preserve">, </w:t>
            </w:r>
            <w:r w:rsidRPr="00DF64BD">
              <w:rPr>
                <w:i/>
                <w:iCs/>
                <w:szCs w:val="24"/>
              </w:rPr>
              <w:t>B2M</w:t>
            </w:r>
            <w:r w:rsidRPr="00DF64BD">
              <w:rPr>
                <w:szCs w:val="24"/>
              </w:rPr>
              <w:t xml:space="preserve">, </w:t>
            </w:r>
            <w:r w:rsidRPr="00DF64BD">
              <w:rPr>
                <w:i/>
                <w:iCs/>
                <w:szCs w:val="24"/>
              </w:rPr>
              <w:t>FAT4</w:t>
            </w:r>
          </w:p>
        </w:tc>
        <w:tc>
          <w:tcPr>
            <w:tcW w:w="1254" w:type="pct"/>
            <w:tcBorders>
              <w:top w:val="nil"/>
              <w:bottom w:val="nil"/>
            </w:tcBorders>
          </w:tcPr>
          <w:p w:rsidR="00423E49" w:rsidRPr="00DF64BD" w:rsidRDefault="00423E49" w:rsidP="00D75B09">
            <w:pPr>
              <w:jc w:val="center"/>
              <w:rPr>
                <w:rFonts w:cs="Times New Roman"/>
                <w:szCs w:val="24"/>
              </w:rPr>
            </w:pPr>
            <w:r w:rsidRPr="00DF64BD">
              <w:rPr>
                <w:rFonts w:cs="Times New Roman"/>
                <w:szCs w:val="24"/>
              </w:rPr>
              <w:t>[150-153]</w:t>
            </w:r>
          </w:p>
        </w:tc>
      </w:tr>
      <w:tr w:rsidR="00423E49" w:rsidRPr="00DF64BD" w:rsidTr="0015631B">
        <w:trPr>
          <w:cantSplit/>
          <w:trHeight w:val="612"/>
        </w:trPr>
        <w:tc>
          <w:tcPr>
            <w:tcW w:w="1080" w:type="pct"/>
            <w:vMerge w:val="restart"/>
            <w:tcBorders>
              <w:top w:val="nil"/>
              <w:bottom w:val="nil"/>
            </w:tcBorders>
          </w:tcPr>
          <w:p w:rsidR="00423E49" w:rsidRPr="00DF64BD" w:rsidRDefault="00423E49" w:rsidP="00D75B09">
            <w:pPr>
              <w:pStyle w:val="NoSpacing"/>
              <w:spacing w:line="360" w:lineRule="auto"/>
              <w:rPr>
                <w:rFonts w:ascii="Book Antiqua" w:hAnsi="Book Antiqua"/>
                <w:sz w:val="24"/>
                <w:szCs w:val="24"/>
                <w:lang w:val="en-US"/>
              </w:rPr>
            </w:pPr>
            <w:r w:rsidRPr="00DF64BD">
              <w:rPr>
                <w:rFonts w:ascii="Book Antiqua" w:hAnsi="Book Antiqua"/>
                <w:sz w:val="24"/>
                <w:szCs w:val="24"/>
                <w:lang w:val="en-US"/>
              </w:rPr>
              <w:t>Epigenetic alterations</w:t>
            </w:r>
          </w:p>
        </w:tc>
        <w:tc>
          <w:tcPr>
            <w:tcW w:w="2666" w:type="pct"/>
            <w:tcBorders>
              <w:top w:val="nil"/>
              <w:bottom w:val="nil"/>
            </w:tcBorders>
          </w:tcPr>
          <w:p w:rsidR="00423E49" w:rsidRPr="00DF64BD" w:rsidRDefault="00423E49" w:rsidP="00D75B09">
            <w:pPr>
              <w:jc w:val="center"/>
              <w:rPr>
                <w:szCs w:val="24"/>
              </w:rPr>
            </w:pPr>
            <w:r w:rsidRPr="00DF64BD">
              <w:rPr>
                <w:szCs w:val="24"/>
              </w:rPr>
              <w:t xml:space="preserve">CpG island methylation of the promoters of </w:t>
            </w:r>
            <w:r w:rsidRPr="00DF64BD">
              <w:rPr>
                <w:i/>
                <w:szCs w:val="24"/>
              </w:rPr>
              <w:t>CDH1</w:t>
            </w:r>
            <w:r w:rsidRPr="00DF64BD">
              <w:rPr>
                <w:szCs w:val="24"/>
              </w:rPr>
              <w:t xml:space="preserve">, </w:t>
            </w:r>
            <w:r w:rsidRPr="00DF64BD">
              <w:rPr>
                <w:i/>
                <w:szCs w:val="24"/>
              </w:rPr>
              <w:t>CDKN2A</w:t>
            </w:r>
            <w:r w:rsidRPr="00DF64BD">
              <w:rPr>
                <w:szCs w:val="24"/>
              </w:rPr>
              <w:t xml:space="preserve">, </w:t>
            </w:r>
            <w:r w:rsidRPr="00DF64BD">
              <w:rPr>
                <w:i/>
                <w:szCs w:val="24"/>
              </w:rPr>
              <w:t>CDKN2B</w:t>
            </w:r>
            <w:r w:rsidRPr="00DF64BD">
              <w:rPr>
                <w:szCs w:val="24"/>
              </w:rPr>
              <w:t xml:space="preserve"> and </w:t>
            </w:r>
            <w:r w:rsidRPr="00DF64BD">
              <w:rPr>
                <w:i/>
                <w:szCs w:val="24"/>
              </w:rPr>
              <w:t>hMLH1</w:t>
            </w:r>
          </w:p>
        </w:tc>
        <w:tc>
          <w:tcPr>
            <w:tcW w:w="1254" w:type="pct"/>
            <w:tcBorders>
              <w:top w:val="nil"/>
              <w:bottom w:val="nil"/>
            </w:tcBorders>
          </w:tcPr>
          <w:p w:rsidR="00423E49" w:rsidRPr="00DF64BD" w:rsidRDefault="00D75B09" w:rsidP="00D75B09">
            <w:pPr>
              <w:jc w:val="center"/>
              <w:rPr>
                <w:rFonts w:cs="Times New Roman"/>
                <w:szCs w:val="24"/>
              </w:rPr>
            </w:pPr>
            <w:r>
              <w:rPr>
                <w:rFonts w:cs="Times New Roman"/>
                <w:szCs w:val="24"/>
              </w:rPr>
              <w:t>[137,</w:t>
            </w:r>
            <w:r w:rsidR="00423E49" w:rsidRPr="00DF64BD">
              <w:rPr>
                <w:rFonts w:cs="Times New Roman"/>
                <w:szCs w:val="24"/>
              </w:rPr>
              <w:t>138]</w:t>
            </w:r>
          </w:p>
        </w:tc>
      </w:tr>
      <w:tr w:rsidR="00423E49" w:rsidRPr="00DF64BD" w:rsidTr="0015631B">
        <w:trPr>
          <w:cantSplit/>
          <w:trHeight w:val="216"/>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szCs w:val="24"/>
              </w:rPr>
            </w:pPr>
            <w:r w:rsidRPr="00DF64BD">
              <w:rPr>
                <w:szCs w:val="24"/>
              </w:rPr>
              <w:t>miRNA variations</w:t>
            </w:r>
          </w:p>
        </w:tc>
        <w:tc>
          <w:tcPr>
            <w:tcW w:w="1254" w:type="pct"/>
            <w:tcBorders>
              <w:top w:val="nil"/>
              <w:bottom w:val="nil"/>
            </w:tcBorders>
          </w:tcPr>
          <w:p w:rsidR="00423E49" w:rsidRPr="00DF64BD" w:rsidRDefault="00423E49" w:rsidP="00D75B09">
            <w:pPr>
              <w:jc w:val="center"/>
              <w:rPr>
                <w:rFonts w:cs="Times New Roman"/>
                <w:szCs w:val="24"/>
              </w:rPr>
            </w:pPr>
            <w:r w:rsidRPr="00DF64BD">
              <w:rPr>
                <w:rFonts w:cs="Times New Roman"/>
                <w:szCs w:val="24"/>
              </w:rPr>
              <w:t>[141]</w:t>
            </w:r>
          </w:p>
        </w:tc>
      </w:tr>
      <w:tr w:rsidR="00423E49" w:rsidRPr="00DF64BD" w:rsidTr="0015631B">
        <w:trPr>
          <w:cantSplit/>
          <w:trHeight w:val="207"/>
        </w:trPr>
        <w:tc>
          <w:tcPr>
            <w:tcW w:w="1080" w:type="pct"/>
            <w:vMerge w:val="restart"/>
            <w:tcBorders>
              <w:top w:val="nil"/>
              <w:bottom w:val="nil"/>
            </w:tcBorders>
          </w:tcPr>
          <w:p w:rsidR="00423E49" w:rsidRPr="00DF64BD" w:rsidRDefault="00423E49" w:rsidP="00D75B09">
            <w:pPr>
              <w:rPr>
                <w:rFonts w:cs="Times New Roman"/>
                <w:szCs w:val="24"/>
              </w:rPr>
            </w:pPr>
            <w:r w:rsidRPr="00DF64BD">
              <w:rPr>
                <w:rFonts w:cs="Times New Roman"/>
                <w:szCs w:val="24"/>
              </w:rPr>
              <w:t>Environment</w:t>
            </w:r>
          </w:p>
        </w:tc>
        <w:tc>
          <w:tcPr>
            <w:tcW w:w="2666" w:type="pct"/>
            <w:tcBorders>
              <w:top w:val="nil"/>
              <w:bottom w:val="nil"/>
            </w:tcBorders>
          </w:tcPr>
          <w:p w:rsidR="00423E49" w:rsidRPr="00DF64BD" w:rsidRDefault="00423E49" w:rsidP="00D75B09">
            <w:pPr>
              <w:jc w:val="center"/>
              <w:rPr>
                <w:szCs w:val="24"/>
              </w:rPr>
            </w:pPr>
            <w:r w:rsidRPr="00DF64BD">
              <w:rPr>
                <w:szCs w:val="24"/>
              </w:rPr>
              <w:t>Diet</w:t>
            </w:r>
          </w:p>
        </w:tc>
        <w:tc>
          <w:tcPr>
            <w:tcW w:w="1254" w:type="pct"/>
            <w:tcBorders>
              <w:top w:val="nil"/>
              <w:bottom w:val="nil"/>
            </w:tcBorders>
          </w:tcPr>
          <w:p w:rsidR="00423E49" w:rsidRPr="00DF64BD" w:rsidRDefault="00423E49" w:rsidP="00D75B09">
            <w:pPr>
              <w:jc w:val="center"/>
              <w:rPr>
                <w:rFonts w:cs="Times New Roman"/>
                <w:szCs w:val="24"/>
              </w:rPr>
            </w:pPr>
            <w:r w:rsidRPr="00DF64BD">
              <w:rPr>
                <w:rFonts w:cs="Times New Roman"/>
                <w:szCs w:val="24"/>
              </w:rPr>
              <w:t>[200]</w:t>
            </w:r>
          </w:p>
        </w:tc>
      </w:tr>
      <w:tr w:rsidR="00423E49" w:rsidRPr="00DF64BD" w:rsidTr="0015631B">
        <w:trPr>
          <w:cantSplit/>
          <w:trHeight w:val="160"/>
        </w:trPr>
        <w:tc>
          <w:tcPr>
            <w:tcW w:w="1080" w:type="pct"/>
            <w:vMerge/>
            <w:tcBorders>
              <w:top w:val="nil"/>
              <w:bottom w:val="nil"/>
            </w:tcBorders>
          </w:tcPr>
          <w:p w:rsidR="00423E49" w:rsidRPr="00DF64BD" w:rsidRDefault="00423E49" w:rsidP="00D75B09">
            <w:pPr>
              <w:rPr>
                <w:rFonts w:cs="Times New Roman"/>
                <w:szCs w:val="24"/>
              </w:rPr>
            </w:pPr>
          </w:p>
        </w:tc>
        <w:tc>
          <w:tcPr>
            <w:tcW w:w="2666" w:type="pct"/>
            <w:tcBorders>
              <w:top w:val="nil"/>
              <w:bottom w:val="nil"/>
            </w:tcBorders>
          </w:tcPr>
          <w:p w:rsidR="00423E49" w:rsidRPr="00DF64BD" w:rsidRDefault="00423E49" w:rsidP="00D75B09">
            <w:pPr>
              <w:jc w:val="center"/>
              <w:rPr>
                <w:szCs w:val="24"/>
              </w:rPr>
            </w:pPr>
            <w:r w:rsidRPr="00DF64BD">
              <w:rPr>
                <w:i/>
                <w:szCs w:val="24"/>
              </w:rPr>
              <w:t>H. pylori</w:t>
            </w:r>
            <w:r w:rsidRPr="00DF64BD">
              <w:rPr>
                <w:szCs w:val="24"/>
              </w:rPr>
              <w:t xml:space="preserve"> infection</w:t>
            </w:r>
          </w:p>
        </w:tc>
        <w:tc>
          <w:tcPr>
            <w:tcW w:w="1254" w:type="pct"/>
            <w:tcBorders>
              <w:top w:val="nil"/>
              <w:bottom w:val="nil"/>
            </w:tcBorders>
          </w:tcPr>
          <w:p w:rsidR="00423E49" w:rsidRPr="00DF64BD" w:rsidRDefault="00D75B09" w:rsidP="00D75B09">
            <w:pPr>
              <w:jc w:val="center"/>
              <w:rPr>
                <w:rFonts w:cs="Times New Roman"/>
                <w:szCs w:val="24"/>
              </w:rPr>
            </w:pPr>
            <w:r>
              <w:rPr>
                <w:rFonts w:cs="Times New Roman"/>
                <w:szCs w:val="24"/>
              </w:rPr>
              <w:t>[163,165,</w:t>
            </w:r>
            <w:r w:rsidR="00423E49" w:rsidRPr="00DF64BD">
              <w:rPr>
                <w:rFonts w:cs="Times New Roman"/>
                <w:szCs w:val="24"/>
              </w:rPr>
              <w:t>168]</w:t>
            </w:r>
          </w:p>
        </w:tc>
      </w:tr>
      <w:tr w:rsidR="00423E49" w:rsidRPr="00DF64BD" w:rsidTr="0015631B">
        <w:trPr>
          <w:cantSplit/>
          <w:trHeight w:val="161"/>
        </w:trPr>
        <w:tc>
          <w:tcPr>
            <w:tcW w:w="1080" w:type="pct"/>
            <w:vMerge/>
            <w:tcBorders>
              <w:top w:val="nil"/>
            </w:tcBorders>
          </w:tcPr>
          <w:p w:rsidR="00423E49" w:rsidRPr="00DF64BD" w:rsidRDefault="00423E49" w:rsidP="00D75B09">
            <w:pPr>
              <w:rPr>
                <w:rFonts w:cs="Times New Roman"/>
                <w:szCs w:val="24"/>
              </w:rPr>
            </w:pPr>
          </w:p>
        </w:tc>
        <w:tc>
          <w:tcPr>
            <w:tcW w:w="2666" w:type="pct"/>
            <w:tcBorders>
              <w:top w:val="nil"/>
            </w:tcBorders>
          </w:tcPr>
          <w:p w:rsidR="00423E49" w:rsidRPr="00DF64BD" w:rsidRDefault="00423E49" w:rsidP="00D75B09">
            <w:pPr>
              <w:jc w:val="center"/>
              <w:rPr>
                <w:i/>
                <w:szCs w:val="24"/>
              </w:rPr>
            </w:pPr>
            <w:r w:rsidRPr="00DF64BD">
              <w:rPr>
                <w:szCs w:val="24"/>
              </w:rPr>
              <w:t>EBV infection</w:t>
            </w:r>
          </w:p>
        </w:tc>
        <w:tc>
          <w:tcPr>
            <w:tcW w:w="1254" w:type="pct"/>
            <w:tcBorders>
              <w:top w:val="nil"/>
            </w:tcBorders>
          </w:tcPr>
          <w:p w:rsidR="00423E49" w:rsidRPr="00DF64BD" w:rsidRDefault="00D75B09" w:rsidP="00D75B09">
            <w:pPr>
              <w:jc w:val="center"/>
              <w:rPr>
                <w:rFonts w:cs="Times New Roman"/>
                <w:szCs w:val="24"/>
              </w:rPr>
            </w:pPr>
            <w:r>
              <w:rPr>
                <w:rFonts w:cs="Times New Roman"/>
                <w:szCs w:val="24"/>
              </w:rPr>
              <w:t>[150,</w:t>
            </w:r>
            <w:r w:rsidR="00423E49" w:rsidRPr="00DF64BD">
              <w:rPr>
                <w:rFonts w:cs="Times New Roman"/>
                <w:szCs w:val="24"/>
              </w:rPr>
              <w:t>154-156]</w:t>
            </w:r>
          </w:p>
        </w:tc>
      </w:tr>
      <w:tr w:rsidR="00423E49" w:rsidRPr="00DF64BD" w:rsidTr="0015631B">
        <w:trPr>
          <w:cantSplit/>
          <w:trHeight w:val="179"/>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szCs w:val="24"/>
              </w:rPr>
            </w:pPr>
            <w:r w:rsidRPr="00DF64BD">
              <w:rPr>
                <w:szCs w:val="24"/>
              </w:rPr>
              <w:t>Hyper/hypogastrinaemia</w:t>
            </w:r>
          </w:p>
        </w:tc>
        <w:tc>
          <w:tcPr>
            <w:tcW w:w="1254" w:type="pct"/>
          </w:tcPr>
          <w:p w:rsidR="00423E49" w:rsidRPr="00DF64BD" w:rsidRDefault="00D75B09" w:rsidP="00D75B09">
            <w:pPr>
              <w:jc w:val="center"/>
              <w:rPr>
                <w:rFonts w:cs="Times New Roman"/>
                <w:szCs w:val="24"/>
              </w:rPr>
            </w:pPr>
            <w:r>
              <w:rPr>
                <w:rFonts w:cs="Times New Roman"/>
                <w:szCs w:val="24"/>
              </w:rPr>
              <w:t>[168,</w:t>
            </w:r>
            <w:r w:rsidR="00423E49" w:rsidRPr="00DF64BD">
              <w:rPr>
                <w:rFonts w:cs="Times New Roman"/>
                <w:szCs w:val="24"/>
              </w:rPr>
              <w:t>173,174]</w:t>
            </w:r>
          </w:p>
        </w:tc>
      </w:tr>
      <w:tr w:rsidR="00423E49" w:rsidRPr="00DF64BD" w:rsidTr="0015631B">
        <w:trPr>
          <w:cantSplit/>
          <w:trHeight w:val="160"/>
        </w:trPr>
        <w:tc>
          <w:tcPr>
            <w:tcW w:w="1080" w:type="pct"/>
            <w:vMerge/>
          </w:tcPr>
          <w:p w:rsidR="00423E49" w:rsidRPr="00DF64BD" w:rsidRDefault="00423E49" w:rsidP="00D75B09">
            <w:pPr>
              <w:rPr>
                <w:rFonts w:cs="Times New Roman"/>
                <w:szCs w:val="24"/>
              </w:rPr>
            </w:pPr>
          </w:p>
        </w:tc>
        <w:tc>
          <w:tcPr>
            <w:tcW w:w="2666" w:type="pct"/>
          </w:tcPr>
          <w:p w:rsidR="00423E49" w:rsidRPr="00DF64BD" w:rsidRDefault="00423E49" w:rsidP="00D75B09">
            <w:pPr>
              <w:jc w:val="center"/>
              <w:rPr>
                <w:szCs w:val="24"/>
              </w:rPr>
            </w:pPr>
            <w:r w:rsidRPr="00DF64BD">
              <w:rPr>
                <w:szCs w:val="24"/>
              </w:rPr>
              <w:t>Smoking</w:t>
            </w:r>
          </w:p>
        </w:tc>
        <w:tc>
          <w:tcPr>
            <w:tcW w:w="1254" w:type="pct"/>
          </w:tcPr>
          <w:p w:rsidR="00423E49" w:rsidRPr="00DF64BD" w:rsidRDefault="00423E49" w:rsidP="00D75B09">
            <w:pPr>
              <w:jc w:val="center"/>
              <w:rPr>
                <w:rFonts w:cs="Times New Roman"/>
                <w:szCs w:val="24"/>
              </w:rPr>
            </w:pPr>
            <w:r w:rsidRPr="00DF64BD">
              <w:rPr>
                <w:rFonts w:cs="Times New Roman"/>
                <w:szCs w:val="24"/>
              </w:rPr>
              <w:t>[200]</w:t>
            </w:r>
          </w:p>
        </w:tc>
      </w:tr>
      <w:tr w:rsidR="00423E49" w:rsidRPr="00DF64BD" w:rsidTr="0015631B">
        <w:trPr>
          <w:cantSplit/>
        </w:trPr>
        <w:tc>
          <w:tcPr>
            <w:tcW w:w="1080" w:type="pct"/>
            <w:tcBorders>
              <w:bottom w:val="single" w:sz="8" w:space="0" w:color="auto"/>
            </w:tcBorders>
          </w:tcPr>
          <w:p w:rsidR="00423E49" w:rsidRPr="00DF64BD" w:rsidRDefault="00423E49" w:rsidP="00D75B09">
            <w:pPr>
              <w:rPr>
                <w:rFonts w:cs="Times New Roman"/>
                <w:szCs w:val="24"/>
              </w:rPr>
            </w:pPr>
            <w:r w:rsidRPr="00DF64BD">
              <w:rPr>
                <w:rFonts w:cs="Times New Roman"/>
                <w:szCs w:val="24"/>
              </w:rPr>
              <w:t>Others</w:t>
            </w:r>
          </w:p>
        </w:tc>
        <w:tc>
          <w:tcPr>
            <w:tcW w:w="2666" w:type="pct"/>
            <w:tcBorders>
              <w:bottom w:val="single" w:sz="8" w:space="0" w:color="auto"/>
            </w:tcBorders>
          </w:tcPr>
          <w:p w:rsidR="00423E49" w:rsidRPr="00DF64BD" w:rsidRDefault="00423E49" w:rsidP="00D75B09">
            <w:pPr>
              <w:jc w:val="center"/>
              <w:rPr>
                <w:szCs w:val="24"/>
              </w:rPr>
            </w:pPr>
            <w:r w:rsidRPr="00DF64BD">
              <w:rPr>
                <w:i/>
                <w:szCs w:val="24"/>
              </w:rPr>
              <w:t>COX-2</w:t>
            </w:r>
            <w:r w:rsidRPr="00DF64BD">
              <w:rPr>
                <w:szCs w:val="24"/>
              </w:rPr>
              <w:t xml:space="preserve"> overexpression</w:t>
            </w:r>
          </w:p>
        </w:tc>
        <w:tc>
          <w:tcPr>
            <w:tcW w:w="1254" w:type="pct"/>
            <w:tcBorders>
              <w:bottom w:val="single" w:sz="8" w:space="0" w:color="auto"/>
            </w:tcBorders>
          </w:tcPr>
          <w:p w:rsidR="00423E49" w:rsidRPr="00DF64BD" w:rsidRDefault="00423E49" w:rsidP="00D75B09">
            <w:pPr>
              <w:jc w:val="center"/>
              <w:rPr>
                <w:rFonts w:cs="Times New Roman"/>
                <w:szCs w:val="24"/>
              </w:rPr>
            </w:pPr>
            <w:r w:rsidRPr="00DF64BD">
              <w:rPr>
                <w:rFonts w:cs="Times New Roman"/>
                <w:szCs w:val="24"/>
              </w:rPr>
              <w:t>[182-189]</w:t>
            </w:r>
          </w:p>
        </w:tc>
      </w:tr>
    </w:tbl>
    <w:p w:rsidR="00423E49" w:rsidRPr="00DF64BD" w:rsidRDefault="00D75B09" w:rsidP="00AE309D">
      <w:pPr>
        <w:pStyle w:val="NoSpacing"/>
        <w:spacing w:line="360" w:lineRule="auto"/>
        <w:jc w:val="both"/>
        <w:rPr>
          <w:rFonts w:ascii="Book Antiqua" w:hAnsi="Book Antiqua"/>
          <w:sz w:val="24"/>
          <w:szCs w:val="24"/>
          <w:lang w:val="en-US"/>
        </w:rPr>
      </w:pPr>
      <w:r>
        <w:rPr>
          <w:rFonts w:ascii="Book Antiqua" w:hAnsi="Book Antiqua" w:hint="eastAsia"/>
          <w:sz w:val="24"/>
          <w:szCs w:val="24"/>
          <w:vertAlign w:val="superscript"/>
          <w:lang w:val="en-US" w:eastAsia="zh-CN"/>
        </w:rPr>
        <w:t>1</w:t>
      </w:r>
      <w:r w:rsidR="00423E49" w:rsidRPr="00DF64BD">
        <w:rPr>
          <w:rFonts w:ascii="Book Antiqua" w:hAnsi="Book Antiqua"/>
          <w:sz w:val="24"/>
          <w:szCs w:val="24"/>
          <w:lang w:val="en-US"/>
        </w:rPr>
        <w:t>All of the above factors may overlap. The division is the simple generalizati</w:t>
      </w:r>
      <w:r>
        <w:rPr>
          <w:rFonts w:ascii="Book Antiqua" w:hAnsi="Book Antiqua"/>
          <w:sz w:val="24"/>
          <w:szCs w:val="24"/>
          <w:lang w:val="en-US"/>
        </w:rPr>
        <w:t>on done to outline the problem.</w:t>
      </w:r>
      <w:r>
        <w:rPr>
          <w:rFonts w:ascii="Book Antiqua" w:hAnsi="Book Antiqua" w:hint="eastAsia"/>
          <w:sz w:val="24"/>
          <w:szCs w:val="24"/>
          <w:lang w:val="en-US" w:eastAsia="zh-CN"/>
        </w:rPr>
        <w:t xml:space="preserve"> </w:t>
      </w:r>
      <w:r w:rsidR="00423E49" w:rsidRPr="00D75B09">
        <w:rPr>
          <w:rFonts w:ascii="Book Antiqua" w:hAnsi="Book Antiqua"/>
          <w:sz w:val="24"/>
          <w:szCs w:val="24"/>
          <w:lang w:val="en-US"/>
        </w:rPr>
        <w:t>SNP: Single-</w:t>
      </w:r>
      <w:r w:rsidRPr="00D75B09">
        <w:rPr>
          <w:rFonts w:ascii="Book Antiqua" w:hAnsi="Book Antiqua"/>
          <w:sz w:val="24"/>
          <w:szCs w:val="24"/>
          <w:lang w:val="en-US"/>
        </w:rPr>
        <w:t>n</w:t>
      </w:r>
      <w:r w:rsidR="00423E49" w:rsidRPr="00D75B09">
        <w:rPr>
          <w:rFonts w:ascii="Book Antiqua" w:hAnsi="Book Antiqua"/>
          <w:sz w:val="24"/>
          <w:szCs w:val="24"/>
          <w:lang w:val="en-US"/>
        </w:rPr>
        <w:t xml:space="preserve">ucleotide </w:t>
      </w:r>
      <w:r w:rsidRPr="00D75B09">
        <w:rPr>
          <w:rFonts w:ascii="Book Antiqua" w:hAnsi="Book Antiqua"/>
          <w:sz w:val="24"/>
          <w:szCs w:val="24"/>
          <w:lang w:val="en-US"/>
        </w:rPr>
        <w:t>p</w:t>
      </w:r>
      <w:r w:rsidR="00423E49" w:rsidRPr="00D75B09">
        <w:rPr>
          <w:rFonts w:ascii="Book Antiqua" w:hAnsi="Book Antiqua"/>
          <w:sz w:val="24"/>
          <w:szCs w:val="24"/>
          <w:lang w:val="en-US"/>
        </w:rPr>
        <w:t xml:space="preserve">olymorphism; CIN: Chromosomal instability; LOH: Loss of heterozygosity; MSI: Microsatellite instability; </w:t>
      </w:r>
      <w:r w:rsidR="006408D3" w:rsidRPr="00D75B09">
        <w:rPr>
          <w:rFonts w:ascii="Book Antiqua" w:hAnsi="Book Antiqua"/>
          <w:i/>
          <w:sz w:val="24"/>
          <w:szCs w:val="24"/>
          <w:lang w:val="en-US"/>
        </w:rPr>
        <w:t>H. pylori</w:t>
      </w:r>
      <w:r w:rsidR="00423E49" w:rsidRPr="00D75B09">
        <w:rPr>
          <w:rFonts w:ascii="Book Antiqua" w:hAnsi="Book Antiqua"/>
          <w:sz w:val="24"/>
          <w:szCs w:val="24"/>
          <w:lang w:val="en-US"/>
        </w:rPr>
        <w:t xml:space="preserve">: </w:t>
      </w:r>
      <w:r w:rsidR="006408D3" w:rsidRPr="00D75B09">
        <w:rPr>
          <w:rFonts w:ascii="Book Antiqua" w:hAnsi="Book Antiqua"/>
          <w:i/>
          <w:sz w:val="24"/>
          <w:szCs w:val="24"/>
          <w:lang w:val="en-US"/>
        </w:rPr>
        <w:t>Helicobacter pylori</w:t>
      </w:r>
      <w:r w:rsidR="00423E49" w:rsidRPr="00D75B09">
        <w:rPr>
          <w:rFonts w:ascii="Book Antiqua" w:hAnsi="Book Antiqua"/>
          <w:sz w:val="24"/>
          <w:szCs w:val="24"/>
          <w:lang w:val="en-US"/>
        </w:rPr>
        <w:t>.</w:t>
      </w:r>
    </w:p>
    <w:p w:rsidR="00423E49" w:rsidRPr="00D75B09" w:rsidRDefault="00423E49" w:rsidP="00AE309D">
      <w:pPr>
        <w:pStyle w:val="Bezodstpw1"/>
        <w:tabs>
          <w:tab w:val="left" w:pos="0"/>
        </w:tabs>
        <w:spacing w:line="360" w:lineRule="auto"/>
        <w:jc w:val="both"/>
        <w:rPr>
          <w:rFonts w:ascii="Book Antiqua" w:hAnsi="Book Antiqua"/>
          <w:sz w:val="24"/>
          <w:szCs w:val="24"/>
        </w:rPr>
      </w:pPr>
    </w:p>
    <w:p w:rsidR="00D75B09" w:rsidRDefault="00D75B09">
      <w:pPr>
        <w:suppressAutoHyphens w:val="0"/>
        <w:spacing w:line="240" w:lineRule="auto"/>
        <w:rPr>
          <w:szCs w:val="24"/>
        </w:rPr>
      </w:pPr>
      <w:r>
        <w:rPr>
          <w:szCs w:val="24"/>
        </w:rPr>
        <w:br w:type="page"/>
      </w:r>
    </w:p>
    <w:p w:rsidR="00423E49" w:rsidRPr="00DF64BD" w:rsidRDefault="00423E49" w:rsidP="00AE309D">
      <w:pPr>
        <w:pStyle w:val="NoSpacing"/>
        <w:spacing w:line="360" w:lineRule="auto"/>
        <w:jc w:val="both"/>
        <w:rPr>
          <w:rFonts w:ascii="Book Antiqua" w:hAnsi="Book Antiqua"/>
          <w:b/>
          <w:sz w:val="24"/>
          <w:szCs w:val="24"/>
          <w:lang w:val="en-US"/>
        </w:rPr>
      </w:pPr>
      <w:r w:rsidRPr="00DF64BD">
        <w:rPr>
          <w:rFonts w:ascii="Book Antiqua" w:hAnsi="Book Antiqua"/>
          <w:b/>
          <w:sz w:val="24"/>
          <w:szCs w:val="24"/>
          <w:lang w:val="en-US"/>
        </w:rPr>
        <w:lastRenderedPageBreak/>
        <w:t>Table 2 Early-</w:t>
      </w:r>
      <w:r w:rsidR="00D75B09" w:rsidRPr="00DF64BD">
        <w:rPr>
          <w:rFonts w:ascii="Book Antiqua" w:hAnsi="Book Antiqua"/>
          <w:b/>
          <w:sz w:val="24"/>
          <w:szCs w:val="24"/>
          <w:lang w:val="en-US"/>
        </w:rPr>
        <w:t>o</w:t>
      </w:r>
      <w:r w:rsidRPr="00DF64BD">
        <w:rPr>
          <w:rFonts w:ascii="Book Antiqua" w:hAnsi="Book Antiqua"/>
          <w:b/>
          <w:sz w:val="24"/>
          <w:szCs w:val="24"/>
          <w:lang w:val="en-US"/>
        </w:rPr>
        <w:t xml:space="preserve">nset </w:t>
      </w:r>
      <w:r w:rsidR="00D75B09" w:rsidRPr="00DF64BD">
        <w:rPr>
          <w:rFonts w:ascii="Book Antiqua" w:hAnsi="Book Antiqua"/>
          <w:b/>
          <w:sz w:val="24"/>
          <w:szCs w:val="24"/>
          <w:lang w:val="en-US"/>
        </w:rPr>
        <w:t>g</w:t>
      </w:r>
      <w:r w:rsidRPr="00DF64BD">
        <w:rPr>
          <w:rFonts w:ascii="Book Antiqua" w:hAnsi="Book Antiqua"/>
          <w:b/>
          <w:sz w:val="24"/>
          <w:szCs w:val="24"/>
          <w:lang w:val="en-US"/>
        </w:rPr>
        <w:t xml:space="preserve">astric </w:t>
      </w:r>
      <w:r w:rsidR="00D75B09" w:rsidRPr="00DF64BD">
        <w:rPr>
          <w:rFonts w:ascii="Book Antiqua" w:hAnsi="Book Antiqua"/>
          <w:b/>
          <w:sz w:val="24"/>
          <w:szCs w:val="24"/>
          <w:lang w:val="en-US"/>
        </w:rPr>
        <w:t>c</w:t>
      </w:r>
      <w:r w:rsidRPr="00DF64BD">
        <w:rPr>
          <w:rFonts w:ascii="Book Antiqua" w:hAnsi="Book Antiqua"/>
          <w:b/>
          <w:sz w:val="24"/>
          <w:szCs w:val="24"/>
          <w:lang w:val="en-US"/>
        </w:rPr>
        <w:t>ancer features</w:t>
      </w:r>
    </w:p>
    <w:tbl>
      <w:tblPr>
        <w:tblW w:w="9276" w:type="dxa"/>
        <w:tblBorders>
          <w:top w:val="single" w:sz="8" w:space="0" w:color="auto"/>
          <w:bottom w:val="single" w:sz="8" w:space="0" w:color="auto"/>
        </w:tblBorders>
        <w:tblLook w:val="00A0" w:firstRow="1" w:lastRow="0" w:firstColumn="1" w:lastColumn="0" w:noHBand="0" w:noVBand="0"/>
      </w:tblPr>
      <w:tblGrid>
        <w:gridCol w:w="1483"/>
        <w:gridCol w:w="6657"/>
        <w:gridCol w:w="1136"/>
      </w:tblGrid>
      <w:tr w:rsidR="00423E49" w:rsidRPr="00DF64BD" w:rsidTr="00F240AD">
        <w:trPr>
          <w:cantSplit/>
          <w:trHeight w:val="346"/>
        </w:trPr>
        <w:tc>
          <w:tcPr>
            <w:tcW w:w="1483" w:type="dxa"/>
            <w:tcBorders>
              <w:top w:val="single" w:sz="8" w:space="0" w:color="auto"/>
              <w:bottom w:val="single" w:sz="8" w:space="0" w:color="auto"/>
            </w:tcBorders>
          </w:tcPr>
          <w:p w:rsidR="00423E49" w:rsidRPr="00DF64BD" w:rsidRDefault="00423E49" w:rsidP="00B357CB">
            <w:pPr>
              <w:rPr>
                <w:b/>
                <w:szCs w:val="24"/>
                <w:lang w:eastAsia="zh-CN"/>
              </w:rPr>
            </w:pPr>
            <w:r w:rsidRPr="00DF64BD">
              <w:rPr>
                <w:b/>
                <w:szCs w:val="24"/>
              </w:rPr>
              <w:t>Factors</w:t>
            </w:r>
          </w:p>
        </w:tc>
        <w:tc>
          <w:tcPr>
            <w:tcW w:w="6657" w:type="dxa"/>
            <w:tcBorders>
              <w:top w:val="single" w:sz="8" w:space="0" w:color="auto"/>
              <w:bottom w:val="single" w:sz="8" w:space="0" w:color="auto"/>
            </w:tcBorders>
          </w:tcPr>
          <w:p w:rsidR="00423E49" w:rsidRPr="00DF64BD" w:rsidRDefault="00423E49" w:rsidP="00D75B09">
            <w:pPr>
              <w:jc w:val="center"/>
              <w:rPr>
                <w:b/>
                <w:szCs w:val="24"/>
              </w:rPr>
            </w:pPr>
            <w:r w:rsidRPr="00DF64BD">
              <w:rPr>
                <w:b/>
                <w:szCs w:val="24"/>
              </w:rPr>
              <w:t>Early-</w:t>
            </w:r>
            <w:r w:rsidR="00D75B09" w:rsidRPr="00DF64BD">
              <w:rPr>
                <w:b/>
                <w:szCs w:val="24"/>
              </w:rPr>
              <w:t>o</w:t>
            </w:r>
            <w:r w:rsidRPr="00DF64BD">
              <w:rPr>
                <w:b/>
                <w:szCs w:val="24"/>
              </w:rPr>
              <w:t xml:space="preserve">nset </w:t>
            </w:r>
            <w:r w:rsidR="00D75B09" w:rsidRPr="00DF64BD">
              <w:rPr>
                <w:b/>
                <w:szCs w:val="24"/>
              </w:rPr>
              <w:t>g</w:t>
            </w:r>
            <w:r w:rsidRPr="00DF64BD">
              <w:rPr>
                <w:b/>
                <w:szCs w:val="24"/>
              </w:rPr>
              <w:t xml:space="preserve">astric </w:t>
            </w:r>
            <w:r w:rsidR="00D75B09" w:rsidRPr="00DF64BD">
              <w:rPr>
                <w:b/>
                <w:szCs w:val="24"/>
              </w:rPr>
              <w:t>c</w:t>
            </w:r>
            <w:r w:rsidRPr="00DF64BD">
              <w:rPr>
                <w:b/>
                <w:szCs w:val="24"/>
              </w:rPr>
              <w:t>ancer</w:t>
            </w:r>
          </w:p>
        </w:tc>
        <w:tc>
          <w:tcPr>
            <w:tcW w:w="1136" w:type="dxa"/>
            <w:tcBorders>
              <w:top w:val="single" w:sz="8" w:space="0" w:color="auto"/>
              <w:bottom w:val="single" w:sz="8" w:space="0" w:color="auto"/>
            </w:tcBorders>
          </w:tcPr>
          <w:p w:rsidR="00423E49" w:rsidRPr="00DF64BD" w:rsidRDefault="00423E49" w:rsidP="00D75B09">
            <w:pPr>
              <w:jc w:val="center"/>
              <w:rPr>
                <w:b/>
                <w:szCs w:val="24"/>
              </w:rPr>
            </w:pPr>
            <w:r w:rsidRPr="00DF64BD">
              <w:rPr>
                <w:b/>
                <w:szCs w:val="24"/>
              </w:rPr>
              <w:t>Ref.</w:t>
            </w:r>
          </w:p>
        </w:tc>
      </w:tr>
      <w:tr w:rsidR="00423E49" w:rsidRPr="00DF64BD" w:rsidTr="00F240AD">
        <w:trPr>
          <w:cantSplit/>
          <w:trHeight w:val="527"/>
        </w:trPr>
        <w:tc>
          <w:tcPr>
            <w:tcW w:w="1483" w:type="dxa"/>
            <w:tcBorders>
              <w:top w:val="single" w:sz="8" w:space="0" w:color="auto"/>
              <w:bottom w:val="nil"/>
            </w:tcBorders>
          </w:tcPr>
          <w:p w:rsidR="00423E49" w:rsidRPr="00D75B09" w:rsidRDefault="00423E49" w:rsidP="00B357CB">
            <w:pPr>
              <w:rPr>
                <w:szCs w:val="24"/>
              </w:rPr>
            </w:pPr>
            <w:r w:rsidRPr="00D75B09">
              <w:rPr>
                <w:szCs w:val="24"/>
              </w:rPr>
              <w:t>SNP</w:t>
            </w:r>
          </w:p>
        </w:tc>
        <w:tc>
          <w:tcPr>
            <w:tcW w:w="6657" w:type="dxa"/>
            <w:tcBorders>
              <w:top w:val="single" w:sz="8" w:space="0" w:color="auto"/>
              <w:bottom w:val="nil"/>
            </w:tcBorders>
          </w:tcPr>
          <w:p w:rsidR="00423E49" w:rsidRPr="00D75B09" w:rsidRDefault="00423E49" w:rsidP="00D75B09">
            <w:pPr>
              <w:jc w:val="center"/>
              <w:rPr>
                <w:szCs w:val="24"/>
              </w:rPr>
            </w:pPr>
            <w:r w:rsidRPr="00D75B09">
              <w:rPr>
                <w:rFonts w:cs="Times New Roman"/>
                <w:i/>
                <w:szCs w:val="24"/>
              </w:rPr>
              <w:t>rs10052016</w:t>
            </w:r>
            <w:r w:rsidRPr="00D75B09">
              <w:rPr>
                <w:rFonts w:cs="Times New Roman"/>
                <w:szCs w:val="24"/>
              </w:rPr>
              <w:t xml:space="preserve"> at 5p15</w:t>
            </w:r>
          </w:p>
        </w:tc>
        <w:tc>
          <w:tcPr>
            <w:tcW w:w="1136" w:type="dxa"/>
            <w:tcBorders>
              <w:top w:val="single" w:sz="8" w:space="0" w:color="auto"/>
              <w:bottom w:val="nil"/>
            </w:tcBorders>
          </w:tcPr>
          <w:p w:rsidR="00423E49" w:rsidRPr="00DF64BD" w:rsidRDefault="00423E49" w:rsidP="00D75B09">
            <w:pPr>
              <w:jc w:val="center"/>
              <w:rPr>
                <w:szCs w:val="24"/>
              </w:rPr>
            </w:pPr>
            <w:r w:rsidRPr="00DF64BD">
              <w:rPr>
                <w:szCs w:val="24"/>
              </w:rPr>
              <w:t>[198]</w:t>
            </w:r>
          </w:p>
        </w:tc>
      </w:tr>
      <w:tr w:rsidR="00423E49" w:rsidRPr="00DF64BD" w:rsidTr="00F240AD">
        <w:trPr>
          <w:cantSplit/>
          <w:trHeight w:val="527"/>
        </w:trPr>
        <w:tc>
          <w:tcPr>
            <w:tcW w:w="1483" w:type="dxa"/>
            <w:vMerge w:val="restart"/>
            <w:tcBorders>
              <w:top w:val="nil"/>
              <w:bottom w:val="nil"/>
            </w:tcBorders>
          </w:tcPr>
          <w:p w:rsidR="00423E49" w:rsidRPr="00DF64BD" w:rsidRDefault="00423E49" w:rsidP="00B357CB">
            <w:pPr>
              <w:rPr>
                <w:szCs w:val="24"/>
              </w:rPr>
            </w:pPr>
            <w:r w:rsidRPr="00DF64BD">
              <w:rPr>
                <w:szCs w:val="24"/>
              </w:rPr>
              <w:t>CIN</w:t>
            </w:r>
          </w:p>
        </w:tc>
        <w:tc>
          <w:tcPr>
            <w:tcW w:w="6657" w:type="dxa"/>
            <w:vMerge w:val="restart"/>
            <w:tcBorders>
              <w:top w:val="nil"/>
              <w:bottom w:val="nil"/>
            </w:tcBorders>
          </w:tcPr>
          <w:p w:rsidR="00423E49" w:rsidRPr="00DF64BD" w:rsidRDefault="00423E49" w:rsidP="00D75B09">
            <w:pPr>
              <w:jc w:val="center"/>
              <w:rPr>
                <w:szCs w:val="24"/>
              </w:rPr>
            </w:pPr>
            <w:r w:rsidRPr="00DF64BD">
              <w:rPr>
                <w:szCs w:val="24"/>
              </w:rPr>
              <w:t>gain of copy number</w:t>
            </w:r>
            <w:r w:rsidRPr="00DF64BD">
              <w:rPr>
                <w:szCs w:val="24"/>
              </w:rPr>
              <w:br/>
              <w:t>at 17q, 19q, and 20q</w:t>
            </w:r>
          </w:p>
        </w:tc>
        <w:tc>
          <w:tcPr>
            <w:tcW w:w="1136" w:type="dxa"/>
            <w:vMerge w:val="restart"/>
            <w:tcBorders>
              <w:top w:val="nil"/>
              <w:bottom w:val="nil"/>
            </w:tcBorders>
          </w:tcPr>
          <w:p w:rsidR="00423E49" w:rsidRPr="00DF64BD" w:rsidRDefault="00423E49" w:rsidP="00D75B09">
            <w:pPr>
              <w:jc w:val="center"/>
              <w:rPr>
                <w:szCs w:val="24"/>
              </w:rPr>
            </w:pPr>
            <w:r w:rsidRPr="00DF64BD">
              <w:rPr>
                <w:szCs w:val="24"/>
              </w:rPr>
              <w:t>[10]</w:t>
            </w:r>
          </w:p>
        </w:tc>
      </w:tr>
      <w:tr w:rsidR="00423E49" w:rsidRPr="00DF64BD" w:rsidTr="00F240AD">
        <w:trPr>
          <w:cantSplit/>
          <w:trHeight w:val="447"/>
        </w:trPr>
        <w:tc>
          <w:tcPr>
            <w:tcW w:w="1483" w:type="dxa"/>
            <w:vMerge/>
            <w:tcBorders>
              <w:top w:val="nil"/>
              <w:bottom w:val="nil"/>
            </w:tcBorders>
          </w:tcPr>
          <w:p w:rsidR="00423E49" w:rsidRPr="00DF64BD" w:rsidRDefault="00423E49" w:rsidP="00B357CB">
            <w:pPr>
              <w:rPr>
                <w:szCs w:val="24"/>
              </w:rPr>
            </w:pPr>
          </w:p>
        </w:tc>
        <w:tc>
          <w:tcPr>
            <w:tcW w:w="6657" w:type="dxa"/>
            <w:vMerge/>
            <w:tcBorders>
              <w:top w:val="nil"/>
              <w:bottom w:val="nil"/>
            </w:tcBorders>
          </w:tcPr>
          <w:p w:rsidR="00423E49" w:rsidRPr="00DF64BD" w:rsidRDefault="00423E49" w:rsidP="00D75B09">
            <w:pPr>
              <w:jc w:val="center"/>
              <w:rPr>
                <w:szCs w:val="24"/>
              </w:rPr>
            </w:pPr>
          </w:p>
        </w:tc>
        <w:tc>
          <w:tcPr>
            <w:tcW w:w="1136" w:type="dxa"/>
            <w:vMerge/>
            <w:tcBorders>
              <w:top w:val="nil"/>
              <w:bottom w:val="nil"/>
            </w:tcBorders>
          </w:tcPr>
          <w:p w:rsidR="00423E49" w:rsidRPr="00DF64BD" w:rsidRDefault="00423E49" w:rsidP="00D75B09">
            <w:pPr>
              <w:jc w:val="center"/>
              <w:rPr>
                <w:szCs w:val="24"/>
              </w:rPr>
            </w:pPr>
          </w:p>
        </w:tc>
      </w:tr>
      <w:tr w:rsidR="00423E49" w:rsidRPr="00DF64BD" w:rsidTr="00F240AD">
        <w:trPr>
          <w:cantSplit/>
          <w:trHeight w:val="285"/>
        </w:trPr>
        <w:tc>
          <w:tcPr>
            <w:tcW w:w="1483" w:type="dxa"/>
            <w:vMerge/>
            <w:tcBorders>
              <w:top w:val="nil"/>
              <w:bottom w:val="nil"/>
            </w:tcBorders>
          </w:tcPr>
          <w:p w:rsidR="00423E49" w:rsidRPr="00DF64BD" w:rsidRDefault="00423E49" w:rsidP="00B357CB">
            <w:pPr>
              <w:rPr>
                <w:szCs w:val="24"/>
              </w:rPr>
            </w:pPr>
          </w:p>
        </w:tc>
        <w:tc>
          <w:tcPr>
            <w:tcW w:w="6657" w:type="dxa"/>
            <w:tcBorders>
              <w:top w:val="nil"/>
              <w:bottom w:val="nil"/>
            </w:tcBorders>
          </w:tcPr>
          <w:p w:rsidR="00423E49" w:rsidRPr="00DF64BD" w:rsidRDefault="00423E49" w:rsidP="00D75B09">
            <w:pPr>
              <w:jc w:val="center"/>
              <w:rPr>
                <w:szCs w:val="24"/>
              </w:rPr>
            </w:pPr>
            <w:r w:rsidRPr="00DF64BD">
              <w:rPr>
                <w:szCs w:val="24"/>
              </w:rPr>
              <w:t>no loss of RUNX3</w:t>
            </w:r>
          </w:p>
        </w:tc>
        <w:tc>
          <w:tcPr>
            <w:tcW w:w="1136" w:type="dxa"/>
            <w:vMerge/>
            <w:tcBorders>
              <w:top w:val="nil"/>
              <w:bottom w:val="nil"/>
            </w:tcBorders>
          </w:tcPr>
          <w:p w:rsidR="00423E49" w:rsidRPr="00DF64BD" w:rsidRDefault="00423E49" w:rsidP="00D75B09">
            <w:pPr>
              <w:jc w:val="center"/>
              <w:rPr>
                <w:szCs w:val="24"/>
              </w:rPr>
            </w:pPr>
          </w:p>
        </w:tc>
      </w:tr>
      <w:tr w:rsidR="00423E49" w:rsidRPr="00DF64BD" w:rsidTr="00F240AD">
        <w:trPr>
          <w:cantSplit/>
          <w:trHeight w:val="300"/>
        </w:trPr>
        <w:tc>
          <w:tcPr>
            <w:tcW w:w="1483" w:type="dxa"/>
            <w:vMerge/>
            <w:tcBorders>
              <w:top w:val="nil"/>
              <w:bottom w:val="nil"/>
            </w:tcBorders>
          </w:tcPr>
          <w:p w:rsidR="00423E49" w:rsidRPr="00DF64BD" w:rsidRDefault="00423E49" w:rsidP="00B357CB">
            <w:pPr>
              <w:rPr>
                <w:szCs w:val="24"/>
              </w:rPr>
            </w:pPr>
          </w:p>
        </w:tc>
        <w:tc>
          <w:tcPr>
            <w:tcW w:w="6657" w:type="dxa"/>
            <w:tcBorders>
              <w:top w:val="nil"/>
              <w:bottom w:val="nil"/>
            </w:tcBorders>
          </w:tcPr>
          <w:p w:rsidR="00423E49" w:rsidRPr="00DF64BD" w:rsidRDefault="00423E49" w:rsidP="00D75B09">
            <w:pPr>
              <w:jc w:val="center"/>
              <w:rPr>
                <w:szCs w:val="24"/>
              </w:rPr>
            </w:pPr>
            <w:r w:rsidRPr="00DF64BD">
              <w:rPr>
                <w:szCs w:val="24"/>
              </w:rPr>
              <w:t>infrequent loss of TFF1 expression</w:t>
            </w:r>
          </w:p>
        </w:tc>
        <w:tc>
          <w:tcPr>
            <w:tcW w:w="1136" w:type="dxa"/>
            <w:vMerge/>
            <w:tcBorders>
              <w:top w:val="nil"/>
              <w:bottom w:val="nil"/>
            </w:tcBorders>
          </w:tcPr>
          <w:p w:rsidR="00423E49" w:rsidRPr="00DF64BD" w:rsidRDefault="00423E49" w:rsidP="00D75B09">
            <w:pPr>
              <w:jc w:val="center"/>
              <w:rPr>
                <w:szCs w:val="24"/>
              </w:rPr>
            </w:pPr>
          </w:p>
        </w:tc>
      </w:tr>
      <w:tr w:rsidR="00423E49" w:rsidRPr="00DF64BD" w:rsidTr="00F240AD">
        <w:trPr>
          <w:cantSplit/>
          <w:trHeight w:val="447"/>
        </w:trPr>
        <w:tc>
          <w:tcPr>
            <w:tcW w:w="1483" w:type="dxa"/>
            <w:vMerge/>
            <w:tcBorders>
              <w:top w:val="nil"/>
              <w:bottom w:val="nil"/>
            </w:tcBorders>
          </w:tcPr>
          <w:p w:rsidR="00423E49" w:rsidRPr="00DF64BD" w:rsidRDefault="00423E49" w:rsidP="00B357CB">
            <w:pPr>
              <w:rPr>
                <w:szCs w:val="24"/>
              </w:rPr>
            </w:pPr>
          </w:p>
        </w:tc>
        <w:tc>
          <w:tcPr>
            <w:tcW w:w="6657" w:type="dxa"/>
            <w:vMerge w:val="restart"/>
            <w:tcBorders>
              <w:top w:val="nil"/>
              <w:bottom w:val="nil"/>
            </w:tcBorders>
          </w:tcPr>
          <w:p w:rsidR="00423E49" w:rsidRPr="00DF64BD" w:rsidRDefault="00423E49" w:rsidP="00D75B09">
            <w:pPr>
              <w:jc w:val="center"/>
              <w:rPr>
                <w:szCs w:val="24"/>
              </w:rPr>
            </w:pPr>
            <w:r w:rsidRPr="00DF64BD">
              <w:rPr>
                <w:szCs w:val="24"/>
              </w:rPr>
              <w:t>more frequent expression of low-molecular-weight isoforms of cyclin E</w:t>
            </w:r>
          </w:p>
        </w:tc>
        <w:tc>
          <w:tcPr>
            <w:tcW w:w="1136" w:type="dxa"/>
            <w:vMerge/>
            <w:tcBorders>
              <w:top w:val="nil"/>
              <w:bottom w:val="nil"/>
            </w:tcBorders>
          </w:tcPr>
          <w:p w:rsidR="00423E49" w:rsidRPr="00DF64BD" w:rsidRDefault="00423E49" w:rsidP="00D75B09">
            <w:pPr>
              <w:jc w:val="center"/>
              <w:rPr>
                <w:szCs w:val="24"/>
              </w:rPr>
            </w:pPr>
          </w:p>
        </w:tc>
      </w:tr>
      <w:tr w:rsidR="00423E49" w:rsidRPr="00DF64BD" w:rsidTr="00F240AD">
        <w:trPr>
          <w:cantSplit/>
          <w:trHeight w:val="447"/>
        </w:trPr>
        <w:tc>
          <w:tcPr>
            <w:tcW w:w="1483" w:type="dxa"/>
            <w:vMerge/>
            <w:tcBorders>
              <w:top w:val="nil"/>
              <w:bottom w:val="nil"/>
            </w:tcBorders>
          </w:tcPr>
          <w:p w:rsidR="00423E49" w:rsidRPr="00DF64BD" w:rsidRDefault="00423E49" w:rsidP="00B357CB">
            <w:pPr>
              <w:rPr>
                <w:szCs w:val="24"/>
              </w:rPr>
            </w:pPr>
          </w:p>
        </w:tc>
        <w:tc>
          <w:tcPr>
            <w:tcW w:w="6657" w:type="dxa"/>
            <w:vMerge/>
            <w:tcBorders>
              <w:top w:val="nil"/>
              <w:bottom w:val="nil"/>
            </w:tcBorders>
          </w:tcPr>
          <w:p w:rsidR="00423E49" w:rsidRPr="00DF64BD" w:rsidRDefault="00423E49" w:rsidP="00D75B09">
            <w:pPr>
              <w:jc w:val="center"/>
              <w:rPr>
                <w:szCs w:val="24"/>
              </w:rPr>
            </w:pPr>
          </w:p>
        </w:tc>
        <w:tc>
          <w:tcPr>
            <w:tcW w:w="1136" w:type="dxa"/>
            <w:vMerge/>
            <w:tcBorders>
              <w:top w:val="nil"/>
              <w:bottom w:val="nil"/>
            </w:tcBorders>
          </w:tcPr>
          <w:p w:rsidR="00423E49" w:rsidRPr="00DF64BD" w:rsidRDefault="00423E49" w:rsidP="00D75B09">
            <w:pPr>
              <w:jc w:val="center"/>
              <w:rPr>
                <w:szCs w:val="24"/>
              </w:rPr>
            </w:pPr>
          </w:p>
        </w:tc>
      </w:tr>
      <w:tr w:rsidR="00423E49" w:rsidRPr="00DF64BD" w:rsidTr="00F240AD">
        <w:trPr>
          <w:cantSplit/>
        </w:trPr>
        <w:tc>
          <w:tcPr>
            <w:tcW w:w="1483" w:type="dxa"/>
            <w:tcBorders>
              <w:top w:val="nil"/>
              <w:bottom w:val="nil"/>
            </w:tcBorders>
          </w:tcPr>
          <w:p w:rsidR="00423E49" w:rsidRPr="00DF64BD" w:rsidRDefault="00423E49" w:rsidP="00B357CB">
            <w:pPr>
              <w:rPr>
                <w:szCs w:val="24"/>
              </w:rPr>
            </w:pPr>
            <w:r w:rsidRPr="00DF64BD">
              <w:rPr>
                <w:szCs w:val="24"/>
              </w:rPr>
              <w:t>LOH</w:t>
            </w:r>
          </w:p>
        </w:tc>
        <w:tc>
          <w:tcPr>
            <w:tcW w:w="6657" w:type="dxa"/>
            <w:tcBorders>
              <w:top w:val="nil"/>
              <w:bottom w:val="nil"/>
            </w:tcBorders>
          </w:tcPr>
          <w:p w:rsidR="00423E49" w:rsidRPr="00DF64BD" w:rsidRDefault="00423E49" w:rsidP="00D75B09">
            <w:pPr>
              <w:jc w:val="center"/>
              <w:rPr>
                <w:szCs w:val="24"/>
              </w:rPr>
            </w:pPr>
            <w:r w:rsidRPr="00DF64BD">
              <w:rPr>
                <w:szCs w:val="24"/>
              </w:rPr>
              <w:t>infrequent LOH</w:t>
            </w:r>
          </w:p>
        </w:tc>
        <w:tc>
          <w:tcPr>
            <w:tcW w:w="1136" w:type="dxa"/>
            <w:tcBorders>
              <w:top w:val="nil"/>
              <w:bottom w:val="nil"/>
            </w:tcBorders>
          </w:tcPr>
          <w:p w:rsidR="00423E49" w:rsidRPr="00DF64BD" w:rsidRDefault="00423E49" w:rsidP="00D75B09">
            <w:pPr>
              <w:jc w:val="center"/>
              <w:rPr>
                <w:szCs w:val="24"/>
              </w:rPr>
            </w:pPr>
            <w:r w:rsidRPr="00DF64BD">
              <w:rPr>
                <w:szCs w:val="24"/>
              </w:rPr>
              <w:t>[10]</w:t>
            </w:r>
          </w:p>
        </w:tc>
      </w:tr>
      <w:tr w:rsidR="00423E49" w:rsidRPr="00B357CB" w:rsidTr="00F240AD">
        <w:trPr>
          <w:cantSplit/>
        </w:trPr>
        <w:tc>
          <w:tcPr>
            <w:tcW w:w="1483" w:type="dxa"/>
            <w:tcBorders>
              <w:top w:val="nil"/>
              <w:bottom w:val="nil"/>
            </w:tcBorders>
          </w:tcPr>
          <w:p w:rsidR="00423E49" w:rsidRPr="00DF64BD" w:rsidRDefault="00423E49" w:rsidP="00B357CB">
            <w:pPr>
              <w:rPr>
                <w:szCs w:val="24"/>
              </w:rPr>
            </w:pPr>
            <w:r w:rsidRPr="00DF64BD">
              <w:rPr>
                <w:szCs w:val="24"/>
              </w:rPr>
              <w:t>MSI</w:t>
            </w:r>
          </w:p>
        </w:tc>
        <w:tc>
          <w:tcPr>
            <w:tcW w:w="6657" w:type="dxa"/>
            <w:tcBorders>
              <w:top w:val="nil"/>
              <w:bottom w:val="nil"/>
            </w:tcBorders>
          </w:tcPr>
          <w:p w:rsidR="00423E49" w:rsidRPr="00B357CB" w:rsidRDefault="00423E49" w:rsidP="00D75B09">
            <w:pPr>
              <w:jc w:val="center"/>
              <w:rPr>
                <w:szCs w:val="24"/>
              </w:rPr>
            </w:pPr>
            <w:r w:rsidRPr="00B357CB">
              <w:rPr>
                <w:szCs w:val="24"/>
              </w:rPr>
              <w:t>lack of MSI</w:t>
            </w:r>
          </w:p>
        </w:tc>
        <w:tc>
          <w:tcPr>
            <w:tcW w:w="1136" w:type="dxa"/>
            <w:tcBorders>
              <w:top w:val="nil"/>
              <w:bottom w:val="nil"/>
            </w:tcBorders>
          </w:tcPr>
          <w:p w:rsidR="00423E49" w:rsidRPr="00B357CB" w:rsidRDefault="00423E49" w:rsidP="00D75B09">
            <w:pPr>
              <w:jc w:val="center"/>
              <w:rPr>
                <w:szCs w:val="24"/>
              </w:rPr>
            </w:pPr>
            <w:r w:rsidRPr="00B357CB">
              <w:rPr>
                <w:szCs w:val="24"/>
              </w:rPr>
              <w:t>[10]</w:t>
            </w:r>
          </w:p>
        </w:tc>
      </w:tr>
      <w:tr w:rsidR="00423E49" w:rsidRPr="00B357CB" w:rsidTr="00F240AD">
        <w:trPr>
          <w:cantSplit/>
        </w:trPr>
        <w:tc>
          <w:tcPr>
            <w:tcW w:w="1483" w:type="dxa"/>
            <w:tcBorders>
              <w:top w:val="nil"/>
              <w:bottom w:val="nil"/>
            </w:tcBorders>
          </w:tcPr>
          <w:p w:rsidR="00423E49" w:rsidRPr="00DF64BD" w:rsidRDefault="00423E49" w:rsidP="00B357CB">
            <w:pPr>
              <w:rPr>
                <w:szCs w:val="24"/>
              </w:rPr>
            </w:pPr>
          </w:p>
        </w:tc>
        <w:tc>
          <w:tcPr>
            <w:tcW w:w="6657" w:type="dxa"/>
            <w:tcBorders>
              <w:top w:val="nil"/>
              <w:bottom w:val="nil"/>
            </w:tcBorders>
          </w:tcPr>
          <w:p w:rsidR="00423E49" w:rsidRPr="00B357CB" w:rsidRDefault="00423E49" w:rsidP="00D75B09">
            <w:pPr>
              <w:jc w:val="center"/>
              <w:rPr>
                <w:szCs w:val="24"/>
              </w:rPr>
            </w:pPr>
            <w:r w:rsidRPr="00B357CB">
              <w:rPr>
                <w:i/>
                <w:szCs w:val="24"/>
              </w:rPr>
              <w:t>vs</w:t>
            </w:r>
            <w:r w:rsidRPr="00B357CB">
              <w:rPr>
                <w:szCs w:val="24"/>
              </w:rPr>
              <w:t xml:space="preserve"> 30% incidence</w:t>
            </w:r>
          </w:p>
        </w:tc>
        <w:tc>
          <w:tcPr>
            <w:tcW w:w="1136" w:type="dxa"/>
            <w:tcBorders>
              <w:top w:val="nil"/>
              <w:bottom w:val="nil"/>
            </w:tcBorders>
          </w:tcPr>
          <w:p w:rsidR="00423E49" w:rsidRPr="00B357CB" w:rsidRDefault="00423E49" w:rsidP="00D75B09">
            <w:pPr>
              <w:jc w:val="center"/>
              <w:rPr>
                <w:szCs w:val="24"/>
              </w:rPr>
            </w:pPr>
            <w:r w:rsidRPr="00B357CB">
              <w:rPr>
                <w:szCs w:val="24"/>
              </w:rPr>
              <w:t>[124]</w:t>
            </w:r>
          </w:p>
        </w:tc>
      </w:tr>
      <w:tr w:rsidR="00423E49" w:rsidRPr="00B357CB" w:rsidTr="00F240AD">
        <w:trPr>
          <w:cantSplit/>
          <w:trHeight w:val="431"/>
        </w:trPr>
        <w:tc>
          <w:tcPr>
            <w:tcW w:w="1483" w:type="dxa"/>
            <w:tcBorders>
              <w:top w:val="nil"/>
              <w:bottom w:val="nil"/>
            </w:tcBorders>
          </w:tcPr>
          <w:p w:rsidR="00423E49" w:rsidRPr="00DF64BD" w:rsidRDefault="00423E49" w:rsidP="00B357CB">
            <w:pPr>
              <w:rPr>
                <w:szCs w:val="24"/>
              </w:rPr>
            </w:pPr>
            <w:r w:rsidRPr="00DF64BD">
              <w:rPr>
                <w:szCs w:val="24"/>
              </w:rPr>
              <w:t>Others</w:t>
            </w:r>
          </w:p>
        </w:tc>
        <w:tc>
          <w:tcPr>
            <w:tcW w:w="6657" w:type="dxa"/>
            <w:tcBorders>
              <w:top w:val="nil"/>
              <w:bottom w:val="nil"/>
            </w:tcBorders>
          </w:tcPr>
          <w:p w:rsidR="00423E49" w:rsidRPr="00B357CB" w:rsidRDefault="00423E49" w:rsidP="00D75B09">
            <w:pPr>
              <w:jc w:val="center"/>
              <w:rPr>
                <w:szCs w:val="24"/>
              </w:rPr>
            </w:pPr>
            <w:r w:rsidRPr="00B357CB">
              <w:rPr>
                <w:szCs w:val="24"/>
              </w:rPr>
              <w:t xml:space="preserve">low </w:t>
            </w:r>
            <w:r w:rsidRPr="00B357CB">
              <w:rPr>
                <w:i/>
                <w:szCs w:val="24"/>
              </w:rPr>
              <w:t>COX-2</w:t>
            </w:r>
            <w:r w:rsidRPr="00B357CB">
              <w:rPr>
                <w:szCs w:val="24"/>
              </w:rPr>
              <w:t xml:space="preserve"> expression</w:t>
            </w:r>
          </w:p>
        </w:tc>
        <w:tc>
          <w:tcPr>
            <w:tcW w:w="1136" w:type="dxa"/>
            <w:tcBorders>
              <w:top w:val="nil"/>
              <w:bottom w:val="nil"/>
            </w:tcBorders>
          </w:tcPr>
          <w:p w:rsidR="00423E49" w:rsidRPr="00B357CB" w:rsidRDefault="00423E49" w:rsidP="00D75B09">
            <w:pPr>
              <w:jc w:val="center"/>
              <w:rPr>
                <w:szCs w:val="24"/>
              </w:rPr>
            </w:pPr>
            <w:r w:rsidRPr="00B357CB">
              <w:rPr>
                <w:szCs w:val="24"/>
              </w:rPr>
              <w:t>[10]</w:t>
            </w:r>
          </w:p>
        </w:tc>
      </w:tr>
      <w:tr w:rsidR="00423E49" w:rsidRPr="00B357CB" w:rsidTr="00F240AD">
        <w:trPr>
          <w:cantSplit/>
          <w:trHeight w:val="431"/>
        </w:trPr>
        <w:tc>
          <w:tcPr>
            <w:tcW w:w="1483" w:type="dxa"/>
            <w:tcBorders>
              <w:top w:val="nil"/>
              <w:bottom w:val="nil"/>
            </w:tcBorders>
          </w:tcPr>
          <w:p w:rsidR="00423E49" w:rsidRPr="00DF64BD" w:rsidRDefault="00423E49" w:rsidP="00B357CB">
            <w:pPr>
              <w:rPr>
                <w:szCs w:val="24"/>
              </w:rPr>
            </w:pPr>
          </w:p>
        </w:tc>
        <w:tc>
          <w:tcPr>
            <w:tcW w:w="6657" w:type="dxa"/>
            <w:tcBorders>
              <w:top w:val="nil"/>
              <w:bottom w:val="nil"/>
            </w:tcBorders>
          </w:tcPr>
          <w:p w:rsidR="00423E49" w:rsidRPr="00B357CB" w:rsidRDefault="00423E49" w:rsidP="00D75B09">
            <w:pPr>
              <w:jc w:val="center"/>
              <w:rPr>
                <w:szCs w:val="24"/>
              </w:rPr>
            </w:pPr>
            <w:r w:rsidRPr="00B357CB">
              <w:rPr>
                <w:szCs w:val="24"/>
              </w:rPr>
              <w:t>male predominance</w:t>
            </w:r>
          </w:p>
        </w:tc>
        <w:tc>
          <w:tcPr>
            <w:tcW w:w="1136" w:type="dxa"/>
            <w:tcBorders>
              <w:top w:val="nil"/>
              <w:bottom w:val="nil"/>
            </w:tcBorders>
          </w:tcPr>
          <w:p w:rsidR="00423E49" w:rsidRPr="00B357CB" w:rsidRDefault="00423E49" w:rsidP="00D75B09">
            <w:pPr>
              <w:jc w:val="center"/>
              <w:rPr>
                <w:szCs w:val="24"/>
              </w:rPr>
            </w:pPr>
            <w:r w:rsidRPr="00B357CB">
              <w:rPr>
                <w:szCs w:val="24"/>
              </w:rPr>
              <w:t>[195]</w:t>
            </w:r>
          </w:p>
        </w:tc>
      </w:tr>
      <w:tr w:rsidR="00423E49" w:rsidRPr="00B357CB" w:rsidTr="00F240AD">
        <w:trPr>
          <w:cantSplit/>
          <w:trHeight w:val="431"/>
        </w:trPr>
        <w:tc>
          <w:tcPr>
            <w:tcW w:w="1483" w:type="dxa"/>
            <w:tcBorders>
              <w:top w:val="nil"/>
              <w:bottom w:val="single" w:sz="8" w:space="0" w:color="auto"/>
            </w:tcBorders>
          </w:tcPr>
          <w:p w:rsidR="00423E49" w:rsidRPr="00CD4B9F" w:rsidRDefault="00423E49" w:rsidP="00B357CB">
            <w:pPr>
              <w:rPr>
                <w:szCs w:val="24"/>
                <w:highlight w:val="yellow"/>
              </w:rPr>
            </w:pPr>
          </w:p>
        </w:tc>
        <w:tc>
          <w:tcPr>
            <w:tcW w:w="6657" w:type="dxa"/>
            <w:tcBorders>
              <w:top w:val="nil"/>
              <w:bottom w:val="single" w:sz="8" w:space="0" w:color="auto"/>
            </w:tcBorders>
          </w:tcPr>
          <w:p w:rsidR="00423E49" w:rsidRPr="00B357CB" w:rsidRDefault="00423E49" w:rsidP="00D75B09">
            <w:pPr>
              <w:jc w:val="center"/>
              <w:rPr>
                <w:szCs w:val="24"/>
              </w:rPr>
            </w:pPr>
            <w:r w:rsidRPr="00B357CB">
              <w:rPr>
                <w:szCs w:val="24"/>
              </w:rPr>
              <w:t>tendency to metastases</w:t>
            </w:r>
          </w:p>
        </w:tc>
        <w:tc>
          <w:tcPr>
            <w:tcW w:w="1136" w:type="dxa"/>
            <w:tcBorders>
              <w:top w:val="nil"/>
              <w:bottom w:val="single" w:sz="8" w:space="0" w:color="auto"/>
            </w:tcBorders>
          </w:tcPr>
          <w:p w:rsidR="00423E49" w:rsidRPr="00B357CB" w:rsidRDefault="00423E49" w:rsidP="00D75B09">
            <w:pPr>
              <w:jc w:val="center"/>
              <w:rPr>
                <w:szCs w:val="24"/>
              </w:rPr>
            </w:pPr>
            <w:r w:rsidRPr="00B357CB">
              <w:rPr>
                <w:szCs w:val="24"/>
              </w:rPr>
              <w:t>[196]</w:t>
            </w:r>
          </w:p>
        </w:tc>
      </w:tr>
    </w:tbl>
    <w:p w:rsidR="00423E49" w:rsidRPr="00DF64BD" w:rsidRDefault="00423E49" w:rsidP="00AE309D">
      <w:pPr>
        <w:pStyle w:val="NoSpacing"/>
        <w:spacing w:line="360" w:lineRule="auto"/>
        <w:jc w:val="both"/>
        <w:rPr>
          <w:rFonts w:ascii="Book Antiqua" w:hAnsi="Book Antiqua"/>
          <w:sz w:val="24"/>
          <w:szCs w:val="24"/>
          <w:lang w:val="en-US"/>
        </w:rPr>
      </w:pPr>
      <w:r w:rsidRPr="00D75B09">
        <w:rPr>
          <w:rFonts w:ascii="Book Antiqua" w:hAnsi="Book Antiqua"/>
          <w:sz w:val="24"/>
          <w:szCs w:val="24"/>
          <w:lang w:val="en-US"/>
        </w:rPr>
        <w:t>SNP:</w:t>
      </w:r>
      <w:r w:rsidR="00D75B09" w:rsidRPr="00D75B09">
        <w:rPr>
          <w:rFonts w:ascii="Book Antiqua" w:hAnsi="Book Antiqua" w:hint="eastAsia"/>
          <w:sz w:val="24"/>
          <w:szCs w:val="24"/>
          <w:lang w:val="en-US" w:eastAsia="zh-CN"/>
        </w:rPr>
        <w:t xml:space="preserve"> </w:t>
      </w:r>
      <w:r w:rsidRPr="00D75B09">
        <w:rPr>
          <w:rFonts w:ascii="Book Antiqua" w:hAnsi="Book Antiqua"/>
          <w:sz w:val="24"/>
          <w:szCs w:val="24"/>
          <w:lang w:val="en-US"/>
        </w:rPr>
        <w:t>Single-</w:t>
      </w:r>
      <w:r w:rsidR="00D75B09" w:rsidRPr="00D75B09">
        <w:rPr>
          <w:rFonts w:ascii="Book Antiqua" w:hAnsi="Book Antiqua"/>
          <w:sz w:val="24"/>
          <w:szCs w:val="24"/>
          <w:lang w:val="en-US"/>
        </w:rPr>
        <w:t>n</w:t>
      </w:r>
      <w:r w:rsidRPr="00D75B09">
        <w:rPr>
          <w:rFonts w:ascii="Book Antiqua" w:hAnsi="Book Antiqua"/>
          <w:sz w:val="24"/>
          <w:szCs w:val="24"/>
          <w:lang w:val="en-US"/>
        </w:rPr>
        <w:t xml:space="preserve">ucleotide </w:t>
      </w:r>
      <w:r w:rsidR="00D75B09" w:rsidRPr="00D75B09">
        <w:rPr>
          <w:rFonts w:ascii="Book Antiqua" w:hAnsi="Book Antiqua"/>
          <w:sz w:val="24"/>
          <w:szCs w:val="24"/>
          <w:lang w:val="en-US"/>
        </w:rPr>
        <w:t>p</w:t>
      </w:r>
      <w:r w:rsidRPr="00D75B09">
        <w:rPr>
          <w:rFonts w:ascii="Book Antiqua" w:hAnsi="Book Antiqua"/>
          <w:sz w:val="24"/>
          <w:szCs w:val="24"/>
          <w:lang w:val="en-US"/>
        </w:rPr>
        <w:t>olymorphism; CIN: Chromosomal instability; LOH: Loss of heterozygosity;</w:t>
      </w:r>
      <w:r w:rsidR="00D75B09">
        <w:rPr>
          <w:rFonts w:ascii="Book Antiqua" w:hAnsi="Book Antiqua" w:hint="eastAsia"/>
          <w:sz w:val="24"/>
          <w:szCs w:val="24"/>
          <w:lang w:val="en-US" w:eastAsia="zh-CN"/>
        </w:rPr>
        <w:t xml:space="preserve"> </w:t>
      </w:r>
      <w:r w:rsidRPr="00D75B09">
        <w:rPr>
          <w:rFonts w:ascii="Book Antiqua" w:hAnsi="Book Antiqua"/>
          <w:sz w:val="24"/>
          <w:szCs w:val="24"/>
          <w:lang w:val="en-US"/>
        </w:rPr>
        <w:t>MSI: Microsatellite instability.</w:t>
      </w:r>
    </w:p>
    <w:p w:rsidR="00D75B09" w:rsidRDefault="00D75B09">
      <w:pPr>
        <w:suppressAutoHyphens w:val="0"/>
        <w:spacing w:line="240" w:lineRule="auto"/>
        <w:rPr>
          <w:szCs w:val="24"/>
        </w:rPr>
      </w:pPr>
      <w:r>
        <w:rPr>
          <w:szCs w:val="24"/>
        </w:rPr>
        <w:br w:type="page"/>
      </w:r>
    </w:p>
    <w:p w:rsidR="00423E49" w:rsidRPr="00DF64BD" w:rsidRDefault="00423E49" w:rsidP="00AE309D">
      <w:pPr>
        <w:pStyle w:val="NoSpacing"/>
        <w:spacing w:line="360" w:lineRule="auto"/>
        <w:jc w:val="both"/>
        <w:rPr>
          <w:rFonts w:ascii="Book Antiqua" w:hAnsi="Book Antiqua"/>
          <w:b/>
          <w:sz w:val="24"/>
          <w:szCs w:val="24"/>
          <w:lang w:val="en-US"/>
        </w:rPr>
      </w:pPr>
      <w:r w:rsidRPr="00DF64BD">
        <w:rPr>
          <w:rFonts w:ascii="Book Antiqua" w:hAnsi="Book Antiqua"/>
          <w:b/>
          <w:sz w:val="24"/>
          <w:szCs w:val="24"/>
          <w:lang w:val="en-US"/>
        </w:rPr>
        <w:lastRenderedPageBreak/>
        <w:t xml:space="preserve">Table 3 Hereditary </w:t>
      </w:r>
      <w:r w:rsidR="00D75B09" w:rsidRPr="00DF64BD">
        <w:rPr>
          <w:rFonts w:ascii="Book Antiqua" w:hAnsi="Book Antiqua"/>
          <w:b/>
          <w:sz w:val="24"/>
          <w:szCs w:val="24"/>
          <w:lang w:val="en-US"/>
        </w:rPr>
        <w:t>g</w:t>
      </w:r>
      <w:r w:rsidRPr="00DF64BD">
        <w:rPr>
          <w:rFonts w:ascii="Book Antiqua" w:hAnsi="Book Antiqua"/>
          <w:b/>
          <w:sz w:val="24"/>
          <w:szCs w:val="24"/>
          <w:lang w:val="en-US"/>
        </w:rPr>
        <w:t xml:space="preserve">astric </w:t>
      </w:r>
      <w:r w:rsidR="00D75B09" w:rsidRPr="00DF64BD">
        <w:rPr>
          <w:rFonts w:ascii="Book Antiqua" w:hAnsi="Book Antiqua"/>
          <w:b/>
          <w:sz w:val="24"/>
          <w:szCs w:val="24"/>
          <w:lang w:val="en-US"/>
        </w:rPr>
        <w:t>c</w:t>
      </w:r>
      <w:r w:rsidRPr="00DF64BD">
        <w:rPr>
          <w:rFonts w:ascii="Book Antiqua" w:hAnsi="Book Antiqua"/>
          <w:b/>
          <w:sz w:val="24"/>
          <w:szCs w:val="24"/>
          <w:lang w:val="en-US"/>
        </w:rPr>
        <w:t>ancer factors</w:t>
      </w:r>
    </w:p>
    <w:tbl>
      <w:tblPr>
        <w:tblW w:w="4857" w:type="pct"/>
        <w:tblBorders>
          <w:top w:val="single" w:sz="8" w:space="0" w:color="auto"/>
          <w:bottom w:val="single" w:sz="8" w:space="0" w:color="auto"/>
        </w:tblBorders>
        <w:tblLook w:val="00A0" w:firstRow="1" w:lastRow="0" w:firstColumn="1" w:lastColumn="0" w:noHBand="0" w:noVBand="0"/>
      </w:tblPr>
      <w:tblGrid>
        <w:gridCol w:w="2941"/>
        <w:gridCol w:w="4536"/>
        <w:gridCol w:w="1545"/>
      </w:tblGrid>
      <w:tr w:rsidR="00423E49" w:rsidRPr="00DF64BD" w:rsidTr="00116BDF">
        <w:trPr>
          <w:cantSplit/>
          <w:trHeight w:val="346"/>
        </w:trPr>
        <w:tc>
          <w:tcPr>
            <w:tcW w:w="1630" w:type="pct"/>
            <w:tcBorders>
              <w:top w:val="single" w:sz="8" w:space="0" w:color="auto"/>
              <w:bottom w:val="single" w:sz="8" w:space="0" w:color="auto"/>
            </w:tcBorders>
          </w:tcPr>
          <w:p w:rsidR="00423E49" w:rsidRPr="00DF64BD" w:rsidRDefault="00423E49" w:rsidP="00AE309D">
            <w:pPr>
              <w:jc w:val="both"/>
              <w:rPr>
                <w:b/>
                <w:szCs w:val="24"/>
              </w:rPr>
            </w:pPr>
            <w:r w:rsidRPr="00DF64BD">
              <w:rPr>
                <w:b/>
                <w:szCs w:val="24"/>
              </w:rPr>
              <w:t xml:space="preserve">Factors </w:t>
            </w:r>
          </w:p>
        </w:tc>
        <w:tc>
          <w:tcPr>
            <w:tcW w:w="2514" w:type="pct"/>
            <w:tcBorders>
              <w:top w:val="single" w:sz="8" w:space="0" w:color="auto"/>
              <w:bottom w:val="single" w:sz="8" w:space="0" w:color="auto"/>
            </w:tcBorders>
          </w:tcPr>
          <w:p w:rsidR="00423E49" w:rsidRPr="00DF64BD" w:rsidRDefault="00423E49" w:rsidP="00D75B09">
            <w:pPr>
              <w:jc w:val="center"/>
              <w:rPr>
                <w:b/>
                <w:szCs w:val="24"/>
              </w:rPr>
            </w:pPr>
            <w:r w:rsidRPr="00DF64BD">
              <w:rPr>
                <w:b/>
                <w:szCs w:val="24"/>
              </w:rPr>
              <w:t xml:space="preserve">Hereditary </w:t>
            </w:r>
            <w:r w:rsidR="00D75B09" w:rsidRPr="00DF64BD">
              <w:rPr>
                <w:b/>
                <w:szCs w:val="24"/>
              </w:rPr>
              <w:t>g</w:t>
            </w:r>
            <w:r w:rsidRPr="00DF64BD">
              <w:rPr>
                <w:b/>
                <w:szCs w:val="24"/>
              </w:rPr>
              <w:t xml:space="preserve">astric </w:t>
            </w:r>
            <w:r w:rsidR="00D75B09" w:rsidRPr="00DF64BD">
              <w:rPr>
                <w:b/>
                <w:szCs w:val="24"/>
              </w:rPr>
              <w:t>c</w:t>
            </w:r>
            <w:r w:rsidRPr="00DF64BD">
              <w:rPr>
                <w:b/>
                <w:szCs w:val="24"/>
              </w:rPr>
              <w:t>ancer</w:t>
            </w:r>
          </w:p>
        </w:tc>
        <w:tc>
          <w:tcPr>
            <w:tcW w:w="856" w:type="pct"/>
            <w:tcBorders>
              <w:top w:val="single" w:sz="8" w:space="0" w:color="auto"/>
              <w:bottom w:val="single" w:sz="8" w:space="0" w:color="auto"/>
            </w:tcBorders>
          </w:tcPr>
          <w:p w:rsidR="00423E49" w:rsidRPr="00DF64BD" w:rsidRDefault="00423E49" w:rsidP="00D75B09">
            <w:pPr>
              <w:jc w:val="center"/>
              <w:rPr>
                <w:b/>
                <w:szCs w:val="24"/>
              </w:rPr>
            </w:pPr>
            <w:r w:rsidRPr="00DF64BD">
              <w:rPr>
                <w:b/>
                <w:szCs w:val="24"/>
              </w:rPr>
              <w:t>Ref.</w:t>
            </w:r>
          </w:p>
        </w:tc>
      </w:tr>
      <w:tr w:rsidR="00423E49" w:rsidRPr="00DF64BD" w:rsidTr="00116BDF">
        <w:trPr>
          <w:cantSplit/>
          <w:trHeight w:val="315"/>
        </w:trPr>
        <w:tc>
          <w:tcPr>
            <w:tcW w:w="1630" w:type="pct"/>
            <w:vMerge w:val="restart"/>
            <w:tcBorders>
              <w:top w:val="single" w:sz="8" w:space="0" w:color="auto"/>
            </w:tcBorders>
          </w:tcPr>
          <w:p w:rsidR="00423E49" w:rsidRPr="00DF64BD" w:rsidRDefault="00423E49" w:rsidP="00AE309D">
            <w:pPr>
              <w:jc w:val="both"/>
              <w:rPr>
                <w:szCs w:val="24"/>
              </w:rPr>
            </w:pPr>
            <w:r w:rsidRPr="00DF64BD">
              <w:rPr>
                <w:szCs w:val="24"/>
              </w:rPr>
              <w:t>Germline mutations</w:t>
            </w:r>
          </w:p>
        </w:tc>
        <w:tc>
          <w:tcPr>
            <w:tcW w:w="2514" w:type="pct"/>
            <w:tcBorders>
              <w:top w:val="single" w:sz="8" w:space="0" w:color="auto"/>
            </w:tcBorders>
          </w:tcPr>
          <w:p w:rsidR="00423E49" w:rsidRPr="00DF64BD" w:rsidRDefault="00423E49" w:rsidP="00D75B09">
            <w:pPr>
              <w:jc w:val="center"/>
              <w:rPr>
                <w:i/>
                <w:szCs w:val="24"/>
              </w:rPr>
            </w:pPr>
            <w:r w:rsidRPr="00DF64BD">
              <w:rPr>
                <w:i/>
                <w:szCs w:val="24"/>
              </w:rPr>
              <w:t>CDH1</w:t>
            </w:r>
          </w:p>
        </w:tc>
        <w:tc>
          <w:tcPr>
            <w:tcW w:w="856" w:type="pct"/>
            <w:tcBorders>
              <w:top w:val="single" w:sz="8" w:space="0" w:color="auto"/>
            </w:tcBorders>
          </w:tcPr>
          <w:p w:rsidR="00423E49" w:rsidRPr="00DF64BD" w:rsidRDefault="00423E49" w:rsidP="00D75B09">
            <w:pPr>
              <w:jc w:val="center"/>
              <w:rPr>
                <w:szCs w:val="24"/>
              </w:rPr>
            </w:pPr>
            <w:r w:rsidRPr="00DF64BD">
              <w:rPr>
                <w:szCs w:val="24"/>
              </w:rPr>
              <w:t>[23-34]</w:t>
            </w:r>
          </w:p>
        </w:tc>
      </w:tr>
      <w:tr w:rsidR="00423E49" w:rsidRPr="00DF64BD" w:rsidTr="00116BDF">
        <w:trPr>
          <w:cantSplit/>
          <w:trHeight w:val="285"/>
        </w:trPr>
        <w:tc>
          <w:tcPr>
            <w:tcW w:w="1630" w:type="pct"/>
            <w:vMerge/>
          </w:tcPr>
          <w:p w:rsidR="00423E49" w:rsidRPr="00DF64BD" w:rsidRDefault="00423E49" w:rsidP="00AE309D">
            <w:pPr>
              <w:jc w:val="both"/>
              <w:rPr>
                <w:szCs w:val="24"/>
              </w:rPr>
            </w:pPr>
          </w:p>
        </w:tc>
        <w:tc>
          <w:tcPr>
            <w:tcW w:w="2514" w:type="pct"/>
          </w:tcPr>
          <w:p w:rsidR="00423E49" w:rsidRPr="00DF64BD" w:rsidRDefault="00423E49" w:rsidP="00D75B09">
            <w:pPr>
              <w:jc w:val="center"/>
              <w:rPr>
                <w:i/>
                <w:szCs w:val="24"/>
              </w:rPr>
            </w:pPr>
            <w:r w:rsidRPr="00DF64BD">
              <w:rPr>
                <w:i/>
                <w:szCs w:val="24"/>
              </w:rPr>
              <w:t>TP53 (</w:t>
            </w:r>
            <w:r w:rsidRPr="00DF64BD">
              <w:rPr>
                <w:szCs w:val="24"/>
              </w:rPr>
              <w:t>Li-Fraumeni syndrome</w:t>
            </w:r>
            <w:r w:rsidRPr="00DF64BD">
              <w:rPr>
                <w:i/>
                <w:szCs w:val="24"/>
              </w:rPr>
              <w:t>)</w:t>
            </w:r>
          </w:p>
        </w:tc>
        <w:tc>
          <w:tcPr>
            <w:tcW w:w="856" w:type="pct"/>
          </w:tcPr>
          <w:p w:rsidR="00423E49" w:rsidRPr="00DF64BD" w:rsidRDefault="00423E49" w:rsidP="00D75B09">
            <w:pPr>
              <w:jc w:val="center"/>
              <w:rPr>
                <w:szCs w:val="24"/>
              </w:rPr>
            </w:pPr>
            <w:r w:rsidRPr="00DF64BD">
              <w:rPr>
                <w:szCs w:val="24"/>
              </w:rPr>
              <w:t>[36,42,43]</w:t>
            </w:r>
          </w:p>
        </w:tc>
      </w:tr>
      <w:tr w:rsidR="00423E49" w:rsidRPr="00DF64BD" w:rsidTr="00116BDF">
        <w:trPr>
          <w:cantSplit/>
          <w:trHeight w:val="315"/>
        </w:trPr>
        <w:tc>
          <w:tcPr>
            <w:tcW w:w="1630" w:type="pct"/>
            <w:vMerge/>
          </w:tcPr>
          <w:p w:rsidR="00423E49" w:rsidRPr="00DF64BD" w:rsidRDefault="00423E49" w:rsidP="00AE309D">
            <w:pPr>
              <w:jc w:val="both"/>
              <w:rPr>
                <w:szCs w:val="24"/>
              </w:rPr>
            </w:pPr>
          </w:p>
        </w:tc>
        <w:tc>
          <w:tcPr>
            <w:tcW w:w="2514" w:type="pct"/>
          </w:tcPr>
          <w:p w:rsidR="00423E49" w:rsidRPr="00DF64BD" w:rsidRDefault="00423E49" w:rsidP="00D75B09">
            <w:pPr>
              <w:jc w:val="center"/>
              <w:rPr>
                <w:i/>
                <w:szCs w:val="24"/>
              </w:rPr>
            </w:pPr>
            <w:r w:rsidRPr="00DF64BD">
              <w:rPr>
                <w:i/>
                <w:szCs w:val="24"/>
              </w:rPr>
              <w:t>CTNNA1</w:t>
            </w:r>
          </w:p>
        </w:tc>
        <w:tc>
          <w:tcPr>
            <w:tcW w:w="856" w:type="pct"/>
          </w:tcPr>
          <w:p w:rsidR="00423E49" w:rsidRPr="00DF64BD" w:rsidRDefault="00423E49" w:rsidP="00D75B09">
            <w:pPr>
              <w:jc w:val="center"/>
              <w:rPr>
                <w:szCs w:val="24"/>
              </w:rPr>
            </w:pPr>
            <w:r w:rsidRPr="00DF64BD">
              <w:rPr>
                <w:szCs w:val="24"/>
              </w:rPr>
              <w:t>[37]</w:t>
            </w:r>
          </w:p>
        </w:tc>
      </w:tr>
      <w:tr w:rsidR="00423E49" w:rsidRPr="00DF64BD" w:rsidTr="00116BDF">
        <w:trPr>
          <w:cantSplit/>
          <w:trHeight w:val="447"/>
        </w:trPr>
        <w:tc>
          <w:tcPr>
            <w:tcW w:w="1630" w:type="pct"/>
            <w:vMerge/>
          </w:tcPr>
          <w:p w:rsidR="00423E49" w:rsidRPr="00DF64BD" w:rsidRDefault="00423E49" w:rsidP="00AE309D">
            <w:pPr>
              <w:jc w:val="both"/>
              <w:rPr>
                <w:szCs w:val="24"/>
              </w:rPr>
            </w:pPr>
          </w:p>
        </w:tc>
        <w:tc>
          <w:tcPr>
            <w:tcW w:w="2514" w:type="pct"/>
            <w:vMerge w:val="restart"/>
          </w:tcPr>
          <w:p w:rsidR="00423E49" w:rsidRPr="00DF64BD" w:rsidRDefault="00423E49" w:rsidP="00D75B09">
            <w:pPr>
              <w:jc w:val="center"/>
              <w:rPr>
                <w:i/>
                <w:szCs w:val="24"/>
              </w:rPr>
            </w:pPr>
            <w:r w:rsidRPr="00DF64BD">
              <w:rPr>
                <w:i/>
                <w:szCs w:val="24"/>
              </w:rPr>
              <w:t>MSH2, MSH6, PMS2,</w:t>
            </w:r>
          </w:p>
          <w:p w:rsidR="00423E49" w:rsidRPr="00DF64BD" w:rsidRDefault="00423E49" w:rsidP="00D75B09">
            <w:pPr>
              <w:jc w:val="center"/>
              <w:rPr>
                <w:i/>
                <w:szCs w:val="24"/>
              </w:rPr>
            </w:pPr>
            <w:r w:rsidRPr="00DF64BD">
              <w:rPr>
                <w:i/>
                <w:szCs w:val="24"/>
              </w:rPr>
              <w:t xml:space="preserve">MLH1 </w:t>
            </w:r>
            <w:r w:rsidRPr="00DF64BD">
              <w:rPr>
                <w:szCs w:val="24"/>
              </w:rPr>
              <w:t>(Lynch syndrome</w:t>
            </w:r>
            <w:r w:rsidRPr="00DF64BD">
              <w:rPr>
                <w:i/>
                <w:szCs w:val="24"/>
              </w:rPr>
              <w:t>)</w:t>
            </w:r>
          </w:p>
        </w:tc>
        <w:tc>
          <w:tcPr>
            <w:tcW w:w="856" w:type="pct"/>
            <w:vMerge w:val="restart"/>
          </w:tcPr>
          <w:p w:rsidR="00423E49" w:rsidRPr="00DF64BD" w:rsidRDefault="00423E49" w:rsidP="00D75B09">
            <w:pPr>
              <w:jc w:val="center"/>
              <w:rPr>
                <w:szCs w:val="24"/>
              </w:rPr>
            </w:pPr>
            <w:r w:rsidRPr="00DF64BD">
              <w:rPr>
                <w:szCs w:val="24"/>
              </w:rPr>
              <w:t>[40,41]</w:t>
            </w:r>
          </w:p>
          <w:p w:rsidR="00423E49" w:rsidRPr="00DF64BD" w:rsidRDefault="00423E49" w:rsidP="00D75B09">
            <w:pPr>
              <w:jc w:val="center"/>
              <w:rPr>
                <w:szCs w:val="24"/>
              </w:rPr>
            </w:pPr>
          </w:p>
        </w:tc>
      </w:tr>
      <w:tr w:rsidR="00423E49" w:rsidRPr="00DF64BD" w:rsidTr="00116BDF">
        <w:trPr>
          <w:cantSplit/>
          <w:trHeight w:val="447"/>
        </w:trPr>
        <w:tc>
          <w:tcPr>
            <w:tcW w:w="1630" w:type="pct"/>
            <w:vMerge/>
          </w:tcPr>
          <w:p w:rsidR="00423E49" w:rsidRPr="00DF64BD" w:rsidRDefault="00423E49" w:rsidP="00AE309D">
            <w:pPr>
              <w:jc w:val="both"/>
              <w:rPr>
                <w:szCs w:val="24"/>
              </w:rPr>
            </w:pPr>
          </w:p>
        </w:tc>
        <w:tc>
          <w:tcPr>
            <w:tcW w:w="2514" w:type="pct"/>
            <w:vMerge/>
          </w:tcPr>
          <w:p w:rsidR="00423E49" w:rsidRPr="00DF64BD" w:rsidRDefault="00423E49" w:rsidP="00D75B09">
            <w:pPr>
              <w:jc w:val="center"/>
              <w:rPr>
                <w:szCs w:val="24"/>
              </w:rPr>
            </w:pPr>
          </w:p>
        </w:tc>
        <w:tc>
          <w:tcPr>
            <w:tcW w:w="856" w:type="pct"/>
            <w:vMerge/>
          </w:tcPr>
          <w:p w:rsidR="00423E49" w:rsidRPr="00DF64BD" w:rsidRDefault="00423E49" w:rsidP="00D75B09">
            <w:pPr>
              <w:jc w:val="center"/>
              <w:rPr>
                <w:szCs w:val="24"/>
              </w:rPr>
            </w:pPr>
          </w:p>
        </w:tc>
      </w:tr>
      <w:tr w:rsidR="00423E49" w:rsidRPr="00DF64BD" w:rsidTr="00116BDF">
        <w:trPr>
          <w:cantSplit/>
          <w:trHeight w:val="300"/>
        </w:trPr>
        <w:tc>
          <w:tcPr>
            <w:tcW w:w="1630" w:type="pct"/>
            <w:vMerge/>
          </w:tcPr>
          <w:p w:rsidR="00423E49" w:rsidRPr="00DF64BD" w:rsidRDefault="00423E49" w:rsidP="00AE309D">
            <w:pPr>
              <w:jc w:val="both"/>
              <w:rPr>
                <w:szCs w:val="24"/>
              </w:rPr>
            </w:pPr>
          </w:p>
        </w:tc>
        <w:tc>
          <w:tcPr>
            <w:tcW w:w="2514" w:type="pct"/>
          </w:tcPr>
          <w:p w:rsidR="00423E49" w:rsidRPr="00DF64BD" w:rsidRDefault="00423E49" w:rsidP="00D75B09">
            <w:pPr>
              <w:jc w:val="center"/>
              <w:rPr>
                <w:szCs w:val="24"/>
              </w:rPr>
            </w:pPr>
            <w:r w:rsidRPr="00DF64BD">
              <w:rPr>
                <w:i/>
                <w:szCs w:val="24"/>
              </w:rPr>
              <w:t xml:space="preserve">APC </w:t>
            </w:r>
            <w:r w:rsidRPr="00DF64BD">
              <w:rPr>
                <w:szCs w:val="24"/>
              </w:rPr>
              <w:t>(Familial adenomatous polyposis)</w:t>
            </w:r>
          </w:p>
        </w:tc>
        <w:tc>
          <w:tcPr>
            <w:tcW w:w="856" w:type="pct"/>
          </w:tcPr>
          <w:p w:rsidR="00423E49" w:rsidRPr="00DF64BD" w:rsidRDefault="00423E49" w:rsidP="00D75B09">
            <w:pPr>
              <w:jc w:val="center"/>
              <w:rPr>
                <w:szCs w:val="24"/>
              </w:rPr>
            </w:pPr>
            <w:r w:rsidRPr="00DF64BD">
              <w:rPr>
                <w:szCs w:val="24"/>
              </w:rPr>
              <w:t>[46,47]</w:t>
            </w:r>
          </w:p>
        </w:tc>
      </w:tr>
      <w:tr w:rsidR="00423E49" w:rsidRPr="00DF64BD" w:rsidTr="00116BDF">
        <w:trPr>
          <w:cantSplit/>
          <w:trHeight w:val="447"/>
        </w:trPr>
        <w:tc>
          <w:tcPr>
            <w:tcW w:w="1630" w:type="pct"/>
            <w:vMerge/>
          </w:tcPr>
          <w:p w:rsidR="00423E49" w:rsidRPr="00DF64BD" w:rsidRDefault="00423E49" w:rsidP="00AE309D">
            <w:pPr>
              <w:jc w:val="both"/>
              <w:rPr>
                <w:szCs w:val="24"/>
              </w:rPr>
            </w:pPr>
          </w:p>
        </w:tc>
        <w:tc>
          <w:tcPr>
            <w:tcW w:w="2514" w:type="pct"/>
            <w:vMerge w:val="restart"/>
          </w:tcPr>
          <w:p w:rsidR="00423E49" w:rsidRPr="00DF64BD" w:rsidRDefault="00423E49" w:rsidP="00D75B09">
            <w:pPr>
              <w:jc w:val="center"/>
              <w:rPr>
                <w:i/>
                <w:szCs w:val="24"/>
              </w:rPr>
            </w:pPr>
            <w:r w:rsidRPr="00DF64BD">
              <w:rPr>
                <w:i/>
                <w:szCs w:val="24"/>
              </w:rPr>
              <w:t xml:space="preserve">STK11 </w:t>
            </w:r>
            <w:r w:rsidRPr="00DF64BD">
              <w:rPr>
                <w:i/>
                <w:szCs w:val="24"/>
              </w:rPr>
              <w:br/>
            </w:r>
            <w:r w:rsidRPr="00DF64BD">
              <w:rPr>
                <w:szCs w:val="24"/>
              </w:rPr>
              <w:t>(Peutz-Jeghers syndrome)</w:t>
            </w:r>
          </w:p>
        </w:tc>
        <w:tc>
          <w:tcPr>
            <w:tcW w:w="856" w:type="pct"/>
            <w:vMerge w:val="restart"/>
          </w:tcPr>
          <w:p w:rsidR="00423E49" w:rsidRPr="00DF64BD" w:rsidRDefault="00423E49" w:rsidP="00D75B09">
            <w:pPr>
              <w:jc w:val="center"/>
              <w:rPr>
                <w:szCs w:val="24"/>
              </w:rPr>
            </w:pPr>
            <w:r w:rsidRPr="00DF64BD">
              <w:rPr>
                <w:szCs w:val="24"/>
              </w:rPr>
              <w:t>[44,45]</w:t>
            </w:r>
          </w:p>
        </w:tc>
      </w:tr>
      <w:tr w:rsidR="00423E49" w:rsidRPr="00DF64BD" w:rsidTr="00116BDF">
        <w:trPr>
          <w:cantSplit/>
          <w:trHeight w:val="447"/>
        </w:trPr>
        <w:tc>
          <w:tcPr>
            <w:tcW w:w="1630" w:type="pct"/>
            <w:vMerge/>
          </w:tcPr>
          <w:p w:rsidR="00423E49" w:rsidRPr="00DF64BD" w:rsidRDefault="00423E49" w:rsidP="00AE309D">
            <w:pPr>
              <w:jc w:val="both"/>
              <w:rPr>
                <w:szCs w:val="24"/>
              </w:rPr>
            </w:pPr>
          </w:p>
        </w:tc>
        <w:tc>
          <w:tcPr>
            <w:tcW w:w="2514" w:type="pct"/>
            <w:vMerge/>
          </w:tcPr>
          <w:p w:rsidR="00423E49" w:rsidRPr="00DF64BD" w:rsidRDefault="00423E49" w:rsidP="00D75B09">
            <w:pPr>
              <w:jc w:val="center"/>
              <w:rPr>
                <w:szCs w:val="24"/>
              </w:rPr>
            </w:pPr>
          </w:p>
        </w:tc>
        <w:tc>
          <w:tcPr>
            <w:tcW w:w="856" w:type="pct"/>
            <w:vMerge/>
          </w:tcPr>
          <w:p w:rsidR="00423E49" w:rsidRPr="00DF64BD" w:rsidRDefault="00423E49" w:rsidP="00D75B09">
            <w:pPr>
              <w:jc w:val="center"/>
              <w:rPr>
                <w:szCs w:val="24"/>
              </w:rPr>
            </w:pPr>
          </w:p>
        </w:tc>
      </w:tr>
      <w:tr w:rsidR="00423E49" w:rsidRPr="00DF64BD" w:rsidTr="00116BDF">
        <w:trPr>
          <w:cantSplit/>
          <w:trHeight w:val="330"/>
        </w:trPr>
        <w:tc>
          <w:tcPr>
            <w:tcW w:w="1630" w:type="pct"/>
            <w:vMerge/>
            <w:tcBorders>
              <w:bottom w:val="single" w:sz="8" w:space="0" w:color="auto"/>
            </w:tcBorders>
          </w:tcPr>
          <w:p w:rsidR="00423E49" w:rsidRPr="00DF64BD" w:rsidRDefault="00423E49" w:rsidP="00AE309D">
            <w:pPr>
              <w:jc w:val="both"/>
              <w:rPr>
                <w:szCs w:val="24"/>
              </w:rPr>
            </w:pPr>
          </w:p>
        </w:tc>
        <w:tc>
          <w:tcPr>
            <w:tcW w:w="2514" w:type="pct"/>
            <w:tcBorders>
              <w:bottom w:val="single" w:sz="8" w:space="0" w:color="auto"/>
            </w:tcBorders>
          </w:tcPr>
          <w:p w:rsidR="00423E49" w:rsidRPr="00DF64BD" w:rsidRDefault="00423E49" w:rsidP="00D75B09">
            <w:pPr>
              <w:jc w:val="center"/>
              <w:rPr>
                <w:szCs w:val="24"/>
              </w:rPr>
            </w:pPr>
            <w:r w:rsidRPr="00DF64BD">
              <w:rPr>
                <w:i/>
                <w:szCs w:val="24"/>
              </w:rPr>
              <w:t>BRCA2</w:t>
            </w:r>
          </w:p>
        </w:tc>
        <w:tc>
          <w:tcPr>
            <w:tcW w:w="856" w:type="pct"/>
            <w:tcBorders>
              <w:bottom w:val="single" w:sz="8" w:space="0" w:color="auto"/>
            </w:tcBorders>
          </w:tcPr>
          <w:p w:rsidR="00423E49" w:rsidRPr="00DF64BD" w:rsidRDefault="00423E49" w:rsidP="00D75B09">
            <w:pPr>
              <w:jc w:val="center"/>
              <w:rPr>
                <w:szCs w:val="24"/>
              </w:rPr>
            </w:pPr>
            <w:r w:rsidRPr="00DF64BD">
              <w:rPr>
                <w:szCs w:val="24"/>
              </w:rPr>
              <w:t>[48]</w:t>
            </w:r>
          </w:p>
        </w:tc>
      </w:tr>
    </w:tbl>
    <w:p w:rsidR="00423E49" w:rsidRPr="00DF64BD" w:rsidRDefault="00423E49" w:rsidP="00AE309D">
      <w:pPr>
        <w:pStyle w:val="Bezodstpw1"/>
        <w:tabs>
          <w:tab w:val="left" w:pos="0"/>
        </w:tabs>
        <w:spacing w:line="360" w:lineRule="auto"/>
        <w:jc w:val="both"/>
        <w:rPr>
          <w:rFonts w:ascii="Book Antiqua" w:hAnsi="Book Antiqua"/>
          <w:sz w:val="24"/>
          <w:szCs w:val="24"/>
        </w:rPr>
      </w:pPr>
    </w:p>
    <w:sectPr w:rsidR="00423E49" w:rsidRPr="00DF64BD" w:rsidSect="00E16DD8">
      <w:pgSz w:w="11906" w:h="16838"/>
      <w:pgMar w:top="1417" w:right="1417" w:bottom="1417" w:left="1417" w:header="708" w:footer="708" w:gutter="0"/>
      <w:cols w:space="708"/>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84" w:rsidRDefault="00E46384">
      <w:pPr>
        <w:spacing w:line="240" w:lineRule="auto"/>
      </w:pPr>
      <w:r>
        <w:separator/>
      </w:r>
    </w:p>
  </w:endnote>
  <w:endnote w:type="continuationSeparator" w:id="0">
    <w:p w:rsidR="00E46384" w:rsidRDefault="00E46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84" w:rsidRDefault="00E46384">
      <w:pPr>
        <w:spacing w:line="240" w:lineRule="auto"/>
      </w:pPr>
      <w:r>
        <w:separator/>
      </w:r>
    </w:p>
  </w:footnote>
  <w:footnote w:type="continuationSeparator" w:id="0">
    <w:p w:rsidR="00E46384" w:rsidRDefault="00E463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1" w15:restartNumberingAfterBreak="0">
    <w:nsid w:val="00000002"/>
    <w:multiLevelType w:val="multilevel"/>
    <w:tmpl w:val="00000002"/>
    <w:name w:val="WWNum4"/>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2" w15:restartNumberingAfterBreak="0">
    <w:nsid w:val="00000003"/>
    <w:multiLevelType w:val="multilevel"/>
    <w:tmpl w:val="00000003"/>
    <w:name w:val="WWNum5"/>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3" w15:restartNumberingAfterBreak="0">
    <w:nsid w:val="00000004"/>
    <w:multiLevelType w:val="multilevel"/>
    <w:tmpl w:val="00000004"/>
    <w:name w:val="WWNum8"/>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4"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5" w15:restartNumberingAfterBreak="0">
    <w:nsid w:val="00000006"/>
    <w:multiLevelType w:val="multilevel"/>
    <w:tmpl w:val="00000006"/>
    <w:name w:val="WWNum10"/>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6" w15:restartNumberingAfterBreak="0">
    <w:nsid w:val="00000007"/>
    <w:multiLevelType w:val="multilevel"/>
    <w:tmpl w:val="00000007"/>
    <w:name w:val="WWNum11"/>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7" w15:restartNumberingAfterBreak="0">
    <w:nsid w:val="00000008"/>
    <w:multiLevelType w:val="multilevel"/>
    <w:tmpl w:val="00000008"/>
    <w:name w:val="WWNum12"/>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8" w15:restartNumberingAfterBreak="0">
    <w:nsid w:val="00000009"/>
    <w:multiLevelType w:val="multilevel"/>
    <w:tmpl w:val="00000009"/>
    <w:name w:val="WWNum13"/>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9" w15:restartNumberingAfterBreak="0">
    <w:nsid w:val="0000000A"/>
    <w:multiLevelType w:val="multilevel"/>
    <w:tmpl w:val="0000000A"/>
    <w:name w:val="WWNum14"/>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10" w15:restartNumberingAfterBreak="0">
    <w:nsid w:val="0000000B"/>
    <w:multiLevelType w:val="multilevel"/>
    <w:tmpl w:val="0000000B"/>
    <w:name w:val="WWNum15"/>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11" w15:restartNumberingAfterBreak="0">
    <w:nsid w:val="0000000C"/>
    <w:multiLevelType w:val="multilevel"/>
    <w:tmpl w:val="0000000C"/>
    <w:name w:val="WWNum16"/>
    <w:lvl w:ilvl="0">
      <w:start w:val="1"/>
      <w:numFmt w:val="bullet"/>
      <w:lvlText w:val=""/>
      <w:lvlJc w:val="left"/>
      <w:pPr>
        <w:tabs>
          <w:tab w:val="num" w:pos="720"/>
        </w:tabs>
        <w:ind w:left="720" w:hanging="360"/>
      </w:pPr>
      <w:rPr>
        <w:rFonts w:ascii="Symbol" w:hAnsi="Symbol" w:hint="default"/>
        <w:position w:val="0"/>
        <w:sz w:val="22"/>
        <w:vertAlign w:val="baseline"/>
      </w:rPr>
    </w:lvl>
    <w:lvl w:ilvl="1">
      <w:start w:val="1"/>
      <w:numFmt w:val="bullet"/>
      <w:lvlText w:val="o"/>
      <w:lvlJc w:val="left"/>
      <w:pPr>
        <w:tabs>
          <w:tab w:val="num" w:pos="1440"/>
        </w:tabs>
        <w:ind w:left="1440" w:hanging="360"/>
      </w:pPr>
      <w:rPr>
        <w:rFonts w:ascii="Book Antiqua" w:hAnsi="Book Antiqua"/>
        <w:position w:val="0"/>
        <w:sz w:val="24"/>
        <w:vertAlign w:val="baseline"/>
      </w:rPr>
    </w:lvl>
    <w:lvl w:ilvl="2">
      <w:start w:val="1"/>
      <w:numFmt w:val="bullet"/>
      <w:lvlText w:val="▪"/>
      <w:lvlJc w:val="left"/>
      <w:pPr>
        <w:tabs>
          <w:tab w:val="num" w:pos="2160"/>
        </w:tabs>
        <w:ind w:left="2160" w:hanging="360"/>
      </w:pPr>
      <w:rPr>
        <w:rFonts w:ascii="Book Antiqua" w:hAnsi="Book Antiqua"/>
        <w:position w:val="0"/>
        <w:sz w:val="24"/>
        <w:vertAlign w:val="baseline"/>
      </w:rPr>
    </w:lvl>
    <w:lvl w:ilvl="3">
      <w:start w:val="1"/>
      <w:numFmt w:val="bullet"/>
      <w:lvlText w:val="•"/>
      <w:lvlJc w:val="left"/>
      <w:pPr>
        <w:tabs>
          <w:tab w:val="num" w:pos="2880"/>
        </w:tabs>
        <w:ind w:left="2880" w:hanging="360"/>
      </w:pPr>
      <w:rPr>
        <w:rFonts w:ascii="Book Antiqua" w:hAnsi="Book Antiqua"/>
        <w:position w:val="0"/>
        <w:sz w:val="24"/>
        <w:vertAlign w:val="baseline"/>
      </w:rPr>
    </w:lvl>
    <w:lvl w:ilvl="4">
      <w:start w:val="1"/>
      <w:numFmt w:val="bullet"/>
      <w:lvlText w:val="o"/>
      <w:lvlJc w:val="left"/>
      <w:pPr>
        <w:tabs>
          <w:tab w:val="num" w:pos="3600"/>
        </w:tabs>
        <w:ind w:left="3600" w:hanging="360"/>
      </w:pPr>
      <w:rPr>
        <w:rFonts w:ascii="Book Antiqua" w:hAnsi="Book Antiqua"/>
        <w:position w:val="0"/>
        <w:sz w:val="24"/>
        <w:vertAlign w:val="baseline"/>
      </w:rPr>
    </w:lvl>
    <w:lvl w:ilvl="5">
      <w:start w:val="1"/>
      <w:numFmt w:val="bullet"/>
      <w:lvlText w:val="▪"/>
      <w:lvlJc w:val="left"/>
      <w:pPr>
        <w:tabs>
          <w:tab w:val="num" w:pos="4320"/>
        </w:tabs>
        <w:ind w:left="4320" w:hanging="360"/>
      </w:pPr>
      <w:rPr>
        <w:rFonts w:ascii="Book Antiqua" w:hAnsi="Book Antiqua"/>
        <w:position w:val="0"/>
        <w:sz w:val="24"/>
        <w:vertAlign w:val="baseline"/>
      </w:rPr>
    </w:lvl>
    <w:lvl w:ilvl="6">
      <w:start w:val="1"/>
      <w:numFmt w:val="bullet"/>
      <w:lvlText w:val="•"/>
      <w:lvlJc w:val="left"/>
      <w:pPr>
        <w:tabs>
          <w:tab w:val="num" w:pos="5040"/>
        </w:tabs>
        <w:ind w:left="5040" w:hanging="360"/>
      </w:pPr>
      <w:rPr>
        <w:rFonts w:ascii="Book Antiqua" w:hAnsi="Book Antiqua"/>
        <w:position w:val="0"/>
        <w:sz w:val="24"/>
        <w:vertAlign w:val="baseline"/>
      </w:rPr>
    </w:lvl>
    <w:lvl w:ilvl="7">
      <w:start w:val="1"/>
      <w:numFmt w:val="bullet"/>
      <w:lvlText w:val="o"/>
      <w:lvlJc w:val="left"/>
      <w:pPr>
        <w:tabs>
          <w:tab w:val="num" w:pos="5760"/>
        </w:tabs>
        <w:ind w:left="5760" w:hanging="360"/>
      </w:pPr>
      <w:rPr>
        <w:rFonts w:ascii="Book Antiqua" w:hAnsi="Book Antiqua"/>
        <w:position w:val="0"/>
        <w:sz w:val="24"/>
        <w:vertAlign w:val="baseline"/>
      </w:rPr>
    </w:lvl>
    <w:lvl w:ilvl="8">
      <w:start w:val="1"/>
      <w:numFmt w:val="bullet"/>
      <w:lvlText w:val="▪"/>
      <w:lvlJc w:val="left"/>
      <w:pPr>
        <w:tabs>
          <w:tab w:val="num" w:pos="6480"/>
        </w:tabs>
        <w:ind w:left="6480" w:hanging="360"/>
      </w:pPr>
      <w:rPr>
        <w:rFonts w:ascii="Book Antiqua" w:hAnsi="Book Antiqua"/>
        <w:position w:val="0"/>
        <w:sz w:val="24"/>
        <w:vertAlign w:val="baseline"/>
      </w:r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15:restartNumberingAfterBreak="0">
    <w:nsid w:val="041A0BD8"/>
    <w:multiLevelType w:val="hybridMultilevel"/>
    <w:tmpl w:val="5AF27366"/>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4" w15:restartNumberingAfterBreak="0">
    <w:nsid w:val="05DD0DF2"/>
    <w:multiLevelType w:val="hybridMultilevel"/>
    <w:tmpl w:val="EE32B2F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B22A54"/>
    <w:multiLevelType w:val="hybridMultilevel"/>
    <w:tmpl w:val="4B765364"/>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394448"/>
    <w:multiLevelType w:val="hybridMultilevel"/>
    <w:tmpl w:val="775A5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DE24E7"/>
    <w:multiLevelType w:val="hybridMultilevel"/>
    <w:tmpl w:val="07BAAAC4"/>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E53EA0"/>
    <w:multiLevelType w:val="hybridMultilevel"/>
    <w:tmpl w:val="604243B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8875B6"/>
    <w:multiLevelType w:val="hybridMultilevel"/>
    <w:tmpl w:val="4D3EB192"/>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CD7816"/>
    <w:multiLevelType w:val="hybridMultilevel"/>
    <w:tmpl w:val="5ADE7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4"/>
  </w:num>
  <w:num w:numId="17">
    <w:abstractNumId w:val="15"/>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E9"/>
    <w:rsid w:val="00001C04"/>
    <w:rsid w:val="000022A4"/>
    <w:rsid w:val="000038E9"/>
    <w:rsid w:val="000066FB"/>
    <w:rsid w:val="00010EA5"/>
    <w:rsid w:val="00013C34"/>
    <w:rsid w:val="00014D04"/>
    <w:rsid w:val="000167DE"/>
    <w:rsid w:val="000172CE"/>
    <w:rsid w:val="00021F35"/>
    <w:rsid w:val="0002218D"/>
    <w:rsid w:val="00026237"/>
    <w:rsid w:val="000271AA"/>
    <w:rsid w:val="00033913"/>
    <w:rsid w:val="0003486B"/>
    <w:rsid w:val="00037B53"/>
    <w:rsid w:val="0004191F"/>
    <w:rsid w:val="00043332"/>
    <w:rsid w:val="00043832"/>
    <w:rsid w:val="00044B8B"/>
    <w:rsid w:val="0005092E"/>
    <w:rsid w:val="00050A08"/>
    <w:rsid w:val="00052D35"/>
    <w:rsid w:val="00053859"/>
    <w:rsid w:val="00053EC7"/>
    <w:rsid w:val="00061191"/>
    <w:rsid w:val="00062019"/>
    <w:rsid w:val="0006241C"/>
    <w:rsid w:val="00065BFB"/>
    <w:rsid w:val="00067E76"/>
    <w:rsid w:val="0007068B"/>
    <w:rsid w:val="00072B0E"/>
    <w:rsid w:val="00077B24"/>
    <w:rsid w:val="000802AC"/>
    <w:rsid w:val="00084DC5"/>
    <w:rsid w:val="00085F68"/>
    <w:rsid w:val="00086C95"/>
    <w:rsid w:val="00093CD8"/>
    <w:rsid w:val="00094A9A"/>
    <w:rsid w:val="00095D0E"/>
    <w:rsid w:val="000976D8"/>
    <w:rsid w:val="000A0900"/>
    <w:rsid w:val="000A1AF1"/>
    <w:rsid w:val="000A3534"/>
    <w:rsid w:val="000A4D1B"/>
    <w:rsid w:val="000A76DA"/>
    <w:rsid w:val="000B41D6"/>
    <w:rsid w:val="000B57B6"/>
    <w:rsid w:val="000B7319"/>
    <w:rsid w:val="000C095E"/>
    <w:rsid w:val="000C139E"/>
    <w:rsid w:val="000D0058"/>
    <w:rsid w:val="000D07C2"/>
    <w:rsid w:val="000D79C2"/>
    <w:rsid w:val="000E01B1"/>
    <w:rsid w:val="000E09DA"/>
    <w:rsid w:val="000E0C32"/>
    <w:rsid w:val="000E6E69"/>
    <w:rsid w:val="000F0ED2"/>
    <w:rsid w:val="000F5D95"/>
    <w:rsid w:val="000F66C0"/>
    <w:rsid w:val="001038A0"/>
    <w:rsid w:val="001038A1"/>
    <w:rsid w:val="00107DB4"/>
    <w:rsid w:val="00113CBD"/>
    <w:rsid w:val="00114CB5"/>
    <w:rsid w:val="00116238"/>
    <w:rsid w:val="00116AB8"/>
    <w:rsid w:val="00116BDF"/>
    <w:rsid w:val="001265A7"/>
    <w:rsid w:val="001277B4"/>
    <w:rsid w:val="001337E0"/>
    <w:rsid w:val="00133FBB"/>
    <w:rsid w:val="0013466B"/>
    <w:rsid w:val="0013584D"/>
    <w:rsid w:val="0013662E"/>
    <w:rsid w:val="00137724"/>
    <w:rsid w:val="0014112A"/>
    <w:rsid w:val="00141193"/>
    <w:rsid w:val="001411D6"/>
    <w:rsid w:val="00141431"/>
    <w:rsid w:val="001427EC"/>
    <w:rsid w:val="0014444A"/>
    <w:rsid w:val="001447EC"/>
    <w:rsid w:val="00144DE7"/>
    <w:rsid w:val="0014662A"/>
    <w:rsid w:val="0014683E"/>
    <w:rsid w:val="0015087F"/>
    <w:rsid w:val="0015406F"/>
    <w:rsid w:val="001540A8"/>
    <w:rsid w:val="001555E2"/>
    <w:rsid w:val="0015631B"/>
    <w:rsid w:val="00157A8C"/>
    <w:rsid w:val="001634C8"/>
    <w:rsid w:val="00163B0D"/>
    <w:rsid w:val="00164DB4"/>
    <w:rsid w:val="00164F3B"/>
    <w:rsid w:val="00173507"/>
    <w:rsid w:val="00174267"/>
    <w:rsid w:val="00183BC0"/>
    <w:rsid w:val="00184ED1"/>
    <w:rsid w:val="001901A8"/>
    <w:rsid w:val="0019675F"/>
    <w:rsid w:val="001A107A"/>
    <w:rsid w:val="001A18E0"/>
    <w:rsid w:val="001A5D11"/>
    <w:rsid w:val="001A6BA2"/>
    <w:rsid w:val="001A701D"/>
    <w:rsid w:val="001B3B2D"/>
    <w:rsid w:val="001B58DF"/>
    <w:rsid w:val="001B63AC"/>
    <w:rsid w:val="001C0ACF"/>
    <w:rsid w:val="001C302B"/>
    <w:rsid w:val="001C434F"/>
    <w:rsid w:val="001C502C"/>
    <w:rsid w:val="001C54A2"/>
    <w:rsid w:val="001C7CD0"/>
    <w:rsid w:val="001C7F6F"/>
    <w:rsid w:val="001D2BA1"/>
    <w:rsid w:val="001D36A0"/>
    <w:rsid w:val="001D4579"/>
    <w:rsid w:val="001D5932"/>
    <w:rsid w:val="001D76B2"/>
    <w:rsid w:val="001E1282"/>
    <w:rsid w:val="001E1FF1"/>
    <w:rsid w:val="001E4B5F"/>
    <w:rsid w:val="001E5731"/>
    <w:rsid w:val="001F141D"/>
    <w:rsid w:val="001F1F1A"/>
    <w:rsid w:val="001F3F1A"/>
    <w:rsid w:val="001F41AE"/>
    <w:rsid w:val="001F5A09"/>
    <w:rsid w:val="0020168F"/>
    <w:rsid w:val="00203269"/>
    <w:rsid w:val="002056A0"/>
    <w:rsid w:val="00211EDF"/>
    <w:rsid w:val="00214A30"/>
    <w:rsid w:val="00214B3E"/>
    <w:rsid w:val="00217BAD"/>
    <w:rsid w:val="002206E8"/>
    <w:rsid w:val="00223314"/>
    <w:rsid w:val="00224577"/>
    <w:rsid w:val="0022547C"/>
    <w:rsid w:val="0022688F"/>
    <w:rsid w:val="00227565"/>
    <w:rsid w:val="00230C4F"/>
    <w:rsid w:val="00242F84"/>
    <w:rsid w:val="0025408B"/>
    <w:rsid w:val="002574BC"/>
    <w:rsid w:val="00265FE2"/>
    <w:rsid w:val="002668FA"/>
    <w:rsid w:val="002751D7"/>
    <w:rsid w:val="002813A5"/>
    <w:rsid w:val="00290A7D"/>
    <w:rsid w:val="00290F21"/>
    <w:rsid w:val="002947D1"/>
    <w:rsid w:val="00296FE5"/>
    <w:rsid w:val="002973E2"/>
    <w:rsid w:val="002977FC"/>
    <w:rsid w:val="002A2D95"/>
    <w:rsid w:val="002A4466"/>
    <w:rsid w:val="002A44C4"/>
    <w:rsid w:val="002A465A"/>
    <w:rsid w:val="002A5EB6"/>
    <w:rsid w:val="002B0E14"/>
    <w:rsid w:val="002B1771"/>
    <w:rsid w:val="002B5040"/>
    <w:rsid w:val="002B50E4"/>
    <w:rsid w:val="002B6481"/>
    <w:rsid w:val="002B7A33"/>
    <w:rsid w:val="002C0A60"/>
    <w:rsid w:val="002C1EB0"/>
    <w:rsid w:val="002C34A5"/>
    <w:rsid w:val="002D0512"/>
    <w:rsid w:val="002D57AB"/>
    <w:rsid w:val="002D6572"/>
    <w:rsid w:val="002D6D01"/>
    <w:rsid w:val="002D721A"/>
    <w:rsid w:val="002E0AFA"/>
    <w:rsid w:val="002E127A"/>
    <w:rsid w:val="002E51EE"/>
    <w:rsid w:val="002E622F"/>
    <w:rsid w:val="002F072C"/>
    <w:rsid w:val="002F1BA5"/>
    <w:rsid w:val="002F40B6"/>
    <w:rsid w:val="002F4CD0"/>
    <w:rsid w:val="0030074C"/>
    <w:rsid w:val="00301105"/>
    <w:rsid w:val="003021AD"/>
    <w:rsid w:val="00304F25"/>
    <w:rsid w:val="003057E1"/>
    <w:rsid w:val="00315F75"/>
    <w:rsid w:val="0032410E"/>
    <w:rsid w:val="003270ED"/>
    <w:rsid w:val="00331FB1"/>
    <w:rsid w:val="00332B6B"/>
    <w:rsid w:val="003334F8"/>
    <w:rsid w:val="00335C3E"/>
    <w:rsid w:val="00335CF6"/>
    <w:rsid w:val="0033659A"/>
    <w:rsid w:val="00337D79"/>
    <w:rsid w:val="00337FBA"/>
    <w:rsid w:val="003438E2"/>
    <w:rsid w:val="00343DC1"/>
    <w:rsid w:val="00345537"/>
    <w:rsid w:val="00345734"/>
    <w:rsid w:val="003462E6"/>
    <w:rsid w:val="003479E9"/>
    <w:rsid w:val="00347DC5"/>
    <w:rsid w:val="00351BB0"/>
    <w:rsid w:val="0035343B"/>
    <w:rsid w:val="00353553"/>
    <w:rsid w:val="00362D5A"/>
    <w:rsid w:val="003644BF"/>
    <w:rsid w:val="0036518C"/>
    <w:rsid w:val="0036608A"/>
    <w:rsid w:val="00366EB8"/>
    <w:rsid w:val="00375484"/>
    <w:rsid w:val="00385049"/>
    <w:rsid w:val="00386AE9"/>
    <w:rsid w:val="00390191"/>
    <w:rsid w:val="003913DF"/>
    <w:rsid w:val="00391F75"/>
    <w:rsid w:val="00394C85"/>
    <w:rsid w:val="003A2FC1"/>
    <w:rsid w:val="003A42B6"/>
    <w:rsid w:val="003A4748"/>
    <w:rsid w:val="003A5136"/>
    <w:rsid w:val="003A598A"/>
    <w:rsid w:val="003A59C7"/>
    <w:rsid w:val="003B0C90"/>
    <w:rsid w:val="003B1DC0"/>
    <w:rsid w:val="003B1E58"/>
    <w:rsid w:val="003C1A1A"/>
    <w:rsid w:val="003C2586"/>
    <w:rsid w:val="003C301C"/>
    <w:rsid w:val="003C7F1A"/>
    <w:rsid w:val="003D08AA"/>
    <w:rsid w:val="003D174B"/>
    <w:rsid w:val="003D2759"/>
    <w:rsid w:val="003D56D7"/>
    <w:rsid w:val="003E0BD0"/>
    <w:rsid w:val="003E1B06"/>
    <w:rsid w:val="003E66A2"/>
    <w:rsid w:val="003E6DF9"/>
    <w:rsid w:val="003F03CA"/>
    <w:rsid w:val="003F171A"/>
    <w:rsid w:val="003F2247"/>
    <w:rsid w:val="003F3E8E"/>
    <w:rsid w:val="003F5939"/>
    <w:rsid w:val="003F6FF9"/>
    <w:rsid w:val="00401782"/>
    <w:rsid w:val="004018CE"/>
    <w:rsid w:val="004022CE"/>
    <w:rsid w:val="00402AD1"/>
    <w:rsid w:val="0040557D"/>
    <w:rsid w:val="004165E3"/>
    <w:rsid w:val="00417B60"/>
    <w:rsid w:val="00420299"/>
    <w:rsid w:val="00421A4A"/>
    <w:rsid w:val="00423B1D"/>
    <w:rsid w:val="00423E49"/>
    <w:rsid w:val="004258AD"/>
    <w:rsid w:val="00427689"/>
    <w:rsid w:val="004310EF"/>
    <w:rsid w:val="00434B14"/>
    <w:rsid w:val="00435BD4"/>
    <w:rsid w:val="00437D87"/>
    <w:rsid w:val="00441240"/>
    <w:rsid w:val="00442923"/>
    <w:rsid w:val="00446185"/>
    <w:rsid w:val="00446227"/>
    <w:rsid w:val="004467A6"/>
    <w:rsid w:val="0044764F"/>
    <w:rsid w:val="004478C2"/>
    <w:rsid w:val="004651A2"/>
    <w:rsid w:val="0046655C"/>
    <w:rsid w:val="0046666C"/>
    <w:rsid w:val="00472A41"/>
    <w:rsid w:val="00472C14"/>
    <w:rsid w:val="00472E9C"/>
    <w:rsid w:val="00474C9D"/>
    <w:rsid w:val="004753B3"/>
    <w:rsid w:val="00494CAE"/>
    <w:rsid w:val="00496600"/>
    <w:rsid w:val="004A0372"/>
    <w:rsid w:val="004A2638"/>
    <w:rsid w:val="004A51FD"/>
    <w:rsid w:val="004A6258"/>
    <w:rsid w:val="004A78B8"/>
    <w:rsid w:val="004B1C04"/>
    <w:rsid w:val="004B4616"/>
    <w:rsid w:val="004B5400"/>
    <w:rsid w:val="004B6187"/>
    <w:rsid w:val="004C043F"/>
    <w:rsid w:val="004C06E2"/>
    <w:rsid w:val="004C0BB8"/>
    <w:rsid w:val="004C1E48"/>
    <w:rsid w:val="004C2E5F"/>
    <w:rsid w:val="004C79A4"/>
    <w:rsid w:val="004D205D"/>
    <w:rsid w:val="004D3B56"/>
    <w:rsid w:val="004E1C45"/>
    <w:rsid w:val="004E794E"/>
    <w:rsid w:val="004F0094"/>
    <w:rsid w:val="004F2CAE"/>
    <w:rsid w:val="004F38BA"/>
    <w:rsid w:val="004F390F"/>
    <w:rsid w:val="004F49F0"/>
    <w:rsid w:val="00500FC2"/>
    <w:rsid w:val="0050210E"/>
    <w:rsid w:val="00504B72"/>
    <w:rsid w:val="00505870"/>
    <w:rsid w:val="00514D1C"/>
    <w:rsid w:val="005150BB"/>
    <w:rsid w:val="005160D5"/>
    <w:rsid w:val="005317D9"/>
    <w:rsid w:val="0053216F"/>
    <w:rsid w:val="00534E36"/>
    <w:rsid w:val="00541BBC"/>
    <w:rsid w:val="00542820"/>
    <w:rsid w:val="005429DE"/>
    <w:rsid w:val="005435EA"/>
    <w:rsid w:val="00552B94"/>
    <w:rsid w:val="00555A9F"/>
    <w:rsid w:val="0055608A"/>
    <w:rsid w:val="00563959"/>
    <w:rsid w:val="0056424A"/>
    <w:rsid w:val="00566AEF"/>
    <w:rsid w:val="00571352"/>
    <w:rsid w:val="005741FA"/>
    <w:rsid w:val="00575067"/>
    <w:rsid w:val="00575C46"/>
    <w:rsid w:val="00583BCC"/>
    <w:rsid w:val="00583E1C"/>
    <w:rsid w:val="00592A18"/>
    <w:rsid w:val="00594D05"/>
    <w:rsid w:val="005961F2"/>
    <w:rsid w:val="00597809"/>
    <w:rsid w:val="005A012F"/>
    <w:rsid w:val="005A1046"/>
    <w:rsid w:val="005A52BA"/>
    <w:rsid w:val="005B2A93"/>
    <w:rsid w:val="005B570D"/>
    <w:rsid w:val="005B737B"/>
    <w:rsid w:val="005B7C9B"/>
    <w:rsid w:val="005C3025"/>
    <w:rsid w:val="005C55AD"/>
    <w:rsid w:val="005C5CCC"/>
    <w:rsid w:val="005C6636"/>
    <w:rsid w:val="005D0046"/>
    <w:rsid w:val="005D02D5"/>
    <w:rsid w:val="005D1906"/>
    <w:rsid w:val="005D2219"/>
    <w:rsid w:val="005D2EC1"/>
    <w:rsid w:val="005D309B"/>
    <w:rsid w:val="005D6E2F"/>
    <w:rsid w:val="005E4636"/>
    <w:rsid w:val="005E62D1"/>
    <w:rsid w:val="005E6919"/>
    <w:rsid w:val="005E69E0"/>
    <w:rsid w:val="005F0E64"/>
    <w:rsid w:val="005F29E3"/>
    <w:rsid w:val="005F5EB1"/>
    <w:rsid w:val="005F6ED2"/>
    <w:rsid w:val="0060102B"/>
    <w:rsid w:val="0060466E"/>
    <w:rsid w:val="00605DA5"/>
    <w:rsid w:val="00611FBE"/>
    <w:rsid w:val="006127CA"/>
    <w:rsid w:val="0061478A"/>
    <w:rsid w:val="00617F18"/>
    <w:rsid w:val="00622FC7"/>
    <w:rsid w:val="00623280"/>
    <w:rsid w:val="006247E9"/>
    <w:rsid w:val="00625E7B"/>
    <w:rsid w:val="00631D4E"/>
    <w:rsid w:val="006337CD"/>
    <w:rsid w:val="00635D02"/>
    <w:rsid w:val="006408D3"/>
    <w:rsid w:val="00641CCE"/>
    <w:rsid w:val="00646D10"/>
    <w:rsid w:val="00652C03"/>
    <w:rsid w:val="00654E7A"/>
    <w:rsid w:val="00655731"/>
    <w:rsid w:val="00655F6A"/>
    <w:rsid w:val="00656DED"/>
    <w:rsid w:val="006629EC"/>
    <w:rsid w:val="00665CBC"/>
    <w:rsid w:val="0067229D"/>
    <w:rsid w:val="0067687E"/>
    <w:rsid w:val="00677545"/>
    <w:rsid w:val="006776EA"/>
    <w:rsid w:val="0068292E"/>
    <w:rsid w:val="00683B5F"/>
    <w:rsid w:val="006844E1"/>
    <w:rsid w:val="0068515E"/>
    <w:rsid w:val="006934F5"/>
    <w:rsid w:val="00697E13"/>
    <w:rsid w:val="006A054E"/>
    <w:rsid w:val="006A19E0"/>
    <w:rsid w:val="006A2256"/>
    <w:rsid w:val="006A6251"/>
    <w:rsid w:val="006B2CC8"/>
    <w:rsid w:val="006B79A0"/>
    <w:rsid w:val="006B7E7C"/>
    <w:rsid w:val="006C1024"/>
    <w:rsid w:val="006C24CA"/>
    <w:rsid w:val="006C69BC"/>
    <w:rsid w:val="006C6D42"/>
    <w:rsid w:val="006D24B9"/>
    <w:rsid w:val="006D2B8B"/>
    <w:rsid w:val="006D31F5"/>
    <w:rsid w:val="006D3572"/>
    <w:rsid w:val="006E3020"/>
    <w:rsid w:val="006E43D6"/>
    <w:rsid w:val="006E4894"/>
    <w:rsid w:val="006F15A1"/>
    <w:rsid w:val="006F1883"/>
    <w:rsid w:val="007000B6"/>
    <w:rsid w:val="007010D1"/>
    <w:rsid w:val="00702DB8"/>
    <w:rsid w:val="0070319B"/>
    <w:rsid w:val="00703E93"/>
    <w:rsid w:val="00703F45"/>
    <w:rsid w:val="00706ED4"/>
    <w:rsid w:val="007110A8"/>
    <w:rsid w:val="00711E52"/>
    <w:rsid w:val="007123FB"/>
    <w:rsid w:val="007124A5"/>
    <w:rsid w:val="00712CF5"/>
    <w:rsid w:val="00712D80"/>
    <w:rsid w:val="00713085"/>
    <w:rsid w:val="007152B6"/>
    <w:rsid w:val="00724360"/>
    <w:rsid w:val="00731C76"/>
    <w:rsid w:val="00734C73"/>
    <w:rsid w:val="00735424"/>
    <w:rsid w:val="00736ED5"/>
    <w:rsid w:val="00737FA3"/>
    <w:rsid w:val="00740A21"/>
    <w:rsid w:val="007413DC"/>
    <w:rsid w:val="00743881"/>
    <w:rsid w:val="00744DFB"/>
    <w:rsid w:val="007461C9"/>
    <w:rsid w:val="00746DC9"/>
    <w:rsid w:val="00747AEC"/>
    <w:rsid w:val="007627DE"/>
    <w:rsid w:val="0076317A"/>
    <w:rsid w:val="0076355F"/>
    <w:rsid w:val="00763BC7"/>
    <w:rsid w:val="007650FE"/>
    <w:rsid w:val="00765A68"/>
    <w:rsid w:val="00765AF4"/>
    <w:rsid w:val="00765B77"/>
    <w:rsid w:val="00767604"/>
    <w:rsid w:val="007714D8"/>
    <w:rsid w:val="007747BC"/>
    <w:rsid w:val="0078410F"/>
    <w:rsid w:val="00784AE9"/>
    <w:rsid w:val="00792476"/>
    <w:rsid w:val="00792F22"/>
    <w:rsid w:val="007954EE"/>
    <w:rsid w:val="00795AC4"/>
    <w:rsid w:val="00795CE4"/>
    <w:rsid w:val="00795DE8"/>
    <w:rsid w:val="00797A88"/>
    <w:rsid w:val="007A07D4"/>
    <w:rsid w:val="007A203B"/>
    <w:rsid w:val="007A59BF"/>
    <w:rsid w:val="007A5FCE"/>
    <w:rsid w:val="007A6229"/>
    <w:rsid w:val="007B01EA"/>
    <w:rsid w:val="007B126C"/>
    <w:rsid w:val="007B282F"/>
    <w:rsid w:val="007B424C"/>
    <w:rsid w:val="007B50AC"/>
    <w:rsid w:val="007C2E70"/>
    <w:rsid w:val="007C3DB7"/>
    <w:rsid w:val="007C44AC"/>
    <w:rsid w:val="007C5448"/>
    <w:rsid w:val="007C55F8"/>
    <w:rsid w:val="007C7930"/>
    <w:rsid w:val="007D1221"/>
    <w:rsid w:val="007D7E16"/>
    <w:rsid w:val="007E4FB6"/>
    <w:rsid w:val="007F1A93"/>
    <w:rsid w:val="007F25B7"/>
    <w:rsid w:val="007F5AB4"/>
    <w:rsid w:val="007F7BBE"/>
    <w:rsid w:val="00800116"/>
    <w:rsid w:val="00801C64"/>
    <w:rsid w:val="008027E0"/>
    <w:rsid w:val="00802E46"/>
    <w:rsid w:val="00803E88"/>
    <w:rsid w:val="00803F27"/>
    <w:rsid w:val="008044AB"/>
    <w:rsid w:val="00805554"/>
    <w:rsid w:val="008057FC"/>
    <w:rsid w:val="00805B25"/>
    <w:rsid w:val="008117CB"/>
    <w:rsid w:val="008212AE"/>
    <w:rsid w:val="00834A71"/>
    <w:rsid w:val="00835F37"/>
    <w:rsid w:val="008373B7"/>
    <w:rsid w:val="00844CFD"/>
    <w:rsid w:val="008474FB"/>
    <w:rsid w:val="00851094"/>
    <w:rsid w:val="00854E2F"/>
    <w:rsid w:val="00855B6C"/>
    <w:rsid w:val="00856E21"/>
    <w:rsid w:val="0086103B"/>
    <w:rsid w:val="00864C30"/>
    <w:rsid w:val="00866427"/>
    <w:rsid w:val="0086653E"/>
    <w:rsid w:val="008709BA"/>
    <w:rsid w:val="008731B7"/>
    <w:rsid w:val="00885B9B"/>
    <w:rsid w:val="008862E6"/>
    <w:rsid w:val="0088652D"/>
    <w:rsid w:val="00891034"/>
    <w:rsid w:val="00894DB6"/>
    <w:rsid w:val="00894FD9"/>
    <w:rsid w:val="00895CE5"/>
    <w:rsid w:val="008A0C2B"/>
    <w:rsid w:val="008A1741"/>
    <w:rsid w:val="008A2BB0"/>
    <w:rsid w:val="008A2EAB"/>
    <w:rsid w:val="008A3752"/>
    <w:rsid w:val="008A434C"/>
    <w:rsid w:val="008A580E"/>
    <w:rsid w:val="008A5A6B"/>
    <w:rsid w:val="008A5CB4"/>
    <w:rsid w:val="008A5E2E"/>
    <w:rsid w:val="008A7B32"/>
    <w:rsid w:val="008B0244"/>
    <w:rsid w:val="008B75A7"/>
    <w:rsid w:val="008B7F9E"/>
    <w:rsid w:val="008C0708"/>
    <w:rsid w:val="008C0E4E"/>
    <w:rsid w:val="008C60D4"/>
    <w:rsid w:val="008C7B6E"/>
    <w:rsid w:val="008D1688"/>
    <w:rsid w:val="008D73F1"/>
    <w:rsid w:val="008F548D"/>
    <w:rsid w:val="008F61C4"/>
    <w:rsid w:val="00901AB6"/>
    <w:rsid w:val="00903316"/>
    <w:rsid w:val="0090504C"/>
    <w:rsid w:val="00906AC0"/>
    <w:rsid w:val="009104E0"/>
    <w:rsid w:val="009107FD"/>
    <w:rsid w:val="0091282D"/>
    <w:rsid w:val="00917739"/>
    <w:rsid w:val="00917B9B"/>
    <w:rsid w:val="00921B8C"/>
    <w:rsid w:val="00921F18"/>
    <w:rsid w:val="00923CF9"/>
    <w:rsid w:val="00923FB7"/>
    <w:rsid w:val="00930EC1"/>
    <w:rsid w:val="0093343F"/>
    <w:rsid w:val="00936EDB"/>
    <w:rsid w:val="00942B7B"/>
    <w:rsid w:val="00942EB5"/>
    <w:rsid w:val="009441C5"/>
    <w:rsid w:val="0094612B"/>
    <w:rsid w:val="00946AEF"/>
    <w:rsid w:val="00947640"/>
    <w:rsid w:val="0095123C"/>
    <w:rsid w:val="009518DD"/>
    <w:rsid w:val="009527C3"/>
    <w:rsid w:val="009536A6"/>
    <w:rsid w:val="0096055C"/>
    <w:rsid w:val="00976AE4"/>
    <w:rsid w:val="00980768"/>
    <w:rsid w:val="00982099"/>
    <w:rsid w:val="0098217F"/>
    <w:rsid w:val="00982B18"/>
    <w:rsid w:val="0098387A"/>
    <w:rsid w:val="00984486"/>
    <w:rsid w:val="009851BB"/>
    <w:rsid w:val="009869E7"/>
    <w:rsid w:val="00993D9D"/>
    <w:rsid w:val="00993F29"/>
    <w:rsid w:val="00995253"/>
    <w:rsid w:val="009A22E6"/>
    <w:rsid w:val="009A2573"/>
    <w:rsid w:val="009A3370"/>
    <w:rsid w:val="009B0500"/>
    <w:rsid w:val="009B1605"/>
    <w:rsid w:val="009B1C21"/>
    <w:rsid w:val="009B1ED1"/>
    <w:rsid w:val="009B3336"/>
    <w:rsid w:val="009B3972"/>
    <w:rsid w:val="009B56C1"/>
    <w:rsid w:val="009C235C"/>
    <w:rsid w:val="009C23E3"/>
    <w:rsid w:val="009C6C67"/>
    <w:rsid w:val="009C7E02"/>
    <w:rsid w:val="009D20C9"/>
    <w:rsid w:val="009D24D4"/>
    <w:rsid w:val="009D2A33"/>
    <w:rsid w:val="009D2E7B"/>
    <w:rsid w:val="009D6451"/>
    <w:rsid w:val="009D6CC3"/>
    <w:rsid w:val="009D7968"/>
    <w:rsid w:val="009E07DA"/>
    <w:rsid w:val="009F143A"/>
    <w:rsid w:val="009F1622"/>
    <w:rsid w:val="009F36E6"/>
    <w:rsid w:val="009F4C8C"/>
    <w:rsid w:val="00A03A29"/>
    <w:rsid w:val="00A060DB"/>
    <w:rsid w:val="00A11DB0"/>
    <w:rsid w:val="00A1368A"/>
    <w:rsid w:val="00A2639C"/>
    <w:rsid w:val="00A4507F"/>
    <w:rsid w:val="00A45176"/>
    <w:rsid w:val="00A4605E"/>
    <w:rsid w:val="00A462A9"/>
    <w:rsid w:val="00A4705C"/>
    <w:rsid w:val="00A472AC"/>
    <w:rsid w:val="00A51FA3"/>
    <w:rsid w:val="00A5211D"/>
    <w:rsid w:val="00A522DE"/>
    <w:rsid w:val="00A53546"/>
    <w:rsid w:val="00A552B7"/>
    <w:rsid w:val="00A55447"/>
    <w:rsid w:val="00A55FB5"/>
    <w:rsid w:val="00A6388E"/>
    <w:rsid w:val="00A64E94"/>
    <w:rsid w:val="00A721B3"/>
    <w:rsid w:val="00A73AC5"/>
    <w:rsid w:val="00A74253"/>
    <w:rsid w:val="00A82378"/>
    <w:rsid w:val="00A84EA4"/>
    <w:rsid w:val="00A90728"/>
    <w:rsid w:val="00A92F2F"/>
    <w:rsid w:val="00A935AB"/>
    <w:rsid w:val="00AA305D"/>
    <w:rsid w:val="00AA5581"/>
    <w:rsid w:val="00AA56D1"/>
    <w:rsid w:val="00AA5A86"/>
    <w:rsid w:val="00AA7190"/>
    <w:rsid w:val="00AB1EB5"/>
    <w:rsid w:val="00AB36DA"/>
    <w:rsid w:val="00AB62DD"/>
    <w:rsid w:val="00AB7364"/>
    <w:rsid w:val="00AC0044"/>
    <w:rsid w:val="00AC109F"/>
    <w:rsid w:val="00AC1526"/>
    <w:rsid w:val="00AC443F"/>
    <w:rsid w:val="00AC6D27"/>
    <w:rsid w:val="00AC7739"/>
    <w:rsid w:val="00AD072B"/>
    <w:rsid w:val="00AD21CF"/>
    <w:rsid w:val="00AD25A8"/>
    <w:rsid w:val="00AD5C9A"/>
    <w:rsid w:val="00AE255C"/>
    <w:rsid w:val="00AE309D"/>
    <w:rsid w:val="00AE3EB0"/>
    <w:rsid w:val="00AF0691"/>
    <w:rsid w:val="00AF264D"/>
    <w:rsid w:val="00AF3E11"/>
    <w:rsid w:val="00AF4F8E"/>
    <w:rsid w:val="00AF5D82"/>
    <w:rsid w:val="00AF67CF"/>
    <w:rsid w:val="00B07E8D"/>
    <w:rsid w:val="00B12F06"/>
    <w:rsid w:val="00B14A32"/>
    <w:rsid w:val="00B17035"/>
    <w:rsid w:val="00B21A0F"/>
    <w:rsid w:val="00B22FE3"/>
    <w:rsid w:val="00B26244"/>
    <w:rsid w:val="00B26867"/>
    <w:rsid w:val="00B31D01"/>
    <w:rsid w:val="00B31D04"/>
    <w:rsid w:val="00B325E7"/>
    <w:rsid w:val="00B357CB"/>
    <w:rsid w:val="00B35826"/>
    <w:rsid w:val="00B367C9"/>
    <w:rsid w:val="00B37A3F"/>
    <w:rsid w:val="00B45FB4"/>
    <w:rsid w:val="00B47E63"/>
    <w:rsid w:val="00B52EE7"/>
    <w:rsid w:val="00B55A4F"/>
    <w:rsid w:val="00B63B42"/>
    <w:rsid w:val="00B659DA"/>
    <w:rsid w:val="00B6653F"/>
    <w:rsid w:val="00B71362"/>
    <w:rsid w:val="00B767BF"/>
    <w:rsid w:val="00B820C6"/>
    <w:rsid w:val="00B83B5D"/>
    <w:rsid w:val="00B83E69"/>
    <w:rsid w:val="00B85144"/>
    <w:rsid w:val="00B86C71"/>
    <w:rsid w:val="00B8721E"/>
    <w:rsid w:val="00B87F88"/>
    <w:rsid w:val="00B9398D"/>
    <w:rsid w:val="00B93CCC"/>
    <w:rsid w:val="00B93E40"/>
    <w:rsid w:val="00B9470A"/>
    <w:rsid w:val="00B97AA1"/>
    <w:rsid w:val="00BA1D2C"/>
    <w:rsid w:val="00BA35BA"/>
    <w:rsid w:val="00BA453D"/>
    <w:rsid w:val="00BA517F"/>
    <w:rsid w:val="00BA673D"/>
    <w:rsid w:val="00BA72F6"/>
    <w:rsid w:val="00BB5890"/>
    <w:rsid w:val="00BB6224"/>
    <w:rsid w:val="00BB6E0E"/>
    <w:rsid w:val="00BC0C97"/>
    <w:rsid w:val="00BC282C"/>
    <w:rsid w:val="00BC2D8B"/>
    <w:rsid w:val="00BC3097"/>
    <w:rsid w:val="00BC30C7"/>
    <w:rsid w:val="00BC73C6"/>
    <w:rsid w:val="00BD3D1C"/>
    <w:rsid w:val="00BD417A"/>
    <w:rsid w:val="00BD59E8"/>
    <w:rsid w:val="00BE0CC3"/>
    <w:rsid w:val="00BE121F"/>
    <w:rsid w:val="00BE1CB0"/>
    <w:rsid w:val="00BE59CC"/>
    <w:rsid w:val="00BE6427"/>
    <w:rsid w:val="00BE6F98"/>
    <w:rsid w:val="00BF0126"/>
    <w:rsid w:val="00BF4797"/>
    <w:rsid w:val="00BF4AC1"/>
    <w:rsid w:val="00BF763E"/>
    <w:rsid w:val="00C0485D"/>
    <w:rsid w:val="00C074B3"/>
    <w:rsid w:val="00C101D8"/>
    <w:rsid w:val="00C12AE7"/>
    <w:rsid w:val="00C12F9B"/>
    <w:rsid w:val="00C13829"/>
    <w:rsid w:val="00C1614B"/>
    <w:rsid w:val="00C2096C"/>
    <w:rsid w:val="00C21F0C"/>
    <w:rsid w:val="00C25ED3"/>
    <w:rsid w:val="00C25EEB"/>
    <w:rsid w:val="00C3259E"/>
    <w:rsid w:val="00C33CF8"/>
    <w:rsid w:val="00C37B39"/>
    <w:rsid w:val="00C40463"/>
    <w:rsid w:val="00C424D5"/>
    <w:rsid w:val="00C427A3"/>
    <w:rsid w:val="00C44ED9"/>
    <w:rsid w:val="00C50DEA"/>
    <w:rsid w:val="00C557B3"/>
    <w:rsid w:val="00C61C15"/>
    <w:rsid w:val="00C61EEA"/>
    <w:rsid w:val="00C6278A"/>
    <w:rsid w:val="00C6284F"/>
    <w:rsid w:val="00C65760"/>
    <w:rsid w:val="00C702D4"/>
    <w:rsid w:val="00C709AC"/>
    <w:rsid w:val="00C71D44"/>
    <w:rsid w:val="00C735C4"/>
    <w:rsid w:val="00C7471C"/>
    <w:rsid w:val="00C7576F"/>
    <w:rsid w:val="00C75D86"/>
    <w:rsid w:val="00C77F10"/>
    <w:rsid w:val="00C8386B"/>
    <w:rsid w:val="00C847BF"/>
    <w:rsid w:val="00C857F7"/>
    <w:rsid w:val="00C90A40"/>
    <w:rsid w:val="00C935C7"/>
    <w:rsid w:val="00C94EF4"/>
    <w:rsid w:val="00C96BC8"/>
    <w:rsid w:val="00C97529"/>
    <w:rsid w:val="00C97C97"/>
    <w:rsid w:val="00CA16A7"/>
    <w:rsid w:val="00CA1779"/>
    <w:rsid w:val="00CA18DC"/>
    <w:rsid w:val="00CA41C9"/>
    <w:rsid w:val="00CA4237"/>
    <w:rsid w:val="00CA4261"/>
    <w:rsid w:val="00CB0DA4"/>
    <w:rsid w:val="00CB5828"/>
    <w:rsid w:val="00CC0A7E"/>
    <w:rsid w:val="00CC2703"/>
    <w:rsid w:val="00CC2B22"/>
    <w:rsid w:val="00CC4A4D"/>
    <w:rsid w:val="00CC6640"/>
    <w:rsid w:val="00CC7792"/>
    <w:rsid w:val="00CD4B9F"/>
    <w:rsid w:val="00CE04B9"/>
    <w:rsid w:val="00CE19C1"/>
    <w:rsid w:val="00CE4513"/>
    <w:rsid w:val="00CE49AD"/>
    <w:rsid w:val="00CE67BE"/>
    <w:rsid w:val="00CF296C"/>
    <w:rsid w:val="00CF31E6"/>
    <w:rsid w:val="00CF6BBC"/>
    <w:rsid w:val="00D0381C"/>
    <w:rsid w:val="00D04F0F"/>
    <w:rsid w:val="00D05365"/>
    <w:rsid w:val="00D07125"/>
    <w:rsid w:val="00D102E3"/>
    <w:rsid w:val="00D13A98"/>
    <w:rsid w:val="00D15B99"/>
    <w:rsid w:val="00D1675B"/>
    <w:rsid w:val="00D17910"/>
    <w:rsid w:val="00D21757"/>
    <w:rsid w:val="00D238C2"/>
    <w:rsid w:val="00D23B24"/>
    <w:rsid w:val="00D251A3"/>
    <w:rsid w:val="00D31FAC"/>
    <w:rsid w:val="00D37618"/>
    <w:rsid w:val="00D435BD"/>
    <w:rsid w:val="00D4367B"/>
    <w:rsid w:val="00D466D5"/>
    <w:rsid w:val="00D46937"/>
    <w:rsid w:val="00D47274"/>
    <w:rsid w:val="00D50A12"/>
    <w:rsid w:val="00D52062"/>
    <w:rsid w:val="00D53B97"/>
    <w:rsid w:val="00D53F3E"/>
    <w:rsid w:val="00D61CCA"/>
    <w:rsid w:val="00D665CB"/>
    <w:rsid w:val="00D6763B"/>
    <w:rsid w:val="00D67C71"/>
    <w:rsid w:val="00D70144"/>
    <w:rsid w:val="00D703D2"/>
    <w:rsid w:val="00D705C2"/>
    <w:rsid w:val="00D71BFF"/>
    <w:rsid w:val="00D744F7"/>
    <w:rsid w:val="00D74E92"/>
    <w:rsid w:val="00D7574E"/>
    <w:rsid w:val="00D75B09"/>
    <w:rsid w:val="00D76360"/>
    <w:rsid w:val="00D773D1"/>
    <w:rsid w:val="00D827CF"/>
    <w:rsid w:val="00D8365D"/>
    <w:rsid w:val="00D84AAF"/>
    <w:rsid w:val="00D856D4"/>
    <w:rsid w:val="00D86DC8"/>
    <w:rsid w:val="00D916A4"/>
    <w:rsid w:val="00D91EF1"/>
    <w:rsid w:val="00D93155"/>
    <w:rsid w:val="00D95D46"/>
    <w:rsid w:val="00DA0A54"/>
    <w:rsid w:val="00DA2A12"/>
    <w:rsid w:val="00DA74F4"/>
    <w:rsid w:val="00DB069F"/>
    <w:rsid w:val="00DB404A"/>
    <w:rsid w:val="00DB593F"/>
    <w:rsid w:val="00DB6E26"/>
    <w:rsid w:val="00DC196A"/>
    <w:rsid w:val="00DC2E16"/>
    <w:rsid w:val="00DC4BE5"/>
    <w:rsid w:val="00DC64F3"/>
    <w:rsid w:val="00DC7024"/>
    <w:rsid w:val="00DD05A3"/>
    <w:rsid w:val="00DD33BF"/>
    <w:rsid w:val="00DD4FBF"/>
    <w:rsid w:val="00DD557C"/>
    <w:rsid w:val="00DD7B58"/>
    <w:rsid w:val="00DE1284"/>
    <w:rsid w:val="00DF15BA"/>
    <w:rsid w:val="00DF417A"/>
    <w:rsid w:val="00DF486C"/>
    <w:rsid w:val="00DF5F3F"/>
    <w:rsid w:val="00DF64BD"/>
    <w:rsid w:val="00DF761C"/>
    <w:rsid w:val="00E014F8"/>
    <w:rsid w:val="00E01848"/>
    <w:rsid w:val="00E03010"/>
    <w:rsid w:val="00E0323B"/>
    <w:rsid w:val="00E032B8"/>
    <w:rsid w:val="00E0407A"/>
    <w:rsid w:val="00E06C9A"/>
    <w:rsid w:val="00E07EFC"/>
    <w:rsid w:val="00E07F51"/>
    <w:rsid w:val="00E11118"/>
    <w:rsid w:val="00E11E2E"/>
    <w:rsid w:val="00E15E4E"/>
    <w:rsid w:val="00E16DD8"/>
    <w:rsid w:val="00E21DE2"/>
    <w:rsid w:val="00E25F24"/>
    <w:rsid w:val="00E2696B"/>
    <w:rsid w:val="00E3353A"/>
    <w:rsid w:val="00E35174"/>
    <w:rsid w:val="00E35B88"/>
    <w:rsid w:val="00E361D9"/>
    <w:rsid w:val="00E361FF"/>
    <w:rsid w:val="00E3630F"/>
    <w:rsid w:val="00E3795A"/>
    <w:rsid w:val="00E416AD"/>
    <w:rsid w:val="00E41EDA"/>
    <w:rsid w:val="00E4279A"/>
    <w:rsid w:val="00E44C06"/>
    <w:rsid w:val="00E46384"/>
    <w:rsid w:val="00E50504"/>
    <w:rsid w:val="00E5312E"/>
    <w:rsid w:val="00E55D04"/>
    <w:rsid w:val="00E57B48"/>
    <w:rsid w:val="00E60362"/>
    <w:rsid w:val="00E61424"/>
    <w:rsid w:val="00E64B20"/>
    <w:rsid w:val="00E66CC9"/>
    <w:rsid w:val="00E674B9"/>
    <w:rsid w:val="00E72E03"/>
    <w:rsid w:val="00E750D3"/>
    <w:rsid w:val="00E7579E"/>
    <w:rsid w:val="00E77757"/>
    <w:rsid w:val="00E90EA8"/>
    <w:rsid w:val="00E914E3"/>
    <w:rsid w:val="00E93E9F"/>
    <w:rsid w:val="00E95EF8"/>
    <w:rsid w:val="00E97087"/>
    <w:rsid w:val="00E975B6"/>
    <w:rsid w:val="00EA19DA"/>
    <w:rsid w:val="00EA334A"/>
    <w:rsid w:val="00EA4753"/>
    <w:rsid w:val="00EB3F17"/>
    <w:rsid w:val="00EB4B5D"/>
    <w:rsid w:val="00EC1780"/>
    <w:rsid w:val="00EC3943"/>
    <w:rsid w:val="00EC66A1"/>
    <w:rsid w:val="00ED144B"/>
    <w:rsid w:val="00ED502B"/>
    <w:rsid w:val="00ED60DB"/>
    <w:rsid w:val="00ED7624"/>
    <w:rsid w:val="00ED7CF0"/>
    <w:rsid w:val="00EE10ED"/>
    <w:rsid w:val="00EE29FC"/>
    <w:rsid w:val="00EE39F0"/>
    <w:rsid w:val="00EE3ECC"/>
    <w:rsid w:val="00EE7031"/>
    <w:rsid w:val="00EF4A18"/>
    <w:rsid w:val="00EF6912"/>
    <w:rsid w:val="00F0287E"/>
    <w:rsid w:val="00F0501C"/>
    <w:rsid w:val="00F0503F"/>
    <w:rsid w:val="00F06CC8"/>
    <w:rsid w:val="00F20A44"/>
    <w:rsid w:val="00F21BB2"/>
    <w:rsid w:val="00F22AEC"/>
    <w:rsid w:val="00F23139"/>
    <w:rsid w:val="00F240AD"/>
    <w:rsid w:val="00F307AA"/>
    <w:rsid w:val="00F3260C"/>
    <w:rsid w:val="00F35C32"/>
    <w:rsid w:val="00F37E1D"/>
    <w:rsid w:val="00F4276A"/>
    <w:rsid w:val="00F43E84"/>
    <w:rsid w:val="00F44512"/>
    <w:rsid w:val="00F457A3"/>
    <w:rsid w:val="00F47681"/>
    <w:rsid w:val="00F526A2"/>
    <w:rsid w:val="00F54F73"/>
    <w:rsid w:val="00F56506"/>
    <w:rsid w:val="00F6325F"/>
    <w:rsid w:val="00F633A5"/>
    <w:rsid w:val="00F63D77"/>
    <w:rsid w:val="00F66C5B"/>
    <w:rsid w:val="00F718EC"/>
    <w:rsid w:val="00F7776E"/>
    <w:rsid w:val="00F81443"/>
    <w:rsid w:val="00F82254"/>
    <w:rsid w:val="00F82AF8"/>
    <w:rsid w:val="00F84B68"/>
    <w:rsid w:val="00F866A5"/>
    <w:rsid w:val="00F9010F"/>
    <w:rsid w:val="00F90756"/>
    <w:rsid w:val="00F938C1"/>
    <w:rsid w:val="00F950C5"/>
    <w:rsid w:val="00F95763"/>
    <w:rsid w:val="00F96309"/>
    <w:rsid w:val="00F97D0F"/>
    <w:rsid w:val="00FA2891"/>
    <w:rsid w:val="00FB2E74"/>
    <w:rsid w:val="00FB6177"/>
    <w:rsid w:val="00FB6397"/>
    <w:rsid w:val="00FB6732"/>
    <w:rsid w:val="00FB697B"/>
    <w:rsid w:val="00FC2A07"/>
    <w:rsid w:val="00FC3FF6"/>
    <w:rsid w:val="00FC7350"/>
    <w:rsid w:val="00FD51CB"/>
    <w:rsid w:val="00FD54BA"/>
    <w:rsid w:val="00FD6DDA"/>
    <w:rsid w:val="00FE292E"/>
    <w:rsid w:val="00FE4C1F"/>
    <w:rsid w:val="00FE5C57"/>
    <w:rsid w:val="00FE695D"/>
    <w:rsid w:val="00FF6987"/>
    <w:rsid w:val="79D336C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4EF374-E5D3-49C8-BA41-2E02862B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4C"/>
    <w:pPr>
      <w:suppressAutoHyphens/>
      <w:spacing w:line="360" w:lineRule="auto"/>
    </w:pPr>
    <w:rPr>
      <w:rFonts w:ascii="Book Antiqua" w:hAnsi="Book Antiqua" w:cs="Calibri"/>
      <w:color w:val="000000"/>
      <w:kern w:val="1"/>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rsid w:val="00E16DD8"/>
  </w:style>
  <w:style w:type="character" w:styleId="Hyperlink">
    <w:name w:val="Hyperlink"/>
    <w:uiPriority w:val="99"/>
    <w:rsid w:val="00E16DD8"/>
    <w:rPr>
      <w:rFonts w:cs="Times New Roman"/>
      <w:color w:val="000080"/>
      <w:u w:val="single"/>
    </w:rPr>
  </w:style>
  <w:style w:type="character" w:customStyle="1" w:styleId="TekstkomentarzaZnak">
    <w:name w:val="Tekst komentarza Znak"/>
    <w:uiPriority w:val="99"/>
    <w:rsid w:val="00E16DD8"/>
    <w:rPr>
      <w:rFonts w:ascii="Calibri" w:hAnsi="Calibri"/>
      <w:color w:val="000000"/>
      <w:u w:val="none"/>
      <w:lang w:val="en-US"/>
    </w:rPr>
  </w:style>
  <w:style w:type="character" w:customStyle="1" w:styleId="Odwoaniedokomentarza1">
    <w:name w:val="Odwołanie do komentarza1"/>
    <w:rsid w:val="00E16DD8"/>
    <w:rPr>
      <w:sz w:val="16"/>
    </w:rPr>
  </w:style>
  <w:style w:type="character" w:customStyle="1" w:styleId="TekstdymkaZnak">
    <w:name w:val="Tekst dymka Znak"/>
    <w:rsid w:val="00E16DD8"/>
    <w:rPr>
      <w:rFonts w:ascii="Tahoma" w:hAnsi="Tahoma"/>
      <w:color w:val="000000"/>
      <w:sz w:val="16"/>
      <w:u w:val="none"/>
      <w:lang w:val="en-US"/>
    </w:rPr>
  </w:style>
  <w:style w:type="character" w:customStyle="1" w:styleId="TematkomentarzaZnak">
    <w:name w:val="Temat komentarza Znak"/>
    <w:rsid w:val="00E16DD8"/>
    <w:rPr>
      <w:rFonts w:ascii="Calibri" w:hAnsi="Calibri"/>
      <w:b/>
      <w:color w:val="000000"/>
      <w:u w:val="none"/>
      <w:lang w:val="en-US"/>
    </w:rPr>
  </w:style>
  <w:style w:type="character" w:customStyle="1" w:styleId="ListLabel1">
    <w:name w:val="ListLabel 1"/>
    <w:rsid w:val="00E16DD8"/>
    <w:rPr>
      <w:rFonts w:eastAsia="Times New Roman"/>
      <w:position w:val="0"/>
      <w:sz w:val="24"/>
      <w:vertAlign w:val="baseline"/>
      <w:lang w:val="en-US"/>
    </w:rPr>
  </w:style>
  <w:style w:type="character" w:customStyle="1" w:styleId="ListLabel2">
    <w:name w:val="ListLabel 2"/>
    <w:rsid w:val="00E16DD8"/>
    <w:rPr>
      <w:position w:val="0"/>
      <w:sz w:val="20"/>
      <w:vertAlign w:val="baseline"/>
    </w:rPr>
  </w:style>
  <w:style w:type="character" w:customStyle="1" w:styleId="ListLabel3">
    <w:name w:val="ListLabel 3"/>
    <w:rsid w:val="00E16DD8"/>
    <w:rPr>
      <w:rFonts w:eastAsia="Times New Roman"/>
      <w:position w:val="0"/>
      <w:sz w:val="22"/>
      <w:vertAlign w:val="baseline"/>
      <w:lang w:val="en-US"/>
    </w:rPr>
  </w:style>
  <w:style w:type="paragraph" w:customStyle="1" w:styleId="Kop">
    <w:name w:val="Kop"/>
    <w:basedOn w:val="Normal"/>
    <w:next w:val="BodyText"/>
    <w:rsid w:val="00E16DD8"/>
    <w:pPr>
      <w:keepNext/>
      <w:spacing w:before="240" w:after="120"/>
    </w:pPr>
    <w:rPr>
      <w:rFonts w:ascii="Arial" w:eastAsia="Microsoft YaHei" w:hAnsi="Arial" w:cs="Mangal"/>
      <w:sz w:val="28"/>
      <w:szCs w:val="28"/>
    </w:rPr>
  </w:style>
  <w:style w:type="paragraph" w:styleId="BodyText">
    <w:name w:val="Body Text"/>
    <w:basedOn w:val="Normal"/>
    <w:link w:val="BodyTextChar"/>
    <w:rsid w:val="00E16DD8"/>
    <w:pPr>
      <w:spacing w:after="120"/>
    </w:pPr>
  </w:style>
  <w:style w:type="character" w:customStyle="1" w:styleId="BodyTextChar">
    <w:name w:val="Body Text Char"/>
    <w:link w:val="BodyText"/>
    <w:locked/>
    <w:rsid w:val="00654E7A"/>
    <w:rPr>
      <w:rFonts w:ascii="Book Antiqua" w:hAnsi="Book Antiqua" w:cs="Calibri"/>
      <w:color w:val="000000"/>
      <w:kern w:val="1"/>
      <w:sz w:val="22"/>
      <w:szCs w:val="22"/>
      <w:lang w:val="en-US" w:eastAsia="ar-SA" w:bidi="ar-SA"/>
    </w:rPr>
  </w:style>
  <w:style w:type="paragraph" w:styleId="List">
    <w:name w:val="List"/>
    <w:basedOn w:val="Normal"/>
    <w:rsid w:val="00E16DD8"/>
    <w:pPr>
      <w:ind w:left="283" w:hanging="283"/>
    </w:pPr>
    <w:rPr>
      <w:rFonts w:ascii="Helvetica" w:hAnsi="Helvetica" w:cs="Helvetica"/>
      <w:color w:val="00000A"/>
      <w:lang w:val="pl-PL"/>
    </w:rPr>
  </w:style>
  <w:style w:type="paragraph" w:customStyle="1" w:styleId="Bijschrift1">
    <w:name w:val="Bijschrift1"/>
    <w:basedOn w:val="Normal"/>
    <w:rsid w:val="00E16DD8"/>
    <w:pPr>
      <w:suppressLineNumbers/>
      <w:spacing w:before="120" w:after="120"/>
    </w:pPr>
    <w:rPr>
      <w:rFonts w:cs="Mangal"/>
      <w:i/>
      <w:iCs/>
      <w:szCs w:val="24"/>
    </w:rPr>
  </w:style>
  <w:style w:type="paragraph" w:customStyle="1" w:styleId="Index">
    <w:name w:val="Index"/>
    <w:basedOn w:val="Normal"/>
    <w:rsid w:val="00E16DD8"/>
    <w:pPr>
      <w:suppressLineNumbers/>
    </w:pPr>
    <w:rPr>
      <w:rFonts w:cs="Mangal"/>
    </w:rPr>
  </w:style>
  <w:style w:type="paragraph" w:customStyle="1" w:styleId="HeaderFooter">
    <w:name w:val="Header &amp; Footer"/>
    <w:rsid w:val="00E16DD8"/>
    <w:pPr>
      <w:tabs>
        <w:tab w:val="right" w:pos="9020"/>
      </w:tabs>
      <w:suppressAutoHyphens/>
    </w:pPr>
    <w:rPr>
      <w:rFonts w:ascii="Helvetica" w:hAnsi="Helvetica" w:cs="Arial Unicode MS"/>
      <w:color w:val="000000"/>
      <w:kern w:val="1"/>
      <w:sz w:val="24"/>
      <w:szCs w:val="24"/>
      <w:lang w:val="nl-NL" w:eastAsia="ar-SA"/>
    </w:rPr>
  </w:style>
  <w:style w:type="paragraph" w:customStyle="1" w:styleId="Bezodstpw1">
    <w:name w:val="Bez odstępów1"/>
    <w:rsid w:val="00E16DD8"/>
    <w:pPr>
      <w:suppressAutoHyphens/>
    </w:pPr>
    <w:rPr>
      <w:rFonts w:ascii="Calibri" w:hAnsi="Calibri" w:cs="Calibri"/>
      <w:color w:val="000000"/>
      <w:kern w:val="1"/>
      <w:sz w:val="22"/>
      <w:szCs w:val="22"/>
      <w:lang w:eastAsia="ar-SA"/>
    </w:rPr>
  </w:style>
  <w:style w:type="paragraph" w:customStyle="1" w:styleId="Default">
    <w:name w:val="Default"/>
    <w:rsid w:val="00E16DD8"/>
    <w:pPr>
      <w:suppressAutoHyphens/>
    </w:pPr>
    <w:rPr>
      <w:rFonts w:ascii="Helvetica" w:hAnsi="Helvetica" w:cs="Helvetica"/>
      <w:color w:val="000000"/>
      <w:kern w:val="1"/>
      <w:sz w:val="22"/>
      <w:szCs w:val="22"/>
      <w:lang w:val="nl-NL" w:eastAsia="ar-SA"/>
    </w:rPr>
  </w:style>
  <w:style w:type="paragraph" w:customStyle="1" w:styleId="NormalnyWeb1">
    <w:name w:val="Normalny (Web)1"/>
    <w:rsid w:val="00E16DD8"/>
    <w:pPr>
      <w:suppressAutoHyphens/>
      <w:spacing w:before="100" w:after="100"/>
    </w:pPr>
    <w:rPr>
      <w:rFonts w:cs="Arial Unicode MS"/>
      <w:color w:val="000000"/>
      <w:kern w:val="1"/>
      <w:sz w:val="24"/>
      <w:szCs w:val="24"/>
      <w:lang w:val="nl-NL" w:eastAsia="ar-SA"/>
    </w:rPr>
  </w:style>
  <w:style w:type="paragraph" w:customStyle="1" w:styleId="Tekstkomentarza1">
    <w:name w:val="Tekst komentarza1"/>
    <w:basedOn w:val="Normal"/>
    <w:rsid w:val="00E16DD8"/>
    <w:pPr>
      <w:spacing w:line="100" w:lineRule="atLeast"/>
    </w:pPr>
    <w:rPr>
      <w:sz w:val="20"/>
      <w:szCs w:val="20"/>
    </w:rPr>
  </w:style>
  <w:style w:type="paragraph" w:customStyle="1" w:styleId="Tekstdymka1">
    <w:name w:val="Tekst dymka1"/>
    <w:basedOn w:val="Normal"/>
    <w:rsid w:val="00E16DD8"/>
    <w:pPr>
      <w:spacing w:line="100" w:lineRule="atLeast"/>
    </w:pPr>
    <w:rPr>
      <w:rFonts w:ascii="Tahoma" w:hAnsi="Tahoma" w:cs="Tahoma"/>
      <w:sz w:val="16"/>
      <w:szCs w:val="16"/>
    </w:rPr>
  </w:style>
  <w:style w:type="paragraph" w:customStyle="1" w:styleId="Poprawka1">
    <w:name w:val="Poprawka1"/>
    <w:rsid w:val="00E16DD8"/>
    <w:pPr>
      <w:suppressAutoHyphens/>
    </w:pPr>
    <w:rPr>
      <w:rFonts w:ascii="Calibri" w:hAnsi="Calibri" w:cs="Calibri"/>
      <w:color w:val="000000"/>
      <w:kern w:val="1"/>
      <w:sz w:val="22"/>
      <w:szCs w:val="22"/>
      <w:lang w:eastAsia="ar-SA"/>
    </w:rPr>
  </w:style>
  <w:style w:type="paragraph" w:customStyle="1" w:styleId="Tematkomentarza1">
    <w:name w:val="Temat komentarza1"/>
    <w:basedOn w:val="Tekstkomentarza1"/>
    <w:rsid w:val="00E16DD8"/>
    <w:rPr>
      <w:b/>
      <w:bCs/>
    </w:rPr>
  </w:style>
  <w:style w:type="paragraph" w:styleId="Header">
    <w:name w:val="header"/>
    <w:basedOn w:val="Normal"/>
    <w:link w:val="HeaderChar"/>
    <w:uiPriority w:val="99"/>
    <w:rsid w:val="00E16DD8"/>
    <w:pPr>
      <w:suppressLineNumbers/>
      <w:tabs>
        <w:tab w:val="center" w:pos="4819"/>
        <w:tab w:val="right" w:pos="9638"/>
      </w:tabs>
    </w:pPr>
  </w:style>
  <w:style w:type="character" w:customStyle="1" w:styleId="HeaderChar">
    <w:name w:val="Header Char"/>
    <w:link w:val="Header"/>
    <w:uiPriority w:val="99"/>
    <w:locked/>
    <w:rsid w:val="00654E7A"/>
    <w:rPr>
      <w:rFonts w:ascii="Book Antiqua" w:hAnsi="Book Antiqua" w:cs="Calibri"/>
      <w:color w:val="000000"/>
      <w:kern w:val="1"/>
      <w:sz w:val="22"/>
      <w:szCs w:val="22"/>
      <w:lang w:val="en-US" w:eastAsia="ar-SA" w:bidi="ar-SA"/>
    </w:rPr>
  </w:style>
  <w:style w:type="paragraph" w:styleId="Footer">
    <w:name w:val="footer"/>
    <w:basedOn w:val="Normal"/>
    <w:link w:val="FooterChar"/>
    <w:uiPriority w:val="99"/>
    <w:rsid w:val="00E16DD8"/>
    <w:pPr>
      <w:suppressLineNumbers/>
      <w:tabs>
        <w:tab w:val="center" w:pos="4819"/>
        <w:tab w:val="right" w:pos="9638"/>
      </w:tabs>
    </w:pPr>
  </w:style>
  <w:style w:type="character" w:customStyle="1" w:styleId="FooterChar">
    <w:name w:val="Footer Char"/>
    <w:link w:val="Footer"/>
    <w:uiPriority w:val="99"/>
    <w:locked/>
    <w:rsid w:val="00654E7A"/>
    <w:rPr>
      <w:rFonts w:ascii="Book Antiqua" w:hAnsi="Book Antiqua" w:cs="Calibri"/>
      <w:color w:val="000000"/>
      <w:kern w:val="1"/>
      <w:sz w:val="22"/>
      <w:szCs w:val="22"/>
      <w:lang w:val="en-US" w:eastAsia="ar-SA" w:bidi="ar-SA"/>
    </w:rPr>
  </w:style>
  <w:style w:type="paragraph" w:styleId="BalloonText">
    <w:name w:val="Balloon Text"/>
    <w:basedOn w:val="Normal"/>
    <w:link w:val="BalloonTextChar"/>
    <w:uiPriority w:val="99"/>
    <w:semiHidden/>
    <w:rsid w:val="00386AE9"/>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86AE9"/>
    <w:rPr>
      <w:rFonts w:ascii="Tahoma" w:hAnsi="Tahoma" w:cs="Tahoma"/>
      <w:color w:val="000000"/>
      <w:kern w:val="1"/>
      <w:sz w:val="16"/>
      <w:szCs w:val="16"/>
      <w:lang w:eastAsia="ar-SA"/>
    </w:rPr>
  </w:style>
  <w:style w:type="character" w:styleId="CommentReference">
    <w:name w:val="annotation reference"/>
    <w:uiPriority w:val="99"/>
    <w:semiHidden/>
    <w:rsid w:val="00386AE9"/>
    <w:rPr>
      <w:rFonts w:cs="Times New Roman"/>
      <w:sz w:val="16"/>
    </w:rPr>
  </w:style>
  <w:style w:type="paragraph" w:styleId="CommentText">
    <w:name w:val="annotation text"/>
    <w:basedOn w:val="Normal"/>
    <w:link w:val="CommentTextChar"/>
    <w:uiPriority w:val="99"/>
    <w:rsid w:val="00386AE9"/>
    <w:rPr>
      <w:rFonts w:ascii="Calibri" w:hAnsi="Calibri" w:cs="Times New Roman"/>
      <w:sz w:val="20"/>
      <w:szCs w:val="20"/>
    </w:rPr>
  </w:style>
  <w:style w:type="character" w:customStyle="1" w:styleId="CommentTextChar">
    <w:name w:val="Comment Text Char"/>
    <w:link w:val="CommentText"/>
    <w:uiPriority w:val="99"/>
    <w:locked/>
    <w:rsid w:val="00386AE9"/>
    <w:rPr>
      <w:rFonts w:ascii="Calibri" w:hAnsi="Calibri" w:cs="Times New Roman"/>
      <w:color w:val="000000"/>
      <w:kern w:val="1"/>
      <w:lang w:val="en-US" w:eastAsia="ar-SA" w:bidi="ar-SA"/>
    </w:rPr>
  </w:style>
  <w:style w:type="paragraph" w:styleId="CommentSubject">
    <w:name w:val="annotation subject"/>
    <w:basedOn w:val="CommentText"/>
    <w:next w:val="CommentText"/>
    <w:link w:val="CommentSubjectChar"/>
    <w:uiPriority w:val="99"/>
    <w:semiHidden/>
    <w:rsid w:val="00386AE9"/>
    <w:rPr>
      <w:b/>
      <w:bCs/>
    </w:rPr>
  </w:style>
  <w:style w:type="character" w:customStyle="1" w:styleId="CommentSubjectChar">
    <w:name w:val="Comment Subject Char"/>
    <w:link w:val="CommentSubject"/>
    <w:uiPriority w:val="99"/>
    <w:semiHidden/>
    <w:locked/>
    <w:rsid w:val="00386AE9"/>
    <w:rPr>
      <w:rFonts w:ascii="Calibri" w:hAnsi="Calibri" w:cs="Times New Roman"/>
      <w:b/>
      <w:color w:val="000000"/>
      <w:kern w:val="1"/>
      <w:lang w:val="en-US" w:eastAsia="ar-SA" w:bidi="ar-SA"/>
    </w:rPr>
  </w:style>
  <w:style w:type="paragraph" w:styleId="Revision">
    <w:name w:val="Revision"/>
    <w:hidden/>
    <w:uiPriority w:val="99"/>
    <w:semiHidden/>
    <w:rsid w:val="001F1F1A"/>
    <w:rPr>
      <w:rFonts w:ascii="Calibri" w:hAnsi="Calibri" w:cs="Calibri"/>
      <w:color w:val="000000"/>
      <w:kern w:val="1"/>
      <w:sz w:val="22"/>
      <w:szCs w:val="22"/>
      <w:lang w:eastAsia="ar-SA"/>
    </w:rPr>
  </w:style>
  <w:style w:type="paragraph" w:styleId="NoSpacing">
    <w:name w:val="No Spacing"/>
    <w:uiPriority w:val="1"/>
    <w:qFormat/>
    <w:rsid w:val="005D6E2F"/>
    <w:rPr>
      <w:rFonts w:ascii="Calibri" w:hAnsi="Calibri"/>
      <w:sz w:val="22"/>
      <w:szCs w:val="22"/>
      <w:lang w:val="pl-PL"/>
    </w:rPr>
  </w:style>
  <w:style w:type="table" w:styleId="TableGrid">
    <w:name w:val="Table Grid"/>
    <w:basedOn w:val="TableNormal"/>
    <w:uiPriority w:val="59"/>
    <w:rsid w:val="005D6E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E2F"/>
    <w:pPr>
      <w:suppressAutoHyphens w:val="0"/>
      <w:ind w:left="720"/>
      <w:contextualSpacing/>
    </w:pPr>
    <w:rPr>
      <w:rFonts w:ascii="Calibri" w:hAnsi="Calibri" w:cs="Times New Roman"/>
      <w:color w:val="auto"/>
      <w:kern w:val="0"/>
      <w:lang w:val="pl-PL" w:eastAsia="en-US"/>
    </w:rPr>
  </w:style>
  <w:style w:type="character" w:styleId="FollowedHyperlink">
    <w:name w:val="FollowedHyperlink"/>
    <w:uiPriority w:val="99"/>
    <w:semiHidden/>
    <w:rsid w:val="00D31FAC"/>
    <w:rPr>
      <w:rFonts w:cs="Times New Roman"/>
      <w:color w:val="800080"/>
      <w:u w:val="single"/>
    </w:rPr>
  </w:style>
  <w:style w:type="paragraph" w:customStyle="1" w:styleId="1">
    <w:name w:val="正文1"/>
    <w:uiPriority w:val="99"/>
    <w:rsid w:val="009D6451"/>
    <w:pPr>
      <w:spacing w:line="276" w:lineRule="auto"/>
    </w:pPr>
    <w:rPr>
      <w:rFonts w:ascii="Arial" w:hAnsi="Arial" w:cs="Arial"/>
      <w:color w:val="000000"/>
      <w:sz w:val="22"/>
      <w:lang w:val="pl-PL" w:eastAsia="pl-PL"/>
    </w:rPr>
  </w:style>
  <w:style w:type="character" w:styleId="Strong">
    <w:name w:val="Strong"/>
    <w:qFormat/>
    <w:rsid w:val="007C7930"/>
    <w:rPr>
      <w:rFonts w:cs="Times New Roman"/>
      <w:b/>
    </w:rPr>
  </w:style>
  <w:style w:type="character" w:customStyle="1" w:styleId="apple-converted-space">
    <w:name w:val="apple-converted-space"/>
    <w:rsid w:val="00F950C5"/>
    <w:rPr>
      <w:rFonts w:cs="Times New Roman"/>
    </w:rPr>
  </w:style>
  <w:style w:type="paragraph" w:styleId="NormalWeb">
    <w:name w:val="Normal (Web)"/>
    <w:basedOn w:val="Normal"/>
    <w:uiPriority w:val="99"/>
    <w:rsid w:val="00654E7A"/>
    <w:pPr>
      <w:suppressAutoHyphens w:val="0"/>
      <w:spacing w:before="100" w:beforeAutospacing="1" w:after="100" w:afterAutospacing="1" w:line="240" w:lineRule="auto"/>
    </w:pPr>
    <w:rPr>
      <w:rFonts w:ascii="Times New Roman" w:hAnsi="Times New Roman" w:cs="Times New Roman"/>
      <w:color w:val="auto"/>
      <w:kern w:val="0"/>
      <w:szCs w:val="24"/>
      <w:lang w:val="pl-PL" w:eastAsia="pl-PL"/>
    </w:rPr>
  </w:style>
  <w:style w:type="character" w:customStyle="1" w:styleId="CharChar2">
    <w:name w:val="Char Char2"/>
    <w:uiPriority w:val="99"/>
    <w:rsid w:val="00242F84"/>
    <w:rPr>
      <w:rFonts w:ascii="Times New Roman" w:eastAsia="SimSun" w:hAnsi="Times New Roman"/>
      <w:kern w:val="2"/>
      <w:sz w:val="20"/>
      <w:lang w:eastAsia="zh-CN"/>
    </w:rPr>
  </w:style>
  <w:style w:type="numbering" w:customStyle="1" w:styleId="10">
    <w:name w:val="无列表1"/>
    <w:next w:val="NoList"/>
    <w:uiPriority w:val="99"/>
    <w:semiHidden/>
    <w:unhideWhenUsed/>
    <w:rsid w:val="00DF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90555">
      <w:marLeft w:val="0"/>
      <w:marRight w:val="0"/>
      <w:marTop w:val="0"/>
      <w:marBottom w:val="0"/>
      <w:divBdr>
        <w:top w:val="none" w:sz="0" w:space="0" w:color="auto"/>
        <w:left w:val="none" w:sz="0" w:space="0" w:color="auto"/>
        <w:bottom w:val="none" w:sz="0" w:space="0" w:color="auto"/>
        <w:right w:val="none" w:sz="0" w:space="0" w:color="auto"/>
      </w:divBdr>
    </w:div>
    <w:div w:id="1207990556">
      <w:marLeft w:val="0"/>
      <w:marRight w:val="0"/>
      <w:marTop w:val="0"/>
      <w:marBottom w:val="0"/>
      <w:divBdr>
        <w:top w:val="none" w:sz="0" w:space="0" w:color="auto"/>
        <w:left w:val="none" w:sz="0" w:space="0" w:color="auto"/>
        <w:bottom w:val="none" w:sz="0" w:space="0" w:color="auto"/>
        <w:right w:val="none" w:sz="0" w:space="0" w:color="auto"/>
      </w:divBdr>
    </w:div>
    <w:div w:id="1207990557">
      <w:marLeft w:val="0"/>
      <w:marRight w:val="0"/>
      <w:marTop w:val="0"/>
      <w:marBottom w:val="0"/>
      <w:divBdr>
        <w:top w:val="none" w:sz="0" w:space="0" w:color="auto"/>
        <w:left w:val="none" w:sz="0" w:space="0" w:color="auto"/>
        <w:bottom w:val="none" w:sz="0" w:space="0" w:color="auto"/>
        <w:right w:val="none" w:sz="0" w:space="0" w:color="auto"/>
      </w:divBdr>
    </w:div>
    <w:div w:id="1207990558">
      <w:marLeft w:val="0"/>
      <w:marRight w:val="0"/>
      <w:marTop w:val="0"/>
      <w:marBottom w:val="0"/>
      <w:divBdr>
        <w:top w:val="none" w:sz="0" w:space="0" w:color="auto"/>
        <w:left w:val="none" w:sz="0" w:space="0" w:color="auto"/>
        <w:bottom w:val="none" w:sz="0" w:space="0" w:color="auto"/>
        <w:right w:val="none" w:sz="0" w:space="0" w:color="auto"/>
      </w:divBdr>
    </w:div>
    <w:div w:id="1207990559">
      <w:marLeft w:val="0"/>
      <w:marRight w:val="0"/>
      <w:marTop w:val="0"/>
      <w:marBottom w:val="0"/>
      <w:divBdr>
        <w:top w:val="none" w:sz="0" w:space="0" w:color="auto"/>
        <w:left w:val="none" w:sz="0" w:space="0" w:color="auto"/>
        <w:bottom w:val="none" w:sz="0" w:space="0" w:color="auto"/>
        <w:right w:val="none" w:sz="0" w:space="0" w:color="auto"/>
      </w:divBdr>
    </w:div>
    <w:div w:id="1207990560">
      <w:marLeft w:val="0"/>
      <w:marRight w:val="0"/>
      <w:marTop w:val="0"/>
      <w:marBottom w:val="0"/>
      <w:divBdr>
        <w:top w:val="none" w:sz="0" w:space="0" w:color="auto"/>
        <w:left w:val="none" w:sz="0" w:space="0" w:color="auto"/>
        <w:bottom w:val="none" w:sz="0" w:space="0" w:color="auto"/>
        <w:right w:val="none" w:sz="0" w:space="0" w:color="auto"/>
      </w:divBdr>
    </w:div>
    <w:div w:id="1207990561">
      <w:marLeft w:val="0"/>
      <w:marRight w:val="0"/>
      <w:marTop w:val="0"/>
      <w:marBottom w:val="0"/>
      <w:divBdr>
        <w:top w:val="none" w:sz="0" w:space="0" w:color="auto"/>
        <w:left w:val="none" w:sz="0" w:space="0" w:color="auto"/>
        <w:bottom w:val="none" w:sz="0" w:space="0" w:color="auto"/>
        <w:right w:val="none" w:sz="0" w:space="0" w:color="auto"/>
      </w:divBdr>
    </w:div>
    <w:div w:id="1207990562">
      <w:marLeft w:val="0"/>
      <w:marRight w:val="0"/>
      <w:marTop w:val="0"/>
      <w:marBottom w:val="0"/>
      <w:divBdr>
        <w:top w:val="none" w:sz="0" w:space="0" w:color="auto"/>
        <w:left w:val="none" w:sz="0" w:space="0" w:color="auto"/>
        <w:bottom w:val="none" w:sz="0" w:space="0" w:color="auto"/>
        <w:right w:val="none" w:sz="0" w:space="0" w:color="auto"/>
      </w:divBdr>
    </w:div>
    <w:div w:id="1207990563">
      <w:marLeft w:val="0"/>
      <w:marRight w:val="0"/>
      <w:marTop w:val="0"/>
      <w:marBottom w:val="0"/>
      <w:divBdr>
        <w:top w:val="none" w:sz="0" w:space="0" w:color="auto"/>
        <w:left w:val="none" w:sz="0" w:space="0" w:color="auto"/>
        <w:bottom w:val="none" w:sz="0" w:space="0" w:color="auto"/>
        <w:right w:val="none" w:sz="0" w:space="0" w:color="auto"/>
      </w:divBdr>
    </w:div>
    <w:div w:id="1207990564">
      <w:marLeft w:val="0"/>
      <w:marRight w:val="0"/>
      <w:marTop w:val="0"/>
      <w:marBottom w:val="0"/>
      <w:divBdr>
        <w:top w:val="none" w:sz="0" w:space="0" w:color="auto"/>
        <w:left w:val="none" w:sz="0" w:space="0" w:color="auto"/>
        <w:bottom w:val="none" w:sz="0" w:space="0" w:color="auto"/>
        <w:right w:val="none" w:sz="0" w:space="0" w:color="auto"/>
      </w:divBdr>
    </w:div>
    <w:div w:id="1207990565">
      <w:marLeft w:val="0"/>
      <w:marRight w:val="0"/>
      <w:marTop w:val="0"/>
      <w:marBottom w:val="0"/>
      <w:divBdr>
        <w:top w:val="none" w:sz="0" w:space="0" w:color="auto"/>
        <w:left w:val="none" w:sz="0" w:space="0" w:color="auto"/>
        <w:bottom w:val="none" w:sz="0" w:space="0" w:color="auto"/>
        <w:right w:val="none" w:sz="0" w:space="0" w:color="auto"/>
      </w:divBdr>
    </w:div>
    <w:div w:id="1207990566">
      <w:marLeft w:val="0"/>
      <w:marRight w:val="0"/>
      <w:marTop w:val="0"/>
      <w:marBottom w:val="0"/>
      <w:divBdr>
        <w:top w:val="none" w:sz="0" w:space="0" w:color="auto"/>
        <w:left w:val="none" w:sz="0" w:space="0" w:color="auto"/>
        <w:bottom w:val="none" w:sz="0" w:space="0" w:color="auto"/>
        <w:right w:val="none" w:sz="0" w:space="0" w:color="auto"/>
      </w:divBdr>
    </w:div>
    <w:div w:id="1207990567">
      <w:marLeft w:val="0"/>
      <w:marRight w:val="0"/>
      <w:marTop w:val="0"/>
      <w:marBottom w:val="0"/>
      <w:divBdr>
        <w:top w:val="none" w:sz="0" w:space="0" w:color="auto"/>
        <w:left w:val="none" w:sz="0" w:space="0" w:color="auto"/>
        <w:bottom w:val="none" w:sz="0" w:space="0" w:color="auto"/>
        <w:right w:val="none" w:sz="0" w:space="0" w:color="auto"/>
      </w:divBdr>
    </w:div>
    <w:div w:id="1207990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itarz@umlub.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ncbi.nlm.nih.gov/pubmed/?term=International+Agency+for+Research+on+Cancer.+Infection+with+Helicobacter+pylori.+In%3A+IARC+Monographs+on+the+Evaluation+of+Carcinogenic+Risks+to+Humans+1994%3B+61%3A+177%E2%80%9324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Kolumna1</c:v>
                </c:pt>
              </c:strCache>
            </c:strRef>
          </c:tx>
          <c:dLbls>
            <c:dLbl>
              <c:idx val="3"/>
              <c:dLblPos val="inEnd"/>
              <c:showLegendKey val="0"/>
              <c:showVal val="0"/>
              <c:showCatName val="0"/>
              <c:showSerName val="0"/>
              <c:showPercent val="1"/>
              <c:showBubbleSize val="0"/>
              <c:extLst>
                <c:ext xmlns:c15="http://schemas.microsoft.com/office/drawing/2012/chart" uri="{CE6537A1-D6FC-4f65-9D91-7224C49458BB}"/>
              </c:extLst>
            </c:dLbl>
            <c:spPr>
              <a:noFill/>
              <a:ln w="25370">
                <a:noFill/>
              </a:ln>
            </c:spPr>
            <c:txPr>
              <a:bodyPr/>
              <a:lstStyle/>
              <a:p>
                <a:pPr>
                  <a:defRPr sz="899"/>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Arkusz1!$A$2:$A$5</c:f>
              <c:strCache>
                <c:ptCount val="4"/>
                <c:pt idx="0">
                  <c:v>sporadic gastric cancer</c:v>
                </c:pt>
                <c:pt idx="1">
                  <c:v>early onset gastric cancer</c:v>
                </c:pt>
                <c:pt idx="2">
                  <c:v>gastric stump cancer</c:v>
                </c:pt>
                <c:pt idx="3">
                  <c:v>hereditary gastric cancer</c:v>
                </c:pt>
              </c:strCache>
            </c:strRef>
          </c:cat>
          <c:val>
            <c:numRef>
              <c:f>Arkusz1!$B$2:$B$5</c:f>
              <c:numCache>
                <c:formatCode>General</c:formatCode>
                <c:ptCount val="4"/>
                <c:pt idx="0">
                  <c:v>80</c:v>
                </c:pt>
                <c:pt idx="1">
                  <c:v>10</c:v>
                </c:pt>
                <c:pt idx="2">
                  <c:v>7</c:v>
                </c:pt>
                <c:pt idx="3">
                  <c:v>3</c:v>
                </c:pt>
              </c:numCache>
            </c:numRef>
          </c:val>
        </c:ser>
        <c:dLbls>
          <c:showLegendKey val="0"/>
          <c:showVal val="0"/>
          <c:showCatName val="0"/>
          <c:showSerName val="0"/>
          <c:showPercent val="1"/>
          <c:showBubbleSize val="0"/>
          <c:showLeaderLines val="1"/>
        </c:dLbls>
        <c:firstSliceAng val="0"/>
      </c:pieChart>
      <c:spPr>
        <a:noFill/>
        <a:ln w="25370">
          <a:noFill/>
        </a:ln>
      </c:spPr>
    </c:plotArea>
    <c:plotVisOnly val="1"/>
    <c:dispBlanksAs val="zero"/>
    <c:showDLblsOverMax val="0"/>
  </c:chart>
  <c:spPr>
    <a:ln>
      <a:noFill/>
    </a:ln>
  </c:spPr>
  <c:txPr>
    <a:bodyPr/>
    <a:lstStyle/>
    <a:p>
      <a:pPr>
        <a:defRPr sz="1798"/>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4BF1-6BF6-43C7-96D8-9BE2EA20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16185</Words>
  <Characters>92255</Characters>
  <Application>Microsoft Office Word</Application>
  <DocSecurity>0</DocSecurity>
  <Lines>768</Lines>
  <Paragraphs>216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5139Name of Journal: World Journal of Gastroenterology</vt:lpstr>
      <vt:lpstr>5139Name of Journal: World Journal of Gastroenterology</vt:lpstr>
    </vt:vector>
  </TitlesOfParts>
  <Company>Ministrerstwo Edukacji Narodowej</Company>
  <LinksUpToDate>false</LinksUpToDate>
  <CharactersWithSpaces>108224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5139Name of Journal: World Journal of Gastroenterology</dc:title>
  <dc:creator>Anya Milne</dc:creator>
  <cp:lastModifiedBy>LS Ma</cp:lastModifiedBy>
  <cp:revision>2</cp:revision>
  <cp:lastPrinted>2015-09-21T14:32:00Z</cp:lastPrinted>
  <dcterms:created xsi:type="dcterms:W3CDTF">2015-12-29T21:15:00Z</dcterms:created>
  <dcterms:modified xsi:type="dcterms:W3CDTF">2015-12-29T21:15:00Z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Diakonessenhuis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ser Name_1">
    <vt:lpwstr>malgorzata.skierucha@gmail.com@www.mendeley.com</vt:lpwstr>
  </property>
  <property fmtid="{D5CDD505-2E9C-101B-9397-08002B2CF9AE}" pid="11" name="Mendeley Citation Style_1">
    <vt:lpwstr>http://www.zotero.org/styles/vancouver</vt:lpwstr>
  </property>
  <property fmtid="{D5CDD505-2E9C-101B-9397-08002B2CF9AE}" pid="12" name="Mendeley Recent Style Id 0_1">
    <vt:lpwstr>http://www.zotero.org/styles/american-political-science-association</vt:lpwstr>
  </property>
  <property fmtid="{D5CDD505-2E9C-101B-9397-08002B2CF9AE}" pid="13" name="Mendeley Recent Style Name 0_1">
    <vt:lpwstr>American Political Science Association</vt:lpwstr>
  </property>
  <property fmtid="{D5CDD505-2E9C-101B-9397-08002B2CF9AE}" pid="14" name="Mendeley Recent Style Id 1_1">
    <vt:lpwstr>http://www.zotero.org/styles/apa</vt:lpwstr>
  </property>
  <property fmtid="{D5CDD505-2E9C-101B-9397-08002B2CF9AE}" pid="15" name="Mendeley Recent Style Name 1_1">
    <vt:lpwstr>American Psychological Association 6th edition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16th edition (author-date)</vt:lpwstr>
  </property>
  <property fmtid="{D5CDD505-2E9C-101B-9397-08002B2CF9AE}" pid="20" name="Mendeley Recent Style Id 4_1">
    <vt:lpwstr>http://www.zotero.org/styles/harvard1</vt:lpwstr>
  </property>
  <property fmtid="{D5CDD505-2E9C-101B-9397-08002B2CF9AE}" pid="21" name="Mendeley Recent Style Name 4_1">
    <vt:lpwstr>Harvard Reference format 1 (author-date)</vt:lpwstr>
  </property>
  <property fmtid="{D5CDD505-2E9C-101B-9397-08002B2CF9AE}" pid="22" name="Mendeley Recent Style Id 5_1">
    <vt:lpwstr>http://www.zotero.org/styles/ieee</vt:lpwstr>
  </property>
  <property fmtid="{D5CDD505-2E9C-101B-9397-08002B2CF9AE}" pid="23" name="Mendeley Recent Style Name 5_1">
    <vt:lpwstr>IEEE</vt:lpwstr>
  </property>
  <property fmtid="{D5CDD505-2E9C-101B-9397-08002B2CF9AE}" pid="24" name="Mendeley Recent Style Id 6_1">
    <vt:lpwstr>http://www.zotero.org/styles/modern-humanities-research-association</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Id 7_1">
    <vt:lpwstr>http://www.zotero.org/styles/modern-language-association</vt:lpwstr>
  </property>
  <property fmtid="{D5CDD505-2E9C-101B-9397-08002B2CF9AE}" pid="27" name="Mendeley Recent Style Name 7_1">
    <vt:lpwstr>Modern Language Association 7th edition</vt:lpwstr>
  </property>
  <property fmtid="{D5CDD505-2E9C-101B-9397-08002B2CF9AE}" pid="28" name="Mendeley Recent Style Id 8_1">
    <vt:lpwstr>http://www.zotero.org/styles/nature</vt:lpwstr>
  </property>
  <property fmtid="{D5CDD505-2E9C-101B-9397-08002B2CF9AE}" pid="29" name="Mendeley Recent Style Name 8_1">
    <vt:lpwstr>Nature</vt:lpwstr>
  </property>
  <property fmtid="{D5CDD505-2E9C-101B-9397-08002B2CF9AE}" pid="30" name="Mendeley Recent Style Id 9_1">
    <vt:lpwstr>http://www.zotero.org/styles/vancouver</vt:lpwstr>
  </property>
  <property fmtid="{D5CDD505-2E9C-101B-9397-08002B2CF9AE}" pid="31" name="Mendeley Recent Style Name 9_1">
    <vt:lpwstr>Vancouver</vt:lpwstr>
  </property>
</Properties>
</file>